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9FBF" w14:textId="77777777" w:rsidR="00552822" w:rsidRDefault="00C76DB2">
      <w:pPr>
        <w:spacing w:before="240" w:after="240" w:line="360" w:lineRule="auto"/>
        <w:ind w:right="-592"/>
        <w:jc w:val="both"/>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(19) de junio de dos mil veinticuatro.</w:t>
      </w:r>
    </w:p>
    <w:p w14:paraId="42B63C87" w14:textId="717CA67A" w:rsidR="00552822" w:rsidRDefault="00C76DB2">
      <w:pPr>
        <w:spacing w:before="240" w:after="360"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02673/INFOEM/AD/RR/2024,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E06C7E">
        <w:rPr>
          <w:rFonts w:ascii="Palatino Linotype" w:eastAsia="Palatino Linotype" w:hAnsi="Palatino Linotype" w:cs="Palatino Linotype"/>
          <w:b/>
        </w:rPr>
        <w:t xml:space="preserve">XXX </w:t>
      </w:r>
      <w:proofErr w:type="spellStart"/>
      <w:r w:rsidR="00E06C7E">
        <w:rPr>
          <w:rFonts w:ascii="Palatino Linotype" w:eastAsia="Palatino Linotype" w:hAnsi="Palatino Linotype" w:cs="Palatino Linotype"/>
          <w:b/>
        </w:rPr>
        <w:t>XXX</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su calidad de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Instituto de Seguridad Social del Estado de México y Municipios,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se procede a dictar la presente resolución, con base en los siguientes:</w:t>
      </w:r>
    </w:p>
    <w:p w14:paraId="643CCE39" w14:textId="77777777" w:rsidR="00552822" w:rsidRDefault="00C76DB2">
      <w:pPr>
        <w:pStyle w:val="Ttulo1"/>
        <w:spacing w:line="360" w:lineRule="auto"/>
        <w:ind w:right="-592"/>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0BC04FFB" w14:textId="77777777" w:rsidR="00552822" w:rsidRDefault="00552822"/>
    <w:p w14:paraId="6BC8F98B"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t xml:space="preserve">El diecisiete de abril de dos mil veinticuatro, EL RECURRENTE, ante el SUJETO OBLIGADO vía Sistema de Acceso, Rectificación, Cancelación y Oposición de Datos Personales del Estado de México (SARCOEM), presentó la solicitud de acceso a datos personales registrada con el número  </w:t>
      </w:r>
      <w:r>
        <w:rPr>
          <w:rFonts w:ascii="Palatino Linotype" w:eastAsia="Palatino Linotype" w:hAnsi="Palatino Linotype" w:cs="Palatino Linotype"/>
          <w:b/>
        </w:rPr>
        <w:t>00316/ISSEMYM/AD/2024</w:t>
      </w:r>
      <w:r>
        <w:rPr>
          <w:rFonts w:ascii="Palatino Linotype" w:eastAsia="Palatino Linotype" w:hAnsi="Palatino Linotype" w:cs="Palatino Linotype"/>
        </w:rPr>
        <w:t>, en la que solicitó:</w:t>
      </w:r>
    </w:p>
    <w:p w14:paraId="181A2D87" w14:textId="77777777" w:rsidR="00552822" w:rsidRDefault="00552822">
      <w:pPr>
        <w:spacing w:line="360" w:lineRule="auto"/>
        <w:ind w:right="-592"/>
        <w:jc w:val="both"/>
        <w:rPr>
          <w:rFonts w:ascii="Palatino Linotype" w:eastAsia="Palatino Linotype" w:hAnsi="Palatino Linotype" w:cs="Palatino Linotype"/>
          <w:i/>
        </w:rPr>
      </w:pPr>
    </w:p>
    <w:p w14:paraId="3F515A67" w14:textId="7912F6B5" w:rsidR="00552822" w:rsidRDefault="00C76DB2">
      <w:pPr>
        <w:pBdr>
          <w:top w:val="nil"/>
          <w:left w:val="nil"/>
          <w:bottom w:val="nil"/>
          <w:right w:val="nil"/>
          <w:between w:val="nil"/>
        </w:pBdr>
        <w:spacing w:line="276" w:lineRule="auto"/>
        <w:ind w:left="567" w:right="-59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“SOLICITO DOS COPIAS CERTIFICADAS DE MI AVISO DE MOVIMIENTO DE BAJA DEL ISSEMYM, CLAVE ISSEMYM </w:t>
      </w:r>
      <w:r w:rsidR="00E06C7E">
        <w:rPr>
          <w:rFonts w:ascii="Palatino Linotype" w:eastAsia="Palatino Linotype" w:hAnsi="Palatino Linotype" w:cs="Palatino Linotype"/>
          <w:i/>
          <w:color w:val="000000"/>
        </w:rPr>
        <w:t xml:space="preserve">XXX </w:t>
      </w:r>
      <w:proofErr w:type="spellStart"/>
      <w:r w:rsidR="00E06C7E">
        <w:rPr>
          <w:rFonts w:ascii="Palatino Linotype" w:eastAsia="Palatino Linotype" w:hAnsi="Palatino Linotype" w:cs="Palatino Linotype"/>
          <w:i/>
          <w:color w:val="000000"/>
        </w:rPr>
        <w:t>XXX</w:t>
      </w:r>
      <w:proofErr w:type="spellEnd"/>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(sic)</w:t>
      </w:r>
    </w:p>
    <w:p w14:paraId="2F05EA66" w14:textId="77777777" w:rsidR="00552822" w:rsidRDefault="00552822">
      <w:pPr>
        <w:pBdr>
          <w:top w:val="nil"/>
          <w:left w:val="nil"/>
          <w:bottom w:val="nil"/>
          <w:right w:val="nil"/>
          <w:between w:val="nil"/>
        </w:pBdr>
        <w:spacing w:line="276" w:lineRule="auto"/>
        <w:ind w:left="567" w:right="-592"/>
        <w:jc w:val="both"/>
        <w:rPr>
          <w:rFonts w:ascii="Palatino Linotype" w:eastAsia="Palatino Linotype" w:hAnsi="Palatino Linotype" w:cs="Palatino Linotype"/>
          <w:color w:val="000000"/>
        </w:rPr>
      </w:pPr>
    </w:p>
    <w:p w14:paraId="10FE21C0" w14:textId="77777777" w:rsidR="00552822" w:rsidRDefault="00552822">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14:paraId="00617C4D" w14:textId="77777777" w:rsidR="00552822" w:rsidRDefault="00C76DB2">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señaló como modalidad de entrega copias certificadas</w:t>
      </w:r>
    </w:p>
    <w:p w14:paraId="36EA3645" w14:textId="77777777" w:rsidR="00552822" w:rsidRDefault="00552822">
      <w:pPr>
        <w:pBdr>
          <w:top w:val="nil"/>
          <w:left w:val="nil"/>
          <w:bottom w:val="nil"/>
          <w:right w:val="nil"/>
          <w:between w:val="nil"/>
        </w:pBdr>
        <w:tabs>
          <w:tab w:val="left" w:pos="284"/>
        </w:tabs>
        <w:spacing w:after="240" w:line="360" w:lineRule="auto"/>
        <w:ind w:right="-592"/>
        <w:jc w:val="both"/>
        <w:rPr>
          <w:rFonts w:ascii="Palatino Linotype" w:eastAsia="Palatino Linotype" w:hAnsi="Palatino Linotype" w:cs="Palatino Linotype"/>
          <w:color w:val="000000"/>
        </w:rPr>
      </w:pPr>
    </w:p>
    <w:p w14:paraId="5230B38F" w14:textId="77777777" w:rsidR="00552822" w:rsidRDefault="00C76DB2">
      <w:pPr>
        <w:numPr>
          <w:ilvl w:val="0"/>
          <w:numId w:val="2"/>
        </w:numPr>
        <w:spacing w:line="360" w:lineRule="auto"/>
        <w:ind w:left="0" w:right="-592"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Pr>
          <w:rFonts w:ascii="Palatino Linotype" w:eastAsia="Palatino Linotype" w:hAnsi="Palatino Linotype" w:cs="Palatino Linotype"/>
          <w:b/>
        </w:rPr>
        <w:t>dos de mayo de dos mil veinticuatro, el SUJETO OBLIGADO</w:t>
      </w:r>
      <w:r>
        <w:rPr>
          <w:rFonts w:ascii="Palatino Linotype" w:eastAsia="Palatino Linotype" w:hAnsi="Palatino Linotype" w:cs="Palatino Linotype"/>
        </w:rPr>
        <w:t xml:space="preserve">, dio respuesta a través de dos archivos electrónico </w:t>
      </w:r>
      <w:hyperlink r:id="rId8">
        <w:r>
          <w:rPr>
            <w:rFonts w:ascii="Palatino Linotype" w:eastAsia="Palatino Linotype" w:hAnsi="Palatino Linotype" w:cs="Palatino Linotype"/>
          </w:rPr>
          <w:t>RESPUESTA 316.AD.pdf</w:t>
        </w:r>
      </w:hyperlink>
      <w:r>
        <w:rPr>
          <w:rFonts w:ascii="Palatino Linotype" w:eastAsia="Palatino Linotype" w:hAnsi="Palatino Linotype" w:cs="Palatino Linotype"/>
        </w:rPr>
        <w:t>, del que se desprende oficio en donde se advierte lo siguiente:</w:t>
      </w:r>
    </w:p>
    <w:p w14:paraId="3165498B" w14:textId="77777777" w:rsidR="00552822" w:rsidRDefault="00C76DB2">
      <w:pPr>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acuerdo con lo comunicado por la Jefa de la Ventanilla Única de Atención Integral a Instituciones Públicas, adscrita al Servidor Público Habilitado de la Coordinación de Prestaciones y Seguridad Social, se informa que se localizó el siguiente aviso de movimiento:</w:t>
      </w:r>
    </w:p>
    <w:p w14:paraId="15C3361C" w14:textId="77777777" w:rsidR="00552822" w:rsidRDefault="00552822">
      <w:pPr>
        <w:ind w:left="709" w:right="-592"/>
        <w:jc w:val="both"/>
        <w:rPr>
          <w:rFonts w:ascii="Palatino Linotype" w:eastAsia="Palatino Linotype" w:hAnsi="Palatino Linotype" w:cs="Palatino Linotype"/>
          <w:i/>
          <w:sz w:val="22"/>
          <w:szCs w:val="22"/>
        </w:rPr>
      </w:pPr>
    </w:p>
    <w:p w14:paraId="7CFF9720" w14:textId="77777777" w:rsidR="00552822" w:rsidRDefault="00C76DB2">
      <w:pPr>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noProof/>
          <w:sz w:val="22"/>
          <w:szCs w:val="22"/>
        </w:rPr>
        <w:drawing>
          <wp:inline distT="0" distB="0" distL="0" distR="0" wp14:anchorId="72CEC8F6" wp14:editId="02007D7B">
            <wp:extent cx="5096586" cy="1190791"/>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096586" cy="1190791"/>
                    </a:xfrm>
                    <a:prstGeom prst="rect">
                      <a:avLst/>
                    </a:prstGeom>
                    <a:ln/>
                  </pic:spPr>
                </pic:pic>
              </a:graphicData>
            </a:graphic>
          </wp:inline>
        </w:drawing>
      </w:r>
    </w:p>
    <w:p w14:paraId="7455A759" w14:textId="77777777" w:rsidR="00552822" w:rsidRDefault="00552822">
      <w:pPr>
        <w:ind w:left="709" w:right="-592"/>
        <w:jc w:val="both"/>
        <w:rPr>
          <w:rFonts w:ascii="Palatino Linotype" w:eastAsia="Palatino Linotype" w:hAnsi="Palatino Linotype" w:cs="Palatino Linotype"/>
          <w:i/>
          <w:sz w:val="22"/>
          <w:szCs w:val="22"/>
        </w:rPr>
      </w:pPr>
    </w:p>
    <w:p w14:paraId="150203EF" w14:textId="77777777" w:rsidR="00552822" w:rsidRDefault="00C76DB2">
      <w:pPr>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Asimismo, se informa al particular que la fecha señalada es la que en su momento la institución pública solicitó ante este Instituto; sin embargo, esta información no acredita que se encuentre el respectivo entero de las contribuciones de seguridad social.</w:t>
      </w:r>
    </w:p>
    <w:p w14:paraId="095DB262" w14:textId="77777777" w:rsidR="00552822" w:rsidRDefault="00C76DB2">
      <w:pPr>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este sentido, en caso de que considere que faltase un movimiento, se le recomienda acudir al área de administración de las instituciones públicas, para las cuales prestó sus servicios, a fin de que dichas instituciones realicen las gestiones correspondientes ante el Departamento de Vigencia de Derechos de este Instituto; lo anterior, considerando que la información proporcionada a este organismo auxiliar, es responsabilidad de las instituciones públicas, de acuerdo a lo establecido en los artículos 6, 7, 10 y 35 de la Ley de Seguridad Social para los</w:t>
      </w:r>
    </w:p>
    <w:p w14:paraId="6A9102CF" w14:textId="77777777" w:rsidR="00552822" w:rsidRDefault="00C76DB2">
      <w:pPr>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Servidores Públicos del Estado de México y Municipios.</w:t>
      </w:r>
    </w:p>
    <w:p w14:paraId="5825BBA7" w14:textId="77777777" w:rsidR="00552822" w:rsidRDefault="00552822">
      <w:pPr>
        <w:ind w:left="709" w:right="-592"/>
        <w:jc w:val="both"/>
        <w:rPr>
          <w:rFonts w:ascii="Palatino Linotype" w:eastAsia="Palatino Linotype" w:hAnsi="Palatino Linotype" w:cs="Palatino Linotype"/>
          <w:i/>
          <w:sz w:val="22"/>
          <w:szCs w:val="22"/>
        </w:rPr>
      </w:pPr>
    </w:p>
    <w:p w14:paraId="3A9CEA8F" w14:textId="77777777" w:rsidR="00552822" w:rsidRDefault="00C76DB2">
      <w:pPr>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lo que no existe impedimento legal para que se le brinde acceso a dicha información.</w:t>
      </w:r>
    </w:p>
    <w:p w14:paraId="30DF3137" w14:textId="77777777" w:rsidR="00552822" w:rsidRDefault="00552822">
      <w:pPr>
        <w:spacing w:line="360" w:lineRule="auto"/>
        <w:ind w:right="-592"/>
        <w:jc w:val="both"/>
        <w:rPr>
          <w:rFonts w:ascii="Palatino Linotype" w:eastAsia="Palatino Linotype" w:hAnsi="Palatino Linotype" w:cs="Palatino Linotype"/>
          <w:i/>
          <w:highlight w:val="yellow"/>
        </w:rPr>
      </w:pPr>
    </w:p>
    <w:p w14:paraId="7D6FC678"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t xml:space="preserve">El </w:t>
      </w:r>
      <w:r>
        <w:rPr>
          <w:rFonts w:ascii="Palatino Linotype" w:eastAsia="Palatino Linotype" w:hAnsi="Palatino Linotype" w:cs="Palatino Linotype"/>
          <w:b/>
        </w:rPr>
        <w:t>ocho de mayo dos mil veinticuatro</w:t>
      </w:r>
      <w:r>
        <w:rPr>
          <w:rFonts w:ascii="Palatino Linotype" w:eastAsia="Palatino Linotype" w:hAnsi="Palatino Linotype" w:cs="Palatino Linotype"/>
        </w:rPr>
        <w:t>, el particular interpuso  recurso de revisión en contra de la respuesta, manifestando las siguientes razones o motivos de inconformidad:</w:t>
      </w:r>
    </w:p>
    <w:p w14:paraId="441DF257" w14:textId="77777777" w:rsidR="00552822" w:rsidRDefault="00C76DB2">
      <w:pPr>
        <w:numPr>
          <w:ilvl w:val="1"/>
          <w:numId w:val="1"/>
        </w:numPr>
        <w:pBdr>
          <w:top w:val="nil"/>
          <w:left w:val="nil"/>
          <w:bottom w:val="nil"/>
          <w:right w:val="nil"/>
          <w:between w:val="nil"/>
        </w:pBdr>
        <w:tabs>
          <w:tab w:val="left" w:pos="426"/>
          <w:tab w:val="left" w:pos="993"/>
        </w:tabs>
        <w:ind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LA INFORMACIÓN CONTENIDA EN MI AVISO DE MOVIMIENTO DE BAJA DEL ISSEMYM”</w:t>
      </w:r>
      <w:r>
        <w:rPr>
          <w:rFonts w:ascii="Palatino Linotype" w:eastAsia="Palatino Linotype" w:hAnsi="Palatino Linotype" w:cs="Palatino Linotype"/>
          <w:color w:val="000000"/>
          <w:sz w:val="22"/>
          <w:szCs w:val="22"/>
        </w:rPr>
        <w:t xml:space="preserve"> </w:t>
      </w:r>
    </w:p>
    <w:p w14:paraId="4BE6BA1D" w14:textId="77777777" w:rsidR="00552822" w:rsidRDefault="00C76DB2">
      <w:pPr>
        <w:numPr>
          <w:ilvl w:val="1"/>
          <w:numId w:val="1"/>
        </w:numPr>
        <w:pBdr>
          <w:top w:val="nil"/>
          <w:left w:val="nil"/>
          <w:bottom w:val="nil"/>
          <w:right w:val="nil"/>
          <w:between w:val="nil"/>
        </w:pBdr>
        <w:tabs>
          <w:tab w:val="left" w:pos="426"/>
          <w:tab w:val="left" w:pos="993"/>
        </w:tabs>
        <w:ind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Se hace de su conocimiento que en fecha 2 de mayo del año en curso, se me notificó por medio de la plataforma SARCOEM, la respuesta con numero de oficio 207C 0401210001S-UT-1131/2024. Es por lo que, en fecha 3 de mayo del año en curso, acudí al Módulo de Transparencia, a efecto de recoger la información solicitada consistente en mi aviso de movimiento de baja del ISSEMYM. Sin embargo, cabe señalar que el aviso de movimiento que se me entregó es con una baja de fecha 15 de abril del </w:t>
      </w:r>
      <w:r>
        <w:rPr>
          <w:rFonts w:ascii="Palatino Linotype" w:eastAsia="Palatino Linotype" w:hAnsi="Palatino Linotype" w:cs="Palatino Linotype"/>
          <w:i/>
          <w:color w:val="000000"/>
          <w:sz w:val="22"/>
          <w:szCs w:val="22"/>
        </w:rPr>
        <w:lastRenderedPageBreak/>
        <w:t>año 2023, cuando lo correcto es 15 de abril del año 2024, por lo que solicito a través del presente recurso de revisión que se haga la rectificación del año en mi aviso de movimiento de baja del ISSEMYM, puesto que lo datos del aviso de movimiento son incorrectos y es necesario su rectificación para poder realizar trámites.”</w:t>
      </w:r>
    </w:p>
    <w:p w14:paraId="6D7EC173" w14:textId="77777777" w:rsidR="00552822" w:rsidRDefault="00552822">
      <w:pPr>
        <w:spacing w:line="276" w:lineRule="auto"/>
        <w:ind w:right="-592"/>
        <w:jc w:val="both"/>
        <w:rPr>
          <w:rFonts w:ascii="Palatino Linotype" w:eastAsia="Palatino Linotype" w:hAnsi="Palatino Linotype" w:cs="Palatino Linotype"/>
          <w:b/>
          <w:color w:val="000000"/>
        </w:rPr>
      </w:pPr>
    </w:p>
    <w:p w14:paraId="32D04D97"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se turna a la Comisionada María del Rosario Mejía Ayala, para su análisis.</w:t>
      </w:r>
    </w:p>
    <w:p w14:paraId="7C3D7A96" w14:textId="77777777" w:rsidR="00552822" w:rsidRDefault="00552822">
      <w:pPr>
        <w:spacing w:line="360" w:lineRule="auto"/>
        <w:ind w:right="-592"/>
        <w:jc w:val="both"/>
        <w:rPr>
          <w:rFonts w:ascii="Palatino Linotype" w:eastAsia="Palatino Linotype" w:hAnsi="Palatino Linotype" w:cs="Palatino Linotype"/>
        </w:rPr>
      </w:pPr>
    </w:p>
    <w:p w14:paraId="5D94B970"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notificado el </w:t>
      </w:r>
      <w:r>
        <w:rPr>
          <w:rFonts w:ascii="Palatino Linotype" w:eastAsia="Palatino Linotype" w:hAnsi="Palatino Linotype" w:cs="Palatino Linotype"/>
          <w:b/>
        </w:rPr>
        <w:t>diecisiete de mayo de dos mil veinticuatro,</w:t>
      </w:r>
      <w:r>
        <w:rPr>
          <w:rFonts w:ascii="Palatino Linotype" w:eastAsia="Palatino Linotype" w:hAnsi="Palatino Linotype" w:cs="Palatino Linotype"/>
        </w:rPr>
        <w:t xml:space="preserve"> puso a disposición de las partes el expediente electrónico vía Sistema de Acceso a la Información Mexiquense SAIMEX a efecto de que en un plazo máximo de siete días manifestara lo que a su derecho conviniera, ofreciera pruebas y alegatos según correspondiera a los casos concretos, de esta forma para que el SUJETO OBLIGADO presentará el Informe Justificado procedente.</w:t>
      </w:r>
    </w:p>
    <w:p w14:paraId="2D9ADBB9" w14:textId="77777777" w:rsidR="00552822" w:rsidRDefault="00552822">
      <w:pPr>
        <w:spacing w:line="360" w:lineRule="auto"/>
        <w:ind w:right="-592"/>
        <w:jc w:val="both"/>
        <w:rPr>
          <w:rFonts w:ascii="Palatino Linotype" w:eastAsia="Palatino Linotype" w:hAnsi="Palatino Linotype" w:cs="Palatino Linotype"/>
        </w:rPr>
      </w:pPr>
    </w:p>
    <w:p w14:paraId="28EC2079"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t xml:space="preserve">El </w:t>
      </w:r>
      <w:r>
        <w:rPr>
          <w:rFonts w:ascii="Palatino Linotype" w:eastAsia="Palatino Linotype" w:hAnsi="Palatino Linotype" w:cs="Palatino Linotype"/>
          <w:b/>
        </w:rPr>
        <w:t>cinco de junio de dos mil veinticuatro</w:t>
      </w:r>
      <w:r>
        <w:rPr>
          <w:rFonts w:ascii="Palatino Linotype" w:eastAsia="Palatino Linotype" w:hAnsi="Palatino Linotype" w:cs="Palatino Linotype"/>
        </w:rPr>
        <w:t xml:space="preserve">, el Recurrente desistió del recurso de revisión, tal y como se muestra en la siguiente captura de pantalla. </w:t>
      </w:r>
    </w:p>
    <w:p w14:paraId="05A69AC0" w14:textId="77777777" w:rsidR="00552822" w:rsidRDefault="00C76DB2">
      <w:pPr>
        <w:spacing w:line="360" w:lineRule="auto"/>
        <w:ind w:right="-592"/>
        <w:jc w:val="both"/>
      </w:pPr>
      <w:bookmarkStart w:id="1" w:name="_heading=h.30j0zll" w:colFirst="0" w:colLast="0"/>
      <w:bookmarkEnd w:id="1"/>
      <w:r>
        <w:lastRenderedPageBreak/>
        <w:t xml:space="preserve"> </w:t>
      </w:r>
      <w:r>
        <w:rPr>
          <w:rFonts w:ascii="Palatino Linotype" w:eastAsia="Palatino Linotype" w:hAnsi="Palatino Linotype" w:cs="Palatino Linotype"/>
          <w:noProof/>
        </w:rPr>
        <w:drawing>
          <wp:inline distT="0" distB="0" distL="0" distR="0" wp14:anchorId="67DA91C0" wp14:editId="47166A30">
            <wp:extent cx="5742940" cy="230124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42940" cy="2301240"/>
                    </a:xfrm>
                    <a:prstGeom prst="rect">
                      <a:avLst/>
                    </a:prstGeom>
                    <a:ln/>
                  </pic:spPr>
                </pic:pic>
              </a:graphicData>
            </a:graphic>
          </wp:inline>
        </w:drawing>
      </w:r>
    </w:p>
    <w:p w14:paraId="638B7497" w14:textId="77777777" w:rsidR="00552822" w:rsidRDefault="00552822">
      <w:pPr>
        <w:spacing w:line="360" w:lineRule="auto"/>
        <w:ind w:right="-592"/>
        <w:jc w:val="both"/>
      </w:pPr>
    </w:p>
    <w:p w14:paraId="7804B193" w14:textId="77777777" w:rsidR="00552822" w:rsidRDefault="00C76DB2">
      <w:pPr>
        <w:spacing w:line="360" w:lineRule="auto"/>
        <w:ind w:right="-592"/>
        <w:jc w:val="both"/>
        <w:rPr>
          <w:sz w:val="22"/>
          <w:szCs w:val="22"/>
        </w:rPr>
      </w:pPr>
      <w:r>
        <w:rPr>
          <w:sz w:val="22"/>
          <w:szCs w:val="22"/>
        </w:rPr>
        <w:t>Del Recurso de Revisión Desistido se desprende lo siguiente:</w:t>
      </w:r>
    </w:p>
    <w:p w14:paraId="671D43BE" w14:textId="77777777" w:rsidR="00552822" w:rsidRDefault="00552822">
      <w:pPr>
        <w:spacing w:line="360" w:lineRule="auto"/>
        <w:ind w:right="-592"/>
        <w:jc w:val="both"/>
        <w:rPr>
          <w:sz w:val="22"/>
          <w:szCs w:val="22"/>
        </w:rPr>
      </w:pPr>
    </w:p>
    <w:tbl>
      <w:tblPr>
        <w:tblStyle w:val="a"/>
        <w:tblW w:w="10500" w:type="dxa"/>
        <w:jc w:val="center"/>
        <w:tblInd w:w="0" w:type="dxa"/>
        <w:tblLayout w:type="fixed"/>
        <w:tblLook w:val="0400" w:firstRow="0" w:lastRow="0" w:firstColumn="0" w:lastColumn="0" w:noHBand="0" w:noVBand="1"/>
      </w:tblPr>
      <w:tblGrid>
        <w:gridCol w:w="10500"/>
      </w:tblGrid>
      <w:tr w:rsidR="00552822" w14:paraId="2E1A17EB" w14:textId="77777777">
        <w:trPr>
          <w:trHeight w:val="300"/>
          <w:jc w:val="center"/>
        </w:trPr>
        <w:tc>
          <w:tcPr>
            <w:tcW w:w="10500" w:type="dxa"/>
            <w:vAlign w:val="center"/>
          </w:tcPr>
          <w:p w14:paraId="68BCCD3A" w14:textId="77777777" w:rsidR="00552822" w:rsidRDefault="00C76DB2">
            <w:pPr>
              <w:ind w:left="1134" w:right="-59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05 de Junio de 2024</w:t>
            </w:r>
          </w:p>
        </w:tc>
      </w:tr>
      <w:tr w:rsidR="00552822" w14:paraId="386C14A0" w14:textId="77777777">
        <w:trPr>
          <w:trHeight w:val="300"/>
          <w:jc w:val="center"/>
        </w:trPr>
        <w:tc>
          <w:tcPr>
            <w:tcW w:w="10500" w:type="dxa"/>
            <w:vAlign w:val="center"/>
          </w:tcPr>
          <w:p w14:paraId="3A1450C9" w14:textId="77777777" w:rsidR="00552822" w:rsidRDefault="00C76DB2">
            <w:pPr>
              <w:ind w:left="1134" w:right="-59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ALEJANDRO NEZAHUALCOYOTL CRUZ PÉREZ</w:t>
            </w:r>
          </w:p>
        </w:tc>
      </w:tr>
      <w:tr w:rsidR="00552822" w14:paraId="6E84DE71" w14:textId="77777777">
        <w:trPr>
          <w:trHeight w:val="300"/>
          <w:jc w:val="center"/>
        </w:trPr>
        <w:tc>
          <w:tcPr>
            <w:tcW w:w="10500" w:type="dxa"/>
            <w:vAlign w:val="center"/>
          </w:tcPr>
          <w:p w14:paraId="255FFD4B" w14:textId="77777777" w:rsidR="00552822" w:rsidRDefault="00C76DB2">
            <w:pPr>
              <w:ind w:left="1134" w:right="-59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00316/ISSEMYM/AD/2024</w:t>
            </w:r>
          </w:p>
        </w:tc>
      </w:tr>
      <w:tr w:rsidR="00552822" w14:paraId="623C2350" w14:textId="77777777">
        <w:trPr>
          <w:trHeight w:val="450"/>
          <w:jc w:val="center"/>
        </w:trPr>
        <w:tc>
          <w:tcPr>
            <w:tcW w:w="10500" w:type="dxa"/>
            <w:vAlign w:val="center"/>
          </w:tcPr>
          <w:p w14:paraId="7A5677BA" w14:textId="77777777" w:rsidR="00552822" w:rsidRDefault="00552822">
            <w:pPr>
              <w:ind w:left="1134" w:right="-592"/>
              <w:jc w:val="right"/>
              <w:rPr>
                <w:rFonts w:ascii="Palatino Linotype" w:eastAsia="Palatino Linotype" w:hAnsi="Palatino Linotype" w:cs="Palatino Linotype"/>
                <w:i/>
                <w:sz w:val="22"/>
                <w:szCs w:val="22"/>
              </w:rPr>
            </w:pPr>
          </w:p>
        </w:tc>
      </w:tr>
      <w:tr w:rsidR="00552822" w14:paraId="49E1C7BE" w14:textId="77777777">
        <w:trPr>
          <w:trHeight w:val="150"/>
          <w:jc w:val="center"/>
        </w:trPr>
        <w:tc>
          <w:tcPr>
            <w:tcW w:w="10500" w:type="dxa"/>
            <w:vAlign w:val="center"/>
          </w:tcPr>
          <w:p w14:paraId="3823A0EF" w14:textId="77777777" w:rsidR="00552822" w:rsidRDefault="00552822">
            <w:pPr>
              <w:ind w:left="1134" w:right="-592"/>
              <w:jc w:val="center"/>
              <w:rPr>
                <w:rFonts w:ascii="Palatino Linotype" w:eastAsia="Palatino Linotype" w:hAnsi="Palatino Linotype" w:cs="Palatino Linotype"/>
                <w:i/>
                <w:sz w:val="22"/>
                <w:szCs w:val="22"/>
              </w:rPr>
            </w:pPr>
          </w:p>
        </w:tc>
      </w:tr>
      <w:tr w:rsidR="00552822" w14:paraId="44D80C9D" w14:textId="77777777">
        <w:trPr>
          <w:trHeight w:val="375"/>
          <w:jc w:val="center"/>
        </w:trPr>
        <w:tc>
          <w:tcPr>
            <w:tcW w:w="10500" w:type="dxa"/>
            <w:vAlign w:val="center"/>
          </w:tcPr>
          <w:p w14:paraId="75B89278" w14:textId="77777777" w:rsidR="00552822" w:rsidRDefault="00552822">
            <w:pPr>
              <w:ind w:left="1134" w:right="-592"/>
              <w:rPr>
                <w:rFonts w:ascii="Palatino Linotype" w:eastAsia="Palatino Linotype" w:hAnsi="Palatino Linotype" w:cs="Palatino Linotype"/>
                <w:i/>
                <w:sz w:val="22"/>
                <w:szCs w:val="22"/>
              </w:rPr>
            </w:pPr>
          </w:p>
        </w:tc>
      </w:tr>
      <w:tr w:rsidR="00552822" w14:paraId="61FA19D6" w14:textId="77777777">
        <w:trPr>
          <w:trHeight w:val="150"/>
          <w:jc w:val="center"/>
        </w:trPr>
        <w:tc>
          <w:tcPr>
            <w:tcW w:w="10500" w:type="dxa"/>
            <w:vAlign w:val="center"/>
          </w:tcPr>
          <w:p w14:paraId="2F68C92A" w14:textId="77777777" w:rsidR="00552822" w:rsidRDefault="00C76DB2">
            <w:pPr>
              <w:ind w:left="1134" w:right="-592"/>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MEDIO DEL PRESENTE, C. ALEJANDRO NEZAHUALCOYOTL CRUZ PÉREZ, ME DESISTO DEL RECURSO DE REVISIÓN INTERPUESTO, REGISTRADO CON EL NÚMERO DE FOLIO 02673/INFOEM/AD/RR/2024, TODA VEZ QUE EN FECHA 4 DE JUNIO DEL AÑO EN CURSO, ACUDÍ A LA UNIDAD DE TRANSPARENCIA Y ME FUE ENTREGADO MI AVISO DE MOVIMIENTO CON UNA BAJA DE ISSEMYM DE FECHA 29 DE MARZO DE 2024, CORREGIDO. Y TODA VEZ QUE LA INFORMACIÓN YA ME FUE ENTREGADA POR LA UNIDAD DE TRANSPARENCIA, ES QUE YA NO ES MI DESEO QUE EL RECURSO DE REVISIÓN INTERPUESTO SIGA SU PROCESO, DESISITIENDOME DEL MISMO.</w:t>
            </w:r>
          </w:p>
        </w:tc>
      </w:tr>
      <w:tr w:rsidR="00552822" w14:paraId="604B4D3A" w14:textId="77777777">
        <w:trPr>
          <w:jc w:val="center"/>
        </w:trPr>
        <w:tc>
          <w:tcPr>
            <w:tcW w:w="10500" w:type="dxa"/>
            <w:vAlign w:val="center"/>
          </w:tcPr>
          <w:p w14:paraId="52BE0ED1" w14:textId="77777777" w:rsidR="00552822" w:rsidRDefault="00552822">
            <w:pPr>
              <w:ind w:right="-592"/>
              <w:rPr>
                <w:sz w:val="22"/>
                <w:szCs w:val="22"/>
              </w:rPr>
            </w:pPr>
          </w:p>
        </w:tc>
      </w:tr>
    </w:tbl>
    <w:p w14:paraId="43DE9A17" w14:textId="77777777" w:rsidR="00552822" w:rsidRDefault="00552822">
      <w:pPr>
        <w:spacing w:line="360" w:lineRule="auto"/>
        <w:ind w:right="-592"/>
        <w:jc w:val="both"/>
        <w:rPr>
          <w:rFonts w:ascii="Palatino Linotype" w:eastAsia="Palatino Linotype" w:hAnsi="Palatino Linotype" w:cs="Palatino Linotype"/>
        </w:rPr>
      </w:pPr>
    </w:p>
    <w:p w14:paraId="4DCA2D09" w14:textId="77777777" w:rsidR="00552822" w:rsidRPr="00F44EA9" w:rsidRDefault="00C76DB2">
      <w:pPr>
        <w:numPr>
          <w:ilvl w:val="0"/>
          <w:numId w:val="2"/>
        </w:numPr>
        <w:spacing w:line="360" w:lineRule="auto"/>
        <w:ind w:left="0" w:right="-592" w:firstLine="0"/>
        <w:jc w:val="both"/>
      </w:pPr>
      <w:r>
        <w:rPr>
          <w:rFonts w:ascii="Palatino Linotype" w:eastAsia="Palatino Linotype" w:hAnsi="Palatino Linotype" w:cs="Palatino Linotype"/>
        </w:rPr>
        <w:t xml:space="preserve">La Comisionada Ponente, notificó el acuerdo de cierre de instrucción en fecha trece de junio de dos mil veinticuatro.   </w:t>
      </w:r>
    </w:p>
    <w:p w14:paraId="602E9373" w14:textId="77777777" w:rsidR="00F44EA9" w:rsidRDefault="00F44EA9" w:rsidP="00F44EA9">
      <w:pPr>
        <w:spacing w:line="360" w:lineRule="auto"/>
        <w:ind w:right="-592"/>
        <w:jc w:val="both"/>
      </w:pPr>
    </w:p>
    <w:p w14:paraId="75DB932B" w14:textId="77777777" w:rsidR="00552822" w:rsidRDefault="00C76DB2">
      <w:pPr>
        <w:pStyle w:val="Ttulo2"/>
        <w:ind w:right="-592"/>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lastRenderedPageBreak/>
        <w:t>C O N S I D E R A N D O</w:t>
      </w:r>
    </w:p>
    <w:p w14:paraId="03A9C426" w14:textId="77777777" w:rsidR="00552822" w:rsidRDefault="00552822">
      <w:pPr>
        <w:ind w:right="-592"/>
      </w:pPr>
    </w:p>
    <w:p w14:paraId="22D68C18" w14:textId="77777777" w:rsidR="00552822" w:rsidRDefault="00C76DB2">
      <w:pPr>
        <w:pStyle w:val="Ttulo2"/>
        <w:spacing w:line="360" w:lineRule="auto"/>
        <w:ind w:right="-592"/>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1BC94798"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3CC41A7" w14:textId="77777777" w:rsidR="00552822" w:rsidRDefault="00552822">
      <w:pPr>
        <w:pBdr>
          <w:top w:val="nil"/>
          <w:left w:val="nil"/>
          <w:bottom w:val="nil"/>
          <w:right w:val="nil"/>
          <w:between w:val="nil"/>
        </w:pBdr>
        <w:tabs>
          <w:tab w:val="left" w:pos="284"/>
          <w:tab w:val="left" w:pos="426"/>
        </w:tabs>
        <w:spacing w:line="360" w:lineRule="auto"/>
        <w:ind w:right="-592"/>
        <w:jc w:val="both"/>
        <w:rPr>
          <w:rFonts w:ascii="Palatino Linotype" w:eastAsia="Palatino Linotype" w:hAnsi="Palatino Linotype" w:cs="Palatino Linotype"/>
          <w:b/>
          <w:color w:val="000000"/>
        </w:rPr>
      </w:pPr>
    </w:p>
    <w:p w14:paraId="1DFF5652" w14:textId="77777777" w:rsidR="00552822" w:rsidRDefault="00C76DB2">
      <w:pPr>
        <w:pStyle w:val="Ttulo2"/>
        <w:tabs>
          <w:tab w:val="left" w:pos="284"/>
          <w:tab w:val="left" w:pos="426"/>
        </w:tabs>
        <w:spacing w:line="360" w:lineRule="auto"/>
        <w:ind w:right="-59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679F5989" w14:textId="77777777" w:rsidR="00552822" w:rsidRDefault="00C76DB2">
      <w:pPr>
        <w:numPr>
          <w:ilvl w:val="0"/>
          <w:numId w:val="2"/>
        </w:numPr>
        <w:spacing w:line="360" w:lineRule="auto"/>
        <w:ind w:left="0" w:right="-592" w:firstLine="0"/>
        <w:jc w:val="both"/>
      </w:pPr>
      <w:bookmarkStart w:id="5" w:name="_heading=h.tyjcwt" w:colFirst="0" w:colLast="0"/>
      <w:bookmarkEnd w:id="5"/>
      <w:r>
        <w:rPr>
          <w:rFonts w:ascii="Palatino Linotype" w:eastAsia="Palatino Linotype" w:hAnsi="Palatino Linotype" w:cs="Palatino Linotype"/>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73ABD20" w14:textId="77777777" w:rsidR="00552822" w:rsidRDefault="00552822">
      <w:pPr>
        <w:spacing w:line="360" w:lineRule="auto"/>
        <w:ind w:right="-592"/>
        <w:jc w:val="both"/>
        <w:rPr>
          <w:rFonts w:ascii="Palatino Linotype" w:eastAsia="Palatino Linotype" w:hAnsi="Palatino Linotype" w:cs="Palatino Linotype"/>
        </w:rPr>
      </w:pPr>
    </w:p>
    <w:p w14:paraId="53766517"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lastRenderedPageBreak/>
        <w:t>En el presente caso, no se actualiza ninguna de las causales de improcedencia establecidas en el ordenamiento jurídico previamente señalado, en sus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14:paraId="001115DA" w14:textId="77777777" w:rsidR="00552822" w:rsidRDefault="00552822">
      <w:pPr>
        <w:spacing w:line="360" w:lineRule="auto"/>
        <w:ind w:right="-592"/>
        <w:jc w:val="both"/>
        <w:rPr>
          <w:rFonts w:ascii="Palatino Linotype" w:eastAsia="Palatino Linotype" w:hAnsi="Palatino Linotype" w:cs="Palatino Linotype"/>
        </w:rPr>
      </w:pPr>
    </w:p>
    <w:p w14:paraId="2A7FEE4A"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t>Asimismo, se considera por lo que hace a la fracción III, del artículo 191, de la Ley de la materia, toda vez, que ya ha sido admitido el Recurso de Revisión, se realizará el análisis correspondiente en el Considerando Tercero.</w:t>
      </w:r>
    </w:p>
    <w:p w14:paraId="08E5592A" w14:textId="77777777" w:rsidR="00552822" w:rsidRDefault="00C76DB2">
      <w:pPr>
        <w:pStyle w:val="Ttulo1"/>
        <w:tabs>
          <w:tab w:val="left" w:pos="284"/>
          <w:tab w:val="left" w:pos="426"/>
        </w:tabs>
        <w:spacing w:line="360" w:lineRule="auto"/>
        <w:ind w:right="-59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TERCERO. De las causales del sobreseimiento.</w:t>
      </w:r>
    </w:p>
    <w:p w14:paraId="619A5DEC" w14:textId="77777777" w:rsidR="00552822" w:rsidRPr="00F44EA9" w:rsidRDefault="00C76DB2">
      <w:pPr>
        <w:numPr>
          <w:ilvl w:val="0"/>
          <w:numId w:val="2"/>
        </w:numPr>
        <w:spacing w:line="360" w:lineRule="auto"/>
        <w:ind w:left="0" w:right="-592" w:firstLine="0"/>
        <w:jc w:val="both"/>
      </w:pPr>
      <w:bookmarkStart w:id="6" w:name="_heading=h.3dy6vkm" w:colFirst="0" w:colLast="0"/>
      <w:bookmarkEnd w:id="6"/>
      <w:r>
        <w:rPr>
          <w:rFonts w:ascii="Palatino Linotype" w:eastAsia="Palatino Linotype" w:hAnsi="Palatino Linotype" w:cs="Palatino Linotype"/>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w:t>
      </w:r>
      <w:r>
        <w:rPr>
          <w:rFonts w:ascii="Palatino Linotype" w:eastAsia="Palatino Linotype" w:hAnsi="Palatino Linotype" w:cs="Palatino Linotype"/>
          <w:b/>
          <w:u w:val="single"/>
        </w:rPr>
        <w:t>o sobreseimiento</w:t>
      </w:r>
      <w:r>
        <w:rPr>
          <w:rFonts w:ascii="Palatino Linotype" w:eastAsia="Palatino Linotype" w:hAnsi="Palatino Linotype" w:cs="Palatino Linotype"/>
        </w:rPr>
        <w:t xml:space="preserve">; y, en su caso, ordenar la entrega de la información respecto a la falta de respuesta por parte del </w:t>
      </w:r>
      <w:r>
        <w:rPr>
          <w:rFonts w:ascii="Palatino Linotype" w:eastAsia="Palatino Linotype" w:hAnsi="Palatino Linotype" w:cs="Palatino Linotype"/>
          <w:b/>
        </w:rPr>
        <w:t>SUJETO OBLIGADO.</w:t>
      </w:r>
    </w:p>
    <w:p w14:paraId="7A121361" w14:textId="77777777" w:rsidR="00F44EA9" w:rsidRDefault="00F44EA9" w:rsidP="00F44EA9">
      <w:pPr>
        <w:spacing w:line="360" w:lineRule="auto"/>
        <w:ind w:right="-592"/>
        <w:jc w:val="both"/>
      </w:pPr>
    </w:p>
    <w:p w14:paraId="227E589E" w14:textId="77777777" w:rsidR="00552822" w:rsidRDefault="00C76DB2">
      <w:pPr>
        <w:numPr>
          <w:ilvl w:val="0"/>
          <w:numId w:val="2"/>
        </w:numPr>
        <w:spacing w:line="360" w:lineRule="auto"/>
        <w:ind w:left="0" w:right="-592" w:firstLine="0"/>
        <w:jc w:val="both"/>
      </w:pPr>
      <w:r>
        <w:rPr>
          <w:rFonts w:ascii="Palatino Linotype" w:eastAsia="Palatino Linotype" w:hAnsi="Palatino Linotype" w:cs="Palatino Linotype"/>
        </w:rPr>
        <w:t xml:space="preserve">Asimismo, es de señalar que para actualizar el sobreseimiento de un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puede entregar o completar la información al momento de rendir su informe justificado o, dentro de los siete días previstos para manifestar lo que a su derecho convenga, ofrecer pruebas y alegatos; como se refiriera en párrafos anteriores.</w:t>
      </w:r>
    </w:p>
    <w:p w14:paraId="641A59EC" w14:textId="77777777" w:rsidR="00552822" w:rsidRDefault="00552822">
      <w:pPr>
        <w:pBdr>
          <w:top w:val="nil"/>
          <w:left w:val="nil"/>
          <w:bottom w:val="nil"/>
          <w:right w:val="nil"/>
          <w:between w:val="nil"/>
        </w:pBdr>
        <w:tabs>
          <w:tab w:val="left" w:pos="284"/>
          <w:tab w:val="left" w:pos="426"/>
        </w:tabs>
        <w:ind w:right="-592"/>
        <w:rPr>
          <w:rFonts w:ascii="Palatino Linotype" w:eastAsia="Palatino Linotype" w:hAnsi="Palatino Linotype" w:cs="Palatino Linotype"/>
          <w:color w:val="000000"/>
        </w:rPr>
      </w:pPr>
    </w:p>
    <w:p w14:paraId="61F8993C" w14:textId="77777777" w:rsidR="00552822" w:rsidRDefault="00C76DB2">
      <w:pPr>
        <w:numPr>
          <w:ilvl w:val="0"/>
          <w:numId w:val="2"/>
        </w:numPr>
        <w:pBdr>
          <w:top w:val="nil"/>
          <w:left w:val="nil"/>
          <w:bottom w:val="nil"/>
          <w:right w:val="nil"/>
          <w:between w:val="nil"/>
        </w:pBdr>
        <w:tabs>
          <w:tab w:val="left" w:pos="0"/>
          <w:tab w:val="left" w:pos="284"/>
        </w:tabs>
        <w:spacing w:after="240" w:line="360" w:lineRule="auto"/>
        <w:ind w:left="0" w:right="-592" w:firstLine="0"/>
        <w:jc w:val="both"/>
        <w:rPr>
          <w:color w:val="000000"/>
        </w:rPr>
      </w:pPr>
      <w:bookmarkStart w:id="7" w:name="_heading=h.1t3h5sf" w:colFirst="0" w:colLast="0"/>
      <w:bookmarkEnd w:id="7"/>
      <w:r>
        <w:rPr>
          <w:rFonts w:ascii="Palatino Linotype" w:eastAsia="Palatino Linotype" w:hAnsi="Palatino Linotype" w:cs="Palatino Linotype"/>
          <w:color w:val="000000"/>
        </w:rPr>
        <w:lastRenderedPageBreak/>
        <w:t xml:space="preserve">Cabe destacar que el motivo de inconformidad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versa sobre la negativa de la información de lo solicitado, en ese sentido, se actualiza la causal de improcedencia contenida en la fracción I del artículo 179 de la Ley de Transparencia y Acceso a la Información Pública del Estado de México y Municipios, por lo que este Órgano Garante estaría en la posibilidad de analizar  el presente asunto; sin embargo, será </w:t>
      </w:r>
      <w:r>
        <w:rPr>
          <w:rFonts w:ascii="Palatino Linotype" w:eastAsia="Palatino Linotype" w:hAnsi="Palatino Linotype" w:cs="Palatino Linotype"/>
        </w:rPr>
        <w:t>eminentemente</w:t>
      </w:r>
      <w:r>
        <w:rPr>
          <w:rFonts w:ascii="Palatino Linotype" w:eastAsia="Palatino Linotype" w:hAnsi="Palatino Linotype" w:cs="Palatino Linotype"/>
          <w:color w:val="000000"/>
        </w:rPr>
        <w:t xml:space="preserve"> excusado el ingreso al estudio y análisis de la controversia en consecuencia de que, como quedara establecido, el particular, por propio derecho, </w:t>
      </w:r>
      <w:r>
        <w:rPr>
          <w:rFonts w:ascii="Palatino Linotype" w:eastAsia="Palatino Linotype" w:hAnsi="Palatino Linotype" w:cs="Palatino Linotype"/>
          <w:b/>
          <w:color w:val="000000"/>
        </w:rPr>
        <w:t>se desistió del recurso de revisión</w:t>
      </w:r>
      <w:r>
        <w:rPr>
          <w:rFonts w:ascii="Palatino Linotype" w:eastAsia="Palatino Linotype" w:hAnsi="Palatino Linotype" w:cs="Palatino Linotype"/>
          <w:color w:val="000000"/>
        </w:rPr>
        <w:t xml:space="preserve"> que nos ocupa, vía SAIMEX, el cuatro de mayo de dos mil veinticuatro, como se ilustra a continuación:</w:t>
      </w:r>
    </w:p>
    <w:p w14:paraId="191B7F39" w14:textId="77777777" w:rsidR="00552822" w:rsidRDefault="00C76DB2">
      <w:pPr>
        <w:spacing w:before="240" w:after="240" w:line="360" w:lineRule="auto"/>
        <w:ind w:right="-592"/>
        <w:jc w:val="center"/>
      </w:pPr>
      <w:r>
        <w:rPr>
          <w:noProof/>
        </w:rPr>
        <w:drawing>
          <wp:inline distT="0" distB="0" distL="0" distR="0" wp14:anchorId="41F49272" wp14:editId="5EA3058A">
            <wp:extent cx="5742940" cy="30226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42940" cy="302260"/>
                    </a:xfrm>
                    <a:prstGeom prst="rect">
                      <a:avLst/>
                    </a:prstGeom>
                    <a:ln/>
                  </pic:spPr>
                </pic:pic>
              </a:graphicData>
            </a:graphic>
          </wp:inline>
        </w:drawing>
      </w:r>
      <w:r>
        <w:t xml:space="preserve"> </w:t>
      </w:r>
    </w:p>
    <w:p w14:paraId="4EEC5AD0" w14:textId="77777777" w:rsidR="00552822" w:rsidRDefault="00552822">
      <w:pPr>
        <w:spacing w:before="240" w:after="240" w:line="360" w:lineRule="auto"/>
        <w:ind w:right="-592"/>
        <w:jc w:val="center"/>
      </w:pPr>
    </w:p>
    <w:p w14:paraId="5C64C4BD" w14:textId="77777777" w:rsidR="00552822" w:rsidRDefault="00C76DB2">
      <w:pPr>
        <w:numPr>
          <w:ilvl w:val="0"/>
          <w:numId w:val="2"/>
        </w:numPr>
        <w:pBdr>
          <w:top w:val="nil"/>
          <w:left w:val="nil"/>
          <w:bottom w:val="nil"/>
          <w:right w:val="nil"/>
          <w:between w:val="nil"/>
        </w:pBdr>
        <w:tabs>
          <w:tab w:val="left" w:pos="0"/>
          <w:tab w:val="left" w:pos="284"/>
        </w:tabs>
        <w:spacing w:before="240" w:line="360" w:lineRule="auto"/>
        <w:ind w:left="0" w:right="-592"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las </w:t>
      </w:r>
      <w:r w:rsidR="00F44EA9">
        <w:rPr>
          <w:rFonts w:ascii="Palatino Linotype" w:eastAsia="Palatino Linotype" w:hAnsi="Palatino Linotype" w:cs="Palatino Linotype"/>
          <w:color w:val="000000"/>
        </w:rPr>
        <w:t>imagen</w:t>
      </w:r>
      <w:r>
        <w:rPr>
          <w:rFonts w:ascii="Palatino Linotype" w:eastAsia="Palatino Linotype" w:hAnsi="Palatino Linotype" w:cs="Palatino Linotype"/>
          <w:color w:val="000000"/>
        </w:rPr>
        <w:t xml:space="preserve">, se advierte que efectivamente el particular hizo uso de la opción </w:t>
      </w:r>
      <w:r>
        <w:rPr>
          <w:rFonts w:ascii="Palatino Linotype" w:eastAsia="Palatino Linotype" w:hAnsi="Palatino Linotype" w:cs="Palatino Linotype"/>
          <w:b/>
          <w:color w:val="000000"/>
        </w:rPr>
        <w:t>“Desistir”</w:t>
      </w:r>
      <w:r>
        <w:rPr>
          <w:rFonts w:ascii="Palatino Linotype" w:eastAsia="Palatino Linotype" w:hAnsi="Palatino Linotype" w:cs="Palatino Linotype"/>
          <w:color w:val="000000"/>
        </w:rPr>
        <w:t xml:space="preserve"> al recurso de revisión en el propio SAIMEX, opción que </w:t>
      </w:r>
      <w:r>
        <w:rPr>
          <w:rFonts w:ascii="Palatino Linotype" w:eastAsia="Palatino Linotype" w:hAnsi="Palatino Linotype" w:cs="Palatino Linotype"/>
          <w:b/>
          <w:i/>
          <w:color w:val="000000"/>
          <w:u w:val="single"/>
        </w:rPr>
        <w:t>ÚNICAMENTE</w:t>
      </w:r>
      <w:r>
        <w:rPr>
          <w:rFonts w:ascii="Palatino Linotype" w:eastAsia="Palatino Linotype" w:hAnsi="Palatino Linotype" w:cs="Palatino Linotype"/>
          <w:color w:val="000000"/>
        </w:rPr>
        <w:t xml:space="preserve"> puede hacer uso el usuario dueño de la cuenta, previo ingreso de su nombre de usuario y contraseña; así las cosas, cabe resaltar de igual manera que, al seleccionar la opción de desistimiento, aparece al usuario una ventana de alerta con el objeto de que confirme que efectivamente es su deseo desistirse del recurso; </w:t>
      </w:r>
      <w:r>
        <w:rPr>
          <w:rFonts w:ascii="Palatino Linotype" w:eastAsia="Palatino Linotype" w:hAnsi="Palatino Linotype" w:cs="Palatino Linotype"/>
          <w:b/>
          <w:color w:val="000000"/>
        </w:rPr>
        <w:t>luego entonces no es acertado suponer que fue por error involuntario, lo que se constituye como un desistimiento expreso.</w:t>
      </w:r>
    </w:p>
    <w:p w14:paraId="20DC6512" w14:textId="77777777" w:rsidR="00552822" w:rsidRDefault="00552822">
      <w:pPr>
        <w:pBdr>
          <w:top w:val="nil"/>
          <w:left w:val="nil"/>
          <w:bottom w:val="nil"/>
          <w:right w:val="nil"/>
          <w:between w:val="nil"/>
        </w:pBdr>
        <w:tabs>
          <w:tab w:val="left" w:pos="426"/>
        </w:tabs>
        <w:spacing w:line="360" w:lineRule="auto"/>
        <w:ind w:right="-592"/>
        <w:jc w:val="both"/>
        <w:rPr>
          <w:rFonts w:ascii="Palatino Linotype" w:eastAsia="Palatino Linotype" w:hAnsi="Palatino Linotype" w:cs="Palatino Linotype"/>
          <w:color w:val="000000"/>
        </w:rPr>
      </w:pPr>
    </w:p>
    <w:p w14:paraId="421E3848" w14:textId="77777777" w:rsidR="00552822" w:rsidRDefault="00C76DB2">
      <w:pPr>
        <w:numPr>
          <w:ilvl w:val="0"/>
          <w:numId w:val="2"/>
        </w:numPr>
        <w:pBdr>
          <w:top w:val="nil"/>
          <w:left w:val="nil"/>
          <w:bottom w:val="nil"/>
          <w:right w:val="nil"/>
          <w:between w:val="nil"/>
        </w:pBdr>
        <w:tabs>
          <w:tab w:val="left" w:pos="0"/>
          <w:tab w:val="left" w:pos="284"/>
        </w:tabs>
        <w:spacing w:line="360" w:lineRule="auto"/>
        <w:ind w:left="0" w:right="-592" w:firstLine="0"/>
        <w:jc w:val="both"/>
        <w:rPr>
          <w:color w:val="000000"/>
        </w:rPr>
      </w:pPr>
      <w:r>
        <w:rPr>
          <w:rFonts w:ascii="Palatino Linotype" w:eastAsia="Palatino Linotype" w:hAnsi="Palatino Linotype" w:cs="Palatino Linotype"/>
          <w:color w:val="000000"/>
        </w:rPr>
        <w:t xml:space="preserve">En ese orden de ideas el </w:t>
      </w:r>
      <w:r>
        <w:rPr>
          <w:rFonts w:ascii="Palatino Linotype" w:eastAsia="Palatino Linotype" w:hAnsi="Palatino Linotype" w:cs="Palatino Linotype"/>
        </w:rPr>
        <w:t>artículo</w:t>
      </w:r>
      <w:r>
        <w:rPr>
          <w:rFonts w:ascii="Palatino Linotype" w:eastAsia="Palatino Linotype" w:hAnsi="Palatino Linotype" w:cs="Palatino Linotype"/>
          <w:color w:val="000000"/>
        </w:rPr>
        <w:t xml:space="preserve"> 192 Ley de Transparencia y Acceso a la Información Pública del Estado de México y Municipios, establece lo siguiente:</w:t>
      </w:r>
    </w:p>
    <w:p w14:paraId="1C620CB5" w14:textId="77777777" w:rsidR="00552822" w:rsidRDefault="00C76DB2">
      <w:pPr>
        <w:pBdr>
          <w:top w:val="nil"/>
          <w:left w:val="nil"/>
          <w:bottom w:val="nil"/>
          <w:right w:val="nil"/>
          <w:between w:val="nil"/>
        </w:pBdr>
        <w:spacing w:line="360" w:lineRule="auto"/>
        <w:ind w:left="1134"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192.</w:t>
      </w:r>
      <w:r>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788E3A77" w14:textId="77777777" w:rsidR="00552822" w:rsidRDefault="00C76DB2">
      <w:pPr>
        <w:pBdr>
          <w:top w:val="nil"/>
          <w:left w:val="nil"/>
          <w:bottom w:val="nil"/>
          <w:right w:val="nil"/>
          <w:between w:val="nil"/>
        </w:pBdr>
        <w:spacing w:line="360" w:lineRule="auto"/>
        <w:ind w:left="1134"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I.</w:t>
      </w:r>
      <w:r>
        <w:rPr>
          <w:rFonts w:ascii="Palatino Linotype" w:eastAsia="Palatino Linotype" w:hAnsi="Palatino Linotype" w:cs="Palatino Linotype"/>
          <w:i/>
          <w:color w:val="000000"/>
          <w:sz w:val="22"/>
          <w:szCs w:val="22"/>
        </w:rPr>
        <w:t xml:space="preserve"> El recurrente se desista expresamente del recurso;</w:t>
      </w:r>
    </w:p>
    <w:p w14:paraId="0365E8B6" w14:textId="77777777" w:rsidR="00552822" w:rsidRDefault="00C76DB2">
      <w:pPr>
        <w:pBdr>
          <w:top w:val="nil"/>
          <w:left w:val="nil"/>
          <w:bottom w:val="nil"/>
          <w:right w:val="nil"/>
          <w:between w:val="nil"/>
        </w:pBdr>
        <w:spacing w:line="360" w:lineRule="auto"/>
        <w:ind w:left="1134"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79D3CCB" w14:textId="77777777" w:rsidR="00552822" w:rsidRDefault="00552822">
      <w:pPr>
        <w:pBdr>
          <w:top w:val="nil"/>
          <w:left w:val="nil"/>
          <w:bottom w:val="nil"/>
          <w:right w:val="nil"/>
          <w:between w:val="nil"/>
        </w:pBdr>
        <w:spacing w:line="360" w:lineRule="auto"/>
        <w:ind w:left="426" w:right="-592"/>
        <w:jc w:val="both"/>
        <w:rPr>
          <w:rFonts w:ascii="Palatino Linotype" w:eastAsia="Palatino Linotype" w:hAnsi="Palatino Linotype" w:cs="Palatino Linotype"/>
          <w:color w:val="000000"/>
        </w:rPr>
      </w:pPr>
    </w:p>
    <w:p w14:paraId="66323E2A" w14:textId="77777777" w:rsidR="00552822" w:rsidRDefault="00C76DB2">
      <w:pPr>
        <w:numPr>
          <w:ilvl w:val="0"/>
          <w:numId w:val="2"/>
        </w:numPr>
        <w:pBdr>
          <w:top w:val="nil"/>
          <w:left w:val="nil"/>
          <w:bottom w:val="nil"/>
          <w:right w:val="nil"/>
          <w:between w:val="nil"/>
        </w:pBdr>
        <w:tabs>
          <w:tab w:val="left" w:pos="0"/>
          <w:tab w:val="left" w:pos="284"/>
        </w:tabs>
        <w:spacing w:after="240" w:line="360" w:lineRule="auto"/>
        <w:ind w:left="0" w:right="-592" w:firstLine="0"/>
        <w:jc w:val="both"/>
        <w:rPr>
          <w:color w:val="000000"/>
        </w:rPr>
      </w:pPr>
      <w:r>
        <w:rPr>
          <w:rFonts w:ascii="Palatino Linotype" w:eastAsia="Palatino Linotype" w:hAnsi="Palatino Linotype" w:cs="Palatino Linotype"/>
          <w:color w:val="000000"/>
        </w:rPr>
        <w:t>Robustece lo anterior la tesis aislada I.15o.T.2 K (10a.), del Décimo Quinto Tribunal Colegiado en Materia de Trabajo del Primer Circuito, misma que se anexa a continuación:</w:t>
      </w:r>
    </w:p>
    <w:p w14:paraId="3087CC5E" w14:textId="77777777" w:rsidR="00552822" w:rsidRDefault="00C76DB2">
      <w:pPr>
        <w:pBdr>
          <w:top w:val="nil"/>
          <w:left w:val="nil"/>
          <w:bottom w:val="nil"/>
          <w:right w:val="nil"/>
          <w:between w:val="nil"/>
        </w:pBdr>
        <w:spacing w:line="360" w:lineRule="auto"/>
        <w:ind w:left="1134"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DESISTIMIENTO DEL RECURSO DE REVISIÓN EN AMPARO INDIRECTO. ES INNECESARIO QUE SE RATIFIQUE EL ESCRITO CORRESPONDIENTE, CUANDO SU REQUERIMIENTO SE NOTIFICÓ PERSONALMENTE.</w:t>
      </w:r>
      <w:r>
        <w:rPr>
          <w:rFonts w:ascii="Palatino Linotype" w:eastAsia="Palatino Linotype" w:hAnsi="Palatino Linotype" w:cs="Palatino Linotype"/>
          <w:i/>
          <w:color w:val="000000"/>
          <w:sz w:val="22"/>
          <w:szCs w:val="22"/>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 a decretar el sobreseimiento.”</w:t>
      </w:r>
    </w:p>
    <w:p w14:paraId="64B7F655" w14:textId="77777777" w:rsidR="00552822" w:rsidRDefault="00552822">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071FFF6" w14:textId="77777777" w:rsidR="00552822" w:rsidRDefault="00C76DB2">
      <w:pPr>
        <w:numPr>
          <w:ilvl w:val="0"/>
          <w:numId w:val="2"/>
        </w:numPr>
        <w:pBdr>
          <w:top w:val="nil"/>
          <w:left w:val="nil"/>
          <w:bottom w:val="nil"/>
          <w:right w:val="nil"/>
          <w:between w:val="nil"/>
        </w:pBdr>
        <w:tabs>
          <w:tab w:val="left" w:pos="0"/>
          <w:tab w:val="left" w:pos="284"/>
        </w:tabs>
        <w:spacing w:before="240" w:line="360" w:lineRule="auto"/>
        <w:ind w:left="0" w:right="-592" w:firstLine="0"/>
        <w:jc w:val="both"/>
        <w:rPr>
          <w:color w:val="000000"/>
        </w:rPr>
      </w:pPr>
      <w:r>
        <w:rPr>
          <w:rFonts w:ascii="Palatino Linotype" w:eastAsia="Palatino Linotype" w:hAnsi="Palatino Linotype" w:cs="Palatino Linotype"/>
          <w:color w:val="000000"/>
        </w:rPr>
        <w:t xml:space="preserve">Por consiguiente, al existir un </w:t>
      </w:r>
      <w:r>
        <w:rPr>
          <w:rFonts w:ascii="Palatino Linotype" w:eastAsia="Palatino Linotype" w:hAnsi="Palatino Linotype" w:cs="Palatino Linotype"/>
          <w:b/>
          <w:i/>
          <w:color w:val="000000"/>
          <w:u w:val="single"/>
        </w:rPr>
        <w:t>desistimiento</w:t>
      </w:r>
      <w:r>
        <w:rPr>
          <w:rFonts w:ascii="Palatino Linotype" w:eastAsia="Palatino Linotype" w:hAnsi="Palatino Linotype" w:cs="Palatino Linotype"/>
          <w:color w:val="000000"/>
        </w:rPr>
        <w:t xml:space="preserve"> expreso por parte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este Pleno determina el </w:t>
      </w:r>
      <w:r>
        <w:rPr>
          <w:rFonts w:ascii="Palatino Linotype" w:eastAsia="Palatino Linotype" w:hAnsi="Palatino Linotype" w:cs="Palatino Linotype"/>
          <w:b/>
          <w:color w:val="000000"/>
        </w:rPr>
        <w:t>SOBRESEIMIENTO</w:t>
      </w:r>
      <w:r>
        <w:rPr>
          <w:rFonts w:ascii="Palatino Linotype" w:eastAsia="Palatino Linotype" w:hAnsi="Palatino Linotype" w:cs="Palatino Linotype"/>
          <w:color w:val="000000"/>
        </w:rPr>
        <w:t xml:space="preserve"> del recurso de revisión.</w:t>
      </w:r>
    </w:p>
    <w:p w14:paraId="3075351E" w14:textId="77777777" w:rsidR="00552822" w:rsidRDefault="00552822">
      <w:pPr>
        <w:pBdr>
          <w:top w:val="nil"/>
          <w:left w:val="nil"/>
          <w:bottom w:val="nil"/>
          <w:right w:val="nil"/>
          <w:between w:val="nil"/>
        </w:pBdr>
        <w:tabs>
          <w:tab w:val="left" w:pos="0"/>
          <w:tab w:val="left" w:pos="284"/>
        </w:tabs>
        <w:spacing w:line="360" w:lineRule="auto"/>
        <w:ind w:right="-592"/>
        <w:jc w:val="both"/>
        <w:rPr>
          <w:rFonts w:ascii="Palatino Linotype" w:eastAsia="Palatino Linotype" w:hAnsi="Palatino Linotype" w:cs="Palatino Linotype"/>
          <w:color w:val="000000"/>
        </w:rPr>
      </w:pPr>
    </w:p>
    <w:p w14:paraId="1B8394F2" w14:textId="77777777" w:rsidR="00552822" w:rsidRDefault="00C76DB2">
      <w:pPr>
        <w:numPr>
          <w:ilvl w:val="0"/>
          <w:numId w:val="2"/>
        </w:numPr>
        <w:pBdr>
          <w:top w:val="nil"/>
          <w:left w:val="nil"/>
          <w:bottom w:val="nil"/>
          <w:right w:val="nil"/>
          <w:between w:val="nil"/>
        </w:pBdr>
        <w:tabs>
          <w:tab w:val="left" w:pos="0"/>
          <w:tab w:val="left" w:pos="284"/>
        </w:tabs>
        <w:spacing w:line="360" w:lineRule="auto"/>
        <w:ind w:left="0" w:right="-592" w:firstLine="0"/>
        <w:jc w:val="both"/>
        <w:rPr>
          <w:color w:val="000000"/>
        </w:rPr>
      </w:pPr>
      <w:r>
        <w:rPr>
          <w:rFonts w:ascii="Palatino Linotype" w:eastAsia="Palatino Linotype" w:hAnsi="Palatino Linotype" w:cs="Palatino Linotype"/>
          <w:color w:val="000000"/>
        </w:rPr>
        <w:lastRenderedPageBreak/>
        <w:t xml:space="preserve">Bajo ese tenor y, en términos del artículo 186, fracción I, de la Ley de Transparencia y Acceso a la Información Pública del Estado de México y Municipios, este Pleno determina el </w:t>
      </w:r>
      <w:r>
        <w:rPr>
          <w:rFonts w:ascii="Palatino Linotype" w:eastAsia="Palatino Linotype" w:hAnsi="Palatino Linotype" w:cs="Palatino Linotype"/>
          <w:b/>
          <w:color w:val="000000"/>
        </w:rPr>
        <w:t xml:space="preserve">SOBRESEIMIENTO </w:t>
      </w:r>
      <w:r>
        <w:rPr>
          <w:rFonts w:ascii="Palatino Linotype" w:eastAsia="Palatino Linotype" w:hAnsi="Palatino Linotype" w:cs="Palatino Linotype"/>
          <w:color w:val="000000"/>
        </w:rPr>
        <w:t>del presente recurso de revisión, por resultar improcedente, en términos de la fracción I, del artículo 192, de la Ley de Transparencia y Acceso a la Información Pública Estatal.</w:t>
      </w:r>
    </w:p>
    <w:p w14:paraId="21F5CD1D" w14:textId="77777777" w:rsidR="00552822" w:rsidRDefault="00552822">
      <w:pPr>
        <w:pBdr>
          <w:top w:val="nil"/>
          <w:left w:val="nil"/>
          <w:bottom w:val="nil"/>
          <w:right w:val="nil"/>
          <w:between w:val="nil"/>
        </w:pBdr>
        <w:tabs>
          <w:tab w:val="left" w:pos="426"/>
        </w:tabs>
        <w:spacing w:line="360" w:lineRule="auto"/>
        <w:ind w:right="-592"/>
        <w:jc w:val="both"/>
        <w:rPr>
          <w:rFonts w:ascii="Palatino Linotype" w:eastAsia="Palatino Linotype" w:hAnsi="Palatino Linotype" w:cs="Palatino Linotype"/>
          <w:color w:val="000000"/>
        </w:rPr>
      </w:pPr>
    </w:p>
    <w:p w14:paraId="6DCA8E69" w14:textId="77777777" w:rsidR="00552822" w:rsidRDefault="00C76DB2">
      <w:pPr>
        <w:numPr>
          <w:ilvl w:val="0"/>
          <w:numId w:val="2"/>
        </w:numPr>
        <w:pBdr>
          <w:top w:val="nil"/>
          <w:left w:val="nil"/>
          <w:bottom w:val="nil"/>
          <w:right w:val="nil"/>
          <w:between w:val="nil"/>
        </w:pBdr>
        <w:tabs>
          <w:tab w:val="left" w:pos="426"/>
        </w:tabs>
        <w:spacing w:after="240" w:line="360" w:lineRule="auto"/>
        <w:ind w:left="0" w:right="-592" w:firstLine="0"/>
        <w:jc w:val="both"/>
        <w:rPr>
          <w:color w:val="000000"/>
        </w:rPr>
      </w:pPr>
      <w:r>
        <w:rPr>
          <w:rFonts w:ascii="Palatino Linotype" w:eastAsia="Palatino Linotype" w:hAnsi="Palatino Linotype" w:cs="Palatino Linotype"/>
          <w:color w:val="000000"/>
        </w:rPr>
        <w:t>Por lo anteriormente expuesto, este Órgano Garante emite los siguientes: --------</w:t>
      </w:r>
      <w:r>
        <w:rPr>
          <w:rFonts w:ascii="Palatino Linotype" w:eastAsia="Palatino Linotype" w:hAnsi="Palatino Linotype" w:cs="Palatino Linotype"/>
        </w:rPr>
        <w:t>-----</w:t>
      </w:r>
    </w:p>
    <w:p w14:paraId="0EC65589" w14:textId="77777777" w:rsidR="00F44EA9" w:rsidRDefault="00F44EA9">
      <w:pPr>
        <w:pBdr>
          <w:top w:val="nil"/>
          <w:left w:val="nil"/>
          <w:bottom w:val="nil"/>
          <w:right w:val="nil"/>
          <w:between w:val="nil"/>
        </w:pBdr>
        <w:tabs>
          <w:tab w:val="left" w:pos="426"/>
        </w:tabs>
        <w:spacing w:after="240" w:line="360" w:lineRule="auto"/>
        <w:ind w:right="-592"/>
        <w:jc w:val="center"/>
        <w:rPr>
          <w:rFonts w:ascii="Palatino Linotype" w:eastAsia="Palatino Linotype" w:hAnsi="Palatino Linotype" w:cs="Palatino Linotype"/>
          <w:b/>
          <w:color w:val="000000"/>
        </w:rPr>
      </w:pPr>
    </w:p>
    <w:p w14:paraId="69CC1C8B" w14:textId="77777777" w:rsidR="00552822" w:rsidRDefault="00C76DB2">
      <w:pPr>
        <w:pBdr>
          <w:top w:val="nil"/>
          <w:left w:val="nil"/>
          <w:bottom w:val="nil"/>
          <w:right w:val="nil"/>
          <w:between w:val="nil"/>
        </w:pBdr>
        <w:tabs>
          <w:tab w:val="left" w:pos="426"/>
        </w:tabs>
        <w:spacing w:after="240" w:line="360" w:lineRule="auto"/>
        <w:ind w:right="-592"/>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566FEE0A" w14:textId="77777777" w:rsidR="00552822" w:rsidRDefault="00552822">
      <w:pPr>
        <w:ind w:right="-592"/>
      </w:pPr>
    </w:p>
    <w:p w14:paraId="1F0BE4E7" w14:textId="77777777" w:rsidR="00552822" w:rsidRDefault="00C76DB2">
      <w:pPr>
        <w:spacing w:after="240"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02673/INFOEM/AD/RR/2024</w:t>
      </w:r>
      <w:r>
        <w:rPr>
          <w:rFonts w:ascii="Palatino Linotype" w:eastAsia="Palatino Linotype" w:hAnsi="Palatino Linotype" w:cs="Palatino Linotype"/>
        </w:rPr>
        <w:t xml:space="preserve">, de conformidad con lo dispuesto en el artículo 139 fracción I, de la Ley de Protección de Datos Personales en Posesión de Sujetos Obligados del Estado de México y Municipios, en términos del considerando </w:t>
      </w:r>
      <w:r>
        <w:rPr>
          <w:rFonts w:ascii="Palatino Linotype" w:eastAsia="Palatino Linotype" w:hAnsi="Palatino Linotype" w:cs="Palatino Linotype"/>
          <w:b/>
        </w:rPr>
        <w:t xml:space="preserve">TERCERO </w:t>
      </w:r>
      <w:r>
        <w:rPr>
          <w:rFonts w:ascii="Palatino Linotype" w:eastAsia="Palatino Linotype" w:hAnsi="Palatino Linotype" w:cs="Palatino Linotype"/>
        </w:rPr>
        <w:t>de la presente Resolución.</w:t>
      </w:r>
    </w:p>
    <w:p w14:paraId="265941A5" w14:textId="77777777" w:rsidR="00552822" w:rsidRDefault="00C76DB2">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SEGUNDO. </w:t>
      </w:r>
      <w:r>
        <w:rPr>
          <w:rFonts w:ascii="Palatino Linotype" w:eastAsia="Palatino Linotype" w:hAnsi="Palatino Linotype" w:cs="Palatino Linotype"/>
        </w:rPr>
        <w:t xml:space="preserve">Notifíquese al Titular de la Unidad de Transparencia del SUJETO OBLIGADO, vía </w:t>
      </w:r>
      <w:r>
        <w:rPr>
          <w:rFonts w:ascii="Palatino Linotype" w:eastAsia="Palatino Linotype" w:hAnsi="Palatino Linotype" w:cs="Palatino Linotype"/>
          <w:b/>
        </w:rPr>
        <w:t>SARCOEM</w:t>
      </w:r>
      <w:r>
        <w:rPr>
          <w:rFonts w:ascii="Palatino Linotype" w:eastAsia="Palatino Linotype" w:hAnsi="Palatino Linotype" w:cs="Palatino Linotype"/>
        </w:rPr>
        <w:t xml:space="preserve">, la presente resolución. </w:t>
      </w:r>
    </w:p>
    <w:p w14:paraId="4938149B" w14:textId="77777777" w:rsidR="00552822" w:rsidRDefault="00C76DB2">
      <w:pPr>
        <w:pBdr>
          <w:top w:val="nil"/>
          <w:left w:val="nil"/>
          <w:bottom w:val="nil"/>
          <w:right w:val="nil"/>
          <w:between w:val="nil"/>
        </w:pBdr>
        <w:spacing w:after="240" w:line="360" w:lineRule="auto"/>
        <w:ind w:right="-59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TERCERO.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 xml:space="preserve">SARCOEM. </w:t>
      </w:r>
    </w:p>
    <w:p w14:paraId="077B6AF5" w14:textId="77777777" w:rsidR="00552822" w:rsidRDefault="00C76DB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CUARTO.</w:t>
      </w:r>
      <w:r>
        <w:rPr>
          <w:rFonts w:ascii="Palatino Linotype" w:eastAsia="Palatino Linotype" w:hAnsi="Palatino Linotype" w:cs="Palatino Linotype"/>
          <w:color w:val="000000"/>
        </w:rPr>
        <w:t xml:space="preserve"> S</w:t>
      </w:r>
      <w:r>
        <w:rPr>
          <w:rFonts w:ascii="Palatino Linotype" w:eastAsia="Palatino Linotype" w:hAnsi="Palatino Linotype" w:cs="Palatino Linotype"/>
        </w:rPr>
        <w:t>e hace de conocimiento del RECURRENTE que, de conformidad con lo establecido en el artículo 142 de la Ley de Protección de Datos Personales en Posesión de Sujetos Obligados del Estado de México y Municipios, en caso de que considere que la resolución le cause algún perjuicio podrá impugnar vía Juicio de Amparo en los términos de las leyes aplicables.</w:t>
      </w:r>
    </w:p>
    <w:p w14:paraId="24C2FB05" w14:textId="77777777" w:rsidR="00552822" w:rsidRDefault="00C76DB2">
      <w:pPr>
        <w:spacing w:before="240" w:after="240" w:line="360" w:lineRule="auto"/>
        <w:jc w:val="both"/>
        <w:rPr>
          <w:rFonts w:ascii="Palatino Linotype" w:eastAsia="Palatino Linotype" w:hAnsi="Palatino Linotype" w:cs="Palatino Linotype"/>
          <w:smallCaps/>
        </w:rPr>
      </w:pPr>
      <w:r>
        <w:rPr>
          <w:rFonts w:ascii="Palatino Linotype" w:eastAsia="Palatino Linotype" w:hAnsi="Palatino Linotype" w:cs="Palatino Linotype"/>
          <w:smallCaps/>
        </w:rPr>
        <w:lastRenderedPageBreak/>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p>
    <w:p w14:paraId="6724A344" w14:textId="77777777" w:rsidR="00552822" w:rsidRDefault="00552822">
      <w:pPr>
        <w:spacing w:before="240" w:after="240" w:line="360" w:lineRule="auto"/>
        <w:ind w:right="-592" w:firstLine="1"/>
        <w:jc w:val="both"/>
        <w:rPr>
          <w:rFonts w:ascii="Palatino Linotype" w:eastAsia="Palatino Linotype" w:hAnsi="Palatino Linotype" w:cs="Palatino Linotype"/>
          <w:smallCaps/>
        </w:rPr>
      </w:pPr>
      <w:bookmarkStart w:id="8" w:name="_heading=h.2s8eyo1" w:colFirst="0" w:colLast="0"/>
      <w:bookmarkEnd w:id="8"/>
    </w:p>
    <w:p w14:paraId="0398473E" w14:textId="77777777" w:rsidR="00552822" w:rsidRDefault="00C76DB2">
      <w:pPr>
        <w:ind w:right="-592"/>
        <w:rPr>
          <w:rFonts w:ascii="Palatino Linotype" w:eastAsia="Palatino Linotype" w:hAnsi="Palatino Linotype" w:cs="Palatino Linotype"/>
        </w:rPr>
      </w:pPr>
      <w:r>
        <w:br w:type="page"/>
      </w:r>
    </w:p>
    <w:p w14:paraId="03F1B958" w14:textId="77777777" w:rsidR="00552822" w:rsidRDefault="00552822">
      <w:pPr>
        <w:spacing w:before="240" w:after="240" w:line="360" w:lineRule="auto"/>
        <w:ind w:right="-592"/>
        <w:jc w:val="both"/>
        <w:rPr>
          <w:rFonts w:ascii="Palatino Linotype" w:eastAsia="Palatino Linotype" w:hAnsi="Palatino Linotype" w:cs="Palatino Linotype"/>
        </w:rPr>
      </w:pPr>
    </w:p>
    <w:p w14:paraId="6B6011B3" w14:textId="77777777" w:rsidR="00552822" w:rsidRDefault="00552822">
      <w:pPr>
        <w:spacing w:before="240" w:after="240" w:line="360" w:lineRule="auto"/>
        <w:ind w:right="-592"/>
        <w:jc w:val="both"/>
        <w:rPr>
          <w:rFonts w:ascii="Palatino Linotype" w:eastAsia="Palatino Linotype" w:hAnsi="Palatino Linotype" w:cs="Palatino Linotype"/>
        </w:rPr>
      </w:pPr>
    </w:p>
    <w:p w14:paraId="5F93EAB9" w14:textId="77777777" w:rsidR="00552822" w:rsidRDefault="00552822">
      <w:pPr>
        <w:ind w:right="-592"/>
      </w:pPr>
    </w:p>
    <w:p w14:paraId="48A0AE39" w14:textId="77777777" w:rsidR="00552822" w:rsidRDefault="00552822">
      <w:pPr>
        <w:ind w:right="-592"/>
      </w:pPr>
    </w:p>
    <w:p w14:paraId="57489394" w14:textId="77777777" w:rsidR="00552822" w:rsidRDefault="00552822">
      <w:pPr>
        <w:ind w:right="-592"/>
      </w:pPr>
    </w:p>
    <w:p w14:paraId="16526A90" w14:textId="77777777" w:rsidR="00552822" w:rsidRDefault="00552822">
      <w:pPr>
        <w:ind w:right="-592"/>
      </w:pPr>
      <w:bookmarkStart w:id="9" w:name="_heading=h.17dp8vu" w:colFirst="0" w:colLast="0"/>
      <w:bookmarkEnd w:id="9"/>
    </w:p>
    <w:sectPr w:rsidR="00552822">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1C1B" w14:textId="77777777" w:rsidR="00326D31" w:rsidRDefault="00326D31">
      <w:r>
        <w:separator/>
      </w:r>
    </w:p>
  </w:endnote>
  <w:endnote w:type="continuationSeparator" w:id="0">
    <w:p w14:paraId="56CEAA19" w14:textId="77777777" w:rsidR="00326D31" w:rsidRDefault="0032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D7AB" w14:textId="77777777" w:rsidR="00552822" w:rsidRDefault="00C76DB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63FBD">
      <w:rPr>
        <w:b/>
        <w:noProof/>
        <w:color w:val="000000"/>
      </w:rPr>
      <w:t>11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63FBD">
      <w:rPr>
        <w:b/>
        <w:noProof/>
        <w:color w:val="000000"/>
      </w:rPr>
      <w:t>11</w:t>
    </w:r>
    <w:r>
      <w:rPr>
        <w:b/>
        <w:color w:val="000000"/>
      </w:rPr>
      <w:fldChar w:fldCharType="end"/>
    </w:r>
  </w:p>
  <w:p w14:paraId="55AA87FF" w14:textId="77777777" w:rsidR="00552822" w:rsidRDefault="0055282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9C65" w14:textId="77777777" w:rsidR="00552822" w:rsidRDefault="00C76DB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63FB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63FBD">
      <w:rPr>
        <w:b/>
        <w:noProof/>
        <w:color w:val="000000"/>
      </w:rPr>
      <w:t>11</w:t>
    </w:r>
    <w:r>
      <w:rPr>
        <w:b/>
        <w:color w:val="000000"/>
      </w:rPr>
      <w:fldChar w:fldCharType="end"/>
    </w:r>
  </w:p>
  <w:p w14:paraId="52AD93B3" w14:textId="77777777" w:rsidR="00552822" w:rsidRDefault="0055282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5D1B" w14:textId="77777777" w:rsidR="00326D31" w:rsidRDefault="00326D31">
      <w:r>
        <w:separator/>
      </w:r>
    </w:p>
  </w:footnote>
  <w:footnote w:type="continuationSeparator" w:id="0">
    <w:p w14:paraId="2FA137C1" w14:textId="77777777" w:rsidR="00326D31" w:rsidRDefault="0032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E925" w14:textId="77777777" w:rsidR="00552822" w:rsidRDefault="00326D31">
    <w:pPr>
      <w:pBdr>
        <w:top w:val="nil"/>
        <w:left w:val="nil"/>
        <w:bottom w:val="nil"/>
        <w:right w:val="nil"/>
        <w:between w:val="nil"/>
      </w:pBdr>
      <w:tabs>
        <w:tab w:val="center" w:pos="4419"/>
        <w:tab w:val="right" w:pos="8838"/>
      </w:tabs>
      <w:rPr>
        <w:color w:val="000000"/>
      </w:rPr>
    </w:pPr>
    <w:r>
      <w:rPr>
        <w:color w:val="000000"/>
      </w:rPr>
      <w:pict w14:anchorId="5274A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214" w:type="dxa"/>
      <w:tblInd w:w="0" w:type="dxa"/>
      <w:tblLayout w:type="fixed"/>
      <w:tblLook w:val="0400" w:firstRow="0" w:lastRow="0" w:firstColumn="0" w:lastColumn="0" w:noHBand="0" w:noVBand="1"/>
    </w:tblPr>
    <w:tblGrid>
      <w:gridCol w:w="2268"/>
      <w:gridCol w:w="6946"/>
    </w:tblGrid>
    <w:tr w:rsidR="00552822" w14:paraId="33C1EAE1" w14:textId="77777777">
      <w:trPr>
        <w:trHeight w:val="1435"/>
      </w:trPr>
      <w:tc>
        <w:tcPr>
          <w:tcW w:w="2268" w:type="dxa"/>
          <w:shd w:val="clear" w:color="auto" w:fill="auto"/>
        </w:tcPr>
        <w:p w14:paraId="5304DC59" w14:textId="77777777" w:rsidR="00552822" w:rsidRDefault="00552822">
          <w:pPr>
            <w:tabs>
              <w:tab w:val="right" w:pos="4273"/>
            </w:tabs>
            <w:rPr>
              <w:rFonts w:ascii="Garamond" w:eastAsia="Garamond" w:hAnsi="Garamond" w:cs="Garamond"/>
              <w:sz w:val="16"/>
              <w:szCs w:val="16"/>
            </w:rPr>
          </w:pPr>
        </w:p>
      </w:tc>
      <w:tc>
        <w:tcPr>
          <w:tcW w:w="6946" w:type="dxa"/>
          <w:shd w:val="clear" w:color="auto" w:fill="auto"/>
        </w:tcPr>
        <w:tbl>
          <w:tblPr>
            <w:tblStyle w:val="a1"/>
            <w:tblW w:w="7398" w:type="dxa"/>
            <w:tblInd w:w="0" w:type="dxa"/>
            <w:tblLayout w:type="fixed"/>
            <w:tblLook w:val="0400" w:firstRow="0" w:lastRow="0" w:firstColumn="0" w:lastColumn="0" w:noHBand="0" w:noVBand="1"/>
          </w:tblPr>
          <w:tblGrid>
            <w:gridCol w:w="3004"/>
            <w:gridCol w:w="4394"/>
          </w:tblGrid>
          <w:tr w:rsidR="00552822" w14:paraId="729D2065" w14:textId="77777777" w:rsidTr="001F7553">
            <w:trPr>
              <w:trHeight w:val="147"/>
            </w:trPr>
            <w:tc>
              <w:tcPr>
                <w:tcW w:w="3004" w:type="dxa"/>
                <w:shd w:val="clear" w:color="auto" w:fill="auto"/>
              </w:tcPr>
              <w:p w14:paraId="7C862935" w14:textId="77777777" w:rsidR="00552822" w:rsidRDefault="00C76DB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tcPr>
              <w:p w14:paraId="41E7BF27" w14:textId="77777777" w:rsidR="00552822" w:rsidRDefault="00C76DB2" w:rsidP="001F7553">
                <w:pPr>
                  <w:tabs>
                    <w:tab w:val="right" w:pos="8838"/>
                  </w:tabs>
                  <w:ind w:left="-257" w:right="-540" w:firstLine="14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02673/INFOEM/AD/RR/2024</w:t>
                </w:r>
              </w:p>
            </w:tc>
          </w:tr>
          <w:tr w:rsidR="00552822" w14:paraId="29A39334" w14:textId="77777777" w:rsidTr="001F7553">
            <w:trPr>
              <w:trHeight w:val="289"/>
            </w:trPr>
            <w:tc>
              <w:tcPr>
                <w:tcW w:w="3004" w:type="dxa"/>
                <w:shd w:val="clear" w:color="auto" w:fill="auto"/>
              </w:tcPr>
              <w:p w14:paraId="10F0ABBE" w14:textId="77777777" w:rsidR="00552822" w:rsidRDefault="00C76DB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tcPr>
              <w:p w14:paraId="7BF964F9" w14:textId="77777777" w:rsidR="00552822" w:rsidRDefault="00C76DB2" w:rsidP="001F7553">
                <w:pPr>
                  <w:tabs>
                    <w:tab w:val="right" w:pos="8838"/>
                  </w:tabs>
                  <w:ind w:left="-141" w:right="-10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 Instituto de Seguridad Social del Estado de México y Municipios</w:t>
                </w:r>
              </w:p>
            </w:tc>
          </w:tr>
          <w:tr w:rsidR="00552822" w14:paraId="36026E1B" w14:textId="77777777" w:rsidTr="001F7553">
            <w:trPr>
              <w:trHeight w:val="289"/>
            </w:trPr>
            <w:tc>
              <w:tcPr>
                <w:tcW w:w="3004" w:type="dxa"/>
                <w:shd w:val="clear" w:color="auto" w:fill="auto"/>
              </w:tcPr>
              <w:p w14:paraId="0352F75A" w14:textId="77777777" w:rsidR="00552822" w:rsidRDefault="00C76DB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394" w:type="dxa"/>
                <w:shd w:val="clear" w:color="auto" w:fill="auto"/>
              </w:tcPr>
              <w:p w14:paraId="20E7F9C9" w14:textId="77777777" w:rsidR="00552822" w:rsidRDefault="00C76DB2" w:rsidP="00F44EA9">
                <w:pPr>
                  <w:tabs>
                    <w:tab w:val="right" w:pos="8838"/>
                  </w:tabs>
                  <w:ind w:left="-141"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María del Rosario Mejía Ayala</w:t>
                </w:r>
              </w:p>
              <w:p w14:paraId="7E664F70" w14:textId="77777777" w:rsidR="00552822" w:rsidRDefault="00552822" w:rsidP="00F44EA9">
                <w:pPr>
                  <w:tabs>
                    <w:tab w:val="right" w:pos="8838"/>
                  </w:tabs>
                  <w:ind w:left="-141" w:right="171"/>
                  <w:rPr>
                    <w:rFonts w:ascii="Palatino Linotype" w:eastAsia="Palatino Linotype" w:hAnsi="Palatino Linotype" w:cs="Palatino Linotype"/>
                    <w:b/>
                    <w:sz w:val="22"/>
                    <w:szCs w:val="22"/>
                  </w:rPr>
                </w:pPr>
              </w:p>
            </w:tc>
          </w:tr>
        </w:tbl>
        <w:p w14:paraId="1646C360" w14:textId="77777777" w:rsidR="00552822" w:rsidRDefault="00552822">
          <w:pPr>
            <w:tabs>
              <w:tab w:val="right" w:pos="8838"/>
            </w:tabs>
            <w:ind w:left="-28"/>
            <w:jc w:val="both"/>
            <w:rPr>
              <w:rFonts w:ascii="Arial" w:eastAsia="Arial" w:hAnsi="Arial" w:cs="Arial"/>
              <w:b/>
              <w:sz w:val="22"/>
              <w:szCs w:val="22"/>
            </w:rPr>
          </w:pPr>
        </w:p>
      </w:tc>
    </w:tr>
  </w:tbl>
  <w:p w14:paraId="315C8BA3" w14:textId="77777777" w:rsidR="00552822" w:rsidRDefault="00326D31">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13FB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65.4pt;margin-top:-119.8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90EF" w14:textId="77777777" w:rsidR="00552822" w:rsidRDefault="00552822">
    <w:pPr>
      <w:widowControl w:val="0"/>
      <w:pBdr>
        <w:top w:val="nil"/>
        <w:left w:val="nil"/>
        <w:bottom w:val="nil"/>
        <w:right w:val="nil"/>
        <w:between w:val="nil"/>
      </w:pBdr>
      <w:spacing w:line="276" w:lineRule="auto"/>
      <w:rPr>
        <w:color w:val="000000"/>
        <w:sz w:val="14"/>
        <w:szCs w:val="14"/>
      </w:rPr>
    </w:pPr>
  </w:p>
  <w:tbl>
    <w:tblPr>
      <w:tblStyle w:val="a2"/>
      <w:tblW w:w="9795" w:type="dxa"/>
      <w:tblInd w:w="0" w:type="dxa"/>
      <w:tblLayout w:type="fixed"/>
      <w:tblLook w:val="0400" w:firstRow="0" w:lastRow="0" w:firstColumn="0" w:lastColumn="0" w:noHBand="0" w:noVBand="1"/>
    </w:tblPr>
    <w:tblGrid>
      <w:gridCol w:w="2265"/>
      <w:gridCol w:w="7530"/>
    </w:tblGrid>
    <w:tr w:rsidR="00552822" w14:paraId="7A407D18" w14:textId="77777777">
      <w:trPr>
        <w:trHeight w:val="1435"/>
      </w:trPr>
      <w:tc>
        <w:tcPr>
          <w:tcW w:w="2265" w:type="dxa"/>
          <w:shd w:val="clear" w:color="auto" w:fill="auto"/>
        </w:tcPr>
        <w:p w14:paraId="5B122153" w14:textId="77777777" w:rsidR="00552822" w:rsidRDefault="00552822">
          <w:pPr>
            <w:tabs>
              <w:tab w:val="right" w:pos="4273"/>
            </w:tabs>
            <w:rPr>
              <w:rFonts w:ascii="Garamond" w:eastAsia="Garamond" w:hAnsi="Garamond" w:cs="Garamond"/>
              <w:sz w:val="22"/>
              <w:szCs w:val="22"/>
            </w:rPr>
          </w:pPr>
        </w:p>
      </w:tc>
      <w:tc>
        <w:tcPr>
          <w:tcW w:w="7530" w:type="dxa"/>
          <w:shd w:val="clear" w:color="auto" w:fill="auto"/>
        </w:tcPr>
        <w:tbl>
          <w:tblPr>
            <w:tblStyle w:val="a3"/>
            <w:tblW w:w="7685" w:type="dxa"/>
            <w:tblInd w:w="0" w:type="dxa"/>
            <w:tblLayout w:type="fixed"/>
            <w:tblLook w:val="0400" w:firstRow="0" w:lastRow="0" w:firstColumn="0" w:lastColumn="0" w:noHBand="0" w:noVBand="1"/>
          </w:tblPr>
          <w:tblGrid>
            <w:gridCol w:w="2371"/>
            <w:gridCol w:w="5314"/>
          </w:tblGrid>
          <w:tr w:rsidR="00552822" w14:paraId="4F920370" w14:textId="77777777" w:rsidTr="00F63FBD">
            <w:trPr>
              <w:trHeight w:val="144"/>
            </w:trPr>
            <w:tc>
              <w:tcPr>
                <w:tcW w:w="2371" w:type="dxa"/>
                <w:shd w:val="clear" w:color="auto" w:fill="auto"/>
              </w:tcPr>
              <w:p w14:paraId="61955AC5" w14:textId="77777777" w:rsidR="00552822" w:rsidRDefault="00C76DB2">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314" w:type="dxa"/>
                <w:shd w:val="clear" w:color="auto" w:fill="auto"/>
              </w:tcPr>
              <w:p w14:paraId="39C82DCE" w14:textId="77777777" w:rsidR="00552822" w:rsidRDefault="00C76DB2" w:rsidP="00F44EA9">
                <w:pPr>
                  <w:tabs>
                    <w:tab w:val="right" w:pos="8838"/>
                  </w:tabs>
                  <w:ind w:left="-74" w:right="-38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02673/INFOEM/AD/RR/2024</w:t>
                </w:r>
              </w:p>
            </w:tc>
          </w:tr>
          <w:tr w:rsidR="00552822" w14:paraId="3CCA3574" w14:textId="77777777" w:rsidTr="00F63FBD">
            <w:trPr>
              <w:trHeight w:val="144"/>
            </w:trPr>
            <w:tc>
              <w:tcPr>
                <w:tcW w:w="2371" w:type="dxa"/>
                <w:shd w:val="clear" w:color="auto" w:fill="auto"/>
              </w:tcPr>
              <w:p w14:paraId="2F9AC418" w14:textId="77777777" w:rsidR="00552822" w:rsidRDefault="00C76DB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314" w:type="dxa"/>
                <w:shd w:val="clear" w:color="auto" w:fill="auto"/>
              </w:tcPr>
              <w:p w14:paraId="5F618F7A" w14:textId="42485998" w:rsidR="00552822" w:rsidRDefault="00E06C7E" w:rsidP="00F44EA9">
                <w:pPr>
                  <w:tabs>
                    <w:tab w:val="left" w:pos="3122"/>
                    <w:tab w:val="right" w:pos="8838"/>
                  </w:tabs>
                  <w:ind w:left="-74" w:right="-38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552822" w14:paraId="50EDB4CB" w14:textId="77777777" w:rsidTr="00F63FBD">
            <w:trPr>
              <w:trHeight w:val="283"/>
            </w:trPr>
            <w:tc>
              <w:tcPr>
                <w:tcW w:w="2371" w:type="dxa"/>
                <w:shd w:val="clear" w:color="auto" w:fill="auto"/>
              </w:tcPr>
              <w:p w14:paraId="34717FD4" w14:textId="77777777" w:rsidR="00552822" w:rsidRDefault="00C76DB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314" w:type="dxa"/>
                <w:shd w:val="clear" w:color="auto" w:fill="auto"/>
              </w:tcPr>
              <w:p w14:paraId="0141B5F2" w14:textId="77777777" w:rsidR="00552822" w:rsidRDefault="00C76DB2" w:rsidP="00F44EA9">
                <w:pPr>
                  <w:tabs>
                    <w:tab w:val="left" w:pos="2834"/>
                    <w:tab w:val="right" w:pos="8838"/>
                  </w:tabs>
                  <w:ind w:left="-74" w:right="-38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Seguridad Social del Estado de México y Municipios</w:t>
                </w:r>
              </w:p>
            </w:tc>
          </w:tr>
          <w:tr w:rsidR="00552822" w14:paraId="30B4B809" w14:textId="77777777" w:rsidTr="00F63FBD">
            <w:trPr>
              <w:trHeight w:val="283"/>
            </w:trPr>
            <w:tc>
              <w:tcPr>
                <w:tcW w:w="2371" w:type="dxa"/>
                <w:shd w:val="clear" w:color="auto" w:fill="auto"/>
              </w:tcPr>
              <w:p w14:paraId="4A3DAC35" w14:textId="77777777" w:rsidR="00552822" w:rsidRDefault="00C76DB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5314" w:type="dxa"/>
                <w:shd w:val="clear" w:color="auto" w:fill="auto"/>
              </w:tcPr>
              <w:p w14:paraId="3B04581A" w14:textId="77777777" w:rsidR="00552822" w:rsidRPr="00F44EA9" w:rsidRDefault="00F44EA9" w:rsidP="00F44EA9">
                <w:pPr>
                  <w:tabs>
                    <w:tab w:val="right" w:pos="8838"/>
                  </w:tabs>
                  <w:ind w:left="-74" w:right="-38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2004FBE6" w14:textId="77777777" w:rsidR="00552822" w:rsidRDefault="00552822">
          <w:pPr>
            <w:tabs>
              <w:tab w:val="right" w:pos="8838"/>
            </w:tabs>
            <w:ind w:left="-28"/>
            <w:jc w:val="both"/>
            <w:rPr>
              <w:rFonts w:ascii="Arial" w:eastAsia="Arial" w:hAnsi="Arial" w:cs="Arial"/>
              <w:b/>
              <w:sz w:val="22"/>
              <w:szCs w:val="22"/>
            </w:rPr>
          </w:pPr>
        </w:p>
      </w:tc>
    </w:tr>
  </w:tbl>
  <w:p w14:paraId="170BFA0E" w14:textId="77777777" w:rsidR="00552822" w:rsidRDefault="00326D31">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5483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86616"/>
    <w:multiLevelType w:val="multilevel"/>
    <w:tmpl w:val="624EDF06"/>
    <w:lvl w:ilvl="0">
      <w:start w:val="1"/>
      <w:numFmt w:val="decimal"/>
      <w:lvlText w:val="%1."/>
      <w:lvlJc w:val="left"/>
      <w:pPr>
        <w:ind w:left="2204"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F539B0"/>
    <w:multiLevelType w:val="multilevel"/>
    <w:tmpl w:val="B18CC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302452">
    <w:abstractNumId w:val="1"/>
  </w:num>
  <w:num w:numId="2" w16cid:durableId="104401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22"/>
    <w:rsid w:val="001F7553"/>
    <w:rsid w:val="00326D31"/>
    <w:rsid w:val="00552822"/>
    <w:rsid w:val="005F238B"/>
    <w:rsid w:val="00C76DB2"/>
    <w:rsid w:val="00E06C7E"/>
    <w:rsid w:val="00F44EA9"/>
    <w:rsid w:val="00F63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B2FF1"/>
  <w15:docId w15:val="{8F011F0A-9CEC-4BEA-B47D-A5C827FC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D1E"/>
    <w:rPr>
      <w:lang w:val="es-MX"/>
    </w:rPr>
  </w:style>
  <w:style w:type="paragraph" w:styleId="Ttulo1">
    <w:name w:val="heading 1"/>
    <w:basedOn w:val="Normal"/>
    <w:next w:val="Normal"/>
    <w:link w:val="Ttulo1Car"/>
    <w:uiPriority w:val="9"/>
    <w:qFormat/>
    <w:rsid w:val="00E02D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02D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02D1E"/>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E02D1E"/>
    <w:rPr>
      <w:rFonts w:asciiTheme="majorHAnsi" w:eastAsiaTheme="majorEastAsia" w:hAnsiTheme="majorHAnsi" w:cstheme="majorBidi"/>
      <w:color w:val="2E74B5" w:themeColor="accent1" w:themeShade="BF"/>
      <w:sz w:val="26"/>
      <w:szCs w:val="26"/>
      <w:lang w:val="es-MX" w:eastAsia="es-MX"/>
    </w:rPr>
  </w:style>
  <w:style w:type="paragraph" w:styleId="Encabezado">
    <w:name w:val="header"/>
    <w:basedOn w:val="Normal"/>
    <w:link w:val="EncabezadoCar"/>
    <w:uiPriority w:val="99"/>
    <w:unhideWhenUsed/>
    <w:rsid w:val="00E02D1E"/>
    <w:pPr>
      <w:tabs>
        <w:tab w:val="center" w:pos="4419"/>
        <w:tab w:val="right" w:pos="8838"/>
      </w:tabs>
    </w:pPr>
  </w:style>
  <w:style w:type="character" w:customStyle="1" w:styleId="EncabezadoCar">
    <w:name w:val="Encabezado Car"/>
    <w:basedOn w:val="Fuentedeprrafopredeter"/>
    <w:link w:val="Encabezado"/>
    <w:uiPriority w:val="99"/>
    <w:rsid w:val="00E02D1E"/>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02D1E"/>
    <w:pPr>
      <w:tabs>
        <w:tab w:val="center" w:pos="4419"/>
        <w:tab w:val="right" w:pos="8838"/>
      </w:tabs>
    </w:pPr>
  </w:style>
  <w:style w:type="character" w:customStyle="1" w:styleId="PiedepginaCar">
    <w:name w:val="Pie de página Car"/>
    <w:basedOn w:val="Fuentedeprrafopredeter"/>
    <w:link w:val="Piedepgina"/>
    <w:uiPriority w:val="99"/>
    <w:rsid w:val="00E02D1E"/>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02D1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02D1E"/>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02D1E"/>
    <w:rPr>
      <w:color w:val="0563C1"/>
      <w:u w:val="single"/>
    </w:rPr>
  </w:style>
  <w:style w:type="paragraph" w:styleId="Sinespaciado">
    <w:name w:val="No Spacing"/>
    <w:aliases w:val="Francesa"/>
    <w:link w:val="SinespaciadoCar"/>
    <w:uiPriority w:val="1"/>
    <w:qFormat/>
    <w:rsid w:val="00E02D1E"/>
    <w:rPr>
      <w:rFonts w:eastAsiaTheme="minorEastAsia"/>
      <w:lang w:eastAsia="es-ES"/>
    </w:rPr>
  </w:style>
  <w:style w:type="character" w:customStyle="1" w:styleId="SinespaciadoCar">
    <w:name w:val="Sin espaciado Car"/>
    <w:aliases w:val="Francesa Car"/>
    <w:link w:val="Sinespaciado"/>
    <w:uiPriority w:val="1"/>
    <w:locked/>
    <w:rsid w:val="00E02D1E"/>
    <w:rPr>
      <w:rFonts w:eastAsiaTheme="minorEastAsia"/>
      <w:sz w:val="24"/>
      <w:szCs w:val="24"/>
      <w:lang w:val="es-ES_tradnl" w:eastAsia="es-ES"/>
    </w:rPr>
  </w:style>
  <w:style w:type="character" w:styleId="Referenciasutil">
    <w:name w:val="Subtle Reference"/>
    <w:basedOn w:val="Fuentedeprrafopredeter"/>
    <w:uiPriority w:val="31"/>
    <w:qFormat/>
    <w:rsid w:val="00146A3B"/>
    <w:rPr>
      <w:rFonts w:cs="Times New Roman"/>
      <w:smallCaps/>
      <w:color w:val="5A5A5A" w:themeColor="text1" w:themeTint="A5"/>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rcoem.org.mx/sarcoem/solicitud/downloadAttach/2088950.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sWcqIe+KWsNb9CtkJkcj4im6+g==">CgMxLjAyCGguZ2pkZ3hzMgloLjMwajB6bGwyCWguMWZvYjl0ZTIJaC4zem55c2g3MgloLjJldDkycDAyCGgudHlqY3d0MgloLjNkeTZ2a20yCWguMXQzaDVzZjIJaC4yczhleW8xMgloLjJzOGV5bzEyCWguMTdkcDh2dTgAciExSTQ2UGxRSlBqNTlzcWd1dGFWUHI0VlhKbGVieXlfZmk=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2196</Words>
  <Characters>12078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4</cp:revision>
  <cp:lastPrinted>2024-06-20T19:20:00Z</cp:lastPrinted>
  <dcterms:created xsi:type="dcterms:W3CDTF">2024-06-13T16:23:00Z</dcterms:created>
  <dcterms:modified xsi:type="dcterms:W3CDTF">2024-06-26T23:28:00Z</dcterms:modified>
</cp:coreProperties>
</file>