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1fob9te"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diecinueve de junio de dos mil veinticuatro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01564/INFOEM/AD/RR/2024</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 XXXXXXX 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Instituto de Seguridad Social del Estado de México y Municipios,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gjdgxs" w:id="1"/>
      <w:bookmarkEnd w:id="1"/>
      <w:r w:rsidDel="00000000" w:rsidR="00000000" w:rsidRPr="00000000">
        <w:rPr>
          <w:rFonts w:ascii="Palatino Linotype" w:cs="Palatino Linotype" w:eastAsia="Palatino Linotype" w:hAnsi="Palatino Linotype"/>
          <w:b w:val="1"/>
          <w:rtl w:val="0"/>
        </w:rPr>
        <w:t xml:space="preserve">1. Solicitud de acceso a datos personales</w:t>
      </w:r>
      <w:r w:rsidDel="00000000" w:rsidR="00000000" w:rsidRPr="00000000">
        <w:rPr>
          <w:rFonts w:ascii="Palatino Linotype" w:cs="Palatino Linotype" w:eastAsia="Palatino Linotype" w:hAnsi="Palatino Linotype"/>
          <w:b w:val="1"/>
          <w:strike w:val="1"/>
          <w:rtl w:val="0"/>
        </w:rPr>
        <w:t xml:space="preserve">.</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quince de febrero de dos mil veinticuatro,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presentó, a través del Sistema de Acceso, Rectificación, Cancelación y Oposición de Datos Personales del Estado de México (SARCOEM), en lo subsecuente el </w:t>
      </w:r>
      <w:r w:rsidDel="00000000" w:rsidR="00000000" w:rsidRPr="00000000">
        <w:rPr>
          <w:rFonts w:ascii="Palatino Linotype" w:cs="Palatino Linotype" w:eastAsia="Palatino Linotype" w:hAnsi="Palatino Linotype"/>
          <w:b w:val="1"/>
          <w:rtl w:val="0"/>
        </w:rPr>
        <w:t xml:space="preserve">SARCOEM,</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datos personales, a la que se le asignó el número</w:t>
      </w:r>
      <w:r w:rsidDel="00000000" w:rsidR="00000000" w:rsidRPr="00000000">
        <w:rPr>
          <w:rFonts w:ascii="Palatino Linotype" w:cs="Palatino Linotype" w:eastAsia="Palatino Linotype" w:hAnsi="Palatino Linotype"/>
          <w:b w:val="1"/>
          <w:rtl w:val="0"/>
        </w:rPr>
        <w:t xml:space="preserve"> 00152/ISSEMYM/AD/2024,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276"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sz w:val="22"/>
          <w:szCs w:val="22"/>
          <w:rtl w:val="0"/>
        </w:rPr>
        <w:t xml:space="preserve">SOLICITO EN COPIA CERTIFICADA DEL AVISO DE MOVIMIENTO DE BAJA DE LA PLAZA DEL MAESTRO XXXXXX XXXXXXX XXXX, POR DEFUNCIÓN, COPIA CERTIFICADA DE ACTUALIZACIÓN EN LA CONSTANCIA DE SERVICIO Y HOJA DE SERVICIO, COMO BAJA POR FALLECIMIENTO, COPIA CERTIFICADA DE COMPROBANTES DE PERCEPCIONES Y DEDUCCIONES DEL AÑO 2022 Y LOS ÚLTIMOS DEL AÑO 2023, COPIA CERTIFICADA DE INFORMACIÓN DE BENEFICIARIOS DE LA CARTA TESTAMENTARIA Y COPIA CERTIFICADA DEL SEGURO POR FALLECIMIENTO.”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Copias certificadas (con costo)</w:t>
      </w:r>
    </w:p>
    <w:p w:rsidR="00000000" w:rsidDel="00000000" w:rsidP="00000000" w:rsidRDefault="00000000" w:rsidRPr="00000000" w14:paraId="00000007">
      <w:pPr>
        <w:spacing w:before="240" w:line="360" w:lineRule="auto"/>
        <w:ind w:right="90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Solicitud de Aclaración.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veinte de febrero de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requirió a la persona solicitante la aclaración a su solicitud de acceso a datos, medularmente en los siguientes términos:</w:t>
      </w:r>
    </w:p>
    <w:p w:rsidR="00000000" w:rsidDel="00000000" w:rsidP="00000000" w:rsidRDefault="00000000" w:rsidRPr="00000000" w14:paraId="00000008">
      <w:pPr>
        <w:spacing w:after="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articulo 159 de la Ley de Transparencia y Acceso a la Información Pública del Estado de México y Municipios, se le requiere para que dentro del plazo de diez días hábiles realice lo siguiente:</w:t>
      </w:r>
    </w:p>
    <w:p w:rsidR="00000000" w:rsidDel="00000000" w:rsidP="00000000" w:rsidRDefault="00000000" w:rsidRPr="00000000" w14:paraId="00000009">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archivo adjunto, encontrará el acuerdo mediante el cual se solicita complemente y/o aclare su solicitud,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rsidR="00000000" w:rsidDel="00000000" w:rsidP="00000000" w:rsidRDefault="00000000" w:rsidRPr="00000000" w14:paraId="0000000A">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00000" w:rsidDel="00000000" w:rsidP="00000000" w:rsidRDefault="00000000" w:rsidRPr="00000000" w14:paraId="0000000B">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C">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EN PLANEACION TERRITORIAL ABRAHAM ISRAEL BADIA VARGAS”</w:t>
      </w:r>
    </w:p>
    <w:p w:rsidR="00000000" w:rsidDel="00000000" w:rsidP="00000000" w:rsidRDefault="00000000" w:rsidRPr="00000000" w14:paraId="0000000D">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0E">
      <w:pPr>
        <w:spacing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“ACLARACIÓN 152 AD.pdf”: </w:t>
      </w:r>
      <w:r w:rsidDel="00000000" w:rsidR="00000000" w:rsidRPr="00000000">
        <w:rPr>
          <w:rFonts w:ascii="Palatino Linotype" w:cs="Palatino Linotype" w:eastAsia="Palatino Linotype" w:hAnsi="Palatino Linotype"/>
          <w:rtl w:val="0"/>
        </w:rPr>
        <w:t xml:space="preserve">Documento de cuatro fojas, por el cual,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requiere que la persona solicitante de información presentara a través del Sistema de Acceso, Rectificación, Cancelación y Oposición de Datos Personales del Estado de México SARCOEM, el documento a través del cual </w:t>
      </w:r>
      <w:r w:rsidDel="00000000" w:rsidR="00000000" w:rsidRPr="00000000">
        <w:rPr>
          <w:rFonts w:ascii="Palatino Linotype" w:cs="Palatino Linotype" w:eastAsia="Palatino Linotype" w:hAnsi="Palatino Linotype"/>
          <w:b w:val="1"/>
          <w:u w:val="single"/>
          <w:rtl w:val="0"/>
        </w:rPr>
        <w:t xml:space="preserve">acredite la representación del Titular de los datos solicitados</w:t>
      </w:r>
      <w:r w:rsidDel="00000000" w:rsidR="00000000" w:rsidRPr="00000000">
        <w:rPr>
          <w:rFonts w:ascii="Palatino Linotype" w:cs="Palatino Linotype" w:eastAsia="Palatino Linotype" w:hAnsi="Palatino Linotype"/>
          <w:rtl w:val="0"/>
        </w:rPr>
        <w:t xml:space="preserve">, mediante un poder notarial especial, o carta poder firmada ante dos testigos especificando que la representación se le otorgó para el trámite de acceso a datos personales ante el Sujeto Obligado; antes de su fallecimiento, destacando que para el caso de tratarse de datos personales concernientes a personas fallecidas, debe acreditar tener legalmente la representación de conformidad con las leyes aplicables, podrá ejercer los derechos ARCO; siempre que la persona titular de los derechos así lo hubiere expresado fehacientemente.</w:t>
      </w:r>
    </w:p>
    <w:p w:rsidR="00000000" w:rsidDel="00000000" w:rsidP="00000000" w:rsidRDefault="00000000" w:rsidRPr="00000000" w14:paraId="0000000F">
      <w:pPr>
        <w:spacing w:line="360" w:lineRule="auto"/>
        <w:ind w:right="90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Desahogo de la aclaración. </w:t>
      </w:r>
      <w:r w:rsidDel="00000000" w:rsidR="00000000" w:rsidRPr="00000000">
        <w:rPr>
          <w:rFonts w:ascii="Palatino Linotype" w:cs="Palatino Linotype" w:eastAsia="Palatino Linotype" w:hAnsi="Palatino Linotype"/>
          <w:rtl w:val="0"/>
        </w:rPr>
        <w:t xml:space="preserve">Es de precisar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desahogó dicha aclaración durante el plazo establecido, expresando lo siguiente:</w:t>
      </w:r>
    </w:p>
    <w:p w:rsidR="00000000" w:rsidDel="00000000" w:rsidP="00000000" w:rsidRDefault="00000000" w:rsidRPr="00000000" w14:paraId="0000001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la información para poder ingresar el juicio de declaración de beneficiarios para las prestaciones de foremex” (Sic)</w:t>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Entrega de Información u Orientación.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cinco de marzo de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notificó que no se presentó la aclaración solicitada de la siguiente manera:</w:t>
      </w:r>
    </w:p>
    <w:p w:rsidR="00000000" w:rsidDel="00000000" w:rsidP="00000000" w:rsidRDefault="00000000" w:rsidRPr="00000000" w14:paraId="00000015">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le contestamos que:</w:t>
      </w:r>
    </w:p>
    <w:p w:rsidR="00000000" w:rsidDel="00000000" w:rsidP="00000000" w:rsidRDefault="00000000" w:rsidRPr="00000000" w14:paraId="00000016">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archivo adjunto, encontrará el acuerdo mediante el cual se determina no dar curso a su solicitud, debido a que no fueron presentados los requerimientos solicitados de conformidad con el artículo 111 de la Ley de Protección de Datos Personales en Posesión de Sujetos Obligados del Estado de México y Municipios; así como en el artículo 59 de los Lineamientos por los que se establecen las políticas, criterios y procedimientos que deberán observar los Sujetos Obligados, para proveer la aplicación e implementación de la Ley de Protección de Datos Personales del Estado de México, que expide el Pleno del Instituto de Transparencia, Acceso a la Información Pública y Protección de Datos Personales del Estado de México y Municipios,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rsidR="00000000" w:rsidDel="00000000" w:rsidP="00000000" w:rsidRDefault="00000000" w:rsidRPr="00000000" w14:paraId="00000017">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8">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EN PLANEACION TERRITORIAL ABRAHAM ISRAEL BADIA VARGAS”</w:t>
      </w:r>
    </w:p>
    <w:p w:rsidR="00000000" w:rsidDel="00000000" w:rsidP="00000000" w:rsidRDefault="00000000" w:rsidRPr="00000000" w14:paraId="00000019">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A">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1B">
      <w:pPr>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“ACUERDO DE DESECHAMIENTO 152.AD.pdf”: </w:t>
      </w:r>
      <w:r w:rsidDel="00000000" w:rsidR="00000000" w:rsidRPr="00000000">
        <w:rPr>
          <w:rFonts w:ascii="Palatino Linotype" w:cs="Palatino Linotype" w:eastAsia="Palatino Linotype" w:hAnsi="Palatino Linotype"/>
          <w:rtl w:val="0"/>
        </w:rPr>
        <w:t xml:space="preserve">Documento de cuatro fojas, en el que la Jefa del Departamento de Acceso a la Información Institucional notifica a la persona solicitante que se determina no dar curso a la solicitud de acceso a datos personales, quedando a salvo sus derechos para volver a presentarla; informando que podrá ingresar una nueva solicitud de acceso a datos personales ante el Instituto de Seguridad Social del Estado de México y Municipios, acreditando el consentimiento y la representación del titular de los datos, proporcionando un poder notarial especial, o carta poder firmada ante dos testigos especificando que la representación se le otorgó para el trámite de acceso a datos personales ante el Instituto de Seguridad Social del Estado de México y Municipios; antes del fallecimiento, o bien, un mandato judicial para dicho efecto, o que el titular haya autorizado dentro de una cláusula del testamento a las personas que podrán ejercer sus derechos ARCO al momento del fallecimiento. </w:t>
      </w:r>
    </w:p>
    <w:p w:rsidR="00000000" w:rsidDel="00000000" w:rsidP="00000000" w:rsidRDefault="00000000" w:rsidRPr="00000000" w14:paraId="0000001C">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Interposición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veintidós de marzo de dos mil veintitrés, la parte Recurrente</w:t>
      </w:r>
      <w:r w:rsidDel="00000000" w:rsidR="00000000" w:rsidRPr="00000000">
        <w:rPr>
          <w:rFonts w:ascii="Palatino Linotype" w:cs="Palatino Linotype" w:eastAsia="Palatino Linotype" w:hAnsi="Palatino Linotype"/>
          <w:rtl w:val="0"/>
        </w:rPr>
        <w:t xml:space="preserve"> interpuso el recurso de revisión a través del </w:t>
      </w:r>
      <w:r w:rsidDel="00000000" w:rsidR="00000000" w:rsidRPr="00000000">
        <w:rPr>
          <w:rFonts w:ascii="Palatino Linotype" w:cs="Palatino Linotype" w:eastAsia="Palatino Linotype" w:hAnsi="Palatino Linotype"/>
          <w:b w:val="1"/>
          <w:rtl w:val="0"/>
        </w:rPr>
        <w:t xml:space="preserve">SARCOEM,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1D">
      <w:pPr>
        <w:tabs>
          <w:tab w:val="left" w:leader="none" w:pos="2745"/>
        </w:tabs>
        <w:spacing w:after="240" w:before="240"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 </w:t>
      </w:r>
    </w:p>
    <w:p w:rsidR="00000000" w:rsidDel="00000000" w:rsidP="00000000" w:rsidRDefault="00000000" w:rsidRPr="00000000" w14:paraId="0000001E">
      <w:pPr>
        <w:tabs>
          <w:tab w:val="left" w:leader="none" w:pos="2745"/>
        </w:tabs>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ME NEGÓ LA INFORMACIÓN SOLICITADA” (Sic)</w:t>
      </w:r>
    </w:p>
    <w:p w:rsidR="00000000" w:rsidDel="00000000" w:rsidP="00000000" w:rsidRDefault="00000000" w:rsidRPr="00000000" w14:paraId="0000001F">
      <w:pPr>
        <w:tabs>
          <w:tab w:val="left" w:leader="none" w:pos="2745"/>
        </w:tabs>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0">
      <w:pPr>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1">
      <w:pPr>
        <w:ind w:left="567" w:right="902" w:firstLine="0"/>
        <w:jc w:val="both"/>
        <w:rPr>
          <w:rFonts w:ascii="Palatino Linotype" w:cs="Palatino Linotype" w:eastAsia="Palatino Linotype" w:hAnsi="Palatino Linotype"/>
          <w:i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i w:val="1"/>
          <w:sz w:val="22"/>
          <w:szCs w:val="22"/>
          <w:rtl w:val="0"/>
        </w:rPr>
        <w:t xml:space="preserve"> “Ingrese una solicitud en el SARCOEM, el día quince de febrero del año en curso, para solicitar copia certificada del aviso de movimiento de baja, copia certificada de actualización en la constancia de servicio y hoja de servicio, copia certificada de comprobantes de percepciones y deducciones de los años 2022 y 2023 copia certificada de beneficiarios de la carta testamentaria y copia certificada del seguro por fallecimiento, de mi difunto hermano XXXXXX XXXXXXX XXXX, con clave ISSEMYM XXXXXXX, lo cual adjunte la siguiente información que son: mi identificación oficial, mi acta de nacimiento, identificación oficial, credencial de afiliación del ISSEMYM, acta de nacimiento, acta de defunción de mi difunto hermano, acta de matrimonio y carta testamentaria del Sindicato de Maestros al Servicio del Estado de México. Posteriormente la Unidad de Transparencia me requirió complementara mi solicitud de acceso a datos, debido a que no anexe el documento mediante el cual mi difunto hermano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como lo demostré en los documentos que adjunte en la solicitud. Por lo anterior, solicito al ISSEMYM, que se me entregue solicitar copia certificada del aviso de movimiento de baja, copia certificada de actualización en la constancia de servicio y hoja de servicio, copia certificada de comprobantes de percepciones y deducciones de los años 2022 y 2023 copia certificada de beneficiarios de la carta testamentaria y copia certificada del seguro por fallecimiento, de mi difunto hermano XXXXXX XXXXXXX XXXX, con clave ISSEMYM XXXXXXX, lo cual requiero para iniciar el juicio de declaración de beneficiarios para las prestaciones de FOREMEX.” (sic)</w:t>
      </w:r>
    </w:p>
    <w:p w:rsidR="00000000" w:rsidDel="00000000" w:rsidP="00000000" w:rsidRDefault="00000000" w:rsidRPr="00000000" w14:paraId="00000022">
      <w:pPr>
        <w:ind w:left="851" w:right="902"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3">
      <w:pPr>
        <w:ind w:left="567"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24">
      <w:pPr>
        <w:ind w:left="567"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25">
      <w:pPr>
        <w:spacing w:line="360" w:lineRule="auto"/>
        <w:ind w:left="567"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“152 AD .rar”: </w:t>
      </w:r>
      <w:r w:rsidDel="00000000" w:rsidR="00000000" w:rsidRPr="00000000">
        <w:rPr>
          <w:rFonts w:ascii="Palatino Linotype" w:cs="Palatino Linotype" w:eastAsia="Palatino Linotype" w:hAnsi="Palatino Linotype"/>
          <w:rtl w:val="0"/>
        </w:rPr>
        <w:t xml:space="preserve">Carpeta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comprimida en la que se aprecian los siguientes archivos electrónicos:</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line="360" w:lineRule="auto"/>
        <w:ind w:left="927" w:right="902"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Acta de Nacimiento de la persona solicitante, actualmente </w:t>
      </w:r>
      <w:r w:rsidDel="00000000" w:rsidR="00000000" w:rsidRPr="00000000">
        <w:rPr>
          <w:rFonts w:ascii="Palatino Linotype" w:cs="Palatino Linotype" w:eastAsia="Palatino Linotype" w:hAnsi="Palatino Linotype"/>
          <w:b w:val="1"/>
          <w:rtl w:val="0"/>
        </w:rPr>
        <w:t xml:space="preserve">parte Recurrente. </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line="360" w:lineRule="auto"/>
        <w:ind w:left="927" w:right="9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Acta de Nacimiento del titular de los datos personales.</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line="360" w:lineRule="auto"/>
        <w:ind w:left="927" w:right="9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Acta de defunción del titular de los datos personales.</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line="360" w:lineRule="auto"/>
        <w:ind w:left="927" w:right="9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Carta Testamentaria del Sindicato de Maestros del Estado de México, del titular de los datos por la que se designa como beneficiario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line="360" w:lineRule="auto"/>
        <w:ind w:left="927" w:right="9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Credencial de elector del titular de los datos, expedida por el Instituto Nacional Electoral. </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line="360" w:lineRule="auto"/>
        <w:ind w:left="927" w:right="9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Credencial del Instituto de Seguridad Social del Estado de México y Municipios del titular de los datos. </w:t>
      </w:r>
    </w:p>
    <w:p w:rsidR="00000000" w:rsidDel="00000000" w:rsidP="00000000" w:rsidRDefault="00000000" w:rsidRPr="00000000" w14:paraId="0000002C">
      <w:pPr>
        <w:spacing w:line="36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Turno. </w:t>
      </w:r>
      <w:r w:rsidDel="00000000" w:rsidR="00000000" w:rsidRPr="00000000">
        <w:rPr>
          <w:rFonts w:ascii="Palatino Linotype" w:cs="Palatino Linotype" w:eastAsia="Palatino Linotype" w:hAnsi="Palatino Linotype"/>
          <w:rtl w:val="0"/>
        </w:rPr>
        <w:t xml:space="preserve">El Sistema de Acceso, Rectificación, Cancelación y Oposición de Datos Personales del Estado de México (SARCOEM), asignó el número de expediente </w:t>
      </w:r>
      <w:r w:rsidDel="00000000" w:rsidR="00000000" w:rsidRPr="00000000">
        <w:rPr>
          <w:rFonts w:ascii="Palatino Linotype" w:cs="Palatino Linotype" w:eastAsia="Palatino Linotype" w:hAnsi="Palatino Linotype"/>
          <w:b w:val="1"/>
          <w:rtl w:val="0"/>
        </w:rPr>
        <w:t xml:space="preserve">01564/INFOEM/AD/RR/2024</w:t>
      </w:r>
      <w:r w:rsidDel="00000000" w:rsidR="00000000" w:rsidRPr="00000000">
        <w:rPr>
          <w:rFonts w:ascii="Palatino Linotype" w:cs="Palatino Linotype" w:eastAsia="Palatino Linotype" w:hAnsi="Palatino Linotype"/>
          <w:rtl w:val="0"/>
        </w:rPr>
        <w:t xml:space="preserve">, al medio de impugnación que nos ocupa, con base en el sistema aprobado por el Pleno de este Organismo Garante y lo turnó a la </w:t>
      </w:r>
      <w:r w:rsidDel="00000000" w:rsidR="00000000" w:rsidRPr="00000000">
        <w:rPr>
          <w:rFonts w:ascii="Palatino Linotype" w:cs="Palatino Linotype" w:eastAsia="Palatino Linotype" w:hAnsi="Palatino Linotype"/>
          <w:b w:val="1"/>
          <w:rtl w:val="0"/>
        </w:rPr>
        <w:t xml:space="preserve">Comisionada Guadalupe Ramírez Peña</w:t>
      </w:r>
      <w:r w:rsidDel="00000000" w:rsidR="00000000" w:rsidRPr="00000000">
        <w:rPr>
          <w:rFonts w:ascii="Palatino Linotype" w:cs="Palatino Linotype" w:eastAsia="Palatino Linotype" w:hAnsi="Palatino Linotype"/>
          <w:rtl w:val="0"/>
        </w:rPr>
        <w:t xml:space="preserve">, para los efectos de los artículos 129, 130 y 131, de la Ley de Protección de Datos Personales en Posesión de Sujetos Obligados del Estado de México y Municipios. </w:t>
      </w:r>
    </w:p>
    <w:p w:rsidR="00000000" w:rsidDel="00000000" w:rsidP="00000000" w:rsidRDefault="00000000" w:rsidRPr="00000000" w14:paraId="0000002E">
      <w:pPr>
        <w:widowControl w:val="0"/>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F">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Admisión del Recurso de revisión.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tres de abril de dos mil veinticuatro,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Ante este mismo acto, con fundamento en los artículos 129, 130 y 131 de la Ley de Protección de Datos Personales en Posesión de Sujetos Obligados del Estado de México y Municipios, se ordenó la integración del expediente y la puesta a disposición de las partes,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Conciliación de las partes. </w:t>
      </w: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b w:val="1"/>
          <w:rtl w:val="0"/>
        </w:rPr>
        <w:t xml:space="preserve"> doce de abril de dos mil veinticuatro, la parte Recurrente, </w:t>
      </w:r>
      <w:r w:rsidDel="00000000" w:rsidR="00000000" w:rsidRPr="00000000">
        <w:rPr>
          <w:rFonts w:ascii="Palatino Linotype" w:cs="Palatino Linotype" w:eastAsia="Palatino Linotype" w:hAnsi="Palatino Linotype"/>
          <w:rtl w:val="0"/>
        </w:rPr>
        <w:t xml:space="preserve">manifestó su voluntad para conciliar mediante el archivo electrónico “</w:t>
      </w:r>
      <w:r w:rsidDel="00000000" w:rsidR="00000000" w:rsidRPr="00000000">
        <w:rPr>
          <w:rFonts w:ascii="Palatino Linotype" w:cs="Palatino Linotype" w:eastAsia="Palatino Linotype" w:hAnsi="Palatino Linotype"/>
          <w:b w:val="1"/>
          <w:i w:val="1"/>
          <w:rtl w:val="0"/>
        </w:rPr>
        <w:t xml:space="preserve">solicitud conciliación xxxxx.pdf”, </w:t>
      </w: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su voluntad para conciliar el presente asunto el </w:t>
      </w:r>
      <w:r w:rsidDel="00000000" w:rsidR="00000000" w:rsidRPr="00000000">
        <w:rPr>
          <w:rFonts w:ascii="Palatino Linotype" w:cs="Palatino Linotype" w:eastAsia="Palatino Linotype" w:hAnsi="Palatino Linotype"/>
          <w:b w:val="1"/>
          <w:rtl w:val="0"/>
        </w:rPr>
        <w:t xml:space="preserve">doce de abril de dos mil veinticuatro</w:t>
      </w:r>
      <w:r w:rsidDel="00000000" w:rsidR="00000000" w:rsidRPr="00000000">
        <w:rPr>
          <w:rFonts w:ascii="Palatino Linotype" w:cs="Palatino Linotype" w:eastAsia="Palatino Linotype" w:hAnsi="Palatino Linotype"/>
          <w:rtl w:val="0"/>
        </w:rPr>
        <w:t xml:space="preserve">, por medio del archivo electrónico “</w:t>
      </w:r>
      <w:r w:rsidDel="00000000" w:rsidR="00000000" w:rsidRPr="00000000">
        <w:rPr>
          <w:rFonts w:ascii="Palatino Linotype" w:cs="Palatino Linotype" w:eastAsia="Palatino Linotype" w:hAnsi="Palatino Linotype"/>
          <w:b w:val="1"/>
          <w:i w:val="1"/>
          <w:rtl w:val="0"/>
        </w:rPr>
        <w:t xml:space="preserve">OFICIO DE CONCILIACION RR 1564. AD.pdf”. </w:t>
      </w: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identifica que este Instituto tiene la atribución de procurar la conciliación entre las autoridades y los titulares de los datos personales en cualquier momento del procedimiento del Recurso de Revisión, y en su caso, verificar el cumplimiento del acuerdo respectivo en términos del artículo 82, fracción XXVIII de la Ley de Protección de Datos Personales del Estado de México y Municipios. Entonces. Por lo tanto, se consideró procedente citar a las partes a audiencia de conciliación.</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Atentos a la voluntad de las partes de llegar a una conciliación en el presente asunto, el </w:t>
      </w:r>
      <w:r w:rsidDel="00000000" w:rsidR="00000000" w:rsidRPr="00000000">
        <w:rPr>
          <w:rFonts w:ascii="Palatino Linotype" w:cs="Palatino Linotype" w:eastAsia="Palatino Linotype" w:hAnsi="Palatino Linotype"/>
          <w:b w:val="1"/>
          <w:rtl w:val="0"/>
        </w:rPr>
        <w:t xml:space="preserve">ocho de mayo de dos mil veinticuatro</w:t>
      </w:r>
      <w:r w:rsidDel="00000000" w:rsidR="00000000" w:rsidRPr="00000000">
        <w:rPr>
          <w:rFonts w:ascii="Palatino Linotype" w:cs="Palatino Linotype" w:eastAsia="Palatino Linotype" w:hAnsi="Palatino Linotype"/>
          <w:rtl w:val="0"/>
        </w:rPr>
        <w:t xml:space="preserve">, la Comisionada Ponente emitió el </w:t>
      </w:r>
      <w:r w:rsidDel="00000000" w:rsidR="00000000" w:rsidRPr="00000000">
        <w:rPr>
          <w:rFonts w:ascii="Palatino Linotype" w:cs="Palatino Linotype" w:eastAsia="Palatino Linotype" w:hAnsi="Palatino Linotype"/>
          <w:b w:val="1"/>
          <w:rtl w:val="0"/>
        </w:rPr>
        <w:t xml:space="preserve">Acuerdo para señalar día, hora y lugar para la audiencia de la celebración de conciliación, </w:t>
      </w:r>
      <w:r w:rsidDel="00000000" w:rsidR="00000000" w:rsidRPr="00000000">
        <w:rPr>
          <w:rFonts w:ascii="Palatino Linotype" w:cs="Palatino Linotype" w:eastAsia="Palatino Linotype" w:hAnsi="Palatino Linotype"/>
          <w:rtl w:val="0"/>
        </w:rPr>
        <w:t xml:space="preserve">en el cual se estableció que las 11:00 horas del día diez de mayo de dos mil veinticuatro, misma que se desarrolló a través de la plataforma electrónica “ZOOM”.</w:t>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las 11:07 horas del día </w:t>
      </w:r>
      <w:r w:rsidDel="00000000" w:rsidR="00000000" w:rsidRPr="00000000">
        <w:rPr>
          <w:rFonts w:ascii="Palatino Linotype" w:cs="Palatino Linotype" w:eastAsia="Palatino Linotype" w:hAnsi="Palatino Linotype"/>
          <w:b w:val="1"/>
          <w:rtl w:val="0"/>
        </w:rPr>
        <w:t xml:space="preserve">diez de mayo de dos mil veinticuatro</w:t>
      </w:r>
      <w:r w:rsidDel="00000000" w:rsidR="00000000" w:rsidRPr="00000000">
        <w:rPr>
          <w:rFonts w:ascii="Palatino Linotype" w:cs="Palatino Linotype" w:eastAsia="Palatino Linotype" w:hAnsi="Palatino Linotype"/>
          <w:rtl w:val="0"/>
        </w:rPr>
        <w:t xml:space="preserve">, se llevó a cabo la audiencia de conciliación entre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el Sujeto Obligado, a la cual </w:t>
      </w:r>
      <w:r w:rsidDel="00000000" w:rsidR="00000000" w:rsidRPr="00000000">
        <w:rPr>
          <w:rFonts w:ascii="Palatino Linotype" w:cs="Palatino Linotype" w:eastAsia="Palatino Linotype" w:hAnsi="Palatino Linotype"/>
          <w:rtl w:val="0"/>
        </w:rPr>
        <w:t xml:space="preserve">comparecieron ambas partes, quienes se identificaron con las identificaciones oficiales correspondientes, manifestaron sus posturas y como resultado de estas, se levantó el acta correspondiente. </w:t>
      </w:r>
    </w:p>
    <w:p w:rsidR="00000000" w:rsidDel="00000000" w:rsidP="00000000" w:rsidRDefault="00000000" w:rsidRPr="00000000" w14:paraId="000000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de precisar que quien acudió en representación del Instituto de Seguridad Social del Estado de México y Municipios, dio cuenta al Particular de lo siguiente:</w:t>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line="360" w:lineRule="auto"/>
        <w:ind w:left="567" w:right="900" w:hanging="1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Dentro de sus archivos únicamente cuenta con el aviso de movimiento de baja de fecha 15 de febrero de 2023, que consta de una foja, en la modalidad de copia certificada, asimismo refiere que, al tratarse de una sola foja, esta se proporcionaría de manera gratuita. </w:t>
      </w:r>
    </w:p>
    <w:p w:rsidR="00000000" w:rsidDel="00000000" w:rsidP="00000000" w:rsidRDefault="00000000" w:rsidRPr="00000000" w14:paraId="0000003A">
      <w:pPr>
        <w:spacing w:line="360" w:lineRule="auto"/>
        <w:ind w:left="567" w:right="900" w:hanging="1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line="360" w:lineRule="auto"/>
        <w:ind w:left="567" w:right="900" w:hanging="1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Asimismo, también refiere que por lo que refiere a comprobantes de pago, hoja de servicio, constancia de percepciones y deducciones, dichos documentos no son generados por este Instituto de Seguridad Social, por lo que no es posible proporcionar la información, sin embargo, en este mismo acto orientó al particular para que acudiera ante las instancias correspondientes que pudieran contar con la información. </w:t>
      </w:r>
    </w:p>
    <w:p w:rsidR="00000000" w:rsidDel="00000000" w:rsidP="00000000" w:rsidRDefault="00000000" w:rsidRPr="00000000" w14:paraId="0000003C">
      <w:pPr>
        <w:spacing w:line="360" w:lineRule="auto"/>
        <w:ind w:left="567" w:right="900" w:hanging="1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Finalmente, señaló que no era posible otorgarle el acceso a la carta testamentaria puesto que el solicitante no es beneficiario de dicho documento. </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360" w:lineRule="auto"/>
        <w:ind w:left="-4" w:right="43" w:hanging="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concluida esta etapa, se procedió a preguntar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si aceptaría la información que se le entregaría; enseguida, se le concedió el uso de la palabra al recurrente quien manifestó estar conforme con la información que se le entregaría. </w:t>
      </w:r>
    </w:p>
    <w:p w:rsidR="00000000" w:rsidDel="00000000" w:rsidP="00000000" w:rsidRDefault="00000000" w:rsidRPr="00000000" w14:paraId="0000003F">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De la recepción de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trece de mayo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a este Instituto Garante a través del Sistema de Acceso, Rectificación, Cancelación y Oposición del Estado de México (SARCOEM)</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acuse signado por el Particular, en el que se da cuenta, que este último, recibió la documental correspondiente a su entera satisfacción.</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Ampliación de plazo para emitir resolución. </w:t>
      </w: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b w:val="1"/>
          <w:rtl w:val="0"/>
        </w:rPr>
        <w:t xml:space="preserve"> trece de junio de dos mil veinticuatro</w:t>
      </w:r>
      <w:r w:rsidDel="00000000" w:rsidR="00000000" w:rsidRPr="00000000">
        <w:rPr>
          <w:rFonts w:ascii="Palatino Linotype" w:cs="Palatino Linotype" w:eastAsia="Palatino Linotype" w:hAnsi="Palatino Linotype"/>
          <w:rtl w:val="0"/>
        </w:rPr>
        <w:t xml:space="preserve">,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240" w:before="240" w:line="360" w:lineRule="auto"/>
        <w:ind w:left="426"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48">
      <w:pPr>
        <w:numPr>
          <w:ilvl w:val="0"/>
          <w:numId w:val="2"/>
        </w:numPr>
        <w:spacing w:after="240" w:before="240" w:line="360" w:lineRule="auto"/>
        <w:ind w:left="567" w:right="1183"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49">
      <w:pPr>
        <w:numPr>
          <w:ilvl w:val="0"/>
          <w:numId w:val="2"/>
        </w:numPr>
        <w:spacing w:after="240" w:before="240" w:line="360" w:lineRule="auto"/>
        <w:ind w:left="567" w:right="1183"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4A">
      <w:pPr>
        <w:numPr>
          <w:ilvl w:val="0"/>
          <w:numId w:val="2"/>
        </w:numPr>
        <w:spacing w:after="240" w:before="240" w:line="360" w:lineRule="auto"/>
        <w:ind w:left="567" w:right="1183"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11.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dieciocho de junio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56">
      <w:pPr>
        <w:widowControl w:val="0"/>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rPr>
      </w:pPr>
      <w:bookmarkStart w:colFirst="0" w:colLast="0" w:name="_heading=h.1t3h5sf" w:id="3"/>
      <w:bookmarkEnd w:id="3"/>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9, fracciones I y XXIII y 11  del Reglamento Interior del Instituto de Transparencia, Acceso a la Información Pública y Protección de Datos Personales del Estado de México y Municipios. </w:t>
      </w:r>
    </w:p>
    <w:p w:rsidR="00000000" w:rsidDel="00000000" w:rsidP="00000000" w:rsidRDefault="00000000" w:rsidRPr="00000000" w14:paraId="0000005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Causales de Improcedencia y Sobreseimiento</w:t>
      </w:r>
      <w:r w:rsidDel="00000000" w:rsidR="00000000" w:rsidRPr="00000000">
        <w:rPr>
          <w:rFonts w:ascii="Palatino Linotype" w:cs="Palatino Linotype" w:eastAsia="Palatino Linotype" w:hAnsi="Palatino Linotype"/>
          <w:rtl w:val="0"/>
        </w:rPr>
        <w:t xml:space="preserve">. 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p>
    <w:p w:rsidR="00000000" w:rsidDel="00000000" w:rsidP="00000000" w:rsidRDefault="00000000" w:rsidRPr="00000000" w14:paraId="0000005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Palatino Linotype" w:cs="Palatino Linotype" w:eastAsia="Palatino Linotype" w:hAnsi="Palatino Linotype"/>
          <w:b w:val="1"/>
          <w:rtl w:val="0"/>
        </w:rPr>
        <w:t xml:space="preserve"> Causales de improcedencia</w:t>
      </w:r>
      <w:r w:rsidDel="00000000" w:rsidR="00000000" w:rsidRPr="00000000">
        <w:rPr>
          <w:rFonts w:ascii="Palatino Linotype" w:cs="Palatino Linotype" w:eastAsia="Palatino Linotype" w:hAnsi="Palatino Linotype"/>
          <w:rtl w:val="0"/>
        </w:rPr>
        <w:t xml:space="preserve">. 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 la causal de procedencia prevista por el artículo 129, fracciones XI y XII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para efectos de interponer el medio de impugnación que nos ocupa. </w:t>
      </w:r>
    </w:p>
    <w:p w:rsidR="00000000" w:rsidDel="00000000" w:rsidP="00000000" w:rsidRDefault="00000000" w:rsidRPr="00000000" w14:paraId="0000005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rPr>
      </w:pPr>
      <w:r w:rsidDel="00000000" w:rsidR="00000000" w:rsidRPr="00000000">
        <w:rPr>
          <w:rFonts w:ascii="Noto Sans Symbols" w:cs="Noto Sans Symbols" w:eastAsia="Noto Sans Symbols" w:hAnsi="Noto Sans Symbols"/>
          <w:b w:val="1"/>
          <w:rtl w:val="0"/>
        </w:rPr>
        <w:t xml:space="preserve">∙</w:t>
      </w:r>
      <w:r w:rsidDel="00000000" w:rsidR="00000000" w:rsidRPr="00000000">
        <w:rPr>
          <w:rFonts w:ascii="Palatino Linotype" w:cs="Palatino Linotype" w:eastAsia="Palatino Linotype" w:hAnsi="Palatino Linotype"/>
          <w:b w:val="1"/>
          <w:rtl w:val="0"/>
        </w:rPr>
        <w:t xml:space="preserve"> Causales de sobreseimiento.</w:t>
      </w:r>
      <w:r w:rsidDel="00000000" w:rsidR="00000000" w:rsidRPr="00000000">
        <w:rPr>
          <w:rFonts w:ascii="Palatino Linotype" w:cs="Palatino Linotype" w:eastAsia="Palatino Linotype" w:hAnsi="Palatino Linotype"/>
          <w:rtl w:val="0"/>
        </w:rPr>
        <w:t xml:space="preserve"> Por otra parte, el artículo 139, de la Ley de Protección de Datos Personales en Posesión de Sujetos Obligados del Estado de México y Municipios, señala que el Recurso de Revisión será sobreseído cuando una vez admitido, se actualice algún de los supuestos siguientes:</w:t>
      </w:r>
    </w:p>
    <w:p w:rsidR="00000000" w:rsidDel="00000000" w:rsidP="00000000" w:rsidRDefault="00000000" w:rsidRPr="00000000" w14:paraId="0000005E">
      <w:pPr>
        <w:numPr>
          <w:ilvl w:val="0"/>
          <w:numId w:val="3"/>
        </w:numPr>
        <w:spacing w:line="360" w:lineRule="auto"/>
        <w:ind w:left="567"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se desista expresamente.</w:t>
      </w:r>
    </w:p>
    <w:p w:rsidR="00000000" w:rsidDel="00000000" w:rsidP="00000000" w:rsidRDefault="00000000" w:rsidRPr="00000000" w14:paraId="0000005F">
      <w:pPr>
        <w:numPr>
          <w:ilvl w:val="0"/>
          <w:numId w:val="3"/>
        </w:numPr>
        <w:spacing w:line="360" w:lineRule="auto"/>
        <w:ind w:left="567"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fallezca. </w:t>
      </w:r>
    </w:p>
    <w:p w:rsidR="00000000" w:rsidDel="00000000" w:rsidP="00000000" w:rsidRDefault="00000000" w:rsidRPr="00000000" w14:paraId="00000060">
      <w:pPr>
        <w:numPr>
          <w:ilvl w:val="0"/>
          <w:numId w:val="3"/>
        </w:numPr>
        <w:spacing w:line="360" w:lineRule="auto"/>
        <w:ind w:left="567"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recurso de revisión, se actualice alguna causal de improcedencia en los términos de la presente Ley. </w:t>
      </w:r>
    </w:p>
    <w:p w:rsidR="00000000" w:rsidDel="00000000" w:rsidP="00000000" w:rsidRDefault="00000000" w:rsidRPr="00000000" w14:paraId="00000061">
      <w:pPr>
        <w:numPr>
          <w:ilvl w:val="0"/>
          <w:numId w:val="3"/>
        </w:numPr>
        <w:spacing w:line="360" w:lineRule="auto"/>
        <w:ind w:left="567" w:hanging="283"/>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El responsable modifique o revoque su respuesta de tal manera que el recurso de revisión quede sin materia. </w:t>
      </w:r>
    </w:p>
    <w:p w:rsidR="00000000" w:rsidDel="00000000" w:rsidP="00000000" w:rsidRDefault="00000000" w:rsidRPr="00000000" w14:paraId="00000062">
      <w:pPr>
        <w:numPr>
          <w:ilvl w:val="0"/>
          <w:numId w:val="3"/>
        </w:numPr>
        <w:spacing w:line="360" w:lineRule="auto"/>
        <w:ind w:left="567"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Quede sin materia el recurso de revisión. </w:t>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señalar que toda vez que admitido el recurso de revisión, se actualiza una causal de sobreseimiento en términos de la Ley, es procedente analizar el supuesto previsto en la fracción IV del artículo en cita.</w:t>
      </w:r>
    </w:p>
    <w:p w:rsidR="00000000" w:rsidDel="00000000" w:rsidP="00000000" w:rsidRDefault="00000000" w:rsidRPr="00000000" w14:paraId="0000006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Análisis de las Causales de sobreseimiento.  </w:t>
      </w:r>
      <w:r w:rsidDel="00000000" w:rsidR="00000000" w:rsidRPr="00000000">
        <w:rPr>
          <w:rFonts w:ascii="Palatino Linotype" w:cs="Palatino Linotype" w:eastAsia="Palatino Linotype" w:hAnsi="Palatino Linotype"/>
          <w:rtl w:val="0"/>
        </w:rPr>
        <w:t xml:space="preserve">Con la finalidad de verificar si el acto descrito deja sin materia el presente Recurso de Revisión, se realizará la relatoría de las actuaciones efectuadas por las partes durante el procedimiento de acceso a datos personales, con el propósito de dar claridad en el tratamiento del tema en estudio.</w:t>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Tal y como quedó asentado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el antecedente uno de la presente resolución, la </w:t>
      </w:r>
      <w:r w:rsidDel="00000000" w:rsidR="00000000" w:rsidRPr="00000000">
        <w:rPr>
          <w:rFonts w:ascii="Palatino Linotype" w:cs="Palatino Linotype" w:eastAsia="Palatino Linotype" w:hAnsi="Palatino Linotype"/>
          <w:b w:val="1"/>
          <w:rtl w:val="0"/>
        </w:rPr>
        <w:t xml:space="preserve">parte 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del titular de los datos referido en la solicitud de acceso a datos </w:t>
      </w:r>
      <w:r w:rsidDel="00000000" w:rsidR="00000000" w:rsidRPr="00000000">
        <w:rPr>
          <w:rFonts w:ascii="Palatino Linotype" w:cs="Palatino Linotype" w:eastAsia="Palatino Linotype" w:hAnsi="Palatino Linotype"/>
          <w:b w:val="1"/>
          <w:rtl w:val="0"/>
        </w:rPr>
        <w:t xml:space="preserve">00152/ISSEMYM/AD/2024, </w:t>
      </w:r>
      <w:r w:rsidDel="00000000" w:rsidR="00000000" w:rsidRPr="00000000">
        <w:rPr>
          <w:rFonts w:ascii="Palatino Linotype" w:cs="Palatino Linotype" w:eastAsia="Palatino Linotype" w:hAnsi="Palatino Linotype"/>
          <w:rtl w:val="0"/>
        </w:rPr>
        <w:t xml:space="preserve">copias certificadas el aviso de movimiento de baja de la persona titular de los datos personales, por defunción, copia de la actualización en la constancia del servicios, hoja de servicio, copia certificada de comprobantes de percepciones y deducciones, copia certificada de información de beneficiarios de la carta testamentaria y copia certificada del seguro por fallecimiento.</w:t>
      </w:r>
    </w:p>
    <w:p w:rsidR="00000000" w:rsidDel="00000000" w:rsidP="00000000" w:rsidRDefault="00000000" w:rsidRPr="00000000" w14:paraId="0000006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line="360" w:lineRule="auto"/>
        <w:jc w:val="both"/>
        <w:rPr>
          <w:rFonts w:ascii="Calibri" w:cs="Calibri" w:eastAsia="Calibri" w:hAnsi="Calibri"/>
        </w:rPr>
      </w:pPr>
      <w:r w:rsidDel="00000000" w:rsidR="00000000" w:rsidRPr="00000000">
        <w:rPr>
          <w:rFonts w:ascii="Palatino Linotype" w:cs="Palatino Linotype" w:eastAsia="Palatino Linotype" w:hAnsi="Palatino Linotype"/>
          <w:rtl w:val="0"/>
        </w:rPr>
        <w:t xml:space="preserve">Posteriormente</w:t>
      </w:r>
      <w:r w:rsidDel="00000000" w:rsidR="00000000" w:rsidRPr="00000000">
        <w:rPr>
          <w:rFonts w:ascii="Palatino Linotype" w:cs="Palatino Linotype" w:eastAsia="Palatino Linotype" w:hAnsi="Palatino Linotype"/>
          <w:b w:val="1"/>
          <w:rtl w:val="0"/>
        </w:rPr>
        <w:t xml:space="preserve"> 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requiere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presentar el documento mediante el cual acredite tener legalmente la representación del titular de los datos personales o representante legal de la persona finada, para el trámite de acceso a datos personales ante el Instituto de Seguridad Social del Estado de México y Municipios, así como de los días y horarios en los que puede acudir con el propósito de indicarle el procedimiento de acceder a la información solicitada.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Cabe precisar que la persona solicitante fue omisa en atender la aclaración de solicitud; en consecuencia a lo anterior,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tuvo por no presentada la solicitud de acceso a datos. </w:t>
      </w: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 Recurrente </w:t>
      </w:r>
      <w:r w:rsidDel="00000000" w:rsidR="00000000" w:rsidRPr="00000000">
        <w:rPr>
          <w:rFonts w:ascii="Palatino Linotype" w:cs="Palatino Linotype" w:eastAsia="Palatino Linotype" w:hAnsi="Palatino Linotype"/>
          <w:rtl w:val="0"/>
        </w:rPr>
        <w:t xml:space="preserve">manifestó como agravios en lo medular la negativa a entregar la información solicitada, es de precisar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 través del medio de defensa citado al rubro, el ahora Recurrente compartió una carpeta comprimida en la que obran actas de nacimiento de  la persona solicitante, actualmente parte Recurrente y titular de los datos personales, acta de defunción del titular de los datos personales, carta Testamentaria del Sindicato de Maestros del Estado de México, del titular de los datos por la que se designa como beneficiario a la parte Recurrente, así como credencial de elector del titular de los datos, expedida por el Instituto Nacional Electoral y credencial del Instituto de Seguridad Social del Estado de México y Municipios del titular de los datos, con los cuales, a su decir, acreditó el interés jurídico para acceder a los documentos solicitados, esto, toda vez que no cuenta con el documento específico señalado.</w:t>
      </w:r>
    </w:p>
    <w:p w:rsidR="00000000" w:rsidDel="00000000" w:rsidP="00000000" w:rsidRDefault="00000000" w:rsidRPr="00000000" w14:paraId="0000006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lo hasta aquí expuesto, es necesario advertir por este Instituto especializado en la Protección de los Datos Personales, que, para dar acceso a información de personas fallecidas, la Ley de Datos vigente en la Entidad, establece presupuestos que deben ser satisfechos, lo cual, en específico se encuentra en el artículo 106, párrafos cuarto, quinto y sexto, de conformidad con lo siguiente: </w:t>
      </w:r>
    </w:p>
    <w:p w:rsidR="00000000" w:rsidDel="00000000" w:rsidP="00000000" w:rsidRDefault="00000000" w:rsidRPr="00000000" w14:paraId="0000006F">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276"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Legitimación para Ejercer los Derechos ARCO </w:t>
      </w:r>
    </w:p>
    <w:p w:rsidR="00000000" w:rsidDel="00000000" w:rsidP="00000000" w:rsidRDefault="00000000" w:rsidRPr="00000000" w14:paraId="00000071">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rsidR="00000000" w:rsidDel="00000000" w:rsidP="00000000" w:rsidRDefault="00000000" w:rsidRPr="00000000" w14:paraId="00000073">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4">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000000" w:rsidDel="00000000" w:rsidP="00000000" w:rsidRDefault="00000000" w:rsidRPr="00000000" w14:paraId="00000075">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6">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titular podrá autorizar dentro de una cláusula del testamento a las personas que podrán ejercer sus derechos ARCO al momento del fallecimiento.</w:t>
      </w:r>
    </w:p>
    <w:p w:rsidR="00000000" w:rsidDel="00000000" w:rsidP="00000000" w:rsidRDefault="00000000" w:rsidRPr="00000000" w14:paraId="00000077">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8">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ejercicio de los derechos ARCO por persona distinta a su titular o a su representante, será posible, excepcionalmente, en aquellos supuestos previstos por disposición legal, o en su caso, por mandato judicial. …” </w:t>
      </w:r>
    </w:p>
    <w:p w:rsidR="00000000" w:rsidDel="00000000" w:rsidP="00000000" w:rsidRDefault="00000000" w:rsidRPr="00000000" w14:paraId="00000079">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se identifica que estos requisitos disminuyen en la etapa del Recurso de Revisión, en donde bastará con que la persona que busca acceder a los datos personales de la persona fallecida acredite interés jurídico ante este Organismo Garante, como lo establece el artículo 122, de la Ley de Protección de Datos Personales, vigente en la entidad:</w:t>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“Interposición respecto a datos de personas fallecidas </w:t>
      </w:r>
    </w:p>
    <w:p w:rsidR="00000000" w:rsidDel="00000000" w:rsidP="00000000" w:rsidRDefault="00000000" w:rsidRPr="00000000" w14:paraId="0000007D">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 La interposición de un recurso de revisión de datos personales concernientes a personas fallecidas, podrá realizarla la persona que acredite tener un interés jurídico o legítimo.”</w:t>
      </w:r>
    </w:p>
    <w:p w:rsidR="00000000" w:rsidDel="00000000" w:rsidP="00000000" w:rsidRDefault="00000000" w:rsidRPr="00000000" w14:paraId="0000007E">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F">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acreditar el interés jurídico, es indispensable identificar la normatividad aplicable para lo que en primer lugar, resulta conducente atender a lo establecido constitucionalmente y es así como, la reforma constitucional en materia de derechos humanos de dos mil once, implicó una cantidad importante de cambios en el diseño constitucional, y por tanto en la labor de aplicación e interpretación de las normas. La herramienta más relevante es el principio de interpretación conforme, el cual persigue dos propósitos: asegurar la integración normativa de los derechos y resolver las tensiones, conflictos o antinomias que se presenten entre los mismos; este principio, se contempla en el artículo primero de la Constitución Política de los Estados Unidos Mexicanos:</w:t>
      </w:r>
    </w:p>
    <w:p w:rsidR="00000000" w:rsidDel="00000000" w:rsidP="00000000" w:rsidRDefault="00000000" w:rsidRPr="00000000" w14:paraId="0000008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8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8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8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Está prohibida la esclavitud en los Estados Unidos Mexicanos. Los esclavos del extranjero que entren al territorio nacional alcanzarán, por este solo hecho, su libertad y la protección de las leyes.</w:t>
      </w:r>
    </w:p>
    <w:p w:rsidR="00000000" w:rsidDel="00000000" w:rsidP="00000000" w:rsidRDefault="00000000" w:rsidRPr="00000000" w14:paraId="0000008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000000" w:rsidDel="00000000" w:rsidP="00000000" w:rsidRDefault="00000000" w:rsidRPr="00000000" w14:paraId="0000008A">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interpretación conforme constituye el principio por el cual las normas relativas a los derechos humanos son, en su carácter de estándares de mínimos, objeto de una remisión hacia la Constitución y los tratados internacionales para efectos de su aplicación más protectora.</w:t>
      </w:r>
    </w:p>
    <w:p w:rsidR="00000000" w:rsidDel="00000000" w:rsidP="00000000" w:rsidRDefault="00000000" w:rsidRPr="00000000" w14:paraId="0000008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interpretación conforme ha adoptado una naturaleza, en la medida que las remisiones interpretativas no se dan únicamente respecto a los tratados internacionales, sino también respecto a la propia Constitución y la interpretación que les dan las normas secundarias a los derechos consagrados en el marco constitucional. Este nuevo paradigma legal, consiente acceder entonces a elementos normativos, que permitan ampliar la interpretación que se le da a un derecho, siempre que sea en beneficio del gobernado y en ajuste al marco normativo aplicable.</w:t>
      </w:r>
    </w:p>
    <w:p w:rsidR="00000000" w:rsidDel="00000000" w:rsidP="00000000" w:rsidRDefault="00000000" w:rsidRPr="00000000" w14:paraId="0000008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propia Ley de Protección de Datos Personales en Posesión de Sujetos Obligados del Estado de México y Municipios, en su artículo 10, establecen que la protección de los datos personales deberá hacerse en ajuste a la interpretación conforme, para lo que se reproduce el mencionado artículo:</w:t>
      </w:r>
    </w:p>
    <w:p w:rsidR="00000000" w:rsidDel="00000000" w:rsidP="00000000" w:rsidRDefault="00000000" w:rsidRPr="00000000" w14:paraId="0000009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Interpretación conforme</w:t>
      </w:r>
    </w:p>
    <w:p w:rsidR="00000000" w:rsidDel="00000000" w:rsidP="00000000" w:rsidRDefault="00000000" w:rsidRPr="00000000" w14:paraId="0000009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10. La aplicación e interpretación de la presente Ley se realizará conforme a lo dispuesto por la Constitución Política de los Estados Unidos Mexicanos, los Tratados Internacionales en los que el Estado mexicano sea parte, la Constitución Política del Estado Libre y Soberano de México, así como las resoluciones y sentencias vinculantes que emitan los órganos nacionales e internacionales especializados, favoreciendo el derecho a la privacidad, la protección de datos personales y a las personas la protección más amplia.</w:t>
      </w:r>
    </w:p>
    <w:p w:rsidR="00000000" w:rsidDel="00000000" w:rsidP="00000000" w:rsidRDefault="00000000" w:rsidRPr="00000000" w14:paraId="0000009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la interpretación, se podrán tomar en cuenta los criterios, determinaciones y opiniones de los organismos nacionales e internacionales, en materia de protección de datos personales.</w:t>
      </w:r>
    </w:p>
    <w:p w:rsidR="00000000" w:rsidDel="00000000" w:rsidP="00000000" w:rsidRDefault="00000000" w:rsidRPr="00000000" w14:paraId="0000009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entonces es dable citar en el análisis los Lineamientos Generales de Protección de Datos Personales para el Sector Público, aprobados por el Pleno del Instituto Nacional de Transparencia, Acceso a la Información Pública y Protección de Datos Personales, el 19 de diciembre del 2017, en apego a lo consagrado por la Ley General de Protección de Datos Personales en Posesión de Sujetos Obligados:</w:t>
      </w:r>
    </w:p>
    <w:p w:rsidR="00000000" w:rsidDel="00000000" w:rsidP="00000000" w:rsidRDefault="00000000" w:rsidRPr="00000000" w14:paraId="00000097">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75. De conformidad con el artículo 49, último párrafo de la Ley General, tratándose de datos personales concernientes a personas fallecidas, la persona que acredite tener un interés jurídico podrá ejercer los derechos ARCO.</w:t>
      </w:r>
    </w:p>
    <w:p w:rsidR="00000000" w:rsidDel="00000000" w:rsidP="00000000" w:rsidRDefault="00000000" w:rsidRPr="00000000" w14:paraId="0000009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A">
      <w:pPr>
        <w:spacing w:line="276" w:lineRule="auto"/>
        <w:ind w:left="567"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En caso de que la persona fallecida no hubiere expresado fehacientemente su voluntad a que se refiere el párrafo anterior, bastará que la persona que pretende ejercer los derechos ARCO acredite su interés jurídico en los términos previstos en el presente Capítulo.</w:t>
      </w:r>
      <w:r w:rsidDel="00000000" w:rsidR="00000000" w:rsidRPr="00000000">
        <w:rPr>
          <w:rtl w:val="0"/>
        </w:rPr>
      </w:r>
    </w:p>
    <w:p w:rsidR="00000000" w:rsidDel="00000000" w:rsidP="00000000" w:rsidRDefault="00000000" w:rsidRPr="00000000" w14:paraId="0000009B">
      <w:pPr>
        <w:spacing w:line="276" w:lineRule="auto"/>
        <w:ind w:left="567" w:right="90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9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los efectos de la Ley General y los presentes Lineamientos generales, se entenderá por interés jurídico, aquel que tiene una persona física que, con motivo del fallecimiento del titular, pretende ejercer los derechos ARCO, de éste, para el reconocimiento de derechos sucesorios, atendiendo a la relación de parentesco por consanguinidad o afinidad que haya tenido con el titular, el cual se acreditará en términos de las disposiciones legales aplicables.</w:t>
      </w:r>
    </w:p>
    <w:p w:rsidR="00000000" w:rsidDel="00000000" w:rsidP="00000000" w:rsidRDefault="00000000" w:rsidRPr="00000000" w14:paraId="0000009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Puede alegar interés jurídico, de manera enunciativa mas no limitativa, el albacea, herederos, legatarios, familiares en línea recta sin limitación de grado y en línea colateral hasta el cuarto grado, lo que se acreditará con copia simple del documento delegatorio, pasado ante la fé de notario público o suscrito ante dos testigos.</w:t>
      </w:r>
    </w:p>
    <w:p w:rsidR="00000000" w:rsidDel="00000000" w:rsidP="00000000" w:rsidRDefault="00000000" w:rsidRPr="00000000" w14:paraId="0000009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A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fuente obligacional, tiene el carácter de vigente y, por tanto, debe ser considerada por parte de este Organismo Garante. Así, se debe identificar que la reforma en materia de datos personales fue con la finalidad por una parte de proteger la intimidad de las personas, aun post mortem y, por otra parte, generar la certeza jurídica para que una persona, disponga de su información a través de testamento.</w:t>
      </w:r>
    </w:p>
    <w:p w:rsidR="00000000" w:rsidDel="00000000" w:rsidP="00000000" w:rsidRDefault="00000000" w:rsidRPr="00000000" w14:paraId="000000A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en todo momento consideró tanto la protección a la intimidad de la persona fallecida, como los intereses jurídicos que la Particular expresó, esto es, realizar las gestiones necesarias ante una institución, que conforme a derecho le corresponden. En este tenor, una vez que se cotejaron las identidades de las personas intervinientes en la audiencia, durante la celebración de la misma se tuvo a bien mediar la entrega de la información solicitada, esto, en ajuste a las formalidades señaladas en el acta formada por el desahogo de esta, situación que se trae a colación en los términos siguientes:</w:t>
      </w:r>
    </w:p>
    <w:p w:rsidR="00000000" w:rsidDel="00000000" w:rsidP="00000000" w:rsidRDefault="00000000" w:rsidRPr="00000000" w14:paraId="000000A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expuestos los antecedentes, </w:t>
      </w:r>
      <w:r w:rsidDel="00000000" w:rsidR="00000000" w:rsidRPr="00000000">
        <w:rPr>
          <w:rFonts w:ascii="Palatino Linotype" w:cs="Palatino Linotype" w:eastAsia="Palatino Linotype" w:hAnsi="Palatino Linotype"/>
          <w:b w:val="1"/>
          <w:i w:val="1"/>
          <w:sz w:val="22"/>
          <w:szCs w:val="22"/>
          <w:rtl w:val="0"/>
        </w:rPr>
        <w:t xml:space="preserve">se procedió a iniciar el diálogo por parte de la persona solicitante, ahora Recurrente quien señaló que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6">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7">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Requiere en copias certificadas el aviso de movimiento de baja de la persona titular de los datos personales, por defunción, copia de la actualización en la constancia del servicios, hoja de servicio, copia certificada de comprobantes de percepciones y deducciones, copia certificada de información de beneficiarios de la carta testamentaria y copia certificada del seguro por fallecimiento.</w:t>
      </w:r>
    </w:p>
    <w:p w:rsidR="00000000" w:rsidDel="00000000" w:rsidP="00000000" w:rsidRDefault="00000000" w:rsidRPr="00000000" w14:paraId="000000A8">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9">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expuestas las manifestaciones </w:t>
      </w:r>
      <w:r w:rsidDel="00000000" w:rsidR="00000000" w:rsidRPr="00000000">
        <w:rPr>
          <w:rFonts w:ascii="Palatino Linotype" w:cs="Palatino Linotype" w:eastAsia="Palatino Linotype" w:hAnsi="Palatino Linotype"/>
          <w:b w:val="1"/>
          <w:i w:val="1"/>
          <w:sz w:val="22"/>
          <w:szCs w:val="22"/>
          <w:rtl w:val="0"/>
        </w:rPr>
        <w:t xml:space="preserve">por parte de la persona Recurrente, se procedió a iniciar el diálogo por parte del Sujeto Obligado</w:t>
      </w:r>
      <w:r w:rsidDel="00000000" w:rsidR="00000000" w:rsidRPr="00000000">
        <w:rPr>
          <w:rFonts w:ascii="Palatino Linotype" w:cs="Palatino Linotype" w:eastAsia="Palatino Linotype" w:hAnsi="Palatino Linotype"/>
          <w:i w:val="1"/>
          <w:sz w:val="22"/>
          <w:szCs w:val="22"/>
          <w:rtl w:val="0"/>
        </w:rPr>
        <w:t xml:space="preserve">, quien señaló que:</w:t>
      </w:r>
    </w:p>
    <w:p w:rsidR="00000000" w:rsidDel="00000000" w:rsidP="00000000" w:rsidRDefault="00000000" w:rsidRPr="00000000" w14:paraId="000000AA">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Dentro de sus archivos </w:t>
      </w:r>
      <w:r w:rsidDel="00000000" w:rsidR="00000000" w:rsidRPr="00000000">
        <w:rPr>
          <w:rFonts w:ascii="Palatino Linotype" w:cs="Palatino Linotype" w:eastAsia="Palatino Linotype" w:hAnsi="Palatino Linotype"/>
          <w:b w:val="1"/>
          <w:i w:val="1"/>
          <w:sz w:val="22"/>
          <w:szCs w:val="22"/>
          <w:u w:val="single"/>
          <w:rtl w:val="0"/>
        </w:rPr>
        <w:t xml:space="preserve">únicamente cuenta con el aviso de movimiento de baja de fecha 15 de febrero de 2023, que consta de una foja, en la modalidad de copia certificada, asimismo refiere que al tratarse de una sola foja, esta se proporcionaría de manera gratuita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C">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D">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Asimismo, también refiere que por lo que refiere a comprobantes de pago, hoja de servicio, constancia de percepciones y deducciones, dichos documentos no son generados por este Instituto de Seguridad Social, por lo que no es posible proporcionar la información, sin embargo, en este mismo acto orientó al particular para que acudiera ante las instancias correspondientes que pudieran contar con la información.</w:t>
      </w:r>
    </w:p>
    <w:p w:rsidR="00000000" w:rsidDel="00000000" w:rsidP="00000000" w:rsidRDefault="00000000" w:rsidRPr="00000000" w14:paraId="000000AE">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F">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Finalmente, señaló que no era posible otorgarle el acceso a la carta testamentaria puesto que el solicitante no es beneficiario de dicho documento.</w:t>
      </w:r>
    </w:p>
    <w:p w:rsidR="00000000" w:rsidDel="00000000" w:rsidP="00000000" w:rsidRDefault="00000000" w:rsidRPr="00000000" w14:paraId="000000B0">
      <w:pPr>
        <w:spacing w:line="360" w:lineRule="auto"/>
        <w:ind w:left="709"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1">
      <w:pPr>
        <w:spacing w:line="276" w:lineRule="auto"/>
        <w:ind w:left="709"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enseguida, se le concedió el uso de la palabra al recurrente quien </w:t>
      </w:r>
      <w:r w:rsidDel="00000000" w:rsidR="00000000" w:rsidRPr="00000000">
        <w:rPr>
          <w:rFonts w:ascii="Palatino Linotype" w:cs="Palatino Linotype" w:eastAsia="Palatino Linotype" w:hAnsi="Palatino Linotype"/>
          <w:b w:val="1"/>
          <w:i w:val="1"/>
          <w:sz w:val="22"/>
          <w:szCs w:val="22"/>
          <w:u w:val="single"/>
          <w:rtl w:val="0"/>
        </w:rPr>
        <w:t xml:space="preserve">manifestó estar conforme con la información que se le entrega.”</w:t>
      </w:r>
      <w:r w:rsidDel="00000000" w:rsidR="00000000" w:rsidRPr="00000000">
        <w:rPr>
          <w:rtl w:val="0"/>
        </w:rPr>
      </w:r>
    </w:p>
    <w:p w:rsidR="00000000" w:rsidDel="00000000" w:rsidP="00000000" w:rsidRDefault="00000000" w:rsidRPr="00000000" w14:paraId="000000B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se acredita que las partes llegaron al acuerdo que establece el artículo 132 fracción V de la Ley de Protección de Datos Personales en Posesión de los Sujetos Obligados del Estado de México y Municipios</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precisar que el </w:t>
      </w:r>
      <w:r w:rsidDel="00000000" w:rsidR="00000000" w:rsidRPr="00000000">
        <w:rPr>
          <w:rFonts w:ascii="Palatino Linotype" w:cs="Palatino Linotype" w:eastAsia="Palatino Linotype" w:hAnsi="Palatino Linotype"/>
          <w:b w:val="1"/>
          <w:rtl w:val="0"/>
        </w:rPr>
        <w:t xml:space="preserve">trece de mayo de dos mil veinticuatro</w:t>
      </w:r>
      <w:r w:rsidDel="00000000" w:rsidR="00000000" w:rsidRPr="00000000">
        <w:rPr>
          <w:rFonts w:ascii="Palatino Linotype" w:cs="Palatino Linotype" w:eastAsia="Palatino Linotype" w:hAnsi="Palatino Linotype"/>
          <w:rtl w:val="0"/>
        </w:rPr>
        <w:t xml:space="preserve">, este Instituto constató mediante el acuse de recibido de la información proporcionada, que la información mencionada en la audiencia de conciliación ya se encuentra en posesión del Particular desde el </w:t>
      </w:r>
      <w:r w:rsidDel="00000000" w:rsidR="00000000" w:rsidRPr="00000000">
        <w:rPr>
          <w:rFonts w:ascii="Palatino Linotype" w:cs="Palatino Linotype" w:eastAsia="Palatino Linotype" w:hAnsi="Palatino Linotype"/>
          <w:b w:val="1"/>
          <w:rtl w:val="0"/>
        </w:rPr>
        <w:t xml:space="preserve">diez de mayo de dos mil veinticuatro</w:t>
      </w:r>
      <w:r w:rsidDel="00000000" w:rsidR="00000000" w:rsidRPr="00000000">
        <w:rPr>
          <w:rFonts w:ascii="Palatino Linotype" w:cs="Palatino Linotype" w:eastAsia="Palatino Linotype" w:hAnsi="Palatino Linotype"/>
          <w:rtl w:val="0"/>
        </w:rPr>
        <w:t xml:space="preserve">, por lo tanto, es procedente sobreseer el presente asunto, en virtud de haberse modificado la actuación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con ello, quedar sin materia que resolver. </w:t>
      </w:r>
    </w:p>
    <w:p w:rsidR="00000000" w:rsidDel="00000000" w:rsidP="00000000" w:rsidRDefault="00000000" w:rsidRPr="00000000" w14:paraId="000000B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bookmarkStart w:colFirst="0" w:colLast="0" w:name="_heading=h.4d34og8" w:id="4"/>
      <w:bookmarkEnd w:id="4"/>
      <w:r w:rsidDel="00000000" w:rsidR="00000000" w:rsidRPr="00000000">
        <w:rPr>
          <w:rFonts w:ascii="Palatino Linotype" w:cs="Palatino Linotype" w:eastAsia="Palatino Linotype" w:hAnsi="Palatino Linotype"/>
          <w:rtl w:val="0"/>
        </w:rPr>
        <w:t xml:space="preserve">Por consiguiente, de conformidad con los artículos 137, fracción I y 139, fracción IV, de la Ley de Protección de Datos Personales en Posesión de Sujetos Obligados del Estado de México y Municipios, este Pleno determina el </w:t>
      </w:r>
      <w:r w:rsidDel="00000000" w:rsidR="00000000" w:rsidRPr="00000000">
        <w:rPr>
          <w:rFonts w:ascii="Palatino Linotype" w:cs="Palatino Linotype" w:eastAsia="Palatino Linotype" w:hAnsi="Palatino Linotype"/>
          <w:b w:val="1"/>
          <w:rtl w:val="0"/>
        </w:rPr>
        <w:t xml:space="preserve">SOBRESEIMIENTO</w:t>
      </w:r>
      <w:r w:rsidDel="00000000" w:rsidR="00000000" w:rsidRPr="00000000">
        <w:rPr>
          <w:rFonts w:ascii="Palatino Linotype" w:cs="Palatino Linotype" w:eastAsia="Palatino Linotype" w:hAnsi="Palatino Linotype"/>
          <w:rtl w:val="0"/>
        </w:rPr>
        <w:t xml:space="preserve"> del presente Recurso de Revisión, toda vez que,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modificó su respuesta y entregó la información solicitada en la modalidad acordada por las partes en la audiencia de conciliación, por lo tanto, se dejó sin materia el presente Recurso de Revisión. </w:t>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000000" w:rsidDel="00000000" w:rsidP="00000000" w:rsidRDefault="00000000" w:rsidRPr="00000000" w14:paraId="000000BA">
      <w:pPr>
        <w:shd w:fill="ffffff"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hd w:fill="ffffff"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hd w:fill="ffffff"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hd w:fill="ffffff"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0BF">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bookmarkStart w:colFirst="0" w:colLast="0" w:name="_heading=h.3dy6vkm" w:id="5"/>
      <w:bookmarkEnd w:id="5"/>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SOBRESEE </w:t>
      </w:r>
      <w:r w:rsidDel="00000000" w:rsidR="00000000" w:rsidRPr="00000000">
        <w:rPr>
          <w:rFonts w:ascii="Palatino Linotype" w:cs="Palatino Linotype" w:eastAsia="Palatino Linotype" w:hAnsi="Palatino Linotype"/>
          <w:rtl w:val="0"/>
        </w:rPr>
        <w:t xml:space="preserve">el recurso de revisión </w:t>
      </w:r>
      <w:r w:rsidDel="00000000" w:rsidR="00000000" w:rsidRPr="00000000">
        <w:rPr>
          <w:rFonts w:ascii="Palatino Linotype" w:cs="Palatino Linotype" w:eastAsia="Palatino Linotype" w:hAnsi="Palatino Linotype"/>
          <w:b w:val="1"/>
          <w:rtl w:val="0"/>
        </w:rPr>
        <w:t xml:space="preserve">01564/INFOEM/AD/RR/2024,</w:t>
      </w:r>
      <w:r w:rsidDel="00000000" w:rsidR="00000000" w:rsidRPr="00000000">
        <w:rPr>
          <w:rFonts w:ascii="Palatino Linotype" w:cs="Palatino Linotype" w:eastAsia="Palatino Linotype" w:hAnsi="Palatino Linotype"/>
          <w:rtl w:val="0"/>
        </w:rPr>
        <w:t xml:space="preserve"> porque al modificar la respuesta, el medio de impugnación quedó sin materia en términos de los artículos 137, fracción I y 139, fracción IV, de la Ley de Protección de Datos Personales en Posesión de Sujetos Obligados del Estado de México y Municipios, de conformidad con el Considerando Tercero de la presente resolución.</w:t>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C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la presente resolución</w:t>
      </w:r>
      <w:r w:rsidDel="00000000" w:rsidR="00000000" w:rsidRPr="00000000">
        <w:rPr>
          <w:rFonts w:ascii="Palatino Linotype" w:cs="Palatino Linotype" w:eastAsia="Palatino Linotype" w:hAnsi="Palatino Linotype"/>
          <w:b w:val="1"/>
          <w:rtl w:val="0"/>
        </w:rPr>
        <w:t xml:space="preserve"> vía SARCOEM,</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w:t>
      </w:r>
    </w:p>
    <w:p w:rsidR="00000000" w:rsidDel="00000000" w:rsidP="00000000" w:rsidRDefault="00000000" w:rsidRPr="00000000" w14:paraId="000000C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tabs>
          <w:tab w:val="left" w:leader="none" w:pos="4667"/>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vía SARCOEM,</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asimismo, se hace de su conocimiento que de conformidad con lo establecido en el artículo 196 de la Ley de Transparencia y Acceso a la Información Pública del Estado de México y Municipios y 142 de la Ley de Protección de Datos Personales en Posesión de Sujetos Obligados del Estado de México y Municipios podrá promover el Juicio de Amparo en los términos de las leyes aplicables. </w:t>
      </w:r>
    </w:p>
    <w:p w:rsidR="00000000" w:rsidDel="00000000" w:rsidP="00000000" w:rsidRDefault="00000000" w:rsidRPr="00000000" w14:paraId="000000C5">
      <w:pPr>
        <w:tabs>
          <w:tab w:val="left" w:leader="none" w:pos="466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tabs>
          <w:tab w:val="left" w:leader="none" w:pos="466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tabs>
          <w:tab w:val="left" w:leader="none" w:pos="466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tabs>
          <w:tab w:val="left" w:leader="none" w:pos="4667"/>
        </w:tabs>
        <w:spacing w:after="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after="240" w:before="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DIECINUEVE DE JUNIO DE DOS MIL VEINTICUATRO, ANTE EL SECRETARIO TÉCNICO DEL PLENO ALEXIS TAPIA RAMÍREZ.</w:t>
      </w:r>
    </w:p>
    <w:p w:rsidR="00000000" w:rsidDel="00000000" w:rsidP="00000000" w:rsidRDefault="00000000" w:rsidRPr="00000000" w14:paraId="000000CA">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after="240" w:before="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240" w:before="240" w:line="360" w:lineRule="auto"/>
        <w:jc w:val="both"/>
        <w:rPr>
          <w:rFonts w:ascii="Palatino Linotype" w:cs="Palatino Linotype" w:eastAsia="Palatino Linotype" w:hAnsi="Palatino Linotype"/>
        </w:rPr>
      </w:pPr>
      <w:bookmarkStart w:colFirst="0" w:colLast="0" w:name="_heading=h.2et92p0" w:id="6"/>
      <w:bookmarkEnd w:id="6"/>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132.</w:t>
      </w:r>
      <w:r w:rsidDel="00000000" w:rsidR="00000000" w:rsidRPr="00000000">
        <w:rPr>
          <w:rFonts w:ascii="Palatino Linotype" w:cs="Palatino Linotype" w:eastAsia="Palatino Linotype" w:hAnsi="Palatino Linotype"/>
          <w:color w:val="000000"/>
          <w:sz w:val="16"/>
          <w:szCs w:val="16"/>
          <w:rtl w:val="0"/>
        </w:rPr>
        <w:t xml:space="preserve"> Admitido el recurso de revisión y sin perjuicio de lo dispuesto por la Ley General, el Instituto promoverá la conciliación entre las partes, de conformidad con el procedimiento siguiente:</w:t>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284" w:firstLine="0"/>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V.</w:t>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De llegar a un acuerdo, éste se hará constar por escrito y tendrá efectos vinculantes.</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284" w:firstLine="0"/>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El recurso de revisión quedará sin materia y el Instituto, deberán verificar el cumplimiento del acuerdo respectivo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-488308</wp:posOffset>
          </wp:positionV>
          <wp:extent cx="7809865" cy="10165715"/>
          <wp:effectExtent b="0" l="0" r="0" t="0"/>
          <wp:wrapNone/>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E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E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01564/INFOEM/AD/RR/2024</w:t>
          </w:r>
        </w:p>
      </w:tc>
    </w:tr>
    <w:tr>
      <w:trPr>
        <w:cantSplit w:val="0"/>
        <w:trHeight w:val="228" w:hRule="atLeast"/>
        <w:tblHeader w:val="0"/>
      </w:trPr>
      <w:tc>
        <w:tcPr>
          <w:shd w:fill="auto" w:val="clear"/>
          <w:vAlign w:val="center"/>
        </w:tcPr>
        <w:p w:rsidR="00000000" w:rsidDel="00000000" w:rsidP="00000000" w:rsidRDefault="00000000" w:rsidRPr="00000000" w14:paraId="000000E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ED">
          <w:pPr>
            <w:ind w:left="-45" w:right="31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de Seguridad Social del Estado de México y Municipios</w:t>
          </w:r>
        </w:p>
      </w:tc>
    </w:tr>
    <w:tr>
      <w:trPr>
        <w:cantSplit w:val="0"/>
        <w:tblHeader w:val="0"/>
      </w:trPr>
      <w:tc>
        <w:tcPr>
          <w:shd w:fill="auto" w:val="clear"/>
          <w:vAlign w:val="center"/>
        </w:tcPr>
        <w:p w:rsidR="00000000" w:rsidDel="00000000" w:rsidP="00000000" w:rsidRDefault="00000000" w:rsidRPr="00000000" w14:paraId="000000EE">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EF">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-984248</wp:posOffset>
          </wp:positionH>
          <wp:positionV relativeFrom="paragraph">
            <wp:posOffset>-173988</wp:posOffset>
          </wp:positionV>
          <wp:extent cx="7809865" cy="10165715"/>
          <wp:effectExtent b="0" l="0" r="0" t="0"/>
          <wp:wrapNone/>
          <wp:docPr id="4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F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F3">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01564/INFOEM/AD/RR/2024</w:t>
          </w:r>
        </w:p>
      </w:tc>
    </w:tr>
    <w:tr>
      <w:trPr>
        <w:cantSplit w:val="0"/>
        <w:trHeight w:val="130" w:hRule="atLeast"/>
        <w:tblHeader w:val="0"/>
      </w:trPr>
      <w:tc>
        <w:tcPr>
          <w:shd w:fill="auto" w:val="clear"/>
          <w:vAlign w:val="center"/>
        </w:tcPr>
        <w:p w:rsidR="00000000" w:rsidDel="00000000" w:rsidP="00000000" w:rsidRDefault="00000000" w:rsidRPr="00000000" w14:paraId="000000F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F5">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XXXXXXX XXXX</w:t>
          </w:r>
        </w:p>
      </w:tc>
    </w:tr>
    <w:tr>
      <w:trPr>
        <w:cantSplit w:val="0"/>
        <w:trHeight w:val="228" w:hRule="atLeast"/>
        <w:tblHeader w:val="0"/>
      </w:trPr>
      <w:tc>
        <w:tcPr>
          <w:shd w:fill="auto" w:val="clear"/>
          <w:vAlign w:val="center"/>
        </w:tcPr>
        <w:p w:rsidR="00000000" w:rsidDel="00000000" w:rsidP="00000000" w:rsidRDefault="00000000" w:rsidRPr="00000000" w14:paraId="000000F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F7">
          <w:pPr>
            <w:ind w:left="-45" w:right="45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de Seguridad Social del Estado de México y Municipios</w:t>
          </w:r>
        </w:p>
      </w:tc>
    </w:tr>
    <w:tr>
      <w:trPr>
        <w:cantSplit w:val="0"/>
        <w:tblHeader w:val="0"/>
      </w:trPr>
      <w:tc>
        <w:tcPr>
          <w:shd w:fill="auto" w:val="clear"/>
          <w:vAlign w:val="center"/>
        </w:tcPr>
        <w:p w:rsidR="00000000" w:rsidDel="00000000" w:rsidP="00000000" w:rsidRDefault="00000000" w:rsidRPr="00000000" w14:paraId="000000F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F9">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4"/>
      <w:numFmt w:val="bullet"/>
      <w:lvlText w:val="-"/>
      <w:lvlJc w:val="left"/>
      <w:pPr>
        <w:ind w:left="927" w:hanging="360"/>
      </w:pPr>
      <w:rPr>
        <w:rFonts w:ascii="Palatino Linotype" w:cs="Palatino Linotype" w:eastAsia="Palatino Linotype" w:hAnsi="Palatino Linotype"/>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2">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b w:val="1"/>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1"/>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4"/>
    <w:tblPr>
      <w:tblStyleRowBandSize w:val="1"/>
      <w:tblStyleColBandSize w:val="1"/>
      <w:tblCellMar>
        <w:top w:w="0.0" w:type="dxa"/>
        <w:left w:w="115.0" w:type="dxa"/>
        <w:bottom w:w="0.0" w:type="dxa"/>
        <w:right w:w="115.0" w:type="dxa"/>
      </w:tblCellMar>
    </w:tblPr>
  </w:style>
  <w:style w:type="table" w:styleId="a2" w:customStyle="1">
    <w:basedOn w:val="TableNormal4"/>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a3" w:customStyle="1">
    <w:basedOn w:val="TableNormal4"/>
    <w:tblPr>
      <w:tblStyleRowBandSize w:val="1"/>
      <w:tblStyleColBandSize w:val="1"/>
      <w:tblCellMar>
        <w:top w:w="0.0" w:type="dxa"/>
        <w:left w:w="115.0" w:type="dxa"/>
        <w:bottom w:w="0.0" w:type="dxa"/>
        <w:right w:w="115.0" w:type="dxa"/>
      </w:tblCellMar>
    </w:tblPr>
  </w:style>
  <w:style w:type="table" w:styleId="a4" w:customStyle="1">
    <w:basedOn w:val="TableNormal4"/>
    <w:tblPr>
      <w:tblStyleRowBandSize w:val="1"/>
      <w:tblStyleColBandSize w:val="1"/>
      <w:tblCellMar>
        <w:top w:w="0.0" w:type="dxa"/>
        <w:left w:w="115.0" w:type="dxa"/>
        <w:bottom w:w="0.0" w:type="dxa"/>
        <w:right w:w="115.0" w:type="dxa"/>
      </w:tblCellMar>
    </w:tblPr>
  </w:style>
  <w:style w:type="character" w:styleId="Mencinsinresolver4" w:customStyle="1">
    <w:name w:val="Mención sin resolver4"/>
    <w:basedOn w:val="Fuentedeprrafopredeter"/>
    <w:uiPriority w:val="99"/>
    <w:semiHidden w:val="1"/>
    <w:unhideWhenUsed w:val="1"/>
    <w:rsid w:val="004A248C"/>
    <w:rPr>
      <w:color w:val="605e5c"/>
      <w:shd w:color="auto" w:fill="e1dfdd" w:val="clear"/>
    </w:rPr>
  </w:style>
  <w:style w:type="table" w:styleId="a5" w:customStyle="1">
    <w:basedOn w:val="TableNormal3"/>
    <w:tblPr>
      <w:tblStyleRowBandSize w:val="1"/>
      <w:tblStyleColBandSize w:val="1"/>
      <w:tblCellMar>
        <w:top w:w="0.0" w:type="dxa"/>
        <w:left w:w="115.0" w:type="dxa"/>
        <w:bottom w:w="0.0" w:type="dxa"/>
        <w:right w:w="115.0" w:type="dxa"/>
      </w:tblCellMar>
    </w:tblPr>
  </w:style>
  <w:style w:type="table" w:styleId="a6" w:customStyle="1">
    <w:basedOn w:val="TableNormal3"/>
    <w:tblPr>
      <w:tblStyleRowBandSize w:val="1"/>
      <w:tblStyleColBandSize w:val="1"/>
      <w:tblCellMar>
        <w:top w:w="0.0" w:type="dxa"/>
        <w:left w:w="115.0" w:type="dxa"/>
        <w:bottom w:w="0.0" w:type="dxa"/>
        <w:right w:w="115.0" w:type="dxa"/>
      </w:tblCellMar>
    </w:tblPr>
  </w:style>
  <w:style w:type="table" w:styleId="a7" w:customStyle="1">
    <w:basedOn w:val="TableNormal2"/>
    <w:tblPr>
      <w:tblStyleRowBandSize w:val="1"/>
      <w:tblStyleColBandSize w:val="1"/>
      <w:tblCellMar>
        <w:top w:w="0.0" w:type="dxa"/>
        <w:left w:w="115.0" w:type="dxa"/>
        <w:bottom w:w="0.0" w:type="dxa"/>
        <w:right w:w="115.0" w:type="dxa"/>
      </w:tblCellMar>
    </w:tblPr>
  </w:style>
  <w:style w:type="table" w:styleId="a8" w:customStyle="1">
    <w:basedOn w:val="TableNormal2"/>
    <w:tblPr>
      <w:tblStyleRowBandSize w:val="1"/>
      <w:tblStyleColBandSize w:val="1"/>
      <w:tblCellMar>
        <w:top w:w="0.0" w:type="dxa"/>
        <w:left w:w="115.0" w:type="dxa"/>
        <w:bottom w:w="0.0" w:type="dxa"/>
        <w:right w:w="115.0" w:type="dxa"/>
      </w:tblCellMar>
    </w:tblPr>
  </w:style>
  <w:style w:type="table" w:styleId="a9" w:customStyle="1">
    <w:basedOn w:val="TableNormal1"/>
    <w:tblPr>
      <w:tblStyleRowBandSize w:val="1"/>
      <w:tblStyleColBandSize w:val="1"/>
      <w:tblCellMar>
        <w:top w:w="0.0" w:type="dxa"/>
        <w:left w:w="115.0" w:type="dxa"/>
        <w:bottom w:w="0.0" w:type="dxa"/>
        <w:right w:w="115.0" w:type="dxa"/>
      </w:tblCellMar>
    </w:tblPr>
  </w:style>
  <w:style w:type="table" w:styleId="aa" w:customStyle="1">
    <w:basedOn w:val="TableNormal1"/>
    <w:tblPr>
      <w:tblStyleRowBandSize w:val="1"/>
      <w:tblStyleColBandSize w:val="1"/>
      <w:tblCellMar>
        <w:top w:w="0.0" w:type="dxa"/>
        <w:left w:w="115.0" w:type="dxa"/>
        <w:bottom w:w="0.0" w:type="dxa"/>
        <w:right w:w="115.0" w:type="dxa"/>
      </w:tblCellMar>
    </w:tblPr>
  </w:style>
  <w:style w:type="table" w:styleId="ab" w:customStyle="1">
    <w:basedOn w:val="TableNormal0"/>
    <w:tblPr>
      <w:tblStyleRowBandSize w:val="1"/>
      <w:tblStyleColBandSize w:val="1"/>
      <w:tblCellMar>
        <w:top w:w="0.0" w:type="dxa"/>
        <w:left w:w="115.0" w:type="dxa"/>
        <w:bottom w:w="0.0" w:type="dxa"/>
        <w:right w:w="115.0" w:type="dxa"/>
      </w:tblCellMar>
    </w:tblPr>
  </w:style>
  <w:style w:type="table" w:styleId="ac"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uJAmiGrK3s5pfZxGmHOblhevWQ==">CgMxLjAyCWguMWZvYjl0ZTIIaC5namRneHMyCWguMzBqMHpsbDIJaC4xdDNoNXNmMgloLjRkMzRvZzgyCWguM2R5NnZrbTIJaC4yZXQ5MnAwOAByITFpVlBpRnY1ZTI3M0tRQkJEMjM4X3FIdERPUlFSOXF5SA==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2024-07-07T05:03:00Z</dcterms:created>
  <dc:creator>iMac</dc:creator>
</cp:coreProperties>
</file>