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69E6F79A" w:rsidR="00942616" w:rsidRPr="0001253B" w:rsidRDefault="00942616" w:rsidP="00942616">
      <w:pPr>
        <w:tabs>
          <w:tab w:val="left" w:pos="3465"/>
        </w:tabs>
        <w:spacing w:line="360" w:lineRule="auto"/>
        <w:jc w:val="both"/>
        <w:rPr>
          <w:rFonts w:ascii="Palatino Linotype" w:hAnsi="Palatino Linotype"/>
        </w:rPr>
      </w:pPr>
      <w:r w:rsidRPr="0001253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375EA9">
        <w:rPr>
          <w:rFonts w:ascii="Palatino Linotype" w:hAnsi="Palatino Linotype"/>
        </w:rPr>
        <w:t>veintiséis (26)</w:t>
      </w:r>
      <w:r w:rsidR="001B57C3" w:rsidRPr="0001253B">
        <w:rPr>
          <w:rFonts w:ascii="Palatino Linotype" w:hAnsi="Palatino Linotype"/>
        </w:rPr>
        <w:t xml:space="preserve"> de junio</w:t>
      </w:r>
      <w:r w:rsidR="00844CA2" w:rsidRPr="0001253B">
        <w:rPr>
          <w:rFonts w:ascii="Palatino Linotype" w:hAnsi="Palatino Linotype"/>
        </w:rPr>
        <w:t xml:space="preserve"> </w:t>
      </w:r>
      <w:r w:rsidRPr="0001253B">
        <w:rPr>
          <w:rFonts w:ascii="Palatino Linotype" w:hAnsi="Palatino Linotype"/>
        </w:rPr>
        <w:t>de dos mil veinticuatro.</w:t>
      </w:r>
    </w:p>
    <w:p w14:paraId="7A47408F" w14:textId="77777777" w:rsidR="00942616" w:rsidRPr="0001253B" w:rsidRDefault="00942616" w:rsidP="00942616">
      <w:pPr>
        <w:tabs>
          <w:tab w:val="left" w:pos="3465"/>
        </w:tabs>
        <w:spacing w:line="360" w:lineRule="auto"/>
        <w:jc w:val="both"/>
        <w:rPr>
          <w:rFonts w:ascii="Palatino Linotype" w:hAnsi="Palatino Linotype"/>
        </w:rPr>
      </w:pPr>
    </w:p>
    <w:p w14:paraId="1A849A4C" w14:textId="1D096E9A" w:rsidR="00942616" w:rsidRPr="0001253B" w:rsidRDefault="00942616" w:rsidP="00942616">
      <w:pPr>
        <w:spacing w:line="360" w:lineRule="auto"/>
        <w:jc w:val="both"/>
        <w:rPr>
          <w:rFonts w:ascii="Palatino Linotype" w:hAnsi="Palatino Linotype"/>
        </w:rPr>
      </w:pPr>
      <w:r w:rsidRPr="0001253B">
        <w:rPr>
          <w:rFonts w:ascii="Palatino Linotype" w:hAnsi="Palatino Linotype"/>
          <w:b/>
        </w:rPr>
        <w:t>VISTO</w:t>
      </w:r>
      <w:r w:rsidRPr="0001253B">
        <w:rPr>
          <w:rFonts w:ascii="Palatino Linotype" w:hAnsi="Palatino Linotype"/>
        </w:rPr>
        <w:t xml:space="preserve"> el expediente electrónico formado con motivo del recurso de revisión </w:t>
      </w:r>
      <w:r w:rsidR="001B57C3" w:rsidRPr="0001253B">
        <w:rPr>
          <w:rFonts w:ascii="Palatino Linotype" w:hAnsi="Palatino Linotype"/>
          <w:b/>
        </w:rPr>
        <w:t>08498/INFOEM/IP/RR/2023</w:t>
      </w:r>
      <w:r w:rsidR="003441EF" w:rsidRPr="0001253B">
        <w:rPr>
          <w:rFonts w:ascii="Palatino Linotype" w:hAnsi="Palatino Linotype"/>
          <w:b/>
        </w:rPr>
        <w:t>,</w:t>
      </w:r>
      <w:r w:rsidRPr="0001253B">
        <w:rPr>
          <w:rFonts w:ascii="Palatino Linotype" w:hAnsi="Palatino Linotype" w:cs="Arial"/>
          <w:b/>
          <w:bCs/>
        </w:rPr>
        <w:t xml:space="preserve"> </w:t>
      </w:r>
      <w:r w:rsidRPr="0001253B">
        <w:rPr>
          <w:rFonts w:ascii="Palatino Linotype" w:hAnsi="Palatino Linotype"/>
        </w:rPr>
        <w:t xml:space="preserve">promovido </w:t>
      </w:r>
      <w:r w:rsidRPr="005F6A8E">
        <w:rPr>
          <w:rFonts w:ascii="Palatino Linotype" w:hAnsi="Palatino Linotype"/>
        </w:rPr>
        <w:t>por</w:t>
      </w:r>
      <w:r w:rsidR="006E76C7" w:rsidRPr="005F6A8E">
        <w:rPr>
          <w:rFonts w:ascii="Palatino Linotype" w:hAnsi="Palatino Linotype"/>
          <w:b/>
        </w:rPr>
        <w:t xml:space="preserve"> </w:t>
      </w:r>
      <w:r w:rsidR="0080040F">
        <w:rPr>
          <w:rFonts w:ascii="Palatino Linotype" w:hAnsi="Palatino Linotype"/>
          <w:b/>
          <w:bCs/>
          <w:sz w:val="22"/>
          <w:szCs w:val="22"/>
        </w:rPr>
        <w:t xml:space="preserve">XXX </w:t>
      </w:r>
      <w:proofErr w:type="spellStart"/>
      <w:r w:rsidR="0080040F">
        <w:rPr>
          <w:rFonts w:ascii="Palatino Linotype" w:hAnsi="Palatino Linotype"/>
          <w:b/>
          <w:bCs/>
          <w:sz w:val="22"/>
          <w:szCs w:val="22"/>
        </w:rPr>
        <w:t>XXX</w:t>
      </w:r>
      <w:proofErr w:type="spellEnd"/>
      <w:r w:rsidRPr="005F6A8E">
        <w:rPr>
          <w:rFonts w:ascii="Palatino Linotype" w:hAnsi="Palatino Linotype"/>
        </w:rPr>
        <w:t xml:space="preserve">, a </w:t>
      </w:r>
      <w:r w:rsidRPr="0001253B">
        <w:rPr>
          <w:rFonts w:ascii="Palatino Linotype" w:hAnsi="Palatino Linotype"/>
        </w:rPr>
        <w:t xml:space="preserve">quien en lo sucesivo se le identificará como </w:t>
      </w:r>
      <w:r w:rsidRPr="0001253B">
        <w:rPr>
          <w:rFonts w:ascii="Palatino Linotype" w:hAnsi="Palatino Linotype"/>
          <w:b/>
        </w:rPr>
        <w:t>EL RECURRENTE</w:t>
      </w:r>
      <w:r w:rsidRPr="0001253B">
        <w:rPr>
          <w:rFonts w:ascii="Palatino Linotype" w:hAnsi="Palatino Linotype" w:cs="Arial"/>
        </w:rPr>
        <w:t xml:space="preserve">, en contra de la respuesta del </w:t>
      </w:r>
      <w:r w:rsidR="001B57C3" w:rsidRPr="0001253B">
        <w:rPr>
          <w:rFonts w:ascii="Palatino Linotype" w:hAnsi="Palatino Linotype" w:cs="Arial"/>
          <w:b/>
        </w:rPr>
        <w:t>Ayuntamiento de Toluca</w:t>
      </w:r>
      <w:r w:rsidRPr="0001253B">
        <w:rPr>
          <w:rFonts w:ascii="Palatino Linotype" w:hAnsi="Palatino Linotype" w:cs="Arial"/>
          <w:b/>
        </w:rPr>
        <w:t>,</w:t>
      </w:r>
      <w:r w:rsidRPr="0001253B">
        <w:rPr>
          <w:rFonts w:ascii="Palatino Linotype" w:hAnsi="Palatino Linotype"/>
          <w:b/>
        </w:rPr>
        <w:t xml:space="preserve"> </w:t>
      </w:r>
      <w:r w:rsidRPr="0001253B">
        <w:rPr>
          <w:rFonts w:ascii="Palatino Linotype" w:hAnsi="Palatino Linotype"/>
        </w:rPr>
        <w:t>en lo sucesivo el</w:t>
      </w:r>
      <w:r w:rsidRPr="0001253B">
        <w:rPr>
          <w:rFonts w:ascii="Palatino Linotype" w:hAnsi="Palatino Linotype"/>
          <w:b/>
        </w:rPr>
        <w:t xml:space="preserve"> SUJETO OBLIGADO</w:t>
      </w:r>
      <w:r w:rsidRPr="0001253B">
        <w:rPr>
          <w:rFonts w:ascii="Palatino Linotype" w:hAnsi="Palatino Linotype"/>
        </w:rPr>
        <w:t>, se procede a dictar la presente resolución, con base en los siguientes:</w:t>
      </w:r>
    </w:p>
    <w:p w14:paraId="6C202242" w14:textId="77777777" w:rsidR="00942616" w:rsidRPr="0001253B" w:rsidRDefault="00942616" w:rsidP="00942616">
      <w:pPr>
        <w:spacing w:line="360" w:lineRule="auto"/>
        <w:jc w:val="both"/>
        <w:rPr>
          <w:rFonts w:ascii="Palatino Linotype" w:hAnsi="Palatino Linotype"/>
          <w:b/>
        </w:rPr>
      </w:pPr>
    </w:p>
    <w:p w14:paraId="27CF3736" w14:textId="77777777" w:rsidR="00942616" w:rsidRPr="0001253B"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01253B">
        <w:rPr>
          <w:rFonts w:ascii="Palatino Linotype" w:hAnsi="Palatino Linotype"/>
          <w:b/>
          <w:color w:val="000000" w:themeColor="text1"/>
          <w:sz w:val="24"/>
          <w:szCs w:val="24"/>
        </w:rPr>
        <w:t>ANTECEDENTES</w:t>
      </w:r>
      <w:bookmarkEnd w:id="0"/>
      <w:bookmarkEnd w:id="1"/>
      <w:bookmarkEnd w:id="2"/>
    </w:p>
    <w:p w14:paraId="5385E88F" w14:textId="77777777" w:rsidR="00942616" w:rsidRPr="0001253B" w:rsidRDefault="00942616" w:rsidP="00942616">
      <w:pPr>
        <w:rPr>
          <w:rFonts w:ascii="Palatino Linotype" w:hAnsi="Palatino Linotype"/>
        </w:rPr>
      </w:pPr>
    </w:p>
    <w:p w14:paraId="53379CE6" w14:textId="391DF668" w:rsidR="00942616" w:rsidRPr="0001253B" w:rsidRDefault="00942616" w:rsidP="006901AF">
      <w:pPr>
        <w:pStyle w:val="Prrafodelista"/>
        <w:numPr>
          <w:ilvl w:val="0"/>
          <w:numId w:val="1"/>
        </w:numPr>
        <w:spacing w:line="360" w:lineRule="auto"/>
        <w:ind w:left="0" w:firstLine="0"/>
        <w:jc w:val="both"/>
        <w:rPr>
          <w:rFonts w:ascii="Palatino Linotype" w:eastAsia="Calibri" w:hAnsi="Palatino Linotype" w:cs="Arial"/>
          <w:lang w:val="es-ES"/>
        </w:rPr>
      </w:pPr>
      <w:r w:rsidRPr="0001253B">
        <w:rPr>
          <w:rFonts w:ascii="Palatino Linotype" w:eastAsia="Calibri" w:hAnsi="Palatino Linotype" w:cs="Arial"/>
          <w:lang w:val="es-ES"/>
        </w:rPr>
        <w:t>El día</w:t>
      </w:r>
      <w:r w:rsidR="00133699" w:rsidRPr="0001253B">
        <w:rPr>
          <w:rFonts w:ascii="Palatino Linotype" w:eastAsia="Calibri" w:hAnsi="Palatino Linotype" w:cs="Arial"/>
          <w:b/>
          <w:lang w:val="es-ES"/>
        </w:rPr>
        <w:t xml:space="preserve"> </w:t>
      </w:r>
      <w:r w:rsidR="001B57C3" w:rsidRPr="0001253B">
        <w:rPr>
          <w:rFonts w:ascii="Palatino Linotype" w:eastAsia="Calibri" w:hAnsi="Palatino Linotype" w:cs="Arial"/>
          <w:b/>
          <w:lang w:val="es-ES"/>
        </w:rPr>
        <w:t>ocho de noviembre de dos mil veintitrés</w:t>
      </w:r>
      <w:r w:rsidRPr="0001253B">
        <w:rPr>
          <w:rFonts w:ascii="Palatino Linotype" w:hAnsi="Palatino Linotype"/>
          <w:b/>
        </w:rPr>
        <w:t xml:space="preserve">, </w:t>
      </w:r>
      <w:r w:rsidRPr="0001253B">
        <w:rPr>
          <w:rFonts w:ascii="Palatino Linotype" w:eastAsia="Calibri" w:hAnsi="Palatino Linotype" w:cs="Arial"/>
          <w:lang w:val="es-ES"/>
        </w:rPr>
        <w:t xml:space="preserve">se presentó ante el </w:t>
      </w:r>
      <w:r w:rsidRPr="0001253B">
        <w:rPr>
          <w:rFonts w:ascii="Palatino Linotype" w:eastAsia="Calibri" w:hAnsi="Palatino Linotype" w:cs="Arial"/>
          <w:b/>
          <w:lang w:val="es-ES"/>
        </w:rPr>
        <w:t>SUJETO OBLIGADO</w:t>
      </w:r>
      <w:r w:rsidRPr="0001253B">
        <w:rPr>
          <w:rFonts w:ascii="Palatino Linotype" w:eastAsia="Calibri" w:hAnsi="Palatino Linotype" w:cs="Arial"/>
        </w:rPr>
        <w:t xml:space="preserve"> vía </w:t>
      </w:r>
      <w:r w:rsidR="001B57C3" w:rsidRPr="0001253B">
        <w:rPr>
          <w:rFonts w:ascii="Palatino Linotype" w:eastAsia="Calibri" w:hAnsi="Palatino Linotype" w:cs="Arial"/>
          <w:lang w:val="es-ES"/>
        </w:rPr>
        <w:t>Plataforma Nacional de Transparencia</w:t>
      </w:r>
      <w:r w:rsidRPr="0001253B">
        <w:rPr>
          <w:rFonts w:ascii="Palatino Linotype" w:eastAsia="Calibri" w:hAnsi="Palatino Linotype" w:cs="Arial"/>
          <w:lang w:val="es-ES"/>
        </w:rPr>
        <w:t>, la solicitud de información pública registrada con el número</w:t>
      </w:r>
      <w:r w:rsidRPr="0001253B">
        <w:rPr>
          <w:rFonts w:ascii="Palatino Linotype" w:hAnsi="Palatino Linotype"/>
          <w:b/>
          <w:bCs/>
          <w:color w:val="000000" w:themeColor="text1"/>
        </w:rPr>
        <w:t xml:space="preserve"> </w:t>
      </w:r>
      <w:r w:rsidR="00437A3C" w:rsidRPr="0001253B">
        <w:rPr>
          <w:rFonts w:ascii="Palatino Linotype" w:hAnsi="Palatino Linotype"/>
          <w:b/>
          <w:bCs/>
          <w:color w:val="000000" w:themeColor="text1"/>
        </w:rPr>
        <w:t xml:space="preserve"> </w:t>
      </w:r>
      <w:r w:rsidR="001B57C3" w:rsidRPr="0001253B">
        <w:rPr>
          <w:rFonts w:ascii="Palatino Linotype" w:hAnsi="Palatino Linotype"/>
          <w:b/>
          <w:bCs/>
          <w:color w:val="000000" w:themeColor="text1"/>
        </w:rPr>
        <w:t>03918/TOLUCA/IP/2023</w:t>
      </w:r>
      <w:r w:rsidRPr="0001253B">
        <w:rPr>
          <w:rFonts w:ascii="Palatino Linotype" w:hAnsi="Palatino Linotype"/>
          <w:b/>
          <w:bCs/>
          <w:color w:val="000000" w:themeColor="text1"/>
        </w:rPr>
        <w:t xml:space="preserve">; </w:t>
      </w:r>
      <w:r w:rsidRPr="0001253B">
        <w:rPr>
          <w:rFonts w:ascii="Palatino Linotype" w:eastAsia="Calibri" w:hAnsi="Palatino Linotype" w:cs="Arial"/>
          <w:lang w:val="es-ES"/>
        </w:rPr>
        <w:t>mediante la cual se solicitó la siguiente información:</w:t>
      </w:r>
    </w:p>
    <w:p w14:paraId="178B136D" w14:textId="77777777" w:rsidR="00942616" w:rsidRPr="0001253B" w:rsidRDefault="00942616" w:rsidP="00942616">
      <w:pPr>
        <w:pStyle w:val="Prrafodelista"/>
        <w:spacing w:line="360" w:lineRule="auto"/>
        <w:ind w:left="0"/>
        <w:jc w:val="both"/>
        <w:rPr>
          <w:rFonts w:ascii="Palatino Linotype" w:eastAsia="Calibri" w:hAnsi="Palatino Linotype" w:cs="Arial"/>
          <w:lang w:val="es-ES"/>
        </w:rPr>
      </w:pPr>
    </w:p>
    <w:p w14:paraId="4D74F757" w14:textId="2495D6F8" w:rsidR="00942616" w:rsidRPr="0001253B" w:rsidRDefault="00942616" w:rsidP="006901AF">
      <w:pPr>
        <w:pStyle w:val="Prrafodelista"/>
        <w:ind w:left="1134" w:right="900"/>
        <w:jc w:val="both"/>
        <w:rPr>
          <w:rFonts w:ascii="Palatino Linotype" w:hAnsi="Palatino Linotype"/>
        </w:rPr>
      </w:pPr>
      <w:r w:rsidRPr="0001253B">
        <w:rPr>
          <w:rFonts w:ascii="Palatino Linotype" w:hAnsi="Palatino Linotype"/>
          <w:i/>
        </w:rPr>
        <w:t>“</w:t>
      </w:r>
      <w:r w:rsidR="001B57C3" w:rsidRPr="0001253B">
        <w:rPr>
          <w:rFonts w:ascii="Palatino Linotype" w:hAnsi="Palatino Linotype"/>
          <w:i/>
        </w:rPr>
        <w:t xml:space="preserve">documentos que den cuenta de lo realizado por la Unidad de Transparencia en el año 2023 a fin de dar cumplimiento al </w:t>
      </w:r>
      <w:proofErr w:type="spellStart"/>
      <w:r w:rsidR="001B57C3" w:rsidRPr="0001253B">
        <w:rPr>
          <w:rFonts w:ascii="Palatino Linotype" w:hAnsi="Palatino Linotype"/>
          <w:i/>
        </w:rPr>
        <w:t>articulo</w:t>
      </w:r>
      <w:proofErr w:type="spellEnd"/>
      <w:r w:rsidR="001B57C3" w:rsidRPr="0001253B">
        <w:rPr>
          <w:rFonts w:ascii="Palatino Linotype" w:hAnsi="Palatino Linotype"/>
          <w:i/>
        </w:rPr>
        <w:t xml:space="preserve"> 24 fracción XXIII de la Ley de Transparencia Local Proyectos de Sistematización 2023</w:t>
      </w:r>
      <w:r w:rsidRPr="0001253B">
        <w:rPr>
          <w:rFonts w:ascii="Palatino Linotype" w:hAnsi="Palatino Linotype"/>
          <w:i/>
        </w:rPr>
        <w:t>”</w:t>
      </w:r>
    </w:p>
    <w:p w14:paraId="1B41AE08" w14:textId="77777777" w:rsidR="00942616" w:rsidRPr="0001253B" w:rsidRDefault="00942616" w:rsidP="00942616">
      <w:pPr>
        <w:pStyle w:val="Prrafodelista"/>
        <w:spacing w:line="360" w:lineRule="auto"/>
        <w:ind w:left="851" w:right="34"/>
        <w:jc w:val="both"/>
        <w:rPr>
          <w:rFonts w:ascii="Palatino Linotype" w:hAnsi="Palatino Linotype"/>
        </w:rPr>
      </w:pPr>
    </w:p>
    <w:p w14:paraId="41BE3230" w14:textId="47E346EA" w:rsidR="00942616" w:rsidRPr="0001253B" w:rsidRDefault="001B57C3" w:rsidP="00942616">
      <w:pPr>
        <w:pStyle w:val="Prrafodelista"/>
        <w:numPr>
          <w:ilvl w:val="0"/>
          <w:numId w:val="2"/>
        </w:numPr>
        <w:spacing w:line="360" w:lineRule="auto"/>
        <w:ind w:left="851" w:right="474"/>
        <w:jc w:val="both"/>
        <w:rPr>
          <w:rFonts w:ascii="Palatino Linotype" w:hAnsi="Palatino Linotype"/>
        </w:rPr>
      </w:pPr>
      <w:r w:rsidRPr="0001253B">
        <w:rPr>
          <w:rFonts w:ascii="Palatino Linotype" w:eastAsia="Times New Roman" w:hAnsi="Palatino Linotype" w:cs="Arial"/>
          <w:lang w:val="es-ES"/>
        </w:rPr>
        <w:t>M</w:t>
      </w:r>
      <w:r w:rsidR="00942616" w:rsidRPr="0001253B">
        <w:rPr>
          <w:rFonts w:ascii="Palatino Linotype" w:eastAsia="Times New Roman" w:hAnsi="Palatino Linotype" w:cs="Arial"/>
          <w:lang w:val="es-ES"/>
        </w:rPr>
        <w:t>odalidad de entrega de la información</w:t>
      </w:r>
      <w:r w:rsidR="00942616" w:rsidRPr="0001253B">
        <w:rPr>
          <w:rFonts w:ascii="Palatino Linotype" w:hAnsi="Palatino Linotype"/>
        </w:rPr>
        <w:t>:</w:t>
      </w:r>
    </w:p>
    <w:p w14:paraId="752449A2" w14:textId="77777777" w:rsidR="001B57C3" w:rsidRPr="0001253B" w:rsidRDefault="001B57C3" w:rsidP="001B57C3">
      <w:pPr>
        <w:spacing w:line="360" w:lineRule="auto"/>
        <w:ind w:right="474"/>
        <w:jc w:val="both"/>
        <w:rPr>
          <w:rFonts w:ascii="Palatino Linotype" w:hAnsi="Palatino Linotype"/>
        </w:rPr>
      </w:pPr>
    </w:p>
    <w:p w14:paraId="26797D74" w14:textId="6CAB7842" w:rsidR="001B57C3" w:rsidRDefault="001B57C3" w:rsidP="001B57C3">
      <w:pPr>
        <w:spacing w:line="360" w:lineRule="auto"/>
        <w:ind w:right="474"/>
        <w:jc w:val="both"/>
        <w:rPr>
          <w:rFonts w:ascii="Palatino Linotype" w:hAnsi="Palatino Linotype"/>
        </w:rPr>
      </w:pPr>
      <w:r w:rsidRPr="0001253B">
        <w:rPr>
          <w:rFonts w:ascii="Palatino Linotype" w:hAnsi="Palatino Linotype"/>
        </w:rPr>
        <w:lastRenderedPageBreak/>
        <w:t>Cabe señalar que el sistema de solicitudes de acceso a la información de la Plataforma Nacional de Transparencia (PNT), se encuentra vinculado al Sistema de Acceso a la Información Mexiquense (SAIMEX), por lo que, se tiene como modalidad de recibir notificaciones y la entrega de la información “A través del SAIMEX”.</w:t>
      </w:r>
    </w:p>
    <w:p w14:paraId="6E04B74E" w14:textId="77777777" w:rsidR="00975C21" w:rsidRDefault="00975C21" w:rsidP="001B57C3">
      <w:pPr>
        <w:spacing w:line="360" w:lineRule="auto"/>
        <w:ind w:right="474"/>
        <w:jc w:val="both"/>
        <w:rPr>
          <w:rFonts w:ascii="Palatino Linotype" w:hAnsi="Palatino Linotype"/>
        </w:rPr>
      </w:pPr>
    </w:p>
    <w:p w14:paraId="7ECF4F81" w14:textId="0CA7655D" w:rsidR="00975C21" w:rsidRPr="00D17C3A" w:rsidRDefault="00975C21" w:rsidP="004E7CD0">
      <w:pPr>
        <w:pStyle w:val="Prrafodelista"/>
        <w:numPr>
          <w:ilvl w:val="0"/>
          <w:numId w:val="1"/>
        </w:numPr>
        <w:spacing w:line="360" w:lineRule="auto"/>
        <w:ind w:left="0" w:firstLine="0"/>
        <w:jc w:val="both"/>
        <w:rPr>
          <w:rFonts w:ascii="Palatino Linotype" w:hAnsi="Palatino Linotype" w:cs="Arial"/>
          <w:color w:val="000000" w:themeColor="text1"/>
        </w:rPr>
      </w:pPr>
      <w:r w:rsidRPr="00D17C3A">
        <w:rPr>
          <w:rFonts w:ascii="Palatino Linotype" w:hAnsi="Palatino Linotype" w:cs="Arial"/>
          <w:color w:val="000000" w:themeColor="text1"/>
        </w:rPr>
        <w:t>En fecha veintinueve (29) de noviembre  de dos mil veintitrés el Sujeto Obligado solicitó un prórroga para emitir respuesta a la solicitud de información en los siguientes  términos:</w:t>
      </w:r>
    </w:p>
    <w:p w14:paraId="45F90F5D" w14:textId="77777777" w:rsidR="00975C21" w:rsidRPr="0001253B" w:rsidRDefault="00975C21" w:rsidP="001B57C3">
      <w:pPr>
        <w:spacing w:line="360" w:lineRule="auto"/>
        <w:ind w:right="474"/>
        <w:jc w:val="both"/>
        <w:rPr>
          <w:rFonts w:ascii="Palatino Linotype" w:hAnsi="Palatino Linotype"/>
        </w:rPr>
      </w:pPr>
    </w:p>
    <w:p w14:paraId="7FE0A5CB" w14:textId="77777777" w:rsidR="00975C21" w:rsidRPr="00975C21" w:rsidRDefault="00975C21" w:rsidP="00975C21">
      <w:pPr>
        <w:pStyle w:val="Prrafodelista"/>
        <w:spacing w:line="360" w:lineRule="auto"/>
        <w:ind w:left="851" w:right="34"/>
        <w:jc w:val="both"/>
        <w:rPr>
          <w:rFonts w:ascii="Palatino Linotype" w:hAnsi="Palatino Linotype"/>
          <w:i/>
          <w:sz w:val="22"/>
          <w:szCs w:val="22"/>
        </w:rPr>
      </w:pPr>
      <w:r w:rsidRPr="00975C21">
        <w:rPr>
          <w:rFonts w:ascii="Palatino Linotype" w:hAnsi="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8456916" w14:textId="77777777" w:rsidR="00975C21" w:rsidRDefault="00975C21" w:rsidP="00975C21">
      <w:pPr>
        <w:pStyle w:val="Prrafodelista"/>
        <w:spacing w:line="360" w:lineRule="auto"/>
        <w:ind w:left="851" w:right="34"/>
        <w:jc w:val="both"/>
        <w:rPr>
          <w:rFonts w:ascii="Palatino Linotype" w:hAnsi="Palatino Linotype"/>
          <w:i/>
          <w:sz w:val="22"/>
          <w:szCs w:val="22"/>
        </w:rPr>
      </w:pPr>
      <w:r w:rsidRPr="00975C21">
        <w:rPr>
          <w:rFonts w:ascii="Palatino Linotype" w:hAnsi="Palatino Linotype"/>
          <w:i/>
          <w:sz w:val="22"/>
          <w:szCs w:val="22"/>
        </w:rPr>
        <w:t xml:space="preserve">De conformidad con el </w:t>
      </w:r>
      <w:proofErr w:type="spellStart"/>
      <w:r w:rsidRPr="00975C21">
        <w:rPr>
          <w:rFonts w:ascii="Palatino Linotype" w:hAnsi="Palatino Linotype"/>
          <w:i/>
          <w:sz w:val="22"/>
          <w:szCs w:val="22"/>
        </w:rPr>
        <w:t>articulo</w:t>
      </w:r>
      <w:proofErr w:type="spellEnd"/>
      <w:r w:rsidRPr="00975C21">
        <w:rPr>
          <w:rFonts w:ascii="Palatino Linotype" w:hAnsi="Palatino Linotype"/>
          <w:i/>
          <w:sz w:val="22"/>
          <w:szCs w:val="22"/>
        </w:rPr>
        <w:t xml:space="preserve"> 163 de la Ley de la materia, me permito solicitar la prorroga hasta por siete días hábiles más, para atender la solicitud de información número 03918/TOLUCA/IP/2023; en virtud de que, esta Unidad de Transparencia este en aptitud de realizar una búsqueda exhaustiva y minuciosa de la información.</w:t>
      </w:r>
    </w:p>
    <w:p w14:paraId="60524A24" w14:textId="77777777" w:rsidR="00975C21" w:rsidRPr="00975C21" w:rsidRDefault="00975C21" w:rsidP="00975C21">
      <w:pPr>
        <w:pStyle w:val="Prrafodelista"/>
        <w:spacing w:line="360" w:lineRule="auto"/>
        <w:ind w:left="851" w:right="34"/>
        <w:jc w:val="both"/>
        <w:rPr>
          <w:rFonts w:ascii="Palatino Linotype" w:hAnsi="Palatino Linotype"/>
          <w:i/>
          <w:sz w:val="22"/>
          <w:szCs w:val="22"/>
        </w:rPr>
      </w:pPr>
    </w:p>
    <w:p w14:paraId="49DD5313" w14:textId="77777777" w:rsidR="00975C21" w:rsidRPr="00975C21" w:rsidRDefault="00975C21" w:rsidP="00975C21">
      <w:pPr>
        <w:pStyle w:val="Prrafodelista"/>
        <w:spacing w:line="360" w:lineRule="auto"/>
        <w:ind w:left="851" w:right="34"/>
        <w:jc w:val="both"/>
        <w:rPr>
          <w:rFonts w:ascii="Palatino Linotype" w:hAnsi="Palatino Linotype"/>
          <w:i/>
          <w:sz w:val="22"/>
          <w:szCs w:val="22"/>
        </w:rPr>
      </w:pPr>
      <w:r w:rsidRPr="00975C21">
        <w:rPr>
          <w:rFonts w:ascii="Palatino Linotype" w:hAnsi="Palatino Linotype"/>
          <w:i/>
          <w:sz w:val="22"/>
          <w:szCs w:val="22"/>
        </w:rPr>
        <w:t>Lic. Norma Sofía Pérez Martínez</w:t>
      </w:r>
    </w:p>
    <w:p w14:paraId="389827A4" w14:textId="4AC8D0D3" w:rsidR="00942616" w:rsidRDefault="00975C21" w:rsidP="00975C21">
      <w:pPr>
        <w:pStyle w:val="Prrafodelista"/>
        <w:spacing w:line="360" w:lineRule="auto"/>
        <w:ind w:left="851" w:right="34"/>
        <w:jc w:val="both"/>
        <w:rPr>
          <w:rFonts w:ascii="Palatino Linotype" w:hAnsi="Palatino Linotype"/>
          <w:i/>
          <w:sz w:val="22"/>
          <w:szCs w:val="22"/>
        </w:rPr>
      </w:pPr>
      <w:r w:rsidRPr="00975C21">
        <w:rPr>
          <w:rFonts w:ascii="Palatino Linotype" w:hAnsi="Palatino Linotype"/>
          <w:i/>
          <w:sz w:val="22"/>
          <w:szCs w:val="22"/>
        </w:rPr>
        <w:t>Responsable de la Unidad de Transparencia</w:t>
      </w:r>
    </w:p>
    <w:p w14:paraId="1E182B38" w14:textId="77777777" w:rsidR="00975C21" w:rsidRPr="00975C21" w:rsidRDefault="00975C21" w:rsidP="00975C21">
      <w:pPr>
        <w:spacing w:line="360" w:lineRule="auto"/>
        <w:ind w:right="34"/>
        <w:jc w:val="both"/>
        <w:rPr>
          <w:rFonts w:ascii="Palatino Linotype" w:hAnsi="Palatino Linotype"/>
          <w:i/>
          <w:sz w:val="22"/>
          <w:szCs w:val="22"/>
        </w:rPr>
      </w:pPr>
    </w:p>
    <w:p w14:paraId="4FF3330D" w14:textId="520BEBA3" w:rsidR="00975C21" w:rsidRDefault="00975C21" w:rsidP="003E7B6C">
      <w:pPr>
        <w:pStyle w:val="Prrafodelista"/>
        <w:numPr>
          <w:ilvl w:val="0"/>
          <w:numId w:val="2"/>
        </w:numPr>
        <w:spacing w:line="360" w:lineRule="auto"/>
        <w:ind w:left="851" w:right="34"/>
        <w:jc w:val="both"/>
        <w:rPr>
          <w:rFonts w:ascii="Palatino Linotype" w:hAnsi="Palatino Linotype"/>
          <w:sz w:val="22"/>
          <w:szCs w:val="22"/>
        </w:rPr>
      </w:pPr>
      <w:r>
        <w:rPr>
          <w:rFonts w:ascii="Palatino Linotype" w:hAnsi="Palatino Linotype"/>
          <w:sz w:val="22"/>
          <w:szCs w:val="22"/>
        </w:rPr>
        <w:t>El Sujeto Obligado adjunt</w:t>
      </w:r>
      <w:r w:rsidR="00D17C3A">
        <w:rPr>
          <w:rFonts w:ascii="Palatino Linotype" w:hAnsi="Palatino Linotype"/>
          <w:sz w:val="22"/>
          <w:szCs w:val="22"/>
        </w:rPr>
        <w:t>ó</w:t>
      </w:r>
      <w:r>
        <w:rPr>
          <w:rFonts w:ascii="Palatino Linotype" w:hAnsi="Palatino Linotype"/>
          <w:sz w:val="22"/>
          <w:szCs w:val="22"/>
        </w:rPr>
        <w:t xml:space="preserve"> el siguiente archivo electrónico:</w:t>
      </w:r>
    </w:p>
    <w:p w14:paraId="41A6264D" w14:textId="77777777" w:rsidR="00975C21" w:rsidRDefault="00975C21" w:rsidP="003E7B6C">
      <w:pPr>
        <w:pStyle w:val="Prrafodelista"/>
        <w:spacing w:line="360" w:lineRule="auto"/>
        <w:ind w:left="851" w:right="34"/>
        <w:jc w:val="both"/>
        <w:rPr>
          <w:rFonts w:ascii="Palatino Linotype" w:hAnsi="Palatino Linotype"/>
          <w:sz w:val="22"/>
          <w:szCs w:val="22"/>
        </w:rPr>
      </w:pPr>
    </w:p>
    <w:p w14:paraId="1699B7D7" w14:textId="2A0A0D27" w:rsidR="00975C21" w:rsidRDefault="00975C21" w:rsidP="003E7B6C">
      <w:pPr>
        <w:pStyle w:val="Prrafodelista"/>
        <w:spacing w:line="360" w:lineRule="auto"/>
        <w:ind w:left="851" w:right="34"/>
        <w:jc w:val="both"/>
        <w:rPr>
          <w:rFonts w:ascii="Palatino Linotype" w:hAnsi="Palatino Linotype"/>
          <w:sz w:val="22"/>
          <w:szCs w:val="22"/>
        </w:rPr>
      </w:pPr>
      <w:r>
        <w:rPr>
          <w:rFonts w:ascii="Palatino Linotype" w:hAnsi="Palatino Linotype"/>
          <w:sz w:val="22"/>
          <w:szCs w:val="22"/>
        </w:rPr>
        <w:t xml:space="preserve">Acta 943_23.pdf: Contiene ACTA DE LA NONINGENTÉSIMA CUADRAGÉSIMA TERCERA SESIÓN EXTRAORDINARIA 2023 DEL COMITÉ DE </w:t>
      </w:r>
      <w:r>
        <w:rPr>
          <w:rFonts w:ascii="Palatino Linotype" w:hAnsi="Palatino Linotype"/>
          <w:sz w:val="22"/>
          <w:szCs w:val="22"/>
        </w:rPr>
        <w:lastRenderedPageBreak/>
        <w:t>TRANSPARENCIA DEL MUNICIPIO DE TOLUCA ADMINISTRACIÓN 2022-2024, mediante la cual se realiza el análisis y aprobación de las solicitudes de PRÓRROGA por siete días hábiles para la entrega de la información.</w:t>
      </w:r>
    </w:p>
    <w:p w14:paraId="5EDDB641" w14:textId="77777777" w:rsidR="00975C21" w:rsidRPr="00975C21" w:rsidRDefault="00975C21" w:rsidP="00975C21">
      <w:pPr>
        <w:pStyle w:val="Prrafodelista"/>
        <w:spacing w:line="360" w:lineRule="auto"/>
        <w:ind w:left="1724" w:right="34"/>
        <w:jc w:val="both"/>
        <w:rPr>
          <w:rFonts w:ascii="Palatino Linotype" w:hAnsi="Palatino Linotype"/>
          <w:sz w:val="22"/>
          <w:szCs w:val="22"/>
        </w:rPr>
      </w:pPr>
    </w:p>
    <w:p w14:paraId="25112C50" w14:textId="14727BEF" w:rsidR="00844CA2" w:rsidRPr="003E7B6C" w:rsidRDefault="00942616" w:rsidP="006901AF">
      <w:pPr>
        <w:pStyle w:val="Prrafodelista"/>
        <w:numPr>
          <w:ilvl w:val="0"/>
          <w:numId w:val="1"/>
        </w:numPr>
        <w:tabs>
          <w:tab w:val="left" w:pos="0"/>
        </w:tabs>
        <w:spacing w:line="360" w:lineRule="auto"/>
        <w:ind w:left="0" w:right="51" w:firstLine="0"/>
        <w:jc w:val="both"/>
        <w:rPr>
          <w:rFonts w:ascii="Palatino Linotype" w:hAnsi="Palatino Linotype" w:cs="Arial"/>
          <w:i/>
          <w:color w:val="000000" w:themeColor="text1"/>
        </w:rPr>
      </w:pPr>
      <w:r w:rsidRPr="0001253B">
        <w:rPr>
          <w:rFonts w:ascii="Palatino Linotype" w:hAnsi="Palatino Linotype" w:cs="Arial"/>
          <w:color w:val="000000" w:themeColor="text1"/>
        </w:rPr>
        <w:t>El</w:t>
      </w:r>
      <w:r w:rsidR="00133699" w:rsidRPr="0001253B">
        <w:rPr>
          <w:rFonts w:ascii="Palatino Linotype" w:hAnsi="Palatino Linotype" w:cs="Arial"/>
          <w:b/>
          <w:color w:val="000000" w:themeColor="text1"/>
        </w:rPr>
        <w:t xml:space="preserve"> </w:t>
      </w:r>
      <w:r w:rsidR="001B57C3" w:rsidRPr="0001253B">
        <w:rPr>
          <w:rFonts w:ascii="Palatino Linotype" w:hAnsi="Palatino Linotype" w:cs="Arial"/>
          <w:b/>
          <w:color w:val="000000" w:themeColor="text1"/>
        </w:rPr>
        <w:t>once de diciembre de dos mil veintitrés</w:t>
      </w:r>
      <w:r w:rsidRPr="0001253B">
        <w:rPr>
          <w:rFonts w:ascii="Palatino Linotype" w:hAnsi="Palatino Linotype" w:cs="Arial"/>
          <w:color w:val="000000" w:themeColor="text1"/>
        </w:rPr>
        <w:t xml:space="preserve">, el </w:t>
      </w:r>
      <w:r w:rsidRPr="0001253B">
        <w:rPr>
          <w:rFonts w:ascii="Palatino Linotype" w:hAnsi="Palatino Linotype" w:cs="Arial"/>
          <w:b/>
          <w:color w:val="000000" w:themeColor="text1"/>
        </w:rPr>
        <w:t>SUJETO OBLIGADO,</w:t>
      </w:r>
      <w:r w:rsidRPr="0001253B">
        <w:rPr>
          <w:rFonts w:ascii="Palatino Linotype" w:hAnsi="Palatino Linotype" w:cs="Arial"/>
          <w:color w:val="000000" w:themeColor="text1"/>
        </w:rPr>
        <w:t xml:space="preserve"> dio respuesta a través </w:t>
      </w:r>
      <w:r w:rsidR="007563F2" w:rsidRPr="0001253B">
        <w:rPr>
          <w:rFonts w:ascii="Palatino Linotype" w:hAnsi="Palatino Linotype" w:cs="Arial"/>
          <w:color w:val="000000" w:themeColor="text1"/>
        </w:rPr>
        <w:t xml:space="preserve">de </w:t>
      </w:r>
      <w:r w:rsidR="001B57C3" w:rsidRPr="0001253B">
        <w:rPr>
          <w:rFonts w:ascii="Palatino Linotype" w:hAnsi="Palatino Linotype" w:cs="Arial"/>
          <w:color w:val="000000" w:themeColor="text1"/>
        </w:rPr>
        <w:t>dos</w:t>
      </w:r>
      <w:r w:rsidR="003441EF" w:rsidRPr="0001253B">
        <w:rPr>
          <w:rFonts w:ascii="Palatino Linotype" w:hAnsi="Palatino Linotype" w:cs="Arial"/>
          <w:color w:val="000000" w:themeColor="text1"/>
        </w:rPr>
        <w:t xml:space="preserve"> </w:t>
      </w:r>
      <w:r w:rsidR="007563F2" w:rsidRPr="0001253B">
        <w:rPr>
          <w:rFonts w:ascii="Palatino Linotype" w:hAnsi="Palatino Linotype" w:cs="Arial"/>
          <w:color w:val="000000" w:themeColor="text1"/>
        </w:rPr>
        <w:t>archivo</w:t>
      </w:r>
      <w:r w:rsidR="003441EF" w:rsidRPr="0001253B">
        <w:rPr>
          <w:rFonts w:ascii="Palatino Linotype" w:hAnsi="Palatino Linotype" w:cs="Arial"/>
          <w:color w:val="000000" w:themeColor="text1"/>
        </w:rPr>
        <w:t>s</w:t>
      </w:r>
      <w:r w:rsidRPr="0001253B">
        <w:rPr>
          <w:rFonts w:ascii="Palatino Linotype" w:hAnsi="Palatino Linotype" w:cs="Arial"/>
          <w:color w:val="000000" w:themeColor="text1"/>
        </w:rPr>
        <w:t xml:space="preserve"> electrónicos en formato PDF, </w:t>
      </w:r>
      <w:r w:rsidR="00844CA2" w:rsidRPr="0001253B">
        <w:rPr>
          <w:rFonts w:ascii="Palatino Linotype" w:hAnsi="Palatino Linotype" w:cs="Arial"/>
          <w:color w:val="000000" w:themeColor="text1"/>
        </w:rPr>
        <w:t xml:space="preserve">cuyo contenido grosso modo es el siguiente: </w:t>
      </w:r>
    </w:p>
    <w:p w14:paraId="55EB0C71" w14:textId="77777777" w:rsidR="003E7B6C" w:rsidRPr="0001253B" w:rsidRDefault="003E7B6C" w:rsidP="003E7B6C">
      <w:pPr>
        <w:pStyle w:val="Prrafodelista"/>
        <w:tabs>
          <w:tab w:val="left" w:pos="0"/>
        </w:tabs>
        <w:spacing w:line="360" w:lineRule="auto"/>
        <w:ind w:left="0" w:right="51"/>
        <w:jc w:val="both"/>
        <w:rPr>
          <w:rFonts w:ascii="Palatino Linotype" w:hAnsi="Palatino Linotype" w:cs="Arial"/>
          <w:i/>
          <w:color w:val="000000" w:themeColor="text1"/>
        </w:rPr>
      </w:pPr>
    </w:p>
    <w:p w14:paraId="1C98E65C" w14:textId="41F2C8C0" w:rsidR="001B57C3" w:rsidRDefault="001B57C3" w:rsidP="006901AF">
      <w:pPr>
        <w:pStyle w:val="Prrafodelista"/>
        <w:tabs>
          <w:tab w:val="left" w:pos="0"/>
        </w:tabs>
        <w:ind w:left="1134" w:right="900"/>
        <w:jc w:val="both"/>
        <w:rPr>
          <w:rFonts w:ascii="Palatino Linotype" w:hAnsi="Palatino Linotype" w:cs="Arial"/>
          <w:i/>
          <w:color w:val="000000" w:themeColor="text1"/>
        </w:rPr>
      </w:pPr>
      <w:r w:rsidRPr="0001253B">
        <w:rPr>
          <w:rFonts w:ascii="Palatino Linotype" w:hAnsi="Palatino Linotype" w:cs="Arial"/>
          <w:b/>
          <w:i/>
          <w:color w:val="000000" w:themeColor="text1"/>
        </w:rPr>
        <w:t>Anexo.pdf:</w:t>
      </w:r>
      <w:r w:rsidRPr="0001253B">
        <w:rPr>
          <w:rFonts w:ascii="Palatino Linotype" w:hAnsi="Palatino Linotype" w:cs="Arial"/>
          <w:i/>
          <w:color w:val="000000" w:themeColor="text1"/>
        </w:rPr>
        <w:t xml:space="preserve"> Actividades y tareas programadas para el año 2023</w:t>
      </w:r>
    </w:p>
    <w:p w14:paraId="38B36697" w14:textId="77777777" w:rsidR="0001253B" w:rsidRPr="0001253B" w:rsidRDefault="0001253B" w:rsidP="006901AF">
      <w:pPr>
        <w:pStyle w:val="Prrafodelista"/>
        <w:tabs>
          <w:tab w:val="left" w:pos="0"/>
        </w:tabs>
        <w:ind w:left="1134" w:right="900"/>
        <w:jc w:val="both"/>
        <w:rPr>
          <w:rFonts w:ascii="Palatino Linotype" w:hAnsi="Palatino Linotype"/>
        </w:rPr>
      </w:pPr>
    </w:p>
    <w:p w14:paraId="40C1680D" w14:textId="3E325579" w:rsidR="00844CA2" w:rsidRPr="0001253B" w:rsidRDefault="001B57C3" w:rsidP="006901AF">
      <w:pPr>
        <w:pStyle w:val="Prrafodelista"/>
        <w:tabs>
          <w:tab w:val="left" w:pos="0"/>
        </w:tabs>
        <w:ind w:left="1134" w:right="900"/>
        <w:jc w:val="both"/>
        <w:rPr>
          <w:rFonts w:ascii="Palatino Linotype" w:hAnsi="Palatino Linotype" w:cs="Arial"/>
          <w:i/>
          <w:color w:val="000000" w:themeColor="text1"/>
        </w:rPr>
      </w:pPr>
      <w:r w:rsidRPr="0001253B">
        <w:rPr>
          <w:rFonts w:ascii="Palatino Linotype" w:hAnsi="Palatino Linotype" w:cs="Arial"/>
          <w:b/>
          <w:i/>
          <w:color w:val="000000" w:themeColor="text1"/>
        </w:rPr>
        <w:t>3918.pdf</w:t>
      </w:r>
      <w:r w:rsidR="00844CA2" w:rsidRPr="0001253B">
        <w:rPr>
          <w:rFonts w:ascii="Palatino Linotype" w:hAnsi="Palatino Linotype" w:cs="Arial"/>
          <w:b/>
          <w:i/>
          <w:color w:val="000000" w:themeColor="text1"/>
        </w:rPr>
        <w:t>:</w:t>
      </w:r>
      <w:r w:rsidR="00844CA2" w:rsidRPr="0001253B">
        <w:rPr>
          <w:rFonts w:ascii="Palatino Linotype" w:hAnsi="Palatino Linotype" w:cs="Arial"/>
          <w:i/>
          <w:color w:val="000000" w:themeColor="text1"/>
        </w:rPr>
        <w:t xml:space="preserve"> </w:t>
      </w:r>
      <w:r w:rsidR="00C25ADD" w:rsidRPr="0001253B">
        <w:rPr>
          <w:rFonts w:ascii="Palatino Linotype" w:hAnsi="Palatino Linotype" w:cs="Arial"/>
          <w:i/>
          <w:color w:val="000000" w:themeColor="text1"/>
        </w:rPr>
        <w:t xml:space="preserve">documento de fecha once de diciembre de dos mil veintitrés, mediante el cual se informa que no se cuenta con la documentación solicitada por no haberla generado, poseído o administrado, sin embargo, se anexa el Proyecto de Sistematización y actualización del año 2023, siendo la única información con la que se cuenta. </w:t>
      </w:r>
    </w:p>
    <w:p w14:paraId="71FCCE90" w14:textId="77777777" w:rsidR="007C50BE" w:rsidRPr="0001253B" w:rsidRDefault="007C50BE" w:rsidP="003E76A0">
      <w:pPr>
        <w:pStyle w:val="Prrafodelista"/>
        <w:tabs>
          <w:tab w:val="left" w:pos="0"/>
        </w:tabs>
        <w:spacing w:line="360" w:lineRule="auto"/>
        <w:ind w:left="709" w:right="51"/>
        <w:jc w:val="both"/>
        <w:rPr>
          <w:rFonts w:ascii="Palatino Linotype" w:hAnsi="Palatino Linotype" w:cs="Arial"/>
          <w:i/>
          <w:color w:val="000000" w:themeColor="text1"/>
        </w:rPr>
      </w:pPr>
    </w:p>
    <w:p w14:paraId="30268E17" w14:textId="1A43963F" w:rsidR="00942616" w:rsidRPr="0001253B"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01253B">
        <w:rPr>
          <w:rFonts w:ascii="Palatino Linotype" w:eastAsia="Times New Roman" w:hAnsi="Palatino Linotype" w:cs="Arial"/>
          <w:color w:val="000000" w:themeColor="text1"/>
          <w:lang w:val="es-ES"/>
        </w:rPr>
        <w:t>El</w:t>
      </w:r>
      <w:r w:rsidR="00722086" w:rsidRPr="0001253B">
        <w:rPr>
          <w:rFonts w:ascii="Palatino Linotype" w:eastAsia="Times New Roman" w:hAnsi="Palatino Linotype" w:cs="Arial"/>
          <w:b/>
          <w:color w:val="000000" w:themeColor="text1"/>
          <w:lang w:val="es-ES"/>
        </w:rPr>
        <w:t xml:space="preserve"> </w:t>
      </w:r>
      <w:r w:rsidR="00C25ADD" w:rsidRPr="0001253B">
        <w:rPr>
          <w:rFonts w:ascii="Palatino Linotype" w:eastAsia="Times New Roman" w:hAnsi="Palatino Linotype" w:cs="Arial"/>
          <w:b/>
          <w:color w:val="000000" w:themeColor="text1"/>
          <w:lang w:val="es-ES"/>
        </w:rPr>
        <w:t>doce de diciembre de dos mil veintitrés</w:t>
      </w:r>
      <w:r w:rsidRPr="0001253B">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01253B"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084104D1" w:rsidR="00942616" w:rsidRPr="0001253B" w:rsidRDefault="00942616" w:rsidP="003E7B6C">
      <w:pPr>
        <w:pStyle w:val="Prrafodelista"/>
        <w:numPr>
          <w:ilvl w:val="0"/>
          <w:numId w:val="2"/>
        </w:numPr>
        <w:spacing w:line="360" w:lineRule="auto"/>
        <w:ind w:left="851"/>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01253B">
        <w:rPr>
          <w:rStyle w:val="Ttulo2Car"/>
          <w:rFonts w:ascii="Palatino Linotype" w:hAnsi="Palatino Linotype"/>
          <w:b/>
          <w:color w:val="auto"/>
          <w:sz w:val="24"/>
          <w:szCs w:val="24"/>
        </w:rPr>
        <w:t>Acto impugnado</w:t>
      </w:r>
      <w:bookmarkEnd w:id="3"/>
      <w:r w:rsidRPr="0001253B">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01253B">
        <w:rPr>
          <w:rStyle w:val="Ttulo2Car"/>
          <w:rFonts w:ascii="Palatino Linotype" w:hAnsi="Palatino Linotype"/>
          <w:i/>
          <w:color w:val="000000" w:themeColor="text1"/>
          <w:sz w:val="24"/>
          <w:szCs w:val="24"/>
        </w:rPr>
        <w:t>“</w:t>
      </w:r>
      <w:r w:rsidR="00C25ADD" w:rsidRPr="0001253B">
        <w:rPr>
          <w:rStyle w:val="Ttulo2Car"/>
          <w:rFonts w:ascii="Palatino Linotype" w:hAnsi="Palatino Linotype"/>
          <w:i/>
          <w:color w:val="000000" w:themeColor="text1"/>
          <w:sz w:val="24"/>
          <w:szCs w:val="24"/>
        </w:rPr>
        <w:t>la respuesta incompleta</w:t>
      </w:r>
      <w:r w:rsidR="009304C1" w:rsidRPr="0001253B">
        <w:rPr>
          <w:rStyle w:val="Ttulo2Car"/>
          <w:rFonts w:ascii="Palatino Linotype" w:hAnsi="Palatino Linotype"/>
          <w:i/>
          <w:color w:val="000000" w:themeColor="text1"/>
          <w:sz w:val="24"/>
          <w:szCs w:val="24"/>
        </w:rPr>
        <w:t>”</w:t>
      </w:r>
    </w:p>
    <w:p w14:paraId="7F76B7BF" w14:textId="03E2E620" w:rsidR="00942616" w:rsidRPr="0001253B" w:rsidRDefault="004F003E" w:rsidP="003E7B6C">
      <w:pPr>
        <w:pStyle w:val="Prrafodelista"/>
        <w:tabs>
          <w:tab w:val="left" w:pos="7020"/>
        </w:tabs>
        <w:spacing w:line="360" w:lineRule="auto"/>
        <w:ind w:left="851"/>
        <w:jc w:val="both"/>
        <w:rPr>
          <w:rStyle w:val="Ttulo2Car"/>
          <w:rFonts w:ascii="Palatino Linotype" w:hAnsi="Palatino Linotype"/>
          <w:i/>
          <w:color w:val="000000" w:themeColor="text1"/>
          <w:sz w:val="24"/>
          <w:szCs w:val="24"/>
        </w:rPr>
      </w:pPr>
      <w:r w:rsidRPr="0001253B">
        <w:rPr>
          <w:rStyle w:val="Ttulo2Car"/>
          <w:rFonts w:ascii="Palatino Linotype" w:hAnsi="Palatino Linotype"/>
          <w:i/>
          <w:color w:val="000000" w:themeColor="text1"/>
          <w:sz w:val="24"/>
          <w:szCs w:val="24"/>
        </w:rPr>
        <w:tab/>
      </w:r>
    </w:p>
    <w:p w14:paraId="08740AC8" w14:textId="0113AD4F" w:rsidR="00942616" w:rsidRPr="0001253B" w:rsidRDefault="00942616" w:rsidP="003E7B6C">
      <w:pPr>
        <w:pStyle w:val="Prrafodelista"/>
        <w:numPr>
          <w:ilvl w:val="0"/>
          <w:numId w:val="2"/>
        </w:numPr>
        <w:spacing w:line="360" w:lineRule="auto"/>
        <w:ind w:left="851"/>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01253B">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01253B">
        <w:rPr>
          <w:rFonts w:ascii="Palatino Linotype" w:hAnsi="Palatino Linotype"/>
          <w:b/>
          <w:color w:val="000000" w:themeColor="text1"/>
        </w:rPr>
        <w:t xml:space="preserve"> </w:t>
      </w:r>
      <w:r w:rsidRPr="0001253B">
        <w:rPr>
          <w:rFonts w:ascii="Palatino Linotype" w:hAnsi="Palatino Linotype"/>
          <w:i/>
          <w:color w:val="000000" w:themeColor="text1"/>
        </w:rPr>
        <w:t>“</w:t>
      </w:r>
      <w:r w:rsidR="00C25ADD" w:rsidRPr="0001253B">
        <w:rPr>
          <w:rFonts w:ascii="Palatino Linotype" w:hAnsi="Palatino Linotype"/>
          <w:i/>
          <w:color w:val="000000" w:themeColor="text1"/>
        </w:rPr>
        <w:t xml:space="preserve">si no </w:t>
      </w:r>
      <w:proofErr w:type="spellStart"/>
      <w:r w:rsidR="00C25ADD" w:rsidRPr="0001253B">
        <w:rPr>
          <w:rFonts w:ascii="Palatino Linotype" w:hAnsi="Palatino Linotype"/>
          <w:i/>
          <w:color w:val="000000" w:themeColor="text1"/>
        </w:rPr>
        <w:t>encontro</w:t>
      </w:r>
      <w:proofErr w:type="spellEnd"/>
      <w:r w:rsidR="00C25ADD" w:rsidRPr="0001253B">
        <w:rPr>
          <w:rFonts w:ascii="Palatino Linotype" w:hAnsi="Palatino Linotype"/>
          <w:i/>
          <w:color w:val="000000" w:themeColor="text1"/>
        </w:rPr>
        <w:t xml:space="preserve"> </w:t>
      </w:r>
      <w:proofErr w:type="spellStart"/>
      <w:r w:rsidR="00C25ADD" w:rsidRPr="0001253B">
        <w:rPr>
          <w:rFonts w:ascii="Palatino Linotype" w:hAnsi="Palatino Linotype"/>
          <w:i/>
          <w:color w:val="000000" w:themeColor="text1"/>
        </w:rPr>
        <w:t>documentacion</w:t>
      </w:r>
      <w:proofErr w:type="spellEnd"/>
      <w:r w:rsidR="00C25ADD" w:rsidRPr="0001253B">
        <w:rPr>
          <w:rFonts w:ascii="Palatino Linotype" w:hAnsi="Palatino Linotype"/>
          <w:i/>
          <w:color w:val="000000" w:themeColor="text1"/>
        </w:rPr>
        <w:t xml:space="preserve"> </w:t>
      </w:r>
      <w:proofErr w:type="spellStart"/>
      <w:r w:rsidR="00C25ADD" w:rsidRPr="0001253B">
        <w:rPr>
          <w:rFonts w:ascii="Palatino Linotype" w:hAnsi="Palatino Linotype"/>
          <w:i/>
          <w:color w:val="000000" w:themeColor="text1"/>
        </w:rPr>
        <w:t>reltativa</w:t>
      </w:r>
      <w:proofErr w:type="spellEnd"/>
      <w:r w:rsidR="00C25ADD" w:rsidRPr="0001253B">
        <w:rPr>
          <w:rFonts w:ascii="Palatino Linotype" w:hAnsi="Palatino Linotype"/>
          <w:i/>
          <w:color w:val="000000" w:themeColor="text1"/>
        </w:rPr>
        <w:t xml:space="preserve"> a la primera parte de la solicitud, por </w:t>
      </w:r>
      <w:proofErr w:type="spellStart"/>
      <w:r w:rsidR="00C25ADD" w:rsidRPr="0001253B">
        <w:rPr>
          <w:rFonts w:ascii="Palatino Linotype" w:hAnsi="Palatino Linotype"/>
          <w:i/>
          <w:color w:val="000000" w:themeColor="text1"/>
        </w:rPr>
        <w:t>logixa</w:t>
      </w:r>
      <w:proofErr w:type="spellEnd"/>
      <w:r w:rsidR="00C25ADD" w:rsidRPr="0001253B">
        <w:rPr>
          <w:rFonts w:ascii="Palatino Linotype" w:hAnsi="Palatino Linotype"/>
          <w:i/>
          <w:color w:val="000000" w:themeColor="text1"/>
        </w:rPr>
        <w:t xml:space="preserve"> se entiende que no ha trabajado la Unidad de Transparencia con </w:t>
      </w:r>
      <w:proofErr w:type="spellStart"/>
      <w:r w:rsidR="00C25ADD" w:rsidRPr="0001253B">
        <w:rPr>
          <w:rFonts w:ascii="Palatino Linotype" w:hAnsi="Palatino Linotype"/>
          <w:i/>
          <w:color w:val="000000" w:themeColor="text1"/>
        </w:rPr>
        <w:t>relacion</w:t>
      </w:r>
      <w:proofErr w:type="spellEnd"/>
      <w:r w:rsidR="00C25ADD" w:rsidRPr="0001253B">
        <w:rPr>
          <w:rFonts w:ascii="Palatino Linotype" w:hAnsi="Palatino Linotype"/>
          <w:i/>
          <w:color w:val="000000" w:themeColor="text1"/>
        </w:rPr>
        <w:t xml:space="preserve"> al </w:t>
      </w:r>
      <w:proofErr w:type="spellStart"/>
      <w:r w:rsidR="00C25ADD" w:rsidRPr="0001253B">
        <w:rPr>
          <w:rFonts w:ascii="Palatino Linotype" w:hAnsi="Palatino Linotype"/>
          <w:i/>
          <w:color w:val="000000" w:themeColor="text1"/>
        </w:rPr>
        <w:t>articulo</w:t>
      </w:r>
      <w:proofErr w:type="spellEnd"/>
      <w:r w:rsidR="00C25ADD" w:rsidRPr="0001253B">
        <w:rPr>
          <w:rFonts w:ascii="Palatino Linotype" w:hAnsi="Palatino Linotype"/>
          <w:i/>
          <w:color w:val="000000" w:themeColor="text1"/>
        </w:rPr>
        <w:t xml:space="preserve"> 24 </w:t>
      </w:r>
      <w:proofErr w:type="spellStart"/>
      <w:r w:rsidR="00C25ADD" w:rsidRPr="0001253B">
        <w:rPr>
          <w:rFonts w:ascii="Palatino Linotype" w:hAnsi="Palatino Linotype"/>
          <w:i/>
          <w:color w:val="000000" w:themeColor="text1"/>
        </w:rPr>
        <w:t>fracc</w:t>
      </w:r>
      <w:proofErr w:type="spellEnd"/>
      <w:r w:rsidR="00C25ADD" w:rsidRPr="0001253B">
        <w:rPr>
          <w:rFonts w:ascii="Palatino Linotype" w:hAnsi="Palatino Linotype"/>
          <w:i/>
          <w:color w:val="000000" w:themeColor="text1"/>
        </w:rPr>
        <w:t xml:space="preserve"> XXIII, lo cual se nota, en la </w:t>
      </w:r>
      <w:proofErr w:type="spellStart"/>
      <w:r w:rsidR="00C25ADD" w:rsidRPr="0001253B">
        <w:rPr>
          <w:rFonts w:ascii="Palatino Linotype" w:hAnsi="Palatino Linotype"/>
          <w:i/>
          <w:color w:val="000000" w:themeColor="text1"/>
        </w:rPr>
        <w:t>pesima</w:t>
      </w:r>
      <w:proofErr w:type="spellEnd"/>
      <w:r w:rsidR="00C25ADD" w:rsidRPr="0001253B">
        <w:rPr>
          <w:rFonts w:ascii="Palatino Linotype" w:hAnsi="Palatino Linotype"/>
          <w:i/>
          <w:color w:val="000000" w:themeColor="text1"/>
        </w:rPr>
        <w:t xml:space="preserve"> y torpe </w:t>
      </w:r>
      <w:proofErr w:type="spellStart"/>
      <w:r w:rsidR="00C25ADD" w:rsidRPr="0001253B">
        <w:rPr>
          <w:rFonts w:ascii="Palatino Linotype" w:hAnsi="Palatino Linotype"/>
          <w:i/>
          <w:color w:val="000000" w:themeColor="text1"/>
        </w:rPr>
        <w:t>atencion</w:t>
      </w:r>
      <w:proofErr w:type="spellEnd"/>
      <w:r w:rsidR="00C25ADD" w:rsidRPr="0001253B">
        <w:rPr>
          <w:rFonts w:ascii="Palatino Linotype" w:hAnsi="Palatino Linotype"/>
          <w:i/>
          <w:color w:val="000000" w:themeColor="text1"/>
        </w:rPr>
        <w:t xml:space="preserve"> a </w:t>
      </w:r>
      <w:proofErr w:type="spellStart"/>
      <w:r w:rsidR="00C25ADD" w:rsidRPr="0001253B">
        <w:rPr>
          <w:rFonts w:ascii="Palatino Linotype" w:hAnsi="Palatino Linotype"/>
          <w:i/>
          <w:color w:val="000000" w:themeColor="text1"/>
        </w:rPr>
        <w:t>solciitudes</w:t>
      </w:r>
      <w:proofErr w:type="spellEnd"/>
      <w:r w:rsidR="00C25ADD" w:rsidRPr="0001253B">
        <w:rPr>
          <w:rFonts w:ascii="Palatino Linotype" w:hAnsi="Palatino Linotype"/>
          <w:i/>
          <w:color w:val="000000" w:themeColor="text1"/>
        </w:rPr>
        <w:t xml:space="preserve"> de </w:t>
      </w:r>
      <w:proofErr w:type="spellStart"/>
      <w:r w:rsidR="00C25ADD" w:rsidRPr="0001253B">
        <w:rPr>
          <w:rFonts w:ascii="Palatino Linotype" w:hAnsi="Palatino Linotype"/>
          <w:i/>
          <w:color w:val="000000" w:themeColor="text1"/>
        </w:rPr>
        <w:t>infomación</w:t>
      </w:r>
      <w:proofErr w:type="spellEnd"/>
      <w:r w:rsidR="00C25ADD" w:rsidRPr="0001253B">
        <w:rPr>
          <w:rFonts w:ascii="Palatino Linotype" w:hAnsi="Palatino Linotype"/>
          <w:i/>
          <w:color w:val="000000" w:themeColor="text1"/>
        </w:rPr>
        <w:t xml:space="preserve">. Respecto a la segunda parte, solo anexa un proyecto de </w:t>
      </w:r>
      <w:proofErr w:type="spellStart"/>
      <w:r w:rsidR="00C25ADD" w:rsidRPr="0001253B">
        <w:rPr>
          <w:rFonts w:ascii="Palatino Linotype" w:hAnsi="Palatino Linotype"/>
          <w:i/>
          <w:color w:val="000000" w:themeColor="text1"/>
        </w:rPr>
        <w:t>sistematizacion</w:t>
      </w:r>
      <w:proofErr w:type="spellEnd"/>
      <w:r w:rsidR="00C25ADD" w:rsidRPr="0001253B">
        <w:rPr>
          <w:rFonts w:ascii="Palatino Linotype" w:hAnsi="Palatino Linotype"/>
          <w:i/>
          <w:color w:val="000000" w:themeColor="text1"/>
        </w:rPr>
        <w:t xml:space="preserve"> y solicite la totalidad de proyectos</w:t>
      </w:r>
      <w:r w:rsidRPr="0001253B">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01253B" w:rsidRDefault="00942616" w:rsidP="00942616">
      <w:pPr>
        <w:spacing w:line="360" w:lineRule="auto"/>
        <w:rPr>
          <w:rFonts w:ascii="Palatino Linotype" w:hAnsi="Palatino Linotype"/>
          <w:i/>
          <w:color w:val="000000" w:themeColor="text1"/>
        </w:rPr>
      </w:pPr>
    </w:p>
    <w:p w14:paraId="163EA181" w14:textId="204A474E" w:rsidR="00942616" w:rsidRPr="0001253B" w:rsidRDefault="00942616" w:rsidP="00942616">
      <w:pPr>
        <w:pStyle w:val="Prrafodelista"/>
        <w:numPr>
          <w:ilvl w:val="0"/>
          <w:numId w:val="1"/>
        </w:numPr>
        <w:spacing w:line="360" w:lineRule="auto"/>
        <w:ind w:left="0" w:firstLine="0"/>
        <w:jc w:val="both"/>
        <w:rPr>
          <w:rFonts w:ascii="Palatino Linotype" w:hAnsi="Palatino Linotype"/>
          <w:i/>
        </w:rPr>
      </w:pPr>
      <w:r w:rsidRPr="0001253B">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C25ADD" w:rsidRPr="0001253B">
        <w:rPr>
          <w:rFonts w:ascii="Palatino Linotype" w:eastAsia="Calibri" w:hAnsi="Palatino Linotype" w:cs="Arial"/>
          <w:b/>
          <w:bCs/>
          <w:lang w:val="es-ES"/>
        </w:rPr>
        <w:t>dieciocho de diciembre de dos mil veintitrés</w:t>
      </w:r>
      <w:r w:rsidRPr="0001253B">
        <w:rPr>
          <w:rFonts w:ascii="Palatino Linotype" w:eastAsia="Calibri" w:hAnsi="Palatino Linotype" w:cs="Arial"/>
          <w:lang w:val="es-ES"/>
        </w:rPr>
        <w:t xml:space="preserve">, puso a disposición de las partes el expediente electrónico </w:t>
      </w:r>
      <w:r w:rsidRPr="0001253B">
        <w:rPr>
          <w:rFonts w:ascii="Palatino Linotype" w:eastAsia="Calibri" w:hAnsi="Palatino Linotype" w:cs="Arial"/>
        </w:rPr>
        <w:t xml:space="preserve">vía </w:t>
      </w:r>
      <w:r w:rsidRPr="0001253B">
        <w:rPr>
          <w:rFonts w:ascii="Palatino Linotype" w:eastAsia="Calibri" w:hAnsi="Palatino Linotype" w:cs="Arial"/>
          <w:b/>
          <w:lang w:val="es-ES"/>
        </w:rPr>
        <w:t xml:space="preserve">SAIMEX </w:t>
      </w:r>
      <w:r w:rsidRPr="0001253B">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01253B">
        <w:rPr>
          <w:rFonts w:ascii="Palatino Linotype" w:eastAsia="Calibri" w:hAnsi="Palatino Linotype" w:cs="Arial"/>
          <w:b/>
          <w:lang w:val="es-ES"/>
        </w:rPr>
        <w:t>SUJETO OBLIGADO</w:t>
      </w:r>
      <w:r w:rsidRPr="0001253B">
        <w:rPr>
          <w:rFonts w:ascii="Palatino Linotype" w:eastAsia="Calibri" w:hAnsi="Palatino Linotype" w:cs="Arial"/>
          <w:lang w:val="es-ES"/>
        </w:rPr>
        <w:t xml:space="preserve"> presentará el Informe Justificado procedente.</w:t>
      </w:r>
    </w:p>
    <w:p w14:paraId="7BC69DC3" w14:textId="77777777" w:rsidR="00942616" w:rsidRPr="0001253B" w:rsidRDefault="00942616" w:rsidP="00942616">
      <w:pPr>
        <w:pStyle w:val="Prrafodelista"/>
        <w:spacing w:line="360" w:lineRule="auto"/>
        <w:ind w:left="0"/>
        <w:jc w:val="both"/>
        <w:rPr>
          <w:rFonts w:ascii="Palatino Linotype" w:hAnsi="Palatino Linotype"/>
        </w:rPr>
      </w:pPr>
    </w:p>
    <w:p w14:paraId="4571EE86" w14:textId="0626E879" w:rsidR="003E76A0" w:rsidRPr="0001253B" w:rsidRDefault="00923E55" w:rsidP="00C25ADD">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color w:val="000000"/>
        </w:rPr>
        <w:t>De lo anterior</w:t>
      </w:r>
      <w:r w:rsidR="003E76A0" w:rsidRPr="0001253B">
        <w:rPr>
          <w:rFonts w:ascii="Palatino Linotype" w:hAnsi="Palatino Linotype"/>
          <w:color w:val="000000"/>
        </w:rPr>
        <w:t xml:space="preserve">, el </w:t>
      </w:r>
      <w:r w:rsidR="003E76A0" w:rsidRPr="0001253B">
        <w:rPr>
          <w:rFonts w:ascii="Palatino Linotype" w:hAnsi="Palatino Linotype"/>
          <w:b/>
          <w:color w:val="000000"/>
        </w:rPr>
        <w:t xml:space="preserve">SUJETO OBLIGADO </w:t>
      </w:r>
      <w:r w:rsidR="003E76A0" w:rsidRPr="0001253B">
        <w:rPr>
          <w:rFonts w:ascii="Palatino Linotype" w:hAnsi="Palatino Linotype"/>
          <w:color w:val="000000"/>
        </w:rPr>
        <w:t>en fecha</w:t>
      </w:r>
      <w:r w:rsidR="00722086" w:rsidRPr="0001253B">
        <w:rPr>
          <w:rFonts w:ascii="Palatino Linotype" w:hAnsi="Palatino Linotype"/>
          <w:color w:val="000000"/>
        </w:rPr>
        <w:t xml:space="preserve"> </w:t>
      </w:r>
      <w:r w:rsidR="00C25ADD" w:rsidRPr="0001253B">
        <w:rPr>
          <w:rFonts w:ascii="Palatino Linotype" w:hAnsi="Palatino Linotype"/>
          <w:color w:val="000000"/>
        </w:rPr>
        <w:t>doce de enero de dos mil veinticuatro</w:t>
      </w:r>
      <w:r w:rsidR="003E76A0" w:rsidRPr="0001253B">
        <w:rPr>
          <w:rFonts w:ascii="Palatino Linotype" w:hAnsi="Palatino Linotype"/>
          <w:color w:val="000000"/>
        </w:rPr>
        <w:t>, p</w:t>
      </w:r>
      <w:r w:rsidR="00D17C3A">
        <w:rPr>
          <w:rFonts w:ascii="Palatino Linotype" w:hAnsi="Palatino Linotype"/>
          <w:color w:val="000000"/>
        </w:rPr>
        <w:t>resento su informe justificado</w:t>
      </w:r>
      <w:r w:rsidR="003E76A0" w:rsidRPr="0001253B">
        <w:rPr>
          <w:rFonts w:ascii="Palatino Linotype" w:hAnsi="Palatino Linotype"/>
          <w:color w:val="000000"/>
        </w:rPr>
        <w:t xml:space="preserve">, cuyo contenido toral es el siguiente: </w:t>
      </w:r>
    </w:p>
    <w:p w14:paraId="7ED6F64F" w14:textId="77777777" w:rsidR="0018393D" w:rsidRPr="0001253B" w:rsidRDefault="0018393D" w:rsidP="0018393D">
      <w:pPr>
        <w:pStyle w:val="Prrafodelista"/>
        <w:rPr>
          <w:rFonts w:ascii="Palatino Linotype" w:hAnsi="Palatino Linotype"/>
        </w:rPr>
      </w:pPr>
    </w:p>
    <w:p w14:paraId="7D69AF23" w14:textId="6DD20CD3" w:rsidR="002B540C" w:rsidRPr="0001253B" w:rsidRDefault="00C25ADD" w:rsidP="006901AF">
      <w:pPr>
        <w:pStyle w:val="Prrafodelista"/>
        <w:ind w:left="1134" w:right="900"/>
        <w:jc w:val="both"/>
        <w:rPr>
          <w:rFonts w:ascii="Palatino Linotype" w:hAnsi="Palatino Linotype"/>
          <w:i/>
        </w:rPr>
      </w:pPr>
      <w:r w:rsidRPr="0001253B">
        <w:rPr>
          <w:rFonts w:ascii="Palatino Linotype" w:hAnsi="Palatino Linotype"/>
          <w:b/>
          <w:i/>
        </w:rPr>
        <w:t>08498.pdf</w:t>
      </w:r>
      <w:r w:rsidR="002B540C" w:rsidRPr="0001253B">
        <w:rPr>
          <w:rFonts w:ascii="Palatino Linotype" w:hAnsi="Palatino Linotype"/>
          <w:b/>
          <w:i/>
        </w:rPr>
        <w:t xml:space="preserve">: </w:t>
      </w:r>
      <w:r w:rsidRPr="0001253B">
        <w:rPr>
          <w:rFonts w:ascii="Palatino Linotype" w:hAnsi="Palatino Linotype"/>
          <w:i/>
        </w:rPr>
        <w:t xml:space="preserve">Oficio 2010ª4000/UT/RR/0015/2024 </w:t>
      </w:r>
      <w:r w:rsidR="006901AF" w:rsidRPr="0001253B">
        <w:rPr>
          <w:rFonts w:ascii="Palatino Linotype" w:hAnsi="Palatino Linotype"/>
          <w:i/>
        </w:rPr>
        <w:t>informe justificado mediante el cual se manifiesta la ratificación de la respuesta inicialmente emitida, y se pide la confirmación de la misma.</w:t>
      </w:r>
    </w:p>
    <w:p w14:paraId="2E42E6B3" w14:textId="77777777" w:rsidR="006901AF" w:rsidRPr="0001253B" w:rsidRDefault="006901AF" w:rsidP="006901AF">
      <w:pPr>
        <w:pStyle w:val="Prrafodelista"/>
        <w:ind w:left="360"/>
        <w:jc w:val="both"/>
        <w:rPr>
          <w:rFonts w:ascii="Palatino Linotype" w:hAnsi="Palatino Linotype"/>
          <w:i/>
        </w:rPr>
      </w:pPr>
    </w:p>
    <w:p w14:paraId="0E1F394B" w14:textId="77777777" w:rsidR="003E76A0" w:rsidRPr="0001253B" w:rsidRDefault="003E76A0" w:rsidP="003E76A0">
      <w:pPr>
        <w:pStyle w:val="Prrafodelista"/>
        <w:rPr>
          <w:rFonts w:ascii="Palatino Linotype" w:hAnsi="Palatino Linotype"/>
          <w:color w:val="000000"/>
        </w:rPr>
      </w:pPr>
    </w:p>
    <w:p w14:paraId="31B8518A" w14:textId="2BF73D33" w:rsidR="00942616" w:rsidRPr="0001253B" w:rsidRDefault="002B540C" w:rsidP="00942616">
      <w:pPr>
        <w:pStyle w:val="Prrafodelista"/>
        <w:numPr>
          <w:ilvl w:val="0"/>
          <w:numId w:val="1"/>
        </w:numPr>
        <w:spacing w:line="360" w:lineRule="auto"/>
        <w:jc w:val="both"/>
        <w:rPr>
          <w:rFonts w:ascii="Palatino Linotype" w:hAnsi="Palatino Linotype"/>
        </w:rPr>
      </w:pPr>
      <w:r w:rsidRPr="0001253B">
        <w:rPr>
          <w:rFonts w:ascii="Palatino Linotype" w:hAnsi="Palatino Linotype"/>
          <w:color w:val="000000"/>
        </w:rPr>
        <w:t xml:space="preserve">Por su parte el </w:t>
      </w:r>
      <w:r w:rsidR="00942616" w:rsidRPr="0001253B">
        <w:rPr>
          <w:rFonts w:ascii="Palatino Linotype" w:hAnsi="Palatino Linotype"/>
          <w:b/>
          <w:color w:val="000000"/>
        </w:rPr>
        <w:t xml:space="preserve">PARTICULAR </w:t>
      </w:r>
      <w:r w:rsidRPr="0001253B">
        <w:rPr>
          <w:rFonts w:ascii="Palatino Linotype" w:hAnsi="Palatino Linotype"/>
          <w:color w:val="000000"/>
        </w:rPr>
        <w:t>dej</w:t>
      </w:r>
      <w:r w:rsidR="00D17C3A">
        <w:rPr>
          <w:rFonts w:ascii="Palatino Linotype" w:hAnsi="Palatino Linotype"/>
          <w:color w:val="000000"/>
        </w:rPr>
        <w:t>ó</w:t>
      </w:r>
      <w:r w:rsidR="00923E55" w:rsidRPr="0001253B">
        <w:rPr>
          <w:rFonts w:ascii="Palatino Linotype" w:hAnsi="Palatino Linotype"/>
          <w:color w:val="000000"/>
        </w:rPr>
        <w:t xml:space="preserve"> de realizar </w:t>
      </w:r>
      <w:r w:rsidR="00942616" w:rsidRPr="0001253B">
        <w:rPr>
          <w:rFonts w:ascii="Palatino Linotype" w:hAnsi="Palatino Linotype"/>
          <w:color w:val="000000"/>
        </w:rPr>
        <w:t>manifestaciones que a su</w:t>
      </w:r>
      <w:r w:rsidR="007505E5" w:rsidRPr="0001253B">
        <w:rPr>
          <w:rFonts w:ascii="Palatino Linotype" w:hAnsi="Palatino Linotype"/>
          <w:color w:val="000000"/>
        </w:rPr>
        <w:t xml:space="preserve"> derecho conviniera y asistiera</w:t>
      </w:r>
      <w:r w:rsidRPr="0001253B">
        <w:rPr>
          <w:rFonts w:ascii="Palatino Linotype" w:hAnsi="Palatino Linotype"/>
          <w:color w:val="000000"/>
        </w:rPr>
        <w:t xml:space="preserve">. </w:t>
      </w:r>
    </w:p>
    <w:p w14:paraId="3A2CF0EE" w14:textId="77777777" w:rsidR="002B540C" w:rsidRPr="0001253B" w:rsidRDefault="002B540C" w:rsidP="002B540C">
      <w:pPr>
        <w:pStyle w:val="Prrafodelista"/>
        <w:spacing w:line="360" w:lineRule="auto"/>
        <w:ind w:left="360"/>
        <w:jc w:val="both"/>
        <w:rPr>
          <w:rFonts w:ascii="Palatino Linotype" w:hAnsi="Palatino Linotype"/>
        </w:rPr>
      </w:pPr>
    </w:p>
    <w:p w14:paraId="071CF068" w14:textId="2C0CACFA" w:rsidR="00942616" w:rsidRPr="00975C21"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01253B">
        <w:rPr>
          <w:rFonts w:ascii="Palatino Linotype" w:hAnsi="Palatino Linotype"/>
        </w:rPr>
        <w:t xml:space="preserve">En fecha </w:t>
      </w:r>
      <w:r w:rsidR="006901AF" w:rsidRPr="0001253B">
        <w:rPr>
          <w:rFonts w:ascii="Palatino Linotype" w:hAnsi="Palatino Linotype"/>
        </w:rPr>
        <w:t>catorce de marzo de dos mil veinticuatro</w:t>
      </w:r>
      <w:r w:rsidRPr="0001253B">
        <w:rPr>
          <w:rFonts w:ascii="Palatino Linotype" w:hAnsi="Palatino Linotype"/>
        </w:rPr>
        <w:t>, se amplió el término para resolver; al respecto es menester realizar las siguientes precisiones.</w:t>
      </w:r>
    </w:p>
    <w:p w14:paraId="2D408B5A" w14:textId="77777777" w:rsidR="00975C21" w:rsidRPr="00975C21" w:rsidRDefault="00975C21" w:rsidP="00975C21">
      <w:pPr>
        <w:pStyle w:val="Prrafodelista"/>
        <w:rPr>
          <w:rFonts w:ascii="Palatino Linotype" w:hAnsi="Palatino Linotype"/>
          <w:b/>
          <w:color w:val="000000" w:themeColor="text1"/>
        </w:rPr>
      </w:pPr>
    </w:p>
    <w:p w14:paraId="6EAE64F4" w14:textId="77777777" w:rsidR="00975C21" w:rsidRPr="00C03A51" w:rsidRDefault="00975C21" w:rsidP="00975C21">
      <w:pPr>
        <w:pStyle w:val="Prrafodelista"/>
        <w:numPr>
          <w:ilvl w:val="0"/>
          <w:numId w:val="1"/>
        </w:numPr>
        <w:spacing w:line="360" w:lineRule="auto"/>
        <w:ind w:left="0" w:firstLine="0"/>
        <w:jc w:val="both"/>
        <w:rPr>
          <w:rFonts w:ascii="Palatino Linotype" w:hAnsi="Palatino Linotype"/>
        </w:rPr>
      </w:pPr>
      <w:r w:rsidRPr="00C03A51">
        <w:rPr>
          <w:rFonts w:ascii="Palatino Linotype" w:hAnsi="Palatino Linotype"/>
        </w:rPr>
        <w:t xml:space="preserve">Este organismo garante no pasa por alto justificar, que la dilación en la resolución del </w:t>
      </w:r>
      <w:r w:rsidRPr="00C03A51">
        <w:rPr>
          <w:rFonts w:ascii="Palatino Linotype" w:hAnsi="Palatino Linotype"/>
          <w:color w:val="000000"/>
        </w:rPr>
        <w:t>presente</w:t>
      </w:r>
      <w:r w:rsidRPr="00C03A51">
        <w:rPr>
          <w:rFonts w:ascii="Palatino Linotype" w:hAnsi="Palatino Linotype"/>
        </w:rPr>
        <w:t xml:space="preserve"> asunto encuentra justificación en el alto número de recursos de revisión recibidos se ha incrementado el número de medios de impugnación que deben resolverse por este Instituto, circunstancia atípica que ha rebasado las </w:t>
      </w:r>
      <w:r w:rsidRPr="00C03A51">
        <w:rPr>
          <w:rFonts w:ascii="Palatino Linotype" w:hAnsi="Palatino Linotype"/>
        </w:rPr>
        <w:lastRenderedPageBreak/>
        <w:t>capacidades técnicas y humanas del personal encargado de la proyección de las resoluciones a dichos medios de impugnación.</w:t>
      </w:r>
    </w:p>
    <w:p w14:paraId="30F1AA3C" w14:textId="77777777" w:rsidR="00942616" w:rsidRPr="00975C21" w:rsidRDefault="00942616" w:rsidP="00975C21">
      <w:pPr>
        <w:pStyle w:val="Prrafodelista"/>
        <w:spacing w:line="360" w:lineRule="auto"/>
        <w:ind w:left="0"/>
        <w:jc w:val="both"/>
        <w:rPr>
          <w:rFonts w:ascii="Palatino Linotype" w:hAnsi="Palatino Linotype"/>
          <w:b/>
          <w:color w:val="000000" w:themeColor="text1"/>
        </w:rPr>
      </w:pPr>
    </w:p>
    <w:p w14:paraId="421C7B37"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01253B" w:rsidRDefault="00942616" w:rsidP="00942616">
      <w:pPr>
        <w:pStyle w:val="Prrafodelista"/>
        <w:spacing w:line="360" w:lineRule="auto"/>
        <w:rPr>
          <w:rFonts w:ascii="Palatino Linotype" w:hAnsi="Palatino Linotype"/>
        </w:rPr>
      </w:pPr>
    </w:p>
    <w:p w14:paraId="47A7953F"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01253B" w:rsidRDefault="00942616" w:rsidP="00942616">
      <w:pPr>
        <w:pStyle w:val="Prrafodelista"/>
        <w:spacing w:line="360" w:lineRule="auto"/>
        <w:rPr>
          <w:rFonts w:ascii="Palatino Linotype" w:hAnsi="Palatino Linotype"/>
        </w:rPr>
      </w:pPr>
    </w:p>
    <w:p w14:paraId="6648C1F5"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01253B" w:rsidRDefault="00942616" w:rsidP="00942616">
      <w:pPr>
        <w:pStyle w:val="Prrafodelista"/>
        <w:spacing w:line="360" w:lineRule="auto"/>
        <w:rPr>
          <w:rFonts w:ascii="Palatino Linotype" w:hAnsi="Palatino Linotype"/>
        </w:rPr>
      </w:pPr>
    </w:p>
    <w:p w14:paraId="6038D175"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01253B" w:rsidRDefault="00942616" w:rsidP="00942616">
      <w:pPr>
        <w:spacing w:line="360" w:lineRule="auto"/>
        <w:jc w:val="both"/>
        <w:rPr>
          <w:rFonts w:ascii="Palatino Linotype" w:hAnsi="Palatino Linotype"/>
        </w:rPr>
      </w:pPr>
    </w:p>
    <w:p w14:paraId="65707673" w14:textId="77777777" w:rsidR="00942616" w:rsidRPr="0001253B" w:rsidRDefault="00942616" w:rsidP="00942616">
      <w:pPr>
        <w:pStyle w:val="Prrafodelista"/>
        <w:numPr>
          <w:ilvl w:val="0"/>
          <w:numId w:val="3"/>
        </w:numPr>
        <w:spacing w:line="360" w:lineRule="auto"/>
        <w:jc w:val="both"/>
        <w:rPr>
          <w:rFonts w:ascii="Palatino Linotype" w:hAnsi="Palatino Linotype"/>
        </w:rPr>
      </w:pPr>
      <w:r w:rsidRPr="0001253B">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267D0680" w14:textId="77777777" w:rsidR="00942616" w:rsidRPr="0001253B" w:rsidRDefault="00942616" w:rsidP="00942616">
      <w:pPr>
        <w:pStyle w:val="Prrafodelista"/>
        <w:numPr>
          <w:ilvl w:val="0"/>
          <w:numId w:val="3"/>
        </w:numPr>
        <w:spacing w:line="360" w:lineRule="auto"/>
        <w:jc w:val="both"/>
        <w:rPr>
          <w:rFonts w:ascii="Palatino Linotype" w:hAnsi="Palatino Linotype"/>
        </w:rPr>
      </w:pPr>
      <w:r w:rsidRPr="0001253B">
        <w:rPr>
          <w:rFonts w:ascii="Palatino Linotype" w:hAnsi="Palatino Linotype"/>
        </w:rPr>
        <w:t>Actividad Procesal del interesado. Acciones u omisiones del interesado.</w:t>
      </w:r>
    </w:p>
    <w:p w14:paraId="256F257B" w14:textId="77777777" w:rsidR="00942616" w:rsidRPr="0001253B" w:rsidRDefault="00942616" w:rsidP="00942616">
      <w:pPr>
        <w:pStyle w:val="Prrafodelista"/>
        <w:numPr>
          <w:ilvl w:val="0"/>
          <w:numId w:val="3"/>
        </w:numPr>
        <w:spacing w:line="360" w:lineRule="auto"/>
        <w:jc w:val="both"/>
        <w:rPr>
          <w:rFonts w:ascii="Palatino Linotype" w:hAnsi="Palatino Linotype"/>
        </w:rPr>
      </w:pPr>
      <w:r w:rsidRPr="0001253B">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01253B" w:rsidRDefault="00942616" w:rsidP="00942616">
      <w:pPr>
        <w:spacing w:line="360" w:lineRule="auto"/>
        <w:ind w:left="851" w:hanging="284"/>
        <w:jc w:val="both"/>
        <w:rPr>
          <w:rFonts w:ascii="Palatino Linotype" w:hAnsi="Palatino Linotype"/>
        </w:rPr>
      </w:pPr>
      <w:r w:rsidRPr="0001253B">
        <w:rPr>
          <w:rFonts w:ascii="Palatino Linotype" w:hAnsi="Palatino Linotype"/>
        </w:rPr>
        <w:t>d) La afectación generada en la situación jurídica de la persona involucrada en el proceso: Violación a sus derechos humanos.</w:t>
      </w:r>
    </w:p>
    <w:p w14:paraId="274A60C9" w14:textId="77777777" w:rsidR="00942616" w:rsidRPr="0001253B" w:rsidRDefault="00942616" w:rsidP="00942616">
      <w:pPr>
        <w:spacing w:line="360" w:lineRule="auto"/>
        <w:ind w:left="851" w:hanging="284"/>
        <w:jc w:val="both"/>
        <w:rPr>
          <w:rFonts w:ascii="Palatino Linotype" w:hAnsi="Palatino Linotype"/>
        </w:rPr>
      </w:pPr>
    </w:p>
    <w:p w14:paraId="6B6FC5AD"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01253B" w:rsidRDefault="00942616" w:rsidP="00942616">
      <w:pPr>
        <w:pStyle w:val="Prrafodelista"/>
        <w:spacing w:line="360" w:lineRule="auto"/>
        <w:ind w:left="0"/>
        <w:jc w:val="both"/>
        <w:rPr>
          <w:rFonts w:ascii="Palatino Linotype" w:hAnsi="Palatino Linotype"/>
        </w:rPr>
      </w:pPr>
    </w:p>
    <w:p w14:paraId="157A59C0"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b/>
        </w:rPr>
      </w:pPr>
      <w:r w:rsidRPr="0001253B">
        <w:rPr>
          <w:rFonts w:ascii="Palatino Linotype" w:hAnsi="Palatino Linotype"/>
        </w:rPr>
        <w:t xml:space="preserve">Argumento que encuentra sustento en la jurisprudencia P./J. 32/92 emitida por el Pleno de la Suprema Corte de Justicia de la Nación de rubro </w:t>
      </w:r>
      <w:r w:rsidRPr="0001253B">
        <w:rPr>
          <w:rFonts w:ascii="Palatino Linotype" w:hAnsi="Palatino Linotype"/>
          <w:i/>
        </w:rPr>
        <w:t xml:space="preserve">“TÉRMINOS PROCESALES. PARA DETERMINAR SI UN FUNCIONARIO JUDICIAL ACTUÓ </w:t>
      </w:r>
      <w:r w:rsidRPr="0001253B">
        <w:rPr>
          <w:rFonts w:ascii="Palatino Linotype" w:hAnsi="Palatino Linotype"/>
        </w:rPr>
        <w:t>INDEBIDAMENTE</w:t>
      </w:r>
      <w:r w:rsidRPr="0001253B">
        <w:rPr>
          <w:rFonts w:ascii="Palatino Linotype" w:hAnsi="Palatino Linotype"/>
          <w:i/>
        </w:rPr>
        <w:t xml:space="preserve"> POR NO RESPETARLOS SE DEBE ATENDER AL PRESUPUESTO QUE CONSIDERÓ EL LEGISLADOR AL FIJARLOS Y LAS CARACTERÍSTICAS DEL CASO.”</w:t>
      </w:r>
      <w:r w:rsidRPr="0001253B">
        <w:rPr>
          <w:rFonts w:ascii="Palatino Linotype" w:hAnsi="Palatino Linotype"/>
        </w:rPr>
        <w:t>, visible en la Gaceta del Seminario Judicial de la Federación con el registro digital 205635.</w:t>
      </w:r>
    </w:p>
    <w:p w14:paraId="11D1E3BC" w14:textId="77777777" w:rsidR="00942616" w:rsidRPr="0001253B" w:rsidRDefault="00942616" w:rsidP="00942616">
      <w:pPr>
        <w:spacing w:line="360" w:lineRule="auto"/>
        <w:jc w:val="both"/>
        <w:rPr>
          <w:rFonts w:ascii="Palatino Linotype" w:hAnsi="Palatino Linotype"/>
        </w:rPr>
      </w:pPr>
    </w:p>
    <w:p w14:paraId="3C1A53A0"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01253B" w:rsidRDefault="00942616" w:rsidP="00942616">
      <w:pPr>
        <w:pStyle w:val="Prrafodelista"/>
        <w:spacing w:line="360" w:lineRule="auto"/>
        <w:rPr>
          <w:rFonts w:ascii="Palatino Linotype" w:hAnsi="Palatino Linotype"/>
        </w:rPr>
      </w:pPr>
    </w:p>
    <w:p w14:paraId="7CBF7CEC"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01253B" w:rsidRDefault="00942616" w:rsidP="00942616">
      <w:pPr>
        <w:spacing w:line="360" w:lineRule="auto"/>
        <w:jc w:val="both"/>
        <w:rPr>
          <w:rFonts w:ascii="Palatino Linotype" w:hAnsi="Palatino Linotype"/>
        </w:rPr>
      </w:pPr>
    </w:p>
    <w:p w14:paraId="001B7B01"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01253B" w:rsidRDefault="00942616" w:rsidP="00942616">
      <w:pPr>
        <w:spacing w:line="360" w:lineRule="auto"/>
        <w:jc w:val="both"/>
        <w:rPr>
          <w:rFonts w:ascii="Palatino Linotype" w:hAnsi="Palatino Linotype"/>
        </w:rPr>
      </w:pPr>
    </w:p>
    <w:p w14:paraId="78E9AEE0" w14:textId="77777777" w:rsidR="00942616" w:rsidRPr="0001253B" w:rsidRDefault="00942616" w:rsidP="003E7B6C">
      <w:pPr>
        <w:ind w:left="567" w:right="616"/>
        <w:jc w:val="both"/>
        <w:rPr>
          <w:rFonts w:ascii="Palatino Linotype" w:hAnsi="Palatino Linotype"/>
          <w:sz w:val="22"/>
          <w:szCs w:val="22"/>
        </w:rPr>
      </w:pPr>
      <w:r w:rsidRPr="0001253B">
        <w:rPr>
          <w:rFonts w:ascii="Palatino Linotype" w:hAnsi="Palatino Linotype"/>
          <w:sz w:val="22"/>
          <w:szCs w:val="22"/>
        </w:rPr>
        <w:t xml:space="preserve"> </w:t>
      </w:r>
      <w:r w:rsidRPr="0001253B">
        <w:rPr>
          <w:rFonts w:ascii="Palatino Linotype" w:hAnsi="Palatino Linotype"/>
          <w:i/>
          <w:sz w:val="22"/>
          <w:szCs w:val="22"/>
        </w:rPr>
        <w:t>“PLAZO RAZONABLE PARA RESOLVER. DIMENSIÓN Y EFECTOS DE ESTE CONCEPTO CUANDO SE ADUCE EXCESIVA CARGA DE TRABAJO.”</w:t>
      </w:r>
      <w:r w:rsidRPr="0001253B">
        <w:rPr>
          <w:rFonts w:ascii="Palatino Linotype" w:hAnsi="Palatino Linotype"/>
          <w:sz w:val="22"/>
          <w:szCs w:val="22"/>
        </w:rPr>
        <w:t xml:space="preserve"> consultable en el Seminario Judicial de la Federación y su gaceta, con el registro digital 2002351.</w:t>
      </w:r>
    </w:p>
    <w:p w14:paraId="37E6B5AC" w14:textId="77777777" w:rsidR="00942616" w:rsidRPr="0001253B" w:rsidRDefault="00942616" w:rsidP="003E7B6C">
      <w:pPr>
        <w:ind w:left="567" w:right="616"/>
        <w:jc w:val="both"/>
        <w:rPr>
          <w:rFonts w:ascii="Palatino Linotype" w:hAnsi="Palatino Linotype"/>
          <w:b/>
          <w:sz w:val="22"/>
          <w:szCs w:val="22"/>
        </w:rPr>
      </w:pPr>
    </w:p>
    <w:p w14:paraId="28D44959" w14:textId="77777777" w:rsidR="00942616" w:rsidRPr="0001253B" w:rsidRDefault="00942616" w:rsidP="003E7B6C">
      <w:pPr>
        <w:ind w:left="567" w:right="616"/>
        <w:jc w:val="both"/>
        <w:rPr>
          <w:rFonts w:ascii="Palatino Linotype" w:hAnsi="Palatino Linotype"/>
          <w:sz w:val="22"/>
          <w:szCs w:val="22"/>
        </w:rPr>
      </w:pPr>
      <w:r w:rsidRPr="0001253B">
        <w:rPr>
          <w:rFonts w:ascii="Palatino Linotype" w:hAnsi="Palatino Linotype"/>
          <w:i/>
          <w:sz w:val="22"/>
          <w:szCs w:val="22"/>
        </w:rPr>
        <w:t xml:space="preserve">“PLAZO RAZONABLE PARA RESOLVER. CONCEPTO Y ELEMENTOS QUE LO INTEGRAN A LA LUZ DEL DERECHO INTERNACIONAL DE LOS </w:t>
      </w:r>
      <w:r w:rsidRPr="0001253B">
        <w:rPr>
          <w:rFonts w:ascii="Palatino Linotype" w:hAnsi="Palatino Linotype"/>
          <w:i/>
          <w:sz w:val="22"/>
          <w:szCs w:val="22"/>
        </w:rPr>
        <w:lastRenderedPageBreak/>
        <w:t>DERECHOS HUMANOS.”</w:t>
      </w:r>
      <w:r w:rsidRPr="0001253B">
        <w:rPr>
          <w:rFonts w:ascii="Palatino Linotype" w:hAnsi="Palatino Linotype"/>
          <w:sz w:val="22"/>
          <w:szCs w:val="22"/>
        </w:rPr>
        <w:t>, visible en el Seminario Judicial de la Federación y su gaceta, con el registro digital 2002350.”</w:t>
      </w:r>
    </w:p>
    <w:p w14:paraId="730EA835" w14:textId="77777777" w:rsidR="00942616" w:rsidRPr="0001253B" w:rsidRDefault="00942616" w:rsidP="00942616">
      <w:pPr>
        <w:pStyle w:val="Prrafodelista"/>
        <w:spacing w:line="360" w:lineRule="auto"/>
        <w:rPr>
          <w:rFonts w:ascii="Palatino Linotype" w:hAnsi="Palatino Linotype"/>
        </w:rPr>
      </w:pPr>
    </w:p>
    <w:p w14:paraId="0A60B96A" w14:textId="5777CCB5" w:rsidR="00942616" w:rsidRPr="00591CF0"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591CF0">
        <w:rPr>
          <w:rFonts w:ascii="Palatino Linotype" w:hAnsi="Palatino Linotype"/>
        </w:rPr>
        <w:t xml:space="preserve">Seguidamente, mediante </w:t>
      </w:r>
      <w:r w:rsidRPr="00591CF0">
        <w:rPr>
          <w:rFonts w:ascii="Palatino Linotype" w:hAnsi="Palatino Linotype"/>
          <w:color w:val="000000"/>
        </w:rPr>
        <w:t>acuerdo</w:t>
      </w:r>
      <w:r w:rsidRPr="00591CF0">
        <w:rPr>
          <w:rFonts w:ascii="Palatino Linotype" w:hAnsi="Palatino Linotype"/>
        </w:rPr>
        <w:t xml:space="preserve"> de fecha </w:t>
      </w:r>
      <w:r w:rsidR="00975C21" w:rsidRPr="00591CF0">
        <w:rPr>
          <w:rFonts w:ascii="Palatino Linotype" w:hAnsi="Palatino Linotype"/>
        </w:rPr>
        <w:t>diecinueve de junio</w:t>
      </w:r>
      <w:r w:rsidR="002B540C" w:rsidRPr="00591CF0">
        <w:rPr>
          <w:rFonts w:ascii="Palatino Linotype" w:hAnsi="Palatino Linotype"/>
        </w:rPr>
        <w:t xml:space="preserve"> </w:t>
      </w:r>
      <w:r w:rsidR="00923E55" w:rsidRPr="00591CF0">
        <w:rPr>
          <w:rFonts w:ascii="Palatino Linotype" w:hAnsi="Palatino Linotype"/>
        </w:rPr>
        <w:t>de dos mil veinticuatro se decretó</w:t>
      </w:r>
      <w:r w:rsidRPr="00591CF0">
        <w:rPr>
          <w:rFonts w:ascii="Palatino Linotype" w:hAnsi="Palatino Linotype"/>
        </w:rPr>
        <w:t xml:space="preserve"> el cierre de instrucción, </w:t>
      </w:r>
      <w:r w:rsidRPr="00591CF0">
        <w:rPr>
          <w:rFonts w:ascii="Palatino Linotype" w:hAnsi="Palatino Linotype" w:cs="Arial"/>
        </w:rPr>
        <w:t>por lo que no ha</w:t>
      </w:r>
      <w:bookmarkStart w:id="133" w:name="_Toc491791302"/>
      <w:bookmarkStart w:id="134" w:name="_Toc83128578"/>
      <w:r w:rsidRPr="00591CF0">
        <w:rPr>
          <w:rFonts w:ascii="Palatino Linotype" w:hAnsi="Palatino Linotype" w:cs="Arial"/>
        </w:rPr>
        <w:t>biendo más que hacer constar, y</w:t>
      </w:r>
      <w:r w:rsidR="009304C1" w:rsidRPr="00591CF0">
        <w:rPr>
          <w:rFonts w:ascii="Palatino Linotype" w:hAnsi="Palatino Linotype" w:cs="Arial"/>
        </w:rPr>
        <w:t>-------</w:t>
      </w:r>
      <w:r w:rsidR="00591CF0">
        <w:rPr>
          <w:rFonts w:ascii="Palatino Linotype" w:hAnsi="Palatino Linotype" w:cs="Arial"/>
        </w:rPr>
        <w:t>-----------------------------------------------------------------------------------</w:t>
      </w:r>
      <w:r w:rsidR="009304C1" w:rsidRPr="00591CF0">
        <w:rPr>
          <w:rFonts w:ascii="Palatino Linotype" w:hAnsi="Palatino Linotype" w:cs="Arial"/>
        </w:rPr>
        <w:t>-------</w:t>
      </w:r>
    </w:p>
    <w:p w14:paraId="38DC3722" w14:textId="77777777" w:rsidR="007C50BE" w:rsidRPr="0001253B"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01253B"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01253B" w:rsidRDefault="00942616" w:rsidP="00942616">
      <w:pPr>
        <w:pStyle w:val="Prrafodelista"/>
        <w:spacing w:line="360" w:lineRule="auto"/>
        <w:ind w:left="0"/>
        <w:jc w:val="center"/>
        <w:rPr>
          <w:rFonts w:ascii="Palatino Linotype" w:hAnsi="Palatino Linotype"/>
          <w:b/>
          <w:color w:val="000000" w:themeColor="text1"/>
        </w:rPr>
      </w:pPr>
      <w:r w:rsidRPr="0001253B">
        <w:rPr>
          <w:rFonts w:ascii="Palatino Linotype" w:hAnsi="Palatino Linotype"/>
          <w:b/>
          <w:color w:val="000000" w:themeColor="text1"/>
        </w:rPr>
        <w:t>CONSIDERANDO</w:t>
      </w:r>
      <w:bookmarkEnd w:id="133"/>
      <w:bookmarkEnd w:id="134"/>
    </w:p>
    <w:p w14:paraId="494FCAAD" w14:textId="77777777" w:rsidR="00942616" w:rsidRPr="0001253B"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01253B"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01253B">
        <w:rPr>
          <w:rFonts w:ascii="Palatino Linotype" w:hAnsi="Palatino Linotype"/>
          <w:b/>
          <w:color w:val="auto"/>
          <w:sz w:val="24"/>
          <w:szCs w:val="24"/>
        </w:rPr>
        <w:t>PRIMERO. De la competencia</w:t>
      </w:r>
      <w:bookmarkEnd w:id="135"/>
      <w:bookmarkEnd w:id="136"/>
    </w:p>
    <w:p w14:paraId="64ED7630" w14:textId="77777777" w:rsidR="00942616" w:rsidRPr="0001253B" w:rsidRDefault="00942616" w:rsidP="00942616">
      <w:pPr>
        <w:spacing w:line="360" w:lineRule="auto"/>
        <w:rPr>
          <w:rFonts w:ascii="Palatino Linotype" w:hAnsi="Palatino Linotype"/>
          <w:lang w:val="es-MX" w:eastAsia="en-US"/>
        </w:rPr>
      </w:pPr>
    </w:p>
    <w:p w14:paraId="04DC053B" w14:textId="6A119627" w:rsidR="00942616" w:rsidRPr="0001253B"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01253B">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w:t>
      </w:r>
      <w:r w:rsidR="00D17C3A">
        <w:rPr>
          <w:rFonts w:ascii="Palatino Linotype" w:hAnsi="Palatino Linotype"/>
          <w:color w:val="000000" w:themeColor="text1"/>
        </w:rPr>
        <w:t>nicipios; y 7, 9 fracciones I y</w:t>
      </w:r>
      <w:r w:rsidR="000973EA" w:rsidRPr="00D17C3A">
        <w:rPr>
          <w:rFonts w:ascii="Palatino Linotype" w:hAnsi="Palatino Linotype"/>
          <w:color w:val="000000" w:themeColor="text1"/>
        </w:rPr>
        <w:t xml:space="preserve"> III</w:t>
      </w:r>
      <w:r w:rsidR="00D17C3A">
        <w:rPr>
          <w:rFonts w:ascii="Palatino Linotype" w:hAnsi="Palatino Linotype"/>
          <w:color w:val="000000" w:themeColor="text1"/>
        </w:rPr>
        <w:t>,</w:t>
      </w:r>
      <w:r w:rsidR="000973EA">
        <w:rPr>
          <w:rFonts w:ascii="Palatino Linotype" w:hAnsi="Palatino Linotype"/>
          <w:color w:val="000000" w:themeColor="text1"/>
        </w:rPr>
        <w:t xml:space="preserve"> </w:t>
      </w:r>
      <w:r w:rsidRPr="0001253B">
        <w:rPr>
          <w:rFonts w:ascii="Palatino Linotype" w:hAnsi="Palatino Linotype"/>
          <w:color w:val="000000" w:themeColor="text1"/>
        </w:rPr>
        <w:t>y 11 del Reglamento Interior del Instituto de Transparencia, Acceso a la Información Pública y Protección de Datos Personales del Estado de México y Municipios.</w:t>
      </w:r>
    </w:p>
    <w:p w14:paraId="07C14A3B" w14:textId="77777777" w:rsidR="00942616" w:rsidRPr="0001253B"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01253B"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01253B">
        <w:rPr>
          <w:rFonts w:ascii="Palatino Linotype" w:hAnsi="Palatino Linotype"/>
          <w:b/>
          <w:color w:val="auto"/>
          <w:sz w:val="24"/>
          <w:szCs w:val="24"/>
        </w:rPr>
        <w:lastRenderedPageBreak/>
        <w:t>SEGUNDO. De la oportunidad y procedencia.</w:t>
      </w:r>
      <w:bookmarkEnd w:id="137"/>
      <w:bookmarkEnd w:id="138"/>
    </w:p>
    <w:p w14:paraId="246E1D9F" w14:textId="77777777" w:rsidR="00942616" w:rsidRPr="0001253B" w:rsidRDefault="00942616" w:rsidP="00942616">
      <w:pPr>
        <w:spacing w:line="360" w:lineRule="auto"/>
        <w:rPr>
          <w:rFonts w:ascii="Palatino Linotype" w:hAnsi="Palatino Linotype"/>
          <w:lang w:val="es-MX" w:eastAsia="en-US"/>
        </w:rPr>
      </w:pPr>
    </w:p>
    <w:p w14:paraId="2F731F4D" w14:textId="4E9E5414" w:rsidR="00942616" w:rsidRPr="0001253B" w:rsidRDefault="00942616" w:rsidP="00942616">
      <w:pPr>
        <w:pStyle w:val="Prrafodelista"/>
        <w:numPr>
          <w:ilvl w:val="0"/>
          <w:numId w:val="1"/>
        </w:numPr>
        <w:spacing w:line="360" w:lineRule="auto"/>
        <w:ind w:left="0" w:firstLine="0"/>
        <w:jc w:val="both"/>
        <w:rPr>
          <w:rFonts w:ascii="Palatino Linotype" w:hAnsi="Palatino Linotype"/>
        </w:rPr>
      </w:pPr>
      <w:r w:rsidRPr="0001253B">
        <w:rPr>
          <w:rFonts w:ascii="Palatino Linotype" w:eastAsia="Calibri" w:hAnsi="Palatino Linotype" w:cs="Arial"/>
        </w:rPr>
        <w:t xml:space="preserve">El medio de impugnación fue presentado a través del </w:t>
      </w:r>
      <w:r w:rsidRPr="0001253B">
        <w:rPr>
          <w:rFonts w:ascii="Palatino Linotype" w:eastAsia="Calibri" w:hAnsi="Palatino Linotype" w:cs="Arial"/>
          <w:b/>
        </w:rPr>
        <w:t>SAIMEX,</w:t>
      </w:r>
      <w:r w:rsidRPr="0001253B">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01253B">
        <w:rPr>
          <w:rFonts w:ascii="Palatino Linotype" w:eastAsia="Calibri" w:hAnsi="Palatino Linotype" w:cs="Arial"/>
          <w:b/>
        </w:rPr>
        <w:t>SUJETO OBLIGADO</w:t>
      </w:r>
      <w:r w:rsidRPr="0001253B">
        <w:rPr>
          <w:rFonts w:ascii="Palatino Linotype" w:eastAsia="Calibri" w:hAnsi="Palatino Linotype" w:cs="Arial"/>
        </w:rPr>
        <w:t xml:space="preserve"> entregó su respuesta el </w:t>
      </w:r>
      <w:r w:rsidR="006901AF" w:rsidRPr="0001253B">
        <w:rPr>
          <w:rFonts w:ascii="Palatino Linotype" w:eastAsia="Calibri" w:hAnsi="Palatino Linotype" w:cs="Arial"/>
        </w:rPr>
        <w:t>once de diciembre de dos mil veintitrés</w:t>
      </w:r>
      <w:r w:rsidRPr="0001253B">
        <w:rPr>
          <w:rFonts w:ascii="Palatino Linotype" w:eastAsia="Calibri" w:hAnsi="Palatino Linotype" w:cs="Arial"/>
        </w:rPr>
        <w:t xml:space="preserve">, </w:t>
      </w:r>
      <w:r w:rsidRPr="0001253B">
        <w:rPr>
          <w:rFonts w:ascii="Palatino Linotype" w:hAnsi="Palatino Linotype" w:cs="Arial"/>
        </w:rPr>
        <w:t xml:space="preserve">de tal forma que el plazo para interponer el recurso de revisión transcurrió del día </w:t>
      </w:r>
      <w:r w:rsidR="006901AF" w:rsidRPr="0001253B">
        <w:rPr>
          <w:rFonts w:ascii="Palatino Linotype" w:hAnsi="Palatino Linotype" w:cs="Arial"/>
        </w:rPr>
        <w:t>doce de diciembre de dos mil veintitrés al veintidós de enero de dos mil veinticuatro</w:t>
      </w:r>
      <w:r w:rsidRPr="0001253B">
        <w:rPr>
          <w:rFonts w:ascii="Palatino Linotype" w:hAnsi="Palatino Linotype" w:cs="Arial"/>
        </w:rPr>
        <w:t xml:space="preserve">; en consecuencia, el ahora </w:t>
      </w:r>
      <w:r w:rsidRPr="0001253B">
        <w:rPr>
          <w:rFonts w:ascii="Palatino Linotype" w:hAnsi="Palatino Linotype" w:cs="Arial"/>
          <w:b/>
        </w:rPr>
        <w:t>RECURRENTE</w:t>
      </w:r>
      <w:r w:rsidRPr="0001253B">
        <w:rPr>
          <w:rFonts w:ascii="Palatino Linotype" w:hAnsi="Palatino Linotype" w:cs="Arial"/>
        </w:rPr>
        <w:t xml:space="preserve"> presentó su inconformidad el día </w:t>
      </w:r>
      <w:r w:rsidR="006901AF" w:rsidRPr="0001253B">
        <w:rPr>
          <w:rFonts w:ascii="Palatino Linotype" w:hAnsi="Palatino Linotype" w:cs="Arial"/>
        </w:rPr>
        <w:t>doce de diciembre de dos mil veintitrés</w:t>
      </w:r>
      <w:r w:rsidRPr="0001253B">
        <w:rPr>
          <w:rFonts w:ascii="Palatino Linotype" w:hAnsi="Palatino Linotype" w:cs="Arial"/>
        </w:rPr>
        <w:t>; por lo que se estima que la inconformidad se presentó dentro del lapso legalmente establecido para tal efecto.</w:t>
      </w:r>
    </w:p>
    <w:p w14:paraId="0AA63D96" w14:textId="77777777" w:rsidR="00923E55" w:rsidRPr="0001253B" w:rsidRDefault="00923E55" w:rsidP="00923E55">
      <w:pPr>
        <w:pStyle w:val="Prrafodelista"/>
        <w:spacing w:line="360" w:lineRule="auto"/>
        <w:ind w:left="0"/>
        <w:jc w:val="both"/>
        <w:rPr>
          <w:rFonts w:ascii="Palatino Linotype" w:hAnsi="Palatino Linotype"/>
        </w:rPr>
      </w:pPr>
    </w:p>
    <w:p w14:paraId="6BC520A3" w14:textId="77777777" w:rsidR="002B540C" w:rsidRPr="0001253B"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01253B">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81F24C" w14:textId="77777777" w:rsidR="002B540C" w:rsidRPr="0001253B"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w:t>
      </w:r>
      <w:r w:rsidRPr="0001253B">
        <w:rPr>
          <w:rFonts w:ascii="Palatino Linotype" w:eastAsia="Palatino Linotype" w:hAnsi="Palatino Linotype" w:cs="Palatino Linotype"/>
          <w:b/>
          <w:i/>
          <w:sz w:val="22"/>
          <w:szCs w:val="22"/>
          <w:lang w:val="es-MX" w:eastAsia="es-MX"/>
        </w:rPr>
        <w:t>Las solicitudes anónimas</w:t>
      </w:r>
      <w:r w:rsidRPr="0001253B">
        <w:rPr>
          <w:rFonts w:ascii="Palatino Linotype" w:eastAsia="Palatino Linotype" w:hAnsi="Palatino Linotype" w:cs="Palatino Linotype"/>
          <w:i/>
          <w:sz w:val="22"/>
          <w:szCs w:val="22"/>
          <w:lang w:val="es-MX" w:eastAsia="es-MX"/>
        </w:rPr>
        <w:t xml:space="preserve">, con nombre incompleto o seudónimo </w:t>
      </w:r>
      <w:r w:rsidRPr="0001253B">
        <w:rPr>
          <w:rFonts w:ascii="Palatino Linotype" w:eastAsia="Palatino Linotype" w:hAnsi="Palatino Linotype" w:cs="Palatino Linotype"/>
          <w:b/>
          <w:i/>
          <w:sz w:val="22"/>
          <w:szCs w:val="22"/>
          <w:lang w:val="es-MX" w:eastAsia="es-MX"/>
        </w:rPr>
        <w:t>serán procedentes para su trámite por parte del sujeto obligado ante quien se presente</w:t>
      </w:r>
      <w:r w:rsidRPr="0001253B">
        <w:rPr>
          <w:rFonts w:ascii="Palatino Linotype" w:eastAsia="Palatino Linotype" w:hAnsi="Palatino Linotype" w:cs="Palatino Linotype"/>
          <w:i/>
          <w:sz w:val="22"/>
          <w:szCs w:val="22"/>
          <w:lang w:val="es-MX" w:eastAsia="es-MX"/>
        </w:rPr>
        <w:t>. No podrá requerirse información adicional con motivo del nombre proporcionado por el solicitante."</w:t>
      </w:r>
    </w:p>
    <w:p w14:paraId="0E1F3857" w14:textId="77777777" w:rsidR="002B540C" w:rsidRPr="0001253B" w:rsidRDefault="002B540C" w:rsidP="002B540C">
      <w:pPr>
        <w:spacing w:line="360" w:lineRule="auto"/>
        <w:jc w:val="both"/>
        <w:rPr>
          <w:rFonts w:ascii="Palatino Linotype" w:eastAsia="Palatino Linotype" w:hAnsi="Palatino Linotype" w:cs="Palatino Linotype"/>
          <w:sz w:val="22"/>
          <w:szCs w:val="22"/>
          <w:lang w:val="es-MX" w:eastAsia="es-MX"/>
        </w:rPr>
      </w:pPr>
    </w:p>
    <w:p w14:paraId="5EC1172D" w14:textId="77777777" w:rsidR="002B540C" w:rsidRPr="0001253B"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01253B">
        <w:rPr>
          <w:rFonts w:ascii="Palatino Linotype" w:eastAsia="Calibri" w:hAnsi="Palatino Linotype" w:cs="Arial"/>
        </w:rPr>
        <w:lastRenderedPageBreak/>
        <w:t>Robusteciendo lo anterior se encuentra lo dispuesto en el artículo 6, Apartado A, fracciones III de la Constitución Política de los Estados Unidos Mexicanos que establece:</w:t>
      </w:r>
    </w:p>
    <w:p w14:paraId="30A314AE" w14:textId="77777777" w:rsidR="002B540C" w:rsidRPr="0001253B"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w:t>
      </w:r>
      <w:r w:rsidRPr="0001253B">
        <w:rPr>
          <w:rFonts w:ascii="Palatino Linotype" w:eastAsia="Palatino Linotype" w:hAnsi="Palatino Linotype" w:cs="Palatino Linotype"/>
          <w:b/>
          <w:i/>
          <w:sz w:val="22"/>
          <w:szCs w:val="22"/>
          <w:lang w:val="es-MX" w:eastAsia="es-MX"/>
        </w:rPr>
        <w:t>Artículo 6.-</w:t>
      </w:r>
      <w:r w:rsidRPr="0001253B">
        <w:rPr>
          <w:rFonts w:ascii="Palatino Linotype" w:eastAsia="Palatino Linotype" w:hAnsi="Palatino Linotype" w:cs="Palatino Linotype"/>
          <w:i/>
          <w:sz w:val="22"/>
          <w:szCs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112D2B0"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Para efectos de lo dispuesto en el presente artículo se observará lo siguiente:</w:t>
      </w:r>
    </w:p>
    <w:p w14:paraId="0A29862E"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p>
    <w:p w14:paraId="760D36D3"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p>
    <w:p w14:paraId="527F4D0D"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 xml:space="preserve">III. Toda persona, sin necesidad de acreditar interés alguno o justificar su utilización, tendrá acceso gratuito a la información pública, a sus datos personales o a la rectificación de éstos.” </w:t>
      </w:r>
      <w:r w:rsidRPr="0001253B">
        <w:rPr>
          <w:rFonts w:ascii="Palatino Linotype" w:eastAsia="Palatino Linotype" w:hAnsi="Palatino Linotype" w:cs="Palatino Linotype"/>
          <w:sz w:val="22"/>
          <w:szCs w:val="22"/>
          <w:lang w:val="es-MX" w:eastAsia="es-MX"/>
        </w:rPr>
        <w:t>(Sic)</w:t>
      </w:r>
    </w:p>
    <w:p w14:paraId="78BBC0EA" w14:textId="77777777" w:rsidR="002B540C" w:rsidRPr="0001253B"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01253B"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01253B">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01253B"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w:t>
      </w:r>
      <w:r w:rsidRPr="0001253B">
        <w:rPr>
          <w:rFonts w:ascii="Palatino Linotype" w:eastAsia="Palatino Linotype" w:hAnsi="Palatino Linotype" w:cs="Palatino Linotype"/>
          <w:b/>
          <w:i/>
          <w:sz w:val="22"/>
          <w:szCs w:val="22"/>
          <w:lang w:val="es-MX" w:eastAsia="es-MX"/>
        </w:rPr>
        <w:t>Artículo 5.-</w:t>
      </w:r>
      <w:r w:rsidRPr="0001253B">
        <w:rPr>
          <w:rFonts w:ascii="Palatino Linotype" w:eastAsia="Palatino Linotype" w:hAnsi="Palatino Linotype" w:cs="Palatino Linotype"/>
          <w:i/>
          <w:sz w:val="22"/>
          <w:szCs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w:t>
      </w:r>
    </w:p>
    <w:p w14:paraId="5763671E"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lastRenderedPageBreak/>
        <w:t>...</w:t>
      </w:r>
    </w:p>
    <w:p w14:paraId="5D82F0FC"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El derecho a la información será garantizado por el Estado. La ley establecerá las previsiones que permitan asegurar la protección, el respeto y la difusión de este derecho.</w:t>
      </w:r>
    </w:p>
    <w:p w14:paraId="0363DC87"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0FC684"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w:t>
      </w:r>
    </w:p>
    <w:p w14:paraId="6665DF7E"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01253B">
        <w:rPr>
          <w:rFonts w:ascii="Palatino Linotype" w:eastAsia="Palatino Linotype" w:hAnsi="Palatino Linotype" w:cs="Palatino Linotype"/>
          <w:sz w:val="22"/>
          <w:szCs w:val="22"/>
          <w:lang w:val="es-MX" w:eastAsia="es-MX"/>
        </w:rPr>
        <w:t>(Sic)</w:t>
      </w:r>
    </w:p>
    <w:p w14:paraId="6D3BC20F" w14:textId="77777777" w:rsidR="002B540C" w:rsidRPr="0001253B" w:rsidRDefault="002B540C" w:rsidP="002B540C">
      <w:pPr>
        <w:spacing w:line="360" w:lineRule="auto"/>
        <w:ind w:left="426" w:right="476"/>
        <w:jc w:val="both"/>
        <w:rPr>
          <w:rFonts w:ascii="Palatino Linotype" w:eastAsia="Palatino Linotype" w:hAnsi="Palatino Linotype" w:cs="Palatino Linotype"/>
          <w:i/>
          <w:lang w:val="es-MX" w:eastAsia="es-MX"/>
        </w:rPr>
      </w:pPr>
    </w:p>
    <w:p w14:paraId="289098C2" w14:textId="77777777" w:rsidR="002B540C" w:rsidRPr="0001253B"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01253B">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w:t>
      </w:r>
      <w:r w:rsidRPr="0001253B">
        <w:rPr>
          <w:rFonts w:ascii="Palatino Linotype" w:eastAsia="Palatino Linotype" w:hAnsi="Palatino Linotype" w:cs="Palatino Linotype"/>
          <w:b/>
          <w:i/>
          <w:sz w:val="22"/>
          <w:szCs w:val="22"/>
          <w:lang w:val="es-MX" w:eastAsia="es-MX"/>
        </w:rPr>
        <w:t>Artículo 1</w:t>
      </w:r>
      <w:r w:rsidRPr="0001253B">
        <w:rPr>
          <w:rFonts w:ascii="Palatino Linotype" w:eastAsia="Palatino Linotype" w:hAnsi="Palatino Linotype" w:cs="Palatino Linotype"/>
          <w:i/>
          <w:sz w:val="22"/>
          <w:szCs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6005FF"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01253B" w:rsidRDefault="002B540C" w:rsidP="006901AF">
      <w:pPr>
        <w:ind w:left="1134" w:right="900"/>
        <w:jc w:val="both"/>
        <w:rPr>
          <w:rFonts w:ascii="Palatino Linotype" w:eastAsia="Palatino Linotype" w:hAnsi="Palatino Linotype" w:cs="Palatino Linotype"/>
          <w:i/>
          <w:sz w:val="22"/>
          <w:szCs w:val="22"/>
          <w:lang w:val="es-MX" w:eastAsia="es-MX"/>
        </w:rPr>
      </w:pPr>
      <w:r w:rsidRPr="0001253B">
        <w:rPr>
          <w:rFonts w:ascii="Palatino Linotype" w:eastAsia="Palatino Linotype" w:hAnsi="Palatino Linotype" w:cs="Palatino Linotype"/>
          <w:i/>
          <w:sz w:val="22"/>
          <w:szCs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BBCBE0C" w14:textId="77777777" w:rsidR="002B540C" w:rsidRPr="0001253B" w:rsidRDefault="002B540C" w:rsidP="002B540C">
      <w:pPr>
        <w:spacing w:line="360" w:lineRule="auto"/>
        <w:ind w:left="426" w:right="474"/>
        <w:jc w:val="both"/>
        <w:rPr>
          <w:rFonts w:ascii="Palatino Linotype" w:eastAsia="Palatino Linotype" w:hAnsi="Palatino Linotype" w:cs="Palatino Linotype"/>
          <w:i/>
          <w:sz w:val="22"/>
          <w:szCs w:val="22"/>
          <w:lang w:val="es-MX" w:eastAsia="es-MX"/>
        </w:rPr>
      </w:pPr>
    </w:p>
    <w:p w14:paraId="22D3BCAF" w14:textId="77777777" w:rsidR="002B540C" w:rsidRPr="0001253B" w:rsidRDefault="002B540C" w:rsidP="002B540C">
      <w:pPr>
        <w:numPr>
          <w:ilvl w:val="0"/>
          <w:numId w:val="1"/>
        </w:numPr>
        <w:spacing w:line="360" w:lineRule="auto"/>
        <w:ind w:left="0" w:firstLine="0"/>
        <w:jc w:val="both"/>
        <w:rPr>
          <w:rFonts w:ascii="Palatino Linotype" w:eastAsia="Calibri" w:hAnsi="Palatino Linotype" w:cs="Arial"/>
        </w:rPr>
      </w:pPr>
      <w:r w:rsidRPr="0001253B">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01253B">
        <w:rPr>
          <w:rFonts w:ascii="Palatino Linotype" w:eastAsia="Palatino Linotype" w:hAnsi="Palatino Linotype" w:cs="Palatino Linotype"/>
          <w:lang w:val="es-ES" w:eastAsia="en-US"/>
        </w:rPr>
        <w:t xml:space="preserve"> </w:t>
      </w:r>
      <w:r w:rsidRPr="0001253B">
        <w:rPr>
          <w:rFonts w:ascii="Palatino Linotype" w:eastAsia="Palatino Linotype" w:hAnsi="Palatino Linotype" w:cs="Palatino Linotype"/>
          <w:i/>
          <w:lang w:val="es-ES" w:eastAsia="en-US"/>
        </w:rPr>
        <w:t>derecho fundamental exime a quien lo ejerce</w:t>
      </w:r>
      <w:r w:rsidRPr="0001253B">
        <w:rPr>
          <w:rFonts w:ascii="Palatino Linotype" w:eastAsia="Palatino Linotype" w:hAnsi="Palatino Linotype" w:cs="Palatino Linotype"/>
          <w:lang w:val="es-ES" w:eastAsia="en-US"/>
        </w:rPr>
        <w:t xml:space="preserve">, </w:t>
      </w:r>
      <w:r w:rsidRPr="0001253B">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01253B" w:rsidRDefault="002B540C" w:rsidP="002B540C">
      <w:pPr>
        <w:spacing w:line="360" w:lineRule="auto"/>
        <w:jc w:val="both"/>
        <w:rPr>
          <w:rFonts w:ascii="Palatino Linotype" w:eastAsia="Calibri" w:hAnsi="Palatino Linotype" w:cs="Arial"/>
        </w:rPr>
      </w:pPr>
    </w:p>
    <w:p w14:paraId="15597898" w14:textId="69059405" w:rsidR="002B540C" w:rsidRPr="0001253B" w:rsidRDefault="002B540C" w:rsidP="002B540C">
      <w:pPr>
        <w:numPr>
          <w:ilvl w:val="0"/>
          <w:numId w:val="1"/>
        </w:numPr>
        <w:spacing w:line="360" w:lineRule="auto"/>
        <w:ind w:left="0" w:firstLine="0"/>
        <w:jc w:val="both"/>
        <w:rPr>
          <w:rFonts w:ascii="Palatino Linotype" w:eastAsia="Calibri" w:hAnsi="Palatino Linotype" w:cs="Arial"/>
        </w:rPr>
      </w:pPr>
      <w:r w:rsidRPr="0001253B">
        <w:rPr>
          <w:rFonts w:ascii="Palatino Linotype" w:eastAsia="Calibri" w:hAnsi="Palatino Linotype" w:cs="Arial"/>
        </w:rPr>
        <w:t xml:space="preserve">En consecuencia, dado lo expuesto y fundado con anterioridad, se estima que el requisito relativo al nombre del </w:t>
      </w:r>
      <w:r w:rsidRPr="0001253B">
        <w:rPr>
          <w:rFonts w:ascii="Palatino Linotype" w:eastAsia="Calibri" w:hAnsi="Palatino Linotype" w:cs="Arial"/>
          <w:b/>
        </w:rPr>
        <w:t>RECURRENTE</w:t>
      </w:r>
      <w:r w:rsidRPr="0001253B">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01253B" w:rsidRDefault="00942616" w:rsidP="00942616">
      <w:pPr>
        <w:rPr>
          <w:rFonts w:ascii="Palatino Linotype" w:eastAsia="Calibri" w:hAnsi="Palatino Linotype" w:cs="Arial"/>
        </w:rPr>
      </w:pPr>
    </w:p>
    <w:p w14:paraId="70B1788E" w14:textId="77777777" w:rsidR="00942616" w:rsidRPr="0001253B"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01253B">
        <w:rPr>
          <w:rFonts w:ascii="Palatino Linotype" w:eastAsia="Calibri" w:hAnsi="Palatino Linotype" w:cs="Arial"/>
        </w:rPr>
        <w:t xml:space="preserve">Asimismo, el escrito contiene las formalidades previstas por el artículo 180 último párrafo de la Ley de la materia actual, por lo que es procedente que este </w:t>
      </w:r>
      <w:r w:rsidRPr="0001253B">
        <w:rPr>
          <w:rFonts w:ascii="Palatino Linotype" w:eastAsia="Calibri" w:hAnsi="Palatino Linotype" w:cs="Arial"/>
        </w:rPr>
        <w:lastRenderedPageBreak/>
        <w:t>Instituto de Transparencia, Acceso a la Información Pública y Protección de Datos Personales del Estado de México y Municipios, conozca y resuelva el presente recurso.</w:t>
      </w:r>
    </w:p>
    <w:p w14:paraId="636AC809" w14:textId="77777777" w:rsidR="00942616" w:rsidRPr="0001253B" w:rsidRDefault="00942616" w:rsidP="00942616">
      <w:pPr>
        <w:pStyle w:val="Prrafodelista"/>
        <w:spacing w:line="360" w:lineRule="auto"/>
        <w:ind w:left="0"/>
        <w:rPr>
          <w:rFonts w:ascii="Palatino Linotype" w:eastAsia="Calibri" w:hAnsi="Palatino Linotype" w:cs="Arial"/>
        </w:rPr>
      </w:pPr>
    </w:p>
    <w:p w14:paraId="1288E334" w14:textId="77777777" w:rsidR="00942616" w:rsidRPr="0001253B"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01253B">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01253B">
        <w:rPr>
          <w:rFonts w:ascii="Palatino Linotype" w:hAnsi="Palatino Linotype"/>
          <w:b/>
          <w:color w:val="000000" w:themeColor="text1"/>
          <w:sz w:val="24"/>
          <w:szCs w:val="24"/>
        </w:rPr>
        <w:t xml:space="preserve">Del planteamiento de la </w:t>
      </w:r>
      <w:r w:rsidRPr="0001253B">
        <w:rPr>
          <w:rFonts w:ascii="Palatino Linotype" w:hAnsi="Palatino Linotype"/>
          <w:b/>
          <w:i/>
          <w:color w:val="000000" w:themeColor="text1"/>
          <w:sz w:val="24"/>
          <w:szCs w:val="24"/>
        </w:rPr>
        <w:t>Litis</w:t>
      </w:r>
      <w:r w:rsidRPr="0001253B">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01253B" w:rsidRDefault="00942616" w:rsidP="00942616">
      <w:pPr>
        <w:spacing w:line="360" w:lineRule="auto"/>
        <w:rPr>
          <w:rFonts w:ascii="Palatino Linotype" w:hAnsi="Palatino Linotype"/>
          <w:lang w:val="es-MX" w:eastAsia="en-US"/>
        </w:rPr>
      </w:pPr>
    </w:p>
    <w:p w14:paraId="78A4EE0C" w14:textId="77777777" w:rsidR="00942616" w:rsidRPr="0001253B" w:rsidRDefault="00942616" w:rsidP="00942616">
      <w:pPr>
        <w:pStyle w:val="Prrafodelista"/>
        <w:numPr>
          <w:ilvl w:val="0"/>
          <w:numId w:val="1"/>
        </w:numPr>
        <w:spacing w:line="360" w:lineRule="auto"/>
        <w:ind w:left="0" w:firstLine="0"/>
        <w:jc w:val="both"/>
        <w:rPr>
          <w:rFonts w:ascii="Palatino Linotype" w:hAnsi="Palatino Linotype" w:cs="Arial"/>
        </w:rPr>
      </w:pPr>
      <w:r w:rsidRPr="0001253B">
        <w:rPr>
          <w:rFonts w:ascii="Palatino Linotype" w:hAnsi="Palatino Linotype" w:cs="Arial"/>
        </w:rPr>
        <w:t xml:space="preserve">Se </w:t>
      </w:r>
      <w:r w:rsidRPr="0001253B">
        <w:rPr>
          <w:rFonts w:ascii="Palatino Linotype" w:eastAsia="Calibri" w:hAnsi="Palatino Linotype" w:cs="Arial"/>
        </w:rPr>
        <w:t>solicitó</w:t>
      </w:r>
      <w:r w:rsidRPr="0001253B">
        <w:rPr>
          <w:rFonts w:ascii="Palatino Linotype" w:hAnsi="Palatino Linotype" w:cs="Arial"/>
        </w:rPr>
        <w:t xml:space="preserve"> tener acceso, a la información que a continuación se desagrega:</w:t>
      </w:r>
    </w:p>
    <w:p w14:paraId="6A4D390B" w14:textId="77777777" w:rsidR="00942616" w:rsidRPr="0001253B" w:rsidRDefault="00942616" w:rsidP="00942616">
      <w:pPr>
        <w:pStyle w:val="Prrafodelista"/>
        <w:spacing w:line="360" w:lineRule="auto"/>
        <w:ind w:left="1134"/>
        <w:jc w:val="both"/>
        <w:rPr>
          <w:rFonts w:ascii="Palatino Linotype" w:hAnsi="Palatino Linotype" w:cs="Arial"/>
          <w:b/>
        </w:rPr>
      </w:pPr>
    </w:p>
    <w:p w14:paraId="2F9301B3" w14:textId="77777777" w:rsidR="006E70AD" w:rsidRDefault="006901AF" w:rsidP="006901AF">
      <w:pPr>
        <w:pStyle w:val="Prrafodelista"/>
        <w:numPr>
          <w:ilvl w:val="0"/>
          <w:numId w:val="6"/>
        </w:numPr>
        <w:spacing w:line="360" w:lineRule="auto"/>
        <w:jc w:val="both"/>
        <w:rPr>
          <w:rFonts w:ascii="Palatino Linotype" w:hAnsi="Palatino Linotype" w:cs="Arial"/>
          <w:b/>
        </w:rPr>
      </w:pPr>
      <w:r w:rsidRPr="0001253B">
        <w:rPr>
          <w:rFonts w:ascii="Palatino Linotype" w:hAnsi="Palatino Linotype" w:cs="Arial"/>
          <w:b/>
        </w:rPr>
        <w:t xml:space="preserve">Documentos que den cuenta de lo realizado por la Unidad de Transparencia en el año 2023 a fin de dar cumplimiento al artículo 24 fracción XXIII de la Ley de Transparencia Local </w:t>
      </w:r>
    </w:p>
    <w:p w14:paraId="703DACF1" w14:textId="3A4FF9A2" w:rsidR="003D26D9" w:rsidRPr="0001253B" w:rsidRDefault="006901AF" w:rsidP="006901AF">
      <w:pPr>
        <w:pStyle w:val="Prrafodelista"/>
        <w:numPr>
          <w:ilvl w:val="0"/>
          <w:numId w:val="6"/>
        </w:numPr>
        <w:spacing w:line="360" w:lineRule="auto"/>
        <w:jc w:val="both"/>
        <w:rPr>
          <w:rFonts w:ascii="Palatino Linotype" w:hAnsi="Palatino Linotype" w:cs="Arial"/>
          <w:b/>
        </w:rPr>
      </w:pPr>
      <w:r w:rsidRPr="0001253B">
        <w:rPr>
          <w:rFonts w:ascii="Palatino Linotype" w:hAnsi="Palatino Linotype" w:cs="Arial"/>
          <w:b/>
        </w:rPr>
        <w:t>Pr</w:t>
      </w:r>
      <w:r w:rsidR="00591CF0">
        <w:rPr>
          <w:rFonts w:ascii="Palatino Linotype" w:hAnsi="Palatino Linotype" w:cs="Arial"/>
          <w:b/>
        </w:rPr>
        <w:t>oyectos de Sistematización 2023</w:t>
      </w:r>
      <w:r w:rsidRPr="0001253B">
        <w:rPr>
          <w:rFonts w:ascii="Palatino Linotype" w:hAnsi="Palatino Linotype" w:cs="Arial"/>
          <w:b/>
        </w:rPr>
        <w:t>.</w:t>
      </w:r>
    </w:p>
    <w:p w14:paraId="7713046A" w14:textId="77777777" w:rsidR="003D26D9" w:rsidRPr="0001253B" w:rsidRDefault="003D26D9" w:rsidP="003D26D9">
      <w:pPr>
        <w:pStyle w:val="Prrafodelista"/>
        <w:spacing w:line="360" w:lineRule="auto"/>
        <w:ind w:left="778"/>
        <w:jc w:val="both"/>
        <w:rPr>
          <w:rFonts w:ascii="Palatino Linotype" w:hAnsi="Palatino Linotype" w:cs="Arial"/>
          <w:b/>
        </w:rPr>
      </w:pPr>
    </w:p>
    <w:p w14:paraId="0382E49D" w14:textId="00BE8133" w:rsidR="00942616" w:rsidRPr="0001253B" w:rsidRDefault="00942616" w:rsidP="007C50BE">
      <w:pPr>
        <w:numPr>
          <w:ilvl w:val="0"/>
          <w:numId w:val="1"/>
        </w:numPr>
        <w:spacing w:line="360" w:lineRule="auto"/>
        <w:ind w:left="0" w:firstLine="0"/>
        <w:contextualSpacing/>
        <w:jc w:val="both"/>
        <w:rPr>
          <w:rFonts w:ascii="Palatino Linotype" w:eastAsia="MS Mincho" w:hAnsi="Palatino Linotype" w:cs="Arial"/>
        </w:rPr>
      </w:pPr>
      <w:r w:rsidRPr="0001253B">
        <w:rPr>
          <w:rFonts w:ascii="Palatino Linotype" w:hAnsi="Palatino Linotype" w:cs="Arial"/>
        </w:rPr>
        <w:t xml:space="preserve">En respuesta, el </w:t>
      </w:r>
      <w:r w:rsidRPr="0001253B">
        <w:rPr>
          <w:rFonts w:ascii="Palatino Linotype" w:hAnsi="Palatino Linotype" w:cs="Arial"/>
          <w:b/>
        </w:rPr>
        <w:t xml:space="preserve">SUJETO OBLIGADO </w:t>
      </w:r>
      <w:r w:rsidRPr="0001253B">
        <w:rPr>
          <w:rFonts w:ascii="Palatino Linotype" w:hAnsi="Palatino Linotype" w:cs="Arial"/>
        </w:rPr>
        <w:t>remitió</w:t>
      </w:r>
      <w:r w:rsidR="00EE5D31" w:rsidRPr="0001253B">
        <w:rPr>
          <w:rFonts w:ascii="Palatino Linotype" w:hAnsi="Palatino Linotype" w:cs="Arial"/>
        </w:rPr>
        <w:t xml:space="preserve"> </w:t>
      </w:r>
      <w:r w:rsidR="00437A3C" w:rsidRPr="0001253B">
        <w:rPr>
          <w:rFonts w:ascii="Palatino Linotype" w:hAnsi="Palatino Linotype" w:cs="Arial"/>
        </w:rPr>
        <w:t>dos</w:t>
      </w:r>
      <w:r w:rsidRPr="0001253B">
        <w:rPr>
          <w:rFonts w:ascii="Palatino Linotype" w:hAnsi="Palatino Linotype" w:cs="Arial"/>
        </w:rPr>
        <w:t xml:space="preserve"> </w:t>
      </w:r>
      <w:r w:rsidR="00EE5D31" w:rsidRPr="0001253B">
        <w:rPr>
          <w:rFonts w:ascii="Palatino Linotype" w:hAnsi="Palatino Linotype" w:cs="Arial"/>
        </w:rPr>
        <w:t>archivo</w:t>
      </w:r>
      <w:r w:rsidR="00437A3C" w:rsidRPr="0001253B">
        <w:rPr>
          <w:rFonts w:ascii="Palatino Linotype" w:hAnsi="Palatino Linotype" w:cs="Arial"/>
        </w:rPr>
        <w:t>s</w:t>
      </w:r>
      <w:r w:rsidR="00432766" w:rsidRPr="0001253B">
        <w:rPr>
          <w:rFonts w:ascii="Palatino Linotype" w:hAnsi="Palatino Linotype" w:cs="Arial"/>
        </w:rPr>
        <w:t xml:space="preserve"> en formato </w:t>
      </w:r>
      <w:proofErr w:type="spellStart"/>
      <w:r w:rsidR="00432766" w:rsidRPr="0001253B">
        <w:rPr>
          <w:rFonts w:ascii="Palatino Linotype" w:hAnsi="Palatino Linotype" w:cs="Arial"/>
        </w:rPr>
        <w:t>pdf</w:t>
      </w:r>
      <w:proofErr w:type="spellEnd"/>
      <w:r w:rsidR="00432766" w:rsidRPr="0001253B">
        <w:rPr>
          <w:rFonts w:ascii="Palatino Linotype" w:hAnsi="Palatino Linotype" w:cs="Arial"/>
        </w:rPr>
        <w:t xml:space="preserve"> </w:t>
      </w:r>
      <w:r w:rsidR="002B540C" w:rsidRPr="0001253B">
        <w:rPr>
          <w:rFonts w:ascii="Palatino Linotype" w:hAnsi="Palatino Linotype" w:cs="Arial"/>
        </w:rPr>
        <w:t>cuyo contenido toral es el siguiente:</w:t>
      </w:r>
    </w:p>
    <w:p w14:paraId="276F2BB7" w14:textId="77777777" w:rsidR="002B540C" w:rsidRPr="0001253B" w:rsidRDefault="002B540C" w:rsidP="002B540C">
      <w:pPr>
        <w:spacing w:line="360" w:lineRule="auto"/>
        <w:contextualSpacing/>
        <w:jc w:val="both"/>
        <w:rPr>
          <w:rFonts w:ascii="Palatino Linotype" w:hAnsi="Palatino Linotype" w:cs="Arial"/>
        </w:rPr>
      </w:pPr>
    </w:p>
    <w:p w14:paraId="3529797F" w14:textId="77777777" w:rsidR="006901AF" w:rsidRDefault="006901AF" w:rsidP="006901AF">
      <w:pPr>
        <w:pStyle w:val="Prrafodelista"/>
        <w:tabs>
          <w:tab w:val="left" w:pos="0"/>
        </w:tabs>
        <w:ind w:left="709" w:right="616"/>
        <w:jc w:val="both"/>
        <w:rPr>
          <w:rFonts w:ascii="Palatino Linotype" w:hAnsi="Palatino Linotype" w:cs="Arial"/>
          <w:i/>
          <w:color w:val="000000" w:themeColor="text1"/>
        </w:rPr>
      </w:pPr>
      <w:r w:rsidRPr="0001253B">
        <w:rPr>
          <w:rFonts w:ascii="Palatino Linotype" w:hAnsi="Palatino Linotype" w:cs="Arial"/>
          <w:b/>
          <w:i/>
          <w:color w:val="000000" w:themeColor="text1"/>
        </w:rPr>
        <w:t>Anexo.pdf:</w:t>
      </w:r>
      <w:r w:rsidRPr="0001253B">
        <w:rPr>
          <w:rFonts w:ascii="Palatino Linotype" w:hAnsi="Palatino Linotype" w:cs="Arial"/>
          <w:i/>
          <w:color w:val="000000" w:themeColor="text1"/>
        </w:rPr>
        <w:t xml:space="preserve"> Actividades y tareas programadas para el año 2023</w:t>
      </w:r>
    </w:p>
    <w:p w14:paraId="4E981CEE" w14:textId="77777777" w:rsidR="0001253B" w:rsidRPr="0001253B" w:rsidRDefault="0001253B" w:rsidP="006901AF">
      <w:pPr>
        <w:pStyle w:val="Prrafodelista"/>
        <w:tabs>
          <w:tab w:val="left" w:pos="0"/>
        </w:tabs>
        <w:ind w:left="709" w:right="616"/>
        <w:jc w:val="both"/>
        <w:rPr>
          <w:rFonts w:ascii="Palatino Linotype" w:hAnsi="Palatino Linotype"/>
        </w:rPr>
      </w:pPr>
    </w:p>
    <w:p w14:paraId="1326C1A0" w14:textId="77777777" w:rsidR="006901AF" w:rsidRPr="0001253B" w:rsidRDefault="006901AF" w:rsidP="006901AF">
      <w:pPr>
        <w:pStyle w:val="Prrafodelista"/>
        <w:tabs>
          <w:tab w:val="left" w:pos="0"/>
        </w:tabs>
        <w:ind w:left="709" w:right="616"/>
        <w:jc w:val="both"/>
        <w:rPr>
          <w:rFonts w:ascii="Palatino Linotype" w:hAnsi="Palatino Linotype" w:cs="Arial"/>
          <w:i/>
          <w:color w:val="000000" w:themeColor="text1"/>
        </w:rPr>
      </w:pPr>
      <w:r w:rsidRPr="0001253B">
        <w:rPr>
          <w:rFonts w:ascii="Palatino Linotype" w:hAnsi="Palatino Linotype" w:cs="Arial"/>
          <w:b/>
          <w:i/>
          <w:color w:val="000000" w:themeColor="text1"/>
        </w:rPr>
        <w:t>3918.pdf:</w:t>
      </w:r>
      <w:r w:rsidRPr="0001253B">
        <w:rPr>
          <w:rFonts w:ascii="Palatino Linotype" w:hAnsi="Palatino Linotype" w:cs="Arial"/>
          <w:i/>
          <w:color w:val="000000" w:themeColor="text1"/>
        </w:rPr>
        <w:t xml:space="preserve"> documento de fecha once de diciembre de dos mil veintitrés, mediante el cual se informa que no se cuenta con la documentación solicitada por no haberla generado, poseído o administrado, sin embargo, se anexa el Proyecto de Sistematización y actualización del año 2023, siendo la única información con la que se cuenta. </w:t>
      </w:r>
    </w:p>
    <w:p w14:paraId="4F892031" w14:textId="200E107F" w:rsidR="00942616" w:rsidRPr="0001253B" w:rsidRDefault="00942616" w:rsidP="00942616">
      <w:pPr>
        <w:tabs>
          <w:tab w:val="left" w:pos="933"/>
        </w:tabs>
        <w:spacing w:line="360" w:lineRule="auto"/>
        <w:contextualSpacing/>
        <w:jc w:val="both"/>
        <w:rPr>
          <w:rFonts w:ascii="Palatino Linotype" w:eastAsia="MS Mincho" w:hAnsi="Palatino Linotype" w:cs="Arial"/>
        </w:rPr>
      </w:pPr>
    </w:p>
    <w:p w14:paraId="5AA4EABD" w14:textId="5C34B12D" w:rsidR="00942616" w:rsidRPr="0001253B"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01253B">
        <w:rPr>
          <w:rFonts w:ascii="Palatino Linotype" w:eastAsia="MS Mincho" w:hAnsi="Palatino Linotype" w:cs="Arial"/>
        </w:rPr>
        <w:t xml:space="preserve">En </w:t>
      </w:r>
      <w:r w:rsidRPr="0001253B">
        <w:rPr>
          <w:rFonts w:ascii="Palatino Linotype" w:hAnsi="Palatino Linotype" w:cs="Arial"/>
          <w:lang w:eastAsia="es-MX"/>
        </w:rPr>
        <w:t>dichas</w:t>
      </w:r>
      <w:r w:rsidRPr="0001253B">
        <w:rPr>
          <w:rFonts w:ascii="Palatino Linotype" w:eastAsia="Times New Roman" w:hAnsi="Palatino Linotype" w:cs="Arial"/>
        </w:rPr>
        <w:t xml:space="preserve"> condiciones, la </w:t>
      </w:r>
      <w:r w:rsidRPr="0001253B">
        <w:rPr>
          <w:rFonts w:ascii="Palatino Linotype" w:eastAsia="Times New Roman" w:hAnsi="Palatino Linotype" w:cs="Arial"/>
          <w:i/>
        </w:rPr>
        <w:t>Litis</w:t>
      </w:r>
      <w:r w:rsidRPr="0001253B">
        <w:rPr>
          <w:rFonts w:ascii="Palatino Linotype" w:eastAsia="Times New Roman" w:hAnsi="Palatino Linotype" w:cs="Arial"/>
        </w:rPr>
        <w:t xml:space="preserve"> a resolver en este recurso se circunscribe a determinar si </w:t>
      </w:r>
      <w:r w:rsidRPr="0001253B">
        <w:rPr>
          <w:rFonts w:ascii="Palatino Linotype" w:eastAsia="MS Mincho" w:hAnsi="Palatino Linotype" w:cs="Arial"/>
        </w:rPr>
        <w:t xml:space="preserve">se actualiza la causal de procedencia prevista en el artículo 179, </w:t>
      </w:r>
      <w:r w:rsidR="00CC56ED" w:rsidRPr="0001253B">
        <w:rPr>
          <w:rFonts w:ascii="Palatino Linotype" w:eastAsia="MS Mincho" w:hAnsi="Palatino Linotype" w:cs="Arial"/>
          <w:b/>
        </w:rPr>
        <w:t>fracción V</w:t>
      </w:r>
      <w:r w:rsidRPr="0001253B">
        <w:rPr>
          <w:rFonts w:ascii="Palatino Linotype" w:eastAsia="MS Mincho" w:hAnsi="Palatino Linotype" w:cs="Arial"/>
          <w:b/>
        </w:rPr>
        <w:t xml:space="preserve"> </w:t>
      </w:r>
      <w:r w:rsidRPr="0001253B">
        <w:rPr>
          <w:rFonts w:ascii="Palatino Linotype" w:eastAsia="MS Mincho" w:hAnsi="Palatino Linotype" w:cs="Arial"/>
        </w:rPr>
        <w:t xml:space="preserve">de la </w:t>
      </w:r>
      <w:r w:rsidRPr="0001253B">
        <w:rPr>
          <w:rFonts w:ascii="Palatino Linotype" w:eastAsia="MS Mincho" w:hAnsi="Palatino Linotype" w:cs="Arial"/>
          <w:b/>
        </w:rPr>
        <w:t xml:space="preserve">Ley de Transparencia y Acceso a la Información Pública del </w:t>
      </w:r>
      <w:r w:rsidRPr="0001253B">
        <w:rPr>
          <w:rFonts w:ascii="Palatino Linotype" w:eastAsia="MS Mincho" w:hAnsi="Palatino Linotype" w:cs="Arial"/>
          <w:b/>
        </w:rPr>
        <w:lastRenderedPageBreak/>
        <w:t xml:space="preserve">Estado de </w:t>
      </w:r>
      <w:r w:rsidRPr="0001253B">
        <w:rPr>
          <w:rFonts w:ascii="Palatino Linotype" w:hAnsi="Palatino Linotype" w:cs="Arial"/>
        </w:rPr>
        <w:t>México</w:t>
      </w:r>
      <w:r w:rsidRPr="0001253B">
        <w:rPr>
          <w:rFonts w:ascii="Palatino Linotype" w:eastAsia="MS Mincho" w:hAnsi="Palatino Linotype" w:cs="Arial"/>
          <w:b/>
        </w:rPr>
        <w:t xml:space="preserve"> y </w:t>
      </w:r>
      <w:r w:rsidRPr="0001253B">
        <w:rPr>
          <w:rFonts w:ascii="Palatino Linotype" w:hAnsi="Palatino Linotype" w:cs="Arial"/>
        </w:rPr>
        <w:t>Municipios</w:t>
      </w:r>
      <w:r w:rsidRPr="0001253B">
        <w:rPr>
          <w:rFonts w:ascii="Palatino Linotype" w:eastAsia="MS Mincho" w:hAnsi="Palatino Linotype" w:cs="Arial"/>
        </w:rPr>
        <w:t xml:space="preserve">; </w:t>
      </w:r>
      <w:r w:rsidRPr="0001253B">
        <w:rPr>
          <w:rFonts w:ascii="Palatino Linotype" w:eastAsia="Times New Roman" w:hAnsi="Palatino Linotype" w:cs="Arial"/>
          <w:color w:val="000000" w:themeColor="text1"/>
          <w:lang w:val="es-ES" w:eastAsia="es-MX"/>
        </w:rPr>
        <w:t>fracción que determina la hipótesis jurídica relativa a la</w:t>
      </w:r>
      <w:r w:rsidR="00CC56ED" w:rsidRPr="0001253B">
        <w:rPr>
          <w:rFonts w:ascii="Palatino Linotype" w:eastAsia="Times New Roman" w:hAnsi="Palatino Linotype" w:cs="Arial"/>
          <w:color w:val="000000" w:themeColor="text1"/>
          <w:lang w:val="es-ES" w:eastAsia="es-MX"/>
        </w:rPr>
        <w:t xml:space="preserve"> entrega de información incompleta</w:t>
      </w:r>
      <w:r w:rsidRPr="0001253B">
        <w:rPr>
          <w:rFonts w:ascii="Palatino Linotype" w:eastAsia="Times New Roman" w:hAnsi="Palatino Linotype" w:cs="Arial"/>
          <w:color w:val="000000" w:themeColor="text1"/>
          <w:lang w:val="es-ES" w:eastAsia="es-MX"/>
        </w:rPr>
        <w:t xml:space="preserve">; </w:t>
      </w:r>
      <w:r w:rsidRPr="0001253B">
        <w:rPr>
          <w:rFonts w:ascii="Palatino Linotype" w:eastAsia="MS Mincho" w:hAnsi="Palatino Linotype" w:cs="Arial"/>
        </w:rPr>
        <w:t xml:space="preserve">contexto del cual se dolió </w:t>
      </w:r>
      <w:r w:rsidRPr="0001253B">
        <w:rPr>
          <w:rFonts w:ascii="Palatino Linotype" w:eastAsia="MS Mincho" w:hAnsi="Palatino Linotype" w:cs="Arial"/>
          <w:b/>
        </w:rPr>
        <w:t xml:space="preserve">EL RECURRENTE </w:t>
      </w:r>
      <w:r w:rsidRPr="0001253B">
        <w:rPr>
          <w:rFonts w:ascii="Palatino Linotype" w:eastAsia="MS Mincho" w:hAnsi="Palatino Linotype" w:cs="Arial"/>
        </w:rPr>
        <w:t>al momento de interponer su inconformidad.</w:t>
      </w:r>
      <w:r w:rsidRPr="0001253B">
        <w:rPr>
          <w:rFonts w:ascii="Palatino Linotype" w:eastAsia="Times New Roman" w:hAnsi="Palatino Linotype" w:cs="Arial"/>
          <w:color w:val="000000" w:themeColor="text1"/>
          <w:lang w:val="es-ES" w:eastAsia="es-MX"/>
        </w:rPr>
        <w:t xml:space="preserve"> De modo tal </w:t>
      </w:r>
      <w:r w:rsidRPr="0001253B">
        <w:rPr>
          <w:rFonts w:ascii="Palatino Linotype" w:hAnsi="Palatino Linotype" w:cs="Arial"/>
          <w:color w:val="000000" w:themeColor="text1"/>
        </w:rPr>
        <w:t xml:space="preserve">que el presente recurso de revisión se abocara en determinar si el </w:t>
      </w:r>
      <w:r w:rsidRPr="0001253B">
        <w:rPr>
          <w:rFonts w:ascii="Palatino Linotype" w:hAnsi="Palatino Linotype" w:cs="Arial"/>
          <w:b/>
          <w:color w:val="000000" w:themeColor="text1"/>
        </w:rPr>
        <w:t>SUJETO</w:t>
      </w:r>
      <w:r w:rsidRPr="0001253B">
        <w:rPr>
          <w:rFonts w:ascii="Palatino Linotype" w:hAnsi="Palatino Linotype" w:cs="Arial"/>
          <w:color w:val="000000" w:themeColor="text1"/>
        </w:rPr>
        <w:t xml:space="preserve"> </w:t>
      </w:r>
      <w:r w:rsidRPr="0001253B">
        <w:rPr>
          <w:rFonts w:ascii="Palatino Linotype" w:hAnsi="Palatino Linotype" w:cs="Arial"/>
          <w:b/>
          <w:color w:val="000000" w:themeColor="text1"/>
        </w:rPr>
        <w:t>OBLIGADO</w:t>
      </w:r>
      <w:r w:rsidRPr="0001253B">
        <w:rPr>
          <w:rFonts w:ascii="Palatino Linotype" w:hAnsi="Palatino Linotype" w:cs="Arial"/>
          <w:color w:val="000000" w:themeColor="text1"/>
        </w:rPr>
        <w:t xml:space="preserve"> con su respuesta ciertamente </w:t>
      </w:r>
      <w:r w:rsidRPr="0001253B">
        <w:rPr>
          <w:rFonts w:ascii="Palatino Linotype" w:eastAsia="Times New Roman" w:hAnsi="Palatino Linotype"/>
          <w:color w:val="000000" w:themeColor="text1"/>
        </w:rPr>
        <w:t>actualiza la causal de procedencia</w:t>
      </w:r>
      <w:r w:rsidRPr="0001253B">
        <w:rPr>
          <w:rFonts w:ascii="Palatino Linotype" w:eastAsia="Times New Roman" w:hAnsi="Palatino Linotype"/>
          <w:b/>
          <w:color w:val="000000" w:themeColor="text1"/>
        </w:rPr>
        <w:t xml:space="preserve"> </w:t>
      </w:r>
      <w:r w:rsidRPr="0001253B">
        <w:rPr>
          <w:rFonts w:ascii="Palatino Linotype" w:eastAsia="Times New Roman" w:hAnsi="Palatino Linotype" w:cs="Arial"/>
          <w:color w:val="000000" w:themeColor="text1"/>
          <w:lang w:eastAsia="es-MX"/>
        </w:rPr>
        <w:t xml:space="preserve">antes señalada. </w:t>
      </w:r>
    </w:p>
    <w:p w14:paraId="03CE46EE" w14:textId="77777777" w:rsidR="00942616" w:rsidRPr="0001253B" w:rsidRDefault="00942616" w:rsidP="00942616">
      <w:pPr>
        <w:spacing w:line="360" w:lineRule="auto"/>
        <w:rPr>
          <w:rFonts w:ascii="Palatino Linotype" w:eastAsia="MS Mincho" w:hAnsi="Palatino Linotype" w:cs="Arial"/>
        </w:rPr>
      </w:pPr>
    </w:p>
    <w:p w14:paraId="1B83CC04" w14:textId="77777777" w:rsidR="00942616"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01253B">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164E7AB8" w14:textId="77777777" w:rsidR="0001253B" w:rsidRDefault="0001253B" w:rsidP="0001253B"/>
    <w:p w14:paraId="3CA3288F" w14:textId="77777777" w:rsidR="006E70AD" w:rsidRPr="00E16509" w:rsidRDefault="006E70AD" w:rsidP="006E70AD">
      <w:pPr>
        <w:numPr>
          <w:ilvl w:val="0"/>
          <w:numId w:val="1"/>
        </w:numPr>
        <w:spacing w:line="360" w:lineRule="auto"/>
        <w:ind w:left="0" w:firstLine="0"/>
        <w:contextualSpacing/>
        <w:jc w:val="both"/>
        <w:rPr>
          <w:rFonts w:ascii="Palatino Linotype" w:eastAsia="MS Mincho" w:hAnsi="Palatino Linotype" w:cs="Times New Roman"/>
          <w:color w:val="000000"/>
        </w:rPr>
      </w:pPr>
      <w:r w:rsidRPr="00525988">
        <w:rPr>
          <w:rFonts w:ascii="Palatino Linotype" w:eastAsia="Cambria" w:hAnsi="Palatino Linotype" w:cs="Times New Roman"/>
          <w:color w:val="000000"/>
          <w:lang w:eastAsia="en-US"/>
        </w:rPr>
        <w:t xml:space="preserve">Acotada la </w:t>
      </w:r>
      <w:r w:rsidRPr="00525988">
        <w:rPr>
          <w:rFonts w:ascii="Palatino Linotype" w:eastAsia="Cambria" w:hAnsi="Palatino Linotype" w:cs="Times New Roman"/>
          <w:i/>
          <w:color w:val="000000"/>
          <w:lang w:eastAsia="en-US"/>
        </w:rPr>
        <w:t>Litis</w:t>
      </w:r>
      <w:r w:rsidRPr="00525988">
        <w:rPr>
          <w:rFonts w:ascii="Palatino Linotype" w:eastAsia="Cambria" w:hAnsi="Palatino Linotype" w:cs="Times New Roman"/>
          <w:color w:val="000000"/>
          <w:lang w:val="es-MX" w:eastAsia="en-US"/>
        </w:rPr>
        <w:t xml:space="preserve">, se procede a analizar el contenido íntegro de las </w:t>
      </w:r>
      <w:r w:rsidRPr="00525988">
        <w:rPr>
          <w:rFonts w:ascii="Palatino Linotype" w:eastAsia="MS Mincho" w:hAnsi="Palatino Linotype" w:cs="Arial"/>
        </w:rPr>
        <w:t>actuaciones</w:t>
      </w:r>
      <w:r w:rsidRPr="00525988">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525988">
        <w:rPr>
          <w:rFonts w:ascii="Palatino Linotype" w:eastAsia="Cambria" w:hAnsi="Palatino Linotype" w:cs="Times New Roman"/>
          <w:color w:val="000000"/>
          <w:lang w:val="es-ES" w:eastAsia="en-US"/>
        </w:rPr>
        <w:t>Ley de Transparencia y Acceso a la Información Pública del Estado de México y Municipios.</w:t>
      </w:r>
    </w:p>
    <w:p w14:paraId="3325ADAB" w14:textId="77777777" w:rsidR="00E16509" w:rsidRPr="006E70AD" w:rsidRDefault="00E16509" w:rsidP="00E16509">
      <w:pPr>
        <w:spacing w:line="360" w:lineRule="auto"/>
        <w:contextualSpacing/>
        <w:jc w:val="both"/>
        <w:rPr>
          <w:rFonts w:ascii="Palatino Linotype" w:eastAsia="MS Mincho" w:hAnsi="Palatino Linotype" w:cs="Times New Roman"/>
          <w:color w:val="000000"/>
        </w:rPr>
      </w:pPr>
    </w:p>
    <w:p w14:paraId="4443CEAD" w14:textId="69C4355D" w:rsidR="006E70AD" w:rsidRPr="00B44064" w:rsidRDefault="006E70AD" w:rsidP="006E70AD">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25988">
        <w:rPr>
          <w:rFonts w:ascii="Palatino Linotype" w:eastAsia="Cambria" w:hAnsi="Palatino Linotype" w:cs="Times New Roman"/>
          <w:color w:val="000000"/>
          <w:lang w:val="es-MX" w:eastAsia="en-US"/>
        </w:rPr>
        <w:t xml:space="preserve">Por ello, es importante recordar que el hoy </w:t>
      </w:r>
      <w:r w:rsidRPr="00525988">
        <w:rPr>
          <w:rFonts w:ascii="Palatino Linotype" w:eastAsia="Cambria" w:hAnsi="Palatino Linotype" w:cs="Times New Roman"/>
          <w:b/>
          <w:color w:val="000000"/>
          <w:lang w:val="es-MX" w:eastAsia="en-US"/>
        </w:rPr>
        <w:t xml:space="preserve">RECURRENTE, </w:t>
      </w:r>
      <w:r w:rsidRPr="00525988">
        <w:rPr>
          <w:rFonts w:ascii="Palatino Linotype" w:eastAsia="Cambria" w:hAnsi="Palatino Linotype" w:cs="Times New Roman"/>
          <w:color w:val="000000"/>
          <w:lang w:val="es-MX" w:eastAsia="en-US"/>
        </w:rPr>
        <w:t>solicit</w:t>
      </w:r>
      <w:r w:rsidR="00D17C3A">
        <w:rPr>
          <w:rFonts w:ascii="Palatino Linotype" w:eastAsia="Cambria" w:hAnsi="Palatino Linotype" w:cs="Times New Roman"/>
          <w:color w:val="000000"/>
          <w:lang w:val="es-MX" w:eastAsia="en-US"/>
        </w:rPr>
        <w:t>ó</w:t>
      </w:r>
      <w:r w:rsidRPr="00525988">
        <w:rPr>
          <w:rFonts w:ascii="Palatino Linotype" w:eastAsia="Cambria" w:hAnsi="Palatino Linotype" w:cs="Times New Roman"/>
          <w:color w:val="000000"/>
          <w:lang w:val="es-MX" w:eastAsia="en-US"/>
        </w:rPr>
        <w:t xml:space="preserve"> lo siguiente</w:t>
      </w:r>
      <w:r w:rsidRPr="00525988">
        <w:rPr>
          <w:rFonts w:ascii="Palatino Linotype" w:eastAsia="Cambria" w:hAnsi="Palatino Linotype" w:cs="Times New Roman"/>
          <w:b/>
          <w:color w:val="000000"/>
          <w:lang w:val="es-MX" w:eastAsia="en-US"/>
        </w:rPr>
        <w:t xml:space="preserve">: </w:t>
      </w:r>
    </w:p>
    <w:p w14:paraId="25BC6232" w14:textId="77777777" w:rsidR="00B44064" w:rsidRDefault="00B44064" w:rsidP="00B44064">
      <w:pPr>
        <w:pStyle w:val="Prrafodelista"/>
        <w:rPr>
          <w:rFonts w:ascii="Palatino Linotype" w:eastAsia="Cambria" w:hAnsi="Palatino Linotype" w:cs="Times New Roman"/>
          <w:color w:val="000000"/>
          <w:lang w:val="es-MX" w:eastAsia="en-US"/>
        </w:rPr>
      </w:pPr>
    </w:p>
    <w:p w14:paraId="077A6844" w14:textId="77777777" w:rsidR="006E70AD" w:rsidRDefault="006E70AD" w:rsidP="006E70AD">
      <w:pPr>
        <w:pStyle w:val="Prrafodelista"/>
        <w:numPr>
          <w:ilvl w:val="0"/>
          <w:numId w:val="6"/>
        </w:numPr>
        <w:spacing w:line="360" w:lineRule="auto"/>
        <w:jc w:val="both"/>
        <w:rPr>
          <w:rFonts w:ascii="Palatino Linotype" w:hAnsi="Palatino Linotype" w:cs="Arial"/>
          <w:b/>
        </w:rPr>
      </w:pPr>
      <w:r w:rsidRPr="0001253B">
        <w:rPr>
          <w:rFonts w:ascii="Palatino Linotype" w:hAnsi="Palatino Linotype" w:cs="Arial"/>
          <w:b/>
        </w:rPr>
        <w:t xml:space="preserve">Documentos que den cuenta de lo realizado por la Unidad de Transparencia en el año 2023 a fin de dar cumplimiento al artículo 24 fracción XXIII de la Ley de Transparencia Local </w:t>
      </w:r>
    </w:p>
    <w:p w14:paraId="13C5DFAE" w14:textId="7DFEB5D7" w:rsidR="006E70AD" w:rsidRPr="0001253B" w:rsidRDefault="006E70AD" w:rsidP="006E70AD">
      <w:pPr>
        <w:pStyle w:val="Prrafodelista"/>
        <w:numPr>
          <w:ilvl w:val="0"/>
          <w:numId w:val="6"/>
        </w:numPr>
        <w:spacing w:line="360" w:lineRule="auto"/>
        <w:jc w:val="both"/>
        <w:rPr>
          <w:rFonts w:ascii="Palatino Linotype" w:hAnsi="Palatino Linotype" w:cs="Arial"/>
          <w:b/>
        </w:rPr>
      </w:pPr>
      <w:r w:rsidRPr="0001253B">
        <w:rPr>
          <w:rFonts w:ascii="Palatino Linotype" w:hAnsi="Palatino Linotype" w:cs="Arial"/>
          <w:b/>
        </w:rPr>
        <w:t xml:space="preserve">Proyectos de Sistematización </w:t>
      </w:r>
      <w:proofErr w:type="gramStart"/>
      <w:r w:rsidRPr="0001253B">
        <w:rPr>
          <w:rFonts w:ascii="Palatino Linotype" w:hAnsi="Palatino Linotype" w:cs="Arial"/>
          <w:b/>
        </w:rPr>
        <w:t>2023 .</w:t>
      </w:r>
      <w:proofErr w:type="gramEnd"/>
    </w:p>
    <w:p w14:paraId="74F3B3C0" w14:textId="77777777" w:rsidR="006E70AD" w:rsidRPr="0066511F" w:rsidRDefault="006E70AD" w:rsidP="006E70AD">
      <w:pPr>
        <w:spacing w:line="360" w:lineRule="auto"/>
        <w:contextualSpacing/>
        <w:jc w:val="both"/>
        <w:rPr>
          <w:rFonts w:ascii="Palatino Linotype" w:eastAsia="MS Mincho" w:hAnsi="Palatino Linotype" w:cs="Times New Roman"/>
          <w:color w:val="000000"/>
        </w:rPr>
      </w:pPr>
    </w:p>
    <w:p w14:paraId="0D95C3E8" w14:textId="75DCA23C" w:rsidR="006E70AD" w:rsidRDefault="006E70AD" w:rsidP="006E70AD">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66511F">
        <w:rPr>
          <w:rFonts w:ascii="Palatino Linotype" w:eastAsia="Cambria" w:hAnsi="Palatino Linotype" w:cs="Times New Roman"/>
          <w:color w:val="000000"/>
          <w:lang w:val="es-MX" w:eastAsia="en-US"/>
        </w:rPr>
        <w:t xml:space="preserve">De lo anterior, el </w:t>
      </w:r>
      <w:r w:rsidRPr="0066511F">
        <w:rPr>
          <w:rFonts w:ascii="Palatino Linotype" w:eastAsia="Cambria" w:hAnsi="Palatino Linotype" w:cs="Times New Roman"/>
          <w:b/>
          <w:color w:val="000000"/>
          <w:lang w:val="es-MX" w:eastAsia="en-US"/>
        </w:rPr>
        <w:t>SUJETO OBLIGADO</w:t>
      </w:r>
      <w:r>
        <w:rPr>
          <w:rFonts w:ascii="Palatino Linotype" w:eastAsia="Cambria" w:hAnsi="Palatino Linotype" w:cs="Times New Roman"/>
          <w:color w:val="000000"/>
          <w:lang w:val="es-MX" w:eastAsia="en-US"/>
        </w:rPr>
        <w:t xml:space="preserve">, dio respuesta refiriendo que después de una búsqueda minuciosa y razonable no se cuenta con la documentación </w:t>
      </w:r>
      <w:r>
        <w:rPr>
          <w:rFonts w:ascii="Palatino Linotype" w:eastAsia="Cambria" w:hAnsi="Palatino Linotype" w:cs="Times New Roman"/>
          <w:color w:val="000000"/>
          <w:lang w:val="es-MX" w:eastAsia="en-US"/>
        </w:rPr>
        <w:lastRenderedPageBreak/>
        <w:t>solicitada por no haberla generado, poseído o administrado y anexa al presente el Proyecto de Sistematización y Actualización del año 2023.</w:t>
      </w:r>
    </w:p>
    <w:p w14:paraId="13A044C3" w14:textId="77777777" w:rsidR="006E70AD" w:rsidRPr="0066511F" w:rsidRDefault="006E70AD" w:rsidP="000973EA">
      <w:pPr>
        <w:spacing w:line="360" w:lineRule="auto"/>
        <w:contextualSpacing/>
        <w:jc w:val="both"/>
        <w:rPr>
          <w:rFonts w:ascii="Palatino Linotype" w:eastAsia="Cambria" w:hAnsi="Palatino Linotype" w:cs="Times New Roman"/>
          <w:color w:val="000000"/>
          <w:lang w:val="es-MX" w:eastAsia="en-US"/>
        </w:rPr>
      </w:pPr>
    </w:p>
    <w:p w14:paraId="45EE5268" w14:textId="77777777" w:rsidR="009E4E2E" w:rsidRPr="005F6A8E" w:rsidRDefault="006E70AD" w:rsidP="009E4E2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F6A8E">
        <w:rPr>
          <w:rFonts w:ascii="Palatino Linotype" w:eastAsia="Cambria" w:hAnsi="Palatino Linotype" w:cs="Times New Roman"/>
          <w:color w:val="000000"/>
          <w:lang w:val="es-MX" w:eastAsia="en-US"/>
        </w:rPr>
        <w:t xml:space="preserve">Derivado de la respuesta el RECURRENTE, interpuso el recurso de revisión, manifestando las siguientes razones o motivos de inconformidad: </w:t>
      </w:r>
      <w:r w:rsidRPr="005F6A8E">
        <w:rPr>
          <w:rFonts w:ascii="Palatino Linotype" w:hAnsi="Palatino Linotype"/>
          <w:color w:val="000000"/>
        </w:rPr>
        <w:t>si no encontró documentación relativa a la primera parte de la solicitud, por lógica se entiende que no ha trabajado la Unidad de Transparencia con relación al artículo 24 fracc</w:t>
      </w:r>
      <w:r w:rsidR="00D17C3A" w:rsidRPr="005F6A8E">
        <w:rPr>
          <w:rFonts w:ascii="Palatino Linotype" w:hAnsi="Palatino Linotype"/>
          <w:color w:val="000000"/>
        </w:rPr>
        <w:t xml:space="preserve">ión </w:t>
      </w:r>
      <w:r w:rsidRPr="005F6A8E">
        <w:rPr>
          <w:rFonts w:ascii="Palatino Linotype" w:hAnsi="Palatino Linotype"/>
          <w:color w:val="000000"/>
        </w:rPr>
        <w:t>XXIII, lo cual se nota, en la pésima y torpe atención a solicitudes de información. Respecto a la segunda parte, solo anexa un proyecto de sistematización y solicite la totalidad de proyectos.</w:t>
      </w:r>
    </w:p>
    <w:p w14:paraId="62DC447C" w14:textId="77777777" w:rsidR="009E4E2E" w:rsidRPr="005F6A8E" w:rsidRDefault="009E4E2E" w:rsidP="009E4E2E">
      <w:pPr>
        <w:pStyle w:val="Prrafodelista"/>
        <w:rPr>
          <w:rFonts w:ascii="Palatino Linotype" w:hAnsi="Palatino Linotype"/>
        </w:rPr>
      </w:pPr>
    </w:p>
    <w:p w14:paraId="6E8B23EE" w14:textId="283EA2F4" w:rsidR="0030224E" w:rsidRPr="005F6A8E" w:rsidRDefault="00472F7F" w:rsidP="009E4E2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F6A8E">
        <w:rPr>
          <w:rFonts w:ascii="Palatino Linotype" w:eastAsia="Cambria" w:hAnsi="Palatino Linotype" w:cs="Times New Roman"/>
          <w:color w:val="000000"/>
          <w:lang w:val="es-MX" w:eastAsia="en-US"/>
        </w:rPr>
        <w:t>Respecto del primer rubro, se advierte que corresponde a un c</w:t>
      </w:r>
      <w:r w:rsidR="0030224E" w:rsidRPr="005F6A8E">
        <w:rPr>
          <w:rFonts w:ascii="Palatino Linotype" w:eastAsia="Cambria" w:hAnsi="Palatino Linotype" w:cs="Times New Roman"/>
          <w:color w:val="000000"/>
          <w:lang w:val="es-MX" w:eastAsia="en-US"/>
        </w:rPr>
        <w:t>ontexto que no actualiza ninguna causal de procedencia del recurso de revisión</w:t>
      </w:r>
      <w:r w:rsidRPr="005F6A8E">
        <w:rPr>
          <w:rFonts w:ascii="Palatino Linotype" w:eastAsia="Cambria" w:hAnsi="Palatino Linotype" w:cs="Times New Roman"/>
          <w:color w:val="000000"/>
          <w:lang w:val="es-MX" w:eastAsia="en-US"/>
        </w:rPr>
        <w:t>, en virtud de corresponder a manifestaciones subjetivas vertidas por el particular en ejercicio de su derecho de expresión, pero –se insiste–  no actualizan causales de procedencia establecidas en el artículo 179 de la ley de la materia, a saber:</w:t>
      </w:r>
    </w:p>
    <w:p w14:paraId="2D2E01C7" w14:textId="77777777" w:rsidR="00472F7F" w:rsidRPr="005F6A8E" w:rsidRDefault="00472F7F" w:rsidP="00472F7F">
      <w:pPr>
        <w:spacing w:line="360" w:lineRule="auto"/>
        <w:contextualSpacing/>
        <w:jc w:val="both"/>
        <w:rPr>
          <w:rFonts w:ascii="Palatino Linotype" w:eastAsia="Cambria" w:hAnsi="Palatino Linotype" w:cs="Times New Roman"/>
          <w:color w:val="000000"/>
          <w:lang w:val="es-MX" w:eastAsia="en-US"/>
        </w:rPr>
      </w:pPr>
    </w:p>
    <w:p w14:paraId="45C05632"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Artículo 179. El recurso de revisión es un medio de protección que la Ley otorga a los particulares, para hacer valer su derecho de acceso a la información pública, y procederá en contra de las siguientes causas: </w:t>
      </w:r>
    </w:p>
    <w:p w14:paraId="63B1F9A8"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I. La negativa a la información solicitada; </w:t>
      </w:r>
    </w:p>
    <w:p w14:paraId="59C902EA"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II. La clasificación de la información; </w:t>
      </w:r>
    </w:p>
    <w:p w14:paraId="7F91BCFA"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III. La declaración de inexistencia de la información; </w:t>
      </w:r>
    </w:p>
    <w:p w14:paraId="0048434B"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IV. La declaración de incompetencia por el sujeto obligado; </w:t>
      </w:r>
    </w:p>
    <w:p w14:paraId="0CD156DD"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V. La entrega de información incompleta; </w:t>
      </w:r>
    </w:p>
    <w:p w14:paraId="0D4B0D8D"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lastRenderedPageBreak/>
        <w:t xml:space="preserve">VI. La entrega de información que no corresponda con lo solicitado; </w:t>
      </w:r>
    </w:p>
    <w:p w14:paraId="09360945"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VII. La falta de respuesta a una solicitud de acceso a la información; </w:t>
      </w:r>
    </w:p>
    <w:p w14:paraId="35255822"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VIII. La notificación, entrega o puesta a disposición de información en una modalidad o formato distinto al solicitado; </w:t>
      </w:r>
    </w:p>
    <w:p w14:paraId="0F92A2AF"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IX. La entrega o puesta a disposición de información en un formato incomprensible y/o no accesible para el solicitante; </w:t>
      </w:r>
    </w:p>
    <w:p w14:paraId="17502417"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X. Los costos o tiempos de entrega de la información; </w:t>
      </w:r>
    </w:p>
    <w:p w14:paraId="2B0B266A"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XI. La falta de trámite a una solicitud; </w:t>
      </w:r>
    </w:p>
    <w:p w14:paraId="1558F703"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XII. La negativa a permitir la consulta directa de la información; </w:t>
      </w:r>
    </w:p>
    <w:p w14:paraId="1EE470C7" w14:textId="77777777"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 xml:space="preserve">XIII. La falta, deficiencia o insuficiencia de la fundamentación y/o motivación en la respuesta; y </w:t>
      </w:r>
    </w:p>
    <w:p w14:paraId="05FE34F9" w14:textId="3CC74BF3" w:rsidR="00472F7F" w:rsidRPr="005F6A8E" w:rsidRDefault="00472F7F" w:rsidP="00472F7F">
      <w:pPr>
        <w:spacing w:line="360" w:lineRule="auto"/>
        <w:ind w:left="425" w:right="476"/>
        <w:contextualSpacing/>
        <w:jc w:val="both"/>
        <w:rPr>
          <w:rFonts w:ascii="Palatino Linotype" w:eastAsia="Cambria" w:hAnsi="Palatino Linotype" w:cs="Times New Roman"/>
          <w:i/>
          <w:color w:val="000000"/>
          <w:lang w:val="es-MX" w:eastAsia="en-US"/>
        </w:rPr>
      </w:pPr>
      <w:r w:rsidRPr="005F6A8E">
        <w:rPr>
          <w:rFonts w:ascii="Palatino Linotype" w:eastAsia="Cambria" w:hAnsi="Palatino Linotype" w:cs="Times New Roman"/>
          <w:i/>
          <w:color w:val="000000"/>
          <w:lang w:val="es-MX" w:eastAsia="en-US"/>
        </w:rPr>
        <w:t>XIV. La orientación a un trámite específico.</w:t>
      </w:r>
    </w:p>
    <w:p w14:paraId="7BC5A83D" w14:textId="77777777" w:rsidR="00472F7F" w:rsidRPr="005F6A8E" w:rsidRDefault="00472F7F" w:rsidP="00472F7F">
      <w:pPr>
        <w:spacing w:line="360" w:lineRule="auto"/>
        <w:contextualSpacing/>
        <w:jc w:val="both"/>
        <w:rPr>
          <w:rFonts w:ascii="Palatino Linotype" w:eastAsia="Cambria" w:hAnsi="Palatino Linotype" w:cs="Times New Roman"/>
          <w:color w:val="000000"/>
          <w:lang w:val="es-MX" w:eastAsia="en-US"/>
        </w:rPr>
      </w:pPr>
    </w:p>
    <w:p w14:paraId="4BE6A314" w14:textId="77777777" w:rsidR="00472F7F" w:rsidRPr="005F6A8E" w:rsidRDefault="00472F7F" w:rsidP="00472F7F">
      <w:pPr>
        <w:numPr>
          <w:ilvl w:val="0"/>
          <w:numId w:val="1"/>
        </w:numPr>
        <w:spacing w:line="360" w:lineRule="auto"/>
        <w:ind w:left="0" w:firstLine="0"/>
        <w:contextualSpacing/>
        <w:jc w:val="both"/>
        <w:rPr>
          <w:rFonts w:ascii="Palatino Linotype" w:hAnsi="Palatino Linotype" w:cs="Arial"/>
        </w:rPr>
      </w:pPr>
      <w:r w:rsidRPr="005F6A8E">
        <w:rPr>
          <w:rFonts w:ascii="Palatino Linotype" w:eastAsia="Cambria" w:hAnsi="Palatino Linotype" w:cs="Times New Roman"/>
          <w:color w:val="000000"/>
          <w:lang w:val="es-MX" w:eastAsia="en-US"/>
        </w:rPr>
        <w:t xml:space="preserve">A más de lo anterior, la respuesta corresponde a un sentido negativo, </w:t>
      </w:r>
      <w:r w:rsidRPr="005F6A8E">
        <w:rPr>
          <w:rFonts w:ascii="Palatino Linotype" w:hAnsi="Palatino Linotype" w:cs="Arial"/>
          <w:lang w:eastAsia="es-MX"/>
        </w:rPr>
        <w:t>Por consiguiente toda vez que no posee, administra ni genera la información requerida por el particular,</w:t>
      </w:r>
      <w:r w:rsidRPr="005F6A8E">
        <w:rPr>
          <w:rFonts w:ascii="Palatino Linotype" w:hAnsi="Palatino Linotype" w:cs="Times New Roman"/>
        </w:rPr>
        <w:t xml:space="preserve"> constituye un hecho negativo; entonces, </w:t>
      </w:r>
      <w:r w:rsidRPr="005F6A8E">
        <w:rPr>
          <w:rFonts w:ascii="Palatino Linotype" w:hAnsi="Palatino Linotype" w:cs="Arial"/>
        </w:rPr>
        <w:t xml:space="preserve">si se considera el hecho negativo, es obvio que éste no puede fácticamente obrar en los archivos del </w:t>
      </w:r>
      <w:r w:rsidRPr="005F6A8E">
        <w:rPr>
          <w:rFonts w:ascii="Palatino Linotype" w:hAnsi="Palatino Linotype" w:cs="Arial"/>
          <w:b/>
        </w:rPr>
        <w:t>Sujeto Obligado</w:t>
      </w:r>
      <w:r w:rsidRPr="005F6A8E">
        <w:rPr>
          <w:rFonts w:ascii="Palatino Linotype" w:hAnsi="Palatino Linotype" w:cs="Arial"/>
        </w:rPr>
        <w:t>, ya que no puede probarse por ser lógica y materialmente imposible.</w:t>
      </w:r>
    </w:p>
    <w:p w14:paraId="6A0B259B" w14:textId="77777777" w:rsidR="00472F7F" w:rsidRPr="005F6A8E" w:rsidRDefault="00472F7F" w:rsidP="00472F7F">
      <w:pPr>
        <w:spacing w:line="360" w:lineRule="auto"/>
        <w:contextualSpacing/>
        <w:jc w:val="both"/>
        <w:rPr>
          <w:rFonts w:ascii="Palatino Linotype" w:hAnsi="Palatino Linotype" w:cs="Arial"/>
        </w:rPr>
      </w:pPr>
    </w:p>
    <w:p w14:paraId="48AEA85D" w14:textId="77777777" w:rsidR="00472F7F" w:rsidRPr="005F6A8E" w:rsidRDefault="00472F7F" w:rsidP="00472F7F">
      <w:pPr>
        <w:numPr>
          <w:ilvl w:val="0"/>
          <w:numId w:val="1"/>
        </w:numPr>
        <w:spacing w:line="360" w:lineRule="auto"/>
        <w:ind w:left="0" w:firstLine="0"/>
        <w:contextualSpacing/>
        <w:jc w:val="both"/>
        <w:rPr>
          <w:rFonts w:ascii="Palatino Linotype" w:hAnsi="Palatino Linotype" w:cs="Arial"/>
        </w:rPr>
      </w:pPr>
      <w:r w:rsidRPr="005F6A8E">
        <w:rPr>
          <w:rFonts w:ascii="Palatino Linotype" w:hAnsi="Palatino Linotype" w:cs="Arial"/>
        </w:rPr>
        <w:t>Asimismo, no se trata de un caso por el cual la negación del hecho implique la afirmación del mismo, simplemente se está ante una notoria y evidente inexistencia fáctica de la información solicitada.</w:t>
      </w:r>
    </w:p>
    <w:p w14:paraId="6F7DD7B1" w14:textId="77777777" w:rsidR="00472F7F" w:rsidRPr="005F6A8E" w:rsidRDefault="00472F7F" w:rsidP="00472F7F">
      <w:pPr>
        <w:numPr>
          <w:ilvl w:val="0"/>
          <w:numId w:val="1"/>
        </w:numPr>
        <w:spacing w:line="360" w:lineRule="auto"/>
        <w:ind w:left="0" w:firstLine="0"/>
        <w:contextualSpacing/>
        <w:jc w:val="both"/>
        <w:rPr>
          <w:rFonts w:ascii="Palatino Linotype" w:hAnsi="Palatino Linotype" w:cs="Arial"/>
        </w:rPr>
      </w:pPr>
      <w:r w:rsidRPr="005F6A8E">
        <w:rPr>
          <w:rFonts w:ascii="Palatino Linotype" w:hAnsi="Palatino Linotype" w:cs="Times New Roman"/>
        </w:rPr>
        <w:t xml:space="preserve">Encontrándonos ante un hecho negativo, destacando entonces que el Pleno de este Organismo Garante, ha sostenido que ante la presencia de un hecho negativo, </w:t>
      </w:r>
      <w:r w:rsidRPr="005F6A8E">
        <w:rPr>
          <w:rFonts w:ascii="Palatino Linotype" w:hAnsi="Palatino Linotype" w:cs="Times New Roman"/>
        </w:rPr>
        <w:lastRenderedPageBreak/>
        <w:t>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9C88E52" w14:textId="77777777" w:rsidR="00472F7F" w:rsidRPr="005F6A8E" w:rsidRDefault="00472F7F" w:rsidP="00472F7F">
      <w:pPr>
        <w:spacing w:line="360" w:lineRule="auto"/>
        <w:contextualSpacing/>
        <w:jc w:val="both"/>
        <w:rPr>
          <w:rFonts w:ascii="Palatino Linotype" w:hAnsi="Palatino Linotype" w:cs="Arial"/>
        </w:rPr>
      </w:pPr>
    </w:p>
    <w:p w14:paraId="2E08C4B8" w14:textId="77777777" w:rsidR="00472F7F" w:rsidRPr="005F6A8E" w:rsidRDefault="00472F7F" w:rsidP="00472F7F">
      <w:pPr>
        <w:ind w:left="851" w:right="567"/>
        <w:jc w:val="both"/>
        <w:rPr>
          <w:rFonts w:ascii="Palatino Linotype" w:hAnsi="Palatino Linotype" w:cs="Times New Roman"/>
          <w:b/>
          <w:i/>
        </w:rPr>
      </w:pPr>
      <w:r w:rsidRPr="005F6A8E">
        <w:rPr>
          <w:rFonts w:ascii="Palatino Linotype" w:hAnsi="Palatino Linotype" w:cs="Times New Roman"/>
          <w:b/>
          <w:i/>
        </w:rPr>
        <w:t xml:space="preserve">HECHOS NEGATIVOS, NO SON SUSCEPTIBLES DE DEMOSTRACIÓN. </w:t>
      </w:r>
    </w:p>
    <w:p w14:paraId="216F9406" w14:textId="77777777" w:rsidR="00472F7F" w:rsidRPr="005F6A8E" w:rsidRDefault="00472F7F" w:rsidP="00472F7F">
      <w:pPr>
        <w:ind w:left="851" w:right="567"/>
        <w:jc w:val="both"/>
        <w:rPr>
          <w:rFonts w:ascii="Palatino Linotype" w:hAnsi="Palatino Linotype" w:cs="Times New Roman"/>
          <w:i/>
        </w:rPr>
      </w:pPr>
      <w:r w:rsidRPr="005F6A8E">
        <w:rPr>
          <w:rFonts w:ascii="Palatino Linotype" w:hAnsi="Palatino Linotype" w:cs="Times New Roman"/>
          <w:i/>
        </w:rPr>
        <w:t xml:space="preserve">Tratándose de un hecho negativo, el Juez no tiene </w:t>
      </w:r>
      <w:proofErr w:type="spellStart"/>
      <w:r w:rsidRPr="005F6A8E">
        <w:rPr>
          <w:rFonts w:ascii="Palatino Linotype" w:hAnsi="Palatino Linotype" w:cs="Times New Roman"/>
          <w:i/>
        </w:rPr>
        <w:t>por que</w:t>
      </w:r>
      <w:proofErr w:type="spellEnd"/>
      <w:r w:rsidRPr="005F6A8E">
        <w:rPr>
          <w:rFonts w:ascii="Palatino Linotype" w:hAnsi="Palatino Linotype" w:cs="Times New Roman"/>
          <w:i/>
        </w:rPr>
        <w:t xml:space="preserve"> invocar prueba alguna de la que se desprenda, ya que es bien sabido que esta clase de hechos no son susceptibles de demostración.</w:t>
      </w:r>
    </w:p>
    <w:p w14:paraId="508E611A" w14:textId="77777777" w:rsidR="00472F7F" w:rsidRPr="005F6A8E" w:rsidRDefault="00472F7F" w:rsidP="00472F7F">
      <w:pPr>
        <w:ind w:left="851" w:right="567"/>
        <w:jc w:val="both"/>
        <w:rPr>
          <w:rFonts w:ascii="Palatino Linotype" w:hAnsi="Palatino Linotype" w:cs="Times New Roman"/>
          <w:i/>
        </w:rPr>
      </w:pPr>
      <w:r w:rsidRPr="005F6A8E">
        <w:rPr>
          <w:rFonts w:ascii="Palatino Linotype" w:hAnsi="Palatino Linotype" w:cs="Times New Roman"/>
          <w:i/>
        </w:rPr>
        <w:t>Amparo en revisión 2022/61. José García Florín (Menor). 9 de octubre de 1961. Cinco votos. Ponente: José Rivera Pérez Campos.”</w:t>
      </w:r>
    </w:p>
    <w:p w14:paraId="013001C2" w14:textId="77777777" w:rsidR="00472F7F" w:rsidRPr="005F6A8E" w:rsidRDefault="00472F7F" w:rsidP="00472F7F">
      <w:pPr>
        <w:spacing w:line="360" w:lineRule="auto"/>
        <w:ind w:left="709" w:right="758"/>
        <w:jc w:val="both"/>
        <w:rPr>
          <w:rFonts w:ascii="Palatino Linotype" w:hAnsi="Palatino Linotype" w:cs="Times New Roman"/>
          <w:i/>
        </w:rPr>
      </w:pPr>
    </w:p>
    <w:p w14:paraId="29C024C1" w14:textId="77777777" w:rsidR="00472F7F" w:rsidRPr="005F6A8E" w:rsidRDefault="00472F7F" w:rsidP="00472F7F">
      <w:pPr>
        <w:numPr>
          <w:ilvl w:val="0"/>
          <w:numId w:val="1"/>
        </w:numPr>
        <w:spacing w:line="360" w:lineRule="auto"/>
        <w:ind w:left="0" w:firstLine="0"/>
        <w:contextualSpacing/>
        <w:jc w:val="both"/>
        <w:rPr>
          <w:rFonts w:ascii="Palatino Linotype" w:hAnsi="Palatino Linotype" w:cs="Times New Roman"/>
        </w:rPr>
      </w:pPr>
      <w:r w:rsidRPr="005F6A8E">
        <w:rPr>
          <w:rFonts w:ascii="Palatino Linotype" w:hAnsi="Palatino Linotype" w:cs="Times New Roman"/>
        </w:rPr>
        <w:t xml:space="preserve">Además, y de conformidad con lo establecido en el artículo 12 de la </w:t>
      </w:r>
      <w:r w:rsidRPr="005F6A8E">
        <w:rPr>
          <w:rFonts w:ascii="Palatino Linotype" w:hAnsi="Palatino Linotype" w:cs="Times New Roman"/>
          <w:b/>
        </w:rPr>
        <w:t>Ley de Transparencia y Acceso a la Información Pública del Estado de México y Municipios</w:t>
      </w:r>
      <w:r w:rsidRPr="005F6A8E">
        <w:rPr>
          <w:rFonts w:ascii="Palatino Linotype" w:hAnsi="Palatino Linotype" w:cs="Times New Roman"/>
        </w:rPr>
        <w:t xml:space="preserve">, anteriormente invocado, el </w:t>
      </w:r>
      <w:r w:rsidRPr="005F6A8E">
        <w:rPr>
          <w:rFonts w:ascii="Palatino Linotype" w:hAnsi="Palatino Linotype" w:cs="Times New Roman"/>
          <w:b/>
        </w:rPr>
        <w:t>SUJETO OBLIGADO</w:t>
      </w:r>
      <w:r w:rsidRPr="005F6A8E">
        <w:rPr>
          <w:rFonts w:ascii="Palatino Linotype" w:hAnsi="Palatino Linotype" w:cs="Times New Roman"/>
        </w:rPr>
        <w:t xml:space="preserve"> únicamente proporcionará la información que obra en sus archivos, lo que a</w:t>
      </w:r>
      <w:r w:rsidRPr="005F6A8E">
        <w:rPr>
          <w:rFonts w:ascii="Palatino Linotype" w:hAnsi="Palatino Linotype" w:cs="Times New Roman"/>
          <w:i/>
        </w:rPr>
        <w:t xml:space="preserve"> contrario sensu</w:t>
      </w:r>
      <w:r w:rsidRPr="005F6A8E">
        <w:rPr>
          <w:rFonts w:ascii="Palatino Linotype" w:hAnsi="Palatino Linotype" w:cs="Times New Roman"/>
        </w:rPr>
        <w:t xml:space="preserve"> significa que no se está obligado a proporcionar lo que no obre en sus archivos. </w:t>
      </w:r>
    </w:p>
    <w:p w14:paraId="4B4EB936" w14:textId="77777777" w:rsidR="00472F7F" w:rsidRPr="005F6A8E" w:rsidRDefault="00472F7F" w:rsidP="00472F7F">
      <w:pPr>
        <w:spacing w:line="360" w:lineRule="auto"/>
        <w:contextualSpacing/>
        <w:jc w:val="both"/>
        <w:rPr>
          <w:rFonts w:ascii="Palatino Linotype" w:hAnsi="Palatino Linotype" w:cs="Times New Roman"/>
        </w:rPr>
      </w:pPr>
    </w:p>
    <w:p w14:paraId="26241B55" w14:textId="77777777" w:rsidR="00472F7F" w:rsidRPr="005F6A8E" w:rsidRDefault="00472F7F" w:rsidP="00472F7F">
      <w:pPr>
        <w:numPr>
          <w:ilvl w:val="0"/>
          <w:numId w:val="1"/>
        </w:numPr>
        <w:spacing w:line="360" w:lineRule="auto"/>
        <w:ind w:left="0" w:firstLine="0"/>
        <w:contextualSpacing/>
        <w:jc w:val="both"/>
        <w:rPr>
          <w:rFonts w:ascii="Palatino Linotype" w:hAnsi="Palatino Linotype"/>
          <w:b/>
          <w:color w:val="000000"/>
        </w:rPr>
      </w:pPr>
      <w:r w:rsidRPr="005F6A8E">
        <w:rPr>
          <w:rFonts w:ascii="Palatino Linotype" w:eastAsia="Palatino Linotype" w:hAnsi="Palatino Linotype" w:cs="Palatino Linotype"/>
        </w:rPr>
        <w:t xml:space="preserve">Ahora bien respecto de la respuesta emitida, este </w:t>
      </w:r>
      <w:r w:rsidRPr="005F6A8E">
        <w:rPr>
          <w:rFonts w:ascii="Palatino Linotype" w:hAnsi="Palatino Linotype" w:cs="Times New Roman"/>
        </w:rPr>
        <w:t>Órgano</w:t>
      </w:r>
      <w:r w:rsidRPr="005F6A8E">
        <w:rPr>
          <w:rFonts w:ascii="Palatino Linotype" w:eastAsia="Palatino Linotype" w:hAnsi="Palatino Linotype" w:cs="Palatino Linotype"/>
        </w:rPr>
        <w:t xml:space="preserve"> Garante carece de facultades para dudar de la veracidad de la respuesta emitida. </w:t>
      </w:r>
      <w:r w:rsidRPr="005F6A8E">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5F6A8E">
        <w:rPr>
          <w:rFonts w:ascii="Palatino Linotype" w:hAnsi="Palatino Linotype"/>
          <w:i/>
          <w:color w:val="000000"/>
        </w:rPr>
        <w:t>máxime</w:t>
      </w:r>
      <w:r w:rsidRPr="005F6A8E">
        <w:rPr>
          <w:rFonts w:ascii="Palatino Linotype" w:hAnsi="Palatino Linotype"/>
          <w:color w:val="000000"/>
        </w:rPr>
        <w:t xml:space="preserve"> que </w:t>
      </w:r>
      <w:r w:rsidRPr="005F6A8E">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52394B6B" w14:textId="77777777" w:rsidR="00472F7F" w:rsidRPr="005F6A8E" w:rsidRDefault="00472F7F" w:rsidP="00472F7F">
      <w:pPr>
        <w:pStyle w:val="Prrafodelista"/>
        <w:spacing w:line="360" w:lineRule="auto"/>
        <w:rPr>
          <w:rFonts w:ascii="Palatino Linotype" w:hAnsi="Palatino Linotype"/>
          <w:color w:val="000000"/>
        </w:rPr>
      </w:pPr>
    </w:p>
    <w:p w14:paraId="7B0F22E8" w14:textId="77777777" w:rsidR="00472F7F" w:rsidRPr="005F6A8E" w:rsidRDefault="00472F7F" w:rsidP="00472F7F">
      <w:pPr>
        <w:pStyle w:val="Default"/>
        <w:numPr>
          <w:ilvl w:val="0"/>
          <w:numId w:val="1"/>
        </w:numPr>
        <w:tabs>
          <w:tab w:val="left" w:pos="284"/>
        </w:tabs>
        <w:spacing w:line="360" w:lineRule="auto"/>
        <w:ind w:left="0" w:firstLine="0"/>
        <w:jc w:val="both"/>
        <w:rPr>
          <w:rFonts w:ascii="Palatino Linotype" w:hAnsi="Palatino Linotype"/>
        </w:rPr>
      </w:pPr>
      <w:r w:rsidRPr="005F6A8E">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0EBB12B9" w14:textId="77777777" w:rsidR="00472F7F" w:rsidRPr="005F6A8E" w:rsidRDefault="00472F7F" w:rsidP="00472F7F">
      <w:pPr>
        <w:pStyle w:val="Default"/>
        <w:tabs>
          <w:tab w:val="left" w:pos="284"/>
        </w:tabs>
        <w:spacing w:line="360" w:lineRule="auto"/>
        <w:jc w:val="both"/>
        <w:rPr>
          <w:rFonts w:ascii="Palatino Linotype" w:hAnsi="Palatino Linotype"/>
        </w:rPr>
      </w:pPr>
    </w:p>
    <w:p w14:paraId="39CA012C" w14:textId="77777777" w:rsidR="00472F7F" w:rsidRPr="005F6A8E" w:rsidRDefault="00472F7F" w:rsidP="00472F7F">
      <w:pPr>
        <w:pStyle w:val="Default"/>
        <w:ind w:left="851" w:right="851"/>
        <w:jc w:val="both"/>
        <w:rPr>
          <w:rFonts w:ascii="Palatino Linotype" w:hAnsi="Palatino Linotype"/>
          <w:i/>
        </w:rPr>
      </w:pPr>
      <w:r w:rsidRPr="005F6A8E">
        <w:rPr>
          <w:rFonts w:ascii="Palatino Linotype" w:hAnsi="Palatino Linotype"/>
          <w:i/>
        </w:rPr>
        <w:t xml:space="preserve">El Instituto Federal de Acceso a la Información y Protección de Datos </w:t>
      </w:r>
      <w:r w:rsidRPr="005F6A8E">
        <w:rPr>
          <w:rFonts w:ascii="Palatino Linotype" w:hAnsi="Palatino Linotype"/>
          <w:b/>
          <w:i/>
        </w:rPr>
        <w:t>no cuenta con facultades para pronunciarse respecto de la veracidad de los documentos proporcionados por los sujetos obligados.</w:t>
      </w:r>
      <w:r w:rsidRPr="005F6A8E">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59BD725" w14:textId="77777777" w:rsidR="00472F7F" w:rsidRPr="005F6A8E" w:rsidRDefault="00472F7F" w:rsidP="00472F7F">
      <w:pPr>
        <w:pStyle w:val="Default"/>
        <w:spacing w:line="360" w:lineRule="auto"/>
        <w:ind w:left="851" w:right="850"/>
        <w:jc w:val="both"/>
        <w:rPr>
          <w:rFonts w:ascii="Palatino Linotype" w:hAnsi="Palatino Linotype"/>
          <w:i/>
        </w:rPr>
      </w:pPr>
    </w:p>
    <w:p w14:paraId="169957F9" w14:textId="77777777" w:rsidR="00472F7F" w:rsidRPr="005F6A8E" w:rsidRDefault="00472F7F" w:rsidP="00472F7F">
      <w:pPr>
        <w:pStyle w:val="Prrafodelista"/>
        <w:numPr>
          <w:ilvl w:val="0"/>
          <w:numId w:val="1"/>
        </w:numPr>
        <w:spacing w:line="360" w:lineRule="auto"/>
        <w:ind w:left="0" w:firstLine="0"/>
        <w:jc w:val="both"/>
        <w:rPr>
          <w:rFonts w:ascii="Palatino Linotype" w:hAnsi="Palatino Linotype" w:cs="Arial"/>
        </w:rPr>
      </w:pPr>
      <w:r w:rsidRPr="005F6A8E">
        <w:rPr>
          <w:rFonts w:ascii="Palatino Linotype" w:hAnsi="Palatino Linotype" w:cs="Arial"/>
        </w:rPr>
        <w:t xml:space="preserve">Así mismo, la </w:t>
      </w:r>
      <w:r w:rsidRPr="005F6A8E">
        <w:rPr>
          <w:rFonts w:ascii="Palatino Linotype" w:hAnsi="Palatino Linotype" w:cs="Arial"/>
          <w:b/>
        </w:rPr>
        <w:t>Ley de Transparencia y Acceso a la Información Pública del Estado de México y Municipios</w:t>
      </w:r>
      <w:r w:rsidRPr="005F6A8E">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3D0A169" w14:textId="77777777" w:rsidR="00472F7F" w:rsidRPr="005F6A8E" w:rsidRDefault="00472F7F" w:rsidP="00472F7F">
      <w:pPr>
        <w:pStyle w:val="Prrafodelista"/>
        <w:spacing w:line="360" w:lineRule="auto"/>
        <w:ind w:left="0"/>
        <w:jc w:val="both"/>
        <w:rPr>
          <w:rFonts w:ascii="Palatino Linotype" w:hAnsi="Palatino Linotype" w:cs="Arial"/>
        </w:rPr>
      </w:pPr>
    </w:p>
    <w:p w14:paraId="45CCE43A" w14:textId="77777777" w:rsidR="00472F7F" w:rsidRPr="005F6A8E" w:rsidRDefault="00472F7F" w:rsidP="00472F7F">
      <w:pPr>
        <w:pStyle w:val="Prrafodelista"/>
        <w:ind w:left="646" w:right="902"/>
        <w:jc w:val="both"/>
        <w:rPr>
          <w:rFonts w:ascii="Palatino Linotype" w:hAnsi="Palatino Linotype" w:cs="Arial"/>
          <w:b/>
          <w:i/>
        </w:rPr>
      </w:pPr>
      <w:r w:rsidRPr="005F6A8E">
        <w:rPr>
          <w:rFonts w:ascii="Palatino Linotype" w:hAnsi="Palatino Linotype" w:cs="Arial"/>
          <w:i/>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F6A8E">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605C6FEB" w14:textId="77777777" w:rsidR="00472F7F" w:rsidRPr="005F6A8E" w:rsidRDefault="00472F7F" w:rsidP="00472F7F">
      <w:pPr>
        <w:spacing w:line="360" w:lineRule="auto"/>
        <w:ind w:right="902"/>
        <w:jc w:val="both"/>
        <w:rPr>
          <w:rFonts w:ascii="Palatino Linotype" w:hAnsi="Palatino Linotype" w:cs="Arial"/>
          <w:b/>
          <w:i/>
        </w:rPr>
      </w:pPr>
    </w:p>
    <w:p w14:paraId="553E64F5" w14:textId="77777777" w:rsidR="00472F7F" w:rsidRPr="005F6A8E" w:rsidRDefault="00472F7F" w:rsidP="00472F7F">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5F6A8E">
        <w:rPr>
          <w:rFonts w:ascii="Palatino Linotype" w:hAnsi="Palatino Linotype" w:cs="Arial"/>
          <w:noProof/>
        </w:rPr>
        <w:t xml:space="preserve">Numerales que compelen al </w:t>
      </w:r>
      <w:r w:rsidRPr="005F6A8E">
        <w:rPr>
          <w:rFonts w:ascii="Palatino Linotype" w:hAnsi="Palatino Linotype" w:cs="Arial"/>
          <w:b/>
          <w:noProof/>
        </w:rPr>
        <w:t>SUJETO OBLIGADO</w:t>
      </w:r>
      <w:r w:rsidRPr="005F6A8E">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5F6A8E">
        <w:rPr>
          <w:rFonts w:ascii="Palatino Linotype" w:eastAsia="MS Gothic" w:hAnsi="Palatino Linotype" w:cstheme="majorBidi"/>
        </w:rPr>
        <w:t>.</w:t>
      </w:r>
    </w:p>
    <w:p w14:paraId="0E27E7BB" w14:textId="77777777" w:rsidR="00472F7F" w:rsidRPr="00472F7F" w:rsidRDefault="00472F7F" w:rsidP="00472F7F">
      <w:pPr>
        <w:spacing w:line="360" w:lineRule="auto"/>
        <w:contextualSpacing/>
        <w:jc w:val="both"/>
        <w:rPr>
          <w:rFonts w:ascii="Palatino Linotype" w:eastAsia="Cambria" w:hAnsi="Palatino Linotype" w:cs="Times New Roman"/>
          <w:color w:val="000000"/>
          <w:lang w:val="es-MX" w:eastAsia="en-US"/>
        </w:rPr>
      </w:pPr>
    </w:p>
    <w:p w14:paraId="5BC6A4AE" w14:textId="44D62F2B" w:rsidR="0001253B" w:rsidRPr="00A41A64" w:rsidRDefault="009E4E2E" w:rsidP="006E70AD">
      <w:pPr>
        <w:numPr>
          <w:ilvl w:val="0"/>
          <w:numId w:val="1"/>
        </w:numPr>
        <w:spacing w:line="360" w:lineRule="auto"/>
        <w:ind w:left="0" w:firstLine="0"/>
        <w:contextualSpacing/>
        <w:jc w:val="both"/>
        <w:rPr>
          <w:rFonts w:ascii="Palatino Linotype" w:hAnsi="Palatino Linotype"/>
        </w:rPr>
      </w:pPr>
      <w:r>
        <w:rPr>
          <w:rFonts w:ascii="Palatino Linotype" w:hAnsi="Palatino Linotype"/>
        </w:rPr>
        <w:t xml:space="preserve">Por lo que hace </w:t>
      </w:r>
      <w:proofErr w:type="spellStart"/>
      <w:r>
        <w:rPr>
          <w:rFonts w:ascii="Palatino Linotype" w:hAnsi="Palatino Linotype"/>
        </w:rPr>
        <w:t>al</w:t>
      </w:r>
      <w:proofErr w:type="spellEnd"/>
      <w:r>
        <w:rPr>
          <w:rFonts w:ascii="Palatino Linotype" w:hAnsi="Palatino Linotype"/>
        </w:rPr>
        <w:t xml:space="preserve"> </w:t>
      </w:r>
      <w:r w:rsidRPr="006E70AD">
        <w:rPr>
          <w:rFonts w:ascii="Palatino Linotype" w:hAnsi="Palatino Linotype"/>
          <w:color w:val="000000"/>
        </w:rPr>
        <w:t xml:space="preserve">un proyecto de sistematización </w:t>
      </w:r>
      <w:r>
        <w:rPr>
          <w:rFonts w:ascii="Palatino Linotype" w:hAnsi="Palatino Linotype"/>
          <w:color w:val="000000"/>
        </w:rPr>
        <w:t xml:space="preserve">2023, se considera </w:t>
      </w:r>
      <w:r w:rsidR="00A41A64" w:rsidRPr="00A41A64">
        <w:rPr>
          <w:rFonts w:ascii="Palatino Linotype" w:hAnsi="Palatino Linotype"/>
        </w:rPr>
        <w:t>que el Manual para la Planeación, Programación y Presupuesto de Egresos Municipal para el Ejercicio Fiscal 2023, es un instrumento fundamental para la planeación programación, elaboración del presupuesto, seguimiento y evaluación del desempeño.</w:t>
      </w:r>
    </w:p>
    <w:p w14:paraId="685A3D9B" w14:textId="77777777" w:rsidR="00A41A64" w:rsidRDefault="00A41A64" w:rsidP="00A41A64">
      <w:pPr>
        <w:pStyle w:val="Prrafodelista"/>
      </w:pPr>
    </w:p>
    <w:p w14:paraId="04ABC0BF" w14:textId="77777777" w:rsidR="00A41A64" w:rsidRDefault="00A41A64" w:rsidP="000973EA">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rPr>
      </w:pPr>
      <w:r w:rsidRPr="0006328B">
        <w:rPr>
          <w:rFonts w:ascii="Palatino Linotype" w:eastAsia="Palatino Linotype" w:hAnsi="Palatino Linotype" w:cs="Palatino Linotype"/>
        </w:rPr>
        <w:t xml:space="preserve">En ese sentido, este documento, se apoya en los elementos de la planeación estratégica y constituye un medio para ordenar las acciones y recurso de la gestión gubernamental; ya que se relaciona con las metas con los recursos presupuestados y los resultados que esperan alcanzar las dependencias y organismos municipales, de </w:t>
      </w:r>
      <w:r w:rsidRPr="0006328B">
        <w:rPr>
          <w:rFonts w:ascii="Palatino Linotype" w:eastAsia="Palatino Linotype" w:hAnsi="Palatino Linotype" w:cs="Palatino Linotype"/>
        </w:rPr>
        <w:lastRenderedPageBreak/>
        <w:t xml:space="preserve">tal forma que, el Proyecto de Presupuesto deberá contener sus respectivos objetivos, metas de actividades e </w:t>
      </w:r>
      <w:r w:rsidRPr="0006328B">
        <w:rPr>
          <w:rFonts w:ascii="Palatino Linotype" w:eastAsia="Palatino Linotype" w:hAnsi="Palatino Linotype" w:cs="Palatino Linotype"/>
          <w:b/>
        </w:rPr>
        <w:t xml:space="preserve">indicadores </w:t>
      </w:r>
      <w:r w:rsidRPr="0006328B">
        <w:rPr>
          <w:rFonts w:ascii="Palatino Linotype" w:eastAsia="Palatino Linotype" w:hAnsi="Palatino Linotype" w:cs="Palatino Linotype"/>
        </w:rPr>
        <w:t xml:space="preserve">que deberán vincularse al Plan de Desarrollo Municipal correspondiente. </w:t>
      </w:r>
    </w:p>
    <w:p w14:paraId="2E2FC08F" w14:textId="77777777" w:rsidR="009E4E2E" w:rsidRPr="009E4E2E" w:rsidRDefault="009E4E2E" w:rsidP="009E4E2E">
      <w:pPr>
        <w:pStyle w:val="Prrafodelista"/>
        <w:rPr>
          <w:rFonts w:ascii="Palatino Linotype" w:eastAsia="Palatino Linotype" w:hAnsi="Palatino Linotype" w:cs="Palatino Linotype"/>
        </w:rPr>
      </w:pPr>
    </w:p>
    <w:p w14:paraId="0D0C5BF0" w14:textId="77777777" w:rsidR="009E4E2E" w:rsidRPr="0006328B" w:rsidRDefault="009E4E2E" w:rsidP="009E4E2E">
      <w:pPr>
        <w:pStyle w:val="Prrafodelista"/>
        <w:pBdr>
          <w:top w:val="nil"/>
          <w:left w:val="nil"/>
          <w:bottom w:val="nil"/>
          <w:right w:val="nil"/>
          <w:between w:val="nil"/>
        </w:pBdr>
        <w:spacing w:line="360" w:lineRule="auto"/>
        <w:ind w:left="0" w:right="-150"/>
        <w:jc w:val="both"/>
        <w:rPr>
          <w:rFonts w:ascii="Palatino Linotype" w:eastAsia="Palatino Linotype" w:hAnsi="Palatino Linotype" w:cs="Palatino Linotype"/>
        </w:rPr>
      </w:pPr>
    </w:p>
    <w:p w14:paraId="4C0E0BE5" w14:textId="77777777" w:rsidR="00A41A64" w:rsidRDefault="00A41A64" w:rsidP="000973EA">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rPr>
      </w:pPr>
      <w:r w:rsidRPr="0006328B">
        <w:rPr>
          <w:rFonts w:ascii="Palatino Linotype" w:eastAsia="Palatino Linotype" w:hAnsi="Palatino Linotype" w:cs="Palatino Linotype"/>
        </w:rPr>
        <w:t xml:space="preserve">Ahora bien, las dependencias generales y auxiliares, en forma coordinada con la Unidad de Información, Planeación y Presupuestación verificarán la elaboración y actualización de las fases de la Metodología del Marco Lógico para las Matrices de Indicadores para Resultados, los cuales contienen los indicadores estratégicos y de gestión para el seguimiento y evaluación del desempeño de programas presupuestarios que conformarán el Programa Anual. </w:t>
      </w:r>
    </w:p>
    <w:p w14:paraId="700C9762" w14:textId="77777777" w:rsidR="000973EA" w:rsidRDefault="000973EA" w:rsidP="000973EA">
      <w:pPr>
        <w:pStyle w:val="Prrafodelista"/>
        <w:pBdr>
          <w:top w:val="nil"/>
          <w:left w:val="nil"/>
          <w:bottom w:val="nil"/>
          <w:right w:val="nil"/>
          <w:between w:val="nil"/>
        </w:pBdr>
        <w:spacing w:line="360" w:lineRule="auto"/>
        <w:ind w:left="0" w:right="-150"/>
        <w:jc w:val="both"/>
        <w:rPr>
          <w:rFonts w:ascii="Palatino Linotype" w:hAnsi="Palatino Linotype" w:cs="Arial"/>
          <w:lang w:val="es-MX"/>
        </w:rPr>
      </w:pPr>
    </w:p>
    <w:p w14:paraId="4E525F6D" w14:textId="03115CCA" w:rsidR="008C5B12" w:rsidRPr="000973EA" w:rsidRDefault="008C5B12" w:rsidP="000973EA">
      <w:pPr>
        <w:pStyle w:val="Prrafodelista"/>
        <w:numPr>
          <w:ilvl w:val="0"/>
          <w:numId w:val="1"/>
        </w:numPr>
        <w:pBdr>
          <w:top w:val="nil"/>
          <w:left w:val="nil"/>
          <w:bottom w:val="nil"/>
          <w:right w:val="nil"/>
          <w:between w:val="nil"/>
        </w:pBdr>
        <w:spacing w:line="360" w:lineRule="auto"/>
        <w:ind w:left="0" w:right="-150" w:firstLine="0"/>
        <w:jc w:val="both"/>
        <w:rPr>
          <w:rFonts w:ascii="Palatino Linotype" w:hAnsi="Palatino Linotype" w:cs="Arial"/>
          <w:lang w:val="es-MX"/>
        </w:rPr>
      </w:pPr>
      <w:r w:rsidRPr="000973EA">
        <w:rPr>
          <w:rFonts w:ascii="Palatino Linotype" w:eastAsia="Palatino Linotype" w:hAnsi="Palatino Linotype" w:cs="Palatino Linotype"/>
        </w:rPr>
        <w:t xml:space="preserve">Al respecto, </w:t>
      </w:r>
      <w:r w:rsidR="00472F7F">
        <w:rPr>
          <w:rFonts w:ascii="Palatino Linotype" w:eastAsia="Palatino Linotype" w:hAnsi="Palatino Linotype" w:cs="Palatino Linotype"/>
        </w:rPr>
        <w:t xml:space="preserve">se reiteran los argumentos relativos a que </w:t>
      </w:r>
      <w:r w:rsidRPr="000973EA">
        <w:rPr>
          <w:rFonts w:ascii="Palatino Linotype" w:eastAsia="Palatino Linotype" w:hAnsi="Palatino Linotype" w:cs="Palatino Linotype"/>
        </w:rPr>
        <w:t xml:space="preserve">este Órgano Garante carece de facultades para dudar de la veracidad de la respuesta emitida. </w:t>
      </w:r>
      <w:r w:rsidRPr="000973EA">
        <w:rPr>
          <w:rFonts w:ascii="Palatino Linotype" w:hAnsi="Palatino Linotype" w:cs="Arial"/>
        </w:rPr>
        <w:t xml:space="preserve">Por lo </w:t>
      </w:r>
      <w:r w:rsidR="00591CF0" w:rsidRPr="000973EA">
        <w:rPr>
          <w:rFonts w:ascii="Palatino Linotype" w:hAnsi="Palatino Linotype" w:cs="Arial"/>
        </w:rPr>
        <w:t>anterior resulta</w:t>
      </w:r>
      <w:r w:rsidRPr="000973EA">
        <w:rPr>
          <w:rFonts w:ascii="Palatino Linotype" w:hAnsi="Palatino Linotype" w:cs="Arial"/>
        </w:rPr>
        <w:t xml:space="preserve">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0973EA">
        <w:rPr>
          <w:rFonts w:ascii="Palatino Linotype" w:hAnsi="Palatino Linotype"/>
          <w:i/>
          <w:color w:val="000000"/>
        </w:rPr>
        <w:t>máxime</w:t>
      </w:r>
      <w:r w:rsidRPr="000973EA">
        <w:rPr>
          <w:rFonts w:ascii="Palatino Linotype" w:hAnsi="Palatino Linotype"/>
          <w:color w:val="000000"/>
        </w:rPr>
        <w:t xml:space="preserve"> que </w:t>
      </w:r>
      <w:r w:rsidRPr="000973EA">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4923BC07" w14:textId="77777777" w:rsidR="008C5B12" w:rsidRPr="00270528" w:rsidRDefault="008C5B12" w:rsidP="000973EA">
      <w:pPr>
        <w:pStyle w:val="Prrafodelista"/>
        <w:spacing w:line="360" w:lineRule="auto"/>
        <w:ind w:left="0"/>
        <w:rPr>
          <w:rFonts w:ascii="Palatino Linotype" w:hAnsi="Palatino Linotype"/>
          <w:color w:val="000000"/>
        </w:rPr>
      </w:pPr>
    </w:p>
    <w:p w14:paraId="6E49F25E" w14:textId="77777777" w:rsidR="008C5B12" w:rsidRPr="00D17C3A" w:rsidRDefault="008C5B12" w:rsidP="008C5B12">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270528">
        <w:rPr>
          <w:rFonts w:ascii="Palatino Linotype" w:hAnsi="Palatino Linotype" w:cs="Arial"/>
          <w:noProof/>
        </w:rPr>
        <w:t xml:space="preserve">Numerales que compelen al </w:t>
      </w:r>
      <w:r w:rsidRPr="00270528">
        <w:rPr>
          <w:rFonts w:ascii="Palatino Linotype" w:hAnsi="Palatino Linotype" w:cs="Arial"/>
          <w:b/>
          <w:noProof/>
        </w:rPr>
        <w:t>SUJETO OBLIGADO</w:t>
      </w:r>
      <w:r w:rsidRPr="00270528">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w:t>
      </w:r>
      <w:r w:rsidRPr="00270528">
        <w:rPr>
          <w:rFonts w:ascii="Palatino Linotype" w:hAnsi="Palatino Linotype" w:cs="Arial"/>
          <w:noProof/>
        </w:rPr>
        <w:lastRenderedPageBreak/>
        <w:t>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270528">
        <w:rPr>
          <w:rFonts w:ascii="Palatino Linotype" w:eastAsia="MS Gothic" w:hAnsi="Palatino Linotype" w:cstheme="majorBidi"/>
        </w:rPr>
        <w:t>.</w:t>
      </w:r>
    </w:p>
    <w:p w14:paraId="51E465FA" w14:textId="77777777" w:rsidR="008C5B12" w:rsidRPr="00D17C3A" w:rsidRDefault="008C5B12" w:rsidP="00D17C3A">
      <w:pPr>
        <w:pStyle w:val="Prrafodelista"/>
        <w:tabs>
          <w:tab w:val="left" w:pos="284"/>
        </w:tabs>
        <w:spacing w:line="360" w:lineRule="auto"/>
        <w:ind w:left="0" w:right="51"/>
        <w:jc w:val="both"/>
        <w:rPr>
          <w:rFonts w:ascii="Palatino Linotype" w:hAnsi="Palatino Linotype" w:cs="Arial"/>
          <w:noProof/>
        </w:rPr>
      </w:pPr>
    </w:p>
    <w:p w14:paraId="6E0F094B" w14:textId="77777777" w:rsidR="008C5B12" w:rsidRDefault="008C5B12" w:rsidP="008C5B12">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25988">
        <w:rPr>
          <w:rFonts w:ascii="Palatino Linotype" w:eastAsia="Cambria" w:hAnsi="Palatino Linotype" w:cs="Times New Roman"/>
          <w:color w:val="000000"/>
          <w:lang w:val="es-MX" w:eastAsia="en-US"/>
        </w:rPr>
        <w:t xml:space="preserve">Por lo anteriormente expuesto y fundado, este </w:t>
      </w:r>
      <w:r w:rsidRPr="00525988">
        <w:rPr>
          <w:rFonts w:ascii="Palatino Linotype" w:eastAsia="Cambria" w:hAnsi="Palatino Linotype" w:cs="Times New Roman"/>
          <w:b/>
          <w:color w:val="000000"/>
          <w:lang w:val="es-MX" w:eastAsia="en-US"/>
        </w:rPr>
        <w:t>ÓRGANO GARANTE</w:t>
      </w:r>
      <w:r w:rsidRPr="00525988">
        <w:rPr>
          <w:rFonts w:ascii="Palatino Linotype" w:eastAsia="Cambria" w:hAnsi="Palatino Linotype" w:cs="Times New Roman"/>
          <w:color w:val="000000"/>
          <w:lang w:val="es-MX" w:eastAsia="en-US"/>
        </w:rPr>
        <w:t xml:space="preserve"> emite los siguientes:</w:t>
      </w:r>
    </w:p>
    <w:p w14:paraId="12BBF985" w14:textId="77777777" w:rsidR="008C5B12" w:rsidRDefault="008C5B12" w:rsidP="008C5B12">
      <w:pPr>
        <w:pStyle w:val="Prrafodelista"/>
        <w:pBdr>
          <w:top w:val="nil"/>
          <w:left w:val="nil"/>
          <w:bottom w:val="nil"/>
          <w:right w:val="nil"/>
          <w:between w:val="nil"/>
        </w:pBdr>
        <w:spacing w:line="360" w:lineRule="auto"/>
        <w:ind w:left="360" w:right="-150"/>
        <w:jc w:val="both"/>
        <w:rPr>
          <w:rFonts w:ascii="Palatino Linotype" w:hAnsi="Palatino Linotype" w:cs="Arial"/>
          <w:lang w:val="es-MX"/>
        </w:rPr>
      </w:pPr>
    </w:p>
    <w:p w14:paraId="7D6E39F2" w14:textId="77777777" w:rsidR="008C5B12" w:rsidRPr="008C5B12" w:rsidRDefault="008C5B12" w:rsidP="008C5B12">
      <w:pPr>
        <w:spacing w:line="360" w:lineRule="auto"/>
        <w:contextualSpacing/>
        <w:jc w:val="center"/>
        <w:rPr>
          <w:rFonts w:ascii="Palatino Linotype" w:eastAsia="Cambria" w:hAnsi="Palatino Linotype" w:cs="Times New Roman"/>
          <w:b/>
          <w:color w:val="000000"/>
          <w:lang w:val="es-MX" w:eastAsia="en-US"/>
        </w:rPr>
      </w:pPr>
      <w:r w:rsidRPr="008C5B12">
        <w:rPr>
          <w:rFonts w:ascii="Palatino Linotype" w:eastAsia="Cambria" w:hAnsi="Palatino Linotype" w:cs="Times New Roman"/>
          <w:b/>
          <w:color w:val="000000"/>
          <w:lang w:val="es-MX" w:eastAsia="en-US"/>
        </w:rPr>
        <w:t>R E S O L U T I V O S</w:t>
      </w:r>
    </w:p>
    <w:p w14:paraId="08B1E198" w14:textId="77777777" w:rsidR="008C5B12" w:rsidRDefault="008C5B12" w:rsidP="008C5B12">
      <w:pPr>
        <w:spacing w:line="360" w:lineRule="auto"/>
        <w:contextualSpacing/>
        <w:jc w:val="both"/>
        <w:rPr>
          <w:rFonts w:ascii="Palatino Linotype" w:eastAsia="Cambria" w:hAnsi="Palatino Linotype" w:cs="Times New Roman"/>
          <w:color w:val="000000"/>
          <w:lang w:val="es-MX" w:eastAsia="en-US"/>
        </w:rPr>
      </w:pPr>
    </w:p>
    <w:p w14:paraId="32349527" w14:textId="1C3545FE" w:rsidR="0030224E" w:rsidRPr="005F6A8E" w:rsidRDefault="0030224E" w:rsidP="0030224E">
      <w:pPr>
        <w:spacing w:line="360" w:lineRule="auto"/>
        <w:jc w:val="both"/>
        <w:rPr>
          <w:rFonts w:ascii="Palatino Linotype" w:eastAsia="Palatino Linotype" w:hAnsi="Palatino Linotype" w:cs="Palatino Linotype"/>
        </w:rPr>
      </w:pPr>
      <w:r w:rsidRPr="005F6A8E">
        <w:rPr>
          <w:rFonts w:ascii="Palatino Linotype" w:eastAsia="Palatino Linotype" w:hAnsi="Palatino Linotype" w:cs="Palatino Linotype"/>
          <w:b/>
        </w:rPr>
        <w:t>PRIMERO</w:t>
      </w:r>
      <w:r w:rsidRPr="005F6A8E">
        <w:rPr>
          <w:rFonts w:ascii="Palatino Linotype" w:eastAsia="Palatino Linotype" w:hAnsi="Palatino Linotype" w:cs="Palatino Linotype"/>
        </w:rPr>
        <w:t>. Resultan infundadas las</w:t>
      </w:r>
      <w:r w:rsidRPr="005F6A8E">
        <w:rPr>
          <w:rFonts w:ascii="Palatino Linotype" w:eastAsia="Palatino Linotype" w:hAnsi="Palatino Linotype" w:cs="Palatino Linotype"/>
          <w:b/>
        </w:rPr>
        <w:t xml:space="preserve"> </w:t>
      </w:r>
      <w:r w:rsidRPr="005F6A8E">
        <w:rPr>
          <w:rFonts w:ascii="Palatino Linotype" w:eastAsia="Palatino Linotype" w:hAnsi="Palatino Linotype" w:cs="Palatino Linotype"/>
        </w:rPr>
        <w:t xml:space="preserve">razones o motivos de inconformidad hechos valer en el recurso de revisión </w:t>
      </w:r>
      <w:r w:rsidRPr="005F6A8E">
        <w:rPr>
          <w:rFonts w:ascii="Palatino Linotype" w:eastAsia="Palatino Linotype" w:hAnsi="Palatino Linotype" w:cs="Palatino Linotype"/>
          <w:b/>
        </w:rPr>
        <w:t xml:space="preserve">   08498/INFOEM/IP/RR/2023, </w:t>
      </w:r>
      <w:r w:rsidRPr="005F6A8E">
        <w:rPr>
          <w:rFonts w:ascii="Palatino Linotype" w:eastAsia="Palatino Linotype" w:hAnsi="Palatino Linotype" w:cs="Palatino Linotype"/>
        </w:rPr>
        <w:t xml:space="preserve">en términos del </w:t>
      </w:r>
      <w:r w:rsidRPr="005F6A8E">
        <w:rPr>
          <w:rFonts w:ascii="Palatino Linotype" w:eastAsia="Palatino Linotype" w:hAnsi="Palatino Linotype" w:cs="Palatino Linotype"/>
          <w:b/>
        </w:rPr>
        <w:t>Considerando</w:t>
      </w:r>
      <w:r w:rsidRPr="005F6A8E">
        <w:rPr>
          <w:rFonts w:ascii="Palatino Linotype" w:eastAsia="Palatino Linotype" w:hAnsi="Palatino Linotype" w:cs="Palatino Linotype"/>
        </w:rPr>
        <w:t xml:space="preserve"> </w:t>
      </w:r>
      <w:r w:rsidRPr="005F6A8E">
        <w:rPr>
          <w:rFonts w:ascii="Palatino Linotype" w:eastAsia="Palatino Linotype" w:hAnsi="Palatino Linotype" w:cs="Palatino Linotype"/>
          <w:b/>
        </w:rPr>
        <w:t>CUARTO</w:t>
      </w:r>
      <w:r w:rsidRPr="005F6A8E">
        <w:rPr>
          <w:rFonts w:ascii="Palatino Linotype" w:eastAsia="Palatino Linotype" w:hAnsi="Palatino Linotype" w:cs="Palatino Linotype"/>
        </w:rPr>
        <w:t xml:space="preserve"> de la presente resolución.</w:t>
      </w:r>
    </w:p>
    <w:p w14:paraId="264AC1A0" w14:textId="77777777" w:rsidR="0030224E" w:rsidRPr="005F6A8E" w:rsidRDefault="0030224E" w:rsidP="0030224E">
      <w:pPr>
        <w:spacing w:line="360" w:lineRule="auto"/>
        <w:jc w:val="both"/>
        <w:rPr>
          <w:rFonts w:ascii="Palatino Linotype" w:eastAsia="Palatino Linotype" w:hAnsi="Palatino Linotype" w:cs="Palatino Linotype"/>
        </w:rPr>
      </w:pPr>
    </w:p>
    <w:p w14:paraId="1CF2E368" w14:textId="12C018FC" w:rsidR="0030224E" w:rsidRDefault="0030224E" w:rsidP="0030224E">
      <w:pPr>
        <w:spacing w:line="360" w:lineRule="auto"/>
        <w:jc w:val="both"/>
        <w:rPr>
          <w:rFonts w:ascii="Palatino Linotype" w:eastAsia="Palatino Linotype" w:hAnsi="Palatino Linotype" w:cs="Palatino Linotype"/>
        </w:rPr>
      </w:pPr>
      <w:r w:rsidRPr="005F6A8E">
        <w:rPr>
          <w:rFonts w:ascii="Palatino Linotype" w:eastAsia="Palatino Linotype" w:hAnsi="Palatino Linotype" w:cs="Palatino Linotype"/>
          <w:b/>
        </w:rPr>
        <w:t>SEGUNDO.</w:t>
      </w:r>
      <w:r w:rsidRPr="005F6A8E">
        <w:rPr>
          <w:rFonts w:eastAsia="Calibri"/>
          <w:color w:val="2F5496"/>
          <w:sz w:val="26"/>
          <w:szCs w:val="26"/>
        </w:rPr>
        <w:t xml:space="preserve"> </w:t>
      </w:r>
      <w:r w:rsidRPr="005F6A8E">
        <w:rPr>
          <w:rFonts w:ascii="Palatino Linotype" w:eastAsia="Palatino Linotype" w:hAnsi="Palatino Linotype" w:cs="Palatino Linotype"/>
        </w:rPr>
        <w:t>Se</w:t>
      </w:r>
      <w:r w:rsidRPr="005F6A8E">
        <w:rPr>
          <w:rFonts w:ascii="Palatino Linotype" w:eastAsia="Palatino Linotype" w:hAnsi="Palatino Linotype" w:cs="Palatino Linotype"/>
          <w:b/>
        </w:rPr>
        <w:t xml:space="preserve"> CONFIRMA </w:t>
      </w:r>
      <w:r w:rsidRPr="005F6A8E">
        <w:rPr>
          <w:rFonts w:ascii="Palatino Linotype" w:eastAsia="Palatino Linotype" w:hAnsi="Palatino Linotype" w:cs="Palatino Linotype"/>
        </w:rPr>
        <w:t xml:space="preserve">la respuesta emitida por el </w:t>
      </w:r>
      <w:r w:rsidRPr="005F6A8E">
        <w:rPr>
          <w:rFonts w:ascii="Palatino Linotype" w:eastAsia="Palatino Linotype" w:hAnsi="Palatino Linotype" w:cs="Palatino Linotype"/>
          <w:b/>
        </w:rPr>
        <w:t xml:space="preserve">Ayuntamiento de Toluca </w:t>
      </w:r>
      <w:r w:rsidRPr="005F6A8E">
        <w:rPr>
          <w:rFonts w:ascii="Palatino Linotype" w:eastAsia="Palatino Linotype" w:hAnsi="Palatino Linotype" w:cs="Palatino Linotype"/>
        </w:rPr>
        <w:t xml:space="preserve">a la solicitud de información </w:t>
      </w:r>
      <w:r w:rsidRPr="005F6A8E">
        <w:rPr>
          <w:rFonts w:ascii="Palatino Linotype" w:eastAsia="Palatino Linotype" w:hAnsi="Palatino Linotype" w:cs="Palatino Linotype"/>
          <w:b/>
          <w:color w:val="000000"/>
        </w:rPr>
        <w:t>03918/TOLUCA/IP/2023</w:t>
      </w:r>
      <w:r w:rsidRPr="005F6A8E">
        <w:rPr>
          <w:rFonts w:ascii="Palatino Linotype" w:eastAsia="Palatino Linotype" w:hAnsi="Palatino Linotype" w:cs="Palatino Linotype"/>
          <w:b/>
        </w:rPr>
        <w:t>.</w:t>
      </w:r>
      <w:r>
        <w:rPr>
          <w:rFonts w:ascii="Palatino Linotype" w:eastAsia="Palatino Linotype" w:hAnsi="Palatino Linotype" w:cs="Palatino Linotype"/>
        </w:rPr>
        <w:t xml:space="preserve"> </w:t>
      </w:r>
    </w:p>
    <w:p w14:paraId="2D0ABCD0" w14:textId="77777777" w:rsidR="0030224E" w:rsidRDefault="0030224E" w:rsidP="0030224E">
      <w:pPr>
        <w:spacing w:line="360" w:lineRule="auto"/>
        <w:jc w:val="both"/>
        <w:rPr>
          <w:rFonts w:ascii="Palatino Linotype" w:eastAsia="Palatino Linotype" w:hAnsi="Palatino Linotype" w:cs="Palatino Linotype"/>
        </w:rPr>
      </w:pPr>
    </w:p>
    <w:p w14:paraId="0FFA3B9A" w14:textId="77777777" w:rsidR="0030224E" w:rsidRDefault="0030224E" w:rsidP="0030224E">
      <w:pPr>
        <w:shd w:val="clear" w:color="auto" w:fill="FFFFFF"/>
        <w:spacing w:line="360" w:lineRule="auto"/>
        <w:jc w:val="both"/>
        <w:rPr>
          <w:rFonts w:ascii="Palatino Linotype" w:eastAsia="Palatino Linotype" w:hAnsi="Palatino Linotype" w:cs="Palatino Linotype"/>
          <w:color w:val="000000"/>
          <w:highlight w:val="white"/>
        </w:rPr>
      </w:pPr>
      <w:bookmarkStart w:id="151" w:name="_heading=h.2s8eyo1" w:colFirst="0" w:colLast="0"/>
      <w:bookmarkEnd w:id="151"/>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al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vía SAIMEX, para su conocimiento</w:t>
      </w:r>
      <w:r>
        <w:rPr>
          <w:rFonts w:ascii="Palatino Linotype" w:eastAsia="Palatino Linotype" w:hAnsi="Palatino Linotype" w:cs="Palatino Linotype"/>
          <w:color w:val="000000"/>
          <w:highlight w:val="white"/>
        </w:rPr>
        <w:t>.</w:t>
      </w:r>
    </w:p>
    <w:p w14:paraId="0DCD33BA" w14:textId="77777777" w:rsidR="0030224E" w:rsidRDefault="0030224E" w:rsidP="0030224E">
      <w:pPr>
        <w:shd w:val="clear" w:color="auto" w:fill="FFFFFF"/>
        <w:spacing w:line="360" w:lineRule="auto"/>
        <w:jc w:val="both"/>
        <w:rPr>
          <w:rFonts w:ascii="Palatino Linotype" w:eastAsia="Palatino Linotype" w:hAnsi="Palatino Linotype" w:cs="Palatino Linotype"/>
          <w:color w:val="000000"/>
          <w:highlight w:val="white"/>
        </w:rPr>
      </w:pPr>
    </w:p>
    <w:p w14:paraId="14462391" w14:textId="77777777" w:rsidR="0030224E" w:rsidRDefault="0030224E" w:rsidP="0030224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rPr>
        <w:t>CUARTO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 xml:space="preserve">a </w:t>
      </w:r>
      <w:r>
        <w:rPr>
          <w:rFonts w:ascii="Palatino Linotype" w:eastAsia="Palatino Linotype" w:hAnsi="Palatino Linotype" w:cs="Palatino Linotype"/>
          <w:b/>
          <w:color w:val="222222"/>
        </w:rPr>
        <w:t>EL RECURRENTE</w:t>
      </w:r>
      <w:r>
        <w:rPr>
          <w:rFonts w:ascii="Palatino Linotype" w:eastAsia="Palatino Linotype" w:hAnsi="Palatino Linotype" w:cs="Palatino Linotype"/>
          <w:color w:val="222222"/>
        </w:rPr>
        <w:t xml:space="preserve"> la presente resolución vía SAIMEX</w:t>
      </w:r>
      <w:r>
        <w:rPr>
          <w:rFonts w:ascii="Palatino Linotype" w:eastAsia="Palatino Linotype" w:hAnsi="Palatino Linotype" w:cs="Palatino Linotype"/>
          <w:color w:val="000000"/>
          <w:highlight w:val="white"/>
        </w:rPr>
        <w:t>.</w:t>
      </w:r>
    </w:p>
    <w:p w14:paraId="61CF1F9B" w14:textId="77777777" w:rsidR="0030224E" w:rsidRDefault="0030224E" w:rsidP="0030224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61FC6468" w14:textId="77777777" w:rsidR="0030224E" w:rsidRDefault="0030224E" w:rsidP="0030224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222222"/>
        </w:rPr>
        <w:t xml:space="preserve">QUINTO. </w:t>
      </w:r>
      <w:r>
        <w:rPr>
          <w:rFonts w:ascii="Palatino Linotype" w:eastAsia="Palatino Linotype" w:hAnsi="Palatino Linotype" w:cs="Palatino Linotype"/>
          <w:color w:val="000000"/>
        </w:rPr>
        <w:t xml:space="preserve">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w:t>
      </w:r>
      <w:r>
        <w:rPr>
          <w:rFonts w:ascii="Palatino Linotype" w:eastAsia="Palatino Linotype" w:hAnsi="Palatino Linotype" w:cs="Palatino Linotype"/>
          <w:color w:val="000000"/>
        </w:rPr>
        <w:lastRenderedPageBreak/>
        <w:t>Pública del Estado de México y Municipios, en caso de que considere que la resolución le cause algún perjuicio podrá impugnarla vía juicio de amparo en los términos de las leyes aplicables.</w:t>
      </w:r>
    </w:p>
    <w:p w14:paraId="5052CC60" w14:textId="77777777" w:rsidR="008C5B12" w:rsidRPr="005D5741" w:rsidRDefault="008C5B12" w:rsidP="008C5B12">
      <w:pPr>
        <w:spacing w:line="360" w:lineRule="auto"/>
        <w:contextualSpacing/>
        <w:jc w:val="both"/>
        <w:rPr>
          <w:rFonts w:ascii="Palatino Linotype" w:eastAsia="Cambria" w:hAnsi="Palatino Linotype" w:cs="Times New Roman"/>
          <w:color w:val="000000"/>
          <w:lang w:val="es-MX" w:eastAsia="en-US"/>
        </w:rPr>
      </w:pPr>
    </w:p>
    <w:p w14:paraId="4304DB70" w14:textId="77777777" w:rsidR="00375EA9" w:rsidRPr="003C7186" w:rsidRDefault="00375EA9" w:rsidP="00375EA9">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1649758C" w14:textId="77777777" w:rsidR="008C5B12" w:rsidRPr="00591CF0" w:rsidRDefault="008C5B12" w:rsidP="00375EA9">
      <w:pPr>
        <w:pBdr>
          <w:top w:val="nil"/>
          <w:left w:val="nil"/>
          <w:bottom w:val="nil"/>
          <w:right w:val="nil"/>
          <w:between w:val="nil"/>
        </w:pBdr>
        <w:spacing w:line="360" w:lineRule="auto"/>
        <w:ind w:right="-150"/>
        <w:jc w:val="both"/>
        <w:rPr>
          <w:rFonts w:ascii="Palatino Linotype" w:hAnsi="Palatino Linotype" w:cs="Arial"/>
          <w:lang w:val="es-MX"/>
        </w:rPr>
      </w:pPr>
    </w:p>
    <w:p w14:paraId="1B2F376E" w14:textId="77777777" w:rsidR="008C5B12" w:rsidRPr="00591CF0" w:rsidRDefault="008C5B12" w:rsidP="00375EA9">
      <w:pPr>
        <w:pBdr>
          <w:top w:val="nil"/>
          <w:left w:val="nil"/>
          <w:bottom w:val="nil"/>
          <w:right w:val="nil"/>
          <w:between w:val="nil"/>
        </w:pBdr>
        <w:spacing w:line="360" w:lineRule="auto"/>
        <w:ind w:right="-150"/>
        <w:jc w:val="both"/>
        <w:rPr>
          <w:rFonts w:ascii="Palatino Linotype" w:hAnsi="Palatino Linotype" w:cs="Arial"/>
          <w:lang w:val="es-MX"/>
        </w:rPr>
      </w:pPr>
    </w:p>
    <w:p w14:paraId="66DE95D7" w14:textId="5B7A7321" w:rsidR="00942616" w:rsidRPr="00591CF0" w:rsidRDefault="00942616" w:rsidP="00375EA9">
      <w:pPr>
        <w:pBdr>
          <w:top w:val="nil"/>
          <w:left w:val="nil"/>
          <w:bottom w:val="nil"/>
          <w:right w:val="nil"/>
          <w:between w:val="nil"/>
        </w:pBdr>
        <w:spacing w:line="360" w:lineRule="auto"/>
        <w:ind w:right="-150"/>
        <w:jc w:val="both"/>
        <w:rPr>
          <w:rFonts w:ascii="Palatino Linotype" w:hAnsi="Palatino Linotype"/>
          <w:sz w:val="22"/>
          <w:szCs w:val="22"/>
        </w:rPr>
      </w:pPr>
    </w:p>
    <w:p w14:paraId="04275950" w14:textId="77777777" w:rsidR="00942616" w:rsidRPr="00E9762F" w:rsidRDefault="00942616" w:rsidP="00942616">
      <w:pPr>
        <w:spacing w:line="360" w:lineRule="auto"/>
        <w:jc w:val="both"/>
        <w:rPr>
          <w:rFonts w:ascii="Palatino Linotype" w:hAnsi="Palatino Linotype"/>
          <w:sz w:val="22"/>
          <w:szCs w:val="22"/>
        </w:rPr>
      </w:pPr>
    </w:p>
    <w:p w14:paraId="7499FD5E" w14:textId="77777777" w:rsidR="00942616" w:rsidRPr="00E9762F" w:rsidRDefault="00942616" w:rsidP="00942616">
      <w:pPr>
        <w:spacing w:line="360" w:lineRule="auto"/>
        <w:jc w:val="both"/>
        <w:rPr>
          <w:rFonts w:ascii="Palatino Linotype" w:hAnsi="Palatino Linotype"/>
          <w:sz w:val="22"/>
          <w:szCs w:val="22"/>
        </w:rPr>
      </w:pPr>
    </w:p>
    <w:p w14:paraId="5299FEE6" w14:textId="77777777" w:rsidR="00942616" w:rsidRPr="00E9762F" w:rsidRDefault="00942616" w:rsidP="00942616">
      <w:pPr>
        <w:spacing w:line="360" w:lineRule="auto"/>
        <w:jc w:val="both"/>
        <w:rPr>
          <w:rFonts w:ascii="Palatino Linotype" w:hAnsi="Palatino Linotype"/>
          <w:sz w:val="22"/>
          <w:szCs w:val="22"/>
        </w:rPr>
      </w:pPr>
    </w:p>
    <w:p w14:paraId="78D4B237" w14:textId="77777777" w:rsidR="00942616" w:rsidRPr="00E9762F" w:rsidRDefault="00942616" w:rsidP="00942616">
      <w:pPr>
        <w:spacing w:line="360" w:lineRule="auto"/>
        <w:jc w:val="both"/>
        <w:rPr>
          <w:rFonts w:ascii="Palatino Linotype" w:hAnsi="Palatino Linotype"/>
          <w:sz w:val="22"/>
          <w:szCs w:val="22"/>
        </w:rPr>
      </w:pPr>
    </w:p>
    <w:p w14:paraId="12C5E111" w14:textId="77777777" w:rsidR="00942616" w:rsidRPr="00E9762F" w:rsidRDefault="00942616" w:rsidP="00942616">
      <w:pPr>
        <w:spacing w:line="360" w:lineRule="auto"/>
        <w:jc w:val="both"/>
        <w:rPr>
          <w:rFonts w:ascii="Palatino Linotype" w:hAnsi="Palatino Linotype"/>
          <w:sz w:val="22"/>
          <w:szCs w:val="22"/>
        </w:rPr>
      </w:pPr>
    </w:p>
    <w:p w14:paraId="4C581108" w14:textId="77777777" w:rsidR="00942616" w:rsidRPr="00E9762F" w:rsidRDefault="00942616" w:rsidP="00942616">
      <w:pPr>
        <w:spacing w:line="360" w:lineRule="auto"/>
        <w:jc w:val="both"/>
        <w:rPr>
          <w:rFonts w:ascii="Palatino Linotype" w:hAnsi="Palatino Linotype"/>
          <w:sz w:val="22"/>
          <w:szCs w:val="22"/>
        </w:rPr>
      </w:pPr>
    </w:p>
    <w:p w14:paraId="69924129" w14:textId="77777777" w:rsidR="00942616" w:rsidRPr="00E9762F" w:rsidRDefault="00942616" w:rsidP="00942616">
      <w:pPr>
        <w:spacing w:line="360" w:lineRule="auto"/>
        <w:jc w:val="both"/>
        <w:rPr>
          <w:rFonts w:ascii="Palatino Linotype" w:hAnsi="Palatino Linotype"/>
          <w:sz w:val="22"/>
          <w:szCs w:val="22"/>
        </w:rPr>
      </w:pPr>
    </w:p>
    <w:p w14:paraId="2ADAB942" w14:textId="77777777" w:rsidR="00942616" w:rsidRPr="00E9762F" w:rsidRDefault="00942616" w:rsidP="00942616">
      <w:pPr>
        <w:spacing w:line="360" w:lineRule="auto"/>
        <w:jc w:val="both"/>
        <w:rPr>
          <w:rFonts w:ascii="Palatino Linotype" w:hAnsi="Palatino Linotype"/>
          <w:sz w:val="22"/>
          <w:szCs w:val="22"/>
        </w:rPr>
      </w:pPr>
    </w:p>
    <w:p w14:paraId="2401DA04" w14:textId="77777777" w:rsidR="00942616" w:rsidRPr="00E9762F" w:rsidRDefault="00942616" w:rsidP="00942616">
      <w:pPr>
        <w:spacing w:line="360" w:lineRule="auto"/>
        <w:jc w:val="both"/>
        <w:rPr>
          <w:rFonts w:ascii="Palatino Linotype" w:hAnsi="Palatino Linotype"/>
          <w:sz w:val="22"/>
          <w:szCs w:val="22"/>
        </w:rPr>
      </w:pPr>
    </w:p>
    <w:p w14:paraId="76159867" w14:textId="77777777" w:rsidR="00942616" w:rsidRPr="00E9762F" w:rsidRDefault="00942616" w:rsidP="00942616">
      <w:pPr>
        <w:spacing w:line="360" w:lineRule="auto"/>
        <w:rPr>
          <w:rFonts w:ascii="Palatino Linotype" w:hAnsi="Palatino Linotype"/>
          <w:sz w:val="22"/>
          <w:szCs w:val="22"/>
        </w:rPr>
      </w:pPr>
    </w:p>
    <w:p w14:paraId="3584962A" w14:textId="77777777" w:rsidR="00942616" w:rsidRPr="00E9762F" w:rsidRDefault="00942616" w:rsidP="00942616">
      <w:pPr>
        <w:spacing w:line="360" w:lineRule="auto"/>
        <w:rPr>
          <w:rFonts w:ascii="Palatino Linotype" w:hAnsi="Palatino Linotype"/>
          <w:sz w:val="22"/>
          <w:szCs w:val="22"/>
        </w:rPr>
      </w:pPr>
    </w:p>
    <w:p w14:paraId="3A818EB8" w14:textId="77777777" w:rsidR="00942616" w:rsidRPr="00E9762F" w:rsidRDefault="00942616" w:rsidP="00942616">
      <w:pPr>
        <w:spacing w:line="360" w:lineRule="auto"/>
        <w:rPr>
          <w:rFonts w:ascii="Palatino Linotype" w:hAnsi="Palatino Linotype"/>
          <w:sz w:val="22"/>
          <w:szCs w:val="22"/>
        </w:rPr>
      </w:pPr>
    </w:p>
    <w:p w14:paraId="174CEAEF" w14:textId="77777777" w:rsidR="00942616" w:rsidRPr="00E9762F" w:rsidRDefault="00942616" w:rsidP="00942616">
      <w:pPr>
        <w:spacing w:line="360" w:lineRule="auto"/>
        <w:rPr>
          <w:rFonts w:ascii="Palatino Linotype" w:hAnsi="Palatino Linotype"/>
          <w:sz w:val="22"/>
          <w:szCs w:val="22"/>
        </w:rPr>
      </w:pPr>
    </w:p>
    <w:p w14:paraId="7CDD8E3D" w14:textId="77777777" w:rsidR="00942616" w:rsidRPr="00E9762F" w:rsidRDefault="00942616" w:rsidP="00942616">
      <w:pPr>
        <w:spacing w:line="360" w:lineRule="auto"/>
        <w:rPr>
          <w:rFonts w:ascii="Palatino Linotype" w:hAnsi="Palatino Linotype"/>
          <w:sz w:val="22"/>
          <w:szCs w:val="22"/>
        </w:rPr>
      </w:pPr>
    </w:p>
    <w:p w14:paraId="5AA6BBEF" w14:textId="77777777" w:rsidR="00942616" w:rsidRPr="00E9762F" w:rsidRDefault="00942616" w:rsidP="00942616">
      <w:pPr>
        <w:spacing w:line="360" w:lineRule="auto"/>
        <w:rPr>
          <w:rFonts w:ascii="Palatino Linotype" w:hAnsi="Palatino Linotype"/>
          <w:sz w:val="22"/>
          <w:szCs w:val="22"/>
        </w:rPr>
      </w:pPr>
    </w:p>
    <w:p w14:paraId="4984B0BE" w14:textId="77777777" w:rsidR="00942616" w:rsidRPr="00E9762F" w:rsidRDefault="00942616" w:rsidP="00942616">
      <w:pPr>
        <w:spacing w:line="360" w:lineRule="auto"/>
        <w:rPr>
          <w:rFonts w:ascii="Palatino Linotype" w:hAnsi="Palatino Linotype"/>
          <w:sz w:val="22"/>
          <w:szCs w:val="22"/>
        </w:rPr>
      </w:pPr>
    </w:p>
    <w:p w14:paraId="027D389A" w14:textId="77777777" w:rsidR="00942616" w:rsidRPr="00E9762F" w:rsidRDefault="00942616" w:rsidP="00942616">
      <w:pPr>
        <w:tabs>
          <w:tab w:val="left" w:pos="3374"/>
        </w:tabs>
        <w:spacing w:line="360" w:lineRule="auto"/>
        <w:rPr>
          <w:rFonts w:ascii="Palatino Linotype" w:hAnsi="Palatino Linotype"/>
          <w:sz w:val="22"/>
          <w:szCs w:val="22"/>
        </w:rPr>
      </w:pPr>
      <w:r w:rsidRPr="00E9762F">
        <w:rPr>
          <w:rFonts w:ascii="Palatino Linotype" w:hAnsi="Palatino Linotype"/>
          <w:sz w:val="22"/>
          <w:szCs w:val="22"/>
        </w:rPr>
        <w:tab/>
      </w:r>
    </w:p>
    <w:p w14:paraId="18F11BAD" w14:textId="77777777" w:rsidR="00942616" w:rsidRPr="00E9762F" w:rsidRDefault="00942616" w:rsidP="00942616">
      <w:pPr>
        <w:tabs>
          <w:tab w:val="left" w:pos="3374"/>
        </w:tabs>
        <w:spacing w:line="360" w:lineRule="auto"/>
        <w:rPr>
          <w:rFonts w:ascii="Palatino Linotype" w:hAnsi="Palatino Linotype"/>
          <w:sz w:val="22"/>
          <w:szCs w:val="22"/>
        </w:rPr>
      </w:pPr>
    </w:p>
    <w:p w14:paraId="74BF8A5F" w14:textId="77777777" w:rsidR="00942616" w:rsidRPr="00E9762F" w:rsidRDefault="00942616" w:rsidP="00942616">
      <w:pPr>
        <w:tabs>
          <w:tab w:val="left" w:pos="3374"/>
        </w:tabs>
        <w:spacing w:line="360" w:lineRule="auto"/>
        <w:rPr>
          <w:rFonts w:ascii="Palatino Linotype" w:hAnsi="Palatino Linotype"/>
          <w:sz w:val="22"/>
          <w:szCs w:val="22"/>
        </w:rPr>
      </w:pPr>
    </w:p>
    <w:p w14:paraId="732C5D23" w14:textId="77777777" w:rsidR="00942616" w:rsidRPr="00E9762F" w:rsidRDefault="00942616" w:rsidP="00942616">
      <w:pPr>
        <w:tabs>
          <w:tab w:val="left" w:pos="3374"/>
        </w:tabs>
        <w:spacing w:line="360" w:lineRule="auto"/>
        <w:rPr>
          <w:rFonts w:ascii="Palatino Linotype" w:hAnsi="Palatino Linotype"/>
          <w:sz w:val="22"/>
          <w:szCs w:val="22"/>
        </w:rPr>
      </w:pPr>
    </w:p>
    <w:p w14:paraId="07FE0706" w14:textId="77777777" w:rsidR="00942616" w:rsidRPr="00E9762F" w:rsidRDefault="00942616" w:rsidP="00942616">
      <w:pPr>
        <w:tabs>
          <w:tab w:val="left" w:pos="3374"/>
        </w:tabs>
        <w:spacing w:line="360" w:lineRule="auto"/>
        <w:rPr>
          <w:rFonts w:ascii="Palatino Linotype" w:hAnsi="Palatino Linotype"/>
          <w:sz w:val="22"/>
          <w:szCs w:val="22"/>
        </w:rPr>
      </w:pPr>
    </w:p>
    <w:p w14:paraId="376015AC" w14:textId="77777777" w:rsidR="00942616" w:rsidRPr="00E9762F" w:rsidRDefault="00942616" w:rsidP="00942616">
      <w:pPr>
        <w:tabs>
          <w:tab w:val="left" w:pos="3374"/>
        </w:tabs>
        <w:spacing w:line="360" w:lineRule="auto"/>
        <w:rPr>
          <w:rFonts w:ascii="Palatino Linotype" w:hAnsi="Palatino Linotype"/>
          <w:sz w:val="22"/>
          <w:szCs w:val="22"/>
        </w:rPr>
      </w:pPr>
    </w:p>
    <w:p w14:paraId="7C2C2C91" w14:textId="77777777" w:rsidR="00942616" w:rsidRPr="00E9762F" w:rsidRDefault="00942616" w:rsidP="00942616">
      <w:pPr>
        <w:tabs>
          <w:tab w:val="left" w:pos="3374"/>
        </w:tabs>
        <w:spacing w:line="360" w:lineRule="auto"/>
        <w:rPr>
          <w:rFonts w:ascii="Palatino Linotype" w:hAnsi="Palatino Linotype"/>
          <w:sz w:val="22"/>
          <w:szCs w:val="22"/>
        </w:rPr>
      </w:pPr>
    </w:p>
    <w:p w14:paraId="45B6A2A6" w14:textId="77777777" w:rsidR="00942616" w:rsidRPr="00E9762F" w:rsidRDefault="00942616" w:rsidP="00942616">
      <w:pPr>
        <w:tabs>
          <w:tab w:val="left" w:pos="3374"/>
        </w:tabs>
        <w:spacing w:line="360" w:lineRule="auto"/>
        <w:rPr>
          <w:rFonts w:ascii="Palatino Linotype" w:hAnsi="Palatino Linotype"/>
          <w:sz w:val="22"/>
          <w:szCs w:val="22"/>
        </w:rPr>
      </w:pPr>
    </w:p>
    <w:p w14:paraId="0A8A8A68" w14:textId="77777777" w:rsidR="00942616" w:rsidRPr="00E9762F" w:rsidRDefault="00942616" w:rsidP="00942616">
      <w:pPr>
        <w:tabs>
          <w:tab w:val="left" w:pos="3374"/>
        </w:tabs>
        <w:spacing w:line="360" w:lineRule="auto"/>
        <w:rPr>
          <w:rFonts w:ascii="Palatino Linotype" w:hAnsi="Palatino Linotype"/>
          <w:sz w:val="22"/>
          <w:szCs w:val="22"/>
        </w:rPr>
      </w:pPr>
    </w:p>
    <w:p w14:paraId="7FEC71EC" w14:textId="77777777" w:rsidR="00942616" w:rsidRPr="00E9762F" w:rsidRDefault="00942616" w:rsidP="00942616">
      <w:pPr>
        <w:tabs>
          <w:tab w:val="left" w:pos="3374"/>
        </w:tabs>
        <w:spacing w:line="360" w:lineRule="auto"/>
        <w:rPr>
          <w:rFonts w:ascii="Palatino Linotype" w:hAnsi="Palatino Linotype"/>
          <w:sz w:val="22"/>
          <w:szCs w:val="22"/>
        </w:rPr>
      </w:pPr>
    </w:p>
    <w:p w14:paraId="2CDB6924" w14:textId="77777777" w:rsidR="00942616" w:rsidRPr="00E9762F" w:rsidRDefault="00942616" w:rsidP="00942616">
      <w:pPr>
        <w:tabs>
          <w:tab w:val="left" w:pos="3374"/>
        </w:tabs>
        <w:spacing w:line="360" w:lineRule="auto"/>
        <w:rPr>
          <w:rFonts w:ascii="Palatino Linotype" w:hAnsi="Palatino Linotype"/>
          <w:sz w:val="22"/>
          <w:szCs w:val="22"/>
        </w:rPr>
      </w:pPr>
    </w:p>
    <w:p w14:paraId="785D4E09" w14:textId="77777777" w:rsidR="00942616" w:rsidRPr="00E9762F" w:rsidRDefault="00942616" w:rsidP="00942616">
      <w:pPr>
        <w:tabs>
          <w:tab w:val="left" w:pos="3374"/>
        </w:tabs>
        <w:spacing w:line="360" w:lineRule="auto"/>
        <w:rPr>
          <w:rFonts w:ascii="Palatino Linotype" w:hAnsi="Palatino Linotype"/>
          <w:sz w:val="22"/>
          <w:szCs w:val="22"/>
        </w:rPr>
      </w:pPr>
    </w:p>
    <w:p w14:paraId="2E87A5CF" w14:textId="77777777" w:rsidR="00942616" w:rsidRPr="00E9762F" w:rsidRDefault="00942616" w:rsidP="00942616">
      <w:pPr>
        <w:tabs>
          <w:tab w:val="left" w:pos="3374"/>
        </w:tabs>
        <w:spacing w:line="360" w:lineRule="auto"/>
        <w:rPr>
          <w:rFonts w:ascii="Palatino Linotype" w:hAnsi="Palatino Linotype"/>
          <w:sz w:val="22"/>
          <w:szCs w:val="22"/>
        </w:rPr>
      </w:pPr>
    </w:p>
    <w:p w14:paraId="24F0B777" w14:textId="77777777" w:rsidR="00942616" w:rsidRPr="00E9762F" w:rsidRDefault="00942616" w:rsidP="00942616">
      <w:pPr>
        <w:tabs>
          <w:tab w:val="left" w:pos="3374"/>
        </w:tabs>
        <w:spacing w:line="360" w:lineRule="auto"/>
        <w:rPr>
          <w:rFonts w:ascii="Palatino Linotype" w:hAnsi="Palatino Linotype"/>
          <w:sz w:val="22"/>
          <w:szCs w:val="22"/>
        </w:rPr>
      </w:pPr>
    </w:p>
    <w:p w14:paraId="41BB0BB9" w14:textId="77777777" w:rsidR="00942616" w:rsidRPr="00E9762F" w:rsidRDefault="00942616" w:rsidP="00942616">
      <w:pPr>
        <w:tabs>
          <w:tab w:val="left" w:pos="3374"/>
        </w:tabs>
        <w:spacing w:line="360" w:lineRule="auto"/>
        <w:rPr>
          <w:rFonts w:ascii="Palatino Linotype" w:hAnsi="Palatino Linotype"/>
          <w:sz w:val="22"/>
          <w:szCs w:val="22"/>
        </w:rPr>
      </w:pPr>
    </w:p>
    <w:p w14:paraId="3FBD9A97" w14:textId="77777777" w:rsidR="00942616" w:rsidRPr="00E9762F" w:rsidRDefault="00942616" w:rsidP="00942616">
      <w:pPr>
        <w:tabs>
          <w:tab w:val="left" w:pos="3374"/>
        </w:tabs>
        <w:spacing w:line="360" w:lineRule="auto"/>
        <w:rPr>
          <w:rFonts w:ascii="Palatino Linotype" w:hAnsi="Palatino Linotype"/>
          <w:sz w:val="22"/>
          <w:szCs w:val="22"/>
        </w:rPr>
      </w:pPr>
    </w:p>
    <w:p w14:paraId="67E05949" w14:textId="77777777" w:rsidR="00942616" w:rsidRPr="00E9762F" w:rsidRDefault="00942616" w:rsidP="00942616">
      <w:pPr>
        <w:tabs>
          <w:tab w:val="left" w:pos="3374"/>
        </w:tabs>
        <w:spacing w:line="360" w:lineRule="auto"/>
        <w:rPr>
          <w:rFonts w:ascii="Palatino Linotype" w:hAnsi="Palatino Linotype"/>
          <w:sz w:val="22"/>
          <w:szCs w:val="22"/>
        </w:rPr>
      </w:pPr>
    </w:p>
    <w:p w14:paraId="0EDC4D44" w14:textId="77777777" w:rsidR="006603F1" w:rsidRPr="00E9762F" w:rsidRDefault="006603F1">
      <w:pPr>
        <w:rPr>
          <w:sz w:val="22"/>
          <w:szCs w:val="22"/>
        </w:rPr>
      </w:pPr>
    </w:p>
    <w:sectPr w:rsidR="006603F1" w:rsidRPr="00E9762F"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8E18" w14:textId="77777777" w:rsidR="00C82D80" w:rsidRDefault="00C82D80" w:rsidP="00942616">
      <w:r>
        <w:separator/>
      </w:r>
    </w:p>
  </w:endnote>
  <w:endnote w:type="continuationSeparator" w:id="0">
    <w:p w14:paraId="48DA1703" w14:textId="77777777" w:rsidR="00C82D80" w:rsidRDefault="00C82D80"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A41A64" w:rsidRPr="002D6DD8" w:rsidRDefault="00A41A6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6A8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F6A8E">
              <w:rPr>
                <w:rFonts w:ascii="Palatino Linotype" w:hAnsi="Palatino Linotype"/>
                <w:bCs/>
                <w:noProof/>
                <w:sz w:val="20"/>
              </w:rPr>
              <w:t>23</w:t>
            </w:r>
            <w:r>
              <w:rPr>
                <w:rFonts w:ascii="Palatino Linotype" w:hAnsi="Palatino Linotype"/>
                <w:bCs/>
                <w:noProof/>
                <w:sz w:val="20"/>
              </w:rPr>
              <w:fldChar w:fldCharType="end"/>
            </w:r>
          </w:p>
        </w:sdtContent>
      </w:sdt>
    </w:sdtContent>
  </w:sdt>
  <w:p w14:paraId="4B3C5062" w14:textId="77777777" w:rsidR="00A41A64" w:rsidRDefault="00A41A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A41A64" w:rsidRPr="000B69FA" w:rsidRDefault="00A41A6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6A8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F6A8E">
      <w:rPr>
        <w:rFonts w:ascii="Palatino Linotype" w:hAnsi="Palatino Linotype"/>
        <w:bCs/>
        <w:noProof/>
        <w:sz w:val="20"/>
      </w:rPr>
      <w:t>23</w:t>
    </w:r>
    <w:r>
      <w:rPr>
        <w:rFonts w:ascii="Palatino Linotype" w:hAnsi="Palatino Linotype"/>
        <w:bCs/>
        <w:noProof/>
        <w:sz w:val="20"/>
      </w:rPr>
      <w:fldChar w:fldCharType="end"/>
    </w:r>
  </w:p>
  <w:p w14:paraId="5FDB238B" w14:textId="77777777" w:rsidR="00A41A64" w:rsidRDefault="00A41A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63EA" w14:textId="77777777" w:rsidR="00C82D80" w:rsidRDefault="00C82D80" w:rsidP="00942616">
      <w:r>
        <w:separator/>
      </w:r>
    </w:p>
  </w:footnote>
  <w:footnote w:type="continuationSeparator" w:id="0">
    <w:p w14:paraId="6DE52729" w14:textId="77777777" w:rsidR="00C82D80" w:rsidRDefault="00C82D80"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A41A64" w:rsidRDefault="00C82D80">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A41A64" w14:paraId="6291E73B" w14:textId="77777777" w:rsidTr="00B5153D">
      <w:trPr>
        <w:trHeight w:val="227"/>
      </w:trPr>
      <w:tc>
        <w:tcPr>
          <w:tcW w:w="2976" w:type="dxa"/>
          <w:vAlign w:val="center"/>
          <w:hideMark/>
        </w:tcPr>
        <w:p w14:paraId="785910C1" w14:textId="77777777" w:rsidR="00A41A64" w:rsidRPr="00674A46" w:rsidRDefault="00A41A64"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250F8673" w:rsidR="00A41A64" w:rsidRPr="009304C1" w:rsidRDefault="00A41A64" w:rsidP="00B5153D">
          <w:pPr>
            <w:pStyle w:val="Encabezado"/>
            <w:rPr>
              <w:rFonts w:ascii="Palatino Linotype" w:hAnsi="Palatino Linotype"/>
              <w:b/>
              <w:sz w:val="22"/>
              <w:szCs w:val="22"/>
              <w:highlight w:val="green"/>
            </w:rPr>
          </w:pPr>
          <w:r w:rsidRPr="001B57C3">
            <w:rPr>
              <w:rFonts w:ascii="Palatino Linotype" w:hAnsi="Palatino Linotype" w:cs="Arial"/>
              <w:b/>
              <w:bCs/>
              <w:sz w:val="22"/>
              <w:szCs w:val="22"/>
              <w:lang w:eastAsia="es-MX"/>
            </w:rPr>
            <w:t>08498/INFOEM/IP/RR/2023</w:t>
          </w:r>
        </w:p>
      </w:tc>
    </w:tr>
    <w:tr w:rsidR="00A41A64" w14:paraId="0495579F" w14:textId="77777777" w:rsidTr="00B5153D">
      <w:trPr>
        <w:trHeight w:val="242"/>
      </w:trPr>
      <w:tc>
        <w:tcPr>
          <w:tcW w:w="2976" w:type="dxa"/>
          <w:vAlign w:val="center"/>
          <w:hideMark/>
        </w:tcPr>
        <w:p w14:paraId="1260BD52" w14:textId="77777777" w:rsidR="00A41A64" w:rsidRPr="00674A46" w:rsidRDefault="00A41A64"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B11057F" w:rsidR="00A41A64" w:rsidRPr="009304C1" w:rsidRDefault="00A41A64" w:rsidP="003441EF">
          <w:pPr>
            <w:pStyle w:val="Encabezado"/>
            <w:jc w:val="both"/>
            <w:rPr>
              <w:rFonts w:ascii="Palatino Linotype" w:hAnsi="Palatino Linotype"/>
              <w:b/>
              <w:bCs/>
              <w:color w:val="000000"/>
              <w:sz w:val="22"/>
              <w:szCs w:val="22"/>
              <w:highlight w:val="green"/>
            </w:rPr>
          </w:pPr>
          <w:r w:rsidRPr="001B57C3">
            <w:rPr>
              <w:rFonts w:ascii="Palatino Linotype" w:hAnsi="Palatino Linotype"/>
              <w:b/>
              <w:bCs/>
              <w:color w:val="000000"/>
              <w:sz w:val="22"/>
              <w:szCs w:val="22"/>
            </w:rPr>
            <w:t>Ayuntamiento de Toluca</w:t>
          </w:r>
        </w:p>
      </w:tc>
    </w:tr>
    <w:tr w:rsidR="00A41A64" w14:paraId="094D4B8E" w14:textId="77777777" w:rsidTr="00B5153D">
      <w:trPr>
        <w:trHeight w:val="342"/>
      </w:trPr>
      <w:tc>
        <w:tcPr>
          <w:tcW w:w="2976" w:type="dxa"/>
          <w:vAlign w:val="center"/>
          <w:hideMark/>
        </w:tcPr>
        <w:p w14:paraId="704F2262" w14:textId="77777777" w:rsidR="00A41A64" w:rsidRPr="00674A46" w:rsidRDefault="00A41A64"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A41A64" w:rsidRPr="00485ED8" w:rsidRDefault="00A41A64"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A41A64" w:rsidRPr="00AE046A" w:rsidRDefault="00C82D80"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A41A64" w14:paraId="109D31C7" w14:textId="77777777" w:rsidTr="00B5153D">
      <w:trPr>
        <w:trHeight w:val="227"/>
      </w:trPr>
      <w:tc>
        <w:tcPr>
          <w:tcW w:w="2977" w:type="dxa"/>
          <w:vAlign w:val="center"/>
          <w:hideMark/>
        </w:tcPr>
        <w:p w14:paraId="52EDE096" w14:textId="77777777" w:rsidR="00A41A64" w:rsidRPr="00674A46" w:rsidRDefault="00A41A64"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01F3D737" w:rsidR="00A41A64" w:rsidRPr="00361600" w:rsidRDefault="00A41A64" w:rsidP="00B5153D">
          <w:pPr>
            <w:pStyle w:val="Encabezado"/>
            <w:rPr>
              <w:rFonts w:ascii="Palatino Linotype" w:hAnsi="Palatino Linotype"/>
              <w:b/>
              <w:sz w:val="22"/>
              <w:szCs w:val="22"/>
              <w:highlight w:val="green"/>
            </w:rPr>
          </w:pPr>
          <w:r w:rsidRPr="001B57C3">
            <w:rPr>
              <w:rFonts w:ascii="Palatino Linotype" w:hAnsi="Palatino Linotype" w:cs="Arial"/>
              <w:b/>
              <w:bCs/>
              <w:sz w:val="22"/>
              <w:szCs w:val="22"/>
              <w:lang w:eastAsia="es-MX"/>
            </w:rPr>
            <w:t>08498/INFOEM/IP/RR/2023</w:t>
          </w:r>
        </w:p>
      </w:tc>
    </w:tr>
    <w:tr w:rsidR="00A41A64" w14:paraId="0AB7C776" w14:textId="77777777" w:rsidTr="00B5153D">
      <w:trPr>
        <w:trHeight w:val="242"/>
      </w:trPr>
      <w:tc>
        <w:tcPr>
          <w:tcW w:w="2977" w:type="dxa"/>
          <w:vAlign w:val="center"/>
          <w:hideMark/>
        </w:tcPr>
        <w:p w14:paraId="798B5FF4" w14:textId="77777777" w:rsidR="00A41A64" w:rsidRPr="00674A46" w:rsidRDefault="00A41A64"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ADA6017" w:rsidR="00A41A64" w:rsidRPr="00361600" w:rsidRDefault="0080040F" w:rsidP="00B5153D">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p>
      </w:tc>
    </w:tr>
    <w:tr w:rsidR="00A41A64" w14:paraId="36334B37" w14:textId="77777777" w:rsidTr="00B5153D">
      <w:trPr>
        <w:trHeight w:val="342"/>
      </w:trPr>
      <w:tc>
        <w:tcPr>
          <w:tcW w:w="2977" w:type="dxa"/>
          <w:vAlign w:val="center"/>
        </w:tcPr>
        <w:p w14:paraId="476BA4F3" w14:textId="77777777" w:rsidR="00A41A64" w:rsidRPr="00674A46" w:rsidRDefault="00A41A64"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366F011" w:rsidR="00A41A64" w:rsidRPr="00361600" w:rsidRDefault="00A41A64" w:rsidP="003441EF">
          <w:pPr>
            <w:pStyle w:val="Encabezado"/>
            <w:jc w:val="both"/>
            <w:rPr>
              <w:rFonts w:ascii="Palatino Linotype" w:hAnsi="Palatino Linotype"/>
              <w:b/>
              <w:sz w:val="22"/>
              <w:szCs w:val="22"/>
              <w:highlight w:val="green"/>
            </w:rPr>
          </w:pPr>
          <w:r w:rsidRPr="001B57C3">
            <w:rPr>
              <w:rFonts w:ascii="Palatino Linotype" w:hAnsi="Palatino Linotype"/>
              <w:b/>
              <w:bCs/>
              <w:color w:val="000000"/>
              <w:sz w:val="22"/>
              <w:szCs w:val="22"/>
            </w:rPr>
            <w:t>Ayuntamiento de Toluca</w:t>
          </w:r>
        </w:p>
      </w:tc>
    </w:tr>
    <w:tr w:rsidR="00A41A64" w14:paraId="0C6AC9F5" w14:textId="77777777" w:rsidTr="00B5153D">
      <w:trPr>
        <w:trHeight w:val="342"/>
      </w:trPr>
      <w:tc>
        <w:tcPr>
          <w:tcW w:w="2977" w:type="dxa"/>
          <w:vAlign w:val="center"/>
        </w:tcPr>
        <w:p w14:paraId="68D9479B" w14:textId="77777777" w:rsidR="00A41A64" w:rsidRPr="00674A46" w:rsidRDefault="00A41A64"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A41A64" w:rsidRPr="00674A46" w:rsidRDefault="00A41A64"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A41A64" w:rsidRPr="00C222C0" w:rsidRDefault="00C82D80">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DF7B31"/>
    <w:multiLevelType w:val="multilevel"/>
    <w:tmpl w:val="D70EE2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2F1B34"/>
    <w:multiLevelType w:val="hybridMultilevel"/>
    <w:tmpl w:val="524475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15:restartNumberingAfterBreak="0">
    <w:nsid w:val="7BAF3DB4"/>
    <w:multiLevelType w:val="hybridMultilevel"/>
    <w:tmpl w:val="7FF2FFD4"/>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892811477">
    <w:abstractNumId w:val="10"/>
  </w:num>
  <w:num w:numId="2" w16cid:durableId="87892578">
    <w:abstractNumId w:val="16"/>
  </w:num>
  <w:num w:numId="3" w16cid:durableId="430049105">
    <w:abstractNumId w:val="17"/>
  </w:num>
  <w:num w:numId="4" w16cid:durableId="885916418">
    <w:abstractNumId w:val="3"/>
  </w:num>
  <w:num w:numId="5" w16cid:durableId="996498282">
    <w:abstractNumId w:val="1"/>
  </w:num>
  <w:num w:numId="6" w16cid:durableId="626207639">
    <w:abstractNumId w:val="12"/>
  </w:num>
  <w:num w:numId="7" w16cid:durableId="130749855">
    <w:abstractNumId w:val="7"/>
  </w:num>
  <w:num w:numId="8" w16cid:durableId="2103263091">
    <w:abstractNumId w:val="6"/>
  </w:num>
  <w:num w:numId="9" w16cid:durableId="1201749167">
    <w:abstractNumId w:val="9"/>
  </w:num>
  <w:num w:numId="10" w16cid:durableId="698164236">
    <w:abstractNumId w:val="0"/>
  </w:num>
  <w:num w:numId="11" w16cid:durableId="1587038506">
    <w:abstractNumId w:val="15"/>
  </w:num>
  <w:num w:numId="12" w16cid:durableId="983512613">
    <w:abstractNumId w:val="5"/>
  </w:num>
  <w:num w:numId="13" w16cid:durableId="1536962725">
    <w:abstractNumId w:val="11"/>
  </w:num>
  <w:num w:numId="14" w16cid:durableId="1207525263">
    <w:abstractNumId w:val="8"/>
  </w:num>
  <w:num w:numId="15" w16cid:durableId="1952741368">
    <w:abstractNumId w:val="14"/>
  </w:num>
  <w:num w:numId="16" w16cid:durableId="1330016188">
    <w:abstractNumId w:val="13"/>
  </w:num>
  <w:num w:numId="17" w16cid:durableId="1685932583">
    <w:abstractNumId w:val="4"/>
  </w:num>
  <w:num w:numId="18" w16cid:durableId="857617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1253B"/>
    <w:rsid w:val="00052F1C"/>
    <w:rsid w:val="00064325"/>
    <w:rsid w:val="000973EA"/>
    <w:rsid w:val="000D6692"/>
    <w:rsid w:val="000F78C3"/>
    <w:rsid w:val="00113410"/>
    <w:rsid w:val="00133699"/>
    <w:rsid w:val="00171F71"/>
    <w:rsid w:val="00177927"/>
    <w:rsid w:val="0018393D"/>
    <w:rsid w:val="001B24AC"/>
    <w:rsid w:val="001B57C3"/>
    <w:rsid w:val="001E7732"/>
    <w:rsid w:val="001F3DF0"/>
    <w:rsid w:val="00222293"/>
    <w:rsid w:val="00264692"/>
    <w:rsid w:val="00270BB6"/>
    <w:rsid w:val="002765D6"/>
    <w:rsid w:val="002847CD"/>
    <w:rsid w:val="00292ACC"/>
    <w:rsid w:val="002943FC"/>
    <w:rsid w:val="002A1DCF"/>
    <w:rsid w:val="002B540C"/>
    <w:rsid w:val="0030224E"/>
    <w:rsid w:val="003441EF"/>
    <w:rsid w:val="00361600"/>
    <w:rsid w:val="00375EA9"/>
    <w:rsid w:val="003D26D9"/>
    <w:rsid w:val="003E76A0"/>
    <w:rsid w:val="003E7B6C"/>
    <w:rsid w:val="003F51AF"/>
    <w:rsid w:val="00400F3B"/>
    <w:rsid w:val="004278C7"/>
    <w:rsid w:val="00432766"/>
    <w:rsid w:val="00437A3C"/>
    <w:rsid w:val="00470EDD"/>
    <w:rsid w:val="00472F7F"/>
    <w:rsid w:val="004968BD"/>
    <w:rsid w:val="004B07FE"/>
    <w:rsid w:val="004B65C0"/>
    <w:rsid w:val="004C67A5"/>
    <w:rsid w:val="004D1B9C"/>
    <w:rsid w:val="004D3CDC"/>
    <w:rsid w:val="004E7CD0"/>
    <w:rsid w:val="004F003E"/>
    <w:rsid w:val="00522F39"/>
    <w:rsid w:val="00525744"/>
    <w:rsid w:val="00537651"/>
    <w:rsid w:val="00591CF0"/>
    <w:rsid w:val="005A271E"/>
    <w:rsid w:val="005D63E1"/>
    <w:rsid w:val="005F4C1B"/>
    <w:rsid w:val="005F6A8E"/>
    <w:rsid w:val="00611224"/>
    <w:rsid w:val="00626E5B"/>
    <w:rsid w:val="006603F1"/>
    <w:rsid w:val="00665CF1"/>
    <w:rsid w:val="0067244C"/>
    <w:rsid w:val="006901AF"/>
    <w:rsid w:val="006C5DB2"/>
    <w:rsid w:val="006E70AD"/>
    <w:rsid w:val="006E76C7"/>
    <w:rsid w:val="00722086"/>
    <w:rsid w:val="00727550"/>
    <w:rsid w:val="00737489"/>
    <w:rsid w:val="0074082A"/>
    <w:rsid w:val="007505E5"/>
    <w:rsid w:val="007563F2"/>
    <w:rsid w:val="00790E1F"/>
    <w:rsid w:val="007B21AE"/>
    <w:rsid w:val="007C0931"/>
    <w:rsid w:val="007C50BE"/>
    <w:rsid w:val="007E0F24"/>
    <w:rsid w:val="0080040F"/>
    <w:rsid w:val="0084030D"/>
    <w:rsid w:val="00844CA2"/>
    <w:rsid w:val="00852DB7"/>
    <w:rsid w:val="008A5673"/>
    <w:rsid w:val="008A7701"/>
    <w:rsid w:val="008C5B12"/>
    <w:rsid w:val="008E52E6"/>
    <w:rsid w:val="008E5CB7"/>
    <w:rsid w:val="00923E55"/>
    <w:rsid w:val="009304C1"/>
    <w:rsid w:val="009330EC"/>
    <w:rsid w:val="00942616"/>
    <w:rsid w:val="00975C21"/>
    <w:rsid w:val="009C0ED6"/>
    <w:rsid w:val="009D2E60"/>
    <w:rsid w:val="009E4E2E"/>
    <w:rsid w:val="009E6CAC"/>
    <w:rsid w:val="00A23C77"/>
    <w:rsid w:val="00A33730"/>
    <w:rsid w:val="00A41A64"/>
    <w:rsid w:val="00A6168B"/>
    <w:rsid w:val="00A727B4"/>
    <w:rsid w:val="00A81EAE"/>
    <w:rsid w:val="00AD44A3"/>
    <w:rsid w:val="00AF6678"/>
    <w:rsid w:val="00B0036F"/>
    <w:rsid w:val="00B1730A"/>
    <w:rsid w:val="00B23668"/>
    <w:rsid w:val="00B44064"/>
    <w:rsid w:val="00B5153D"/>
    <w:rsid w:val="00B73758"/>
    <w:rsid w:val="00B96015"/>
    <w:rsid w:val="00BB2924"/>
    <w:rsid w:val="00BC1A99"/>
    <w:rsid w:val="00C16196"/>
    <w:rsid w:val="00C25ADD"/>
    <w:rsid w:val="00C269EB"/>
    <w:rsid w:val="00C479BF"/>
    <w:rsid w:val="00C82D80"/>
    <w:rsid w:val="00CA3460"/>
    <w:rsid w:val="00CA41CE"/>
    <w:rsid w:val="00CB3AAC"/>
    <w:rsid w:val="00CC56ED"/>
    <w:rsid w:val="00CD2DE1"/>
    <w:rsid w:val="00CD40B6"/>
    <w:rsid w:val="00CF6FE8"/>
    <w:rsid w:val="00D00D74"/>
    <w:rsid w:val="00D02172"/>
    <w:rsid w:val="00D17C3A"/>
    <w:rsid w:val="00D23459"/>
    <w:rsid w:val="00D2781B"/>
    <w:rsid w:val="00D45631"/>
    <w:rsid w:val="00D7279B"/>
    <w:rsid w:val="00D806CA"/>
    <w:rsid w:val="00D92052"/>
    <w:rsid w:val="00D97091"/>
    <w:rsid w:val="00E06F7D"/>
    <w:rsid w:val="00E07DEA"/>
    <w:rsid w:val="00E16509"/>
    <w:rsid w:val="00E55899"/>
    <w:rsid w:val="00E620F7"/>
    <w:rsid w:val="00E626A4"/>
    <w:rsid w:val="00E82518"/>
    <w:rsid w:val="00E91E53"/>
    <w:rsid w:val="00E9762F"/>
    <w:rsid w:val="00EE4BD5"/>
    <w:rsid w:val="00EE5D31"/>
    <w:rsid w:val="00F01855"/>
    <w:rsid w:val="00F3329F"/>
    <w:rsid w:val="00F626F3"/>
    <w:rsid w:val="00F66E32"/>
    <w:rsid w:val="00F85628"/>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B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FEC5-4355-4E53-BAD8-DEDDCA0A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4987</Words>
  <Characters>27430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6</cp:revision>
  <cp:lastPrinted>2024-06-28T00:52:00Z</cp:lastPrinted>
  <dcterms:created xsi:type="dcterms:W3CDTF">2024-06-25T05:23:00Z</dcterms:created>
  <dcterms:modified xsi:type="dcterms:W3CDTF">2024-07-03T18:25:00Z</dcterms:modified>
</cp:coreProperties>
</file>