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559E5" w:rsidRDefault="00AE3DA7" w:rsidP="00141876">
          <w:pPr>
            <w:pStyle w:val="TtuloTDC"/>
            <w:spacing w:before="0" w:line="240" w:lineRule="auto"/>
            <w:rPr>
              <w:rFonts w:ascii="Palatino Linotype" w:hAnsi="Palatino Linotype"/>
              <w:sz w:val="24"/>
              <w:szCs w:val="24"/>
              <w:lang w:val="es-ES"/>
            </w:rPr>
          </w:pPr>
          <w:r w:rsidRPr="007559E5">
            <w:rPr>
              <w:rFonts w:ascii="Palatino Linotype" w:hAnsi="Palatino Linotype"/>
              <w:sz w:val="24"/>
              <w:szCs w:val="24"/>
              <w:lang w:val="es-ES"/>
            </w:rPr>
            <w:t>Contenido</w:t>
          </w:r>
        </w:p>
        <w:p w14:paraId="3EB312A7" w14:textId="77777777" w:rsidR="00AA6EA9" w:rsidRPr="007559E5" w:rsidRDefault="00AA6EA9" w:rsidP="00141876">
          <w:pPr>
            <w:spacing w:line="240" w:lineRule="auto"/>
            <w:rPr>
              <w:sz w:val="16"/>
              <w:szCs w:val="16"/>
              <w:lang w:val="es-ES" w:eastAsia="es-MX"/>
            </w:rPr>
          </w:pPr>
        </w:p>
        <w:p w14:paraId="232E9832" w14:textId="1E5E6BF8" w:rsidR="00905835" w:rsidRDefault="00AE3DA7">
          <w:pPr>
            <w:pStyle w:val="TDC1"/>
            <w:tabs>
              <w:tab w:val="right" w:leader="dot" w:pos="9034"/>
            </w:tabs>
            <w:rPr>
              <w:rFonts w:asciiTheme="minorHAnsi" w:eastAsiaTheme="minorEastAsia" w:hAnsiTheme="minorHAnsi" w:cstheme="minorBidi"/>
              <w:noProof/>
              <w:szCs w:val="22"/>
              <w:lang w:eastAsia="es-MX"/>
            </w:rPr>
          </w:pPr>
          <w:r w:rsidRPr="007559E5">
            <w:rPr>
              <w:sz w:val="16"/>
              <w:szCs w:val="16"/>
            </w:rPr>
            <w:fldChar w:fldCharType="begin"/>
          </w:r>
          <w:r w:rsidRPr="007559E5">
            <w:rPr>
              <w:sz w:val="16"/>
              <w:szCs w:val="16"/>
            </w:rPr>
            <w:instrText xml:space="preserve"> TOC \o "1-3" \h \z \u </w:instrText>
          </w:r>
          <w:r w:rsidRPr="007559E5">
            <w:rPr>
              <w:sz w:val="16"/>
              <w:szCs w:val="16"/>
            </w:rPr>
            <w:fldChar w:fldCharType="separate"/>
          </w:r>
          <w:hyperlink w:anchor="_Toc179924349" w:history="1">
            <w:r w:rsidR="00905835" w:rsidRPr="0088255D">
              <w:rPr>
                <w:rStyle w:val="Hipervnculo"/>
                <w:noProof/>
              </w:rPr>
              <w:t>ANTECEDENTES</w:t>
            </w:r>
            <w:r w:rsidR="00905835">
              <w:rPr>
                <w:noProof/>
                <w:webHidden/>
              </w:rPr>
              <w:tab/>
            </w:r>
            <w:r w:rsidR="00905835">
              <w:rPr>
                <w:noProof/>
                <w:webHidden/>
              </w:rPr>
              <w:fldChar w:fldCharType="begin"/>
            </w:r>
            <w:r w:rsidR="00905835">
              <w:rPr>
                <w:noProof/>
                <w:webHidden/>
              </w:rPr>
              <w:instrText xml:space="preserve"> PAGEREF _Toc179924349 \h </w:instrText>
            </w:r>
            <w:r w:rsidR="00905835">
              <w:rPr>
                <w:noProof/>
                <w:webHidden/>
              </w:rPr>
            </w:r>
            <w:r w:rsidR="00905835">
              <w:rPr>
                <w:noProof/>
                <w:webHidden/>
              </w:rPr>
              <w:fldChar w:fldCharType="separate"/>
            </w:r>
            <w:r w:rsidR="0032100B">
              <w:rPr>
                <w:noProof/>
                <w:webHidden/>
              </w:rPr>
              <w:t>1</w:t>
            </w:r>
            <w:r w:rsidR="00905835">
              <w:rPr>
                <w:noProof/>
                <w:webHidden/>
              </w:rPr>
              <w:fldChar w:fldCharType="end"/>
            </w:r>
          </w:hyperlink>
        </w:p>
        <w:p w14:paraId="4D9173C1" w14:textId="37ADBF54" w:rsidR="00905835" w:rsidRDefault="00803ED4">
          <w:pPr>
            <w:pStyle w:val="TDC2"/>
            <w:rPr>
              <w:rFonts w:asciiTheme="minorHAnsi" w:eastAsiaTheme="minorEastAsia" w:hAnsiTheme="minorHAnsi" w:cstheme="minorBidi"/>
              <w:noProof/>
              <w:szCs w:val="22"/>
              <w:lang w:eastAsia="es-MX"/>
            </w:rPr>
          </w:pPr>
          <w:hyperlink w:anchor="_Toc179924350" w:history="1">
            <w:r w:rsidR="00905835" w:rsidRPr="0088255D">
              <w:rPr>
                <w:rStyle w:val="Hipervnculo"/>
                <w:noProof/>
              </w:rPr>
              <w:t>DE LA SOLICITUD DE INFORMACIÓN</w:t>
            </w:r>
            <w:r w:rsidR="00905835">
              <w:rPr>
                <w:noProof/>
                <w:webHidden/>
              </w:rPr>
              <w:tab/>
            </w:r>
            <w:r w:rsidR="00905835">
              <w:rPr>
                <w:noProof/>
                <w:webHidden/>
              </w:rPr>
              <w:fldChar w:fldCharType="begin"/>
            </w:r>
            <w:r w:rsidR="00905835">
              <w:rPr>
                <w:noProof/>
                <w:webHidden/>
              </w:rPr>
              <w:instrText xml:space="preserve"> PAGEREF _Toc179924350 \h </w:instrText>
            </w:r>
            <w:r w:rsidR="00905835">
              <w:rPr>
                <w:noProof/>
                <w:webHidden/>
              </w:rPr>
            </w:r>
            <w:r w:rsidR="00905835">
              <w:rPr>
                <w:noProof/>
                <w:webHidden/>
              </w:rPr>
              <w:fldChar w:fldCharType="separate"/>
            </w:r>
            <w:r w:rsidR="0032100B">
              <w:rPr>
                <w:noProof/>
                <w:webHidden/>
              </w:rPr>
              <w:t>1</w:t>
            </w:r>
            <w:r w:rsidR="00905835">
              <w:rPr>
                <w:noProof/>
                <w:webHidden/>
              </w:rPr>
              <w:fldChar w:fldCharType="end"/>
            </w:r>
          </w:hyperlink>
        </w:p>
        <w:p w14:paraId="601298CA" w14:textId="0B15A161" w:rsidR="00905835" w:rsidRDefault="00803ED4">
          <w:pPr>
            <w:pStyle w:val="TDC3"/>
            <w:rPr>
              <w:rFonts w:asciiTheme="minorHAnsi" w:eastAsiaTheme="minorEastAsia" w:hAnsiTheme="minorHAnsi" w:cstheme="minorBidi"/>
              <w:noProof/>
              <w:szCs w:val="22"/>
              <w:lang w:eastAsia="es-MX"/>
            </w:rPr>
          </w:pPr>
          <w:hyperlink w:anchor="_Toc179924351" w:history="1">
            <w:r w:rsidR="00905835" w:rsidRPr="0088255D">
              <w:rPr>
                <w:rStyle w:val="Hipervnculo"/>
                <w:noProof/>
              </w:rPr>
              <w:t>a) Solicitud de información</w:t>
            </w:r>
            <w:r w:rsidR="00905835">
              <w:rPr>
                <w:noProof/>
                <w:webHidden/>
              </w:rPr>
              <w:tab/>
            </w:r>
            <w:r w:rsidR="00905835">
              <w:rPr>
                <w:noProof/>
                <w:webHidden/>
              </w:rPr>
              <w:fldChar w:fldCharType="begin"/>
            </w:r>
            <w:r w:rsidR="00905835">
              <w:rPr>
                <w:noProof/>
                <w:webHidden/>
              </w:rPr>
              <w:instrText xml:space="preserve"> PAGEREF _Toc179924351 \h </w:instrText>
            </w:r>
            <w:r w:rsidR="00905835">
              <w:rPr>
                <w:noProof/>
                <w:webHidden/>
              </w:rPr>
            </w:r>
            <w:r w:rsidR="00905835">
              <w:rPr>
                <w:noProof/>
                <w:webHidden/>
              </w:rPr>
              <w:fldChar w:fldCharType="separate"/>
            </w:r>
            <w:r w:rsidR="0032100B">
              <w:rPr>
                <w:noProof/>
                <w:webHidden/>
              </w:rPr>
              <w:t>1</w:t>
            </w:r>
            <w:r w:rsidR="00905835">
              <w:rPr>
                <w:noProof/>
                <w:webHidden/>
              </w:rPr>
              <w:fldChar w:fldCharType="end"/>
            </w:r>
          </w:hyperlink>
        </w:p>
        <w:p w14:paraId="447C69E1" w14:textId="130671C3" w:rsidR="00905835" w:rsidRDefault="00803ED4">
          <w:pPr>
            <w:pStyle w:val="TDC3"/>
            <w:rPr>
              <w:rFonts w:asciiTheme="minorHAnsi" w:eastAsiaTheme="minorEastAsia" w:hAnsiTheme="minorHAnsi" w:cstheme="minorBidi"/>
              <w:noProof/>
              <w:szCs w:val="22"/>
              <w:lang w:eastAsia="es-MX"/>
            </w:rPr>
          </w:pPr>
          <w:hyperlink w:anchor="_Toc179924352" w:history="1">
            <w:r w:rsidR="00905835" w:rsidRPr="0088255D">
              <w:rPr>
                <w:rStyle w:val="Hipervnculo"/>
                <w:noProof/>
              </w:rPr>
              <w:t xml:space="preserve">b) </w:t>
            </w:r>
            <w:r w:rsidR="00905835" w:rsidRPr="0088255D">
              <w:rPr>
                <w:rStyle w:val="Hipervnculo"/>
                <w:bCs/>
                <w:noProof/>
              </w:rPr>
              <w:t>Turno de la solicitud de información</w:t>
            </w:r>
            <w:r w:rsidR="00905835">
              <w:rPr>
                <w:noProof/>
                <w:webHidden/>
              </w:rPr>
              <w:tab/>
            </w:r>
            <w:r w:rsidR="00905835">
              <w:rPr>
                <w:noProof/>
                <w:webHidden/>
              </w:rPr>
              <w:fldChar w:fldCharType="begin"/>
            </w:r>
            <w:r w:rsidR="00905835">
              <w:rPr>
                <w:noProof/>
                <w:webHidden/>
              </w:rPr>
              <w:instrText xml:space="preserve"> PAGEREF _Toc179924352 \h </w:instrText>
            </w:r>
            <w:r w:rsidR="00905835">
              <w:rPr>
                <w:noProof/>
                <w:webHidden/>
              </w:rPr>
            </w:r>
            <w:r w:rsidR="00905835">
              <w:rPr>
                <w:noProof/>
                <w:webHidden/>
              </w:rPr>
              <w:fldChar w:fldCharType="separate"/>
            </w:r>
            <w:r w:rsidR="0032100B">
              <w:rPr>
                <w:noProof/>
                <w:webHidden/>
              </w:rPr>
              <w:t>2</w:t>
            </w:r>
            <w:r w:rsidR="00905835">
              <w:rPr>
                <w:noProof/>
                <w:webHidden/>
              </w:rPr>
              <w:fldChar w:fldCharType="end"/>
            </w:r>
          </w:hyperlink>
        </w:p>
        <w:p w14:paraId="73F6B72D" w14:textId="57F5EF28" w:rsidR="00905835" w:rsidRDefault="00803ED4">
          <w:pPr>
            <w:pStyle w:val="TDC3"/>
            <w:rPr>
              <w:rFonts w:asciiTheme="minorHAnsi" w:eastAsiaTheme="minorEastAsia" w:hAnsiTheme="minorHAnsi" w:cstheme="minorBidi"/>
              <w:noProof/>
              <w:szCs w:val="22"/>
              <w:lang w:eastAsia="es-MX"/>
            </w:rPr>
          </w:pPr>
          <w:hyperlink w:anchor="_Toc179924353" w:history="1">
            <w:r w:rsidR="00905835" w:rsidRPr="0088255D">
              <w:rPr>
                <w:rStyle w:val="Hipervnculo"/>
                <w:noProof/>
              </w:rPr>
              <w:t>c) Prórroga</w:t>
            </w:r>
            <w:r w:rsidR="00905835">
              <w:rPr>
                <w:noProof/>
                <w:webHidden/>
              </w:rPr>
              <w:tab/>
            </w:r>
            <w:r w:rsidR="00905835">
              <w:rPr>
                <w:noProof/>
                <w:webHidden/>
              </w:rPr>
              <w:fldChar w:fldCharType="begin"/>
            </w:r>
            <w:r w:rsidR="00905835">
              <w:rPr>
                <w:noProof/>
                <w:webHidden/>
              </w:rPr>
              <w:instrText xml:space="preserve"> PAGEREF _Toc179924353 \h </w:instrText>
            </w:r>
            <w:r w:rsidR="00905835">
              <w:rPr>
                <w:noProof/>
                <w:webHidden/>
              </w:rPr>
            </w:r>
            <w:r w:rsidR="00905835">
              <w:rPr>
                <w:noProof/>
                <w:webHidden/>
              </w:rPr>
              <w:fldChar w:fldCharType="separate"/>
            </w:r>
            <w:r w:rsidR="0032100B">
              <w:rPr>
                <w:noProof/>
                <w:webHidden/>
              </w:rPr>
              <w:t>2</w:t>
            </w:r>
            <w:r w:rsidR="00905835">
              <w:rPr>
                <w:noProof/>
                <w:webHidden/>
              </w:rPr>
              <w:fldChar w:fldCharType="end"/>
            </w:r>
          </w:hyperlink>
        </w:p>
        <w:p w14:paraId="5ADE1C67" w14:textId="68B698E3" w:rsidR="00905835" w:rsidRDefault="00803ED4">
          <w:pPr>
            <w:pStyle w:val="TDC3"/>
            <w:rPr>
              <w:rFonts w:asciiTheme="minorHAnsi" w:eastAsiaTheme="minorEastAsia" w:hAnsiTheme="minorHAnsi" w:cstheme="minorBidi"/>
              <w:noProof/>
              <w:szCs w:val="22"/>
              <w:lang w:eastAsia="es-MX"/>
            </w:rPr>
          </w:pPr>
          <w:hyperlink w:anchor="_Toc179924354" w:history="1">
            <w:r w:rsidR="00905835" w:rsidRPr="0088255D">
              <w:rPr>
                <w:rStyle w:val="Hipervnculo"/>
                <w:noProof/>
                <w:lang w:val="es-ES"/>
              </w:rPr>
              <w:t xml:space="preserve">d) Respuesta </w:t>
            </w:r>
            <w:r w:rsidR="00905835" w:rsidRPr="0088255D">
              <w:rPr>
                <w:rStyle w:val="Hipervnculo"/>
                <w:rFonts w:eastAsia="Calibri"/>
                <w:noProof/>
                <w:lang w:eastAsia="en-US"/>
              </w:rPr>
              <w:t>del Sujeto Obligado</w:t>
            </w:r>
            <w:r w:rsidR="00905835">
              <w:rPr>
                <w:noProof/>
                <w:webHidden/>
              </w:rPr>
              <w:tab/>
            </w:r>
            <w:r w:rsidR="00905835">
              <w:rPr>
                <w:noProof/>
                <w:webHidden/>
              </w:rPr>
              <w:fldChar w:fldCharType="begin"/>
            </w:r>
            <w:r w:rsidR="00905835">
              <w:rPr>
                <w:noProof/>
                <w:webHidden/>
              </w:rPr>
              <w:instrText xml:space="preserve"> PAGEREF _Toc179924354 \h </w:instrText>
            </w:r>
            <w:r w:rsidR="00905835">
              <w:rPr>
                <w:noProof/>
                <w:webHidden/>
              </w:rPr>
            </w:r>
            <w:r w:rsidR="00905835">
              <w:rPr>
                <w:noProof/>
                <w:webHidden/>
              </w:rPr>
              <w:fldChar w:fldCharType="separate"/>
            </w:r>
            <w:r w:rsidR="0032100B">
              <w:rPr>
                <w:noProof/>
                <w:webHidden/>
              </w:rPr>
              <w:t>3</w:t>
            </w:r>
            <w:r w:rsidR="00905835">
              <w:rPr>
                <w:noProof/>
                <w:webHidden/>
              </w:rPr>
              <w:fldChar w:fldCharType="end"/>
            </w:r>
          </w:hyperlink>
        </w:p>
        <w:p w14:paraId="15F47A5B" w14:textId="139B8C9D" w:rsidR="00905835" w:rsidRDefault="00803ED4">
          <w:pPr>
            <w:pStyle w:val="TDC2"/>
            <w:rPr>
              <w:rFonts w:asciiTheme="minorHAnsi" w:eastAsiaTheme="minorEastAsia" w:hAnsiTheme="minorHAnsi" w:cstheme="minorBidi"/>
              <w:noProof/>
              <w:szCs w:val="22"/>
              <w:lang w:eastAsia="es-MX"/>
            </w:rPr>
          </w:pPr>
          <w:hyperlink w:anchor="_Toc179924355" w:history="1">
            <w:r w:rsidR="00905835" w:rsidRPr="0088255D">
              <w:rPr>
                <w:rStyle w:val="Hipervnculo"/>
                <w:noProof/>
              </w:rPr>
              <w:t>DEL RECURSO DE REVISIÓN</w:t>
            </w:r>
            <w:r w:rsidR="00905835">
              <w:rPr>
                <w:noProof/>
                <w:webHidden/>
              </w:rPr>
              <w:tab/>
            </w:r>
            <w:r w:rsidR="00905835">
              <w:rPr>
                <w:noProof/>
                <w:webHidden/>
              </w:rPr>
              <w:fldChar w:fldCharType="begin"/>
            </w:r>
            <w:r w:rsidR="00905835">
              <w:rPr>
                <w:noProof/>
                <w:webHidden/>
              </w:rPr>
              <w:instrText xml:space="preserve"> PAGEREF _Toc179924355 \h </w:instrText>
            </w:r>
            <w:r w:rsidR="00905835">
              <w:rPr>
                <w:noProof/>
                <w:webHidden/>
              </w:rPr>
            </w:r>
            <w:r w:rsidR="00905835">
              <w:rPr>
                <w:noProof/>
                <w:webHidden/>
              </w:rPr>
              <w:fldChar w:fldCharType="separate"/>
            </w:r>
            <w:r w:rsidR="0032100B">
              <w:rPr>
                <w:noProof/>
                <w:webHidden/>
              </w:rPr>
              <w:t>5</w:t>
            </w:r>
            <w:r w:rsidR="00905835">
              <w:rPr>
                <w:noProof/>
                <w:webHidden/>
              </w:rPr>
              <w:fldChar w:fldCharType="end"/>
            </w:r>
          </w:hyperlink>
        </w:p>
        <w:p w14:paraId="5F06ADDA" w14:textId="1DD0C29E" w:rsidR="00905835" w:rsidRDefault="00803ED4">
          <w:pPr>
            <w:pStyle w:val="TDC3"/>
            <w:rPr>
              <w:rFonts w:asciiTheme="minorHAnsi" w:eastAsiaTheme="minorEastAsia" w:hAnsiTheme="minorHAnsi" w:cstheme="minorBidi"/>
              <w:noProof/>
              <w:szCs w:val="22"/>
              <w:lang w:eastAsia="es-MX"/>
            </w:rPr>
          </w:pPr>
          <w:hyperlink w:anchor="_Toc179924356" w:history="1">
            <w:r w:rsidR="00905835" w:rsidRPr="0088255D">
              <w:rPr>
                <w:rStyle w:val="Hipervnculo"/>
                <w:noProof/>
              </w:rPr>
              <w:t>a) Interposición del Recurso de Revisión</w:t>
            </w:r>
            <w:r w:rsidR="00905835">
              <w:rPr>
                <w:noProof/>
                <w:webHidden/>
              </w:rPr>
              <w:tab/>
            </w:r>
            <w:r w:rsidR="00905835">
              <w:rPr>
                <w:noProof/>
                <w:webHidden/>
              </w:rPr>
              <w:fldChar w:fldCharType="begin"/>
            </w:r>
            <w:r w:rsidR="00905835">
              <w:rPr>
                <w:noProof/>
                <w:webHidden/>
              </w:rPr>
              <w:instrText xml:space="preserve"> PAGEREF _Toc179924356 \h </w:instrText>
            </w:r>
            <w:r w:rsidR="00905835">
              <w:rPr>
                <w:noProof/>
                <w:webHidden/>
              </w:rPr>
            </w:r>
            <w:r w:rsidR="00905835">
              <w:rPr>
                <w:noProof/>
                <w:webHidden/>
              </w:rPr>
              <w:fldChar w:fldCharType="separate"/>
            </w:r>
            <w:r w:rsidR="0032100B">
              <w:rPr>
                <w:noProof/>
                <w:webHidden/>
              </w:rPr>
              <w:t>5</w:t>
            </w:r>
            <w:r w:rsidR="00905835">
              <w:rPr>
                <w:noProof/>
                <w:webHidden/>
              </w:rPr>
              <w:fldChar w:fldCharType="end"/>
            </w:r>
          </w:hyperlink>
        </w:p>
        <w:p w14:paraId="1E487843" w14:textId="77025A55" w:rsidR="00905835" w:rsidRDefault="00803ED4">
          <w:pPr>
            <w:pStyle w:val="TDC3"/>
            <w:rPr>
              <w:rFonts w:asciiTheme="minorHAnsi" w:eastAsiaTheme="minorEastAsia" w:hAnsiTheme="minorHAnsi" w:cstheme="minorBidi"/>
              <w:noProof/>
              <w:szCs w:val="22"/>
              <w:lang w:eastAsia="es-MX"/>
            </w:rPr>
          </w:pPr>
          <w:hyperlink w:anchor="_Toc179924357" w:history="1">
            <w:r w:rsidR="00905835" w:rsidRPr="0088255D">
              <w:rPr>
                <w:rStyle w:val="Hipervnculo"/>
                <w:noProof/>
              </w:rPr>
              <w:t>b) Turno del Recurso de Revisión</w:t>
            </w:r>
            <w:r w:rsidR="00905835">
              <w:rPr>
                <w:noProof/>
                <w:webHidden/>
              </w:rPr>
              <w:tab/>
            </w:r>
            <w:r w:rsidR="00905835">
              <w:rPr>
                <w:noProof/>
                <w:webHidden/>
              </w:rPr>
              <w:fldChar w:fldCharType="begin"/>
            </w:r>
            <w:r w:rsidR="00905835">
              <w:rPr>
                <w:noProof/>
                <w:webHidden/>
              </w:rPr>
              <w:instrText xml:space="preserve"> PAGEREF _Toc179924357 \h </w:instrText>
            </w:r>
            <w:r w:rsidR="00905835">
              <w:rPr>
                <w:noProof/>
                <w:webHidden/>
              </w:rPr>
            </w:r>
            <w:r w:rsidR="00905835">
              <w:rPr>
                <w:noProof/>
                <w:webHidden/>
              </w:rPr>
              <w:fldChar w:fldCharType="separate"/>
            </w:r>
            <w:r w:rsidR="0032100B">
              <w:rPr>
                <w:noProof/>
                <w:webHidden/>
              </w:rPr>
              <w:t>7</w:t>
            </w:r>
            <w:r w:rsidR="00905835">
              <w:rPr>
                <w:noProof/>
                <w:webHidden/>
              </w:rPr>
              <w:fldChar w:fldCharType="end"/>
            </w:r>
          </w:hyperlink>
        </w:p>
        <w:p w14:paraId="5D3A63AD" w14:textId="00E3F33A" w:rsidR="00905835" w:rsidRDefault="00803ED4">
          <w:pPr>
            <w:pStyle w:val="TDC3"/>
            <w:rPr>
              <w:rFonts w:asciiTheme="minorHAnsi" w:eastAsiaTheme="minorEastAsia" w:hAnsiTheme="minorHAnsi" w:cstheme="minorBidi"/>
              <w:noProof/>
              <w:szCs w:val="22"/>
              <w:lang w:eastAsia="es-MX"/>
            </w:rPr>
          </w:pPr>
          <w:hyperlink w:anchor="_Toc179924358" w:history="1">
            <w:r w:rsidR="00905835" w:rsidRPr="0088255D">
              <w:rPr>
                <w:rStyle w:val="Hipervnculo"/>
                <w:noProof/>
              </w:rPr>
              <w:t>c) Admisión del Recurso de Revisión</w:t>
            </w:r>
            <w:r w:rsidR="00905835">
              <w:rPr>
                <w:noProof/>
                <w:webHidden/>
              </w:rPr>
              <w:tab/>
            </w:r>
            <w:r w:rsidR="00905835">
              <w:rPr>
                <w:noProof/>
                <w:webHidden/>
              </w:rPr>
              <w:fldChar w:fldCharType="begin"/>
            </w:r>
            <w:r w:rsidR="00905835">
              <w:rPr>
                <w:noProof/>
                <w:webHidden/>
              </w:rPr>
              <w:instrText xml:space="preserve"> PAGEREF _Toc179924358 \h </w:instrText>
            </w:r>
            <w:r w:rsidR="00905835">
              <w:rPr>
                <w:noProof/>
                <w:webHidden/>
              </w:rPr>
            </w:r>
            <w:r w:rsidR="00905835">
              <w:rPr>
                <w:noProof/>
                <w:webHidden/>
              </w:rPr>
              <w:fldChar w:fldCharType="separate"/>
            </w:r>
            <w:r w:rsidR="0032100B">
              <w:rPr>
                <w:noProof/>
                <w:webHidden/>
              </w:rPr>
              <w:t>8</w:t>
            </w:r>
            <w:r w:rsidR="00905835">
              <w:rPr>
                <w:noProof/>
                <w:webHidden/>
              </w:rPr>
              <w:fldChar w:fldCharType="end"/>
            </w:r>
          </w:hyperlink>
        </w:p>
        <w:p w14:paraId="240ECCAD" w14:textId="45160EF2" w:rsidR="00905835" w:rsidRDefault="00803ED4">
          <w:pPr>
            <w:pStyle w:val="TDC3"/>
            <w:rPr>
              <w:rFonts w:asciiTheme="minorHAnsi" w:eastAsiaTheme="minorEastAsia" w:hAnsiTheme="minorHAnsi" w:cstheme="minorBidi"/>
              <w:noProof/>
              <w:szCs w:val="22"/>
              <w:lang w:eastAsia="es-MX"/>
            </w:rPr>
          </w:pPr>
          <w:hyperlink w:anchor="_Toc179924359" w:history="1">
            <w:r w:rsidR="00905835" w:rsidRPr="0088255D">
              <w:rPr>
                <w:rStyle w:val="Hipervnculo"/>
                <w:noProof/>
              </w:rPr>
              <w:t>d) Informe Justificado del Sujeto Obligado</w:t>
            </w:r>
            <w:r w:rsidR="00905835">
              <w:rPr>
                <w:noProof/>
                <w:webHidden/>
              </w:rPr>
              <w:tab/>
            </w:r>
            <w:r w:rsidR="00905835">
              <w:rPr>
                <w:noProof/>
                <w:webHidden/>
              </w:rPr>
              <w:fldChar w:fldCharType="begin"/>
            </w:r>
            <w:r w:rsidR="00905835">
              <w:rPr>
                <w:noProof/>
                <w:webHidden/>
              </w:rPr>
              <w:instrText xml:space="preserve"> PAGEREF _Toc179924359 \h </w:instrText>
            </w:r>
            <w:r w:rsidR="00905835">
              <w:rPr>
                <w:noProof/>
                <w:webHidden/>
              </w:rPr>
            </w:r>
            <w:r w:rsidR="00905835">
              <w:rPr>
                <w:noProof/>
                <w:webHidden/>
              </w:rPr>
              <w:fldChar w:fldCharType="separate"/>
            </w:r>
            <w:r w:rsidR="0032100B">
              <w:rPr>
                <w:noProof/>
                <w:webHidden/>
              </w:rPr>
              <w:t>8</w:t>
            </w:r>
            <w:r w:rsidR="00905835">
              <w:rPr>
                <w:noProof/>
                <w:webHidden/>
              </w:rPr>
              <w:fldChar w:fldCharType="end"/>
            </w:r>
          </w:hyperlink>
        </w:p>
        <w:p w14:paraId="66CEC0BE" w14:textId="1A3F4F19" w:rsidR="00905835" w:rsidRDefault="00803ED4">
          <w:pPr>
            <w:pStyle w:val="TDC3"/>
            <w:rPr>
              <w:rFonts w:asciiTheme="minorHAnsi" w:eastAsiaTheme="minorEastAsia" w:hAnsiTheme="minorHAnsi" w:cstheme="minorBidi"/>
              <w:noProof/>
              <w:szCs w:val="22"/>
              <w:lang w:eastAsia="es-MX"/>
            </w:rPr>
          </w:pPr>
          <w:hyperlink w:anchor="_Toc179924360" w:history="1">
            <w:r w:rsidR="00905835" w:rsidRPr="0088255D">
              <w:rPr>
                <w:rStyle w:val="Hipervnculo"/>
                <w:rFonts w:eastAsia="Calibri"/>
                <w:bCs/>
                <w:noProof/>
                <w:lang w:eastAsia="en-US"/>
              </w:rPr>
              <w:t>e)</w:t>
            </w:r>
            <w:r w:rsidR="00905835" w:rsidRPr="0088255D">
              <w:rPr>
                <w:rStyle w:val="Hipervnculo"/>
                <w:noProof/>
              </w:rPr>
              <w:t xml:space="preserve"> </w:t>
            </w:r>
            <w:r w:rsidR="00905835" w:rsidRPr="0088255D">
              <w:rPr>
                <w:rStyle w:val="Hipervnculo"/>
                <w:noProof/>
                <w:lang w:val="es-ES"/>
              </w:rPr>
              <w:t>Manifestaciones de la Parte Recurrente</w:t>
            </w:r>
            <w:r w:rsidR="00905835">
              <w:rPr>
                <w:noProof/>
                <w:webHidden/>
              </w:rPr>
              <w:tab/>
            </w:r>
            <w:r w:rsidR="00905835">
              <w:rPr>
                <w:noProof/>
                <w:webHidden/>
              </w:rPr>
              <w:fldChar w:fldCharType="begin"/>
            </w:r>
            <w:r w:rsidR="00905835">
              <w:rPr>
                <w:noProof/>
                <w:webHidden/>
              </w:rPr>
              <w:instrText xml:space="preserve"> PAGEREF _Toc179924360 \h </w:instrText>
            </w:r>
            <w:r w:rsidR="00905835">
              <w:rPr>
                <w:noProof/>
                <w:webHidden/>
              </w:rPr>
            </w:r>
            <w:r w:rsidR="00905835">
              <w:rPr>
                <w:noProof/>
                <w:webHidden/>
              </w:rPr>
              <w:fldChar w:fldCharType="separate"/>
            </w:r>
            <w:r w:rsidR="0032100B">
              <w:rPr>
                <w:noProof/>
                <w:webHidden/>
              </w:rPr>
              <w:t>9</w:t>
            </w:r>
            <w:r w:rsidR="00905835">
              <w:rPr>
                <w:noProof/>
                <w:webHidden/>
              </w:rPr>
              <w:fldChar w:fldCharType="end"/>
            </w:r>
          </w:hyperlink>
        </w:p>
        <w:p w14:paraId="24C52632" w14:textId="3C6627F5" w:rsidR="00905835" w:rsidRDefault="00803ED4">
          <w:pPr>
            <w:pStyle w:val="TDC3"/>
            <w:rPr>
              <w:rFonts w:asciiTheme="minorHAnsi" w:eastAsiaTheme="minorEastAsia" w:hAnsiTheme="minorHAnsi" w:cstheme="minorBidi"/>
              <w:noProof/>
              <w:szCs w:val="22"/>
              <w:lang w:eastAsia="es-MX"/>
            </w:rPr>
          </w:pPr>
          <w:hyperlink w:anchor="_Toc179924361" w:history="1">
            <w:r w:rsidR="00905835" w:rsidRPr="0088255D">
              <w:rPr>
                <w:rStyle w:val="Hipervnculo"/>
                <w:rFonts w:eastAsia="Calibri"/>
                <w:noProof/>
              </w:rPr>
              <w:t xml:space="preserve">f) </w:t>
            </w:r>
            <w:r w:rsidR="00905835" w:rsidRPr="0088255D">
              <w:rPr>
                <w:rStyle w:val="Hipervnculo"/>
                <w:noProof/>
              </w:rPr>
              <w:t>Cierre de instrucción</w:t>
            </w:r>
            <w:r w:rsidR="00905835">
              <w:rPr>
                <w:noProof/>
                <w:webHidden/>
              </w:rPr>
              <w:tab/>
            </w:r>
            <w:r w:rsidR="00905835">
              <w:rPr>
                <w:noProof/>
                <w:webHidden/>
              </w:rPr>
              <w:fldChar w:fldCharType="begin"/>
            </w:r>
            <w:r w:rsidR="00905835">
              <w:rPr>
                <w:noProof/>
                <w:webHidden/>
              </w:rPr>
              <w:instrText xml:space="preserve"> PAGEREF _Toc179924361 \h </w:instrText>
            </w:r>
            <w:r w:rsidR="00905835">
              <w:rPr>
                <w:noProof/>
                <w:webHidden/>
              </w:rPr>
            </w:r>
            <w:r w:rsidR="00905835">
              <w:rPr>
                <w:noProof/>
                <w:webHidden/>
              </w:rPr>
              <w:fldChar w:fldCharType="separate"/>
            </w:r>
            <w:r w:rsidR="0032100B">
              <w:rPr>
                <w:noProof/>
                <w:webHidden/>
              </w:rPr>
              <w:t>12</w:t>
            </w:r>
            <w:r w:rsidR="00905835">
              <w:rPr>
                <w:noProof/>
                <w:webHidden/>
              </w:rPr>
              <w:fldChar w:fldCharType="end"/>
            </w:r>
          </w:hyperlink>
        </w:p>
        <w:p w14:paraId="3A571897" w14:textId="62C53490" w:rsidR="00905835" w:rsidRDefault="00803ED4">
          <w:pPr>
            <w:pStyle w:val="TDC1"/>
            <w:tabs>
              <w:tab w:val="right" w:leader="dot" w:pos="9034"/>
            </w:tabs>
            <w:rPr>
              <w:rFonts w:asciiTheme="minorHAnsi" w:eastAsiaTheme="minorEastAsia" w:hAnsiTheme="minorHAnsi" w:cstheme="minorBidi"/>
              <w:noProof/>
              <w:szCs w:val="22"/>
              <w:lang w:eastAsia="es-MX"/>
            </w:rPr>
          </w:pPr>
          <w:hyperlink w:anchor="_Toc179924362" w:history="1">
            <w:r w:rsidR="00905835" w:rsidRPr="0088255D">
              <w:rPr>
                <w:rStyle w:val="Hipervnculo"/>
                <w:rFonts w:eastAsiaTheme="minorHAnsi"/>
                <w:noProof/>
                <w:lang w:eastAsia="en-US"/>
              </w:rPr>
              <w:t>CONSIDERANDOS</w:t>
            </w:r>
            <w:r w:rsidR="00905835">
              <w:rPr>
                <w:noProof/>
                <w:webHidden/>
              </w:rPr>
              <w:tab/>
            </w:r>
            <w:r w:rsidR="00905835">
              <w:rPr>
                <w:noProof/>
                <w:webHidden/>
              </w:rPr>
              <w:fldChar w:fldCharType="begin"/>
            </w:r>
            <w:r w:rsidR="00905835">
              <w:rPr>
                <w:noProof/>
                <w:webHidden/>
              </w:rPr>
              <w:instrText xml:space="preserve"> PAGEREF _Toc179924362 \h </w:instrText>
            </w:r>
            <w:r w:rsidR="00905835">
              <w:rPr>
                <w:noProof/>
                <w:webHidden/>
              </w:rPr>
            </w:r>
            <w:r w:rsidR="00905835">
              <w:rPr>
                <w:noProof/>
                <w:webHidden/>
              </w:rPr>
              <w:fldChar w:fldCharType="separate"/>
            </w:r>
            <w:r w:rsidR="0032100B">
              <w:rPr>
                <w:noProof/>
                <w:webHidden/>
              </w:rPr>
              <w:t>13</w:t>
            </w:r>
            <w:r w:rsidR="00905835">
              <w:rPr>
                <w:noProof/>
                <w:webHidden/>
              </w:rPr>
              <w:fldChar w:fldCharType="end"/>
            </w:r>
          </w:hyperlink>
        </w:p>
        <w:p w14:paraId="3A573D2F" w14:textId="2C161B52" w:rsidR="00905835" w:rsidRDefault="00803ED4">
          <w:pPr>
            <w:pStyle w:val="TDC2"/>
            <w:rPr>
              <w:rFonts w:asciiTheme="minorHAnsi" w:eastAsiaTheme="minorEastAsia" w:hAnsiTheme="minorHAnsi" w:cstheme="minorBidi"/>
              <w:noProof/>
              <w:szCs w:val="22"/>
              <w:lang w:eastAsia="es-MX"/>
            </w:rPr>
          </w:pPr>
          <w:hyperlink w:anchor="_Toc179924363" w:history="1">
            <w:r w:rsidR="00905835" w:rsidRPr="0088255D">
              <w:rPr>
                <w:rStyle w:val="Hipervnculo"/>
                <w:rFonts w:eastAsia="Batang"/>
                <w:noProof/>
              </w:rPr>
              <w:t>PRIMERO. Procedibilidad</w:t>
            </w:r>
            <w:r w:rsidR="00905835">
              <w:rPr>
                <w:noProof/>
                <w:webHidden/>
              </w:rPr>
              <w:tab/>
            </w:r>
            <w:r w:rsidR="00905835">
              <w:rPr>
                <w:noProof/>
                <w:webHidden/>
              </w:rPr>
              <w:fldChar w:fldCharType="begin"/>
            </w:r>
            <w:r w:rsidR="00905835">
              <w:rPr>
                <w:noProof/>
                <w:webHidden/>
              </w:rPr>
              <w:instrText xml:space="preserve"> PAGEREF _Toc179924363 \h </w:instrText>
            </w:r>
            <w:r w:rsidR="00905835">
              <w:rPr>
                <w:noProof/>
                <w:webHidden/>
              </w:rPr>
            </w:r>
            <w:r w:rsidR="00905835">
              <w:rPr>
                <w:noProof/>
                <w:webHidden/>
              </w:rPr>
              <w:fldChar w:fldCharType="separate"/>
            </w:r>
            <w:r w:rsidR="0032100B">
              <w:rPr>
                <w:noProof/>
                <w:webHidden/>
              </w:rPr>
              <w:t>13</w:t>
            </w:r>
            <w:r w:rsidR="00905835">
              <w:rPr>
                <w:noProof/>
                <w:webHidden/>
              </w:rPr>
              <w:fldChar w:fldCharType="end"/>
            </w:r>
          </w:hyperlink>
        </w:p>
        <w:p w14:paraId="3FD3163B" w14:textId="35E9C037" w:rsidR="00905835" w:rsidRDefault="00803ED4">
          <w:pPr>
            <w:pStyle w:val="TDC3"/>
            <w:rPr>
              <w:rFonts w:asciiTheme="minorHAnsi" w:eastAsiaTheme="minorEastAsia" w:hAnsiTheme="minorHAnsi" w:cstheme="minorBidi"/>
              <w:noProof/>
              <w:szCs w:val="22"/>
              <w:lang w:eastAsia="es-MX"/>
            </w:rPr>
          </w:pPr>
          <w:hyperlink w:anchor="_Toc179924364" w:history="1">
            <w:r w:rsidR="00905835" w:rsidRPr="0088255D">
              <w:rPr>
                <w:rStyle w:val="Hipervnculo"/>
                <w:noProof/>
              </w:rPr>
              <w:t>a) Competencia del Instituto</w:t>
            </w:r>
            <w:r w:rsidR="00905835">
              <w:rPr>
                <w:noProof/>
                <w:webHidden/>
              </w:rPr>
              <w:tab/>
            </w:r>
            <w:r w:rsidR="00905835">
              <w:rPr>
                <w:noProof/>
                <w:webHidden/>
              </w:rPr>
              <w:fldChar w:fldCharType="begin"/>
            </w:r>
            <w:r w:rsidR="00905835">
              <w:rPr>
                <w:noProof/>
                <w:webHidden/>
              </w:rPr>
              <w:instrText xml:space="preserve"> PAGEREF _Toc179924364 \h </w:instrText>
            </w:r>
            <w:r w:rsidR="00905835">
              <w:rPr>
                <w:noProof/>
                <w:webHidden/>
              </w:rPr>
            </w:r>
            <w:r w:rsidR="00905835">
              <w:rPr>
                <w:noProof/>
                <w:webHidden/>
              </w:rPr>
              <w:fldChar w:fldCharType="separate"/>
            </w:r>
            <w:r w:rsidR="0032100B">
              <w:rPr>
                <w:noProof/>
                <w:webHidden/>
              </w:rPr>
              <w:t>13</w:t>
            </w:r>
            <w:r w:rsidR="00905835">
              <w:rPr>
                <w:noProof/>
                <w:webHidden/>
              </w:rPr>
              <w:fldChar w:fldCharType="end"/>
            </w:r>
          </w:hyperlink>
        </w:p>
        <w:p w14:paraId="2008AD54" w14:textId="10207D86" w:rsidR="00905835" w:rsidRDefault="00803ED4">
          <w:pPr>
            <w:pStyle w:val="TDC3"/>
            <w:rPr>
              <w:rFonts w:asciiTheme="minorHAnsi" w:eastAsiaTheme="minorEastAsia" w:hAnsiTheme="minorHAnsi" w:cstheme="minorBidi"/>
              <w:noProof/>
              <w:szCs w:val="22"/>
              <w:lang w:eastAsia="es-MX"/>
            </w:rPr>
          </w:pPr>
          <w:hyperlink w:anchor="_Toc179924365" w:history="1">
            <w:r w:rsidR="00905835" w:rsidRPr="0088255D">
              <w:rPr>
                <w:rStyle w:val="Hipervnculo"/>
                <w:noProof/>
              </w:rPr>
              <w:t>b) Legitimidad de la parte recurrente</w:t>
            </w:r>
            <w:r w:rsidR="00905835">
              <w:rPr>
                <w:noProof/>
                <w:webHidden/>
              </w:rPr>
              <w:tab/>
            </w:r>
            <w:r w:rsidR="00905835">
              <w:rPr>
                <w:noProof/>
                <w:webHidden/>
              </w:rPr>
              <w:fldChar w:fldCharType="begin"/>
            </w:r>
            <w:r w:rsidR="00905835">
              <w:rPr>
                <w:noProof/>
                <w:webHidden/>
              </w:rPr>
              <w:instrText xml:space="preserve"> PAGEREF _Toc179924365 \h </w:instrText>
            </w:r>
            <w:r w:rsidR="00905835">
              <w:rPr>
                <w:noProof/>
                <w:webHidden/>
              </w:rPr>
            </w:r>
            <w:r w:rsidR="00905835">
              <w:rPr>
                <w:noProof/>
                <w:webHidden/>
              </w:rPr>
              <w:fldChar w:fldCharType="separate"/>
            </w:r>
            <w:r w:rsidR="0032100B">
              <w:rPr>
                <w:noProof/>
                <w:webHidden/>
              </w:rPr>
              <w:t>13</w:t>
            </w:r>
            <w:r w:rsidR="00905835">
              <w:rPr>
                <w:noProof/>
                <w:webHidden/>
              </w:rPr>
              <w:fldChar w:fldCharType="end"/>
            </w:r>
          </w:hyperlink>
        </w:p>
        <w:p w14:paraId="07EE2578" w14:textId="228077A9" w:rsidR="00905835" w:rsidRDefault="00803ED4">
          <w:pPr>
            <w:pStyle w:val="TDC3"/>
            <w:rPr>
              <w:rFonts w:asciiTheme="minorHAnsi" w:eastAsiaTheme="minorEastAsia" w:hAnsiTheme="minorHAnsi" w:cstheme="minorBidi"/>
              <w:noProof/>
              <w:szCs w:val="22"/>
              <w:lang w:eastAsia="es-MX"/>
            </w:rPr>
          </w:pPr>
          <w:hyperlink w:anchor="_Toc179924366" w:history="1">
            <w:r w:rsidR="00905835" w:rsidRPr="0088255D">
              <w:rPr>
                <w:rStyle w:val="Hipervnculo"/>
                <w:rFonts w:eastAsia="Calibri"/>
                <w:noProof/>
                <w:lang w:eastAsia="es-ES_tradnl"/>
              </w:rPr>
              <w:t>c) Plazo para interponer el recurso</w:t>
            </w:r>
            <w:r w:rsidR="00905835">
              <w:rPr>
                <w:noProof/>
                <w:webHidden/>
              </w:rPr>
              <w:tab/>
            </w:r>
            <w:r w:rsidR="00905835">
              <w:rPr>
                <w:noProof/>
                <w:webHidden/>
              </w:rPr>
              <w:fldChar w:fldCharType="begin"/>
            </w:r>
            <w:r w:rsidR="00905835">
              <w:rPr>
                <w:noProof/>
                <w:webHidden/>
              </w:rPr>
              <w:instrText xml:space="preserve"> PAGEREF _Toc179924366 \h </w:instrText>
            </w:r>
            <w:r w:rsidR="00905835">
              <w:rPr>
                <w:noProof/>
                <w:webHidden/>
              </w:rPr>
            </w:r>
            <w:r w:rsidR="00905835">
              <w:rPr>
                <w:noProof/>
                <w:webHidden/>
              </w:rPr>
              <w:fldChar w:fldCharType="separate"/>
            </w:r>
            <w:r w:rsidR="0032100B">
              <w:rPr>
                <w:noProof/>
                <w:webHidden/>
              </w:rPr>
              <w:t>14</w:t>
            </w:r>
            <w:r w:rsidR="00905835">
              <w:rPr>
                <w:noProof/>
                <w:webHidden/>
              </w:rPr>
              <w:fldChar w:fldCharType="end"/>
            </w:r>
          </w:hyperlink>
        </w:p>
        <w:p w14:paraId="562017AD" w14:textId="54465A55" w:rsidR="00905835" w:rsidRDefault="00803ED4">
          <w:pPr>
            <w:pStyle w:val="TDC3"/>
            <w:rPr>
              <w:rFonts w:asciiTheme="minorHAnsi" w:eastAsiaTheme="minorEastAsia" w:hAnsiTheme="minorHAnsi" w:cstheme="minorBidi"/>
              <w:noProof/>
              <w:szCs w:val="22"/>
              <w:lang w:eastAsia="es-MX"/>
            </w:rPr>
          </w:pPr>
          <w:hyperlink w:anchor="_Toc179924367" w:history="1">
            <w:r w:rsidR="00905835" w:rsidRPr="0088255D">
              <w:rPr>
                <w:rStyle w:val="Hipervnculo"/>
                <w:rFonts w:eastAsia="Calibri"/>
                <w:noProof/>
                <w:lang w:eastAsia="es-ES_tradnl"/>
              </w:rPr>
              <w:t>d) Causal de Procedencia</w:t>
            </w:r>
            <w:r w:rsidR="00905835">
              <w:rPr>
                <w:noProof/>
                <w:webHidden/>
              </w:rPr>
              <w:tab/>
            </w:r>
            <w:r w:rsidR="00905835">
              <w:rPr>
                <w:noProof/>
                <w:webHidden/>
              </w:rPr>
              <w:fldChar w:fldCharType="begin"/>
            </w:r>
            <w:r w:rsidR="00905835">
              <w:rPr>
                <w:noProof/>
                <w:webHidden/>
              </w:rPr>
              <w:instrText xml:space="preserve"> PAGEREF _Toc179924367 \h </w:instrText>
            </w:r>
            <w:r w:rsidR="00905835">
              <w:rPr>
                <w:noProof/>
                <w:webHidden/>
              </w:rPr>
            </w:r>
            <w:r w:rsidR="00905835">
              <w:rPr>
                <w:noProof/>
                <w:webHidden/>
              </w:rPr>
              <w:fldChar w:fldCharType="separate"/>
            </w:r>
            <w:r w:rsidR="0032100B">
              <w:rPr>
                <w:noProof/>
                <w:webHidden/>
              </w:rPr>
              <w:t>14</w:t>
            </w:r>
            <w:r w:rsidR="00905835">
              <w:rPr>
                <w:noProof/>
                <w:webHidden/>
              </w:rPr>
              <w:fldChar w:fldCharType="end"/>
            </w:r>
          </w:hyperlink>
        </w:p>
        <w:p w14:paraId="283932B2" w14:textId="120E21AB" w:rsidR="00905835" w:rsidRDefault="00803ED4">
          <w:pPr>
            <w:pStyle w:val="TDC3"/>
            <w:rPr>
              <w:rFonts w:asciiTheme="minorHAnsi" w:eastAsiaTheme="minorEastAsia" w:hAnsiTheme="minorHAnsi" w:cstheme="minorBidi"/>
              <w:noProof/>
              <w:szCs w:val="22"/>
              <w:lang w:eastAsia="es-MX"/>
            </w:rPr>
          </w:pPr>
          <w:hyperlink w:anchor="_Toc179924368" w:history="1">
            <w:r w:rsidR="00905835" w:rsidRPr="0088255D">
              <w:rPr>
                <w:rStyle w:val="Hipervnculo"/>
                <w:noProof/>
              </w:rPr>
              <w:t>e) Requisitos formales para la interposición del recurso</w:t>
            </w:r>
            <w:r w:rsidR="00905835">
              <w:rPr>
                <w:noProof/>
                <w:webHidden/>
              </w:rPr>
              <w:tab/>
            </w:r>
            <w:r w:rsidR="00905835">
              <w:rPr>
                <w:noProof/>
                <w:webHidden/>
              </w:rPr>
              <w:fldChar w:fldCharType="begin"/>
            </w:r>
            <w:r w:rsidR="00905835">
              <w:rPr>
                <w:noProof/>
                <w:webHidden/>
              </w:rPr>
              <w:instrText xml:space="preserve"> PAGEREF _Toc179924368 \h </w:instrText>
            </w:r>
            <w:r w:rsidR="00905835">
              <w:rPr>
                <w:noProof/>
                <w:webHidden/>
              </w:rPr>
            </w:r>
            <w:r w:rsidR="00905835">
              <w:rPr>
                <w:noProof/>
                <w:webHidden/>
              </w:rPr>
              <w:fldChar w:fldCharType="separate"/>
            </w:r>
            <w:r w:rsidR="0032100B">
              <w:rPr>
                <w:noProof/>
                <w:webHidden/>
              </w:rPr>
              <w:t>14</w:t>
            </w:r>
            <w:r w:rsidR="00905835">
              <w:rPr>
                <w:noProof/>
                <w:webHidden/>
              </w:rPr>
              <w:fldChar w:fldCharType="end"/>
            </w:r>
          </w:hyperlink>
        </w:p>
        <w:p w14:paraId="355AB141" w14:textId="6DB50815" w:rsidR="00905835" w:rsidRDefault="00803ED4">
          <w:pPr>
            <w:pStyle w:val="TDC2"/>
            <w:rPr>
              <w:rFonts w:asciiTheme="minorHAnsi" w:eastAsiaTheme="minorEastAsia" w:hAnsiTheme="minorHAnsi" w:cstheme="minorBidi"/>
              <w:noProof/>
              <w:szCs w:val="22"/>
              <w:lang w:eastAsia="es-MX"/>
            </w:rPr>
          </w:pPr>
          <w:hyperlink w:anchor="_Toc179924369" w:history="1">
            <w:r w:rsidR="00905835" w:rsidRPr="0088255D">
              <w:rPr>
                <w:rStyle w:val="Hipervnculo"/>
                <w:noProof/>
              </w:rPr>
              <w:t>SEGUNDO. Estudio de Fondo</w:t>
            </w:r>
            <w:r w:rsidR="00905835">
              <w:rPr>
                <w:noProof/>
                <w:webHidden/>
              </w:rPr>
              <w:tab/>
            </w:r>
            <w:r w:rsidR="00905835">
              <w:rPr>
                <w:noProof/>
                <w:webHidden/>
              </w:rPr>
              <w:fldChar w:fldCharType="begin"/>
            </w:r>
            <w:r w:rsidR="00905835">
              <w:rPr>
                <w:noProof/>
                <w:webHidden/>
              </w:rPr>
              <w:instrText xml:space="preserve"> PAGEREF _Toc179924369 \h </w:instrText>
            </w:r>
            <w:r w:rsidR="00905835">
              <w:rPr>
                <w:noProof/>
                <w:webHidden/>
              </w:rPr>
            </w:r>
            <w:r w:rsidR="00905835">
              <w:rPr>
                <w:noProof/>
                <w:webHidden/>
              </w:rPr>
              <w:fldChar w:fldCharType="separate"/>
            </w:r>
            <w:r w:rsidR="0032100B">
              <w:rPr>
                <w:noProof/>
                <w:webHidden/>
              </w:rPr>
              <w:t>14</w:t>
            </w:r>
            <w:r w:rsidR="00905835">
              <w:rPr>
                <w:noProof/>
                <w:webHidden/>
              </w:rPr>
              <w:fldChar w:fldCharType="end"/>
            </w:r>
          </w:hyperlink>
        </w:p>
        <w:p w14:paraId="734ED53D" w14:textId="0F45E0DC" w:rsidR="00905835" w:rsidRDefault="00803ED4">
          <w:pPr>
            <w:pStyle w:val="TDC3"/>
            <w:rPr>
              <w:rFonts w:asciiTheme="minorHAnsi" w:eastAsiaTheme="minorEastAsia" w:hAnsiTheme="minorHAnsi" w:cstheme="minorBidi"/>
              <w:noProof/>
              <w:szCs w:val="22"/>
              <w:lang w:eastAsia="es-MX"/>
            </w:rPr>
          </w:pPr>
          <w:hyperlink w:anchor="_Toc179924370" w:history="1">
            <w:r w:rsidR="00905835" w:rsidRPr="0088255D">
              <w:rPr>
                <w:rStyle w:val="Hipervnculo"/>
                <w:noProof/>
              </w:rPr>
              <w:t>a) Mandato de transparencia y responsabilidad del Sujeto Obligado</w:t>
            </w:r>
            <w:r w:rsidR="00905835">
              <w:rPr>
                <w:noProof/>
                <w:webHidden/>
              </w:rPr>
              <w:tab/>
            </w:r>
            <w:r w:rsidR="00905835">
              <w:rPr>
                <w:noProof/>
                <w:webHidden/>
              </w:rPr>
              <w:fldChar w:fldCharType="begin"/>
            </w:r>
            <w:r w:rsidR="00905835">
              <w:rPr>
                <w:noProof/>
                <w:webHidden/>
              </w:rPr>
              <w:instrText xml:space="preserve"> PAGEREF _Toc179924370 \h </w:instrText>
            </w:r>
            <w:r w:rsidR="00905835">
              <w:rPr>
                <w:noProof/>
                <w:webHidden/>
              </w:rPr>
            </w:r>
            <w:r w:rsidR="00905835">
              <w:rPr>
                <w:noProof/>
                <w:webHidden/>
              </w:rPr>
              <w:fldChar w:fldCharType="separate"/>
            </w:r>
            <w:r w:rsidR="0032100B">
              <w:rPr>
                <w:noProof/>
                <w:webHidden/>
              </w:rPr>
              <w:t>14</w:t>
            </w:r>
            <w:r w:rsidR="00905835">
              <w:rPr>
                <w:noProof/>
                <w:webHidden/>
              </w:rPr>
              <w:fldChar w:fldCharType="end"/>
            </w:r>
          </w:hyperlink>
        </w:p>
        <w:p w14:paraId="32578211" w14:textId="2B5AA7BE" w:rsidR="00905835" w:rsidRDefault="00803ED4">
          <w:pPr>
            <w:pStyle w:val="TDC3"/>
            <w:rPr>
              <w:rFonts w:asciiTheme="minorHAnsi" w:eastAsiaTheme="minorEastAsia" w:hAnsiTheme="minorHAnsi" w:cstheme="minorBidi"/>
              <w:noProof/>
              <w:szCs w:val="22"/>
              <w:lang w:eastAsia="es-MX"/>
            </w:rPr>
          </w:pPr>
          <w:hyperlink w:anchor="_Toc179924371" w:history="1">
            <w:r w:rsidR="00905835" w:rsidRPr="0088255D">
              <w:rPr>
                <w:rStyle w:val="Hipervnculo"/>
                <w:rFonts w:eastAsia="Calibri"/>
                <w:noProof/>
                <w:lang w:eastAsia="es-ES_tradnl"/>
              </w:rPr>
              <w:t>b) Controversia a resolver</w:t>
            </w:r>
            <w:r w:rsidR="00905835">
              <w:rPr>
                <w:noProof/>
                <w:webHidden/>
              </w:rPr>
              <w:tab/>
            </w:r>
            <w:r w:rsidR="00905835">
              <w:rPr>
                <w:noProof/>
                <w:webHidden/>
              </w:rPr>
              <w:fldChar w:fldCharType="begin"/>
            </w:r>
            <w:r w:rsidR="00905835">
              <w:rPr>
                <w:noProof/>
                <w:webHidden/>
              </w:rPr>
              <w:instrText xml:space="preserve"> PAGEREF _Toc179924371 \h </w:instrText>
            </w:r>
            <w:r w:rsidR="00905835">
              <w:rPr>
                <w:noProof/>
                <w:webHidden/>
              </w:rPr>
            </w:r>
            <w:r w:rsidR="00905835">
              <w:rPr>
                <w:noProof/>
                <w:webHidden/>
              </w:rPr>
              <w:fldChar w:fldCharType="separate"/>
            </w:r>
            <w:r w:rsidR="0032100B">
              <w:rPr>
                <w:noProof/>
                <w:webHidden/>
              </w:rPr>
              <w:t>17</w:t>
            </w:r>
            <w:r w:rsidR="00905835">
              <w:rPr>
                <w:noProof/>
                <w:webHidden/>
              </w:rPr>
              <w:fldChar w:fldCharType="end"/>
            </w:r>
          </w:hyperlink>
        </w:p>
        <w:p w14:paraId="62259838" w14:textId="454B152D" w:rsidR="00905835" w:rsidRDefault="00803ED4">
          <w:pPr>
            <w:pStyle w:val="TDC3"/>
            <w:rPr>
              <w:rFonts w:asciiTheme="minorHAnsi" w:eastAsiaTheme="minorEastAsia" w:hAnsiTheme="minorHAnsi" w:cstheme="minorBidi"/>
              <w:noProof/>
              <w:szCs w:val="22"/>
              <w:lang w:eastAsia="es-MX"/>
            </w:rPr>
          </w:pPr>
          <w:hyperlink w:anchor="_Toc179924372" w:history="1">
            <w:r w:rsidR="00905835" w:rsidRPr="0088255D">
              <w:rPr>
                <w:rStyle w:val="Hipervnculo"/>
                <w:noProof/>
              </w:rPr>
              <w:t>c) Estudio de la controversia</w:t>
            </w:r>
            <w:r w:rsidR="00905835">
              <w:rPr>
                <w:noProof/>
                <w:webHidden/>
              </w:rPr>
              <w:tab/>
            </w:r>
            <w:r w:rsidR="00905835">
              <w:rPr>
                <w:noProof/>
                <w:webHidden/>
              </w:rPr>
              <w:fldChar w:fldCharType="begin"/>
            </w:r>
            <w:r w:rsidR="00905835">
              <w:rPr>
                <w:noProof/>
                <w:webHidden/>
              </w:rPr>
              <w:instrText xml:space="preserve"> PAGEREF _Toc179924372 \h </w:instrText>
            </w:r>
            <w:r w:rsidR="00905835">
              <w:rPr>
                <w:noProof/>
                <w:webHidden/>
              </w:rPr>
            </w:r>
            <w:r w:rsidR="00905835">
              <w:rPr>
                <w:noProof/>
                <w:webHidden/>
              </w:rPr>
              <w:fldChar w:fldCharType="separate"/>
            </w:r>
            <w:r w:rsidR="0032100B">
              <w:rPr>
                <w:noProof/>
                <w:webHidden/>
              </w:rPr>
              <w:t>20</w:t>
            </w:r>
            <w:r w:rsidR="00905835">
              <w:rPr>
                <w:noProof/>
                <w:webHidden/>
              </w:rPr>
              <w:fldChar w:fldCharType="end"/>
            </w:r>
          </w:hyperlink>
        </w:p>
        <w:p w14:paraId="574D9893" w14:textId="6CBA6FBD" w:rsidR="00905835" w:rsidRDefault="00803ED4">
          <w:pPr>
            <w:pStyle w:val="TDC3"/>
            <w:rPr>
              <w:rFonts w:asciiTheme="minorHAnsi" w:eastAsiaTheme="minorEastAsia" w:hAnsiTheme="minorHAnsi" w:cstheme="minorBidi"/>
              <w:noProof/>
              <w:szCs w:val="22"/>
              <w:lang w:eastAsia="es-MX"/>
            </w:rPr>
          </w:pPr>
          <w:hyperlink w:anchor="_Toc179924373" w:history="1">
            <w:r w:rsidR="00905835" w:rsidRPr="0088255D">
              <w:rPr>
                <w:rStyle w:val="Hipervnculo"/>
                <w:noProof/>
              </w:rPr>
              <w:t>d) Conclusión</w:t>
            </w:r>
            <w:r w:rsidR="00905835">
              <w:rPr>
                <w:noProof/>
                <w:webHidden/>
              </w:rPr>
              <w:tab/>
            </w:r>
            <w:r w:rsidR="00905835">
              <w:rPr>
                <w:noProof/>
                <w:webHidden/>
              </w:rPr>
              <w:fldChar w:fldCharType="begin"/>
            </w:r>
            <w:r w:rsidR="00905835">
              <w:rPr>
                <w:noProof/>
                <w:webHidden/>
              </w:rPr>
              <w:instrText xml:space="preserve"> PAGEREF _Toc179924373 \h </w:instrText>
            </w:r>
            <w:r w:rsidR="00905835">
              <w:rPr>
                <w:noProof/>
                <w:webHidden/>
              </w:rPr>
            </w:r>
            <w:r w:rsidR="00905835">
              <w:rPr>
                <w:noProof/>
                <w:webHidden/>
              </w:rPr>
              <w:fldChar w:fldCharType="separate"/>
            </w:r>
            <w:r w:rsidR="0032100B">
              <w:rPr>
                <w:noProof/>
                <w:webHidden/>
              </w:rPr>
              <w:t>24</w:t>
            </w:r>
            <w:r w:rsidR="00905835">
              <w:rPr>
                <w:noProof/>
                <w:webHidden/>
              </w:rPr>
              <w:fldChar w:fldCharType="end"/>
            </w:r>
          </w:hyperlink>
        </w:p>
        <w:p w14:paraId="56E31F62" w14:textId="29AD9F48" w:rsidR="00905835" w:rsidRDefault="00803ED4">
          <w:pPr>
            <w:pStyle w:val="TDC1"/>
            <w:tabs>
              <w:tab w:val="right" w:leader="dot" w:pos="9034"/>
            </w:tabs>
            <w:rPr>
              <w:rFonts w:asciiTheme="minorHAnsi" w:eastAsiaTheme="minorEastAsia" w:hAnsiTheme="minorHAnsi" w:cstheme="minorBidi"/>
              <w:noProof/>
              <w:szCs w:val="22"/>
              <w:lang w:eastAsia="es-MX"/>
            </w:rPr>
          </w:pPr>
          <w:hyperlink w:anchor="_Toc179924374" w:history="1">
            <w:r w:rsidR="00905835" w:rsidRPr="0088255D">
              <w:rPr>
                <w:rStyle w:val="Hipervnculo"/>
                <w:noProof/>
              </w:rPr>
              <w:t>RESUELVE</w:t>
            </w:r>
            <w:r w:rsidR="00905835">
              <w:rPr>
                <w:noProof/>
                <w:webHidden/>
              </w:rPr>
              <w:tab/>
            </w:r>
            <w:r w:rsidR="00905835">
              <w:rPr>
                <w:noProof/>
                <w:webHidden/>
              </w:rPr>
              <w:fldChar w:fldCharType="begin"/>
            </w:r>
            <w:r w:rsidR="00905835">
              <w:rPr>
                <w:noProof/>
                <w:webHidden/>
              </w:rPr>
              <w:instrText xml:space="preserve"> PAGEREF _Toc179924374 \h </w:instrText>
            </w:r>
            <w:r w:rsidR="00905835">
              <w:rPr>
                <w:noProof/>
                <w:webHidden/>
              </w:rPr>
            </w:r>
            <w:r w:rsidR="00905835">
              <w:rPr>
                <w:noProof/>
                <w:webHidden/>
              </w:rPr>
              <w:fldChar w:fldCharType="separate"/>
            </w:r>
            <w:r w:rsidR="0032100B">
              <w:rPr>
                <w:noProof/>
                <w:webHidden/>
              </w:rPr>
              <w:t>24</w:t>
            </w:r>
            <w:r w:rsidR="00905835">
              <w:rPr>
                <w:noProof/>
                <w:webHidden/>
              </w:rPr>
              <w:fldChar w:fldCharType="end"/>
            </w:r>
          </w:hyperlink>
        </w:p>
        <w:p w14:paraId="0C82FD7A" w14:textId="6237E697" w:rsidR="009B2945" w:rsidRPr="007559E5" w:rsidRDefault="00AE3DA7" w:rsidP="00A0449B">
          <w:pPr>
            <w:pStyle w:val="TDC1"/>
            <w:tabs>
              <w:tab w:val="right" w:leader="dot" w:pos="9034"/>
            </w:tabs>
            <w:rPr>
              <w:b/>
              <w:bCs/>
              <w:lang w:val="es-ES"/>
            </w:rPr>
          </w:pPr>
          <w:r w:rsidRPr="007559E5">
            <w:rPr>
              <w:b/>
              <w:bCs/>
              <w:sz w:val="16"/>
              <w:szCs w:val="16"/>
              <w:lang w:val="es-ES"/>
            </w:rPr>
            <w:fldChar w:fldCharType="end"/>
          </w:r>
        </w:p>
      </w:sdtContent>
    </w:sdt>
    <w:p w14:paraId="603A07E2" w14:textId="77777777" w:rsidR="00646436" w:rsidRPr="007559E5" w:rsidRDefault="00646436" w:rsidP="00664420">
      <w:pPr>
        <w:rPr>
          <w:rFonts w:cs="Tahoma"/>
          <w:szCs w:val="22"/>
        </w:rPr>
        <w:sectPr w:rsidR="00646436" w:rsidRPr="007559E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4DC5C2F" w:rsidR="00775BFC" w:rsidRPr="007559E5" w:rsidRDefault="00775BFC" w:rsidP="00775BFC">
      <w:pPr>
        <w:rPr>
          <w:b/>
          <w:szCs w:val="22"/>
        </w:rPr>
      </w:pPr>
      <w:r w:rsidRPr="007559E5">
        <w:rPr>
          <w:szCs w:val="22"/>
        </w:rPr>
        <w:lastRenderedPageBreak/>
        <w:t xml:space="preserve">Resolución del Pleno del Instituto de Transparencia, Acceso a la Información Pública y Protección de Datos Personales del Estado de México y Municipios, con domicilio en Metepec, Estado de México, de </w:t>
      </w:r>
      <w:r w:rsidR="00905835">
        <w:rPr>
          <w:b/>
          <w:szCs w:val="22"/>
        </w:rPr>
        <w:t>dieciséis de octubre</w:t>
      </w:r>
      <w:r w:rsidR="00ED7170" w:rsidRPr="007559E5">
        <w:rPr>
          <w:b/>
          <w:szCs w:val="22"/>
        </w:rPr>
        <w:t xml:space="preserve"> de dos mil veinticuatro.</w:t>
      </w:r>
    </w:p>
    <w:p w14:paraId="0AF3AAC4" w14:textId="77777777" w:rsidR="00775BFC" w:rsidRPr="007559E5" w:rsidRDefault="00775BFC" w:rsidP="00775BFC">
      <w:pPr>
        <w:rPr>
          <w:szCs w:val="22"/>
        </w:rPr>
      </w:pPr>
    </w:p>
    <w:p w14:paraId="40EAE038" w14:textId="78511265" w:rsidR="00775BFC" w:rsidRPr="007559E5" w:rsidRDefault="00775BFC" w:rsidP="00775BFC">
      <w:pPr>
        <w:rPr>
          <w:szCs w:val="22"/>
        </w:rPr>
      </w:pPr>
      <w:r w:rsidRPr="007559E5">
        <w:rPr>
          <w:b/>
          <w:szCs w:val="22"/>
        </w:rPr>
        <w:t xml:space="preserve">VISTO </w:t>
      </w:r>
      <w:r w:rsidRPr="007559E5">
        <w:rPr>
          <w:szCs w:val="22"/>
        </w:rPr>
        <w:t xml:space="preserve">el expediente formado con motivo del Recurso de Revisión </w:t>
      </w:r>
      <w:r w:rsidR="00883EE6" w:rsidRPr="007559E5">
        <w:rPr>
          <w:rFonts w:eastAsia="Calibri"/>
          <w:b/>
          <w:szCs w:val="22"/>
          <w:lang w:eastAsia="en-US"/>
        </w:rPr>
        <w:t>04792/INFOEM/IP/RR/2024</w:t>
      </w:r>
      <w:r w:rsidR="005314A3" w:rsidRPr="007559E5">
        <w:rPr>
          <w:rFonts w:eastAsia="Calibri"/>
          <w:b/>
          <w:szCs w:val="22"/>
          <w:lang w:eastAsia="en-US"/>
        </w:rPr>
        <w:t xml:space="preserve"> </w:t>
      </w:r>
      <w:r w:rsidRPr="007559E5">
        <w:rPr>
          <w:szCs w:val="22"/>
        </w:rPr>
        <w:t xml:space="preserve">interpuesto por </w:t>
      </w:r>
      <w:bookmarkStart w:id="2" w:name="_GoBack"/>
      <w:r w:rsidR="00A34721">
        <w:rPr>
          <w:b/>
          <w:bCs/>
          <w:szCs w:val="22"/>
        </w:rPr>
        <w:t>XXXXXX XXXXXX XXXX</w:t>
      </w:r>
      <w:bookmarkEnd w:id="2"/>
      <w:r w:rsidRPr="007559E5">
        <w:rPr>
          <w:szCs w:val="22"/>
        </w:rPr>
        <w:t xml:space="preserve">, a quien en lo subsecuente se le denominará </w:t>
      </w:r>
      <w:r w:rsidRPr="007559E5">
        <w:rPr>
          <w:b/>
          <w:bCs/>
          <w:szCs w:val="22"/>
        </w:rPr>
        <w:t>LA PARTE RECURRENTE</w:t>
      </w:r>
      <w:r w:rsidRPr="007559E5">
        <w:rPr>
          <w:szCs w:val="22"/>
        </w:rPr>
        <w:t>, en contra de la respuesta emitida por</w:t>
      </w:r>
      <w:r w:rsidR="00A0449B" w:rsidRPr="007559E5">
        <w:rPr>
          <w:szCs w:val="22"/>
        </w:rPr>
        <w:t xml:space="preserve"> </w:t>
      </w:r>
      <w:r w:rsidR="002E2C99" w:rsidRPr="007559E5">
        <w:rPr>
          <w:szCs w:val="22"/>
        </w:rPr>
        <w:t>el</w:t>
      </w:r>
      <w:r w:rsidR="000748DF" w:rsidRPr="007559E5">
        <w:rPr>
          <w:szCs w:val="22"/>
        </w:rPr>
        <w:t xml:space="preserve"> </w:t>
      </w:r>
      <w:r w:rsidR="00883EE6" w:rsidRPr="007559E5">
        <w:rPr>
          <w:b/>
          <w:bCs/>
          <w:szCs w:val="22"/>
        </w:rPr>
        <w:t>Instituto Electoral del Estado de México</w:t>
      </w:r>
      <w:r w:rsidRPr="007559E5">
        <w:rPr>
          <w:szCs w:val="22"/>
        </w:rPr>
        <w:t xml:space="preserve">, en adelante </w:t>
      </w:r>
      <w:r w:rsidRPr="007559E5">
        <w:rPr>
          <w:b/>
          <w:bCs/>
          <w:szCs w:val="22"/>
        </w:rPr>
        <w:t>EL SUJETO OBLIGADO</w:t>
      </w:r>
      <w:r w:rsidRPr="007559E5">
        <w:rPr>
          <w:rFonts w:eastAsia="Calibri"/>
          <w:szCs w:val="22"/>
          <w:lang w:eastAsia="en-US"/>
        </w:rPr>
        <w:t xml:space="preserve">, </w:t>
      </w:r>
      <w:r w:rsidRPr="007559E5">
        <w:rPr>
          <w:szCs w:val="22"/>
        </w:rPr>
        <w:t>se emite la presente Resolución con base en los Antecedentes y Considerandos que se exponen a continuación:</w:t>
      </w:r>
    </w:p>
    <w:p w14:paraId="2116968C" w14:textId="77777777" w:rsidR="00775BFC" w:rsidRPr="007559E5" w:rsidRDefault="00775BFC" w:rsidP="00775BFC">
      <w:pPr>
        <w:rPr>
          <w:szCs w:val="22"/>
        </w:rPr>
      </w:pPr>
    </w:p>
    <w:p w14:paraId="5A444FB6" w14:textId="639D3567" w:rsidR="00664420" w:rsidRPr="007559E5" w:rsidRDefault="00664420" w:rsidP="00664420">
      <w:pPr>
        <w:pStyle w:val="Ttulo1"/>
        <w:rPr>
          <w:szCs w:val="22"/>
        </w:rPr>
      </w:pPr>
      <w:bookmarkStart w:id="3" w:name="_Toc179924349"/>
      <w:r w:rsidRPr="007559E5">
        <w:rPr>
          <w:szCs w:val="22"/>
        </w:rPr>
        <w:t>ANTECEDENTES</w:t>
      </w:r>
      <w:bookmarkEnd w:id="3"/>
    </w:p>
    <w:p w14:paraId="7CE9E53D" w14:textId="77777777" w:rsidR="00E37A3F" w:rsidRPr="007559E5" w:rsidRDefault="00E37A3F" w:rsidP="00E37A3F">
      <w:pPr>
        <w:rPr>
          <w:szCs w:val="22"/>
        </w:rPr>
      </w:pPr>
    </w:p>
    <w:p w14:paraId="09B2D38F" w14:textId="6E49D146" w:rsidR="00664420" w:rsidRPr="007559E5" w:rsidRDefault="00E37A3F" w:rsidP="00C80B14">
      <w:pPr>
        <w:pStyle w:val="Ttulo2"/>
        <w:rPr>
          <w:szCs w:val="22"/>
        </w:rPr>
      </w:pPr>
      <w:bookmarkStart w:id="4" w:name="_Toc179924350"/>
      <w:r w:rsidRPr="007559E5">
        <w:rPr>
          <w:szCs w:val="22"/>
        </w:rPr>
        <w:t>DE LA SOLICITUD DE INFORMACIÓN</w:t>
      </w:r>
      <w:bookmarkEnd w:id="4"/>
    </w:p>
    <w:p w14:paraId="7B7535DF" w14:textId="77777777" w:rsidR="00E37A3F" w:rsidRPr="007559E5" w:rsidRDefault="00E37A3F" w:rsidP="00E37A3F">
      <w:pPr>
        <w:rPr>
          <w:szCs w:val="22"/>
        </w:rPr>
      </w:pPr>
    </w:p>
    <w:p w14:paraId="2C6AD1A5" w14:textId="0405B3CD" w:rsidR="00664420" w:rsidRPr="007559E5" w:rsidRDefault="00E37A3F" w:rsidP="00E37A3F">
      <w:pPr>
        <w:pStyle w:val="Ttulo3"/>
        <w:rPr>
          <w:szCs w:val="22"/>
        </w:rPr>
      </w:pPr>
      <w:bookmarkStart w:id="5" w:name="_Toc179924351"/>
      <w:r w:rsidRPr="007559E5">
        <w:rPr>
          <w:szCs w:val="22"/>
        </w:rPr>
        <w:t xml:space="preserve">a) </w:t>
      </w:r>
      <w:r w:rsidR="006B10B0" w:rsidRPr="007559E5">
        <w:rPr>
          <w:szCs w:val="22"/>
        </w:rPr>
        <w:t>S</w:t>
      </w:r>
      <w:r w:rsidR="00664420" w:rsidRPr="007559E5">
        <w:rPr>
          <w:szCs w:val="22"/>
        </w:rPr>
        <w:t xml:space="preserve">olicitud de </w:t>
      </w:r>
      <w:r w:rsidR="006B10B0" w:rsidRPr="007559E5">
        <w:rPr>
          <w:szCs w:val="22"/>
        </w:rPr>
        <w:t>i</w:t>
      </w:r>
      <w:r w:rsidR="00664420" w:rsidRPr="007559E5">
        <w:rPr>
          <w:szCs w:val="22"/>
        </w:rPr>
        <w:t>nformación</w:t>
      </w:r>
      <w:bookmarkEnd w:id="5"/>
    </w:p>
    <w:p w14:paraId="63FC8527" w14:textId="704DF861" w:rsidR="006A28B4" w:rsidRPr="007559E5" w:rsidRDefault="006A28B4" w:rsidP="006A28B4">
      <w:pPr>
        <w:pBdr>
          <w:top w:val="nil"/>
          <w:left w:val="nil"/>
          <w:bottom w:val="nil"/>
          <w:right w:val="nil"/>
          <w:between w:val="nil"/>
        </w:pBdr>
        <w:tabs>
          <w:tab w:val="left" w:pos="0"/>
        </w:tabs>
        <w:rPr>
          <w:rFonts w:eastAsia="Palatino Linotype" w:cs="Palatino Linotype"/>
          <w:color w:val="000000"/>
          <w:szCs w:val="22"/>
        </w:rPr>
      </w:pPr>
      <w:r w:rsidRPr="007559E5">
        <w:rPr>
          <w:rFonts w:eastAsia="Palatino Linotype" w:cs="Palatino Linotype"/>
          <w:color w:val="000000"/>
          <w:szCs w:val="22"/>
        </w:rPr>
        <w:t xml:space="preserve">El </w:t>
      </w:r>
      <w:r w:rsidR="004F245D" w:rsidRPr="007559E5">
        <w:rPr>
          <w:rFonts w:eastAsia="Palatino Linotype" w:cs="Palatino Linotype"/>
          <w:b/>
          <w:color w:val="000000"/>
          <w:szCs w:val="22"/>
        </w:rPr>
        <w:t>veintiséis</w:t>
      </w:r>
      <w:r w:rsidR="00721C9E" w:rsidRPr="007559E5">
        <w:rPr>
          <w:rFonts w:eastAsia="Palatino Linotype" w:cs="Palatino Linotype"/>
          <w:b/>
          <w:color w:val="000000"/>
          <w:szCs w:val="22"/>
        </w:rPr>
        <w:t xml:space="preserve"> de junio</w:t>
      </w:r>
      <w:r w:rsidRPr="007559E5">
        <w:rPr>
          <w:rFonts w:eastAsia="Palatino Linotype" w:cs="Palatino Linotype"/>
          <w:b/>
          <w:color w:val="000000"/>
          <w:szCs w:val="22"/>
        </w:rPr>
        <w:t xml:space="preserve"> de dos mil veinticuatro</w:t>
      </w:r>
      <w:r w:rsidR="00721C9E" w:rsidRPr="007559E5">
        <w:rPr>
          <w:rFonts w:eastAsia="Palatino Linotype" w:cs="Palatino Linotype"/>
          <w:b/>
          <w:color w:val="000000"/>
          <w:szCs w:val="22"/>
        </w:rPr>
        <w:t>,</w:t>
      </w:r>
      <w:r w:rsidRPr="007559E5">
        <w:rPr>
          <w:rFonts w:eastAsia="Palatino Linotype" w:cs="Palatino Linotype"/>
          <w:color w:val="000000"/>
          <w:szCs w:val="22"/>
        </w:rPr>
        <w:t xml:space="preserve"> </w:t>
      </w:r>
      <w:r w:rsidRPr="007559E5">
        <w:rPr>
          <w:rFonts w:eastAsia="Palatino Linotype" w:cs="Palatino Linotype"/>
          <w:b/>
          <w:color w:val="000000"/>
          <w:szCs w:val="22"/>
        </w:rPr>
        <w:t>LA PARTE RECURRENTE</w:t>
      </w:r>
      <w:r w:rsidRPr="007559E5">
        <w:rPr>
          <w:rFonts w:eastAsia="Palatino Linotype" w:cs="Palatino Linotype"/>
          <w:color w:val="000000"/>
          <w:szCs w:val="22"/>
        </w:rPr>
        <w:t xml:space="preserve"> presentó una solicitud de acceso a la información pública ante el </w:t>
      </w:r>
      <w:r w:rsidRPr="007559E5">
        <w:rPr>
          <w:rFonts w:eastAsia="Palatino Linotype" w:cs="Palatino Linotype"/>
          <w:b/>
          <w:color w:val="000000"/>
          <w:szCs w:val="22"/>
        </w:rPr>
        <w:t>SUJETO OBLIGADO</w:t>
      </w:r>
      <w:r w:rsidRPr="007559E5">
        <w:rPr>
          <w:rFonts w:eastAsia="Palatino Linotype" w:cs="Palatino Linotype"/>
          <w:color w:val="000000"/>
          <w:szCs w:val="22"/>
        </w:rPr>
        <w:t xml:space="preserve">, a través </w:t>
      </w:r>
      <w:r w:rsidR="00883EE6" w:rsidRPr="007559E5">
        <w:rPr>
          <w:rFonts w:eastAsia="Palatino Linotype" w:cs="Palatino Linotype"/>
          <w:color w:val="000000"/>
          <w:szCs w:val="22"/>
        </w:rPr>
        <w:t xml:space="preserve">del </w:t>
      </w:r>
      <w:r w:rsidRPr="007559E5">
        <w:rPr>
          <w:rFonts w:eastAsia="Palatino Linotype" w:cs="Palatino Linotype"/>
          <w:color w:val="000000"/>
          <w:szCs w:val="22"/>
        </w:rPr>
        <w:t>Sistema de Acceso a la Información Mexiquense (SAIMEX). Dicha solicitud quedó registrada con el número de folio</w:t>
      </w:r>
      <w:r w:rsidRPr="007559E5">
        <w:rPr>
          <w:rFonts w:eastAsia="Palatino Linotype" w:cs="Palatino Linotype"/>
          <w:b/>
          <w:color w:val="000000"/>
          <w:szCs w:val="22"/>
        </w:rPr>
        <w:t xml:space="preserve"> </w:t>
      </w:r>
      <w:r w:rsidR="00883EE6" w:rsidRPr="007559E5">
        <w:rPr>
          <w:rFonts w:eastAsia="Palatino Linotype" w:cs="Palatino Linotype"/>
          <w:b/>
          <w:color w:val="000000"/>
          <w:szCs w:val="22"/>
        </w:rPr>
        <w:t>02259/IEEM/IP/2024</w:t>
      </w:r>
      <w:r w:rsidRPr="007559E5">
        <w:rPr>
          <w:rFonts w:eastAsia="Palatino Linotype" w:cs="Palatino Linotype"/>
          <w:b/>
          <w:color w:val="000000"/>
          <w:szCs w:val="22"/>
        </w:rPr>
        <w:t xml:space="preserve"> </w:t>
      </w:r>
      <w:r w:rsidRPr="007559E5">
        <w:rPr>
          <w:rFonts w:eastAsia="Palatino Linotype" w:cs="Palatino Linotype"/>
          <w:color w:val="000000"/>
          <w:szCs w:val="22"/>
        </w:rPr>
        <w:t>y en ella se requirió la siguiente información:</w:t>
      </w:r>
    </w:p>
    <w:p w14:paraId="596FDDE9" w14:textId="77777777" w:rsidR="002E2C99" w:rsidRPr="007559E5" w:rsidRDefault="002E2C99" w:rsidP="002E2C99">
      <w:pPr>
        <w:tabs>
          <w:tab w:val="left" w:pos="4667"/>
        </w:tabs>
        <w:ind w:right="567"/>
        <w:rPr>
          <w:rFonts w:eastAsiaTheme="majorEastAsia" w:cstheme="majorBidi"/>
          <w:i/>
          <w:kern w:val="28"/>
          <w:szCs w:val="56"/>
        </w:rPr>
      </w:pPr>
    </w:p>
    <w:p w14:paraId="04BE93E4" w14:textId="4F3DCE33" w:rsidR="002E2C99" w:rsidRPr="007559E5" w:rsidRDefault="00883EE6" w:rsidP="00905835">
      <w:pPr>
        <w:tabs>
          <w:tab w:val="left" w:pos="4667"/>
          <w:tab w:val="left" w:pos="8222"/>
        </w:tabs>
        <w:spacing w:line="240" w:lineRule="auto"/>
        <w:ind w:left="851" w:right="822"/>
        <w:rPr>
          <w:rFonts w:eastAsiaTheme="majorEastAsia" w:cstheme="majorBidi"/>
          <w:i/>
          <w:kern w:val="28"/>
          <w:szCs w:val="56"/>
        </w:rPr>
      </w:pPr>
      <w:r w:rsidRPr="007559E5">
        <w:rPr>
          <w:rFonts w:eastAsiaTheme="majorEastAsia" w:cstheme="majorBidi"/>
          <w:i/>
          <w:kern w:val="28"/>
          <w:szCs w:val="56"/>
        </w:rPr>
        <w:t xml:space="preserve">5. El gasto otorgado y aplicado para la función de las plantas eléctricas en los 170 órganos desconcentrados mismo que se genera en mantenimiento y gasolina, en cuestión de gasolina con que temporalidad se surtía la gasolina de las plantas eléctricas, el ticket y factura de gasolina para las plantas de energía eléctrica, así como el acuse de llegada de gasolina y deposito por parte de la vocalía ejecutiva de los 45 órganos distritales en el proceso electoral del 2023 y de 170 órganos municipales y </w:t>
      </w:r>
      <w:r w:rsidRPr="007559E5">
        <w:rPr>
          <w:rFonts w:eastAsiaTheme="majorEastAsia" w:cstheme="majorBidi"/>
          <w:i/>
          <w:kern w:val="28"/>
          <w:szCs w:val="56"/>
        </w:rPr>
        <w:lastRenderedPageBreak/>
        <w:t>distritales, del proceso electoral 2024. 6. Fondo fijo para los 170 órganos distritales y municipales, así como detalle de los gastos no comprobables por órgano municipal y distrital, con servicio, bien y costo en los procesos de los 45 órganos distritales en el proceso electoral del 2023 y de 170 órganos municipales y distritales, del proceso electoral 2024. 7. Cual es el gasto corriente de los coordinadores y/o enlaces de la dirección de administración, organización, participación ciudadana, unidad de informática, en gasolina, viáticos, renta de vehículos de uso particular para las actividades de cada coordinador y/o enlaces así como el saber si el pago del seguro de cada vehículo es pagado por parte del instituto o de un particular, del mismo modo detallar en caso de no contar con vehículo los coordinadores y/o enlaces de la dirección de administración, organización, participación ciudadana, unidad de informática como justifican el no tenerlo y si se otorgaba más viáticos para realizar los viajes en camión, y los tikets y facturas de cada viaje en el transporte público; así como el proceso de contratación y asignación de cada coordinador y/o enlaces, de la dirección de administración, organización, participación ciudadana y unidad de informática, en los procesos electorales del 2023 y 2024 de la elección de gobernador y de ayuntamientos.</w:t>
      </w:r>
    </w:p>
    <w:p w14:paraId="111C5D49" w14:textId="77777777" w:rsidR="00883EE6" w:rsidRPr="007559E5" w:rsidRDefault="00883EE6" w:rsidP="002E2C99">
      <w:pPr>
        <w:tabs>
          <w:tab w:val="left" w:pos="4667"/>
        </w:tabs>
        <w:ind w:right="567"/>
        <w:rPr>
          <w:rFonts w:cs="Tahoma"/>
          <w:bCs/>
          <w:szCs w:val="22"/>
        </w:rPr>
      </w:pPr>
    </w:p>
    <w:p w14:paraId="0BD6321D" w14:textId="03EF0C7C" w:rsidR="00664420" w:rsidRPr="007559E5" w:rsidRDefault="009A2D78" w:rsidP="002E2C99">
      <w:pPr>
        <w:tabs>
          <w:tab w:val="left" w:pos="4667"/>
        </w:tabs>
        <w:ind w:right="567"/>
        <w:rPr>
          <w:rFonts w:cs="Tahoma"/>
          <w:bCs/>
          <w:i/>
          <w:szCs w:val="22"/>
        </w:rPr>
      </w:pPr>
      <w:r w:rsidRPr="007559E5">
        <w:rPr>
          <w:rFonts w:cs="Tahoma"/>
          <w:b/>
          <w:bCs/>
          <w:szCs w:val="22"/>
        </w:rPr>
        <w:t>Modalidad de entrega</w:t>
      </w:r>
      <w:r w:rsidRPr="007559E5">
        <w:rPr>
          <w:rFonts w:cs="Tahoma"/>
          <w:bCs/>
          <w:szCs w:val="22"/>
        </w:rPr>
        <w:t>: a</w:t>
      </w:r>
      <w:r w:rsidR="00664420" w:rsidRPr="007559E5">
        <w:rPr>
          <w:rFonts w:cs="Tahoma"/>
          <w:bCs/>
          <w:i/>
          <w:szCs w:val="22"/>
        </w:rPr>
        <w:t xml:space="preserve"> través del </w:t>
      </w:r>
      <w:r w:rsidR="00664420" w:rsidRPr="007559E5">
        <w:rPr>
          <w:rFonts w:cs="Tahoma"/>
          <w:b/>
          <w:bCs/>
          <w:i/>
          <w:szCs w:val="22"/>
        </w:rPr>
        <w:t>SAIMEX</w:t>
      </w:r>
      <w:r w:rsidRPr="007559E5">
        <w:rPr>
          <w:rFonts w:cs="Tahoma"/>
          <w:bCs/>
          <w:i/>
          <w:szCs w:val="22"/>
        </w:rPr>
        <w:t>.</w:t>
      </w:r>
    </w:p>
    <w:p w14:paraId="23D7A976" w14:textId="77777777" w:rsidR="000748DF" w:rsidRPr="007559E5" w:rsidRDefault="000748DF" w:rsidP="008F3837">
      <w:pPr>
        <w:tabs>
          <w:tab w:val="left" w:pos="4667"/>
        </w:tabs>
        <w:ind w:right="567"/>
        <w:rPr>
          <w:rFonts w:cs="Tahoma"/>
          <w:bCs/>
          <w:szCs w:val="22"/>
        </w:rPr>
      </w:pPr>
    </w:p>
    <w:p w14:paraId="51E30624" w14:textId="0258823E" w:rsidR="008F3837" w:rsidRPr="007559E5" w:rsidRDefault="008F3837" w:rsidP="008F3837">
      <w:pPr>
        <w:pStyle w:val="Ttulo3"/>
        <w:rPr>
          <w:szCs w:val="22"/>
        </w:rPr>
      </w:pPr>
      <w:bookmarkStart w:id="6" w:name="_Toc179924352"/>
      <w:r w:rsidRPr="007559E5">
        <w:rPr>
          <w:szCs w:val="22"/>
        </w:rPr>
        <w:t xml:space="preserve">b) </w:t>
      </w:r>
      <w:r w:rsidR="00FA7155" w:rsidRPr="007559E5">
        <w:rPr>
          <w:bCs/>
          <w:szCs w:val="22"/>
        </w:rPr>
        <w:t>Turno de la solicitud de información</w:t>
      </w:r>
      <w:bookmarkEnd w:id="6"/>
    </w:p>
    <w:p w14:paraId="73DA7815" w14:textId="7FAF5F1D" w:rsidR="008F3837" w:rsidRPr="007559E5" w:rsidRDefault="008F3837" w:rsidP="008F3837">
      <w:pPr>
        <w:tabs>
          <w:tab w:val="left" w:pos="4667"/>
        </w:tabs>
        <w:ind w:right="567"/>
        <w:rPr>
          <w:rFonts w:cs="Tahoma"/>
          <w:bCs/>
          <w:szCs w:val="22"/>
        </w:rPr>
      </w:pPr>
      <w:r w:rsidRPr="007559E5">
        <w:rPr>
          <w:rFonts w:cs="Tahoma"/>
          <w:bCs/>
          <w:szCs w:val="22"/>
        </w:rPr>
        <w:t xml:space="preserve">En cumplimiento al artículo 162 de la Ley de Transparencia y Acceso a la Información Pública del Estado de México y Municipios, el </w:t>
      </w:r>
      <w:r w:rsidR="00721C9E" w:rsidRPr="007559E5">
        <w:rPr>
          <w:rFonts w:cs="Tahoma"/>
          <w:b/>
          <w:bCs/>
          <w:szCs w:val="22"/>
        </w:rPr>
        <w:t>veinti</w:t>
      </w:r>
      <w:r w:rsidR="00883EE6" w:rsidRPr="007559E5">
        <w:rPr>
          <w:rFonts w:cs="Tahoma"/>
          <w:b/>
          <w:bCs/>
          <w:szCs w:val="22"/>
        </w:rPr>
        <w:t>siete</w:t>
      </w:r>
      <w:r w:rsidR="00721C9E" w:rsidRPr="007559E5">
        <w:rPr>
          <w:rFonts w:cs="Tahoma"/>
          <w:b/>
          <w:bCs/>
          <w:szCs w:val="22"/>
        </w:rPr>
        <w:t xml:space="preserve"> de junio</w:t>
      </w:r>
      <w:r w:rsidRPr="007559E5">
        <w:rPr>
          <w:rFonts w:cs="Tahoma"/>
          <w:b/>
          <w:bCs/>
          <w:szCs w:val="22"/>
        </w:rPr>
        <w:t xml:space="preserve"> de dos mil veinticuatro</w:t>
      </w:r>
      <w:r w:rsidRPr="007559E5">
        <w:rPr>
          <w:rFonts w:cs="Tahoma"/>
          <w:bCs/>
          <w:szCs w:val="22"/>
        </w:rPr>
        <w:t xml:space="preserve">, el Titular de la Unidad de Transparencia del </w:t>
      </w:r>
      <w:r w:rsidRPr="007559E5">
        <w:rPr>
          <w:rFonts w:cs="Tahoma"/>
          <w:b/>
          <w:bCs/>
          <w:szCs w:val="22"/>
        </w:rPr>
        <w:t>SUJETO OBLIGADO</w:t>
      </w:r>
      <w:r w:rsidRPr="007559E5">
        <w:rPr>
          <w:rFonts w:cs="Tahoma"/>
          <w:bCs/>
          <w:szCs w:val="22"/>
        </w:rPr>
        <w:t xml:space="preserve"> turnó la solicitud de información a los servidores públicos habilitados que estimó pertinente.</w:t>
      </w:r>
    </w:p>
    <w:p w14:paraId="58699E20" w14:textId="77777777" w:rsidR="00883EE6" w:rsidRPr="007559E5" w:rsidRDefault="00883EE6" w:rsidP="008F3837">
      <w:pPr>
        <w:tabs>
          <w:tab w:val="left" w:pos="4667"/>
        </w:tabs>
        <w:ind w:right="567"/>
        <w:rPr>
          <w:rFonts w:cs="Tahoma"/>
          <w:bCs/>
          <w:szCs w:val="22"/>
        </w:rPr>
      </w:pPr>
    </w:p>
    <w:p w14:paraId="5675FBF1" w14:textId="77777777" w:rsidR="00883EE6" w:rsidRPr="007559E5" w:rsidRDefault="00883EE6" w:rsidP="00883EE6">
      <w:pPr>
        <w:pStyle w:val="Ttulo3"/>
        <w:rPr>
          <w:szCs w:val="22"/>
        </w:rPr>
      </w:pPr>
      <w:bookmarkStart w:id="7" w:name="_Toc172203600"/>
      <w:bookmarkStart w:id="8" w:name="_Toc179924353"/>
      <w:r w:rsidRPr="007559E5">
        <w:rPr>
          <w:szCs w:val="22"/>
        </w:rPr>
        <w:t>c) Prórroga</w:t>
      </w:r>
      <w:bookmarkEnd w:id="7"/>
      <w:bookmarkEnd w:id="8"/>
    </w:p>
    <w:p w14:paraId="074F41E4" w14:textId="54797A34" w:rsidR="00883EE6" w:rsidRPr="007559E5" w:rsidRDefault="00883EE6" w:rsidP="00883EE6">
      <w:pPr>
        <w:rPr>
          <w:szCs w:val="22"/>
        </w:rPr>
      </w:pPr>
      <w:r w:rsidRPr="007559E5">
        <w:rPr>
          <w:szCs w:val="22"/>
        </w:rPr>
        <w:t xml:space="preserve">De las constancias que obran en el SAIMEX, se advierte que el </w:t>
      </w:r>
      <w:r w:rsidRPr="007559E5">
        <w:rPr>
          <w:b/>
          <w:szCs w:val="22"/>
        </w:rPr>
        <w:t>quince de julio de dos mil veinticuatro,</w:t>
      </w:r>
      <w:r w:rsidRPr="007559E5">
        <w:rPr>
          <w:szCs w:val="22"/>
        </w:rPr>
        <w:t xml:space="preserve"> </w:t>
      </w:r>
      <w:r w:rsidRPr="007559E5">
        <w:rPr>
          <w:b/>
          <w:szCs w:val="22"/>
        </w:rPr>
        <w:t>EL SUJETO OBLIGADO</w:t>
      </w:r>
      <w:r w:rsidRPr="007559E5">
        <w:rPr>
          <w:szCs w:val="22"/>
        </w:rPr>
        <w:t xml:space="preserve"> notificó una prórroga de siete días para dar respuesta </w:t>
      </w:r>
      <w:r w:rsidRPr="007559E5">
        <w:rPr>
          <w:szCs w:val="22"/>
        </w:rPr>
        <w:lastRenderedPageBreak/>
        <w:t xml:space="preserve">a la solicitud de información planteada por </w:t>
      </w:r>
      <w:r w:rsidRPr="007559E5">
        <w:rPr>
          <w:b/>
          <w:szCs w:val="22"/>
        </w:rPr>
        <w:t>LA PARTE RECURRENTE</w:t>
      </w:r>
      <w:r w:rsidRPr="007559E5">
        <w:rPr>
          <w:szCs w:val="22"/>
        </w:rPr>
        <w:t>, en los siguientes términos:</w:t>
      </w:r>
    </w:p>
    <w:p w14:paraId="069F8C8B" w14:textId="77777777" w:rsidR="00883EE6" w:rsidRPr="007559E5" w:rsidRDefault="00883EE6" w:rsidP="00883EE6">
      <w:pPr>
        <w:rPr>
          <w:szCs w:val="22"/>
        </w:rPr>
      </w:pPr>
    </w:p>
    <w:p w14:paraId="5667FDB6" w14:textId="77777777" w:rsidR="00883EE6" w:rsidRPr="007559E5" w:rsidRDefault="00883EE6" w:rsidP="00883EE6">
      <w:pPr>
        <w:pStyle w:val="Ttulo"/>
        <w:ind w:firstLine="567"/>
        <w:jc w:val="right"/>
        <w:rPr>
          <w:szCs w:val="22"/>
        </w:rPr>
      </w:pPr>
      <w:r w:rsidRPr="007559E5">
        <w:rPr>
          <w:szCs w:val="22"/>
        </w:rPr>
        <w:t>“Folio de la solicitud: 02259/IEEM/IP/2024</w:t>
      </w:r>
    </w:p>
    <w:p w14:paraId="56564682" w14:textId="77777777" w:rsidR="00883EE6" w:rsidRPr="007559E5" w:rsidRDefault="00883EE6" w:rsidP="00883EE6">
      <w:pPr>
        <w:pStyle w:val="Ttulo"/>
        <w:rPr>
          <w:szCs w:val="22"/>
        </w:rPr>
      </w:pPr>
    </w:p>
    <w:p w14:paraId="6E7D1ED5" w14:textId="77777777" w:rsidR="00883EE6" w:rsidRPr="007559E5" w:rsidRDefault="00883EE6" w:rsidP="00883EE6">
      <w:pPr>
        <w:pStyle w:val="Ttulo"/>
        <w:rPr>
          <w:szCs w:val="22"/>
        </w:rPr>
      </w:pPr>
      <w:r w:rsidRPr="007559E5">
        <w:rPr>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0E0F757B" w14:textId="77777777" w:rsidR="00883EE6" w:rsidRPr="007559E5" w:rsidRDefault="00883EE6" w:rsidP="00883EE6">
      <w:pPr>
        <w:pStyle w:val="Ttulo"/>
        <w:rPr>
          <w:szCs w:val="22"/>
        </w:rPr>
      </w:pPr>
    </w:p>
    <w:p w14:paraId="5114CAE9" w14:textId="77777777" w:rsidR="00883EE6" w:rsidRPr="007559E5" w:rsidRDefault="00883EE6" w:rsidP="00883EE6">
      <w:pPr>
        <w:pStyle w:val="Ttulo"/>
        <w:rPr>
          <w:szCs w:val="22"/>
        </w:rPr>
      </w:pPr>
      <w:r w:rsidRPr="007559E5">
        <w:rPr>
          <w:szCs w:val="22"/>
        </w:rPr>
        <w:t>Por el volumen de información que se requiere analizar e identificar y en su caso generar las versiones públicas.</w:t>
      </w:r>
    </w:p>
    <w:p w14:paraId="021AB9CB" w14:textId="77777777" w:rsidR="00883EE6" w:rsidRPr="007559E5" w:rsidRDefault="00883EE6" w:rsidP="00883EE6">
      <w:pPr>
        <w:pStyle w:val="Ttulo"/>
        <w:rPr>
          <w:szCs w:val="22"/>
        </w:rPr>
      </w:pPr>
    </w:p>
    <w:p w14:paraId="25B93E76" w14:textId="77777777" w:rsidR="00883EE6" w:rsidRPr="007559E5" w:rsidRDefault="00883EE6" w:rsidP="00883EE6">
      <w:pPr>
        <w:pStyle w:val="Ttulo"/>
        <w:rPr>
          <w:szCs w:val="22"/>
        </w:rPr>
      </w:pPr>
      <w:r w:rsidRPr="007559E5">
        <w:rPr>
          <w:szCs w:val="22"/>
        </w:rPr>
        <w:t>MAESTRA LILIBETH ÁLVAREZ RODRÍGUEZ</w:t>
      </w:r>
    </w:p>
    <w:p w14:paraId="3127B91F" w14:textId="4E9E0B55" w:rsidR="00883EE6" w:rsidRPr="007559E5" w:rsidRDefault="00883EE6" w:rsidP="00883EE6">
      <w:pPr>
        <w:pStyle w:val="Ttulo"/>
        <w:rPr>
          <w:szCs w:val="22"/>
        </w:rPr>
      </w:pPr>
      <w:r w:rsidRPr="007559E5">
        <w:rPr>
          <w:szCs w:val="22"/>
        </w:rPr>
        <w:t>Responsable de la Unidad de Transparencia”</w:t>
      </w:r>
    </w:p>
    <w:p w14:paraId="5BF595FA" w14:textId="77777777" w:rsidR="00883EE6" w:rsidRPr="007559E5" w:rsidRDefault="00883EE6" w:rsidP="00883EE6">
      <w:pPr>
        <w:rPr>
          <w:szCs w:val="22"/>
        </w:rPr>
      </w:pPr>
    </w:p>
    <w:p w14:paraId="7D79A433" w14:textId="55D5A76E" w:rsidR="00883EE6" w:rsidRPr="007559E5" w:rsidRDefault="00883EE6" w:rsidP="00883EE6">
      <w:pPr>
        <w:rPr>
          <w:rFonts w:cs="Tahoma"/>
          <w:bCs/>
          <w:szCs w:val="22"/>
        </w:rPr>
      </w:pPr>
      <w:r w:rsidRPr="007559E5">
        <w:rPr>
          <w:szCs w:val="22"/>
        </w:rPr>
        <w:t xml:space="preserve">Acompañando a dicha prórroga el archivo electrónico denominado </w:t>
      </w:r>
      <w:r w:rsidRPr="007559E5">
        <w:rPr>
          <w:b/>
          <w:i/>
          <w:szCs w:val="22"/>
        </w:rPr>
        <w:t>Acuerdo IEEM-CT-180-2024.pdf</w:t>
      </w:r>
      <w:r w:rsidRPr="007559E5">
        <w:rPr>
          <w:szCs w:val="22"/>
        </w:rPr>
        <w:t xml:space="preserve"> en el que se advierte que </w:t>
      </w:r>
      <w:r w:rsidRPr="007559E5">
        <w:rPr>
          <w:b/>
          <w:szCs w:val="22"/>
        </w:rPr>
        <w:t>EL SUJETO OBLIGADO</w:t>
      </w:r>
      <w:r w:rsidRPr="007559E5">
        <w:rPr>
          <w:szCs w:val="22"/>
        </w:rPr>
        <w:t xml:space="preserve"> adjuntó a la solicitud de prórroga el acuerdo mediante el cual el Comité de Transparencia aprobó la ampliación de plazo para dar respuesta a la solicitud de información en términos de lo establecido en los artículos 49, fracción II y 163, segundo párrafo, de la Ley de Transparencia y Acceso a la Información Pública del Estado de México y Municipios.</w:t>
      </w:r>
    </w:p>
    <w:p w14:paraId="1C0542AF" w14:textId="77777777" w:rsidR="008F3837" w:rsidRPr="007559E5" w:rsidRDefault="008F3837" w:rsidP="008F3837">
      <w:pPr>
        <w:tabs>
          <w:tab w:val="left" w:pos="4667"/>
        </w:tabs>
        <w:ind w:right="567"/>
        <w:rPr>
          <w:rFonts w:cs="Tahoma"/>
          <w:bCs/>
          <w:szCs w:val="22"/>
        </w:rPr>
      </w:pPr>
    </w:p>
    <w:p w14:paraId="3212BA4D" w14:textId="1C29CB11" w:rsidR="00664420" w:rsidRPr="007559E5" w:rsidRDefault="0094746E" w:rsidP="00E37A3F">
      <w:pPr>
        <w:pStyle w:val="Ttulo3"/>
        <w:rPr>
          <w:color w:val="000000"/>
          <w:szCs w:val="22"/>
        </w:rPr>
      </w:pPr>
      <w:bookmarkStart w:id="9" w:name="_Toc179924354"/>
      <w:r w:rsidRPr="007559E5">
        <w:rPr>
          <w:szCs w:val="22"/>
          <w:lang w:val="es-ES"/>
        </w:rPr>
        <w:t>d</w:t>
      </w:r>
      <w:r w:rsidR="002E2C99" w:rsidRPr="007559E5">
        <w:rPr>
          <w:szCs w:val="22"/>
          <w:lang w:val="es-ES"/>
        </w:rPr>
        <w:t xml:space="preserve">) </w:t>
      </w:r>
      <w:r w:rsidR="00664420" w:rsidRPr="007559E5">
        <w:rPr>
          <w:szCs w:val="22"/>
          <w:lang w:val="es-ES"/>
        </w:rPr>
        <w:t xml:space="preserve">Respuesta </w:t>
      </w:r>
      <w:r w:rsidR="00664420" w:rsidRPr="007559E5">
        <w:rPr>
          <w:rFonts w:eastAsia="Calibri"/>
          <w:szCs w:val="22"/>
          <w:lang w:eastAsia="en-US"/>
        </w:rPr>
        <w:t>del Sujeto Obligado</w:t>
      </w:r>
      <w:bookmarkEnd w:id="9"/>
    </w:p>
    <w:p w14:paraId="79199CC1" w14:textId="08BC2AC8" w:rsidR="00664420" w:rsidRDefault="00664420" w:rsidP="000748DF">
      <w:pPr>
        <w:pStyle w:val="Sinespaciado"/>
        <w:spacing w:line="360" w:lineRule="auto"/>
        <w:rPr>
          <w:szCs w:val="22"/>
          <w:lang w:val="es-ES"/>
        </w:rPr>
      </w:pPr>
      <w:r w:rsidRPr="007559E5">
        <w:rPr>
          <w:szCs w:val="22"/>
          <w:lang w:val="es-ES"/>
        </w:rPr>
        <w:t xml:space="preserve">El </w:t>
      </w:r>
      <w:r w:rsidR="00721C9E" w:rsidRPr="007559E5">
        <w:rPr>
          <w:rFonts w:eastAsia="Calibri" w:cs="Arial"/>
          <w:b/>
          <w:bCs/>
          <w:szCs w:val="22"/>
          <w:lang w:val="es-ES" w:eastAsia="en-US"/>
        </w:rPr>
        <w:t xml:space="preserve">nueve de </w:t>
      </w:r>
      <w:r w:rsidR="00883EE6" w:rsidRPr="007559E5">
        <w:rPr>
          <w:rFonts w:eastAsia="Calibri" w:cs="Arial"/>
          <w:b/>
          <w:bCs/>
          <w:szCs w:val="22"/>
          <w:lang w:val="es-ES" w:eastAsia="en-US"/>
        </w:rPr>
        <w:t>agosto</w:t>
      </w:r>
      <w:r w:rsidR="000748DF" w:rsidRPr="007559E5">
        <w:rPr>
          <w:rFonts w:eastAsia="Calibri" w:cs="Arial"/>
          <w:b/>
          <w:bCs/>
          <w:szCs w:val="22"/>
          <w:lang w:val="es-ES" w:eastAsia="en-US"/>
        </w:rPr>
        <w:t xml:space="preserve"> </w:t>
      </w:r>
      <w:r w:rsidR="000748DF" w:rsidRPr="007559E5">
        <w:rPr>
          <w:rFonts w:eastAsia="Calibri" w:cs="Arial"/>
          <w:b/>
          <w:szCs w:val="22"/>
          <w:lang w:val="es-ES" w:eastAsia="en-US"/>
        </w:rPr>
        <w:t>de dos mil veinticuatro</w:t>
      </w:r>
      <w:r w:rsidR="00983EEF" w:rsidRPr="007559E5">
        <w:rPr>
          <w:b/>
          <w:szCs w:val="22"/>
          <w:lang w:val="es-ES"/>
        </w:rPr>
        <w:t xml:space="preserve">, </w:t>
      </w:r>
      <w:r w:rsidR="00F07EE6" w:rsidRPr="007559E5">
        <w:rPr>
          <w:szCs w:val="22"/>
          <w:lang w:val="es-ES"/>
        </w:rPr>
        <w:t>l</w:t>
      </w:r>
      <w:r w:rsidR="002268D4" w:rsidRPr="007559E5">
        <w:rPr>
          <w:szCs w:val="22"/>
          <w:lang w:val="es-ES"/>
        </w:rPr>
        <w:t>a</w:t>
      </w:r>
      <w:r w:rsidR="00F07EE6" w:rsidRPr="007559E5">
        <w:rPr>
          <w:szCs w:val="22"/>
          <w:lang w:val="es-ES"/>
        </w:rPr>
        <w:t xml:space="preserve"> Titular de la Unidad de Transparencia del </w:t>
      </w:r>
      <w:r w:rsidR="00F07EE6" w:rsidRPr="007559E5">
        <w:rPr>
          <w:b/>
          <w:szCs w:val="22"/>
          <w:lang w:val="es-ES"/>
        </w:rPr>
        <w:t>SUJETO OBLIGADO</w:t>
      </w:r>
      <w:r w:rsidR="00F07EE6" w:rsidRPr="007559E5">
        <w:rPr>
          <w:szCs w:val="22"/>
          <w:lang w:val="es-ES"/>
        </w:rPr>
        <w:t xml:space="preserve"> notificó la siguiente respuesta a través del </w:t>
      </w:r>
      <w:r w:rsidRPr="007559E5">
        <w:rPr>
          <w:szCs w:val="22"/>
          <w:lang w:val="es-ES"/>
        </w:rPr>
        <w:t>SAIMEX</w:t>
      </w:r>
      <w:r w:rsidR="00F07EE6" w:rsidRPr="007559E5">
        <w:rPr>
          <w:szCs w:val="22"/>
          <w:lang w:val="es-ES"/>
        </w:rPr>
        <w:t>:</w:t>
      </w:r>
    </w:p>
    <w:p w14:paraId="35C1F8D9" w14:textId="6D746D87" w:rsidR="00905835" w:rsidRDefault="00905835" w:rsidP="000748DF">
      <w:pPr>
        <w:pStyle w:val="Sinespaciado"/>
        <w:spacing w:line="360" w:lineRule="auto"/>
        <w:rPr>
          <w:szCs w:val="22"/>
          <w:lang w:val="es-ES"/>
        </w:rPr>
      </w:pPr>
    </w:p>
    <w:p w14:paraId="269AC5F0" w14:textId="77777777" w:rsidR="00905835" w:rsidRPr="007559E5" w:rsidRDefault="00905835" w:rsidP="000748DF">
      <w:pPr>
        <w:pStyle w:val="Sinespaciado"/>
        <w:spacing w:line="360" w:lineRule="auto"/>
        <w:rPr>
          <w:szCs w:val="22"/>
          <w:lang w:val="es-ES"/>
        </w:rPr>
      </w:pPr>
    </w:p>
    <w:p w14:paraId="66410657" w14:textId="77777777" w:rsidR="002268D4" w:rsidRPr="007559E5" w:rsidRDefault="002268D4" w:rsidP="002E2C99">
      <w:pPr>
        <w:pStyle w:val="Ttulo"/>
        <w:ind w:left="0"/>
      </w:pPr>
    </w:p>
    <w:p w14:paraId="05C3A51D" w14:textId="77777777" w:rsidR="000128F2" w:rsidRPr="007559E5" w:rsidRDefault="000128F2" w:rsidP="000128F2">
      <w:pPr>
        <w:autoSpaceDE w:val="0"/>
        <w:autoSpaceDN w:val="0"/>
        <w:adjustRightInd w:val="0"/>
        <w:ind w:left="567" w:right="539"/>
        <w:jc w:val="right"/>
        <w:rPr>
          <w:rFonts w:eastAsiaTheme="majorEastAsia" w:cstheme="majorBidi"/>
          <w:i/>
          <w:kern w:val="28"/>
          <w:szCs w:val="56"/>
        </w:rPr>
      </w:pPr>
      <w:r w:rsidRPr="007559E5">
        <w:rPr>
          <w:rFonts w:eastAsiaTheme="majorEastAsia" w:cstheme="majorBidi"/>
          <w:i/>
          <w:kern w:val="28"/>
          <w:szCs w:val="56"/>
        </w:rPr>
        <w:lastRenderedPageBreak/>
        <w:t>Folio de la solicitud: 02259/IEEM/IP/2024</w:t>
      </w:r>
    </w:p>
    <w:p w14:paraId="57CA2B93" w14:textId="77777777" w:rsidR="000128F2" w:rsidRPr="007559E5" w:rsidRDefault="000128F2" w:rsidP="000128F2">
      <w:pPr>
        <w:autoSpaceDE w:val="0"/>
        <w:autoSpaceDN w:val="0"/>
        <w:adjustRightInd w:val="0"/>
        <w:ind w:left="567" w:right="539"/>
        <w:rPr>
          <w:rFonts w:eastAsiaTheme="majorEastAsia" w:cstheme="majorBidi"/>
          <w:i/>
          <w:kern w:val="28"/>
          <w:szCs w:val="56"/>
        </w:rPr>
      </w:pPr>
    </w:p>
    <w:p w14:paraId="3DA1FDE9" w14:textId="77777777" w:rsidR="000128F2" w:rsidRPr="007559E5" w:rsidRDefault="000128F2" w:rsidP="000128F2">
      <w:pPr>
        <w:autoSpaceDE w:val="0"/>
        <w:autoSpaceDN w:val="0"/>
        <w:adjustRightInd w:val="0"/>
        <w:ind w:left="567" w:right="539"/>
        <w:rPr>
          <w:rFonts w:eastAsiaTheme="majorEastAsia" w:cstheme="majorBidi"/>
          <w:i/>
          <w:kern w:val="28"/>
          <w:szCs w:val="56"/>
        </w:rPr>
      </w:pPr>
      <w:r w:rsidRPr="007559E5">
        <w:rPr>
          <w:rFonts w:eastAsiaTheme="majorEastAsia" w:cstheme="majorBidi"/>
          <w:i/>
          <w:kern w:val="28"/>
          <w:szCs w:val="56"/>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C20F43" w14:textId="77777777" w:rsidR="000128F2" w:rsidRPr="007559E5" w:rsidRDefault="000128F2" w:rsidP="000128F2">
      <w:pPr>
        <w:autoSpaceDE w:val="0"/>
        <w:autoSpaceDN w:val="0"/>
        <w:adjustRightInd w:val="0"/>
        <w:ind w:left="567" w:right="539"/>
        <w:rPr>
          <w:rFonts w:eastAsiaTheme="majorEastAsia" w:cstheme="majorBidi"/>
          <w:i/>
          <w:kern w:val="28"/>
          <w:szCs w:val="56"/>
        </w:rPr>
      </w:pPr>
    </w:p>
    <w:p w14:paraId="0A96AC37" w14:textId="77777777" w:rsidR="000128F2" w:rsidRPr="007559E5" w:rsidRDefault="000128F2" w:rsidP="000128F2">
      <w:pPr>
        <w:autoSpaceDE w:val="0"/>
        <w:autoSpaceDN w:val="0"/>
        <w:adjustRightInd w:val="0"/>
        <w:ind w:left="567" w:right="539"/>
        <w:rPr>
          <w:rFonts w:eastAsiaTheme="majorEastAsia" w:cstheme="majorBidi"/>
          <w:i/>
          <w:kern w:val="28"/>
          <w:szCs w:val="56"/>
        </w:rPr>
      </w:pPr>
      <w:r w:rsidRPr="007559E5">
        <w:rPr>
          <w:rFonts w:eastAsiaTheme="majorEastAsia" w:cstheme="majorBidi"/>
          <w:i/>
          <w:kern w:val="28"/>
          <w:szCs w:val="56"/>
        </w:rPr>
        <w:t>Se adjunta respuesta a su solicitud de información</w:t>
      </w:r>
    </w:p>
    <w:p w14:paraId="01F687BD" w14:textId="77777777" w:rsidR="000128F2" w:rsidRPr="007559E5" w:rsidRDefault="000128F2" w:rsidP="000128F2">
      <w:pPr>
        <w:autoSpaceDE w:val="0"/>
        <w:autoSpaceDN w:val="0"/>
        <w:adjustRightInd w:val="0"/>
        <w:ind w:left="567" w:right="539"/>
        <w:rPr>
          <w:rFonts w:eastAsiaTheme="majorEastAsia" w:cstheme="majorBidi"/>
          <w:i/>
          <w:kern w:val="28"/>
          <w:szCs w:val="56"/>
        </w:rPr>
      </w:pPr>
    </w:p>
    <w:p w14:paraId="515961EB" w14:textId="77777777" w:rsidR="000128F2" w:rsidRPr="007559E5" w:rsidRDefault="000128F2" w:rsidP="000128F2">
      <w:pPr>
        <w:autoSpaceDE w:val="0"/>
        <w:autoSpaceDN w:val="0"/>
        <w:adjustRightInd w:val="0"/>
        <w:ind w:left="567" w:right="539"/>
        <w:rPr>
          <w:rFonts w:eastAsiaTheme="majorEastAsia" w:cstheme="majorBidi"/>
          <w:i/>
          <w:kern w:val="28"/>
          <w:szCs w:val="56"/>
        </w:rPr>
      </w:pPr>
      <w:r w:rsidRPr="007559E5">
        <w:rPr>
          <w:rFonts w:eastAsiaTheme="majorEastAsia" w:cstheme="majorBidi"/>
          <w:i/>
          <w:kern w:val="28"/>
          <w:szCs w:val="56"/>
        </w:rPr>
        <w:t>ATENTAMENTE</w:t>
      </w:r>
    </w:p>
    <w:p w14:paraId="75642CED" w14:textId="6D0E4717" w:rsidR="000748DF" w:rsidRPr="007559E5" w:rsidRDefault="000128F2" w:rsidP="000128F2">
      <w:pPr>
        <w:autoSpaceDE w:val="0"/>
        <w:autoSpaceDN w:val="0"/>
        <w:adjustRightInd w:val="0"/>
        <w:ind w:left="567" w:right="539"/>
        <w:rPr>
          <w:rFonts w:eastAsiaTheme="majorEastAsia" w:cstheme="majorBidi"/>
          <w:i/>
          <w:kern w:val="28"/>
          <w:szCs w:val="56"/>
        </w:rPr>
      </w:pPr>
      <w:r w:rsidRPr="007559E5">
        <w:rPr>
          <w:rFonts w:eastAsiaTheme="majorEastAsia" w:cstheme="majorBidi"/>
          <w:i/>
          <w:kern w:val="28"/>
          <w:szCs w:val="56"/>
        </w:rPr>
        <w:t>MAESTRA LILIBETH ÁLVAREZ RODRÍGUEZ</w:t>
      </w:r>
    </w:p>
    <w:p w14:paraId="467AF2AE" w14:textId="77777777" w:rsidR="002E2C99" w:rsidRPr="007559E5" w:rsidRDefault="002E2C99" w:rsidP="002E2C99">
      <w:pPr>
        <w:autoSpaceDE w:val="0"/>
        <w:autoSpaceDN w:val="0"/>
        <w:adjustRightInd w:val="0"/>
        <w:ind w:right="-28"/>
        <w:rPr>
          <w:rFonts w:cs="Tahoma"/>
          <w:bCs/>
          <w:szCs w:val="22"/>
        </w:rPr>
      </w:pPr>
    </w:p>
    <w:p w14:paraId="2211D1AB" w14:textId="7F306D69" w:rsidR="00983EEF" w:rsidRPr="007559E5" w:rsidRDefault="00F07EE6" w:rsidP="00664420">
      <w:pPr>
        <w:autoSpaceDE w:val="0"/>
        <w:autoSpaceDN w:val="0"/>
        <w:adjustRightInd w:val="0"/>
        <w:ind w:right="-28"/>
        <w:rPr>
          <w:rFonts w:cs="Tahoma"/>
          <w:bCs/>
          <w:szCs w:val="22"/>
          <w:lang w:val="es-ES"/>
        </w:rPr>
      </w:pPr>
      <w:r w:rsidRPr="007559E5">
        <w:rPr>
          <w:rFonts w:cs="Tahoma"/>
          <w:bCs/>
          <w:szCs w:val="22"/>
          <w:lang w:val="es-ES"/>
        </w:rPr>
        <w:t xml:space="preserve">Asimismo, </w:t>
      </w:r>
      <w:r w:rsidRPr="007559E5">
        <w:rPr>
          <w:rFonts w:cs="Tahoma"/>
          <w:b/>
          <w:szCs w:val="22"/>
          <w:lang w:val="es-ES"/>
        </w:rPr>
        <w:t xml:space="preserve">EL SUJETO OBLIGADO </w:t>
      </w:r>
      <w:r w:rsidRPr="007559E5">
        <w:rPr>
          <w:rFonts w:cs="Tahoma"/>
          <w:bCs/>
          <w:szCs w:val="22"/>
          <w:lang w:val="es-ES"/>
        </w:rPr>
        <w:t xml:space="preserve">adjuntó a su respuesta </w:t>
      </w:r>
      <w:r w:rsidR="002E2C99" w:rsidRPr="007559E5">
        <w:rPr>
          <w:rFonts w:cs="Tahoma"/>
          <w:bCs/>
          <w:szCs w:val="22"/>
          <w:lang w:val="es-ES"/>
        </w:rPr>
        <w:t xml:space="preserve">los </w:t>
      </w:r>
      <w:r w:rsidRPr="007559E5">
        <w:rPr>
          <w:rFonts w:cs="Tahoma"/>
          <w:bCs/>
          <w:szCs w:val="22"/>
          <w:lang w:val="es-ES"/>
        </w:rPr>
        <w:t>archivo</w:t>
      </w:r>
      <w:r w:rsidR="002E2C99" w:rsidRPr="007559E5">
        <w:rPr>
          <w:rFonts w:cs="Tahoma"/>
          <w:bCs/>
          <w:szCs w:val="22"/>
          <w:lang w:val="es-ES"/>
        </w:rPr>
        <w:t>s</w:t>
      </w:r>
      <w:r w:rsidRPr="007559E5">
        <w:rPr>
          <w:rFonts w:cs="Tahoma"/>
          <w:bCs/>
          <w:szCs w:val="22"/>
          <w:lang w:val="es-ES"/>
        </w:rPr>
        <w:t xml:space="preserve"> electrónico</w:t>
      </w:r>
      <w:r w:rsidR="002E2C99" w:rsidRPr="007559E5">
        <w:rPr>
          <w:rFonts w:cs="Tahoma"/>
          <w:bCs/>
          <w:szCs w:val="22"/>
          <w:lang w:val="es-ES"/>
        </w:rPr>
        <w:t>s</w:t>
      </w:r>
      <w:r w:rsidR="004252F1" w:rsidRPr="007559E5">
        <w:rPr>
          <w:rFonts w:cs="Tahoma"/>
          <w:bCs/>
          <w:szCs w:val="22"/>
          <w:lang w:val="es-ES"/>
        </w:rPr>
        <w:t xml:space="preserve"> </w:t>
      </w:r>
      <w:r w:rsidR="00721C9E" w:rsidRPr="007559E5">
        <w:rPr>
          <w:rFonts w:cs="Tahoma"/>
          <w:bCs/>
          <w:szCs w:val="22"/>
          <w:lang w:val="es-ES"/>
        </w:rPr>
        <w:t>que se describen a continuación:</w:t>
      </w:r>
    </w:p>
    <w:p w14:paraId="7FE25951" w14:textId="77777777" w:rsidR="00721C9E" w:rsidRPr="007559E5" w:rsidRDefault="00721C9E" w:rsidP="00664420">
      <w:pPr>
        <w:autoSpaceDE w:val="0"/>
        <w:autoSpaceDN w:val="0"/>
        <w:adjustRightInd w:val="0"/>
        <w:ind w:right="-28"/>
        <w:rPr>
          <w:rFonts w:cs="Tahoma"/>
          <w:bCs/>
          <w:szCs w:val="22"/>
          <w:lang w:val="es-ES"/>
        </w:rPr>
      </w:pPr>
    </w:p>
    <w:p w14:paraId="6B625E01" w14:textId="77777777" w:rsidR="000128F2" w:rsidRPr="007559E5" w:rsidRDefault="000128F2" w:rsidP="000128F2">
      <w:pPr>
        <w:pStyle w:val="Prrafodelista"/>
        <w:numPr>
          <w:ilvl w:val="0"/>
          <w:numId w:val="9"/>
        </w:numPr>
        <w:autoSpaceDE w:val="0"/>
        <w:autoSpaceDN w:val="0"/>
        <w:adjustRightInd w:val="0"/>
        <w:ind w:right="-28"/>
        <w:rPr>
          <w:rFonts w:cs="Tahoma"/>
          <w:b/>
          <w:bCs/>
          <w:szCs w:val="22"/>
          <w:lang w:val="es-ES"/>
        </w:rPr>
      </w:pPr>
      <w:r w:rsidRPr="007559E5">
        <w:rPr>
          <w:rFonts w:cs="Tahoma"/>
          <w:b/>
          <w:bCs/>
          <w:szCs w:val="22"/>
          <w:lang w:val="es-ES"/>
        </w:rPr>
        <w:t>IEEM-DA-5297-2024.pdf</w:t>
      </w:r>
    </w:p>
    <w:p w14:paraId="4412FB46" w14:textId="0D590D3E" w:rsidR="000128F2" w:rsidRPr="007559E5" w:rsidRDefault="0094746E" w:rsidP="000128F2">
      <w:pPr>
        <w:pStyle w:val="Prrafodelista"/>
        <w:autoSpaceDE w:val="0"/>
        <w:autoSpaceDN w:val="0"/>
        <w:adjustRightInd w:val="0"/>
        <w:ind w:left="1068" w:right="-28"/>
        <w:rPr>
          <w:rFonts w:cs="Tahoma"/>
          <w:bCs/>
          <w:szCs w:val="22"/>
          <w:lang w:val="es-ES"/>
        </w:rPr>
      </w:pPr>
      <w:r w:rsidRPr="007559E5">
        <w:rPr>
          <w:rFonts w:cs="Tahoma"/>
          <w:bCs/>
          <w:szCs w:val="22"/>
          <w:lang w:val="es-ES"/>
        </w:rPr>
        <w:t xml:space="preserve">Archivo constante de 4 páginas, </w:t>
      </w:r>
      <w:r w:rsidR="00FB380E" w:rsidRPr="007559E5">
        <w:rPr>
          <w:rFonts w:cs="Tahoma"/>
          <w:bCs/>
          <w:szCs w:val="22"/>
          <w:lang w:val="es-ES"/>
        </w:rPr>
        <w:t xml:space="preserve">dirigido a la Jefa de la Unidad de Transparencia, suscrito por la Subdirectora de Recursos Materiales, </w:t>
      </w:r>
      <w:r w:rsidR="000753DC" w:rsidRPr="007559E5">
        <w:rPr>
          <w:rFonts w:cs="Tahoma"/>
          <w:bCs/>
          <w:szCs w:val="22"/>
          <w:lang w:val="es-ES"/>
        </w:rPr>
        <w:t xml:space="preserve">en suplencia por ausencia del Encargado del Despacho de la Dirección de Administración, </w:t>
      </w:r>
      <w:r w:rsidR="00FB380E" w:rsidRPr="007559E5">
        <w:rPr>
          <w:rFonts w:cs="Tahoma"/>
          <w:bCs/>
          <w:szCs w:val="22"/>
          <w:lang w:val="es-ES"/>
        </w:rPr>
        <w:t>en el que da respuesta a cada requerimiento de la solicitud de información.</w:t>
      </w:r>
    </w:p>
    <w:p w14:paraId="0A601EE0" w14:textId="77777777" w:rsidR="0094746E" w:rsidRPr="007559E5" w:rsidRDefault="0094746E" w:rsidP="000128F2">
      <w:pPr>
        <w:pStyle w:val="Prrafodelista"/>
        <w:autoSpaceDE w:val="0"/>
        <w:autoSpaceDN w:val="0"/>
        <w:adjustRightInd w:val="0"/>
        <w:ind w:left="1068" w:right="-28"/>
        <w:rPr>
          <w:rFonts w:cs="Tahoma"/>
          <w:b/>
          <w:bCs/>
          <w:szCs w:val="22"/>
          <w:lang w:val="es-ES"/>
        </w:rPr>
      </w:pPr>
    </w:p>
    <w:p w14:paraId="37BD32DE" w14:textId="77777777" w:rsidR="000128F2" w:rsidRPr="007559E5" w:rsidRDefault="000128F2" w:rsidP="000128F2">
      <w:pPr>
        <w:pStyle w:val="Prrafodelista"/>
        <w:numPr>
          <w:ilvl w:val="0"/>
          <w:numId w:val="9"/>
        </w:numPr>
        <w:autoSpaceDE w:val="0"/>
        <w:autoSpaceDN w:val="0"/>
        <w:adjustRightInd w:val="0"/>
        <w:ind w:right="-28"/>
        <w:rPr>
          <w:rFonts w:cs="Tahoma"/>
          <w:b/>
          <w:bCs/>
          <w:szCs w:val="22"/>
          <w:lang w:val="es-ES"/>
        </w:rPr>
      </w:pPr>
      <w:r w:rsidRPr="007559E5">
        <w:rPr>
          <w:rFonts w:cs="Tahoma"/>
          <w:b/>
          <w:bCs/>
          <w:szCs w:val="22"/>
          <w:lang w:val="es-ES"/>
        </w:rPr>
        <w:t>2023_F.pdf</w:t>
      </w:r>
    </w:p>
    <w:p w14:paraId="21D1F7D9" w14:textId="01935F93" w:rsidR="000128F2" w:rsidRPr="007559E5" w:rsidRDefault="00FB380E" w:rsidP="00FB380E">
      <w:pPr>
        <w:pStyle w:val="Prrafodelista"/>
        <w:ind w:left="1068"/>
        <w:rPr>
          <w:rFonts w:cs="Tahoma"/>
          <w:bCs/>
          <w:szCs w:val="22"/>
          <w:lang w:val="es-ES"/>
        </w:rPr>
      </w:pPr>
      <w:r w:rsidRPr="007559E5">
        <w:rPr>
          <w:rFonts w:cs="Tahoma"/>
          <w:bCs/>
          <w:szCs w:val="22"/>
          <w:lang w:val="es-ES"/>
        </w:rPr>
        <w:t>Archivo constante de 90 páginas, en las que se aprecian divers</w:t>
      </w:r>
      <w:r w:rsidR="009F3862" w:rsidRPr="007559E5">
        <w:rPr>
          <w:rFonts w:cs="Tahoma"/>
          <w:bCs/>
          <w:szCs w:val="22"/>
          <w:lang w:val="es-ES"/>
        </w:rPr>
        <w:t xml:space="preserve">os gastos sujetos a comprobación, </w:t>
      </w:r>
      <w:proofErr w:type="spellStart"/>
      <w:r w:rsidR="009F3862" w:rsidRPr="007559E5">
        <w:rPr>
          <w:rFonts w:cs="Tahoma"/>
          <w:bCs/>
          <w:szCs w:val="22"/>
          <w:lang w:val="es-ES"/>
        </w:rPr>
        <w:t>tikets</w:t>
      </w:r>
      <w:proofErr w:type="spellEnd"/>
      <w:r w:rsidR="009F3862" w:rsidRPr="007559E5">
        <w:rPr>
          <w:rFonts w:cs="Tahoma"/>
          <w:bCs/>
          <w:szCs w:val="22"/>
          <w:lang w:val="es-ES"/>
        </w:rPr>
        <w:t xml:space="preserve"> de comprobación de gasto de combustible.</w:t>
      </w:r>
    </w:p>
    <w:p w14:paraId="273E7317" w14:textId="1AA83F43" w:rsidR="000128F2" w:rsidRDefault="000128F2" w:rsidP="000128F2">
      <w:pPr>
        <w:pStyle w:val="Prrafodelista"/>
        <w:autoSpaceDE w:val="0"/>
        <w:autoSpaceDN w:val="0"/>
        <w:adjustRightInd w:val="0"/>
        <w:ind w:left="1068" w:right="-28"/>
        <w:rPr>
          <w:rFonts w:cs="Tahoma"/>
          <w:b/>
          <w:bCs/>
          <w:szCs w:val="22"/>
          <w:lang w:val="es-ES"/>
        </w:rPr>
      </w:pPr>
    </w:p>
    <w:p w14:paraId="438FB439" w14:textId="77777777" w:rsidR="00905835" w:rsidRPr="007559E5" w:rsidRDefault="00905835" w:rsidP="000128F2">
      <w:pPr>
        <w:pStyle w:val="Prrafodelista"/>
        <w:autoSpaceDE w:val="0"/>
        <w:autoSpaceDN w:val="0"/>
        <w:adjustRightInd w:val="0"/>
        <w:ind w:left="1068" w:right="-28"/>
        <w:rPr>
          <w:rFonts w:cs="Tahoma"/>
          <w:b/>
          <w:bCs/>
          <w:szCs w:val="22"/>
          <w:lang w:val="es-ES"/>
        </w:rPr>
      </w:pPr>
    </w:p>
    <w:p w14:paraId="705534B4" w14:textId="77777777" w:rsidR="000128F2" w:rsidRPr="007559E5" w:rsidRDefault="000128F2" w:rsidP="000128F2">
      <w:pPr>
        <w:pStyle w:val="Prrafodelista"/>
        <w:numPr>
          <w:ilvl w:val="0"/>
          <w:numId w:val="9"/>
        </w:numPr>
        <w:autoSpaceDE w:val="0"/>
        <w:autoSpaceDN w:val="0"/>
        <w:adjustRightInd w:val="0"/>
        <w:ind w:right="-28"/>
        <w:rPr>
          <w:rFonts w:cs="Tahoma"/>
          <w:b/>
          <w:bCs/>
          <w:szCs w:val="22"/>
          <w:lang w:val="es-ES"/>
        </w:rPr>
      </w:pPr>
      <w:r w:rsidRPr="007559E5">
        <w:rPr>
          <w:rFonts w:cs="Tahoma"/>
          <w:b/>
          <w:bCs/>
          <w:szCs w:val="22"/>
          <w:lang w:val="es-ES"/>
        </w:rPr>
        <w:lastRenderedPageBreak/>
        <w:t>2024_F.pdf</w:t>
      </w:r>
    </w:p>
    <w:p w14:paraId="6145E25E" w14:textId="3EF022DB" w:rsidR="009F3862" w:rsidRPr="007559E5" w:rsidRDefault="009F3862" w:rsidP="009F3862">
      <w:pPr>
        <w:pStyle w:val="Prrafodelista"/>
        <w:ind w:left="1068"/>
        <w:rPr>
          <w:rFonts w:cs="Tahoma"/>
          <w:bCs/>
          <w:szCs w:val="22"/>
          <w:lang w:val="es-ES"/>
        </w:rPr>
      </w:pPr>
      <w:r w:rsidRPr="007559E5">
        <w:rPr>
          <w:rFonts w:cs="Tahoma"/>
          <w:bCs/>
          <w:szCs w:val="22"/>
          <w:lang w:val="es-ES"/>
        </w:rPr>
        <w:t>Archivo constante de 142 páginas, en las que se aprecian diversos gastos sujetos a comprobación, tickets de comprobación de gasto de combustible.</w:t>
      </w:r>
    </w:p>
    <w:p w14:paraId="7D538FD3" w14:textId="77777777" w:rsidR="000128F2" w:rsidRPr="007559E5" w:rsidRDefault="000128F2" w:rsidP="000128F2">
      <w:pPr>
        <w:pStyle w:val="Prrafodelista"/>
        <w:autoSpaceDE w:val="0"/>
        <w:autoSpaceDN w:val="0"/>
        <w:adjustRightInd w:val="0"/>
        <w:ind w:left="1068" w:right="-28"/>
        <w:rPr>
          <w:rFonts w:cs="Tahoma"/>
          <w:b/>
          <w:bCs/>
          <w:szCs w:val="22"/>
          <w:lang w:val="es-ES"/>
        </w:rPr>
      </w:pPr>
    </w:p>
    <w:p w14:paraId="04E8D234" w14:textId="0FD3D73A" w:rsidR="00BA0CF7" w:rsidRPr="007559E5" w:rsidRDefault="000128F2" w:rsidP="000128F2">
      <w:pPr>
        <w:pStyle w:val="Prrafodelista"/>
        <w:numPr>
          <w:ilvl w:val="0"/>
          <w:numId w:val="9"/>
        </w:numPr>
        <w:autoSpaceDE w:val="0"/>
        <w:autoSpaceDN w:val="0"/>
        <w:adjustRightInd w:val="0"/>
        <w:ind w:right="-28"/>
        <w:rPr>
          <w:rFonts w:cs="Tahoma"/>
          <w:b/>
          <w:bCs/>
          <w:szCs w:val="22"/>
          <w:lang w:val="es-ES"/>
        </w:rPr>
      </w:pPr>
      <w:r w:rsidRPr="007559E5">
        <w:rPr>
          <w:rFonts w:cs="Tahoma"/>
          <w:b/>
          <w:bCs/>
          <w:szCs w:val="22"/>
          <w:lang w:val="es-ES"/>
        </w:rPr>
        <w:t>OFICIO RESPUESTA 2259-2024 UT.pdf</w:t>
      </w:r>
      <w:r w:rsidR="009C7CDB" w:rsidRPr="007559E5">
        <w:rPr>
          <w:rFonts w:cs="Tahoma"/>
          <w:b/>
          <w:bCs/>
          <w:szCs w:val="22"/>
          <w:lang w:val="es-ES"/>
        </w:rPr>
        <w:t>.</w:t>
      </w:r>
    </w:p>
    <w:p w14:paraId="4DA9C35B" w14:textId="1743B445" w:rsidR="009C7CDB" w:rsidRPr="007559E5" w:rsidRDefault="009F3862" w:rsidP="009F3862">
      <w:pPr>
        <w:autoSpaceDE w:val="0"/>
        <w:autoSpaceDN w:val="0"/>
        <w:adjustRightInd w:val="0"/>
        <w:ind w:left="1068" w:right="-28"/>
        <w:rPr>
          <w:rFonts w:cs="Tahoma"/>
          <w:bCs/>
          <w:szCs w:val="22"/>
          <w:lang w:val="es-ES"/>
        </w:rPr>
      </w:pPr>
      <w:r w:rsidRPr="007559E5">
        <w:rPr>
          <w:rFonts w:cs="Tahoma"/>
          <w:bCs/>
          <w:szCs w:val="22"/>
          <w:lang w:val="es-ES"/>
        </w:rPr>
        <w:t xml:space="preserve">Oficio dirigido al solicitante, suscrito por la jefa de la Unidad de Transparencia, en el que le indica que en archivo adjunto encontrará la copia digitalizada en formato </w:t>
      </w:r>
      <w:proofErr w:type="spellStart"/>
      <w:r w:rsidRPr="007559E5">
        <w:rPr>
          <w:rFonts w:cs="Tahoma"/>
          <w:bCs/>
          <w:szCs w:val="22"/>
          <w:lang w:val="es-ES"/>
        </w:rPr>
        <w:t>pdf</w:t>
      </w:r>
      <w:proofErr w:type="spellEnd"/>
      <w:r w:rsidRPr="007559E5">
        <w:rPr>
          <w:rFonts w:cs="Tahoma"/>
          <w:bCs/>
          <w:szCs w:val="22"/>
          <w:lang w:val="es-ES"/>
        </w:rPr>
        <w:t xml:space="preserve"> del oficio emitido por la persona servidora pública habilitada de la Dirección de Administración.</w:t>
      </w:r>
    </w:p>
    <w:p w14:paraId="54E787A0" w14:textId="77777777" w:rsidR="009F3862" w:rsidRPr="007559E5" w:rsidRDefault="009F3862" w:rsidP="009F3862">
      <w:pPr>
        <w:autoSpaceDE w:val="0"/>
        <w:autoSpaceDN w:val="0"/>
        <w:adjustRightInd w:val="0"/>
        <w:ind w:left="1068" w:right="-28"/>
        <w:rPr>
          <w:rFonts w:cs="Tahoma"/>
          <w:bCs/>
          <w:szCs w:val="22"/>
          <w:lang w:val="es-ES"/>
        </w:rPr>
      </w:pPr>
    </w:p>
    <w:p w14:paraId="5A5DAB9E" w14:textId="77777777" w:rsidR="00E37A3F" w:rsidRPr="007559E5" w:rsidRDefault="00E37A3F" w:rsidP="00DE1133">
      <w:pPr>
        <w:pStyle w:val="Ttulo2"/>
        <w:jc w:val="left"/>
        <w:rPr>
          <w:szCs w:val="22"/>
        </w:rPr>
      </w:pPr>
      <w:bookmarkStart w:id="10" w:name="_Toc179924355"/>
      <w:r w:rsidRPr="007559E5">
        <w:rPr>
          <w:szCs w:val="22"/>
        </w:rPr>
        <w:t>DEL RECURSO DE REVISIÓN</w:t>
      </w:r>
      <w:bookmarkEnd w:id="10"/>
    </w:p>
    <w:p w14:paraId="2B216813" w14:textId="61ADBB2B" w:rsidR="00664420" w:rsidRPr="007559E5" w:rsidRDefault="006E25BC" w:rsidP="006E25BC">
      <w:pPr>
        <w:pStyle w:val="Ttulo3"/>
        <w:rPr>
          <w:szCs w:val="22"/>
        </w:rPr>
      </w:pPr>
      <w:bookmarkStart w:id="11" w:name="_Toc179924356"/>
      <w:r w:rsidRPr="007559E5">
        <w:rPr>
          <w:szCs w:val="22"/>
        </w:rPr>
        <w:t xml:space="preserve">a) </w:t>
      </w:r>
      <w:r w:rsidR="00664420" w:rsidRPr="007559E5">
        <w:rPr>
          <w:szCs w:val="22"/>
        </w:rPr>
        <w:t>Interposición del Recurso de Revisión</w:t>
      </w:r>
      <w:bookmarkEnd w:id="11"/>
    </w:p>
    <w:p w14:paraId="6279C622" w14:textId="08406942" w:rsidR="00664420" w:rsidRPr="007559E5" w:rsidRDefault="00664420" w:rsidP="00664420">
      <w:pPr>
        <w:autoSpaceDE w:val="0"/>
        <w:autoSpaceDN w:val="0"/>
        <w:adjustRightInd w:val="0"/>
        <w:ind w:right="-28"/>
        <w:rPr>
          <w:rFonts w:cs="Tahoma"/>
          <w:szCs w:val="22"/>
        </w:rPr>
      </w:pPr>
      <w:r w:rsidRPr="007559E5">
        <w:rPr>
          <w:rFonts w:cs="Tahoma"/>
          <w:szCs w:val="22"/>
        </w:rPr>
        <w:t xml:space="preserve">El </w:t>
      </w:r>
      <w:r w:rsidR="000128F2" w:rsidRPr="007559E5">
        <w:rPr>
          <w:rFonts w:cs="Tahoma"/>
          <w:b/>
          <w:bCs/>
          <w:szCs w:val="22"/>
        </w:rPr>
        <w:t>doce</w:t>
      </w:r>
      <w:r w:rsidR="009C7CDB" w:rsidRPr="007559E5">
        <w:rPr>
          <w:rFonts w:cs="Tahoma"/>
          <w:b/>
          <w:bCs/>
          <w:szCs w:val="22"/>
        </w:rPr>
        <w:t xml:space="preserve"> de agosto</w:t>
      </w:r>
      <w:r w:rsidRPr="007559E5">
        <w:rPr>
          <w:rFonts w:cs="Tahoma"/>
          <w:b/>
          <w:bCs/>
          <w:szCs w:val="22"/>
        </w:rPr>
        <w:t xml:space="preserve"> de dos mil </w:t>
      </w:r>
      <w:r w:rsidR="00E810F7" w:rsidRPr="007559E5">
        <w:rPr>
          <w:rFonts w:cs="Tahoma"/>
          <w:b/>
          <w:bCs/>
          <w:szCs w:val="22"/>
        </w:rPr>
        <w:t>veinticuatro</w:t>
      </w:r>
      <w:r w:rsidR="009C7CDB" w:rsidRPr="007559E5">
        <w:rPr>
          <w:rFonts w:cs="Tahoma"/>
          <w:b/>
          <w:bCs/>
          <w:szCs w:val="22"/>
        </w:rPr>
        <w:t>,</w:t>
      </w:r>
      <w:r w:rsidRPr="007559E5">
        <w:rPr>
          <w:rFonts w:cs="Tahoma"/>
          <w:szCs w:val="22"/>
        </w:rPr>
        <w:t xml:space="preserve"> </w:t>
      </w:r>
      <w:r w:rsidR="00F75D23" w:rsidRPr="007559E5">
        <w:rPr>
          <w:rFonts w:cs="Tahoma"/>
          <w:b/>
          <w:bCs/>
          <w:szCs w:val="22"/>
        </w:rPr>
        <w:t>LA PARTE RECURRENTE</w:t>
      </w:r>
      <w:r w:rsidR="00F75D23" w:rsidRPr="007559E5">
        <w:rPr>
          <w:rFonts w:cs="Tahoma"/>
          <w:szCs w:val="22"/>
        </w:rPr>
        <w:t xml:space="preserve"> interpuso el recurso de revisión en contra de la respuesta emitida por el </w:t>
      </w:r>
      <w:r w:rsidR="00F75D23" w:rsidRPr="007559E5">
        <w:rPr>
          <w:rFonts w:cs="Tahoma"/>
          <w:b/>
          <w:bCs/>
          <w:szCs w:val="22"/>
        </w:rPr>
        <w:t>SUJETO OBLIGADO</w:t>
      </w:r>
      <w:r w:rsidR="00953430" w:rsidRPr="007559E5">
        <w:rPr>
          <w:rFonts w:cs="Tahoma"/>
          <w:szCs w:val="22"/>
        </w:rPr>
        <w:t xml:space="preserve">, mismo que fue registrado en el </w:t>
      </w:r>
      <w:r w:rsidR="00953430" w:rsidRPr="007559E5">
        <w:rPr>
          <w:rFonts w:cs="Tahoma"/>
          <w:b/>
          <w:szCs w:val="22"/>
        </w:rPr>
        <w:t>SAIMEX</w:t>
      </w:r>
      <w:r w:rsidR="00953430" w:rsidRPr="007559E5">
        <w:rPr>
          <w:rFonts w:cs="Tahoma"/>
          <w:szCs w:val="22"/>
        </w:rPr>
        <w:t xml:space="preserve"> con el número de expediente </w:t>
      </w:r>
      <w:r w:rsidR="00883EE6" w:rsidRPr="007559E5">
        <w:rPr>
          <w:rFonts w:cs="Tahoma"/>
          <w:b/>
          <w:bCs/>
          <w:szCs w:val="22"/>
        </w:rPr>
        <w:t>04792/INFOEM/IP/RR/2024</w:t>
      </w:r>
      <w:r w:rsidR="00953430" w:rsidRPr="007559E5">
        <w:rPr>
          <w:rFonts w:cs="Tahoma"/>
          <w:szCs w:val="22"/>
        </w:rPr>
        <w:t>, y en el cual manifiesta lo siguiente</w:t>
      </w:r>
      <w:r w:rsidRPr="007559E5">
        <w:rPr>
          <w:rFonts w:cs="Tahoma"/>
          <w:szCs w:val="22"/>
        </w:rPr>
        <w:t>:</w:t>
      </w:r>
    </w:p>
    <w:p w14:paraId="74B30008" w14:textId="77777777" w:rsidR="00664420" w:rsidRPr="007559E5" w:rsidRDefault="00664420" w:rsidP="00664420">
      <w:pPr>
        <w:tabs>
          <w:tab w:val="left" w:pos="4667"/>
        </w:tabs>
        <w:ind w:right="539"/>
        <w:rPr>
          <w:rFonts w:cs="Tahoma"/>
          <w:szCs w:val="22"/>
        </w:rPr>
      </w:pPr>
    </w:p>
    <w:p w14:paraId="6900A410" w14:textId="77777777" w:rsidR="0009347C" w:rsidRPr="007559E5" w:rsidRDefault="00664420" w:rsidP="00664420">
      <w:pPr>
        <w:tabs>
          <w:tab w:val="left" w:pos="4667"/>
        </w:tabs>
        <w:ind w:left="567" w:right="539"/>
        <w:rPr>
          <w:rFonts w:cs="Tahoma"/>
          <w:b/>
          <w:iCs/>
          <w:szCs w:val="22"/>
        </w:rPr>
      </w:pPr>
      <w:r w:rsidRPr="007559E5">
        <w:rPr>
          <w:rFonts w:cs="Tahoma"/>
          <w:b/>
          <w:iCs/>
          <w:szCs w:val="22"/>
        </w:rPr>
        <w:t>ACTO IMPUGNADO</w:t>
      </w:r>
    </w:p>
    <w:p w14:paraId="1069BF0B" w14:textId="428BA26B" w:rsidR="002E2C99" w:rsidRPr="007559E5" w:rsidRDefault="000128F2" w:rsidP="00664420">
      <w:pPr>
        <w:tabs>
          <w:tab w:val="left" w:pos="4667"/>
        </w:tabs>
        <w:ind w:left="567" w:right="539"/>
        <w:rPr>
          <w:rFonts w:eastAsiaTheme="majorEastAsia" w:cstheme="majorBidi"/>
          <w:i/>
          <w:kern w:val="28"/>
          <w:szCs w:val="56"/>
        </w:rPr>
      </w:pPr>
      <w:r w:rsidRPr="007559E5">
        <w:rPr>
          <w:rFonts w:eastAsiaTheme="majorEastAsia" w:cstheme="majorBidi"/>
          <w:i/>
          <w:kern w:val="28"/>
          <w:szCs w:val="56"/>
        </w:rPr>
        <w:t>LA RESPUESTA DEL SUJETO OBLIGADO</w:t>
      </w:r>
    </w:p>
    <w:p w14:paraId="01E2C94D" w14:textId="77777777" w:rsidR="000128F2" w:rsidRPr="007559E5" w:rsidRDefault="000128F2" w:rsidP="00664420">
      <w:pPr>
        <w:tabs>
          <w:tab w:val="left" w:pos="4667"/>
        </w:tabs>
        <w:ind w:left="567" w:right="539"/>
        <w:rPr>
          <w:rFonts w:cs="Tahoma"/>
          <w:b/>
          <w:iCs/>
          <w:szCs w:val="22"/>
        </w:rPr>
      </w:pPr>
    </w:p>
    <w:p w14:paraId="047D036B" w14:textId="77777777" w:rsidR="00664420" w:rsidRPr="007559E5" w:rsidRDefault="00664420" w:rsidP="00664420">
      <w:pPr>
        <w:tabs>
          <w:tab w:val="left" w:pos="4667"/>
        </w:tabs>
        <w:ind w:left="567" w:right="539"/>
        <w:rPr>
          <w:rFonts w:cs="Tahoma"/>
          <w:b/>
          <w:iCs/>
          <w:szCs w:val="22"/>
        </w:rPr>
      </w:pPr>
      <w:r w:rsidRPr="007559E5">
        <w:rPr>
          <w:rFonts w:cs="Tahoma"/>
          <w:b/>
          <w:iCs/>
          <w:szCs w:val="22"/>
        </w:rPr>
        <w:t>RAZONES O MOTIVOS DE LA INCONFORMIDAD</w:t>
      </w:r>
      <w:r w:rsidRPr="007559E5">
        <w:rPr>
          <w:rFonts w:cs="Tahoma"/>
          <w:b/>
          <w:iCs/>
          <w:szCs w:val="22"/>
        </w:rPr>
        <w:tab/>
      </w:r>
    </w:p>
    <w:p w14:paraId="503AD335" w14:textId="74CB517A" w:rsidR="002E2C99" w:rsidRPr="007559E5" w:rsidRDefault="000128F2" w:rsidP="000128F2">
      <w:pPr>
        <w:tabs>
          <w:tab w:val="left" w:pos="4667"/>
          <w:tab w:val="left" w:pos="8477"/>
        </w:tabs>
        <w:ind w:left="567" w:right="567"/>
        <w:rPr>
          <w:rFonts w:eastAsiaTheme="majorEastAsia" w:cstheme="majorBidi"/>
          <w:i/>
          <w:kern w:val="28"/>
          <w:szCs w:val="56"/>
        </w:rPr>
      </w:pPr>
      <w:r w:rsidRPr="007559E5">
        <w:rPr>
          <w:rFonts w:eastAsiaTheme="majorEastAsia" w:cstheme="majorBidi"/>
          <w:i/>
          <w:kern w:val="28"/>
          <w:szCs w:val="56"/>
        </w:rPr>
        <w:t xml:space="preserve">1. Referente al punto 5 “El gasto otorgado y aplicado para la función de las plantas eléctricas en los 170 órganos desconcentrados mismo que se genera en mantenimiento y gasolina, en cuestión de gasolina con que temporalidad se surtía la gasolina de las plantas eléctricas, el ticket y factura de gasolina para las plantas de energía eléctrica, así como el </w:t>
      </w:r>
      <w:r w:rsidRPr="007559E5">
        <w:rPr>
          <w:rFonts w:eastAsiaTheme="majorEastAsia" w:cstheme="majorBidi"/>
          <w:i/>
          <w:kern w:val="28"/>
          <w:szCs w:val="56"/>
        </w:rPr>
        <w:lastRenderedPageBreak/>
        <w:t xml:space="preserve">acuse de llegada de gasolina y deposito por parte de la vocalía ejecutiva de los 45 órganos distritales en el proceso electoral del 2023 y de 170 órganos municipales y distritales, del proceso electoral 2024”. De lo manifestado por la Dirección de Administración no se observa ni aprecia que lo manifestado sea lo correspondiente ya que no detalla con recibos o facturas que la cantidad $274, 690.00 se hayan utilizado en mantenimiento de las plantas eléctricas, en cuanto la cuestión de contabilidad mediante los formatos PDF que se anexaron en donde se aprecia que existe un sistema de dotación de combustible mismo que de un análisis detallado existen incongruencias ya que en tickets se aprecia validadas y corroboradas las comprobaciones y después de la comprobación surgen tickets pos fechados de la comprobación de los enlaces administrativos, así mismo el responsable de los órganos desconcentrados o juntas Electorales Distritales y Municipales son las Vocalías Ejecutivas mismo que tienen a su resguardo todo los bienes muebles y consumibles de papelería por lo que no es viable que no exista bitácora o acuse de recibo del combustible de gasolina para el uso de las plantas mismo que se justifica con las comprobaciones de los enlaces administrativos mismo que tampoco existe factura de los requerido y repartido en las juntas municipales y distritales. 2. Referente al punto 6 “Fondo fijo para los 170 órganos distritales y municipales, así como detalle de los gastos no comprobables por órgano municipal y distrital, con servicio, bien y costo en los procesos de los 45 órganos distritales en el proceso electoral del 2023 y de 170 órganos municipales y distritales, del proceso electoral 2024”. De lo manifestado por la Dirección de Administración no se observa ni aprecia que lo manifestado sea lo correspondiente ya que no menciona lo otorgado por cada área otorgado a los 170 órganos desconcentrados, del mismo modo no se comprueba los gastos del fondo revolvente que se utilizo en los procesos electorales 2023 y 2024. 3. Referente al punto 7.- “Cual es el gasto corriente de los coordinadores y/o enlaces de la dirección de administración, organización, participación ciudadana, unidad de </w:t>
      </w:r>
      <w:r w:rsidRPr="007559E5">
        <w:rPr>
          <w:rFonts w:eastAsiaTheme="majorEastAsia" w:cstheme="majorBidi"/>
          <w:i/>
          <w:kern w:val="28"/>
          <w:szCs w:val="56"/>
        </w:rPr>
        <w:lastRenderedPageBreak/>
        <w:t>informática, en gasolina, viáticos, renta de vehículos de uso particular para las actividades de cada coordinador y/o enlaces así como el saber si el pago del seguro de cada vehículo es pagado por parte del instituto o de un particular, del mismo modo detallar en caso de no contar con vehículo los coordinadores y/o enlaces de la dirección de administración, organización, participación ciudadana, unidad de informática como justifican el no tenerlo y si se otorgaba más viáticos para realizar los viajes en camión, y los tikets y facturas de cada viaje en el transporte público; así como el proceso de contratación y asignación de cada coordinador y/o enlaces, de la dirección de administración, organización, participación ciudadana y unidad de informática, en los procesos electorales del 2023 y 2024 de la elección de gobernador y de ayuntamientos”. De lo manifestado por la Dirección de Administración no se observa ni aprecia que lo manifestado sea lo correspondiente ya que no detalla lo otorgado por cada área y coordinador sobre los gastos, de sus vehículos utilizados así como los gastos de gasolina y viáticos.</w:t>
      </w:r>
    </w:p>
    <w:p w14:paraId="27FB108D" w14:textId="77777777" w:rsidR="000128F2" w:rsidRPr="007559E5" w:rsidRDefault="000128F2" w:rsidP="000128F2">
      <w:pPr>
        <w:tabs>
          <w:tab w:val="left" w:pos="4667"/>
          <w:tab w:val="left" w:pos="8477"/>
        </w:tabs>
        <w:ind w:right="567"/>
        <w:rPr>
          <w:rFonts w:eastAsiaTheme="majorEastAsia" w:cstheme="majorBidi"/>
          <w:i/>
          <w:kern w:val="28"/>
          <w:szCs w:val="56"/>
        </w:rPr>
      </w:pPr>
    </w:p>
    <w:p w14:paraId="21061800" w14:textId="78B0DD71" w:rsidR="0044329E" w:rsidRPr="007559E5" w:rsidRDefault="000128F2" w:rsidP="009F3862">
      <w:pPr>
        <w:tabs>
          <w:tab w:val="left" w:pos="4667"/>
          <w:tab w:val="left" w:pos="8477"/>
        </w:tabs>
        <w:ind w:right="567"/>
        <w:rPr>
          <w:rFonts w:eastAsiaTheme="majorEastAsia" w:cstheme="majorBidi"/>
          <w:kern w:val="28"/>
          <w:szCs w:val="56"/>
        </w:rPr>
      </w:pPr>
      <w:r w:rsidRPr="007559E5">
        <w:rPr>
          <w:rFonts w:eastAsiaTheme="majorEastAsia" w:cstheme="majorBidi"/>
          <w:kern w:val="28"/>
          <w:szCs w:val="56"/>
        </w:rPr>
        <w:t xml:space="preserve">Cabe señalar que </w:t>
      </w:r>
      <w:r w:rsidRPr="007559E5">
        <w:rPr>
          <w:rFonts w:eastAsiaTheme="majorEastAsia" w:cstheme="majorBidi"/>
          <w:b/>
          <w:kern w:val="28"/>
          <w:szCs w:val="56"/>
        </w:rPr>
        <w:t xml:space="preserve">LA </w:t>
      </w:r>
      <w:r w:rsidR="002B7591" w:rsidRPr="007559E5">
        <w:rPr>
          <w:rFonts w:eastAsiaTheme="majorEastAsia" w:cstheme="majorBidi"/>
          <w:b/>
          <w:kern w:val="28"/>
          <w:szCs w:val="56"/>
        </w:rPr>
        <w:t xml:space="preserve">PARTE </w:t>
      </w:r>
      <w:r w:rsidRPr="007559E5">
        <w:rPr>
          <w:rFonts w:eastAsiaTheme="majorEastAsia" w:cstheme="majorBidi"/>
          <w:b/>
          <w:kern w:val="28"/>
          <w:szCs w:val="56"/>
        </w:rPr>
        <w:t xml:space="preserve">RECURRENTE </w:t>
      </w:r>
      <w:r w:rsidRPr="007559E5">
        <w:rPr>
          <w:rFonts w:eastAsiaTheme="majorEastAsia" w:cstheme="majorBidi"/>
          <w:kern w:val="28"/>
          <w:szCs w:val="56"/>
        </w:rPr>
        <w:t xml:space="preserve">adjuntó los archivos </w:t>
      </w:r>
      <w:r w:rsidR="009F3862" w:rsidRPr="007559E5">
        <w:rPr>
          <w:rFonts w:eastAsiaTheme="majorEastAsia" w:cstheme="majorBidi"/>
          <w:kern w:val="28"/>
          <w:szCs w:val="56"/>
        </w:rPr>
        <w:t xml:space="preserve">bajo las denominaciones </w:t>
      </w:r>
      <w:r w:rsidR="0044329E" w:rsidRPr="007559E5">
        <w:rPr>
          <w:rFonts w:eastAsiaTheme="majorEastAsia" w:cstheme="majorBidi"/>
          <w:b/>
          <w:i/>
          <w:kern w:val="28"/>
          <w:szCs w:val="56"/>
        </w:rPr>
        <w:t>2023_F.pdf</w:t>
      </w:r>
      <w:r w:rsidR="009F3862" w:rsidRPr="007559E5">
        <w:rPr>
          <w:rFonts w:eastAsiaTheme="majorEastAsia" w:cstheme="majorBidi"/>
          <w:b/>
          <w:i/>
          <w:kern w:val="28"/>
          <w:szCs w:val="56"/>
        </w:rPr>
        <w:t xml:space="preserve">, </w:t>
      </w:r>
      <w:r w:rsidR="0044329E" w:rsidRPr="007559E5">
        <w:rPr>
          <w:rFonts w:eastAsiaTheme="majorEastAsia" w:cstheme="majorBidi"/>
          <w:b/>
          <w:i/>
          <w:kern w:val="28"/>
          <w:szCs w:val="56"/>
        </w:rPr>
        <w:t>IEEM-DA-5297-2024.pdf</w:t>
      </w:r>
      <w:r w:rsidR="009F3862" w:rsidRPr="007559E5">
        <w:rPr>
          <w:rFonts w:eastAsiaTheme="majorEastAsia" w:cstheme="majorBidi"/>
          <w:b/>
          <w:i/>
          <w:kern w:val="28"/>
          <w:szCs w:val="56"/>
        </w:rPr>
        <w:t xml:space="preserve"> </w:t>
      </w:r>
      <w:r w:rsidR="009F3862" w:rsidRPr="007559E5">
        <w:rPr>
          <w:rFonts w:eastAsiaTheme="majorEastAsia" w:cstheme="majorBidi"/>
          <w:kern w:val="28"/>
          <w:szCs w:val="56"/>
        </w:rPr>
        <w:t xml:space="preserve">y </w:t>
      </w:r>
      <w:r w:rsidR="0044329E" w:rsidRPr="007559E5">
        <w:rPr>
          <w:rFonts w:eastAsiaTheme="majorEastAsia" w:cstheme="majorBidi"/>
          <w:b/>
          <w:i/>
          <w:kern w:val="28"/>
          <w:szCs w:val="56"/>
        </w:rPr>
        <w:t>2024_F.pdf</w:t>
      </w:r>
      <w:r w:rsidR="009F3862" w:rsidRPr="007559E5">
        <w:rPr>
          <w:rFonts w:eastAsiaTheme="majorEastAsia" w:cstheme="majorBidi"/>
          <w:b/>
          <w:i/>
          <w:kern w:val="28"/>
          <w:szCs w:val="56"/>
        </w:rPr>
        <w:t xml:space="preserve"> </w:t>
      </w:r>
      <w:r w:rsidR="009F3862" w:rsidRPr="007559E5">
        <w:rPr>
          <w:rFonts w:eastAsiaTheme="majorEastAsia" w:cstheme="majorBidi"/>
          <w:kern w:val="28"/>
          <w:szCs w:val="56"/>
        </w:rPr>
        <w:t>los cuales corresponden a los archivos adjuntos a la respuesta del Sujeto obligado previamente descritos.</w:t>
      </w:r>
    </w:p>
    <w:p w14:paraId="1854190D" w14:textId="77777777" w:rsidR="000128F2" w:rsidRPr="007559E5" w:rsidRDefault="000128F2" w:rsidP="000128F2">
      <w:pPr>
        <w:tabs>
          <w:tab w:val="left" w:pos="4667"/>
          <w:tab w:val="left" w:pos="8477"/>
        </w:tabs>
        <w:ind w:right="567"/>
        <w:rPr>
          <w:rFonts w:cs="Tahoma"/>
          <w:bCs/>
          <w:szCs w:val="22"/>
        </w:rPr>
      </w:pPr>
    </w:p>
    <w:p w14:paraId="6804DEF1" w14:textId="3C4F6CB5" w:rsidR="00664420" w:rsidRPr="007559E5" w:rsidRDefault="006E25BC" w:rsidP="006E25BC">
      <w:pPr>
        <w:pStyle w:val="Ttulo3"/>
        <w:rPr>
          <w:szCs w:val="22"/>
        </w:rPr>
      </w:pPr>
      <w:bookmarkStart w:id="12" w:name="_Toc179924357"/>
      <w:r w:rsidRPr="007559E5">
        <w:rPr>
          <w:szCs w:val="22"/>
        </w:rPr>
        <w:t>b</w:t>
      </w:r>
      <w:r w:rsidR="00664420" w:rsidRPr="007559E5">
        <w:rPr>
          <w:szCs w:val="22"/>
        </w:rPr>
        <w:t>) Turno del Recurso de Revisión</w:t>
      </w:r>
      <w:bookmarkEnd w:id="12"/>
    </w:p>
    <w:p w14:paraId="1173671B" w14:textId="57F3995E" w:rsidR="00C72DAA" w:rsidRPr="007559E5" w:rsidRDefault="00C72DAA" w:rsidP="00C72DAA">
      <w:pPr>
        <w:rPr>
          <w:szCs w:val="22"/>
        </w:rPr>
      </w:pPr>
      <w:r w:rsidRPr="007559E5">
        <w:rPr>
          <w:szCs w:val="22"/>
        </w:rPr>
        <w:t>Con fundamento en el artículo 185, fracción I de la Ley de Transparencia y Acceso a la Información Pública del Estado de México y Municipios, el</w:t>
      </w:r>
      <w:r w:rsidRPr="007559E5">
        <w:rPr>
          <w:b/>
          <w:bCs/>
          <w:szCs w:val="22"/>
        </w:rPr>
        <w:t xml:space="preserve"> </w:t>
      </w:r>
      <w:r w:rsidR="000128F2" w:rsidRPr="007559E5">
        <w:rPr>
          <w:rFonts w:cs="Tahoma"/>
          <w:b/>
          <w:bCs/>
          <w:szCs w:val="22"/>
        </w:rPr>
        <w:t>doce de agosto</w:t>
      </w:r>
      <w:r w:rsidR="004252F1" w:rsidRPr="007559E5">
        <w:rPr>
          <w:rFonts w:cs="Tahoma"/>
          <w:b/>
          <w:bCs/>
          <w:szCs w:val="22"/>
        </w:rPr>
        <w:t xml:space="preserve"> de dos mil veinticuatro</w:t>
      </w:r>
      <w:r w:rsidR="00003628" w:rsidRPr="007559E5">
        <w:rPr>
          <w:rFonts w:cs="Tahoma"/>
          <w:b/>
          <w:bCs/>
          <w:szCs w:val="22"/>
        </w:rPr>
        <w:t>,</w:t>
      </w:r>
      <w:r w:rsidRPr="007559E5">
        <w:rPr>
          <w:szCs w:val="22"/>
        </w:rPr>
        <w:t xml:space="preserve"> se turnó el recurso de revisión a través del</w:t>
      </w:r>
      <w:r w:rsidRPr="007559E5">
        <w:rPr>
          <w:rFonts w:eastAsia="Arial Unicode MS"/>
          <w:szCs w:val="22"/>
        </w:rPr>
        <w:t xml:space="preserve"> </w:t>
      </w:r>
      <w:r w:rsidRPr="007559E5">
        <w:rPr>
          <w:rFonts w:eastAsia="Arial Unicode MS"/>
          <w:bCs/>
          <w:szCs w:val="22"/>
        </w:rPr>
        <w:t>SAIMEX</w:t>
      </w:r>
      <w:r w:rsidRPr="007559E5">
        <w:rPr>
          <w:szCs w:val="22"/>
        </w:rPr>
        <w:t xml:space="preserve"> a la </w:t>
      </w:r>
      <w:r w:rsidRPr="007559E5">
        <w:rPr>
          <w:b/>
          <w:szCs w:val="22"/>
        </w:rPr>
        <w:t>Comisionada Sharon Cristina Morales Martínez</w:t>
      </w:r>
      <w:r w:rsidRPr="007559E5">
        <w:rPr>
          <w:bCs/>
          <w:szCs w:val="22"/>
        </w:rPr>
        <w:t xml:space="preserve">, </w:t>
      </w:r>
      <w:r w:rsidRPr="007559E5">
        <w:rPr>
          <w:szCs w:val="22"/>
        </w:rPr>
        <w:t xml:space="preserve">a efecto de decretar su admisión o desechamiento. </w:t>
      </w:r>
    </w:p>
    <w:p w14:paraId="18F305CB" w14:textId="77777777" w:rsidR="00664420" w:rsidRPr="007559E5" w:rsidRDefault="00664420" w:rsidP="00664420">
      <w:pPr>
        <w:rPr>
          <w:rFonts w:eastAsia="Batang" w:cs="Tahoma"/>
          <w:bCs/>
          <w:szCs w:val="22"/>
        </w:rPr>
      </w:pPr>
    </w:p>
    <w:p w14:paraId="3E31EC2D" w14:textId="295256A1" w:rsidR="00664420" w:rsidRPr="007559E5" w:rsidRDefault="006E25BC" w:rsidP="006E25BC">
      <w:pPr>
        <w:pStyle w:val="Ttulo3"/>
        <w:rPr>
          <w:szCs w:val="22"/>
        </w:rPr>
      </w:pPr>
      <w:bookmarkStart w:id="13" w:name="_Toc179924358"/>
      <w:r w:rsidRPr="007559E5">
        <w:rPr>
          <w:szCs w:val="22"/>
        </w:rPr>
        <w:lastRenderedPageBreak/>
        <w:t>c</w:t>
      </w:r>
      <w:r w:rsidR="00664420" w:rsidRPr="007559E5">
        <w:rPr>
          <w:szCs w:val="22"/>
        </w:rPr>
        <w:t>) Admisión del Recurso de Revisión</w:t>
      </w:r>
      <w:bookmarkEnd w:id="13"/>
    </w:p>
    <w:p w14:paraId="240447D5" w14:textId="00EDE9EE" w:rsidR="000E09C4" w:rsidRPr="007559E5" w:rsidRDefault="000E09C4" w:rsidP="000E09C4">
      <w:pPr>
        <w:rPr>
          <w:rFonts w:cs="Arial"/>
          <w:color w:val="000000" w:themeColor="text1"/>
          <w:szCs w:val="22"/>
        </w:rPr>
      </w:pPr>
      <w:r w:rsidRPr="007559E5">
        <w:rPr>
          <w:rFonts w:cs="Arial"/>
          <w:color w:val="000000" w:themeColor="text1"/>
          <w:szCs w:val="22"/>
        </w:rPr>
        <w:t xml:space="preserve">El </w:t>
      </w:r>
      <w:r w:rsidR="00F5289C" w:rsidRPr="007559E5">
        <w:rPr>
          <w:rFonts w:cs="Arial"/>
          <w:b/>
          <w:color w:val="000000" w:themeColor="text1"/>
          <w:szCs w:val="22"/>
        </w:rPr>
        <w:t xml:space="preserve"> trece</w:t>
      </w:r>
      <w:r w:rsidR="009C7CDB" w:rsidRPr="007559E5">
        <w:rPr>
          <w:rFonts w:cs="Arial"/>
          <w:b/>
          <w:bCs/>
          <w:szCs w:val="22"/>
        </w:rPr>
        <w:t xml:space="preserve"> de agosto</w:t>
      </w:r>
      <w:r w:rsidR="004252F1" w:rsidRPr="007559E5">
        <w:rPr>
          <w:rFonts w:cs="Arial"/>
          <w:b/>
          <w:bCs/>
          <w:szCs w:val="22"/>
        </w:rPr>
        <w:t xml:space="preserve"> de dos mil veinticuatro</w:t>
      </w:r>
      <w:r w:rsidR="00003628" w:rsidRPr="007559E5">
        <w:rPr>
          <w:rFonts w:cs="Arial"/>
          <w:b/>
          <w:bCs/>
          <w:szCs w:val="22"/>
        </w:rPr>
        <w:t>,</w:t>
      </w:r>
      <w:r w:rsidR="004252F1" w:rsidRPr="007559E5">
        <w:rPr>
          <w:rFonts w:cs="Arial"/>
          <w:color w:val="000000" w:themeColor="text1"/>
          <w:szCs w:val="22"/>
        </w:rPr>
        <w:t xml:space="preserve"> </w:t>
      </w:r>
      <w:r w:rsidRPr="007559E5">
        <w:rPr>
          <w:rFonts w:cs="Arial"/>
          <w:color w:val="000000" w:themeColor="text1"/>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559E5">
        <w:rPr>
          <w:rFonts w:cs="Arial"/>
          <w:color w:val="000000" w:themeColor="text1"/>
          <w:szCs w:val="22"/>
        </w:rPr>
        <w:t>, fracción II</w:t>
      </w:r>
      <w:r w:rsidRPr="007559E5">
        <w:rPr>
          <w:rFonts w:cs="Arial"/>
          <w:color w:val="000000" w:themeColor="text1"/>
          <w:szCs w:val="22"/>
        </w:rPr>
        <w:t xml:space="preserve"> de la Ley de Transparencia y Acceso a la Información Pública del Estado de México y Municipios.</w:t>
      </w:r>
    </w:p>
    <w:p w14:paraId="34EC3F86" w14:textId="77777777" w:rsidR="00D2790D" w:rsidRPr="007559E5" w:rsidRDefault="00D2790D" w:rsidP="000E09C4">
      <w:pPr>
        <w:rPr>
          <w:rFonts w:cs="Arial"/>
          <w:color w:val="000000" w:themeColor="text1"/>
          <w:szCs w:val="22"/>
        </w:rPr>
      </w:pPr>
    </w:p>
    <w:p w14:paraId="3B820F58" w14:textId="5EBF1699" w:rsidR="00865CF4" w:rsidRPr="007559E5" w:rsidRDefault="006E25BC" w:rsidP="006E25BC">
      <w:pPr>
        <w:pStyle w:val="Ttulo3"/>
        <w:rPr>
          <w:szCs w:val="22"/>
        </w:rPr>
      </w:pPr>
      <w:bookmarkStart w:id="14" w:name="_Toc179924359"/>
      <w:r w:rsidRPr="007559E5">
        <w:rPr>
          <w:szCs w:val="22"/>
        </w:rPr>
        <w:t>d</w:t>
      </w:r>
      <w:r w:rsidR="00D2790D" w:rsidRPr="007559E5">
        <w:rPr>
          <w:szCs w:val="22"/>
        </w:rPr>
        <w:t xml:space="preserve">) </w:t>
      </w:r>
      <w:r w:rsidR="00865CF4" w:rsidRPr="007559E5">
        <w:rPr>
          <w:szCs w:val="22"/>
        </w:rPr>
        <w:t>Informe Justificado del Sujeto Obligado</w:t>
      </w:r>
      <w:bookmarkEnd w:id="14"/>
    </w:p>
    <w:p w14:paraId="1D3DF806" w14:textId="3B573955" w:rsidR="0096663A" w:rsidRPr="007559E5" w:rsidRDefault="0096663A" w:rsidP="0096663A">
      <w:pPr>
        <w:rPr>
          <w:iCs/>
          <w:szCs w:val="22"/>
        </w:rPr>
      </w:pPr>
      <w:r w:rsidRPr="007559E5">
        <w:rPr>
          <w:szCs w:val="22"/>
        </w:rPr>
        <w:t xml:space="preserve">El </w:t>
      </w:r>
      <w:r w:rsidR="0044329E" w:rsidRPr="007559E5">
        <w:rPr>
          <w:b/>
          <w:bCs/>
          <w:szCs w:val="22"/>
        </w:rPr>
        <w:t>veintiséis</w:t>
      </w:r>
      <w:r w:rsidR="009C7CDB" w:rsidRPr="007559E5">
        <w:rPr>
          <w:b/>
          <w:bCs/>
          <w:szCs w:val="22"/>
        </w:rPr>
        <w:t xml:space="preserve"> de agosto</w:t>
      </w:r>
      <w:r w:rsidR="004427CC" w:rsidRPr="007559E5">
        <w:rPr>
          <w:b/>
          <w:bCs/>
          <w:szCs w:val="22"/>
        </w:rPr>
        <w:t xml:space="preserve"> </w:t>
      </w:r>
      <w:r w:rsidR="004427CC" w:rsidRPr="007559E5">
        <w:rPr>
          <w:rFonts w:cs="Tahoma"/>
          <w:b/>
          <w:bCs/>
          <w:szCs w:val="22"/>
        </w:rPr>
        <w:t>de dos mil veinticuatro</w:t>
      </w:r>
      <w:r w:rsidR="004427CC" w:rsidRPr="007559E5">
        <w:rPr>
          <w:b/>
          <w:szCs w:val="22"/>
        </w:rPr>
        <w:t xml:space="preserve"> </w:t>
      </w:r>
      <w:r w:rsidRPr="007559E5">
        <w:rPr>
          <w:b/>
          <w:szCs w:val="22"/>
        </w:rPr>
        <w:t>EL SUJETO OBLIGADO</w:t>
      </w:r>
      <w:r w:rsidRPr="007559E5">
        <w:rPr>
          <w:szCs w:val="22"/>
        </w:rPr>
        <w:t xml:space="preserve"> rindió su informe justificado a través del SAIMEX, </w:t>
      </w:r>
      <w:r w:rsidR="002B7591" w:rsidRPr="007559E5">
        <w:rPr>
          <w:iCs/>
          <w:szCs w:val="22"/>
        </w:rPr>
        <w:t>a través de los archivos siguientes</w:t>
      </w:r>
      <w:r w:rsidR="004427CC" w:rsidRPr="007559E5">
        <w:rPr>
          <w:iCs/>
          <w:szCs w:val="22"/>
        </w:rPr>
        <w:t>:</w:t>
      </w:r>
    </w:p>
    <w:p w14:paraId="53A713D0" w14:textId="77777777" w:rsidR="005856CA" w:rsidRPr="007559E5" w:rsidRDefault="005856CA" w:rsidP="0096663A">
      <w:pPr>
        <w:rPr>
          <w:iCs/>
          <w:szCs w:val="22"/>
        </w:rPr>
      </w:pPr>
    </w:p>
    <w:p w14:paraId="195B1326" w14:textId="7F715F16" w:rsidR="0044329E" w:rsidRPr="007559E5" w:rsidRDefault="0044329E" w:rsidP="0044329E">
      <w:pPr>
        <w:pStyle w:val="Prrafodelista"/>
        <w:numPr>
          <w:ilvl w:val="0"/>
          <w:numId w:val="11"/>
        </w:numPr>
        <w:rPr>
          <w:b/>
          <w:i/>
          <w:szCs w:val="22"/>
        </w:rPr>
      </w:pPr>
      <w:r w:rsidRPr="007559E5">
        <w:rPr>
          <w:b/>
          <w:i/>
          <w:szCs w:val="22"/>
        </w:rPr>
        <w:t>INFORME JUSTIFICADO RR 4791-2024 Y ACUMULADOS UT.pdf</w:t>
      </w:r>
      <w:r w:rsidRPr="007559E5">
        <w:rPr>
          <w:b/>
          <w:i/>
          <w:szCs w:val="22"/>
        </w:rPr>
        <w:cr/>
      </w:r>
      <w:r w:rsidR="002F5D9F" w:rsidRPr="007559E5">
        <w:rPr>
          <w:szCs w:val="22"/>
        </w:rPr>
        <w:t xml:space="preserve">Archivo constante de 22 páginas, en las que se aprecia un escrito de fecha 26 de agosto de 2024, dirigido a la comisionada ponente, en el que se </w:t>
      </w:r>
      <w:r w:rsidR="00225580" w:rsidRPr="007559E5">
        <w:rPr>
          <w:szCs w:val="22"/>
        </w:rPr>
        <w:t>contiene el informe justificado del Sujeto Obligado suscrito por la Jefa de la Unidad de Transparencia.</w:t>
      </w:r>
    </w:p>
    <w:p w14:paraId="6518788D" w14:textId="77777777" w:rsidR="0044329E" w:rsidRPr="007559E5" w:rsidRDefault="0044329E" w:rsidP="0044329E">
      <w:pPr>
        <w:pStyle w:val="Prrafodelista"/>
        <w:rPr>
          <w:b/>
          <w:i/>
          <w:szCs w:val="22"/>
        </w:rPr>
      </w:pPr>
    </w:p>
    <w:p w14:paraId="55FA477C" w14:textId="53876609" w:rsidR="0044329E" w:rsidRPr="007559E5" w:rsidRDefault="0044329E" w:rsidP="0044329E">
      <w:pPr>
        <w:pStyle w:val="Prrafodelista"/>
        <w:numPr>
          <w:ilvl w:val="0"/>
          <w:numId w:val="11"/>
        </w:numPr>
        <w:rPr>
          <w:b/>
          <w:i/>
          <w:szCs w:val="22"/>
        </w:rPr>
      </w:pPr>
      <w:r w:rsidRPr="007559E5">
        <w:rPr>
          <w:b/>
          <w:i/>
          <w:szCs w:val="22"/>
        </w:rPr>
        <w:t>PLANTILLA ORGANOS DESCONCENTRADOS 2024.pdf</w:t>
      </w:r>
      <w:r w:rsidRPr="007559E5">
        <w:rPr>
          <w:b/>
          <w:i/>
          <w:szCs w:val="22"/>
        </w:rPr>
        <w:cr/>
      </w:r>
      <w:r w:rsidR="00FC3131" w:rsidRPr="007559E5">
        <w:rPr>
          <w:szCs w:val="22"/>
        </w:rPr>
        <w:t>Archivo constante de 3 páginas, en las que se observa la plantilla de personal eventual de órganos desconcentrados de 2024.</w:t>
      </w:r>
    </w:p>
    <w:p w14:paraId="23B5F413" w14:textId="77777777" w:rsidR="00041F5B" w:rsidRPr="007559E5" w:rsidRDefault="00041F5B" w:rsidP="0044329E">
      <w:pPr>
        <w:pStyle w:val="Prrafodelista"/>
        <w:rPr>
          <w:b/>
          <w:i/>
          <w:szCs w:val="22"/>
        </w:rPr>
      </w:pPr>
    </w:p>
    <w:p w14:paraId="7D95401A" w14:textId="656E0B5D" w:rsidR="0044329E" w:rsidRPr="007559E5" w:rsidRDefault="0044329E" w:rsidP="0044329E">
      <w:pPr>
        <w:pStyle w:val="Prrafodelista"/>
        <w:numPr>
          <w:ilvl w:val="0"/>
          <w:numId w:val="11"/>
        </w:numPr>
        <w:rPr>
          <w:b/>
          <w:i/>
          <w:szCs w:val="22"/>
        </w:rPr>
      </w:pPr>
      <w:r w:rsidRPr="007559E5">
        <w:rPr>
          <w:b/>
          <w:i/>
          <w:szCs w:val="22"/>
        </w:rPr>
        <w:t>IEEM-DA-5401-2024 INFORME JUSTIFICADO 4791-2024 Y ACUMULADOS DA.pdf</w:t>
      </w:r>
      <w:r w:rsidRPr="007559E5">
        <w:rPr>
          <w:b/>
          <w:i/>
          <w:szCs w:val="22"/>
        </w:rPr>
        <w:cr/>
      </w:r>
      <w:r w:rsidR="00FC3131" w:rsidRPr="007559E5">
        <w:rPr>
          <w:szCs w:val="22"/>
        </w:rPr>
        <w:t xml:space="preserve">Archivo que contiene el oficio número IEEM/DA/5401/2024 de fecha 19 de agosto de 2024, dirigido a la jefa de la Unidad de Transparencia, suscrito por el Encargado de Despacho de la Dirección de Administración, en el que le indica respecto del recurso de revisión del 4792/INFOEM/IP/RR/2024, referente al acto impugnado y los motivos </w:t>
      </w:r>
      <w:r w:rsidR="00FC3131" w:rsidRPr="007559E5">
        <w:rPr>
          <w:szCs w:val="22"/>
        </w:rPr>
        <w:lastRenderedPageBreak/>
        <w:t xml:space="preserve">o razones de la inconformidad, es importante señalar que se </w:t>
      </w:r>
      <w:r w:rsidR="002F28A3" w:rsidRPr="007559E5">
        <w:rPr>
          <w:szCs w:val="22"/>
        </w:rPr>
        <w:t>otorgó</w:t>
      </w:r>
      <w:r w:rsidR="00FC3131" w:rsidRPr="007559E5">
        <w:rPr>
          <w:szCs w:val="22"/>
        </w:rPr>
        <w:t xml:space="preserve"> la información en los términos requeridos por el solicitante, de lo que hoy se adolece el particular es una </w:t>
      </w:r>
      <w:r w:rsidR="00FC3131" w:rsidRPr="007559E5">
        <w:rPr>
          <w:b/>
          <w:szCs w:val="22"/>
        </w:rPr>
        <w:t>plus petitio.</w:t>
      </w:r>
    </w:p>
    <w:p w14:paraId="4C0B6D5E" w14:textId="77777777" w:rsidR="0044329E" w:rsidRPr="007559E5" w:rsidRDefault="0044329E" w:rsidP="0044329E">
      <w:pPr>
        <w:pStyle w:val="Prrafodelista"/>
        <w:rPr>
          <w:b/>
          <w:i/>
          <w:szCs w:val="22"/>
        </w:rPr>
      </w:pPr>
    </w:p>
    <w:p w14:paraId="1DFACCF7" w14:textId="15592269" w:rsidR="00FC3131" w:rsidRPr="007559E5" w:rsidRDefault="0044329E" w:rsidP="00FC3131">
      <w:pPr>
        <w:pStyle w:val="Prrafodelista"/>
        <w:numPr>
          <w:ilvl w:val="0"/>
          <w:numId w:val="11"/>
        </w:numPr>
        <w:rPr>
          <w:b/>
          <w:i/>
          <w:szCs w:val="22"/>
        </w:rPr>
      </w:pPr>
      <w:r w:rsidRPr="007559E5">
        <w:rPr>
          <w:b/>
          <w:i/>
          <w:szCs w:val="22"/>
        </w:rPr>
        <w:t>PLANTILLA ORGANOS DESCONCENTRADOS 2023.pdf</w:t>
      </w:r>
      <w:r w:rsidRPr="007559E5">
        <w:rPr>
          <w:b/>
          <w:i/>
          <w:szCs w:val="22"/>
        </w:rPr>
        <w:cr/>
      </w:r>
      <w:r w:rsidR="00FC3131" w:rsidRPr="007559E5">
        <w:rPr>
          <w:szCs w:val="22"/>
        </w:rPr>
        <w:t xml:space="preserve"> Archivo constante de 2 páginas, en las que se observa la plantilla de personal eventual de órganos desconcentrados de 2023.</w:t>
      </w:r>
    </w:p>
    <w:p w14:paraId="48D35158" w14:textId="77777777" w:rsidR="00FC3131" w:rsidRPr="007559E5" w:rsidRDefault="00FC3131" w:rsidP="00FC3131">
      <w:pPr>
        <w:pStyle w:val="Prrafodelista"/>
        <w:rPr>
          <w:b/>
          <w:i/>
          <w:szCs w:val="22"/>
        </w:rPr>
      </w:pPr>
    </w:p>
    <w:p w14:paraId="6D60D16C" w14:textId="60AC98D6" w:rsidR="0096663A" w:rsidRPr="007559E5" w:rsidRDefault="0096663A" w:rsidP="0096663A">
      <w:pPr>
        <w:rPr>
          <w:szCs w:val="22"/>
        </w:rPr>
      </w:pPr>
      <w:r w:rsidRPr="007559E5">
        <w:rPr>
          <w:szCs w:val="22"/>
        </w:rPr>
        <w:t xml:space="preserve">Esta información fue puesta a la vista de </w:t>
      </w:r>
      <w:r w:rsidRPr="007559E5">
        <w:rPr>
          <w:b/>
          <w:szCs w:val="22"/>
        </w:rPr>
        <w:t xml:space="preserve">LA PARTE RECURRENTE </w:t>
      </w:r>
      <w:r w:rsidRPr="007559E5">
        <w:rPr>
          <w:szCs w:val="22"/>
        </w:rPr>
        <w:t xml:space="preserve">el </w:t>
      </w:r>
      <w:r w:rsidR="009C7CDB" w:rsidRPr="007559E5">
        <w:rPr>
          <w:b/>
          <w:bCs/>
          <w:szCs w:val="22"/>
        </w:rPr>
        <w:t>veintisiete de agosto</w:t>
      </w:r>
      <w:r w:rsidR="00923307" w:rsidRPr="007559E5">
        <w:rPr>
          <w:rFonts w:cs="Tahoma"/>
          <w:b/>
          <w:bCs/>
          <w:szCs w:val="22"/>
        </w:rPr>
        <w:t xml:space="preserve"> de dos mil veinticuatro</w:t>
      </w:r>
      <w:r w:rsidR="00923307" w:rsidRPr="007559E5">
        <w:rPr>
          <w:rFonts w:cs="Tahoma"/>
          <w:szCs w:val="22"/>
        </w:rPr>
        <w:t xml:space="preserve"> </w:t>
      </w:r>
      <w:r w:rsidRPr="007559E5">
        <w:rPr>
          <w:szCs w:val="22"/>
        </w:rPr>
        <w:t xml:space="preserve">para que, en un plazo de tres días hábiles, manifestara lo que a su derecho conviniera, de conformidad con lo establecido en el </w:t>
      </w:r>
      <w:r w:rsidRPr="007559E5">
        <w:rPr>
          <w:color w:val="000000"/>
          <w:szCs w:val="22"/>
        </w:rPr>
        <w:t>artículo 185, fracción III de la Ley de Transparencia y Acceso a la Información Pública del Estado de México y Municipios</w:t>
      </w:r>
      <w:r w:rsidRPr="007559E5">
        <w:rPr>
          <w:szCs w:val="22"/>
        </w:rPr>
        <w:t>.</w:t>
      </w:r>
    </w:p>
    <w:p w14:paraId="66BA6FC7" w14:textId="77777777" w:rsidR="00865CF4" w:rsidRPr="007559E5" w:rsidRDefault="00865CF4" w:rsidP="00865CF4">
      <w:pPr>
        <w:rPr>
          <w:rFonts w:cs="Tahoma"/>
          <w:bCs/>
          <w:szCs w:val="22"/>
        </w:rPr>
      </w:pPr>
    </w:p>
    <w:p w14:paraId="755B7730" w14:textId="2A0EB956" w:rsidR="00664420" w:rsidRPr="007559E5" w:rsidRDefault="00E810F7" w:rsidP="00664420">
      <w:pPr>
        <w:pStyle w:val="Ttulo3"/>
        <w:rPr>
          <w:szCs w:val="22"/>
          <w:lang w:val="es-ES"/>
        </w:rPr>
      </w:pPr>
      <w:bookmarkStart w:id="15" w:name="_Toc179924360"/>
      <w:r w:rsidRPr="007559E5">
        <w:rPr>
          <w:rFonts w:eastAsia="Calibri"/>
          <w:bCs/>
          <w:szCs w:val="22"/>
          <w:lang w:eastAsia="en-US"/>
        </w:rPr>
        <w:t>e</w:t>
      </w:r>
      <w:r w:rsidR="00664420" w:rsidRPr="007559E5">
        <w:rPr>
          <w:rFonts w:eastAsia="Calibri"/>
          <w:bCs/>
          <w:szCs w:val="22"/>
          <w:lang w:eastAsia="en-US"/>
        </w:rPr>
        <w:t>)</w:t>
      </w:r>
      <w:r w:rsidR="00664420" w:rsidRPr="007559E5">
        <w:rPr>
          <w:szCs w:val="22"/>
        </w:rPr>
        <w:t xml:space="preserve"> </w:t>
      </w:r>
      <w:r w:rsidR="00865CF4" w:rsidRPr="007559E5">
        <w:rPr>
          <w:szCs w:val="22"/>
          <w:lang w:val="es-ES"/>
        </w:rPr>
        <w:t>Manifestaciones de la Parte Recurrente</w:t>
      </w:r>
      <w:bookmarkEnd w:id="15"/>
    </w:p>
    <w:p w14:paraId="1F7D92DC" w14:textId="70682CCA" w:rsidR="0009347C" w:rsidRDefault="00A850A3" w:rsidP="0009347C">
      <w:r w:rsidRPr="007559E5">
        <w:rPr>
          <w:b/>
          <w:bCs/>
        </w:rPr>
        <w:t xml:space="preserve">LA PARTE RECURRENTE </w:t>
      </w:r>
      <w:r w:rsidRPr="007559E5">
        <w:t>no realizó manifestación alguna dentro del término legalmente concedido para tal efecto, ni presentó pruebas o alegatos.</w:t>
      </w:r>
    </w:p>
    <w:p w14:paraId="2D70E459" w14:textId="77777777" w:rsidR="005F625C" w:rsidRDefault="005F625C" w:rsidP="0009347C"/>
    <w:p w14:paraId="390B67C8" w14:textId="24C52F38" w:rsidR="005F625C" w:rsidRPr="002B24B6" w:rsidRDefault="005F625C" w:rsidP="005F625C">
      <w:pPr>
        <w:pStyle w:val="Ttulo3"/>
      </w:pPr>
      <w:bookmarkStart w:id="16" w:name="_Toc178616556"/>
      <w:bookmarkStart w:id="17" w:name="_Toc179452950"/>
      <w:r>
        <w:t>f</w:t>
      </w:r>
      <w:r w:rsidRPr="002B24B6">
        <w:t>) Ampliación de plazo para resolver el Recurso de Revisión</w:t>
      </w:r>
      <w:bookmarkEnd w:id="16"/>
      <w:r>
        <w:t>.</w:t>
      </w:r>
      <w:bookmarkEnd w:id="17"/>
    </w:p>
    <w:p w14:paraId="05992A8B" w14:textId="674CCFE6" w:rsidR="005F625C" w:rsidRPr="002B24B6" w:rsidRDefault="005F625C" w:rsidP="005F625C">
      <w:pPr>
        <w:tabs>
          <w:tab w:val="left" w:pos="3261"/>
        </w:tabs>
      </w:pPr>
      <w:r w:rsidRPr="002B24B6">
        <w:t xml:space="preserve">Con fundamento en lo dispuesto en el artículo 181, párrafo tercero, de la Ley de Transparencia y Acceso a la Información Pública del Estado de México y Municipios, </w:t>
      </w:r>
      <w:r w:rsidRPr="002B24B6">
        <w:rPr>
          <w:b/>
        </w:rPr>
        <w:t xml:space="preserve">el </w:t>
      </w:r>
      <w:r>
        <w:rPr>
          <w:b/>
        </w:rPr>
        <w:t>diez de octubre</w:t>
      </w:r>
      <w:r w:rsidRPr="002B24B6">
        <w:rPr>
          <w:b/>
        </w:rPr>
        <w:t xml:space="preserve"> de dos mil veinticuatro</w:t>
      </w:r>
      <w:r w:rsidRPr="002B24B6">
        <w:t xml:space="preserve"> se acordó ampliar por un periodo razonable el plazo para resolver el presente Recurso de Revisión; acuerdo que fue notificado a las partes a través del SAIMEX en la misma fecha.</w:t>
      </w:r>
    </w:p>
    <w:p w14:paraId="6001C387" w14:textId="77777777" w:rsidR="005F625C" w:rsidRPr="002B24B6" w:rsidRDefault="005F625C" w:rsidP="005F625C">
      <w:pPr>
        <w:tabs>
          <w:tab w:val="left" w:pos="3261"/>
        </w:tabs>
      </w:pPr>
    </w:p>
    <w:p w14:paraId="3EB6F240"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lastRenderedPageBreak/>
        <w:t>El plazo para emitir resolución en el presente asunto encuentra justificación en el alto número de recursos de revisión recibidos por este Instituto, circunstancia atípica que ha rebasado las capacidades técnicas y humanas del personal encargado de la proyección de las resoluciones a dichos medios de impugnación.</w:t>
      </w:r>
    </w:p>
    <w:p w14:paraId="0B7863C9"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2498C407"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Es importante precisar que, si bien se ha excedido el plazo para resolver el presente medio de impugnación, el plazo para emitir resolución se encuentra justificado en parámetros establecidos por diversos órganos jurisdiccionales federales, aplicables también en procedimientos análogos, como el que nos ocupa.</w:t>
      </w:r>
    </w:p>
    <w:p w14:paraId="13A50841"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3D3A5292"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estableció los términos procesales de forma general, sin que pudiera prever la variada gama de casos que son resueltos por los órganos jurisdiccionales o cuasi jurisdiccionales, tanto por la complejidad de los hechos, como por el número de casos que conocen.</w:t>
      </w:r>
    </w:p>
    <w:p w14:paraId="017E8448"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6DA57E71"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Por ello, excepcionalmente, si un asunto es resuelto con posterioridad a los plazos señalados por la norma, debe analizarse la razonabilidad del tiempo necesario para su resolución, atentos a los siguientes criterios:</w:t>
      </w:r>
    </w:p>
    <w:p w14:paraId="00F0AF6A"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2C8625FD"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Cs w:val="22"/>
        </w:rPr>
      </w:pPr>
      <w:r w:rsidRPr="002B24B6">
        <w:rPr>
          <w:rFonts w:eastAsia="Palatino Linotype" w:cs="Palatino Linotype"/>
          <w:b/>
          <w:color w:val="000000"/>
          <w:szCs w:val="22"/>
        </w:rPr>
        <w:t>Complejidad del asunto:</w:t>
      </w:r>
      <w:r w:rsidRPr="002B24B6">
        <w:rPr>
          <w:rFonts w:eastAsia="Palatino Linotype" w:cs="Palatino Linotype"/>
          <w:color w:val="000000"/>
          <w:szCs w:val="22"/>
        </w:rPr>
        <w:t xml:space="preserve"> La complejidad de la prueba, la pluralidad de sujetos procesales, el tiempo transcurrido, las características y contexto del recurso.</w:t>
      </w:r>
    </w:p>
    <w:p w14:paraId="316C2265"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Cs w:val="22"/>
        </w:rPr>
      </w:pPr>
      <w:r w:rsidRPr="002B24B6">
        <w:rPr>
          <w:rFonts w:eastAsia="Palatino Linotype" w:cs="Palatino Linotype"/>
          <w:b/>
          <w:color w:val="000000"/>
          <w:szCs w:val="22"/>
        </w:rPr>
        <w:t>Actividad Procesal del interesado:</w:t>
      </w:r>
      <w:r w:rsidRPr="002B24B6">
        <w:rPr>
          <w:rFonts w:eastAsia="Palatino Linotype" w:cs="Palatino Linotype"/>
          <w:color w:val="000000"/>
          <w:szCs w:val="22"/>
        </w:rPr>
        <w:t xml:space="preserve"> Acciones u omisiones del interesado.</w:t>
      </w:r>
    </w:p>
    <w:p w14:paraId="1C70469C"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Cs w:val="22"/>
        </w:rPr>
      </w:pPr>
      <w:r w:rsidRPr="002B24B6">
        <w:rPr>
          <w:rFonts w:eastAsia="Palatino Linotype" w:cs="Palatino Linotype"/>
          <w:b/>
          <w:color w:val="000000"/>
          <w:szCs w:val="22"/>
        </w:rPr>
        <w:lastRenderedPageBreak/>
        <w:t>Conducta de la Autoridad:</w:t>
      </w:r>
      <w:r w:rsidRPr="002B24B6">
        <w:rPr>
          <w:rFonts w:eastAsia="Palatino Linotype" w:cs="Palatino Linotype"/>
          <w:color w:val="000000"/>
          <w:szCs w:val="22"/>
        </w:rPr>
        <w:t xml:space="preserve"> Las Acciones u omisiones realizadas en el procedimiento. Así como si la autoridad actuó con la debida diligencia.</w:t>
      </w:r>
    </w:p>
    <w:p w14:paraId="1A519C90"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Cs w:val="22"/>
        </w:rPr>
      </w:pPr>
      <w:r w:rsidRPr="002B24B6">
        <w:rPr>
          <w:rFonts w:eastAsia="Palatino Linotype" w:cs="Palatino Linotype"/>
          <w:b/>
          <w:color w:val="000000"/>
          <w:szCs w:val="22"/>
        </w:rPr>
        <w:t>La afectación generada en la situación jurídica de la persona involucrada en el proceso:</w:t>
      </w:r>
      <w:r w:rsidRPr="002B24B6">
        <w:rPr>
          <w:rFonts w:eastAsia="Palatino Linotype" w:cs="Palatino Linotype"/>
          <w:color w:val="000000"/>
          <w:szCs w:val="22"/>
        </w:rPr>
        <w:t xml:space="preserve"> Violación a sus derechos humanos.</w:t>
      </w:r>
    </w:p>
    <w:p w14:paraId="47EFFFE4"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Cs w:val="22"/>
        </w:rPr>
      </w:pPr>
    </w:p>
    <w:p w14:paraId="5D38992B"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F58E5C7"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7073F75B"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Argumento que encuentra sustento en la jurisprudencia P./J. 32/92 emitida por el Pleno de la Suprema Corte de Justicia de la Nación de rubro “</w:t>
      </w:r>
      <w:r w:rsidRPr="002B24B6">
        <w:rPr>
          <w:rFonts w:eastAsia="Palatino Linotype" w:cs="Palatino Linotype"/>
          <w:b/>
          <w:color w:val="000000"/>
          <w:szCs w:val="22"/>
        </w:rPr>
        <w:t>TÉRMINOS PROCESALES. PARA DETERMINAR SI UN FUNCIONARIO JUDICIAL ACTUÓ INDEBIDAMENTE POR NO RESPETARLOS SE DEBE ATENDER AL PRESUPUESTO QUE CONSIDERÓ EL LEGISLADOR AL FIJARLOS Y LAS CARACTERÍSTICAS DEL CASO</w:t>
      </w:r>
      <w:r w:rsidRPr="002B24B6">
        <w:rPr>
          <w:rFonts w:eastAsia="Palatino Linotype" w:cs="Palatino Linotype"/>
          <w:color w:val="000000"/>
          <w:szCs w:val="22"/>
        </w:rPr>
        <w:t>.”, visible en la Gaceta del Seminario Judicial de la Federación con el registro digital 205635.</w:t>
      </w:r>
    </w:p>
    <w:p w14:paraId="2BE545C3"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15B20C4E"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w:t>
      </w:r>
      <w:r w:rsidRPr="002B24B6">
        <w:rPr>
          <w:rFonts w:eastAsia="Palatino Linotype" w:cs="Palatino Linotype"/>
          <w:color w:val="000000"/>
          <w:szCs w:val="22"/>
        </w:rPr>
        <w:lastRenderedPageBreak/>
        <w:t>de los términos legales previamente establecidos por la Ley, por tratarse de causas de fuerza mayor.</w:t>
      </w:r>
    </w:p>
    <w:p w14:paraId="6A8EC43B"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020AF89C"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Al respecto, también son de considerar los criterios sostenidos por el Cuarto Tribunal Colegiado en Materia Administrativa del Primer Circuito, cuyos rubros y datos de identificación son los siguientes:</w:t>
      </w:r>
    </w:p>
    <w:p w14:paraId="79F01EBB"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0BD7F6A2"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 w:val="20"/>
        </w:rPr>
      </w:pPr>
      <w:r w:rsidRPr="002B24B6">
        <w:rPr>
          <w:rFonts w:eastAsia="Palatino Linotype" w:cs="Palatino Linotype"/>
          <w:b/>
          <w:color w:val="000000"/>
          <w:sz w:val="20"/>
        </w:rPr>
        <w:t>“PLAZO RAZONABLE PARA RESOLVER. DIMENSIÓN Y EFECTOS DE ESTE CONCEPTO CUANDO SE ADUCE EXCESIVA CARGA DE TRABAJO.”</w:t>
      </w:r>
      <w:r w:rsidRPr="002B24B6">
        <w:rPr>
          <w:rFonts w:eastAsia="Palatino Linotype" w:cs="Palatino Linotype"/>
          <w:color w:val="000000"/>
          <w:sz w:val="20"/>
        </w:rPr>
        <w:t xml:space="preserve"> consultable en el Seminario Judicial de la Federación y su gaceta, con el registro digital 2002351.</w:t>
      </w:r>
    </w:p>
    <w:p w14:paraId="771D5148"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 w:val="20"/>
        </w:rPr>
      </w:pPr>
    </w:p>
    <w:p w14:paraId="3AC42C58" w14:textId="77777777" w:rsidR="005F625C" w:rsidRPr="002B24B6" w:rsidRDefault="005F625C" w:rsidP="005F625C">
      <w:pPr>
        <w:pBdr>
          <w:top w:val="nil"/>
          <w:left w:val="nil"/>
          <w:bottom w:val="nil"/>
          <w:right w:val="nil"/>
          <w:between w:val="nil"/>
        </w:pBdr>
        <w:ind w:left="567" w:right="539"/>
        <w:rPr>
          <w:rFonts w:eastAsia="Palatino Linotype" w:cs="Palatino Linotype"/>
          <w:color w:val="000000"/>
          <w:sz w:val="20"/>
        </w:rPr>
      </w:pPr>
      <w:r w:rsidRPr="002B24B6">
        <w:rPr>
          <w:rFonts w:eastAsia="Palatino Linotype" w:cs="Palatino Linotype"/>
          <w:b/>
          <w:color w:val="000000"/>
          <w:sz w:val="20"/>
        </w:rPr>
        <w:t>“PLAZO RAZONABLE PARA RESOLVER. CONCEPTO Y ELEMENTOS QUE LO INTEGRAN A LA LUZ DEL DERECHO INTERNACIONAL DE LOS DERECHOS HUMANOS</w:t>
      </w:r>
      <w:r w:rsidRPr="002B24B6">
        <w:rPr>
          <w:rFonts w:eastAsia="Palatino Linotype" w:cs="Palatino Linotype"/>
          <w:color w:val="000000"/>
          <w:sz w:val="20"/>
        </w:rPr>
        <w:t>.”, visible en el Seminario Judicial de la Federación y su gaceta, con el registro digital 2002350.</w:t>
      </w:r>
    </w:p>
    <w:p w14:paraId="12E6091C" w14:textId="77777777" w:rsidR="005F625C" w:rsidRPr="002B24B6" w:rsidRDefault="005F625C" w:rsidP="005F625C">
      <w:pPr>
        <w:pBdr>
          <w:top w:val="nil"/>
          <w:left w:val="nil"/>
          <w:bottom w:val="nil"/>
          <w:right w:val="nil"/>
          <w:between w:val="nil"/>
        </w:pBdr>
        <w:rPr>
          <w:rFonts w:eastAsia="Palatino Linotype" w:cs="Palatino Linotype"/>
          <w:color w:val="000000"/>
          <w:szCs w:val="22"/>
        </w:rPr>
      </w:pPr>
    </w:p>
    <w:p w14:paraId="1DF8222F" w14:textId="77777777" w:rsidR="005F625C" w:rsidRPr="00EB262C" w:rsidRDefault="005F625C" w:rsidP="005F625C">
      <w:pPr>
        <w:pBdr>
          <w:top w:val="nil"/>
          <w:left w:val="nil"/>
          <w:bottom w:val="nil"/>
          <w:right w:val="nil"/>
          <w:between w:val="nil"/>
        </w:pBdr>
        <w:rPr>
          <w:rFonts w:eastAsia="Palatino Linotype" w:cs="Palatino Linotype"/>
          <w:color w:val="000000"/>
          <w:szCs w:val="22"/>
        </w:rPr>
      </w:pPr>
      <w:r w:rsidRPr="002B24B6">
        <w:rPr>
          <w:rFonts w:eastAsia="Palatino Linotype" w:cs="Palatino Linotype"/>
          <w:color w:val="000000"/>
          <w:szCs w:val="22"/>
        </w:rPr>
        <w:t>Por ello, este organismo garante comprometido con la tutela de los derechos humanos confiados señala que este exceso del plazo legal para resolver el asunto resulta de carácter excepcional.</w:t>
      </w:r>
    </w:p>
    <w:p w14:paraId="75E7DD99" w14:textId="77777777" w:rsidR="005F625C" w:rsidRPr="007559E5" w:rsidRDefault="005F625C" w:rsidP="0009347C"/>
    <w:p w14:paraId="0E651988" w14:textId="0FB9AD7E" w:rsidR="00664420" w:rsidRPr="007559E5" w:rsidRDefault="005F625C" w:rsidP="00664420">
      <w:pPr>
        <w:pStyle w:val="Ttulo3"/>
        <w:rPr>
          <w:szCs w:val="22"/>
        </w:rPr>
      </w:pPr>
      <w:bookmarkStart w:id="18" w:name="_Toc179924361"/>
      <w:r>
        <w:rPr>
          <w:rFonts w:eastAsia="Calibri"/>
          <w:szCs w:val="22"/>
        </w:rPr>
        <w:t>g</w:t>
      </w:r>
      <w:r w:rsidR="00664420" w:rsidRPr="007559E5">
        <w:rPr>
          <w:rFonts w:eastAsia="Calibri"/>
          <w:szCs w:val="22"/>
        </w:rPr>
        <w:t xml:space="preserve">) </w:t>
      </w:r>
      <w:r w:rsidR="00664420" w:rsidRPr="007559E5">
        <w:rPr>
          <w:szCs w:val="22"/>
        </w:rPr>
        <w:t>Cierre de instrucción</w:t>
      </w:r>
      <w:bookmarkEnd w:id="18"/>
    </w:p>
    <w:p w14:paraId="79AF95DC" w14:textId="1F7541FF" w:rsidR="00664420" w:rsidRPr="007559E5" w:rsidRDefault="00BF091A" w:rsidP="00664420">
      <w:pPr>
        <w:rPr>
          <w:color w:val="000000" w:themeColor="text1"/>
          <w:szCs w:val="22"/>
        </w:rPr>
      </w:pPr>
      <w:r w:rsidRPr="007559E5">
        <w:rPr>
          <w:rFonts w:cs="Tahoma"/>
          <w:szCs w:val="22"/>
        </w:rPr>
        <w:t>Al no existir diligencias pendientes por desahogar</w:t>
      </w:r>
      <w:r w:rsidRPr="007559E5">
        <w:rPr>
          <w:rFonts w:cs="Arial"/>
          <w:color w:val="000000" w:themeColor="text1"/>
          <w:szCs w:val="22"/>
        </w:rPr>
        <w:t xml:space="preserve">, el </w:t>
      </w:r>
      <w:r w:rsidR="00F77407">
        <w:rPr>
          <w:rFonts w:cs="Tahoma"/>
          <w:b/>
          <w:bCs/>
          <w:szCs w:val="22"/>
        </w:rPr>
        <w:t>quince</w:t>
      </w:r>
      <w:r w:rsidR="00041F5B" w:rsidRPr="007559E5">
        <w:rPr>
          <w:rFonts w:cs="Tahoma"/>
          <w:b/>
          <w:bCs/>
          <w:szCs w:val="22"/>
        </w:rPr>
        <w:t xml:space="preserve"> de octubre</w:t>
      </w:r>
      <w:r w:rsidR="00E810F7" w:rsidRPr="007559E5">
        <w:rPr>
          <w:rFonts w:cs="Tahoma"/>
          <w:b/>
          <w:bCs/>
          <w:szCs w:val="22"/>
        </w:rPr>
        <w:t xml:space="preserve"> de dos mil veinticuatro</w:t>
      </w:r>
      <w:r w:rsidR="00003628" w:rsidRPr="007559E5">
        <w:rPr>
          <w:rFonts w:cs="Tahoma"/>
          <w:b/>
          <w:bCs/>
          <w:szCs w:val="22"/>
        </w:rPr>
        <w:t>,</w:t>
      </w:r>
      <w:r w:rsidR="00E810F7" w:rsidRPr="007559E5">
        <w:rPr>
          <w:rFonts w:cs="Tahoma"/>
          <w:szCs w:val="22"/>
        </w:rPr>
        <w:t xml:space="preserve"> </w:t>
      </w:r>
      <w:r w:rsidRPr="007559E5">
        <w:rPr>
          <w:rFonts w:cs="Arial"/>
          <w:color w:val="000000" w:themeColor="text1"/>
          <w:szCs w:val="22"/>
        </w:rPr>
        <w:t xml:space="preserve">la </w:t>
      </w:r>
      <w:r w:rsidRPr="007559E5">
        <w:rPr>
          <w:rFonts w:cs="Arial"/>
          <w:b/>
          <w:bCs/>
          <w:color w:val="000000" w:themeColor="text1"/>
          <w:szCs w:val="22"/>
        </w:rPr>
        <w:t xml:space="preserve">Comisionada </w:t>
      </w:r>
      <w:r w:rsidRPr="007559E5">
        <w:rPr>
          <w:b/>
          <w:color w:val="000000" w:themeColor="text1"/>
          <w:szCs w:val="22"/>
        </w:rPr>
        <w:t xml:space="preserve">Sharon Cristina Morales Martínez </w:t>
      </w:r>
      <w:r w:rsidRPr="007559E5">
        <w:rPr>
          <w:rFonts w:cs="Arial"/>
          <w:color w:val="000000" w:themeColor="text1"/>
          <w:szCs w:val="22"/>
        </w:rPr>
        <w:t>acordó el cierre de instrucción</w:t>
      </w:r>
      <w:r w:rsidR="0011350D" w:rsidRPr="007559E5">
        <w:rPr>
          <w:rFonts w:cs="Arial"/>
          <w:color w:val="000000" w:themeColor="text1"/>
          <w:szCs w:val="22"/>
        </w:rPr>
        <w:t xml:space="preserve"> y</w:t>
      </w:r>
      <w:r w:rsidRPr="007559E5">
        <w:rPr>
          <w:rFonts w:cs="Arial"/>
          <w:color w:val="000000" w:themeColor="text1"/>
          <w:szCs w:val="22"/>
        </w:rPr>
        <w:t xml:space="preserve"> </w:t>
      </w:r>
      <w:r w:rsidR="0011350D" w:rsidRPr="007559E5">
        <w:rPr>
          <w:rFonts w:cs="Arial"/>
          <w:color w:val="000000" w:themeColor="text1"/>
          <w:szCs w:val="22"/>
        </w:rPr>
        <w:t xml:space="preserve">la </w:t>
      </w:r>
      <w:r w:rsidRPr="007559E5">
        <w:rPr>
          <w:rFonts w:cs="Arial"/>
          <w:color w:val="000000" w:themeColor="text1"/>
          <w:szCs w:val="22"/>
        </w:rPr>
        <w:t xml:space="preserve">remisión del expediente a efecto de ser resuelto, de conformidad con lo establecido en el artículo 185 fracciones VI y VIII de la Ley de Transparencia y Acceso a la </w:t>
      </w:r>
      <w:r w:rsidRPr="007559E5">
        <w:rPr>
          <w:rFonts w:cs="Arial"/>
          <w:color w:val="000000" w:themeColor="text1"/>
          <w:szCs w:val="22"/>
        </w:rPr>
        <w:lastRenderedPageBreak/>
        <w:t>Información Pública del Estado de México y Municipios</w:t>
      </w:r>
      <w:r w:rsidRPr="007559E5">
        <w:rPr>
          <w:color w:val="000000" w:themeColor="text1"/>
          <w:szCs w:val="22"/>
        </w:rPr>
        <w:t>.</w:t>
      </w:r>
      <w:r w:rsidR="0011350D" w:rsidRPr="007559E5">
        <w:rPr>
          <w:color w:val="000000" w:themeColor="text1"/>
          <w:szCs w:val="22"/>
        </w:rPr>
        <w:t xml:space="preserve"> Dicho acuerdo </w:t>
      </w:r>
      <w:r w:rsidR="00664420" w:rsidRPr="007559E5">
        <w:rPr>
          <w:rFonts w:cs="Tahoma"/>
          <w:szCs w:val="22"/>
        </w:rPr>
        <w:t xml:space="preserve">fue notificado a las partes el mismo día a través del </w:t>
      </w:r>
      <w:r w:rsidR="00664420" w:rsidRPr="007559E5">
        <w:rPr>
          <w:rFonts w:cs="Tahoma"/>
          <w:szCs w:val="22"/>
          <w:lang w:val="es-ES"/>
        </w:rPr>
        <w:t>SAIMEX</w:t>
      </w:r>
      <w:r w:rsidR="00664420" w:rsidRPr="007559E5">
        <w:rPr>
          <w:rFonts w:cs="Tahoma"/>
          <w:szCs w:val="22"/>
        </w:rPr>
        <w:t>.</w:t>
      </w:r>
    </w:p>
    <w:p w14:paraId="741683E3" w14:textId="77777777" w:rsidR="0011350D" w:rsidRPr="007559E5" w:rsidRDefault="0011350D" w:rsidP="00664420">
      <w:pPr>
        <w:rPr>
          <w:rFonts w:cs="Tahoma"/>
          <w:color w:val="000000"/>
          <w:szCs w:val="22"/>
        </w:rPr>
      </w:pPr>
    </w:p>
    <w:p w14:paraId="7A9629DE" w14:textId="77777777" w:rsidR="00664420" w:rsidRPr="007559E5" w:rsidRDefault="00664420" w:rsidP="00664420">
      <w:pPr>
        <w:pStyle w:val="Ttulo1"/>
        <w:rPr>
          <w:rFonts w:eastAsiaTheme="minorHAnsi"/>
          <w:szCs w:val="22"/>
          <w:lang w:eastAsia="en-US"/>
        </w:rPr>
      </w:pPr>
      <w:bookmarkStart w:id="19" w:name="_Toc179924362"/>
      <w:r w:rsidRPr="007559E5">
        <w:rPr>
          <w:rFonts w:eastAsiaTheme="minorHAnsi"/>
          <w:szCs w:val="22"/>
          <w:lang w:eastAsia="en-US"/>
        </w:rPr>
        <w:t>CONSIDERANDOS</w:t>
      </w:r>
      <w:bookmarkEnd w:id="19"/>
    </w:p>
    <w:p w14:paraId="6DD1243B" w14:textId="77777777" w:rsidR="00664420" w:rsidRPr="007559E5" w:rsidRDefault="00664420" w:rsidP="00664420">
      <w:pPr>
        <w:contextualSpacing/>
        <w:jc w:val="center"/>
        <w:rPr>
          <w:rFonts w:eastAsiaTheme="minorHAnsi" w:cs="Tahoma"/>
          <w:b/>
          <w:color w:val="000000" w:themeColor="text1"/>
          <w:szCs w:val="22"/>
          <w:lang w:eastAsia="en-US"/>
        </w:rPr>
      </w:pPr>
    </w:p>
    <w:p w14:paraId="0B67CB92" w14:textId="2E307D3B" w:rsidR="00664420" w:rsidRPr="007559E5" w:rsidRDefault="00664420" w:rsidP="00AE3DA7">
      <w:pPr>
        <w:pStyle w:val="Ttulo2"/>
        <w:rPr>
          <w:rFonts w:eastAsia="Batang"/>
          <w:szCs w:val="22"/>
        </w:rPr>
      </w:pPr>
      <w:bookmarkStart w:id="20" w:name="_Toc179924363"/>
      <w:r w:rsidRPr="007559E5">
        <w:rPr>
          <w:rFonts w:eastAsia="Batang"/>
          <w:szCs w:val="22"/>
        </w:rPr>
        <w:t xml:space="preserve">PRIMERO. </w:t>
      </w:r>
      <w:r w:rsidR="00BA55A8" w:rsidRPr="007559E5">
        <w:rPr>
          <w:rFonts w:eastAsia="Batang"/>
          <w:szCs w:val="22"/>
        </w:rPr>
        <w:t>Procedibilidad</w:t>
      </w:r>
      <w:bookmarkEnd w:id="20"/>
    </w:p>
    <w:p w14:paraId="39C52BC1" w14:textId="56FCC20D" w:rsidR="00BA55A8" w:rsidRPr="007559E5" w:rsidRDefault="00BA55A8" w:rsidP="00BA55A8">
      <w:pPr>
        <w:pStyle w:val="Ttulo3"/>
        <w:rPr>
          <w:szCs w:val="22"/>
        </w:rPr>
      </w:pPr>
      <w:bookmarkStart w:id="21" w:name="_Toc179924364"/>
      <w:r w:rsidRPr="007559E5">
        <w:rPr>
          <w:szCs w:val="22"/>
        </w:rPr>
        <w:t>a) Competencia</w:t>
      </w:r>
      <w:r w:rsidR="00150C49" w:rsidRPr="007559E5">
        <w:rPr>
          <w:szCs w:val="22"/>
        </w:rPr>
        <w:t xml:space="preserve"> del Instituto</w:t>
      </w:r>
      <w:bookmarkEnd w:id="21"/>
    </w:p>
    <w:p w14:paraId="56E64942" w14:textId="6572EDF7" w:rsidR="0011350D" w:rsidRPr="007559E5" w:rsidRDefault="0011350D" w:rsidP="0011350D">
      <w:pPr>
        <w:rPr>
          <w:rFonts w:cs="Arial"/>
          <w:color w:val="000000" w:themeColor="text1"/>
          <w:szCs w:val="22"/>
        </w:rPr>
      </w:pPr>
      <w:r w:rsidRPr="007559E5">
        <w:rPr>
          <w:color w:val="000000" w:themeColor="text1"/>
          <w:szCs w:val="22"/>
        </w:rPr>
        <w:t xml:space="preserve">Este Instituto de Transparencia, Acceso a la Información Pública y Protección de Datos Personales del Estado de México y Municipios es competente para conocer y resolver </w:t>
      </w:r>
      <w:r w:rsidR="005F65B7" w:rsidRPr="007559E5">
        <w:rPr>
          <w:color w:val="000000" w:themeColor="text1"/>
          <w:szCs w:val="22"/>
        </w:rPr>
        <w:t xml:space="preserve">el </w:t>
      </w:r>
      <w:r w:rsidRPr="007559E5">
        <w:rPr>
          <w:color w:val="000000" w:themeColor="text1"/>
          <w:szCs w:val="22"/>
        </w:rPr>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559E5">
        <w:rPr>
          <w:rFonts w:cs="Arial"/>
          <w:color w:val="000000" w:themeColor="text1"/>
          <w:szCs w:val="22"/>
        </w:rPr>
        <w:t>; y 9, fracciones I y XXIII y 11 del Reglamento Interior del Instituto de Transparencia, Acceso a la Información Pública y Protección de Datos Personales del Estado de México y Municipios.</w:t>
      </w:r>
    </w:p>
    <w:p w14:paraId="6C36A399" w14:textId="77777777" w:rsidR="00DB1C09" w:rsidRPr="007559E5" w:rsidRDefault="00DB1C09" w:rsidP="0011350D">
      <w:pPr>
        <w:rPr>
          <w:rFonts w:cs="Arial"/>
          <w:color w:val="000000" w:themeColor="text1"/>
          <w:szCs w:val="22"/>
        </w:rPr>
      </w:pPr>
    </w:p>
    <w:p w14:paraId="517A2DD6" w14:textId="4169BE4D" w:rsidR="00664420" w:rsidRPr="007559E5" w:rsidRDefault="00BA55A8" w:rsidP="00BA55A8">
      <w:pPr>
        <w:pStyle w:val="Ttulo3"/>
        <w:rPr>
          <w:szCs w:val="22"/>
        </w:rPr>
      </w:pPr>
      <w:bookmarkStart w:id="22" w:name="_Toc179924365"/>
      <w:r w:rsidRPr="007559E5">
        <w:rPr>
          <w:szCs w:val="22"/>
        </w:rPr>
        <w:t>b)</w:t>
      </w:r>
      <w:r w:rsidR="00664420" w:rsidRPr="007559E5">
        <w:rPr>
          <w:szCs w:val="22"/>
        </w:rPr>
        <w:t xml:space="preserve"> </w:t>
      </w:r>
      <w:r w:rsidR="00D91CB4" w:rsidRPr="007559E5">
        <w:rPr>
          <w:szCs w:val="22"/>
        </w:rPr>
        <w:t>Legitimidad</w:t>
      </w:r>
      <w:r w:rsidRPr="007559E5">
        <w:rPr>
          <w:szCs w:val="22"/>
        </w:rPr>
        <w:t xml:space="preserve"> de la parte recurrente</w:t>
      </w:r>
      <w:bookmarkEnd w:id="22"/>
    </w:p>
    <w:p w14:paraId="26FEA382" w14:textId="0B06695C" w:rsidR="00D91CB4" w:rsidRPr="007559E5" w:rsidRDefault="00D91CB4" w:rsidP="00D91CB4">
      <w:pPr>
        <w:rPr>
          <w:rFonts w:cs="Arial"/>
          <w:bCs/>
          <w:color w:val="000000" w:themeColor="text1"/>
          <w:szCs w:val="22"/>
        </w:rPr>
      </w:pPr>
      <w:r w:rsidRPr="007559E5">
        <w:rPr>
          <w:rFonts w:cs="Arial"/>
          <w:bCs/>
          <w:color w:val="000000" w:themeColor="text1"/>
          <w:szCs w:val="22"/>
        </w:rPr>
        <w:t>El recurso de revisión fue interpuesto por parte legítima, ya que se presentó por la misma persona que formuló la solicitud de acceso a la Información Pública,</w:t>
      </w:r>
      <w:r w:rsidRPr="007559E5">
        <w:rPr>
          <w:rFonts w:cs="Arial"/>
          <w:b/>
          <w:bCs/>
          <w:color w:val="000000" w:themeColor="text1"/>
          <w:szCs w:val="22"/>
        </w:rPr>
        <w:t xml:space="preserve"> </w:t>
      </w:r>
      <w:r w:rsidRPr="007559E5">
        <w:rPr>
          <w:rFonts w:cs="Arial"/>
          <w:color w:val="000000" w:themeColor="text1"/>
          <w:szCs w:val="22"/>
        </w:rPr>
        <w:t>debido a que los datos de acceso</w:t>
      </w:r>
      <w:r w:rsidRPr="007559E5">
        <w:rPr>
          <w:rFonts w:cs="Arial"/>
          <w:b/>
          <w:bCs/>
          <w:color w:val="000000" w:themeColor="text1"/>
          <w:szCs w:val="22"/>
        </w:rPr>
        <w:t xml:space="preserve"> </w:t>
      </w:r>
      <w:r w:rsidRPr="007559E5">
        <w:rPr>
          <w:rFonts w:cs="Arial"/>
          <w:color w:val="000000" w:themeColor="text1"/>
          <w:szCs w:val="22"/>
        </w:rPr>
        <w:t>SAIMEX</w:t>
      </w:r>
      <w:r w:rsidRPr="007559E5">
        <w:rPr>
          <w:rFonts w:eastAsia="Calibri" w:cs="Arial"/>
          <w:color w:val="000000" w:themeColor="text1"/>
          <w:szCs w:val="22"/>
          <w:lang w:eastAsia="en-US"/>
        </w:rPr>
        <w:t xml:space="preserve"> son personales e irrepetibles.</w:t>
      </w:r>
    </w:p>
    <w:p w14:paraId="2C367810" w14:textId="77777777" w:rsidR="00D91CB4" w:rsidRPr="007559E5" w:rsidRDefault="00D91CB4" w:rsidP="00D91CB4">
      <w:pPr>
        <w:rPr>
          <w:szCs w:val="22"/>
        </w:rPr>
      </w:pPr>
    </w:p>
    <w:p w14:paraId="496490FC" w14:textId="1A5F3FDB" w:rsidR="00D91CB4" w:rsidRPr="007559E5" w:rsidRDefault="00BA55A8" w:rsidP="00BA55A8">
      <w:pPr>
        <w:pStyle w:val="Ttulo3"/>
        <w:rPr>
          <w:rFonts w:eastAsia="Calibri"/>
          <w:szCs w:val="22"/>
          <w:lang w:eastAsia="es-ES_tradnl"/>
        </w:rPr>
      </w:pPr>
      <w:bookmarkStart w:id="23" w:name="_Toc179924366"/>
      <w:r w:rsidRPr="007559E5">
        <w:rPr>
          <w:rFonts w:eastAsia="Calibri"/>
          <w:szCs w:val="22"/>
          <w:lang w:eastAsia="es-ES_tradnl"/>
        </w:rPr>
        <w:lastRenderedPageBreak/>
        <w:t>c)</w:t>
      </w:r>
      <w:r w:rsidR="00664420" w:rsidRPr="007559E5">
        <w:rPr>
          <w:rFonts w:eastAsia="Calibri"/>
          <w:szCs w:val="22"/>
          <w:lang w:eastAsia="es-ES_tradnl"/>
        </w:rPr>
        <w:t xml:space="preserve"> </w:t>
      </w:r>
      <w:r w:rsidR="00D91CB4" w:rsidRPr="007559E5">
        <w:rPr>
          <w:rFonts w:eastAsia="Calibri"/>
          <w:szCs w:val="22"/>
          <w:lang w:eastAsia="es-ES_tradnl"/>
        </w:rPr>
        <w:t>Plazo para interponer el recurso</w:t>
      </w:r>
      <w:bookmarkEnd w:id="23"/>
    </w:p>
    <w:p w14:paraId="106D37EE" w14:textId="1CBAA18B" w:rsidR="00D91CB4" w:rsidRPr="007559E5" w:rsidRDefault="00D91CB4" w:rsidP="00D91CB4">
      <w:pPr>
        <w:rPr>
          <w:rFonts w:eastAsiaTheme="minorEastAsia" w:cs="Arial"/>
          <w:color w:val="000000" w:themeColor="text1"/>
          <w:szCs w:val="22"/>
          <w:lang w:val="es-ES_tradnl"/>
        </w:rPr>
      </w:pPr>
      <w:r w:rsidRPr="007559E5">
        <w:rPr>
          <w:rFonts w:cs="Arial"/>
          <w:b/>
          <w:color w:val="000000" w:themeColor="text1"/>
          <w:szCs w:val="22"/>
        </w:rPr>
        <w:t>EL SUJETO OBLIGADO</w:t>
      </w:r>
      <w:r w:rsidRPr="007559E5">
        <w:rPr>
          <w:rFonts w:cs="Arial"/>
          <w:color w:val="000000" w:themeColor="text1"/>
          <w:szCs w:val="22"/>
        </w:rPr>
        <w:t xml:space="preserve"> notificó la respuesta a la solicitud de acceso a la Información Pública el </w:t>
      </w:r>
      <w:r w:rsidR="00846C75" w:rsidRPr="007559E5">
        <w:rPr>
          <w:rFonts w:cs="Tahoma"/>
          <w:b/>
          <w:bCs/>
          <w:szCs w:val="22"/>
        </w:rPr>
        <w:t>nueve de agosto</w:t>
      </w:r>
      <w:r w:rsidR="00DE285A" w:rsidRPr="007559E5">
        <w:rPr>
          <w:rFonts w:cs="Tahoma"/>
          <w:b/>
          <w:bCs/>
          <w:szCs w:val="22"/>
        </w:rPr>
        <w:t xml:space="preserve"> de dos mil veinticuatro</w:t>
      </w:r>
      <w:r w:rsidR="00DE285A" w:rsidRPr="007559E5">
        <w:rPr>
          <w:rFonts w:cs="Tahoma"/>
          <w:szCs w:val="22"/>
        </w:rPr>
        <w:t xml:space="preserve"> </w:t>
      </w:r>
      <w:r w:rsidR="00A53315" w:rsidRPr="007559E5">
        <w:rPr>
          <w:rFonts w:cs="Arial"/>
          <w:color w:val="000000" w:themeColor="text1"/>
          <w:szCs w:val="22"/>
        </w:rPr>
        <w:t xml:space="preserve">y el recurso </w:t>
      </w:r>
      <w:r w:rsidR="00A53315" w:rsidRPr="007559E5">
        <w:rPr>
          <w:rFonts w:eastAsia="Palatino Linotype" w:cs="Palatino Linotype"/>
          <w:color w:val="000000" w:themeColor="text1"/>
          <w:szCs w:val="22"/>
        </w:rPr>
        <w:t xml:space="preserve">que nos ocupa se </w:t>
      </w:r>
      <w:r w:rsidR="006A61F1" w:rsidRPr="007559E5">
        <w:rPr>
          <w:rFonts w:eastAsia="Palatino Linotype" w:cs="Palatino Linotype"/>
          <w:color w:val="000000" w:themeColor="text1"/>
          <w:szCs w:val="22"/>
        </w:rPr>
        <w:t>tuvo por presentado</w:t>
      </w:r>
      <w:r w:rsidR="00A53315" w:rsidRPr="007559E5">
        <w:rPr>
          <w:rFonts w:eastAsia="Palatino Linotype" w:cs="Palatino Linotype"/>
          <w:color w:val="000000" w:themeColor="text1"/>
          <w:szCs w:val="22"/>
        </w:rPr>
        <w:t xml:space="preserve"> el </w:t>
      </w:r>
      <w:r w:rsidR="00846C75" w:rsidRPr="007559E5">
        <w:rPr>
          <w:rFonts w:cs="Tahoma"/>
          <w:b/>
          <w:bCs/>
          <w:szCs w:val="22"/>
        </w:rPr>
        <w:t>doce</w:t>
      </w:r>
      <w:r w:rsidR="00E236E1" w:rsidRPr="007559E5">
        <w:rPr>
          <w:rFonts w:cs="Tahoma"/>
          <w:b/>
          <w:bCs/>
          <w:szCs w:val="22"/>
        </w:rPr>
        <w:t xml:space="preserve"> de agosto</w:t>
      </w:r>
      <w:r w:rsidR="00DE285A" w:rsidRPr="007559E5">
        <w:rPr>
          <w:rFonts w:cs="Tahoma"/>
          <w:b/>
          <w:bCs/>
          <w:szCs w:val="22"/>
        </w:rPr>
        <w:t xml:space="preserve"> de dos mil veinticuatro</w:t>
      </w:r>
      <w:r w:rsidR="00A53315" w:rsidRPr="007559E5">
        <w:rPr>
          <w:rFonts w:eastAsia="Palatino Linotype" w:cs="Palatino Linotype"/>
          <w:bCs/>
          <w:color w:val="000000" w:themeColor="text1"/>
          <w:szCs w:val="22"/>
        </w:rPr>
        <w:t>;</w:t>
      </w:r>
      <w:r w:rsidR="00A53315" w:rsidRPr="007559E5">
        <w:rPr>
          <w:rFonts w:eastAsia="Palatino Linotype" w:cs="Palatino Linotype"/>
          <w:color w:val="000000" w:themeColor="text1"/>
          <w:szCs w:val="22"/>
        </w:rPr>
        <w:t xml:space="preserve"> por lo tanto, éste se encuentra dentro del margen temporal previsto en el artículo 178 de la </w:t>
      </w:r>
      <w:r w:rsidR="00A53315" w:rsidRPr="007559E5">
        <w:rPr>
          <w:rFonts w:cs="Arial"/>
          <w:color w:val="000000" w:themeColor="text1"/>
          <w:szCs w:val="22"/>
        </w:rPr>
        <w:t>Ley de Transparencia y Acceso a la Información Pública de</w:t>
      </w:r>
      <w:r w:rsidR="00846C75" w:rsidRPr="007559E5">
        <w:rPr>
          <w:rFonts w:cs="Arial"/>
          <w:color w:val="000000" w:themeColor="text1"/>
          <w:szCs w:val="22"/>
        </w:rPr>
        <w:t>l Estado de México y Municipios</w:t>
      </w:r>
      <w:r w:rsidR="00CB7E9A" w:rsidRPr="007559E5">
        <w:rPr>
          <w:rFonts w:eastAsiaTheme="minorEastAsia" w:cs="Arial"/>
          <w:color w:val="000000" w:themeColor="text1"/>
          <w:szCs w:val="22"/>
          <w:lang w:val="es-ES_tradnl"/>
        </w:rPr>
        <w:t>.</w:t>
      </w:r>
    </w:p>
    <w:p w14:paraId="49076992" w14:textId="77777777" w:rsidR="00D91CB4" w:rsidRPr="007559E5" w:rsidRDefault="00D91CB4" w:rsidP="00D91CB4">
      <w:pPr>
        <w:rPr>
          <w:rFonts w:eastAsia="Palatino Linotype" w:cs="Palatino Linotype"/>
          <w:color w:val="000000" w:themeColor="text1"/>
          <w:szCs w:val="22"/>
        </w:rPr>
      </w:pPr>
    </w:p>
    <w:p w14:paraId="46C0EB3A" w14:textId="28FD0C2E" w:rsidR="00A53315" w:rsidRPr="007559E5" w:rsidRDefault="00BA55A8" w:rsidP="00362A11">
      <w:pPr>
        <w:pStyle w:val="Ttulo3"/>
        <w:rPr>
          <w:rFonts w:eastAsia="Calibri"/>
          <w:szCs w:val="22"/>
          <w:lang w:eastAsia="es-ES_tradnl"/>
        </w:rPr>
      </w:pPr>
      <w:bookmarkStart w:id="24" w:name="_Toc179924367"/>
      <w:r w:rsidRPr="007559E5">
        <w:rPr>
          <w:rFonts w:eastAsia="Calibri"/>
          <w:szCs w:val="22"/>
          <w:lang w:eastAsia="es-ES_tradnl"/>
        </w:rPr>
        <w:t>d)</w:t>
      </w:r>
      <w:r w:rsidR="00D91CB4" w:rsidRPr="007559E5">
        <w:rPr>
          <w:rFonts w:eastAsia="Calibri"/>
          <w:szCs w:val="22"/>
          <w:lang w:eastAsia="es-ES_tradnl"/>
        </w:rPr>
        <w:t xml:space="preserve"> </w:t>
      </w:r>
      <w:r w:rsidR="00E325AD" w:rsidRPr="007559E5">
        <w:rPr>
          <w:rFonts w:eastAsia="Calibri"/>
          <w:szCs w:val="22"/>
          <w:lang w:eastAsia="es-ES_tradnl"/>
        </w:rPr>
        <w:t>Causal de Procedencia</w:t>
      </w:r>
      <w:bookmarkEnd w:id="24"/>
    </w:p>
    <w:p w14:paraId="190404A6" w14:textId="7B51EABC" w:rsidR="00BA55A8" w:rsidRPr="007559E5" w:rsidRDefault="00BA55A8" w:rsidP="00BA55A8">
      <w:pPr>
        <w:rPr>
          <w:szCs w:val="22"/>
        </w:rPr>
      </w:pPr>
      <w:r w:rsidRPr="007559E5">
        <w:rPr>
          <w:rFonts w:cs="Arial"/>
          <w:szCs w:val="22"/>
        </w:rPr>
        <w:t xml:space="preserve">Resulta procedente la interposición del recurso de revisión, ya que </w:t>
      </w:r>
      <w:r w:rsidRPr="007559E5">
        <w:rPr>
          <w:rFonts w:eastAsia="Calibri" w:cs="Tahoma"/>
          <w:color w:val="000000"/>
          <w:szCs w:val="22"/>
          <w:lang w:eastAsia="es-MX"/>
        </w:rPr>
        <w:t>se actualiza la causal de procedencia señalada en el artículo 179, fracci</w:t>
      </w:r>
      <w:r w:rsidR="002F1C00" w:rsidRPr="007559E5">
        <w:rPr>
          <w:rFonts w:eastAsia="Calibri" w:cs="Tahoma"/>
          <w:color w:val="000000"/>
          <w:szCs w:val="22"/>
          <w:lang w:eastAsia="es-MX"/>
        </w:rPr>
        <w:t>ón</w:t>
      </w:r>
      <w:r w:rsidR="00EE1B1C" w:rsidRPr="007559E5">
        <w:rPr>
          <w:rFonts w:eastAsia="Calibri" w:cs="Tahoma"/>
          <w:color w:val="000000"/>
          <w:szCs w:val="22"/>
          <w:lang w:eastAsia="es-MX"/>
        </w:rPr>
        <w:t xml:space="preserve"> </w:t>
      </w:r>
      <w:r w:rsidR="00846C75" w:rsidRPr="007559E5">
        <w:rPr>
          <w:rFonts w:eastAsia="Calibri" w:cs="Tahoma"/>
          <w:color w:val="000000"/>
          <w:szCs w:val="22"/>
          <w:lang w:eastAsia="es-MX"/>
        </w:rPr>
        <w:t>V</w:t>
      </w:r>
      <w:r w:rsidR="00EE1B1C" w:rsidRPr="007559E5">
        <w:rPr>
          <w:rFonts w:eastAsia="Calibri" w:cs="Tahoma"/>
          <w:color w:val="000000"/>
          <w:szCs w:val="22"/>
          <w:lang w:eastAsia="es-MX"/>
        </w:rPr>
        <w:t xml:space="preserve"> </w:t>
      </w:r>
      <w:r w:rsidRPr="007559E5">
        <w:rPr>
          <w:rFonts w:cs="Arial"/>
          <w:szCs w:val="22"/>
        </w:rPr>
        <w:t xml:space="preserve">de la </w:t>
      </w:r>
      <w:r w:rsidRPr="007559E5">
        <w:rPr>
          <w:szCs w:val="22"/>
        </w:rPr>
        <w:t>Ley de Transparencia y Acceso a la Información Pública del Estado de México y Municipios.</w:t>
      </w:r>
    </w:p>
    <w:p w14:paraId="0EFF7141" w14:textId="77777777" w:rsidR="00362A11" w:rsidRPr="007559E5" w:rsidRDefault="00362A11" w:rsidP="00BA55A8">
      <w:pPr>
        <w:rPr>
          <w:szCs w:val="22"/>
        </w:rPr>
      </w:pPr>
    </w:p>
    <w:p w14:paraId="2284D7EB" w14:textId="3EE1D036" w:rsidR="00BA55A8" w:rsidRPr="007559E5" w:rsidRDefault="00362A11" w:rsidP="00362A11">
      <w:pPr>
        <w:pStyle w:val="Ttulo3"/>
        <w:rPr>
          <w:szCs w:val="22"/>
        </w:rPr>
      </w:pPr>
      <w:bookmarkStart w:id="25" w:name="_Toc179924368"/>
      <w:r w:rsidRPr="007559E5">
        <w:rPr>
          <w:szCs w:val="22"/>
        </w:rPr>
        <w:t>e) Requisitos formales para la interposición del recurso</w:t>
      </w:r>
      <w:bookmarkEnd w:id="25"/>
    </w:p>
    <w:p w14:paraId="45ACA74C" w14:textId="77777777" w:rsidR="00EE6BC3" w:rsidRPr="007559E5" w:rsidRDefault="00EE6BC3" w:rsidP="00EE6BC3">
      <w:pPr>
        <w:ind w:right="-595"/>
      </w:pPr>
      <w:r w:rsidRPr="007559E5">
        <w:rPr>
          <w:b/>
        </w:rPr>
        <w:t xml:space="preserve">LA PARTE RECURRENTE </w:t>
      </w:r>
      <w:r w:rsidRPr="007559E5">
        <w:t>acreditó todos y cada uno de los elementos formales exigidos por el artículo 180 de la misma normatividad.</w:t>
      </w:r>
    </w:p>
    <w:p w14:paraId="5A6AA7C7" w14:textId="77777777" w:rsidR="00FA10C0" w:rsidRPr="007559E5" w:rsidRDefault="00FA10C0" w:rsidP="00EE6BC3">
      <w:pPr>
        <w:ind w:right="-595"/>
      </w:pPr>
    </w:p>
    <w:p w14:paraId="457548E9" w14:textId="3F7AF03B" w:rsidR="00C71CEF" w:rsidRPr="007559E5" w:rsidRDefault="00C71CEF" w:rsidP="00C71CEF">
      <w:pPr>
        <w:pStyle w:val="Ttulo2"/>
        <w:rPr>
          <w:szCs w:val="22"/>
        </w:rPr>
      </w:pPr>
      <w:bookmarkStart w:id="26" w:name="_Toc179924369"/>
      <w:r w:rsidRPr="007559E5">
        <w:rPr>
          <w:szCs w:val="22"/>
        </w:rPr>
        <w:t>SEGUNDO. Estudio de Fondo</w:t>
      </w:r>
      <w:bookmarkEnd w:id="26"/>
    </w:p>
    <w:p w14:paraId="2A308F59" w14:textId="0FF373F0" w:rsidR="00C049E2" w:rsidRPr="007559E5" w:rsidRDefault="00C71CEF" w:rsidP="00A21A20">
      <w:pPr>
        <w:pStyle w:val="Ttulo3"/>
        <w:rPr>
          <w:szCs w:val="22"/>
        </w:rPr>
      </w:pPr>
      <w:bookmarkStart w:id="27" w:name="_Toc179924370"/>
      <w:r w:rsidRPr="007559E5">
        <w:rPr>
          <w:szCs w:val="22"/>
        </w:rPr>
        <w:t>a</w:t>
      </w:r>
      <w:r w:rsidR="00C049E2" w:rsidRPr="007559E5">
        <w:rPr>
          <w:szCs w:val="22"/>
        </w:rPr>
        <w:t>) Mandato de transparencia y responsabilidad del Sujeto Obligado</w:t>
      </w:r>
      <w:bookmarkEnd w:id="27"/>
    </w:p>
    <w:p w14:paraId="6901A889" w14:textId="59EEDAE1" w:rsidR="00C049E2" w:rsidRPr="007559E5" w:rsidRDefault="00C049E2" w:rsidP="00C049E2">
      <w:pPr>
        <w:rPr>
          <w:rFonts w:eastAsia="Palatino Linotype"/>
          <w:szCs w:val="22"/>
        </w:rPr>
      </w:pPr>
      <w:r w:rsidRPr="007559E5">
        <w:rPr>
          <w:rFonts w:eastAsia="Palatino Linotype"/>
          <w:szCs w:val="22"/>
        </w:rPr>
        <w:t xml:space="preserve">El </w:t>
      </w:r>
      <w:r w:rsidR="00717E59" w:rsidRPr="007559E5">
        <w:rPr>
          <w:rFonts w:eastAsia="Palatino Linotype"/>
          <w:szCs w:val="22"/>
        </w:rPr>
        <w:t>d</w:t>
      </w:r>
      <w:r w:rsidRPr="007559E5">
        <w:rPr>
          <w:rFonts w:eastAsia="Palatino Linotype"/>
          <w:szCs w:val="22"/>
        </w:rPr>
        <w:t xml:space="preserve">erecho de </w:t>
      </w:r>
      <w:r w:rsidR="00717E59" w:rsidRPr="007559E5">
        <w:rPr>
          <w:rFonts w:eastAsia="Palatino Linotype"/>
          <w:szCs w:val="22"/>
        </w:rPr>
        <w:t>a</w:t>
      </w:r>
      <w:r w:rsidRPr="007559E5">
        <w:rPr>
          <w:rFonts w:eastAsia="Palatino Linotype"/>
          <w:szCs w:val="22"/>
        </w:rPr>
        <w:t xml:space="preserve">cceso a la </w:t>
      </w:r>
      <w:r w:rsidR="00717E59" w:rsidRPr="007559E5">
        <w:rPr>
          <w:rFonts w:eastAsia="Palatino Linotype"/>
          <w:szCs w:val="22"/>
        </w:rPr>
        <w:t>i</w:t>
      </w:r>
      <w:r w:rsidRPr="007559E5">
        <w:rPr>
          <w:rFonts w:eastAsia="Palatino Linotype"/>
          <w:szCs w:val="22"/>
        </w:rPr>
        <w:t xml:space="preserve">nformación </w:t>
      </w:r>
      <w:r w:rsidR="00717E59" w:rsidRPr="007559E5">
        <w:rPr>
          <w:rFonts w:eastAsia="Palatino Linotype"/>
          <w:szCs w:val="22"/>
        </w:rPr>
        <w:t>p</w:t>
      </w:r>
      <w:r w:rsidRPr="007559E5">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7559E5">
        <w:rPr>
          <w:rFonts w:eastAsia="Palatino Linotype"/>
          <w:szCs w:val="22"/>
        </w:rPr>
        <w:t>:</w:t>
      </w:r>
    </w:p>
    <w:p w14:paraId="7FAB8D32" w14:textId="77777777" w:rsidR="00C049E2" w:rsidRPr="007559E5" w:rsidRDefault="00C049E2" w:rsidP="00C049E2">
      <w:pPr>
        <w:rPr>
          <w:rFonts w:eastAsia="Palatino Linotype"/>
          <w:szCs w:val="22"/>
        </w:rPr>
      </w:pPr>
    </w:p>
    <w:p w14:paraId="05320813" w14:textId="77777777" w:rsidR="00C049E2" w:rsidRPr="007559E5" w:rsidRDefault="00C049E2" w:rsidP="0009347C">
      <w:pPr>
        <w:spacing w:line="240" w:lineRule="auto"/>
        <w:ind w:left="567" w:right="539"/>
        <w:rPr>
          <w:rFonts w:eastAsia="Palatino Linotype"/>
          <w:b/>
          <w:i/>
          <w:szCs w:val="22"/>
        </w:rPr>
      </w:pPr>
      <w:r w:rsidRPr="007559E5">
        <w:rPr>
          <w:rFonts w:eastAsia="Palatino Linotype"/>
          <w:b/>
          <w:i/>
          <w:szCs w:val="22"/>
        </w:rPr>
        <w:t>Constitución Política de los Estados Unidos Mexicanos</w:t>
      </w:r>
    </w:p>
    <w:p w14:paraId="6B6C67B6" w14:textId="77777777" w:rsidR="00C049E2" w:rsidRPr="007559E5" w:rsidRDefault="00C049E2" w:rsidP="0009347C">
      <w:pPr>
        <w:spacing w:line="240" w:lineRule="auto"/>
        <w:ind w:left="567" w:right="539"/>
        <w:rPr>
          <w:rFonts w:eastAsia="Palatino Linotype"/>
          <w:b/>
          <w:i/>
          <w:szCs w:val="22"/>
        </w:rPr>
      </w:pPr>
      <w:r w:rsidRPr="007559E5">
        <w:rPr>
          <w:rFonts w:eastAsia="Palatino Linotype"/>
          <w:b/>
          <w:i/>
          <w:szCs w:val="22"/>
        </w:rPr>
        <w:t>“Artículo 6.</w:t>
      </w:r>
    </w:p>
    <w:p w14:paraId="38D3B4C4" w14:textId="77777777" w:rsidR="00C049E2" w:rsidRPr="007559E5" w:rsidRDefault="00C049E2" w:rsidP="0009347C">
      <w:pPr>
        <w:spacing w:line="240" w:lineRule="auto"/>
        <w:ind w:left="567" w:right="539"/>
        <w:rPr>
          <w:rFonts w:eastAsia="Palatino Linotype"/>
          <w:i/>
          <w:szCs w:val="22"/>
        </w:rPr>
      </w:pPr>
      <w:r w:rsidRPr="007559E5">
        <w:rPr>
          <w:rFonts w:eastAsia="Palatino Linotype"/>
          <w:i/>
          <w:szCs w:val="22"/>
        </w:rPr>
        <w:t>(…)</w:t>
      </w:r>
    </w:p>
    <w:p w14:paraId="2CCAA297" w14:textId="6602827B" w:rsidR="00C049E2" w:rsidRPr="007559E5" w:rsidRDefault="00C049E2" w:rsidP="0009347C">
      <w:pPr>
        <w:spacing w:line="240" w:lineRule="auto"/>
        <w:ind w:left="567" w:right="539"/>
        <w:rPr>
          <w:rFonts w:eastAsia="Palatino Linotype"/>
          <w:i/>
          <w:szCs w:val="22"/>
        </w:rPr>
      </w:pPr>
      <w:r w:rsidRPr="007559E5">
        <w:rPr>
          <w:rFonts w:eastAsia="Palatino Linotype"/>
          <w:i/>
          <w:szCs w:val="22"/>
        </w:rPr>
        <w:lastRenderedPageBreak/>
        <w:t>Para efectos de lo dispuesto en el presente artículo se observará lo siguiente:</w:t>
      </w:r>
    </w:p>
    <w:p w14:paraId="74CC3718" w14:textId="77777777" w:rsidR="00C049E2" w:rsidRPr="007559E5" w:rsidRDefault="00C049E2" w:rsidP="0009347C">
      <w:pPr>
        <w:spacing w:line="240" w:lineRule="auto"/>
        <w:ind w:left="567" w:right="539"/>
        <w:rPr>
          <w:rFonts w:eastAsia="Palatino Linotype"/>
          <w:b/>
          <w:i/>
          <w:szCs w:val="22"/>
        </w:rPr>
      </w:pPr>
      <w:r w:rsidRPr="007559E5">
        <w:rPr>
          <w:rFonts w:eastAsia="Palatino Linotype"/>
          <w:b/>
          <w:i/>
          <w:szCs w:val="22"/>
        </w:rPr>
        <w:t>A</w:t>
      </w:r>
      <w:r w:rsidRPr="007559E5">
        <w:rPr>
          <w:rFonts w:eastAsia="Palatino Linotype"/>
          <w:i/>
          <w:szCs w:val="22"/>
        </w:rPr>
        <w:t xml:space="preserve">. </w:t>
      </w:r>
      <w:r w:rsidRPr="007559E5">
        <w:rPr>
          <w:rFonts w:eastAsia="Palatino Linotype"/>
          <w:b/>
          <w:i/>
          <w:szCs w:val="22"/>
        </w:rPr>
        <w:t>Para el ejercicio del derecho de acceso a la información</w:t>
      </w:r>
      <w:r w:rsidRPr="007559E5">
        <w:rPr>
          <w:rFonts w:eastAsia="Palatino Linotype"/>
          <w:i/>
          <w:szCs w:val="22"/>
        </w:rPr>
        <w:t xml:space="preserve">, la Federación y </w:t>
      </w:r>
      <w:r w:rsidRPr="007559E5">
        <w:rPr>
          <w:rFonts w:eastAsia="Palatino Linotype"/>
          <w:b/>
          <w:i/>
          <w:szCs w:val="22"/>
        </w:rPr>
        <w:t>las entidades federativas, en el ámbito de sus respectivas competencias, se regirán por los siguientes principios y bases:</w:t>
      </w:r>
    </w:p>
    <w:p w14:paraId="596A956B" w14:textId="77777777" w:rsidR="00C049E2" w:rsidRPr="007559E5" w:rsidRDefault="00C049E2" w:rsidP="0009347C">
      <w:pPr>
        <w:spacing w:line="240" w:lineRule="auto"/>
        <w:ind w:left="567" w:right="539"/>
        <w:rPr>
          <w:rFonts w:eastAsia="Palatino Linotype"/>
          <w:i/>
          <w:szCs w:val="22"/>
        </w:rPr>
      </w:pPr>
      <w:r w:rsidRPr="007559E5">
        <w:rPr>
          <w:rFonts w:eastAsia="Palatino Linotype"/>
          <w:b/>
          <w:i/>
          <w:szCs w:val="22"/>
        </w:rPr>
        <w:t xml:space="preserve">I. </w:t>
      </w:r>
      <w:r w:rsidRPr="007559E5">
        <w:rPr>
          <w:rFonts w:eastAsia="Palatino Linotype"/>
          <w:b/>
          <w:i/>
          <w:szCs w:val="22"/>
        </w:rPr>
        <w:tab/>
        <w:t>Toda la información en posesión de cualquier</w:t>
      </w:r>
      <w:r w:rsidRPr="007559E5">
        <w:rPr>
          <w:rFonts w:eastAsia="Palatino Linotype"/>
          <w:i/>
          <w:szCs w:val="22"/>
        </w:rPr>
        <w:t xml:space="preserve"> </w:t>
      </w:r>
      <w:r w:rsidRPr="007559E5">
        <w:rPr>
          <w:rFonts w:eastAsia="Palatino Linotype"/>
          <w:b/>
          <w:i/>
          <w:szCs w:val="22"/>
        </w:rPr>
        <w:t>autoridad</w:t>
      </w:r>
      <w:r w:rsidRPr="007559E5">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559E5">
        <w:rPr>
          <w:rFonts w:eastAsia="Palatino Linotype"/>
          <w:b/>
          <w:i/>
          <w:szCs w:val="22"/>
        </w:rPr>
        <w:t>municipal</w:t>
      </w:r>
      <w:r w:rsidRPr="007559E5">
        <w:rPr>
          <w:rFonts w:eastAsia="Palatino Linotype"/>
          <w:i/>
          <w:szCs w:val="22"/>
        </w:rPr>
        <w:t xml:space="preserve">, </w:t>
      </w:r>
      <w:r w:rsidRPr="007559E5">
        <w:rPr>
          <w:rFonts w:eastAsia="Palatino Linotype"/>
          <w:b/>
          <w:i/>
          <w:szCs w:val="22"/>
        </w:rPr>
        <w:t>es pública</w:t>
      </w:r>
      <w:r w:rsidRPr="007559E5">
        <w:rPr>
          <w:rFonts w:eastAsia="Palatino Linotype"/>
          <w:i/>
          <w:szCs w:val="22"/>
        </w:rPr>
        <w:t xml:space="preserve"> y sólo podrá ser reservada temporalmente por razones de interés público y seguridad nacional, en los términos que fijen las leyes. </w:t>
      </w:r>
      <w:r w:rsidRPr="007559E5">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7559E5">
        <w:rPr>
          <w:rFonts w:eastAsia="Palatino Linotype"/>
          <w:i/>
          <w:szCs w:val="22"/>
        </w:rPr>
        <w:t>, la ley determinará los supuestos específicos bajo los cuales procederá la declaración de inexistencia de la información.”</w:t>
      </w:r>
    </w:p>
    <w:p w14:paraId="68F313E4" w14:textId="77777777" w:rsidR="00C049E2" w:rsidRPr="007559E5" w:rsidRDefault="00C049E2" w:rsidP="0009347C">
      <w:pPr>
        <w:spacing w:line="240" w:lineRule="auto"/>
        <w:ind w:left="567" w:right="539"/>
        <w:rPr>
          <w:rFonts w:eastAsia="Palatino Linotype"/>
          <w:b/>
          <w:i/>
          <w:szCs w:val="22"/>
        </w:rPr>
      </w:pPr>
    </w:p>
    <w:p w14:paraId="504F12DB" w14:textId="77777777" w:rsidR="00C049E2" w:rsidRPr="007559E5" w:rsidRDefault="00C049E2" w:rsidP="0009347C">
      <w:pPr>
        <w:spacing w:line="240" w:lineRule="auto"/>
        <w:ind w:left="567" w:right="539"/>
        <w:rPr>
          <w:rFonts w:eastAsia="Palatino Linotype"/>
          <w:b/>
          <w:i/>
          <w:szCs w:val="22"/>
        </w:rPr>
      </w:pPr>
      <w:r w:rsidRPr="007559E5">
        <w:rPr>
          <w:rFonts w:eastAsia="Palatino Linotype"/>
          <w:b/>
          <w:i/>
          <w:szCs w:val="22"/>
        </w:rPr>
        <w:t>Constitución Política del Estado Libre y Soberano de México</w:t>
      </w:r>
    </w:p>
    <w:p w14:paraId="04932D29" w14:textId="77777777" w:rsidR="00C049E2" w:rsidRPr="007559E5" w:rsidRDefault="00C049E2" w:rsidP="0009347C">
      <w:pPr>
        <w:spacing w:line="240" w:lineRule="auto"/>
        <w:ind w:left="567" w:right="539"/>
        <w:rPr>
          <w:rFonts w:eastAsia="Palatino Linotype"/>
          <w:i/>
          <w:szCs w:val="22"/>
        </w:rPr>
      </w:pPr>
      <w:r w:rsidRPr="007559E5">
        <w:rPr>
          <w:rFonts w:eastAsia="Palatino Linotype"/>
          <w:b/>
          <w:i/>
          <w:szCs w:val="22"/>
        </w:rPr>
        <w:t>“Artículo 5</w:t>
      </w:r>
      <w:r w:rsidRPr="007559E5">
        <w:rPr>
          <w:rFonts w:eastAsia="Palatino Linotype"/>
          <w:i/>
          <w:szCs w:val="22"/>
        </w:rPr>
        <w:t xml:space="preserve">.- </w:t>
      </w:r>
    </w:p>
    <w:p w14:paraId="1D3829F4" w14:textId="77777777" w:rsidR="00C049E2" w:rsidRPr="007559E5" w:rsidRDefault="00C049E2" w:rsidP="0009347C">
      <w:pPr>
        <w:spacing w:line="240" w:lineRule="auto"/>
        <w:ind w:left="567" w:right="539"/>
        <w:rPr>
          <w:rFonts w:eastAsia="Palatino Linotype"/>
          <w:i/>
          <w:szCs w:val="22"/>
        </w:rPr>
      </w:pPr>
      <w:r w:rsidRPr="007559E5">
        <w:rPr>
          <w:rFonts w:eastAsia="Palatino Linotype"/>
          <w:i/>
          <w:szCs w:val="22"/>
        </w:rPr>
        <w:t>(…)</w:t>
      </w:r>
    </w:p>
    <w:p w14:paraId="0EAE47FD" w14:textId="77777777" w:rsidR="00C049E2" w:rsidRPr="007559E5" w:rsidRDefault="00C049E2" w:rsidP="0009347C">
      <w:pPr>
        <w:spacing w:line="240" w:lineRule="auto"/>
        <w:ind w:left="567" w:right="539"/>
        <w:rPr>
          <w:rFonts w:eastAsia="Palatino Linotype"/>
          <w:i/>
          <w:szCs w:val="22"/>
        </w:rPr>
      </w:pPr>
      <w:r w:rsidRPr="007559E5">
        <w:rPr>
          <w:rFonts w:eastAsia="Palatino Linotype"/>
          <w:b/>
          <w:i/>
          <w:szCs w:val="22"/>
        </w:rPr>
        <w:t>El derecho a la información será garantizado por el Estado. La ley establecerá las previsiones que permitan asegurar la protección, el respeto y la difusión de este derecho</w:t>
      </w:r>
      <w:r w:rsidRPr="007559E5">
        <w:rPr>
          <w:rFonts w:eastAsia="Palatino Linotype"/>
          <w:i/>
          <w:szCs w:val="22"/>
        </w:rPr>
        <w:t>.</w:t>
      </w:r>
    </w:p>
    <w:p w14:paraId="4F0C804A" w14:textId="77777777" w:rsidR="00C049E2" w:rsidRPr="007559E5" w:rsidRDefault="00C049E2" w:rsidP="0009347C">
      <w:pPr>
        <w:spacing w:line="240" w:lineRule="auto"/>
        <w:ind w:left="567" w:right="539"/>
        <w:rPr>
          <w:rFonts w:eastAsia="Palatino Linotype"/>
          <w:i/>
          <w:szCs w:val="22"/>
        </w:rPr>
      </w:pPr>
      <w:r w:rsidRPr="007559E5">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559E5" w:rsidRDefault="00C049E2" w:rsidP="0009347C">
      <w:pPr>
        <w:spacing w:line="240" w:lineRule="auto"/>
        <w:ind w:left="567" w:right="539"/>
        <w:rPr>
          <w:rFonts w:eastAsia="Palatino Linotype"/>
          <w:i/>
          <w:szCs w:val="22"/>
        </w:rPr>
      </w:pPr>
      <w:r w:rsidRPr="007559E5">
        <w:rPr>
          <w:rFonts w:eastAsia="Palatino Linotype"/>
          <w:b/>
          <w:i/>
          <w:szCs w:val="22"/>
        </w:rPr>
        <w:t>Este derecho se regirá por los principios y bases siguientes</w:t>
      </w:r>
      <w:r w:rsidRPr="007559E5">
        <w:rPr>
          <w:rFonts w:eastAsia="Palatino Linotype"/>
          <w:i/>
          <w:szCs w:val="22"/>
        </w:rPr>
        <w:t>:</w:t>
      </w:r>
    </w:p>
    <w:p w14:paraId="4A3E8CBA" w14:textId="77777777" w:rsidR="00C049E2" w:rsidRPr="007559E5" w:rsidRDefault="00C049E2" w:rsidP="0009347C">
      <w:pPr>
        <w:spacing w:line="240" w:lineRule="auto"/>
        <w:ind w:left="567" w:right="539"/>
        <w:rPr>
          <w:rFonts w:eastAsia="Palatino Linotype"/>
          <w:i/>
          <w:szCs w:val="22"/>
        </w:rPr>
      </w:pPr>
      <w:r w:rsidRPr="007559E5">
        <w:rPr>
          <w:rFonts w:eastAsia="Palatino Linotype"/>
          <w:b/>
          <w:i/>
          <w:szCs w:val="22"/>
        </w:rPr>
        <w:t>I. Toda la información en posesión de cualquier autoridad, entidad, órgano y organismos de los</w:t>
      </w:r>
      <w:r w:rsidRPr="007559E5">
        <w:rPr>
          <w:rFonts w:eastAsia="Palatino Linotype"/>
          <w:i/>
          <w:szCs w:val="22"/>
        </w:rPr>
        <w:t xml:space="preserve"> Poderes Ejecutivo, Legislativo y Judicial, órganos autónomos, partidos políticos, fideicomisos y fondos públicos estatales y </w:t>
      </w:r>
      <w:r w:rsidRPr="007559E5">
        <w:rPr>
          <w:rFonts w:eastAsia="Palatino Linotype"/>
          <w:b/>
          <w:i/>
          <w:szCs w:val="22"/>
        </w:rPr>
        <w:t>municipales</w:t>
      </w:r>
      <w:r w:rsidRPr="007559E5">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559E5">
        <w:rPr>
          <w:rFonts w:eastAsia="Palatino Linotype"/>
          <w:b/>
          <w:i/>
          <w:szCs w:val="22"/>
        </w:rPr>
        <w:t>es pública</w:t>
      </w:r>
      <w:r w:rsidRPr="007559E5">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7559E5">
        <w:rPr>
          <w:rFonts w:eastAsia="Palatino Linotype"/>
          <w:b/>
          <w:i/>
          <w:szCs w:val="22"/>
        </w:rPr>
        <w:t>En la interpretación de este derecho deberá prevalecer el principio de máxima publicidad</w:t>
      </w:r>
      <w:r w:rsidRPr="007559E5">
        <w:rPr>
          <w:rFonts w:eastAsia="Palatino Linotype"/>
          <w:i/>
          <w:szCs w:val="22"/>
        </w:rPr>
        <w:t xml:space="preserve">. </w:t>
      </w:r>
      <w:r w:rsidRPr="007559E5">
        <w:rPr>
          <w:rFonts w:eastAsia="Palatino Linotype"/>
          <w:b/>
          <w:i/>
          <w:szCs w:val="22"/>
        </w:rPr>
        <w:t>Los sujetos obligados deberán documentar todo acto que derive del ejercicio de sus facultades, competencias o funciones</w:t>
      </w:r>
      <w:r w:rsidRPr="007559E5">
        <w:rPr>
          <w:rFonts w:eastAsia="Palatino Linotype"/>
          <w:i/>
          <w:szCs w:val="22"/>
        </w:rPr>
        <w:t>, la ley determinará los supuestos específicos bajo los cuales procederá la declaración de inexistencia de la información.”</w:t>
      </w:r>
    </w:p>
    <w:p w14:paraId="5CA98E37" w14:textId="77777777" w:rsidR="00C049E2" w:rsidRPr="007559E5" w:rsidRDefault="00C049E2" w:rsidP="00C049E2">
      <w:pPr>
        <w:rPr>
          <w:rFonts w:eastAsia="Palatino Linotype"/>
          <w:b/>
          <w:i/>
          <w:szCs w:val="22"/>
        </w:rPr>
      </w:pPr>
    </w:p>
    <w:p w14:paraId="6FC1BB3B" w14:textId="3BF4A33D" w:rsidR="00C049E2" w:rsidRPr="007559E5" w:rsidRDefault="00717E59" w:rsidP="00331F35">
      <w:pPr>
        <w:rPr>
          <w:rFonts w:eastAsia="Palatino Linotype"/>
          <w:i/>
          <w:szCs w:val="22"/>
        </w:rPr>
      </w:pPr>
      <w:r w:rsidRPr="007559E5">
        <w:rPr>
          <w:rFonts w:eastAsia="Palatino Linotype"/>
          <w:szCs w:val="22"/>
        </w:rPr>
        <w:t xml:space="preserve">Asimismo, </w:t>
      </w:r>
      <w:r w:rsidR="00C049E2" w:rsidRPr="007559E5">
        <w:rPr>
          <w:rFonts w:eastAsia="Palatino Linotype"/>
          <w:szCs w:val="22"/>
        </w:rPr>
        <w:t>el artículo 150 de la Ley de Transparencia y Acceso a la Información Pública del Estado de México y Municipios</w:t>
      </w:r>
      <w:r w:rsidR="00057B2D" w:rsidRPr="007559E5">
        <w:rPr>
          <w:rFonts w:eastAsia="Palatino Linotype"/>
          <w:szCs w:val="22"/>
        </w:rPr>
        <w:t xml:space="preserve"> </w:t>
      </w:r>
      <w:r w:rsidR="00E9335C" w:rsidRPr="007559E5">
        <w:rPr>
          <w:rFonts w:eastAsia="Palatino Linotype"/>
          <w:szCs w:val="22"/>
        </w:rPr>
        <w:t xml:space="preserve">indica </w:t>
      </w:r>
      <w:r w:rsidR="00057B2D" w:rsidRPr="007559E5">
        <w:rPr>
          <w:rFonts w:eastAsia="Palatino Linotype"/>
          <w:szCs w:val="22"/>
        </w:rPr>
        <w:t>que</w:t>
      </w:r>
      <w:r w:rsidR="00C049E2" w:rsidRPr="007559E5">
        <w:rPr>
          <w:rFonts w:eastAsia="Palatino Linotype"/>
          <w:szCs w:val="22"/>
        </w:rPr>
        <w:t xml:space="preserve"> la solicitud es la garantía primaria del Derecho de Acceso a la Información, además, establece que se regirá </w:t>
      </w:r>
      <w:r w:rsidR="00C049E2" w:rsidRPr="007559E5">
        <w:rPr>
          <w:rFonts w:eastAsia="Palatino Linotype"/>
          <w:i/>
          <w:szCs w:val="22"/>
        </w:rPr>
        <w:t>por los principios de simplicidad, rapidez</w:t>
      </w:r>
      <w:r w:rsidR="005F65B7" w:rsidRPr="007559E5">
        <w:rPr>
          <w:rFonts w:eastAsia="Palatino Linotype"/>
          <w:i/>
          <w:szCs w:val="22"/>
        </w:rPr>
        <w:t>,</w:t>
      </w:r>
      <w:r w:rsidR="00C049E2" w:rsidRPr="007559E5">
        <w:rPr>
          <w:rFonts w:eastAsia="Palatino Linotype"/>
          <w:i/>
          <w:szCs w:val="22"/>
        </w:rPr>
        <w:t xml:space="preserve"> gratuidad del procedimiento, auxilio y orientación a los particulare</w:t>
      </w:r>
      <w:r w:rsidR="001A58B3" w:rsidRPr="007559E5">
        <w:rPr>
          <w:rFonts w:eastAsia="Palatino Linotype"/>
          <w:i/>
          <w:szCs w:val="22"/>
        </w:rPr>
        <w:t>s.</w:t>
      </w:r>
    </w:p>
    <w:p w14:paraId="033466A6" w14:textId="77777777" w:rsidR="001A58B3" w:rsidRPr="007559E5" w:rsidRDefault="001A58B3" w:rsidP="00331F35">
      <w:pPr>
        <w:rPr>
          <w:rFonts w:eastAsia="Palatino Linotype"/>
          <w:i/>
          <w:szCs w:val="22"/>
        </w:rPr>
      </w:pPr>
    </w:p>
    <w:p w14:paraId="04ADA10B" w14:textId="574A944A" w:rsidR="001A58B3" w:rsidRPr="007559E5" w:rsidRDefault="00233F17" w:rsidP="00331F35">
      <w:pPr>
        <w:rPr>
          <w:rFonts w:eastAsia="Palatino Linotype" w:cs="Palatino Linotype"/>
          <w:i/>
          <w:szCs w:val="22"/>
        </w:rPr>
      </w:pPr>
      <w:r w:rsidRPr="007559E5">
        <w:rPr>
          <w:rFonts w:eastAsia="Palatino Linotype" w:cs="Palatino Linotype"/>
          <w:szCs w:val="22"/>
        </w:rPr>
        <w:t xml:space="preserve">Por su parte, el artículo 4 de </w:t>
      </w:r>
      <w:r w:rsidR="001A58B3" w:rsidRPr="007559E5">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559E5">
        <w:rPr>
          <w:rFonts w:eastAsia="Palatino Linotype" w:cs="Palatino Linotype"/>
          <w:szCs w:val="22"/>
        </w:rPr>
        <w:t>.</w:t>
      </w:r>
    </w:p>
    <w:p w14:paraId="1407DBB8" w14:textId="77777777" w:rsidR="001A58B3" w:rsidRPr="007559E5" w:rsidRDefault="001A58B3" w:rsidP="00331F35">
      <w:pPr>
        <w:rPr>
          <w:rFonts w:eastAsia="Palatino Linotype" w:cs="Palatino Linotype"/>
          <w:szCs w:val="22"/>
        </w:rPr>
      </w:pPr>
    </w:p>
    <w:p w14:paraId="7552AA79" w14:textId="5C52E4A4" w:rsidR="001A58B3" w:rsidRPr="007559E5" w:rsidRDefault="001A58B3" w:rsidP="00331F35">
      <w:pPr>
        <w:rPr>
          <w:rFonts w:eastAsia="Palatino Linotype" w:cs="Palatino Linotype"/>
          <w:szCs w:val="22"/>
        </w:rPr>
      </w:pPr>
      <w:r w:rsidRPr="007559E5">
        <w:rPr>
          <w:rFonts w:eastAsia="Palatino Linotype" w:cs="Palatino Linotype"/>
          <w:szCs w:val="22"/>
        </w:rPr>
        <w:t xml:space="preserve">Esto es, que los Sujetos Obligados </w:t>
      </w:r>
      <w:r w:rsidR="00FA5957" w:rsidRPr="007559E5">
        <w:rPr>
          <w:rFonts w:eastAsia="Palatino Linotype" w:cs="Palatino Linotype"/>
          <w:szCs w:val="22"/>
        </w:rPr>
        <w:t>deben</w:t>
      </w:r>
      <w:r w:rsidRPr="007559E5">
        <w:rPr>
          <w:rFonts w:eastAsia="Palatino Linotype" w:cs="Palatino Linotype"/>
          <w:szCs w:val="22"/>
        </w:rPr>
        <w:t xml:space="preserve"> atender las solicitudes de acceso a la información pública que se les </w:t>
      </w:r>
      <w:r w:rsidR="00FA5957" w:rsidRPr="007559E5">
        <w:rPr>
          <w:rFonts w:eastAsia="Palatino Linotype" w:cs="Palatino Linotype"/>
          <w:szCs w:val="22"/>
        </w:rPr>
        <w:t>sean realizadas,</w:t>
      </w:r>
      <w:r w:rsidRPr="007559E5">
        <w:rPr>
          <w:rFonts w:eastAsia="Palatino Linotype" w:cs="Palatino Linotype"/>
          <w:szCs w:val="22"/>
        </w:rPr>
        <w:t xml:space="preserve"> y proporcionar la información pública que obre en su poder</w:t>
      </w:r>
      <w:r w:rsidR="00FA5957" w:rsidRPr="007559E5">
        <w:rPr>
          <w:rFonts w:eastAsia="Palatino Linotype" w:cs="Palatino Linotype"/>
          <w:szCs w:val="22"/>
        </w:rPr>
        <w:t>,</w:t>
      </w:r>
      <w:r w:rsidRPr="007559E5">
        <w:rPr>
          <w:rFonts w:eastAsia="Palatino Linotype" w:cs="Palatino Linotype"/>
          <w:szCs w:val="22"/>
        </w:rPr>
        <w:t xml:space="preserve"> conforme </w:t>
      </w:r>
      <w:r w:rsidR="00FA5957" w:rsidRPr="007559E5">
        <w:rPr>
          <w:rFonts w:eastAsia="Palatino Linotype" w:cs="Palatino Linotype"/>
          <w:szCs w:val="22"/>
        </w:rPr>
        <w:t>a</w:t>
      </w:r>
      <w:r w:rsidRPr="007559E5">
        <w:rPr>
          <w:rFonts w:eastAsia="Palatino Linotype" w:cs="Palatino Linotype"/>
          <w:szCs w:val="22"/>
        </w:rPr>
        <w:t xml:space="preserve">l estado </w:t>
      </w:r>
      <w:r w:rsidR="00FA5957" w:rsidRPr="007559E5">
        <w:rPr>
          <w:rFonts w:eastAsia="Palatino Linotype" w:cs="Palatino Linotype"/>
          <w:szCs w:val="22"/>
        </w:rPr>
        <w:t xml:space="preserve">en </w:t>
      </w:r>
      <w:r w:rsidRPr="007559E5">
        <w:rPr>
          <w:rFonts w:eastAsia="Palatino Linotype" w:cs="Palatino Linotype"/>
          <w:szCs w:val="22"/>
        </w:rPr>
        <w:t>que se encuentr</w:t>
      </w:r>
      <w:r w:rsidR="00FA5957" w:rsidRPr="007559E5">
        <w:rPr>
          <w:rFonts w:eastAsia="Palatino Linotype" w:cs="Palatino Linotype"/>
          <w:szCs w:val="22"/>
        </w:rPr>
        <w:t>e, sin que sea necesario</w:t>
      </w:r>
      <w:r w:rsidRPr="007559E5">
        <w:rPr>
          <w:rFonts w:eastAsia="Palatino Linotype" w:cs="Palatino Linotype"/>
          <w:szCs w:val="22"/>
        </w:rPr>
        <w:t xml:space="preserve"> </w:t>
      </w:r>
      <w:r w:rsidR="00FA5957" w:rsidRPr="007559E5">
        <w:rPr>
          <w:rFonts w:eastAsia="Palatino Linotype" w:cs="Palatino Linotype"/>
          <w:szCs w:val="22"/>
        </w:rPr>
        <w:t>procesar</w:t>
      </w:r>
      <w:r w:rsidRPr="007559E5">
        <w:rPr>
          <w:rFonts w:eastAsia="Palatino Linotype" w:cs="Palatino Linotype"/>
          <w:szCs w:val="22"/>
        </w:rPr>
        <w:t xml:space="preserve"> la misma, ni presentarla conforme al interés del solicitante; </w:t>
      </w:r>
      <w:r w:rsidR="00FA5957" w:rsidRPr="007559E5">
        <w:rPr>
          <w:rFonts w:eastAsia="Palatino Linotype" w:cs="Palatino Linotype"/>
          <w:szCs w:val="22"/>
        </w:rPr>
        <w:t>tal y como</w:t>
      </w:r>
      <w:r w:rsidRPr="007559E5">
        <w:rPr>
          <w:rFonts w:eastAsia="Palatino Linotype" w:cs="Palatino Linotype"/>
          <w:szCs w:val="22"/>
        </w:rPr>
        <w:t xml:space="preserve"> lo establece el artículo 12 de la Ley de Transparencia y Acceso a la Información Pública del Estado de México y Municipios</w:t>
      </w:r>
      <w:r w:rsidR="00970EB3" w:rsidRPr="007559E5">
        <w:rPr>
          <w:rFonts w:eastAsia="Palatino Linotype" w:cs="Palatino Linotype"/>
          <w:szCs w:val="22"/>
        </w:rPr>
        <w:t>.</w:t>
      </w:r>
    </w:p>
    <w:p w14:paraId="73245195" w14:textId="77777777" w:rsidR="00970EB3" w:rsidRPr="007559E5" w:rsidRDefault="00970EB3" w:rsidP="00331F35">
      <w:pPr>
        <w:rPr>
          <w:rFonts w:eastAsia="Palatino Linotype" w:cs="Palatino Linotype"/>
          <w:szCs w:val="22"/>
        </w:rPr>
      </w:pPr>
    </w:p>
    <w:p w14:paraId="7F62D4DF" w14:textId="775730E1" w:rsidR="001A58B3" w:rsidRPr="007559E5" w:rsidRDefault="001A58B3" w:rsidP="00331F35">
      <w:pPr>
        <w:rPr>
          <w:rFonts w:eastAsia="Palatino Linotype" w:cs="Palatino Linotype"/>
          <w:szCs w:val="22"/>
        </w:rPr>
      </w:pPr>
      <w:r w:rsidRPr="007559E5">
        <w:rPr>
          <w:rFonts w:eastAsia="Palatino Linotype" w:cs="Palatino Linotype"/>
          <w:szCs w:val="22"/>
        </w:rPr>
        <w:t>Es decir, que todo sujeto obligado que genere, recopile, administre, procese, archive, posea o conserven, son responsables de la misma</w:t>
      </w:r>
      <w:r w:rsidR="00970EB3" w:rsidRPr="007559E5">
        <w:rPr>
          <w:rFonts w:eastAsia="Palatino Linotype" w:cs="Palatino Linotype"/>
          <w:szCs w:val="22"/>
        </w:rPr>
        <w:t>,</w:t>
      </w:r>
      <w:r w:rsidRPr="007559E5">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7559E5">
        <w:rPr>
          <w:rFonts w:eastAsia="Palatino Linotype" w:cs="Palatino Linotype"/>
          <w:szCs w:val="22"/>
        </w:rPr>
        <w:t>o</w:t>
      </w:r>
      <w:r w:rsidRPr="007559E5">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559E5" w:rsidRDefault="001A58B3" w:rsidP="00331F35">
      <w:pPr>
        <w:rPr>
          <w:rFonts w:eastAsia="Palatino Linotype" w:cs="Palatino Linotype"/>
          <w:szCs w:val="22"/>
        </w:rPr>
      </w:pPr>
    </w:p>
    <w:p w14:paraId="04E42DFE" w14:textId="573F1198" w:rsidR="001A58B3" w:rsidRPr="007559E5" w:rsidRDefault="001A58B3" w:rsidP="00331F35">
      <w:pPr>
        <w:rPr>
          <w:rFonts w:eastAsia="Palatino Linotype" w:cs="Palatino Linotype"/>
          <w:szCs w:val="22"/>
        </w:rPr>
      </w:pPr>
      <w:r w:rsidRPr="007559E5">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559E5">
        <w:rPr>
          <w:rFonts w:eastAsia="Palatino Linotype" w:cs="Palatino Linotype"/>
          <w:szCs w:val="22"/>
        </w:rPr>
        <w:t>, s</w:t>
      </w:r>
      <w:r w:rsidRPr="007559E5">
        <w:rPr>
          <w:rFonts w:eastAsia="Palatino Linotype" w:cs="Palatino Linotype"/>
          <w:szCs w:val="22"/>
        </w:rPr>
        <w:t xml:space="preserve">iempre y cuando no se trate de información reservada o </w:t>
      </w:r>
      <w:r w:rsidR="00331F35" w:rsidRPr="007559E5">
        <w:rPr>
          <w:rFonts w:eastAsia="Palatino Linotype" w:cs="Palatino Linotype"/>
          <w:szCs w:val="22"/>
        </w:rPr>
        <w:t>confidencial.</w:t>
      </w:r>
    </w:p>
    <w:p w14:paraId="40C5219F" w14:textId="77777777" w:rsidR="001A58B3" w:rsidRPr="007559E5" w:rsidRDefault="001A58B3" w:rsidP="00331F35">
      <w:pPr>
        <w:rPr>
          <w:rFonts w:eastAsia="Palatino Linotype" w:cs="Palatino Linotype"/>
          <w:szCs w:val="22"/>
        </w:rPr>
      </w:pPr>
    </w:p>
    <w:p w14:paraId="51A0E8B4" w14:textId="676DCA47" w:rsidR="00664420" w:rsidRPr="007559E5" w:rsidRDefault="00C71CEF" w:rsidP="00C71CEF">
      <w:pPr>
        <w:pStyle w:val="Ttulo3"/>
        <w:rPr>
          <w:rFonts w:eastAsia="Calibri"/>
          <w:szCs w:val="22"/>
          <w:lang w:eastAsia="es-ES_tradnl"/>
        </w:rPr>
      </w:pPr>
      <w:bookmarkStart w:id="28" w:name="_heading=h.2s8eyo1" w:colFirst="0" w:colLast="0"/>
      <w:bookmarkStart w:id="29" w:name="_Toc179924371"/>
      <w:bookmarkEnd w:id="28"/>
      <w:r w:rsidRPr="007559E5">
        <w:rPr>
          <w:rFonts w:eastAsia="Calibri"/>
          <w:szCs w:val="22"/>
          <w:lang w:eastAsia="es-ES_tradnl"/>
        </w:rPr>
        <w:t>b)</w:t>
      </w:r>
      <w:r w:rsidR="00A53315" w:rsidRPr="007559E5">
        <w:rPr>
          <w:rFonts w:eastAsia="Calibri"/>
          <w:szCs w:val="22"/>
          <w:lang w:eastAsia="es-ES_tradnl"/>
        </w:rPr>
        <w:t xml:space="preserve"> </w:t>
      </w:r>
      <w:r w:rsidR="00A21A20" w:rsidRPr="007559E5">
        <w:rPr>
          <w:rFonts w:eastAsia="Calibri"/>
          <w:szCs w:val="22"/>
          <w:lang w:eastAsia="es-ES_tradnl"/>
        </w:rPr>
        <w:t>Controversia a resolver</w:t>
      </w:r>
      <w:bookmarkEnd w:id="29"/>
    </w:p>
    <w:p w14:paraId="5DAE2A65" w14:textId="382C31A9" w:rsidR="00664420" w:rsidRPr="007559E5" w:rsidRDefault="00664420" w:rsidP="00AA6EA9">
      <w:pPr>
        <w:rPr>
          <w:rFonts w:eastAsia="Calibri"/>
          <w:szCs w:val="22"/>
          <w:lang w:eastAsia="es-ES_tradnl"/>
        </w:rPr>
      </w:pPr>
      <w:r w:rsidRPr="007559E5">
        <w:rPr>
          <w:rFonts w:eastAsia="Calibri"/>
          <w:szCs w:val="22"/>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559E5">
        <w:rPr>
          <w:rFonts w:eastAsia="Calibri"/>
          <w:b/>
          <w:bCs/>
          <w:szCs w:val="22"/>
          <w:lang w:eastAsia="es-ES_tradnl"/>
        </w:rPr>
        <w:t>LA PARTE RECURRENTE</w:t>
      </w:r>
      <w:r w:rsidRPr="007559E5">
        <w:rPr>
          <w:rFonts w:eastAsia="Calibri"/>
          <w:szCs w:val="22"/>
          <w:lang w:eastAsia="es-ES_tradnl"/>
        </w:rPr>
        <w:t xml:space="preserve"> solicitó lo siguiente:</w:t>
      </w:r>
    </w:p>
    <w:p w14:paraId="6328D20E" w14:textId="4D080659" w:rsidR="00C70B3F" w:rsidRPr="007559E5" w:rsidRDefault="00C70B3F" w:rsidP="00C75036">
      <w:pPr>
        <w:tabs>
          <w:tab w:val="left" w:pos="4962"/>
        </w:tabs>
        <w:rPr>
          <w:rFonts w:cs="Tahoma"/>
          <w:bCs/>
          <w:iCs/>
          <w:szCs w:val="22"/>
        </w:rPr>
      </w:pPr>
    </w:p>
    <w:p w14:paraId="0F4B6144" w14:textId="77777777" w:rsidR="007B6BCA" w:rsidRPr="007559E5" w:rsidRDefault="007B6BCA" w:rsidP="00664420">
      <w:pPr>
        <w:tabs>
          <w:tab w:val="left" w:pos="4962"/>
        </w:tabs>
        <w:contextualSpacing/>
        <w:rPr>
          <w:rFonts w:cs="Tahoma"/>
          <w:bCs/>
          <w:iCs/>
          <w:szCs w:val="22"/>
        </w:rPr>
      </w:pPr>
      <w:r w:rsidRPr="007559E5">
        <w:rPr>
          <w:rFonts w:cs="Tahoma"/>
          <w:bCs/>
          <w:iCs/>
          <w:szCs w:val="22"/>
        </w:rPr>
        <w:t xml:space="preserve">5. El gasto otorgado y aplicado para la función de las plantas eléctricas en los 170 órganos desconcentrados mismo que se genera en mantenimiento y gasolina, en cuestión de gasolina con que temporalidad se surtía la gasolina de las plantas eléctricas, el ticket y factura de gasolina para las plantas de energía eléctrica, así como el acuse de llegada de gasolina y deposito por parte de la vocalía ejecutiva de los 45 órganos distritales en el proceso electoral del 2023 y de 170 órganos municipales y distritales, del proceso electoral 2024. </w:t>
      </w:r>
    </w:p>
    <w:p w14:paraId="607BAE35" w14:textId="77777777" w:rsidR="007B6BCA" w:rsidRPr="007559E5" w:rsidRDefault="007B6BCA" w:rsidP="00664420">
      <w:pPr>
        <w:tabs>
          <w:tab w:val="left" w:pos="4962"/>
        </w:tabs>
        <w:contextualSpacing/>
        <w:rPr>
          <w:rFonts w:cs="Tahoma"/>
          <w:bCs/>
          <w:iCs/>
          <w:szCs w:val="22"/>
        </w:rPr>
      </w:pPr>
    </w:p>
    <w:p w14:paraId="03D71B9F" w14:textId="77777777" w:rsidR="007B6BCA" w:rsidRPr="007559E5" w:rsidRDefault="007B6BCA" w:rsidP="00664420">
      <w:pPr>
        <w:tabs>
          <w:tab w:val="left" w:pos="4962"/>
        </w:tabs>
        <w:contextualSpacing/>
        <w:rPr>
          <w:rFonts w:cs="Tahoma"/>
          <w:bCs/>
          <w:iCs/>
          <w:szCs w:val="22"/>
        </w:rPr>
      </w:pPr>
      <w:r w:rsidRPr="007559E5">
        <w:rPr>
          <w:rFonts w:cs="Tahoma"/>
          <w:bCs/>
          <w:iCs/>
          <w:szCs w:val="22"/>
        </w:rPr>
        <w:t xml:space="preserve">6. Fondo fijo para los 170 órganos distritales y municipales, así como detalle de los gastos no comprobables por órgano municipal y distrital, con servicio, bien y costo en los procesos de los 45 órganos distritales en el proceso electoral del 2023 y de 170 órganos municipales y distritales, del proceso electoral 2024. </w:t>
      </w:r>
    </w:p>
    <w:p w14:paraId="5BB98E03" w14:textId="77777777" w:rsidR="007B6BCA" w:rsidRPr="007559E5" w:rsidRDefault="007B6BCA" w:rsidP="00664420">
      <w:pPr>
        <w:tabs>
          <w:tab w:val="left" w:pos="4962"/>
        </w:tabs>
        <w:contextualSpacing/>
        <w:rPr>
          <w:rFonts w:cs="Tahoma"/>
          <w:bCs/>
          <w:iCs/>
          <w:szCs w:val="22"/>
        </w:rPr>
      </w:pPr>
    </w:p>
    <w:p w14:paraId="40FD9816" w14:textId="033DEE0F" w:rsidR="00E236E1" w:rsidRPr="007559E5" w:rsidRDefault="007B6BCA" w:rsidP="00664420">
      <w:pPr>
        <w:tabs>
          <w:tab w:val="left" w:pos="4962"/>
        </w:tabs>
        <w:contextualSpacing/>
        <w:rPr>
          <w:rFonts w:cs="Tahoma"/>
          <w:bCs/>
          <w:iCs/>
          <w:szCs w:val="22"/>
        </w:rPr>
      </w:pPr>
      <w:r w:rsidRPr="007559E5">
        <w:rPr>
          <w:rFonts w:cs="Tahoma"/>
          <w:bCs/>
          <w:iCs/>
          <w:szCs w:val="22"/>
        </w:rPr>
        <w:lastRenderedPageBreak/>
        <w:t xml:space="preserve">7. </w:t>
      </w:r>
      <w:r w:rsidR="006807C4" w:rsidRPr="007559E5">
        <w:rPr>
          <w:rFonts w:cs="Tahoma"/>
          <w:bCs/>
          <w:iCs/>
          <w:szCs w:val="22"/>
        </w:rPr>
        <w:t>Cuál</w:t>
      </w:r>
      <w:r w:rsidRPr="007559E5">
        <w:rPr>
          <w:rFonts w:cs="Tahoma"/>
          <w:bCs/>
          <w:iCs/>
          <w:szCs w:val="22"/>
        </w:rPr>
        <w:t xml:space="preserve"> es el gasto corriente de los coordinadores y/o enlaces de la dirección de administración, organización, participación ciudadana, unidad de informática, en gasolina, viáticos, renta de vehículos de uso particular para las actividades de cada coordinador y/o enlaces así como el saber si el pago del seguro de cada vehículo es pagado por parte del instituto o de un particular, del mismo modo detallar en caso de no contar con vehículo los coordinadores y/o enlaces de la dirección de administración, organización, participación ciudadana, unidad de informática como justifican el no tenerlo y si se otorgaba más viáticos para realizar los viajes en camión, y los ti</w:t>
      </w:r>
      <w:r w:rsidR="00F77407">
        <w:rPr>
          <w:rFonts w:cs="Tahoma"/>
          <w:bCs/>
          <w:iCs/>
          <w:szCs w:val="22"/>
        </w:rPr>
        <w:t>c</w:t>
      </w:r>
      <w:r w:rsidRPr="007559E5">
        <w:rPr>
          <w:rFonts w:cs="Tahoma"/>
          <w:bCs/>
          <w:iCs/>
          <w:szCs w:val="22"/>
        </w:rPr>
        <w:t>kets y facturas de cada viaje en el transporte público; así como el pro</w:t>
      </w:r>
      <w:r w:rsidR="00F77407">
        <w:rPr>
          <w:rFonts w:cs="Tahoma"/>
          <w:bCs/>
          <w:iCs/>
          <w:szCs w:val="22"/>
        </w:rPr>
        <w:t>ceso de contratación y asignaci</w:t>
      </w:r>
      <w:r w:rsidR="00F77407" w:rsidRPr="007559E5">
        <w:rPr>
          <w:rFonts w:cs="Tahoma"/>
          <w:bCs/>
          <w:iCs/>
          <w:szCs w:val="22"/>
        </w:rPr>
        <w:t>ón</w:t>
      </w:r>
      <w:r w:rsidRPr="007559E5">
        <w:rPr>
          <w:rFonts w:cs="Tahoma"/>
          <w:bCs/>
          <w:iCs/>
          <w:szCs w:val="22"/>
        </w:rPr>
        <w:t xml:space="preserve"> de cada coordinador y/o enlaces, de la dirección de administración, organización, participación ciudadana y unidad de informática, en los procesos electorales del 2023 y 2024 de la elección de gobernador y de ayuntamientos.</w:t>
      </w:r>
    </w:p>
    <w:p w14:paraId="4FD867DB" w14:textId="77777777" w:rsidR="007B6BCA" w:rsidRPr="007559E5" w:rsidRDefault="007B6BCA" w:rsidP="00664420">
      <w:pPr>
        <w:tabs>
          <w:tab w:val="left" w:pos="4962"/>
        </w:tabs>
        <w:contextualSpacing/>
        <w:rPr>
          <w:rFonts w:cs="Tahoma"/>
          <w:bCs/>
          <w:iCs/>
          <w:szCs w:val="22"/>
        </w:rPr>
      </w:pPr>
    </w:p>
    <w:p w14:paraId="27A155B6" w14:textId="7B22BD53" w:rsidR="00003628" w:rsidRPr="007559E5" w:rsidRDefault="00664420" w:rsidP="00207DEA">
      <w:pPr>
        <w:tabs>
          <w:tab w:val="left" w:pos="4962"/>
        </w:tabs>
        <w:contextualSpacing/>
        <w:rPr>
          <w:szCs w:val="22"/>
        </w:rPr>
      </w:pPr>
      <w:r w:rsidRPr="007559E5">
        <w:rPr>
          <w:rFonts w:eastAsiaTheme="minorHAnsi" w:cs="Tahoma"/>
          <w:bCs/>
          <w:iCs/>
          <w:color w:val="000000" w:themeColor="text1"/>
          <w:szCs w:val="22"/>
          <w:lang w:eastAsia="en-US"/>
        </w:rPr>
        <w:t>En respuesta,</w:t>
      </w:r>
      <w:r w:rsidR="000820ED" w:rsidRPr="007559E5">
        <w:rPr>
          <w:rFonts w:eastAsiaTheme="minorHAnsi" w:cs="Tahoma"/>
          <w:bCs/>
          <w:iCs/>
          <w:color w:val="000000" w:themeColor="text1"/>
          <w:szCs w:val="22"/>
          <w:lang w:eastAsia="en-US"/>
        </w:rPr>
        <w:t xml:space="preserve"> conforme a las constancias que obran en</w:t>
      </w:r>
      <w:r w:rsidR="00837517" w:rsidRPr="007559E5">
        <w:rPr>
          <w:rFonts w:eastAsiaTheme="minorHAnsi" w:cs="Tahoma"/>
          <w:bCs/>
          <w:iCs/>
          <w:color w:val="000000" w:themeColor="text1"/>
          <w:szCs w:val="22"/>
          <w:lang w:eastAsia="en-US"/>
        </w:rPr>
        <w:t xml:space="preserve"> el</w:t>
      </w:r>
      <w:r w:rsidR="000820ED" w:rsidRPr="007559E5">
        <w:rPr>
          <w:rFonts w:eastAsiaTheme="minorHAnsi" w:cs="Tahoma"/>
          <w:bCs/>
          <w:iCs/>
          <w:color w:val="000000" w:themeColor="text1"/>
          <w:szCs w:val="22"/>
          <w:lang w:eastAsia="en-US"/>
        </w:rPr>
        <w:t xml:space="preserve"> SAIMEX,</w:t>
      </w:r>
      <w:r w:rsidRPr="007559E5">
        <w:rPr>
          <w:rFonts w:eastAsiaTheme="minorHAnsi" w:cs="Tahoma"/>
          <w:bCs/>
          <w:iCs/>
          <w:color w:val="000000" w:themeColor="text1"/>
          <w:szCs w:val="22"/>
          <w:lang w:eastAsia="en-US"/>
        </w:rPr>
        <w:t xml:space="preserve"> </w:t>
      </w:r>
      <w:r w:rsidR="005D5A50" w:rsidRPr="007559E5">
        <w:rPr>
          <w:rFonts w:eastAsiaTheme="minorHAnsi" w:cs="Tahoma"/>
          <w:b/>
          <w:iCs/>
          <w:color w:val="000000" w:themeColor="text1"/>
          <w:szCs w:val="22"/>
          <w:lang w:eastAsia="en-US"/>
        </w:rPr>
        <w:t>EL SUJETO OBLIGADO</w:t>
      </w:r>
      <w:r w:rsidRPr="007559E5">
        <w:rPr>
          <w:rFonts w:eastAsiaTheme="minorHAnsi" w:cs="Tahoma"/>
          <w:bCs/>
          <w:iCs/>
          <w:color w:val="000000" w:themeColor="text1"/>
          <w:szCs w:val="22"/>
          <w:lang w:eastAsia="en-US"/>
        </w:rPr>
        <w:t xml:space="preserve"> se pronunció </w:t>
      </w:r>
      <w:r w:rsidR="000820ED" w:rsidRPr="007559E5">
        <w:rPr>
          <w:rFonts w:eastAsiaTheme="minorHAnsi" w:cs="Tahoma"/>
          <w:bCs/>
          <w:iCs/>
          <w:color w:val="000000" w:themeColor="text1"/>
          <w:szCs w:val="22"/>
          <w:lang w:eastAsia="en-US"/>
        </w:rPr>
        <w:t>a través de</w:t>
      </w:r>
      <w:r w:rsidR="002A3173" w:rsidRPr="007559E5">
        <w:rPr>
          <w:szCs w:val="22"/>
        </w:rPr>
        <w:t xml:space="preserve"> la Subdirectora de Recursos Materiales en suplencia del Encargado de Despacho de la Dirección de Administración del Instituto Electoral del Estado de México, quien manifestó el gasto registrado para el mantenimiento de las plantas eléctricas; adjuntó en formato pdf las solicitudes atendidas de los procesos electorales 2023 y 2024, correspondientes </w:t>
      </w:r>
      <w:r w:rsidR="00220D74" w:rsidRPr="007559E5">
        <w:rPr>
          <w:szCs w:val="22"/>
        </w:rPr>
        <w:t xml:space="preserve">a la dotación de combustible para uso en las plantas de energía eléctrica con las que se equiparon los órganos desconcentrados, junto con la aprobación de gasto combustible, respecto del acuse de llegada </w:t>
      </w:r>
      <w:r w:rsidR="00C74A0B" w:rsidRPr="007559E5">
        <w:rPr>
          <w:szCs w:val="22"/>
        </w:rPr>
        <w:t>de gasolina y depósito, fondo fijo señaló que de la búsqueda razonable y exhaustiva en los archivos que obran no se advierte información que se haya generado, procesado o archivado, especificando que los recursos materiales, financieros y humanos que los 170 Órganos Distritales y Municipales son proporcionados por las Unidades Administrativas que conforman ese organismo</w:t>
      </w:r>
      <w:r w:rsidR="00FF1943" w:rsidRPr="007559E5">
        <w:rPr>
          <w:szCs w:val="22"/>
        </w:rPr>
        <w:t xml:space="preserve">; informó el total del gasto realizado en los años 2023 y 2024 en gasolina, respecto de los viáticos de los coordinadores y/o enlaces </w:t>
      </w:r>
      <w:r w:rsidR="00FF1943" w:rsidRPr="007559E5">
        <w:rPr>
          <w:szCs w:val="22"/>
        </w:rPr>
        <w:lastRenderedPageBreak/>
        <w:t>de las áreas de Dirección de Administración, Dirección de Organización, Dirección de Participación Ciudadana y Unidad de Informática y Estadística, es por un importe de $2,139,400.00</w:t>
      </w:r>
      <w:r w:rsidR="00882862" w:rsidRPr="007559E5">
        <w:rPr>
          <w:szCs w:val="22"/>
        </w:rPr>
        <w:t xml:space="preserve"> correspondiente al 2023; y de $3,436,100.00 del 2024. Finalmente del proceso de contratación y asignación de cada coordinador y/o enlaces manifestó que se realizó conforme a los artículos 50, 52 y 54 del Reglamento Interno del Instituto Electoral del Estado de México.</w:t>
      </w:r>
    </w:p>
    <w:p w14:paraId="6BFEC34C" w14:textId="77777777" w:rsidR="00882862" w:rsidRPr="007559E5" w:rsidRDefault="00882862" w:rsidP="00207DEA">
      <w:pPr>
        <w:tabs>
          <w:tab w:val="left" w:pos="4962"/>
        </w:tabs>
        <w:contextualSpacing/>
        <w:rPr>
          <w:szCs w:val="22"/>
        </w:rPr>
      </w:pPr>
    </w:p>
    <w:p w14:paraId="570E4E2F" w14:textId="7A2543A2" w:rsidR="00BC67B0" w:rsidRPr="007559E5" w:rsidRDefault="00CF7586" w:rsidP="00664420">
      <w:pPr>
        <w:tabs>
          <w:tab w:val="left" w:pos="4962"/>
        </w:tabs>
        <w:contextualSpacing/>
        <w:rPr>
          <w:rFonts w:eastAsiaTheme="minorHAnsi" w:cs="Tahoma"/>
          <w:b/>
          <w:bCs/>
          <w:iCs/>
          <w:color w:val="000000" w:themeColor="text1"/>
          <w:szCs w:val="22"/>
          <w:lang w:eastAsia="en-US"/>
        </w:rPr>
      </w:pPr>
      <w:r w:rsidRPr="007559E5">
        <w:rPr>
          <w:rFonts w:eastAsiaTheme="minorHAnsi" w:cs="Tahoma"/>
          <w:bCs/>
          <w:iCs/>
          <w:color w:val="000000" w:themeColor="text1"/>
          <w:szCs w:val="22"/>
          <w:lang w:eastAsia="en-US"/>
        </w:rPr>
        <w:t xml:space="preserve">Ahora bien, en la interposición del presente recurso </w:t>
      </w:r>
      <w:r w:rsidRPr="007559E5">
        <w:rPr>
          <w:rFonts w:eastAsiaTheme="minorHAnsi" w:cs="Tahoma"/>
          <w:b/>
          <w:iCs/>
          <w:color w:val="000000" w:themeColor="text1"/>
          <w:szCs w:val="22"/>
          <w:lang w:eastAsia="en-US"/>
        </w:rPr>
        <w:t>LA PARTE RECURRENTE</w:t>
      </w:r>
      <w:r w:rsidR="00664420" w:rsidRPr="007559E5">
        <w:rPr>
          <w:rFonts w:eastAsiaTheme="minorHAnsi" w:cs="Tahoma"/>
          <w:bCs/>
          <w:iCs/>
          <w:color w:val="000000" w:themeColor="text1"/>
          <w:szCs w:val="22"/>
          <w:lang w:eastAsia="en-US"/>
        </w:rPr>
        <w:t xml:space="preserve"> se inconformó </w:t>
      </w:r>
      <w:r w:rsidR="00CF014E" w:rsidRPr="007559E5">
        <w:rPr>
          <w:rFonts w:eastAsiaTheme="minorHAnsi" w:cs="Tahoma"/>
          <w:bCs/>
          <w:iCs/>
          <w:color w:val="000000" w:themeColor="text1"/>
          <w:szCs w:val="22"/>
          <w:lang w:eastAsia="en-US"/>
        </w:rPr>
        <w:t>expresando de cada punto de lo solicitado su inconformidad, utilizando las siguientes expresiones “…</w:t>
      </w:r>
      <w:r w:rsidR="00CF014E" w:rsidRPr="007559E5">
        <w:rPr>
          <w:rFonts w:eastAsiaTheme="majorEastAsia" w:cstheme="majorBidi"/>
          <w:i/>
          <w:kern w:val="28"/>
          <w:szCs w:val="56"/>
        </w:rPr>
        <w:t xml:space="preserve">De lo manifestado por la Dirección de Administración no se observa ni aprecia que lo manifestado sea lo correspondiente ya que no detalla con recibos o facturas que la cantidad $274, 690.00 se hayan utilizado en mantenimiento de las plantas eléctricas, en cuanto la cuestión de contabilidad mediante los formatos PDF que se anexaron en donde se aprecia que existe un sistema de dotación de combustible mismo que de un análisis detallado existen incongruencias ya que en tickets se aprecia validadas y corroboradas las comprobaciones y después de la comprobación surgen tickets pos fechados de la comprobación de los enlaces administrativos, así mismo el responsable de los órganos desconcentrados o juntas Electorales Distritales y Municipales son las Vocalías Ejecutivas mismo que tienen a su resguardo todo los bienes muebles y consumibles de papelería por lo que no es viable que no exista bitácora o acuse de recibo del combustible de gasolina para el uso de las plantas mismo que se justifica con las comprobaciones de los enlaces administrativos mismo que tampoco existe factura de los requerido y repartido en las juntas municipales y distritales…De lo manifestado por la Dirección de Administración no se observa ni aprecia que lo manifestado sea lo correspondiente ya que no menciona lo otorgado por cada área otorgado a los 170 órganos desconcentrados…De lo manifestado por la Dirección de Administración no se observa ni aprecia que lo manifestado sea lo correspondiente ya que no detalla lo otorgado por cada área y coordinador sobre los gastos, de sus vehículos utilizados así como </w:t>
      </w:r>
      <w:r w:rsidR="00CF014E" w:rsidRPr="007559E5">
        <w:rPr>
          <w:rFonts w:eastAsiaTheme="majorEastAsia" w:cstheme="majorBidi"/>
          <w:i/>
          <w:kern w:val="28"/>
          <w:szCs w:val="56"/>
        </w:rPr>
        <w:lastRenderedPageBreak/>
        <w:t xml:space="preserve">los gastos de gasolina y viáticos, </w:t>
      </w:r>
      <w:r w:rsidR="00CF014E" w:rsidRPr="007559E5">
        <w:rPr>
          <w:rFonts w:eastAsiaTheme="majorEastAsia" w:cstheme="majorBidi"/>
          <w:kern w:val="28"/>
          <w:szCs w:val="56"/>
        </w:rPr>
        <w:t xml:space="preserve">de lo que se concluye que se está dudando de la información proporcionada por </w:t>
      </w:r>
      <w:r w:rsidR="00CF014E" w:rsidRPr="007559E5">
        <w:rPr>
          <w:rFonts w:eastAsiaTheme="majorEastAsia" w:cstheme="majorBidi"/>
          <w:b/>
          <w:kern w:val="28"/>
          <w:szCs w:val="56"/>
        </w:rPr>
        <w:t>EL SUJETO OBLIGADO</w:t>
      </w:r>
      <w:r w:rsidR="007559E5">
        <w:rPr>
          <w:rFonts w:eastAsiaTheme="majorEastAsia" w:cstheme="majorBidi"/>
          <w:b/>
          <w:kern w:val="28"/>
          <w:szCs w:val="56"/>
        </w:rPr>
        <w:t>.</w:t>
      </w:r>
    </w:p>
    <w:p w14:paraId="23859DE5" w14:textId="77777777" w:rsidR="00D1261A" w:rsidRPr="007559E5" w:rsidRDefault="00D1261A" w:rsidP="00664420">
      <w:pPr>
        <w:tabs>
          <w:tab w:val="left" w:pos="4962"/>
        </w:tabs>
        <w:contextualSpacing/>
        <w:rPr>
          <w:rFonts w:eastAsiaTheme="minorHAnsi" w:cs="Tahoma"/>
          <w:bCs/>
          <w:iCs/>
          <w:color w:val="000000" w:themeColor="text1"/>
          <w:szCs w:val="22"/>
          <w:lang w:eastAsia="en-US"/>
        </w:rPr>
      </w:pPr>
    </w:p>
    <w:p w14:paraId="78DD5F22" w14:textId="2FCF2C0B" w:rsidR="0009347C" w:rsidRPr="007559E5" w:rsidRDefault="00BC67B0" w:rsidP="00BC67B0">
      <w:pPr>
        <w:tabs>
          <w:tab w:val="left" w:pos="4962"/>
        </w:tabs>
        <w:rPr>
          <w:lang w:val="es-ES"/>
        </w:rPr>
      </w:pPr>
      <w:r w:rsidRPr="007559E5">
        <w:rPr>
          <w:lang w:val="es-ES"/>
        </w:rPr>
        <w:t xml:space="preserve">Abierta la etapa de instrucción, </w:t>
      </w:r>
      <w:r w:rsidRPr="007559E5">
        <w:rPr>
          <w:b/>
          <w:lang w:val="es-ES"/>
        </w:rPr>
        <w:t>EL SUJETO OBLIGADO</w:t>
      </w:r>
      <w:r w:rsidRPr="007559E5">
        <w:rPr>
          <w:lang w:val="es-ES"/>
        </w:rPr>
        <w:t xml:space="preserve"> rindió su Informe Justificado, </w:t>
      </w:r>
      <w:r w:rsidR="00227FB3" w:rsidRPr="007559E5">
        <w:rPr>
          <w:lang w:val="es-ES"/>
        </w:rPr>
        <w:t xml:space="preserve">en el que el Servidor Público Habilitado, </w:t>
      </w:r>
      <w:r w:rsidR="00CF014E" w:rsidRPr="007559E5">
        <w:rPr>
          <w:lang w:val="es-ES"/>
        </w:rPr>
        <w:t xml:space="preserve">se pronunció respecto de cada motivo de inconformidad planteado, así como se determinó que el particular realiza una plus </w:t>
      </w:r>
      <w:proofErr w:type="spellStart"/>
      <w:r w:rsidR="00CF014E" w:rsidRPr="007559E5">
        <w:rPr>
          <w:lang w:val="es-ES"/>
        </w:rPr>
        <w:t>pettio</w:t>
      </w:r>
      <w:proofErr w:type="spellEnd"/>
      <w:r w:rsidR="00CF014E" w:rsidRPr="007559E5">
        <w:rPr>
          <w:lang w:val="es-ES"/>
        </w:rPr>
        <w:t xml:space="preserve">, y que se duda de la información proporcionada. </w:t>
      </w:r>
      <w:r w:rsidR="009C644C" w:rsidRPr="007559E5">
        <w:rPr>
          <w:lang w:val="es-ES"/>
        </w:rPr>
        <w:t xml:space="preserve">en </w:t>
      </w:r>
      <w:r w:rsidR="00CD0CA2" w:rsidRPr="007559E5">
        <w:rPr>
          <w:lang w:val="es-ES"/>
        </w:rPr>
        <w:t xml:space="preserve">los que precisó </w:t>
      </w:r>
      <w:r w:rsidR="008C6F23" w:rsidRPr="007559E5">
        <w:rPr>
          <w:lang w:val="es-ES"/>
        </w:rPr>
        <w:t xml:space="preserve">el gasto corriente de los coordinadores y enlaces de la dirección de administración, participación ciudadana, unidad de informática, en gasolina, viáticos, renta de vehículos de uso particular para las actividades de cada </w:t>
      </w:r>
      <w:r w:rsidR="00BC23A8" w:rsidRPr="007559E5">
        <w:rPr>
          <w:lang w:val="es-ES"/>
        </w:rPr>
        <w:t>coordinador</w:t>
      </w:r>
      <w:r w:rsidR="008C6F23" w:rsidRPr="007559E5">
        <w:rPr>
          <w:lang w:val="es-ES"/>
        </w:rPr>
        <w:t>.</w:t>
      </w:r>
    </w:p>
    <w:p w14:paraId="2C520154" w14:textId="77777777" w:rsidR="00C82CA9" w:rsidRPr="007559E5" w:rsidRDefault="00C82CA9" w:rsidP="00BC67B0">
      <w:pPr>
        <w:tabs>
          <w:tab w:val="left" w:pos="4962"/>
        </w:tabs>
      </w:pPr>
    </w:p>
    <w:p w14:paraId="3EA4D99B" w14:textId="77777777" w:rsidR="006200F0" w:rsidRPr="007559E5" w:rsidRDefault="006200F0" w:rsidP="006200F0">
      <w:pPr>
        <w:pStyle w:val="Ttulo3"/>
      </w:pPr>
      <w:bookmarkStart w:id="30" w:name="_Toc171416575"/>
      <w:bookmarkStart w:id="31" w:name="_Toc179924372"/>
      <w:r w:rsidRPr="007559E5">
        <w:t>c) Estudio de la controversia</w:t>
      </w:r>
      <w:bookmarkEnd w:id="30"/>
      <w:bookmarkEnd w:id="31"/>
    </w:p>
    <w:p w14:paraId="4C2D0F2B" w14:textId="69B4EBE9" w:rsidR="00E9072D" w:rsidRDefault="00E9072D" w:rsidP="00E9072D">
      <w:pPr>
        <w:pBdr>
          <w:top w:val="nil"/>
          <w:left w:val="nil"/>
          <w:bottom w:val="nil"/>
          <w:right w:val="nil"/>
          <w:between w:val="nil"/>
        </w:pBdr>
        <w:contextualSpacing/>
        <w:rPr>
          <w:rFonts w:eastAsia="Palatino Linotype" w:cs="Palatino Linotype"/>
          <w:color w:val="000000"/>
        </w:rPr>
      </w:pPr>
      <w:r w:rsidRPr="007559E5">
        <w:rPr>
          <w:rFonts w:cs="Arial"/>
          <w:szCs w:val="22"/>
        </w:rPr>
        <w:t xml:space="preserve">Bajo ese tenor y una expuestas las posturas de las partes, </w:t>
      </w:r>
      <w:r w:rsidRPr="007559E5">
        <w:rPr>
          <w:rFonts w:eastAsia="Palatino Linotype" w:cs="Palatino Linotype"/>
          <w:color w:val="000000"/>
        </w:rPr>
        <w:t xml:space="preserve">este Instituto estima que, si bien es cierto que </w:t>
      </w:r>
      <w:r w:rsidRPr="007559E5">
        <w:rPr>
          <w:rFonts w:eastAsia="Palatino Linotype" w:cs="Palatino Linotype"/>
          <w:b/>
          <w:color w:val="000000"/>
        </w:rPr>
        <w:t>EL SUJETO OBLIGADO</w:t>
      </w:r>
      <w:r w:rsidRPr="007559E5">
        <w:rPr>
          <w:rFonts w:eastAsia="Palatino Linotype" w:cs="Palatino Linotype"/>
          <w:color w:val="000000"/>
        </w:rPr>
        <w:t xml:space="preserve"> en algunos de los puntos de los requerimientos de información no hizo entrega de documento alguno en el que conste la información proporcionada en respuesta, también lo es que ya quedó establecido que al hacer entrega de un documento creado ex profeso en el que se dé cuenta de la información solicitada, a fin de colmar el derecho de acceso a la información y la pretensión del particular, bajo el amparo del principio de máxima publicidad es viable, </w:t>
      </w:r>
      <w:r w:rsidR="007559E5">
        <w:rPr>
          <w:rFonts w:eastAsia="Palatino Linotype" w:cs="Palatino Linotype"/>
          <w:color w:val="000000"/>
        </w:rPr>
        <w:t xml:space="preserve">y procedente tener por </w:t>
      </w:r>
      <w:r w:rsidRPr="007559E5">
        <w:rPr>
          <w:rFonts w:eastAsia="Palatino Linotype" w:cs="Palatino Linotype"/>
          <w:color w:val="000000"/>
        </w:rPr>
        <w:t>colmadas las pretensiones de los solicitantes, máxime que la información fue proporcionada por el área que cuenta con las facultades, atribuciones y competencias suficientes para generar, poseer o administrar lo solicitado.</w:t>
      </w:r>
    </w:p>
    <w:p w14:paraId="5CCB450D" w14:textId="77777777" w:rsidR="007559E5" w:rsidRDefault="007559E5" w:rsidP="00E9072D">
      <w:pPr>
        <w:pBdr>
          <w:top w:val="nil"/>
          <w:left w:val="nil"/>
          <w:bottom w:val="nil"/>
          <w:right w:val="nil"/>
          <w:between w:val="nil"/>
        </w:pBdr>
        <w:contextualSpacing/>
        <w:rPr>
          <w:rFonts w:eastAsia="Palatino Linotype" w:cs="Palatino Linotype"/>
          <w:color w:val="000000"/>
        </w:rPr>
      </w:pPr>
    </w:p>
    <w:p w14:paraId="7D24E3C7" w14:textId="7ABA4898" w:rsidR="007559E5" w:rsidRDefault="007559E5" w:rsidP="00304D00">
      <w:pPr>
        <w:rPr>
          <w:rFonts w:eastAsiaTheme="minorEastAsia" w:cstheme="minorBidi"/>
          <w:lang w:val="es-ES_tradnl"/>
        </w:rPr>
      </w:pPr>
      <w:r>
        <w:rPr>
          <w:rFonts w:cs="Arial"/>
          <w:bCs/>
        </w:rPr>
        <w:t xml:space="preserve">Al respecto, </w:t>
      </w:r>
      <w:r w:rsidRPr="002C5BDE">
        <w:rPr>
          <w:rFonts w:cs="Arial"/>
          <w:color w:val="000000" w:themeColor="text1"/>
        </w:rPr>
        <w:t xml:space="preserve">resulta importante resaltar que este Instituto de Transparencia como Órgano Garante de la difusión, protección y respeto al derecho de acceso a la información pública y a </w:t>
      </w:r>
      <w:r w:rsidRPr="002C5BDE">
        <w:rPr>
          <w:rFonts w:cs="Arial"/>
          <w:color w:val="000000" w:themeColor="text1"/>
        </w:rPr>
        <w:lastRenderedPageBreak/>
        <w:t>la protección de datos personales</w:t>
      </w:r>
      <w:r w:rsidR="00304D00">
        <w:rPr>
          <w:rFonts w:cs="Arial"/>
          <w:color w:val="000000" w:themeColor="text1"/>
        </w:rPr>
        <w:t xml:space="preserve">, </w:t>
      </w:r>
      <w:r>
        <w:rPr>
          <w:rFonts w:cs="Arial"/>
          <w:bCs/>
        </w:rPr>
        <w:t>que</w:t>
      </w:r>
      <w:r w:rsidRPr="00E5711A">
        <w:rPr>
          <w:rFonts w:cs="Arial"/>
          <w:bCs/>
        </w:rPr>
        <w:t xml:space="preserve">, este Órgano Garante no </w:t>
      </w:r>
      <w:r w:rsidRPr="00E5711A">
        <w:rPr>
          <w:rFonts w:eastAsiaTheme="minorEastAsia" w:cstheme="minorBidi"/>
          <w:lang w:val="es-ES_tradnl"/>
        </w:rPr>
        <w:t>está facultado para manifestarse sobre la veracidad de la información proporcionada</w:t>
      </w:r>
      <w:r w:rsidR="00304D00">
        <w:rPr>
          <w:rFonts w:eastAsiaTheme="minorEastAsia" w:cstheme="minorBidi"/>
          <w:lang w:val="es-ES_tradnl"/>
        </w:rPr>
        <w:t xml:space="preserve">, </w:t>
      </w:r>
      <w:r w:rsidR="00304D00" w:rsidRPr="00E5711A">
        <w:rPr>
          <w:rFonts w:cs="Arial"/>
          <w:bCs/>
        </w:rPr>
        <w:t xml:space="preserve">respecto al pronunciamiento realizado por </w:t>
      </w:r>
      <w:r w:rsidR="00304D00" w:rsidRPr="00E5711A">
        <w:rPr>
          <w:rFonts w:cs="Arial"/>
          <w:b/>
          <w:bCs/>
        </w:rPr>
        <w:t xml:space="preserve">EL SUJETO OBLIGADO </w:t>
      </w:r>
      <w:r w:rsidR="00304D00" w:rsidRPr="00E5711A">
        <w:rPr>
          <w:rFonts w:cs="Arial"/>
          <w:bCs/>
        </w:rPr>
        <w:t>a fin de dar res</w:t>
      </w:r>
      <w:r w:rsidR="00304D00">
        <w:rPr>
          <w:rFonts w:cs="Arial"/>
          <w:bCs/>
        </w:rPr>
        <w:t>puesta a la solicitud planteada</w:t>
      </w:r>
      <w:r w:rsidRPr="00E5711A">
        <w:rPr>
          <w:rFonts w:eastAsiaTheme="minorEastAsia" w:cstheme="minorBidi"/>
          <w:lang w:val="es-ES_tradnl"/>
        </w:rPr>
        <w:t xml:space="preserve">. </w:t>
      </w:r>
    </w:p>
    <w:p w14:paraId="61AF1860" w14:textId="400B0116" w:rsidR="00304D00" w:rsidRPr="007559E5" w:rsidRDefault="00304D00" w:rsidP="00304D00">
      <w:pPr>
        <w:spacing w:before="100" w:beforeAutospacing="1" w:after="100" w:afterAutospacing="1"/>
        <w:rPr>
          <w:rFonts w:eastAsia="Palatino Linotype" w:cs="Palatino Linotype"/>
          <w:color w:val="000000"/>
        </w:rPr>
      </w:pPr>
      <w:r w:rsidRPr="005D63A1">
        <w:rPr>
          <w:rFonts w:cs="Tahoma"/>
          <w:szCs w:val="22"/>
        </w:rPr>
        <w:t>Sobre el tema</w:t>
      </w:r>
      <w:r w:rsidRPr="005D63A1">
        <w:rPr>
          <w:rFonts w:eastAsia="Calibri" w:cs="Tahoma"/>
          <w:szCs w:val="22"/>
          <w:lang w:eastAsia="en-US"/>
        </w:rPr>
        <w:t>, e</w:t>
      </w:r>
      <w:r w:rsidRPr="005D63A1">
        <w:rPr>
          <w:rFonts w:cs="Tahoma"/>
          <w:szCs w:val="22"/>
        </w:rPr>
        <w:t xml:space="preserve">l artículo 1.8, fracción XIII, del Código Administrativo del Estado de México, establece que para que tenga validez, todo acto administrativo deberá </w:t>
      </w:r>
      <w:r>
        <w:t>ser expedido por autoridad competente</w:t>
      </w:r>
    </w:p>
    <w:p w14:paraId="77ABB983" w14:textId="184CF2E3" w:rsidR="00E9072D" w:rsidRDefault="00304D00" w:rsidP="00E9072D">
      <w:pPr>
        <w:pBdr>
          <w:top w:val="nil"/>
          <w:left w:val="nil"/>
          <w:bottom w:val="nil"/>
          <w:right w:val="nil"/>
          <w:between w:val="nil"/>
        </w:pBdr>
        <w:contextualSpacing/>
        <w:rPr>
          <w:iCs/>
        </w:rPr>
      </w:pPr>
      <w:r w:rsidRPr="006E0F00">
        <w:rPr>
          <w:bCs/>
          <w:iCs/>
        </w:rPr>
        <w:t xml:space="preserve">En consecuencia al advertirse que las razones y motivos de inconformidad planteadas por </w:t>
      </w:r>
      <w:r w:rsidRPr="006E0F00">
        <w:rPr>
          <w:b/>
          <w:iCs/>
        </w:rPr>
        <w:t xml:space="preserve">LA </w:t>
      </w:r>
      <w:r w:rsidRPr="00304D00">
        <w:rPr>
          <w:b/>
          <w:iCs/>
        </w:rPr>
        <w:t>PARTE RECURRENTE</w:t>
      </w:r>
      <w:r>
        <w:rPr>
          <w:iCs/>
        </w:rPr>
        <w:t xml:space="preserve"> versan de manera exclusiva en cuestionar y alegar que lo entregado no sea lo correspondiente sobre lo solicitado, así como a solicitar información que de origen no se solicitó se traduce en poner en duda lo manifestado por </w:t>
      </w:r>
      <w:r>
        <w:rPr>
          <w:b/>
          <w:iCs/>
        </w:rPr>
        <w:t xml:space="preserve">EL SUJETO OBLIGADO </w:t>
      </w:r>
      <w:r>
        <w:rPr>
          <w:iCs/>
        </w:rPr>
        <w:t>y en una plus petitio</w:t>
      </w:r>
      <w:r>
        <w:rPr>
          <w:b/>
          <w:iCs/>
        </w:rPr>
        <w:t>.</w:t>
      </w:r>
      <w:r>
        <w:rPr>
          <w:iCs/>
        </w:rPr>
        <w:t xml:space="preserve"> </w:t>
      </w:r>
    </w:p>
    <w:p w14:paraId="5270365D" w14:textId="77777777" w:rsidR="00304D00" w:rsidRPr="00304D00" w:rsidRDefault="00304D00" w:rsidP="00E9072D">
      <w:pPr>
        <w:pBdr>
          <w:top w:val="nil"/>
          <w:left w:val="nil"/>
          <w:bottom w:val="nil"/>
          <w:right w:val="nil"/>
          <w:between w:val="nil"/>
        </w:pBdr>
        <w:contextualSpacing/>
        <w:rPr>
          <w:rFonts w:eastAsia="Palatino Linotype" w:cs="Palatino Linotype"/>
          <w:color w:val="000000"/>
        </w:rPr>
      </w:pPr>
    </w:p>
    <w:p w14:paraId="11F8CF14" w14:textId="77777777" w:rsidR="00E9072D" w:rsidRPr="007559E5" w:rsidRDefault="00E9072D" w:rsidP="00E9072D">
      <w:pPr>
        <w:pBdr>
          <w:top w:val="nil"/>
          <w:left w:val="nil"/>
          <w:bottom w:val="nil"/>
          <w:right w:val="nil"/>
          <w:between w:val="nil"/>
        </w:pBdr>
        <w:contextualSpacing/>
        <w:rPr>
          <w:rFonts w:eastAsia="Palatino Linotype" w:cs="Palatino Linotype"/>
          <w:color w:val="000000"/>
        </w:rPr>
      </w:pPr>
      <w:r w:rsidRPr="007559E5">
        <w:rPr>
          <w:rFonts w:eastAsia="Palatino Linotype" w:cs="Palatino Linotype"/>
          <w:color w:val="000000"/>
        </w:rPr>
        <w:t>Por lo anterior, dudar de la veracidad de la información proporcionada, así como solicitar un documento específico que no fue requerido desde la solicitud primigenia actualiza dos de las hipótesis previstas en el artículo 191 de la Ley de Transparencia estatal, en específico a las establecidas en las fracciones V y VII.</w:t>
      </w:r>
    </w:p>
    <w:p w14:paraId="112CE8BE" w14:textId="77777777" w:rsidR="00E9072D" w:rsidRPr="007559E5" w:rsidRDefault="00E9072D" w:rsidP="00E9072D"/>
    <w:p w14:paraId="02E97687" w14:textId="77777777" w:rsidR="00E9072D" w:rsidRPr="007559E5" w:rsidRDefault="00E9072D" w:rsidP="00E9072D">
      <w:pPr>
        <w:rPr>
          <w:lang w:val="es-ES"/>
        </w:rPr>
      </w:pPr>
      <w:r w:rsidRPr="007559E5">
        <w:rPr>
          <w:lang w:val="es-ES"/>
        </w:rPr>
        <w:t>En conclusión, la Ley de la materia establece como causas de improcedencia que se impugne la veracidad de la información y se amplíe la solicitud en el recurso de revisión, lo que en el caso en concreto actualiza lo dispuesto en artículo 192 fracción IV con relación al artículo 191 fracciones V y VII de la Ley de Transparencia estatal, que a la letra estipulan lo siguiente:</w:t>
      </w:r>
    </w:p>
    <w:p w14:paraId="5174C0AE" w14:textId="77777777" w:rsidR="00E9072D" w:rsidRPr="007559E5" w:rsidRDefault="00E9072D" w:rsidP="00E9072D">
      <w:pPr>
        <w:rPr>
          <w:lang w:val="es-ES"/>
        </w:rPr>
      </w:pPr>
    </w:p>
    <w:p w14:paraId="0710B06E" w14:textId="77777777" w:rsidR="00E9072D" w:rsidRPr="007559E5" w:rsidRDefault="00E9072D" w:rsidP="00E9072D">
      <w:pPr>
        <w:pStyle w:val="Fundamentos"/>
      </w:pPr>
      <w:r w:rsidRPr="007559E5">
        <w:rPr>
          <w:b/>
        </w:rPr>
        <w:t xml:space="preserve">Artículo 191. </w:t>
      </w:r>
      <w:r w:rsidRPr="007559E5">
        <w:t>El recurso será desechado por improcedente cuando:</w:t>
      </w:r>
    </w:p>
    <w:p w14:paraId="264D0E94" w14:textId="77777777" w:rsidR="00E9072D" w:rsidRPr="007559E5" w:rsidRDefault="00E9072D" w:rsidP="00E9072D">
      <w:pPr>
        <w:pStyle w:val="Fundamentos"/>
      </w:pPr>
      <w:r w:rsidRPr="007559E5">
        <w:lastRenderedPageBreak/>
        <w:t>[…]</w:t>
      </w:r>
    </w:p>
    <w:p w14:paraId="75351A74" w14:textId="77777777" w:rsidR="00E9072D" w:rsidRPr="007559E5" w:rsidRDefault="00E9072D" w:rsidP="00E9072D">
      <w:pPr>
        <w:pStyle w:val="Fundamentos"/>
      </w:pPr>
      <w:r w:rsidRPr="007559E5">
        <w:rPr>
          <w:b/>
        </w:rPr>
        <w:t xml:space="preserve">V. </w:t>
      </w:r>
      <w:r w:rsidRPr="007559E5">
        <w:rPr>
          <w:b/>
          <w:u w:val="single"/>
        </w:rPr>
        <w:t>Se impugne la veracidad de la información proporcionada</w:t>
      </w:r>
      <w:r w:rsidRPr="007559E5">
        <w:t>; y</w:t>
      </w:r>
    </w:p>
    <w:p w14:paraId="1144DA6A" w14:textId="77777777" w:rsidR="00E9072D" w:rsidRPr="007559E5" w:rsidRDefault="00E9072D" w:rsidP="00E9072D">
      <w:pPr>
        <w:pStyle w:val="Fundamentos"/>
      </w:pPr>
      <w:r w:rsidRPr="007559E5">
        <w:t>[…]</w:t>
      </w:r>
    </w:p>
    <w:p w14:paraId="197BDB2B" w14:textId="77777777" w:rsidR="00E9072D" w:rsidRPr="007559E5" w:rsidRDefault="00E9072D" w:rsidP="00E9072D">
      <w:pPr>
        <w:pStyle w:val="Fundamentos"/>
      </w:pPr>
      <w:r w:rsidRPr="007559E5">
        <w:rPr>
          <w:b/>
          <w:bCs/>
        </w:rPr>
        <w:t>VII.</w:t>
      </w:r>
      <w:r w:rsidRPr="007559E5">
        <w:t xml:space="preserve"> </w:t>
      </w:r>
      <w:r w:rsidRPr="007559E5">
        <w:rPr>
          <w:b/>
          <w:bCs/>
          <w:u w:val="single"/>
        </w:rPr>
        <w:t>El recurrente amplíe su solicitud en el recurso de revisión, únicamente respecto de los nuevos contenidos</w:t>
      </w:r>
      <w:r w:rsidRPr="007559E5">
        <w:t>.</w:t>
      </w:r>
    </w:p>
    <w:p w14:paraId="3F93BF1D" w14:textId="77777777" w:rsidR="00E9072D" w:rsidRPr="007559E5" w:rsidRDefault="00E9072D" w:rsidP="00E9072D">
      <w:pPr>
        <w:pStyle w:val="Fundamentos"/>
      </w:pPr>
    </w:p>
    <w:p w14:paraId="221781BF" w14:textId="77777777" w:rsidR="00E9072D" w:rsidRPr="007559E5" w:rsidRDefault="00E9072D" w:rsidP="00E9072D">
      <w:pPr>
        <w:pStyle w:val="Fundamentos"/>
      </w:pPr>
      <w:r w:rsidRPr="007559E5">
        <w:rPr>
          <w:b/>
        </w:rPr>
        <w:t xml:space="preserve">Artículo 192. </w:t>
      </w:r>
      <w:r w:rsidRPr="007559E5">
        <w:t>El recurso será sobreseído, en todo o en parte, cuando una vez admitido, se actualicen alguno de los siguientes supuestos:</w:t>
      </w:r>
    </w:p>
    <w:p w14:paraId="7AD9376D" w14:textId="77777777" w:rsidR="00E9072D" w:rsidRPr="007559E5" w:rsidRDefault="00E9072D" w:rsidP="00E9072D">
      <w:pPr>
        <w:pStyle w:val="Fundamentos"/>
      </w:pPr>
      <w:r w:rsidRPr="007559E5">
        <w:t>[…]</w:t>
      </w:r>
    </w:p>
    <w:p w14:paraId="7A3055E4" w14:textId="77777777" w:rsidR="00E9072D" w:rsidRPr="007559E5" w:rsidRDefault="00E9072D" w:rsidP="00E9072D">
      <w:pPr>
        <w:pStyle w:val="Fundamentos"/>
        <w:rPr>
          <w:b/>
        </w:rPr>
      </w:pPr>
      <w:r w:rsidRPr="007559E5">
        <w:rPr>
          <w:b/>
        </w:rPr>
        <w:t xml:space="preserve">IV. </w:t>
      </w:r>
      <w:r w:rsidRPr="007559E5">
        <w:t>Admitido el recurso de revisión, aparezca alguna causal de improcedencia en los términos de la presente Ley; y</w:t>
      </w:r>
    </w:p>
    <w:p w14:paraId="2B5C116D" w14:textId="77777777" w:rsidR="00E9072D" w:rsidRPr="007559E5" w:rsidRDefault="00E9072D" w:rsidP="00E9072D">
      <w:pPr>
        <w:pStyle w:val="Fundamentos"/>
      </w:pPr>
      <w:r w:rsidRPr="007559E5">
        <w:t>[…]</w:t>
      </w:r>
    </w:p>
    <w:p w14:paraId="06155758" w14:textId="77777777" w:rsidR="00E9072D" w:rsidRPr="007559E5" w:rsidRDefault="00E9072D" w:rsidP="00E9072D">
      <w:pPr>
        <w:rPr>
          <w:lang w:val="es-ES"/>
        </w:rPr>
      </w:pPr>
    </w:p>
    <w:p w14:paraId="7BC48F26" w14:textId="77777777" w:rsidR="00E9072D" w:rsidRPr="007559E5" w:rsidRDefault="00E9072D" w:rsidP="00E9072D">
      <w:pPr>
        <w:rPr>
          <w:szCs w:val="24"/>
          <w:lang w:val="es-ES"/>
        </w:rPr>
      </w:pPr>
      <w:r w:rsidRPr="007559E5">
        <w:rPr>
          <w:szCs w:val="24"/>
        </w:rPr>
        <w:t xml:space="preserve">En ese sentido, es necesario referir que </w:t>
      </w:r>
      <w:r w:rsidRPr="007559E5">
        <w:rPr>
          <w:szCs w:val="24"/>
          <w:lang w:val="es-ES"/>
        </w:rPr>
        <w:t>las causales de improcedencia deben ser examinadas de oficio y si de dicho examen se actualiza una causal de improcedencia, por técnica jurídica, es de estudio preferente.</w:t>
      </w:r>
    </w:p>
    <w:p w14:paraId="3EB4B03F" w14:textId="77777777" w:rsidR="00E9072D" w:rsidRPr="007559E5" w:rsidRDefault="00E9072D" w:rsidP="00E9072D">
      <w:pPr>
        <w:rPr>
          <w:szCs w:val="24"/>
          <w:lang w:val="es-ES"/>
        </w:rPr>
      </w:pPr>
    </w:p>
    <w:p w14:paraId="34DA3C13" w14:textId="77777777" w:rsidR="00E9072D" w:rsidRPr="007559E5" w:rsidRDefault="00E9072D" w:rsidP="00E9072D">
      <w:pPr>
        <w:rPr>
          <w:szCs w:val="24"/>
          <w:lang w:val="es-ES"/>
        </w:rPr>
      </w:pPr>
      <w:r w:rsidRPr="007559E5">
        <w:rPr>
          <w:szCs w:val="24"/>
          <w:lang w:val="es-ES"/>
        </w:rPr>
        <w:t>Sirve como criterio orientador, lo establecido en la jurisprudencia por reiteración con número de registro digital 194697</w:t>
      </w:r>
      <w:r w:rsidRPr="007559E5">
        <w:rPr>
          <w:szCs w:val="24"/>
          <w:vertAlign w:val="superscript"/>
          <w:lang w:val="es-ES"/>
        </w:rPr>
        <w:footnoteReference w:id="1"/>
      </w:r>
      <w:r w:rsidRPr="007559E5">
        <w:rPr>
          <w:szCs w:val="24"/>
          <w:lang w:val="es-ES"/>
        </w:rPr>
        <w:t xml:space="preserve">, emitida por la Primera Sala de la Suprema Corte de Justicia de la Nación, en la que se dispone lo siguiente: </w:t>
      </w:r>
    </w:p>
    <w:p w14:paraId="333F80EA" w14:textId="77777777" w:rsidR="00E9072D" w:rsidRPr="007559E5" w:rsidRDefault="00E9072D" w:rsidP="00E9072D">
      <w:pPr>
        <w:rPr>
          <w:szCs w:val="24"/>
          <w:lang w:val="es-ES"/>
        </w:rPr>
      </w:pPr>
    </w:p>
    <w:p w14:paraId="26416CF2" w14:textId="77777777" w:rsidR="00E9072D" w:rsidRPr="007559E5" w:rsidRDefault="00E9072D" w:rsidP="00E9072D">
      <w:pPr>
        <w:spacing w:line="240" w:lineRule="auto"/>
        <w:ind w:left="567" w:right="567"/>
        <w:rPr>
          <w:b/>
          <w:bCs/>
          <w:i/>
          <w:szCs w:val="24"/>
        </w:rPr>
      </w:pPr>
      <w:r w:rsidRPr="007559E5">
        <w:rPr>
          <w:b/>
          <w:bCs/>
          <w:i/>
          <w:szCs w:val="24"/>
        </w:rPr>
        <w:t xml:space="preserve">IMPROCEDENCIA. ESTUDIO PREFERENCIAL DE LAS CAUSALES PREVISTAS EN EL ARTÍCULO 73 DE LA LEY DE AMPARO. </w:t>
      </w:r>
    </w:p>
    <w:p w14:paraId="36FD54E2" w14:textId="77777777" w:rsidR="00E9072D" w:rsidRPr="007559E5" w:rsidRDefault="00E9072D" w:rsidP="00E9072D">
      <w:pPr>
        <w:spacing w:line="240" w:lineRule="auto"/>
        <w:ind w:left="567" w:right="567"/>
        <w:rPr>
          <w:i/>
          <w:szCs w:val="24"/>
        </w:rPr>
      </w:pPr>
      <w:r w:rsidRPr="007559E5">
        <w:rPr>
          <w:i/>
          <w:szCs w:val="24"/>
        </w:rPr>
        <w:t xml:space="preserve">De conformidad con lo dispuesto en el último párrafo del artículo 73 de la Ley de Amparo </w:t>
      </w:r>
      <w:r w:rsidRPr="007559E5">
        <w:rPr>
          <w:b/>
          <w:bCs/>
          <w:i/>
          <w:szCs w:val="24"/>
          <w:u w:val="single"/>
        </w:rPr>
        <w:t>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la Recurrente</w:t>
      </w:r>
      <w:r w:rsidRPr="007559E5">
        <w:rPr>
          <w:i/>
          <w:szCs w:val="24"/>
        </w:rPr>
        <w:t xml:space="preserve">. Esto es así porque si bien el artículo 73 prevé diversas causas de improcedencia y todas ellas conducen a decretar el sobreseimiento en el juicio, sin analizar </w:t>
      </w:r>
      <w:r w:rsidRPr="007559E5">
        <w:rPr>
          <w:i/>
          <w:szCs w:val="24"/>
        </w:rPr>
        <w:lastRenderedPageBreak/>
        <w:t>el fondo del asunto, de entre ellas existen algunas cuyo orden de importancia amerita que se estudien de forma preferente. Una de estas causas es la inobservancia al principio de definitividad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definitividad)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54CF7CA0" w14:textId="77777777" w:rsidR="00304D00" w:rsidRDefault="00304D00" w:rsidP="00E9072D">
      <w:pPr>
        <w:rPr>
          <w:szCs w:val="24"/>
          <w:lang w:val="es-ES"/>
        </w:rPr>
      </w:pPr>
    </w:p>
    <w:p w14:paraId="4A219F84" w14:textId="77777777" w:rsidR="00E9072D" w:rsidRPr="007559E5" w:rsidRDefault="00E9072D" w:rsidP="00E9072D">
      <w:pPr>
        <w:rPr>
          <w:b/>
          <w:szCs w:val="24"/>
          <w:lang w:val="es-ES"/>
        </w:rPr>
      </w:pPr>
      <w:r w:rsidRPr="007559E5">
        <w:rPr>
          <w:szCs w:val="24"/>
          <w:lang w:val="es-ES"/>
        </w:rPr>
        <w:t xml:space="preserve">Es importante resaltar a manera de analogía que la Suprema Corte de Justicia de la Nación mediante el número 2 de la Serie </w:t>
      </w:r>
      <w:r w:rsidRPr="007559E5">
        <w:rPr>
          <w:i/>
          <w:szCs w:val="24"/>
          <w:lang w:val="es-ES"/>
        </w:rPr>
        <w:t xml:space="preserve">Estudios Introductorios sobre el Juicio de Amparo </w:t>
      </w:r>
      <w:r w:rsidRPr="007559E5">
        <w:rPr>
          <w:szCs w:val="24"/>
          <w:lang w:val="es-ES"/>
        </w:rPr>
        <w:t xml:space="preserve">relativo a </w:t>
      </w:r>
      <w:r w:rsidRPr="007559E5">
        <w:rPr>
          <w:i/>
          <w:szCs w:val="24"/>
          <w:lang w:val="es-ES"/>
        </w:rPr>
        <w:t xml:space="preserve">LA IMPROCEDENCIA DE LA ACCIÓN DE AMPARO </w:t>
      </w:r>
      <w:r w:rsidRPr="007559E5">
        <w:rPr>
          <w:szCs w:val="24"/>
          <w:lang w:val="es-ES"/>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7559E5">
        <w:rPr>
          <w:b/>
          <w:szCs w:val="24"/>
          <w:lang w:val="es-ES"/>
        </w:rPr>
        <w:t>lo que generará que la demanda sea desechada; o bien, después de admitida la demanda, lo que tendrá como consecuencia que se sobresea en el juicio.</w:t>
      </w:r>
    </w:p>
    <w:p w14:paraId="76108D47" w14:textId="77777777" w:rsidR="00E9072D" w:rsidRPr="007559E5" w:rsidRDefault="00E9072D" w:rsidP="00E9072D">
      <w:r w:rsidRPr="007559E5">
        <w:rPr>
          <w:szCs w:val="24"/>
        </w:rPr>
        <w:t>Por lo anterior, al acreditarse la procedencia del sobreseimiento, este Instituto está</w:t>
      </w:r>
      <w:r w:rsidRPr="007559E5">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7559E5">
        <w:rPr>
          <w:rFonts w:eastAsia="Palatino Linotype" w:cs="Palatino Linotype"/>
          <w:vertAlign w:val="superscript"/>
        </w:rPr>
        <w:footnoteReference w:id="2"/>
      </w:r>
      <w:r w:rsidRPr="007559E5">
        <w:t>, en la que se estipula lo siguiente:</w:t>
      </w:r>
    </w:p>
    <w:p w14:paraId="7408CBC2" w14:textId="77777777" w:rsidR="00E9072D" w:rsidRPr="007559E5" w:rsidRDefault="00E9072D" w:rsidP="00E9072D">
      <w:pPr>
        <w:rPr>
          <w:szCs w:val="24"/>
        </w:rPr>
      </w:pPr>
    </w:p>
    <w:p w14:paraId="107DD222" w14:textId="77777777" w:rsidR="00E9072D" w:rsidRPr="007559E5" w:rsidRDefault="00E9072D" w:rsidP="00E9072D">
      <w:pPr>
        <w:spacing w:line="240" w:lineRule="auto"/>
        <w:ind w:left="567" w:right="567"/>
        <w:rPr>
          <w:rFonts w:eastAsia="Palatino Linotype" w:cs="Palatino Linotype"/>
          <w:b/>
          <w:bCs/>
          <w:iCs/>
        </w:rPr>
      </w:pPr>
      <w:r w:rsidRPr="007559E5">
        <w:rPr>
          <w:rFonts w:eastAsia="Palatino Linotype" w:cs="Palatino Linotype"/>
          <w:b/>
          <w:bCs/>
          <w:i/>
          <w:iCs/>
        </w:rPr>
        <w:t>SOBRESEIMIENTO. IMPIDE EL ESTUDIO DE LAS CUESTIONES DE FONDO.</w:t>
      </w:r>
    </w:p>
    <w:p w14:paraId="45F3112F" w14:textId="77777777" w:rsidR="00E9072D" w:rsidRPr="007559E5" w:rsidRDefault="00E9072D" w:rsidP="00E9072D">
      <w:pPr>
        <w:spacing w:line="240" w:lineRule="auto"/>
        <w:ind w:left="567" w:right="567"/>
        <w:rPr>
          <w:rFonts w:eastAsia="Palatino Linotype" w:cs="Palatino Linotype"/>
          <w:iCs/>
        </w:rPr>
      </w:pPr>
      <w:r w:rsidRPr="007559E5">
        <w:rPr>
          <w:rFonts w:eastAsia="Palatino Linotype" w:cs="Palatino Linotype"/>
          <w:i/>
          <w:iC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18E6FFB5" w14:textId="77777777" w:rsidR="00E9072D" w:rsidRPr="007559E5" w:rsidRDefault="00E9072D" w:rsidP="00E9072D"/>
    <w:p w14:paraId="6D28527F" w14:textId="507C2A5D" w:rsidR="00E9072D" w:rsidRPr="007559E5" w:rsidRDefault="00E21C5F" w:rsidP="00E9072D">
      <w:pPr>
        <w:pStyle w:val="Ttulo3"/>
      </w:pPr>
      <w:bookmarkStart w:id="32" w:name="_Toc171534642"/>
      <w:bookmarkStart w:id="33" w:name="_Toc179375740"/>
      <w:bookmarkStart w:id="34" w:name="_Toc179924373"/>
      <w:r>
        <w:t>d</w:t>
      </w:r>
      <w:r w:rsidR="00E9072D" w:rsidRPr="007559E5">
        <w:t>) Conclusión</w:t>
      </w:r>
      <w:bookmarkEnd w:id="32"/>
      <w:bookmarkEnd w:id="33"/>
      <w:bookmarkEnd w:id="34"/>
    </w:p>
    <w:p w14:paraId="75567F96" w14:textId="46D5B7D7" w:rsidR="007559E5" w:rsidRPr="007559E5" w:rsidRDefault="007559E5" w:rsidP="007559E5">
      <w:pPr>
        <w:rPr>
          <w:rFonts w:cs="Arial"/>
          <w:szCs w:val="28"/>
          <w:lang w:val="es-ES"/>
        </w:rPr>
      </w:pPr>
      <w:bookmarkStart w:id="35" w:name="_vx1227" w:colFirst="0" w:colLast="0"/>
      <w:bookmarkEnd w:id="35"/>
      <w:r w:rsidRPr="007559E5">
        <w:t xml:space="preserve">Derivado de lo anterior, este Instituto </w:t>
      </w:r>
      <w:r w:rsidRPr="007559E5">
        <w:rPr>
          <w:rFonts w:cs="Arial"/>
          <w:lang w:val="es-ES_tradnl"/>
        </w:rPr>
        <w:t xml:space="preserve">determina </w:t>
      </w:r>
      <w:r w:rsidRPr="007559E5">
        <w:rPr>
          <w:rFonts w:cs="Arial"/>
          <w:b/>
          <w:lang w:val="es-ES_tradnl"/>
        </w:rPr>
        <w:t>SOBRESEER</w:t>
      </w:r>
      <w:r w:rsidRPr="007559E5">
        <w:rPr>
          <w:rFonts w:cs="Arial"/>
          <w:lang w:val="es-ES_tradnl"/>
        </w:rPr>
        <w:t xml:space="preserve"> el presente Recurso de Revisión, en </w:t>
      </w:r>
      <w:r w:rsidRPr="007559E5">
        <w:rPr>
          <w:bCs/>
        </w:rPr>
        <w:t>términos</w:t>
      </w:r>
      <w:r w:rsidRPr="007559E5">
        <w:rPr>
          <w:rFonts w:cs="Arial"/>
          <w:lang w:val="es-ES_tradnl"/>
        </w:rPr>
        <w:t xml:space="preserve"> del artículo 186, fracción I, de la </w:t>
      </w:r>
      <w:r w:rsidRPr="007559E5">
        <w:rPr>
          <w:rFonts w:eastAsia="Calibri" w:cs="Arial"/>
        </w:rPr>
        <w:t>Ley de Transparencia y Acceso a la Información Pública del Estado de México y Municipios</w:t>
      </w:r>
      <w:r w:rsidRPr="007559E5">
        <w:rPr>
          <w:rFonts w:cs="Arial"/>
          <w:szCs w:val="28"/>
          <w:lang w:val="es-ES"/>
        </w:rPr>
        <w:t xml:space="preserve">. </w:t>
      </w:r>
    </w:p>
    <w:p w14:paraId="63CE5998" w14:textId="77777777" w:rsidR="00E9072D" w:rsidRPr="007559E5" w:rsidRDefault="00E9072D" w:rsidP="00E9072D">
      <w:pPr>
        <w:rPr>
          <w:rFonts w:eastAsiaTheme="minorEastAsia" w:cstheme="minorBidi"/>
          <w:lang w:val="es-ES_tradnl"/>
        </w:rPr>
      </w:pPr>
    </w:p>
    <w:p w14:paraId="7E5007AA" w14:textId="77777777" w:rsidR="00E9072D" w:rsidRPr="007559E5" w:rsidRDefault="00E9072D" w:rsidP="00E9072D">
      <w:pPr>
        <w:ind w:right="-93"/>
      </w:pPr>
      <w:r w:rsidRPr="007559E5">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F42F0BA" w14:textId="77777777" w:rsidR="00E9072D" w:rsidRPr="007559E5" w:rsidRDefault="00E9072D" w:rsidP="00E9072D">
      <w:pPr>
        <w:ind w:right="-93"/>
      </w:pPr>
    </w:p>
    <w:p w14:paraId="261A0609" w14:textId="77777777" w:rsidR="00E9072D" w:rsidRPr="007559E5" w:rsidRDefault="00E9072D" w:rsidP="00E9072D">
      <w:pPr>
        <w:pStyle w:val="Ttulo1"/>
      </w:pPr>
      <w:bookmarkStart w:id="36" w:name="_2p2csry" w:colFirst="0" w:colLast="0"/>
      <w:bookmarkStart w:id="37" w:name="_Toc171534644"/>
      <w:bookmarkStart w:id="38" w:name="_Toc179375741"/>
      <w:bookmarkStart w:id="39" w:name="_Toc179924374"/>
      <w:bookmarkEnd w:id="36"/>
      <w:r w:rsidRPr="007559E5">
        <w:t>RESUELVE</w:t>
      </w:r>
      <w:bookmarkEnd w:id="37"/>
      <w:bookmarkEnd w:id="38"/>
      <w:bookmarkEnd w:id="39"/>
    </w:p>
    <w:p w14:paraId="4F66416A" w14:textId="77777777" w:rsidR="00E9072D" w:rsidRPr="007559E5" w:rsidRDefault="00E9072D" w:rsidP="00E9072D">
      <w:pPr>
        <w:ind w:right="113"/>
        <w:rPr>
          <w:b/>
        </w:rPr>
      </w:pPr>
    </w:p>
    <w:p w14:paraId="53FA8F0B" w14:textId="581E9AF8" w:rsidR="006B566A" w:rsidRPr="002D3DA8" w:rsidRDefault="00E9072D" w:rsidP="006B566A">
      <w:pPr>
        <w:rPr>
          <w:lang w:val="es-ES"/>
        </w:rPr>
      </w:pPr>
      <w:r w:rsidRPr="007559E5">
        <w:rPr>
          <w:b/>
        </w:rPr>
        <w:t>PRIMERO.</w:t>
      </w:r>
      <w:r w:rsidRPr="007559E5">
        <w:t xml:space="preserve"> </w:t>
      </w:r>
      <w:r w:rsidR="006B566A" w:rsidRPr="002D3DA8">
        <w:t xml:space="preserve">Se </w:t>
      </w:r>
      <w:r w:rsidR="006B566A" w:rsidRPr="002D3DA8">
        <w:rPr>
          <w:b/>
        </w:rPr>
        <w:t>SOBRESEE</w:t>
      </w:r>
      <w:r w:rsidR="006B566A" w:rsidRPr="002D3DA8">
        <w:t xml:space="preserve"> el Recurso de Revisión número </w:t>
      </w:r>
      <w:r w:rsidR="006B566A" w:rsidRPr="00BA61D0">
        <w:rPr>
          <w:rFonts w:eastAsia="Palatino Linotype" w:cs="Palatino Linotype"/>
          <w:b/>
          <w:color w:val="000000"/>
        </w:rPr>
        <w:t>0</w:t>
      </w:r>
      <w:r w:rsidR="006B566A">
        <w:rPr>
          <w:rFonts w:eastAsia="Palatino Linotype" w:cs="Palatino Linotype"/>
          <w:b/>
          <w:color w:val="000000"/>
        </w:rPr>
        <w:t>4792</w:t>
      </w:r>
      <w:r w:rsidR="006B566A" w:rsidRPr="00BA61D0">
        <w:rPr>
          <w:rFonts w:eastAsia="Palatino Linotype" w:cs="Palatino Linotype"/>
          <w:b/>
          <w:color w:val="000000"/>
        </w:rPr>
        <w:t>/INFOEM/IP/RR/2024</w:t>
      </w:r>
      <w:r w:rsidR="006B566A">
        <w:rPr>
          <w:rFonts w:eastAsia="Palatino Linotype" w:cs="Palatino Linotype"/>
          <w:b/>
          <w:color w:val="000000"/>
        </w:rPr>
        <w:t xml:space="preserve"> </w:t>
      </w:r>
      <w:r w:rsidR="006B566A" w:rsidRPr="002D3DA8">
        <w:rPr>
          <w:lang w:val="es-ES"/>
        </w:rPr>
        <w:t xml:space="preserve">porque una vez admitido se actualizó la causal establecida en el artículo 192 fracción IV, </w:t>
      </w:r>
      <w:r w:rsidR="006B566A" w:rsidRPr="00A233F0">
        <w:t>por</w:t>
      </w:r>
      <w:r w:rsidR="006B566A" w:rsidRPr="002D3DA8">
        <w:rPr>
          <w:lang w:val="es-ES"/>
        </w:rPr>
        <w:t xml:space="preserve"> ser improcedente en términos de la </w:t>
      </w:r>
      <w:r w:rsidR="006B566A" w:rsidRPr="002D3DA8">
        <w:rPr>
          <w:lang w:eastAsia="es-ES_tradnl"/>
        </w:rPr>
        <w:t>Ley de Transparencia y Acceso a la Información Pública del Estado de México y Municipios</w:t>
      </w:r>
      <w:r w:rsidR="006B566A" w:rsidRPr="002D3DA8">
        <w:rPr>
          <w:lang w:val="es-ES"/>
        </w:rPr>
        <w:t xml:space="preserve">, en términos del Considerando </w:t>
      </w:r>
      <w:r w:rsidR="006B566A">
        <w:rPr>
          <w:b/>
          <w:lang w:val="es-ES"/>
        </w:rPr>
        <w:t>SEGUNDO</w:t>
      </w:r>
      <w:r w:rsidR="006B566A" w:rsidRPr="002D3DA8">
        <w:rPr>
          <w:lang w:val="es-ES"/>
        </w:rPr>
        <w:t xml:space="preserve"> de la presente resolución.</w:t>
      </w:r>
    </w:p>
    <w:p w14:paraId="0C73801C" w14:textId="5A784BA3" w:rsidR="00E9072D" w:rsidRPr="007559E5" w:rsidRDefault="00E9072D" w:rsidP="00E9072D">
      <w:pPr>
        <w:widowControl w:val="0"/>
      </w:pPr>
    </w:p>
    <w:p w14:paraId="46067B60" w14:textId="77777777" w:rsidR="00E9072D" w:rsidRPr="007559E5" w:rsidRDefault="00E9072D" w:rsidP="00E9072D">
      <w:pPr>
        <w:ind w:right="-93"/>
      </w:pPr>
      <w:r w:rsidRPr="007559E5">
        <w:rPr>
          <w:b/>
        </w:rPr>
        <w:lastRenderedPageBreak/>
        <w:t>SEGUNDO.</w:t>
      </w:r>
      <w:r w:rsidRPr="007559E5">
        <w:t xml:space="preserve"> Notifíquese la presente resolución mediante Sistema de Acceso a la Información Mexiquense al Titular de la Unidad de Transparencia del </w:t>
      </w:r>
      <w:r w:rsidRPr="007559E5">
        <w:rPr>
          <w:b/>
        </w:rPr>
        <w:t>SUJETO OBLIGADO</w:t>
      </w:r>
      <w:r w:rsidRPr="007559E5">
        <w:t>, para su conocimiento.</w:t>
      </w:r>
    </w:p>
    <w:p w14:paraId="01B7FD7A" w14:textId="77777777" w:rsidR="00E9072D" w:rsidRPr="007559E5" w:rsidRDefault="00E9072D" w:rsidP="00E9072D">
      <w:pPr>
        <w:rPr>
          <w:b/>
        </w:rPr>
      </w:pPr>
    </w:p>
    <w:p w14:paraId="0A83DE81" w14:textId="280BDEFD" w:rsidR="00E9072D" w:rsidRPr="007559E5" w:rsidRDefault="00E9072D" w:rsidP="00E9072D">
      <w:pPr>
        <w:rPr>
          <w:b/>
          <w:bCs/>
        </w:rPr>
      </w:pPr>
      <w:r w:rsidRPr="007559E5">
        <w:rPr>
          <w:b/>
        </w:rPr>
        <w:t>TERCERO.</w:t>
      </w:r>
      <w:r w:rsidRPr="007559E5">
        <w:t xml:space="preserve"> Notifíquese a </w:t>
      </w:r>
      <w:r w:rsidRPr="007559E5">
        <w:rPr>
          <w:b/>
        </w:rPr>
        <w:t>LA PARTE RECURRENTE</w:t>
      </w:r>
      <w:r w:rsidRPr="007559E5">
        <w:t xml:space="preserve"> la presente resolución vía Sistema de Acceso a la Información Mexiquense (SAIMEX)</w:t>
      </w:r>
      <w:r w:rsidRPr="007559E5">
        <w:rPr>
          <w:b/>
          <w:bCs/>
        </w:rPr>
        <w:t>.</w:t>
      </w:r>
    </w:p>
    <w:p w14:paraId="7FFBC2A5" w14:textId="77777777" w:rsidR="00E9072D" w:rsidRPr="007559E5" w:rsidRDefault="00E9072D" w:rsidP="00E9072D"/>
    <w:p w14:paraId="78672538" w14:textId="77777777" w:rsidR="00E9072D" w:rsidRPr="007559E5" w:rsidRDefault="00E9072D" w:rsidP="00E9072D">
      <w:r w:rsidRPr="007559E5">
        <w:rPr>
          <w:b/>
        </w:rPr>
        <w:t>CUARTO</w:t>
      </w:r>
      <w:r w:rsidRPr="007559E5">
        <w:t xml:space="preserve">. Hágase del conocimiento a </w:t>
      </w:r>
      <w:r w:rsidRPr="007559E5">
        <w:rPr>
          <w:b/>
        </w:rPr>
        <w:t>LA PARTE RECURRENTE</w:t>
      </w:r>
      <w:r w:rsidRPr="007559E5">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D7EBEB3" w14:textId="77777777" w:rsidR="003F780F" w:rsidRPr="007559E5" w:rsidRDefault="003F780F" w:rsidP="00664420">
      <w:pPr>
        <w:ind w:right="113"/>
        <w:rPr>
          <w:rFonts w:cs="Arial"/>
          <w:b/>
          <w:szCs w:val="22"/>
        </w:rPr>
      </w:pPr>
    </w:p>
    <w:p w14:paraId="719A5C63" w14:textId="296F42FF" w:rsidR="00664420" w:rsidRPr="007559E5" w:rsidRDefault="00664420" w:rsidP="00664420">
      <w:pPr>
        <w:rPr>
          <w:rFonts w:eastAsia="Palatino Linotype" w:cs="Palatino Linotype"/>
          <w:color w:val="000000"/>
          <w:szCs w:val="22"/>
        </w:rPr>
      </w:pPr>
      <w:r w:rsidRPr="007559E5">
        <w:rPr>
          <w:rFonts w:eastAsia="Palatino Linotype" w:cs="Palatino Linotype"/>
          <w:color w:val="000000"/>
          <w:szCs w:val="22"/>
        </w:rPr>
        <w:t xml:space="preserve">ASÍ LO RESUELVE, POR </w:t>
      </w:r>
      <w:r w:rsidR="00B9680B">
        <w:rPr>
          <w:rFonts w:eastAsia="Palatino Linotype" w:cs="Palatino Linotype"/>
          <w:color w:val="000000"/>
          <w:szCs w:val="22"/>
        </w:rPr>
        <w:t>MAYORÍA</w:t>
      </w:r>
      <w:r w:rsidRPr="007559E5">
        <w:rPr>
          <w:rFonts w:eastAsia="Palatino Linotype" w:cs="Palatino Linotype"/>
          <w:color w:val="000000"/>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9680B">
        <w:rPr>
          <w:rFonts w:eastAsia="Palatino Linotype" w:cs="Palatino Linotype"/>
          <w:color w:val="000000"/>
          <w:szCs w:val="22"/>
        </w:rPr>
        <w:t xml:space="preserve">EMITIENDO VOTO DISIDENTE </w:t>
      </w:r>
      <w:r w:rsidRPr="007559E5">
        <w:rPr>
          <w:rFonts w:eastAsia="Palatino Linotype" w:cs="Palatino Linotype"/>
          <w:color w:val="000000"/>
          <w:szCs w:val="22"/>
        </w:rPr>
        <w:t xml:space="preserve">Y GUADALUPE RAMÍREZ PEÑA, EN LA </w:t>
      </w:r>
      <w:r w:rsidR="00CC783A" w:rsidRPr="007559E5">
        <w:rPr>
          <w:rFonts w:eastAsia="Palatino Linotype" w:cs="Palatino Linotype"/>
          <w:color w:val="000000"/>
          <w:szCs w:val="22"/>
        </w:rPr>
        <w:t>TRIGÉSIMA</w:t>
      </w:r>
      <w:r w:rsidR="00336B4B" w:rsidRPr="007559E5">
        <w:rPr>
          <w:rFonts w:eastAsia="Palatino Linotype" w:cs="Palatino Linotype"/>
          <w:color w:val="000000"/>
          <w:szCs w:val="22"/>
        </w:rPr>
        <w:t xml:space="preserve"> </w:t>
      </w:r>
      <w:r w:rsidR="00F77407">
        <w:rPr>
          <w:rFonts w:eastAsia="Palatino Linotype" w:cs="Palatino Linotype"/>
          <w:color w:val="000000"/>
          <w:szCs w:val="22"/>
        </w:rPr>
        <w:t>SÉPTIMA</w:t>
      </w:r>
      <w:r w:rsidR="00C5325A" w:rsidRPr="007559E5">
        <w:rPr>
          <w:rFonts w:eastAsia="Palatino Linotype" w:cs="Palatino Linotype"/>
          <w:color w:val="000000"/>
          <w:szCs w:val="22"/>
        </w:rPr>
        <w:t xml:space="preserve"> </w:t>
      </w:r>
      <w:r w:rsidRPr="007559E5">
        <w:rPr>
          <w:rFonts w:eastAsia="Palatino Linotype" w:cs="Palatino Linotype"/>
          <w:color w:val="000000"/>
          <w:szCs w:val="22"/>
        </w:rPr>
        <w:t xml:space="preserve">SESIÓN ORDINARIA, CELEBRADA EL </w:t>
      </w:r>
      <w:r w:rsidR="00F77407">
        <w:rPr>
          <w:rFonts w:eastAsia="Palatino Linotype" w:cs="Palatino Linotype"/>
          <w:color w:val="000000"/>
          <w:szCs w:val="22"/>
        </w:rPr>
        <w:t>DIECISÉIS</w:t>
      </w:r>
      <w:r w:rsidR="00925968">
        <w:rPr>
          <w:rFonts w:eastAsia="Palatino Linotype" w:cs="Palatino Linotype"/>
          <w:color w:val="000000"/>
          <w:szCs w:val="22"/>
        </w:rPr>
        <w:t xml:space="preserve"> DE OCTUBRE</w:t>
      </w:r>
      <w:r w:rsidR="00336B4B" w:rsidRPr="007559E5">
        <w:rPr>
          <w:rFonts w:eastAsia="Palatino Linotype" w:cs="Palatino Linotype"/>
          <w:color w:val="000000"/>
          <w:szCs w:val="22"/>
        </w:rPr>
        <w:t xml:space="preserve"> DE DOS MIL VEINTICUATRO, </w:t>
      </w:r>
      <w:r w:rsidRPr="007559E5">
        <w:rPr>
          <w:rFonts w:eastAsia="Palatino Linotype" w:cs="Palatino Linotype"/>
          <w:color w:val="000000"/>
          <w:szCs w:val="22"/>
        </w:rPr>
        <w:t>ANTE EL SECRETARIO TÉCNICO DEL PLENO, ALEXIS TAPIA RAMÍREZ.</w:t>
      </w:r>
    </w:p>
    <w:p w14:paraId="26F5FDEB" w14:textId="77777777" w:rsidR="008629A5" w:rsidRDefault="008629A5" w:rsidP="008629A5">
      <w:pPr>
        <w:ind w:right="-93"/>
        <w:rPr>
          <w:color w:val="000000"/>
        </w:rPr>
      </w:pPr>
      <w:r w:rsidRPr="007559E5">
        <w:rPr>
          <w:rFonts w:eastAsia="Palatino Linotype" w:cs="Palatino Linotype"/>
          <w:sz w:val="18"/>
          <w:szCs w:val="14"/>
        </w:rPr>
        <w:t>SCMM/AGZ/DEMF/PAG</w:t>
      </w:r>
    </w:p>
    <w:p w14:paraId="49D72DA3" w14:textId="77777777" w:rsidR="00664420" w:rsidRPr="009334C7" w:rsidRDefault="00664420" w:rsidP="00664420">
      <w:pPr>
        <w:ind w:right="-93"/>
        <w:rPr>
          <w:rFonts w:eastAsia="Calibri" w:cs="Tahoma"/>
          <w:bCs/>
          <w:color w:val="000000"/>
          <w:szCs w:val="22"/>
          <w:lang w:eastAsia="en-US"/>
        </w:rPr>
      </w:pPr>
    </w:p>
    <w:p w14:paraId="5EFEA0CD" w14:textId="77777777" w:rsidR="00664420" w:rsidRPr="00885298" w:rsidRDefault="00664420" w:rsidP="00664420">
      <w:pPr>
        <w:ind w:right="-93"/>
        <w:rPr>
          <w:rFonts w:eastAsia="Calibri" w:cs="Tahoma"/>
          <w:szCs w:val="22"/>
          <w:lang w:val="es-ES"/>
        </w:rPr>
      </w:pPr>
    </w:p>
    <w:p w14:paraId="696BC976" w14:textId="77777777" w:rsidR="00664420" w:rsidRPr="00885298" w:rsidRDefault="00664420" w:rsidP="00664420">
      <w:pPr>
        <w:ind w:right="-93"/>
        <w:rPr>
          <w:rFonts w:eastAsia="Calibri" w:cs="Tahoma"/>
          <w:bCs/>
          <w:szCs w:val="22"/>
          <w:lang w:val="es-ES" w:eastAsia="en-US"/>
        </w:rPr>
      </w:pPr>
    </w:p>
    <w:p w14:paraId="671CB0C5" w14:textId="77777777" w:rsidR="00664420" w:rsidRPr="00885298" w:rsidRDefault="00664420" w:rsidP="00664420">
      <w:pPr>
        <w:ind w:right="-93"/>
        <w:rPr>
          <w:rFonts w:eastAsia="Calibri" w:cs="Tahoma"/>
          <w:bCs/>
          <w:szCs w:val="22"/>
          <w:lang w:val="es-ES_tradnl" w:eastAsia="en-US"/>
        </w:rPr>
      </w:pPr>
    </w:p>
    <w:p w14:paraId="52B66DE7" w14:textId="77777777" w:rsidR="00664420" w:rsidRPr="00885298" w:rsidRDefault="00664420" w:rsidP="00664420">
      <w:pPr>
        <w:ind w:right="-93"/>
        <w:rPr>
          <w:rFonts w:eastAsia="Calibri" w:cs="Tahoma"/>
          <w:bCs/>
          <w:szCs w:val="22"/>
          <w:lang w:val="es-ES_tradnl" w:eastAsia="en-US"/>
        </w:rPr>
      </w:pPr>
    </w:p>
    <w:p w14:paraId="3BA305D1" w14:textId="77777777" w:rsidR="00664420" w:rsidRPr="00885298" w:rsidRDefault="00664420" w:rsidP="00664420">
      <w:pPr>
        <w:ind w:right="-93"/>
        <w:rPr>
          <w:rFonts w:eastAsia="Calibri" w:cs="Tahoma"/>
          <w:bCs/>
          <w:szCs w:val="22"/>
          <w:lang w:val="es-ES_tradnl" w:eastAsia="en-US"/>
        </w:rPr>
      </w:pPr>
    </w:p>
    <w:p w14:paraId="78230707" w14:textId="77777777" w:rsidR="00664420" w:rsidRPr="00885298" w:rsidRDefault="00664420" w:rsidP="00664420">
      <w:pPr>
        <w:ind w:right="-93"/>
        <w:rPr>
          <w:rFonts w:eastAsia="Calibri" w:cs="Tahoma"/>
          <w:bCs/>
          <w:szCs w:val="22"/>
          <w:lang w:val="es-ES_tradnl" w:eastAsia="en-US"/>
        </w:rPr>
      </w:pPr>
    </w:p>
    <w:p w14:paraId="72D18B28" w14:textId="77777777" w:rsidR="00664420" w:rsidRPr="00885298" w:rsidRDefault="00664420" w:rsidP="00664420">
      <w:pPr>
        <w:ind w:right="-93"/>
        <w:rPr>
          <w:rFonts w:eastAsia="Calibri" w:cs="Tahoma"/>
          <w:bCs/>
          <w:szCs w:val="22"/>
          <w:lang w:val="es-ES_tradnl" w:eastAsia="en-US"/>
        </w:rPr>
      </w:pPr>
    </w:p>
    <w:p w14:paraId="6BD461DC" w14:textId="77777777" w:rsidR="00664420" w:rsidRPr="00885298" w:rsidRDefault="00664420" w:rsidP="00664420">
      <w:pPr>
        <w:tabs>
          <w:tab w:val="center" w:pos="4568"/>
        </w:tabs>
        <w:ind w:right="-93"/>
        <w:rPr>
          <w:rFonts w:eastAsia="Calibri" w:cs="Tahoma"/>
          <w:bCs/>
          <w:szCs w:val="22"/>
          <w:lang w:eastAsia="en-US"/>
        </w:rPr>
      </w:pPr>
    </w:p>
    <w:p w14:paraId="4DBB1727" w14:textId="77777777" w:rsidR="00664420" w:rsidRPr="00885298" w:rsidRDefault="00664420" w:rsidP="00664420">
      <w:pPr>
        <w:tabs>
          <w:tab w:val="center" w:pos="4568"/>
        </w:tabs>
        <w:ind w:right="-93"/>
        <w:rPr>
          <w:rFonts w:eastAsia="Calibri" w:cs="Tahoma"/>
          <w:bCs/>
          <w:szCs w:val="22"/>
          <w:lang w:eastAsia="en-US"/>
        </w:rPr>
      </w:pPr>
    </w:p>
    <w:p w14:paraId="1D74121B" w14:textId="77777777" w:rsidR="00664420" w:rsidRPr="00885298" w:rsidRDefault="00664420" w:rsidP="00664420">
      <w:pPr>
        <w:tabs>
          <w:tab w:val="center" w:pos="4568"/>
        </w:tabs>
        <w:ind w:right="-93"/>
        <w:rPr>
          <w:rFonts w:eastAsia="Calibri" w:cs="Tahoma"/>
          <w:bCs/>
          <w:szCs w:val="22"/>
          <w:lang w:eastAsia="en-US"/>
        </w:rPr>
      </w:pPr>
    </w:p>
    <w:p w14:paraId="08E74E9C" w14:textId="77777777" w:rsidR="00664420" w:rsidRPr="00885298" w:rsidRDefault="00664420" w:rsidP="00664420">
      <w:pPr>
        <w:tabs>
          <w:tab w:val="center" w:pos="4568"/>
        </w:tabs>
        <w:ind w:right="-93"/>
        <w:rPr>
          <w:rFonts w:eastAsia="Calibri" w:cs="Tahoma"/>
          <w:bCs/>
          <w:szCs w:val="22"/>
          <w:lang w:eastAsia="en-US"/>
        </w:rPr>
      </w:pPr>
    </w:p>
    <w:p w14:paraId="2CBF5E03" w14:textId="77777777" w:rsidR="00664420" w:rsidRPr="00885298" w:rsidRDefault="00664420" w:rsidP="00664420">
      <w:pPr>
        <w:tabs>
          <w:tab w:val="center" w:pos="4568"/>
        </w:tabs>
        <w:ind w:right="-93"/>
        <w:rPr>
          <w:rFonts w:eastAsia="Calibri" w:cs="Tahoma"/>
          <w:bCs/>
          <w:szCs w:val="22"/>
          <w:lang w:eastAsia="en-US"/>
        </w:rPr>
      </w:pPr>
    </w:p>
    <w:p w14:paraId="44865A6D" w14:textId="77777777" w:rsidR="00664420" w:rsidRPr="00885298" w:rsidRDefault="00664420" w:rsidP="00664420">
      <w:pPr>
        <w:tabs>
          <w:tab w:val="center" w:pos="4568"/>
        </w:tabs>
        <w:ind w:right="-93"/>
        <w:rPr>
          <w:rFonts w:eastAsia="Calibri" w:cs="Tahoma"/>
          <w:bCs/>
          <w:szCs w:val="22"/>
          <w:lang w:eastAsia="en-US"/>
        </w:rPr>
      </w:pPr>
    </w:p>
    <w:p w14:paraId="7147F06B" w14:textId="77777777" w:rsidR="00664420" w:rsidRPr="00885298" w:rsidRDefault="00664420" w:rsidP="00664420">
      <w:pPr>
        <w:tabs>
          <w:tab w:val="center" w:pos="4568"/>
        </w:tabs>
        <w:ind w:right="-93"/>
        <w:rPr>
          <w:rFonts w:eastAsia="Calibri" w:cs="Tahoma"/>
          <w:bCs/>
          <w:szCs w:val="22"/>
          <w:lang w:eastAsia="en-US"/>
        </w:rPr>
      </w:pPr>
    </w:p>
    <w:p w14:paraId="6FDF3D7E" w14:textId="77777777" w:rsidR="00664420" w:rsidRPr="00885298" w:rsidRDefault="00664420" w:rsidP="00664420">
      <w:pPr>
        <w:tabs>
          <w:tab w:val="center" w:pos="4568"/>
        </w:tabs>
        <w:ind w:right="-93"/>
        <w:rPr>
          <w:rFonts w:eastAsia="Calibri" w:cs="Tahoma"/>
          <w:bCs/>
          <w:szCs w:val="22"/>
          <w:lang w:eastAsia="en-US"/>
        </w:rPr>
      </w:pPr>
    </w:p>
    <w:p w14:paraId="6246F818" w14:textId="77777777" w:rsidR="00664420" w:rsidRPr="00885298" w:rsidRDefault="00664420" w:rsidP="00664420">
      <w:pPr>
        <w:tabs>
          <w:tab w:val="center" w:pos="4568"/>
        </w:tabs>
        <w:ind w:right="-93"/>
        <w:rPr>
          <w:rFonts w:eastAsia="Calibri" w:cs="Tahoma"/>
          <w:bCs/>
          <w:szCs w:val="22"/>
          <w:lang w:eastAsia="en-US"/>
        </w:rPr>
      </w:pPr>
    </w:p>
    <w:p w14:paraId="57A88B28" w14:textId="77777777" w:rsidR="00664420" w:rsidRPr="00885298" w:rsidRDefault="00664420" w:rsidP="00664420">
      <w:pPr>
        <w:tabs>
          <w:tab w:val="center" w:pos="4568"/>
        </w:tabs>
        <w:ind w:right="-93"/>
        <w:rPr>
          <w:rFonts w:eastAsia="Calibri" w:cs="Tahoma"/>
          <w:bCs/>
          <w:szCs w:val="22"/>
          <w:lang w:eastAsia="en-US"/>
        </w:rPr>
      </w:pPr>
    </w:p>
    <w:p w14:paraId="77EF6095" w14:textId="77777777" w:rsidR="00664420" w:rsidRPr="00885298" w:rsidRDefault="00664420" w:rsidP="00664420">
      <w:pPr>
        <w:tabs>
          <w:tab w:val="center" w:pos="4568"/>
        </w:tabs>
        <w:ind w:right="-93"/>
        <w:rPr>
          <w:rFonts w:eastAsia="Calibri" w:cs="Tahoma"/>
          <w:bCs/>
          <w:szCs w:val="22"/>
          <w:lang w:eastAsia="en-US"/>
        </w:rPr>
      </w:pPr>
    </w:p>
    <w:p w14:paraId="35593947" w14:textId="77777777" w:rsidR="00664420" w:rsidRPr="00885298" w:rsidRDefault="00664420" w:rsidP="00664420">
      <w:pPr>
        <w:tabs>
          <w:tab w:val="center" w:pos="4568"/>
        </w:tabs>
        <w:ind w:right="-93"/>
        <w:rPr>
          <w:rFonts w:eastAsia="Calibri" w:cs="Tahoma"/>
          <w:bCs/>
          <w:szCs w:val="22"/>
          <w:lang w:eastAsia="en-US"/>
        </w:rPr>
      </w:pPr>
    </w:p>
    <w:p w14:paraId="3AF72A17" w14:textId="77777777" w:rsidR="00664420" w:rsidRPr="00885298" w:rsidRDefault="00664420" w:rsidP="00664420">
      <w:pPr>
        <w:tabs>
          <w:tab w:val="center" w:pos="4568"/>
        </w:tabs>
        <w:ind w:right="-93"/>
        <w:rPr>
          <w:rFonts w:eastAsia="Calibri" w:cs="Tahoma"/>
          <w:bCs/>
          <w:szCs w:val="22"/>
          <w:lang w:eastAsia="en-US"/>
        </w:rPr>
      </w:pPr>
    </w:p>
    <w:p w14:paraId="37169144" w14:textId="77777777" w:rsidR="00664420" w:rsidRPr="00885298" w:rsidRDefault="00664420" w:rsidP="00664420">
      <w:pPr>
        <w:tabs>
          <w:tab w:val="center" w:pos="4568"/>
        </w:tabs>
        <w:ind w:right="-93"/>
        <w:rPr>
          <w:rFonts w:eastAsia="Calibri" w:cs="Tahoma"/>
          <w:bCs/>
          <w:szCs w:val="22"/>
          <w:lang w:eastAsia="en-US"/>
        </w:rPr>
      </w:pPr>
    </w:p>
    <w:p w14:paraId="77CFC088" w14:textId="77777777" w:rsidR="00664420" w:rsidRPr="00885298" w:rsidRDefault="00664420" w:rsidP="00664420">
      <w:pPr>
        <w:tabs>
          <w:tab w:val="center" w:pos="4568"/>
        </w:tabs>
        <w:ind w:right="-93"/>
        <w:rPr>
          <w:rFonts w:eastAsia="Calibri" w:cs="Tahoma"/>
          <w:bCs/>
          <w:szCs w:val="22"/>
          <w:lang w:eastAsia="en-US"/>
        </w:rPr>
      </w:pPr>
    </w:p>
    <w:p w14:paraId="781A11A5" w14:textId="77777777" w:rsidR="00664420" w:rsidRPr="00885298" w:rsidRDefault="00664420" w:rsidP="00664420">
      <w:pPr>
        <w:tabs>
          <w:tab w:val="center" w:pos="4568"/>
        </w:tabs>
        <w:ind w:right="-93"/>
        <w:rPr>
          <w:rFonts w:eastAsia="Calibri" w:cs="Tahoma"/>
          <w:bCs/>
          <w:szCs w:val="22"/>
          <w:lang w:eastAsia="en-US"/>
        </w:rPr>
      </w:pPr>
    </w:p>
    <w:p w14:paraId="5B4ADFF3" w14:textId="77777777" w:rsidR="00A131AC" w:rsidRDefault="00A131AC"/>
    <w:sectPr w:rsidR="00A131AC"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C58D" w14:textId="77777777" w:rsidR="00803ED4" w:rsidRDefault="00803ED4" w:rsidP="00664420">
      <w:pPr>
        <w:spacing w:line="240" w:lineRule="auto"/>
      </w:pPr>
      <w:r>
        <w:separator/>
      </w:r>
    </w:p>
  </w:endnote>
  <w:endnote w:type="continuationSeparator" w:id="0">
    <w:p w14:paraId="11F190F5" w14:textId="77777777" w:rsidR="00803ED4" w:rsidRDefault="00803ED4"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E9072D" w:rsidRDefault="00E9072D">
    <w:pPr>
      <w:tabs>
        <w:tab w:val="center" w:pos="4550"/>
        <w:tab w:val="left" w:pos="5818"/>
      </w:tabs>
      <w:ind w:right="260"/>
      <w:jc w:val="right"/>
      <w:rPr>
        <w:color w:val="071320" w:themeColor="text2" w:themeShade="80"/>
        <w:sz w:val="24"/>
        <w:szCs w:val="24"/>
      </w:rPr>
    </w:pPr>
  </w:p>
  <w:p w14:paraId="1BCA7F23" w14:textId="77777777" w:rsidR="00E9072D" w:rsidRDefault="00E907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E9072D" w:rsidRDefault="00E9072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2100B" w:rsidRPr="0032100B">
      <w:rPr>
        <w:noProof/>
        <w:color w:val="0A1D30" w:themeColor="text2" w:themeShade="BF"/>
        <w:sz w:val="24"/>
        <w:szCs w:val="24"/>
        <w:lang w:val="es-ES"/>
      </w:rPr>
      <w:t>25</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2100B" w:rsidRPr="0032100B">
      <w:rPr>
        <w:noProof/>
        <w:color w:val="0A1D30" w:themeColor="text2" w:themeShade="BF"/>
        <w:sz w:val="24"/>
        <w:szCs w:val="24"/>
        <w:lang w:val="es-ES"/>
      </w:rPr>
      <w:t>28</w:t>
    </w:r>
    <w:r>
      <w:rPr>
        <w:color w:val="0A1D30" w:themeColor="text2" w:themeShade="BF"/>
        <w:sz w:val="24"/>
        <w:szCs w:val="24"/>
      </w:rPr>
      <w:fldChar w:fldCharType="end"/>
    </w:r>
  </w:p>
  <w:p w14:paraId="310E15C0" w14:textId="77777777" w:rsidR="00E9072D" w:rsidRDefault="00E90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CE79" w14:textId="77777777" w:rsidR="00803ED4" w:rsidRDefault="00803ED4" w:rsidP="00664420">
      <w:pPr>
        <w:spacing w:line="240" w:lineRule="auto"/>
      </w:pPr>
      <w:r>
        <w:separator/>
      </w:r>
    </w:p>
  </w:footnote>
  <w:footnote w:type="continuationSeparator" w:id="0">
    <w:p w14:paraId="7C8076AC" w14:textId="77777777" w:rsidR="00803ED4" w:rsidRDefault="00803ED4" w:rsidP="00664420">
      <w:pPr>
        <w:spacing w:line="240" w:lineRule="auto"/>
      </w:pPr>
      <w:r>
        <w:continuationSeparator/>
      </w:r>
    </w:p>
  </w:footnote>
  <w:footnote w:id="1">
    <w:p w14:paraId="438924FB" w14:textId="77777777" w:rsidR="00E9072D" w:rsidRDefault="00E9072D" w:rsidP="00E9072D">
      <w:pPr>
        <w:pStyle w:val="Textonotapie"/>
      </w:pPr>
      <w:r>
        <w:rPr>
          <w:rStyle w:val="Refdenotaalpie"/>
        </w:rPr>
        <w:footnoteRef/>
      </w:r>
      <w:r>
        <w:t xml:space="preserve"> Tesis 1a./J. 3/99, </w:t>
      </w:r>
      <w:r w:rsidRPr="00F74234">
        <w:rPr>
          <w:i/>
          <w:iCs/>
        </w:rPr>
        <w:t>Semanario Judicial de la Federación y su Gaceta</w:t>
      </w:r>
      <w:r>
        <w:t>, Novena Época, tomo IX, enero de 1999, pág. 13.</w:t>
      </w:r>
    </w:p>
  </w:footnote>
  <w:footnote w:id="2">
    <w:p w14:paraId="7F5C83FA" w14:textId="77777777" w:rsidR="00E9072D" w:rsidRPr="0027331A" w:rsidRDefault="00E9072D" w:rsidP="00E9072D">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9072D" w:rsidRPr="00330DA7" w14:paraId="070A4B18" w14:textId="77777777" w:rsidTr="003F35FD">
      <w:trPr>
        <w:trHeight w:val="144"/>
        <w:jc w:val="right"/>
      </w:trPr>
      <w:tc>
        <w:tcPr>
          <w:tcW w:w="2727" w:type="dxa"/>
        </w:tcPr>
        <w:p w14:paraId="62B7493A" w14:textId="77777777" w:rsidR="00E9072D" w:rsidRPr="00330DA7" w:rsidRDefault="00E9072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BA85780" w:rsidR="00E9072D" w:rsidRPr="00A90C72" w:rsidRDefault="00E9072D" w:rsidP="00883EE6">
          <w:pPr>
            <w:tabs>
              <w:tab w:val="right" w:pos="8838"/>
            </w:tabs>
            <w:ind w:left="-74" w:right="-105"/>
            <w:rPr>
              <w:rFonts w:eastAsia="Calibri" w:cs="Tahoma"/>
              <w:szCs w:val="22"/>
              <w:lang w:eastAsia="en-US"/>
            </w:rPr>
          </w:pPr>
          <w:r w:rsidRPr="00883EE6">
            <w:rPr>
              <w:rFonts w:eastAsia="Calibri" w:cs="Tahoma"/>
              <w:szCs w:val="22"/>
              <w:lang w:eastAsia="en-US"/>
            </w:rPr>
            <w:t>04792/INFOEM/IP/RR/2024</w:t>
          </w:r>
        </w:p>
      </w:tc>
    </w:tr>
    <w:tr w:rsidR="00E9072D" w:rsidRPr="00330DA7" w14:paraId="4521E058" w14:textId="77777777" w:rsidTr="003F35FD">
      <w:trPr>
        <w:trHeight w:val="283"/>
        <w:jc w:val="right"/>
      </w:trPr>
      <w:tc>
        <w:tcPr>
          <w:tcW w:w="2727" w:type="dxa"/>
        </w:tcPr>
        <w:p w14:paraId="0B68C086" w14:textId="77777777" w:rsidR="00E9072D" w:rsidRPr="00330DA7" w:rsidRDefault="00E9072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F4DDC84" w:rsidR="00E9072D" w:rsidRPr="00952DD0" w:rsidRDefault="00E9072D" w:rsidP="003F35FD">
          <w:pPr>
            <w:tabs>
              <w:tab w:val="left" w:pos="2834"/>
              <w:tab w:val="right" w:pos="8838"/>
            </w:tabs>
            <w:ind w:left="-108" w:right="-105"/>
            <w:rPr>
              <w:rFonts w:eastAsia="Calibri" w:cs="Tahoma"/>
              <w:szCs w:val="22"/>
              <w:lang w:eastAsia="en-US"/>
            </w:rPr>
          </w:pPr>
          <w:r w:rsidRPr="00883EE6">
            <w:rPr>
              <w:rFonts w:eastAsia="Calibri" w:cs="Tahoma"/>
              <w:szCs w:val="22"/>
              <w:lang w:eastAsia="en-US"/>
            </w:rPr>
            <w:t>Instituto Electoral del Estado de México</w:t>
          </w:r>
        </w:p>
      </w:tc>
    </w:tr>
    <w:tr w:rsidR="00E9072D" w:rsidRPr="00330DA7" w14:paraId="6331D9B6" w14:textId="77777777" w:rsidTr="003F35FD">
      <w:trPr>
        <w:trHeight w:val="283"/>
        <w:jc w:val="right"/>
      </w:trPr>
      <w:tc>
        <w:tcPr>
          <w:tcW w:w="2727" w:type="dxa"/>
        </w:tcPr>
        <w:p w14:paraId="3FA86BAE" w14:textId="68E88B1D" w:rsidR="00E9072D" w:rsidRPr="00330DA7" w:rsidRDefault="00E9072D"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9072D" w:rsidRPr="00EA66FC" w:rsidRDefault="00E9072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9072D" w:rsidRPr="00443C6B" w:rsidRDefault="00E9072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E9072D" w:rsidRPr="00330DA7" w14:paraId="29CFF901" w14:textId="77777777" w:rsidTr="004B56B4">
      <w:trPr>
        <w:trHeight w:val="1435"/>
      </w:trPr>
      <w:tc>
        <w:tcPr>
          <w:tcW w:w="283" w:type="dxa"/>
          <w:shd w:val="clear" w:color="auto" w:fill="auto"/>
        </w:tcPr>
        <w:p w14:paraId="046B9F8F" w14:textId="56D2D896" w:rsidR="00E9072D" w:rsidRPr="00330DA7" w:rsidRDefault="00E9072D"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9072D" w:rsidRPr="00330DA7" w14:paraId="04F272D2" w14:textId="77777777" w:rsidTr="004B56B4">
            <w:trPr>
              <w:trHeight w:val="144"/>
            </w:trPr>
            <w:tc>
              <w:tcPr>
                <w:tcW w:w="2727" w:type="dxa"/>
              </w:tcPr>
              <w:p w14:paraId="2FD4DBF6" w14:textId="77777777" w:rsidR="00E9072D" w:rsidRPr="00330DA7" w:rsidRDefault="00E9072D" w:rsidP="004B56B4">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03C3713A" w:rsidR="00E9072D" w:rsidRPr="00A90C72" w:rsidRDefault="00E9072D" w:rsidP="00883EE6">
                <w:pPr>
                  <w:tabs>
                    <w:tab w:val="right" w:pos="8838"/>
                  </w:tabs>
                  <w:ind w:left="-74" w:right="-105"/>
                  <w:rPr>
                    <w:rFonts w:eastAsia="Calibri" w:cs="Tahoma"/>
                    <w:szCs w:val="22"/>
                    <w:lang w:eastAsia="en-US"/>
                  </w:rPr>
                </w:pPr>
                <w:r w:rsidRPr="00883EE6">
                  <w:rPr>
                    <w:rFonts w:eastAsia="Calibri" w:cs="Tahoma"/>
                    <w:szCs w:val="22"/>
                    <w:lang w:eastAsia="en-US"/>
                  </w:rPr>
                  <w:t>04792/INFOEM/IP/RR/2024</w:t>
                </w:r>
              </w:p>
            </w:tc>
            <w:tc>
              <w:tcPr>
                <w:tcW w:w="3402" w:type="dxa"/>
              </w:tcPr>
              <w:p w14:paraId="71DEA1CF" w14:textId="77777777" w:rsidR="00E9072D" w:rsidRDefault="00E9072D" w:rsidP="004B56B4">
                <w:pPr>
                  <w:tabs>
                    <w:tab w:val="right" w:pos="8838"/>
                  </w:tabs>
                  <w:ind w:left="-74" w:right="-105"/>
                  <w:rPr>
                    <w:rFonts w:eastAsia="Calibri" w:cs="Tahoma"/>
                    <w:szCs w:val="22"/>
                    <w:lang w:eastAsia="en-US"/>
                  </w:rPr>
                </w:pPr>
              </w:p>
            </w:tc>
          </w:tr>
          <w:tr w:rsidR="00E9072D" w:rsidRPr="00330DA7" w14:paraId="05C58951" w14:textId="77777777" w:rsidTr="004B56B4">
            <w:trPr>
              <w:trHeight w:val="144"/>
            </w:trPr>
            <w:tc>
              <w:tcPr>
                <w:tcW w:w="2727" w:type="dxa"/>
              </w:tcPr>
              <w:p w14:paraId="642B9610" w14:textId="77777777" w:rsidR="00E9072D" w:rsidRPr="00330DA7" w:rsidRDefault="00E9072D" w:rsidP="004B56B4">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2B9411A4" w:rsidR="00E9072D" w:rsidRPr="005F19B1" w:rsidRDefault="00A34721" w:rsidP="004B56B4">
                <w:pPr>
                  <w:tabs>
                    <w:tab w:val="left" w:pos="3122"/>
                    <w:tab w:val="right" w:pos="8838"/>
                  </w:tabs>
                  <w:ind w:left="-105" w:right="-105"/>
                  <w:rPr>
                    <w:rFonts w:eastAsia="Calibri" w:cs="Tahoma"/>
                    <w:szCs w:val="22"/>
                    <w:lang w:eastAsia="en-US"/>
                  </w:rPr>
                </w:pPr>
                <w:r>
                  <w:rPr>
                    <w:rFonts w:eastAsia="Calibri" w:cs="Tahoma"/>
                    <w:szCs w:val="22"/>
                    <w:lang w:eastAsia="en-US"/>
                  </w:rPr>
                  <w:t xml:space="preserve">XXXXXX </w:t>
                </w:r>
                <w:proofErr w:type="spellStart"/>
                <w:r>
                  <w:rPr>
                    <w:rFonts w:eastAsia="Calibri" w:cs="Tahoma"/>
                    <w:szCs w:val="22"/>
                    <w:lang w:eastAsia="en-US"/>
                  </w:rPr>
                  <w:t>XXXXXX</w:t>
                </w:r>
                <w:proofErr w:type="spellEnd"/>
                <w:r>
                  <w:rPr>
                    <w:rFonts w:eastAsia="Calibri" w:cs="Tahoma"/>
                    <w:szCs w:val="22"/>
                    <w:lang w:eastAsia="en-US"/>
                  </w:rPr>
                  <w:t xml:space="preserve"> XXXX</w:t>
                </w:r>
              </w:p>
            </w:tc>
            <w:tc>
              <w:tcPr>
                <w:tcW w:w="3402" w:type="dxa"/>
              </w:tcPr>
              <w:p w14:paraId="73F47F53" w14:textId="77777777" w:rsidR="00E9072D" w:rsidRPr="005F19B1" w:rsidRDefault="00E9072D" w:rsidP="004B56B4">
                <w:pPr>
                  <w:tabs>
                    <w:tab w:val="left" w:pos="3122"/>
                    <w:tab w:val="right" w:pos="8838"/>
                  </w:tabs>
                  <w:ind w:left="-105" w:right="-105"/>
                  <w:rPr>
                    <w:rFonts w:eastAsia="Calibri" w:cs="Tahoma"/>
                    <w:szCs w:val="22"/>
                    <w:lang w:eastAsia="en-US"/>
                  </w:rPr>
                </w:pPr>
              </w:p>
            </w:tc>
          </w:tr>
          <w:bookmarkEnd w:id="1"/>
          <w:tr w:rsidR="00E9072D" w:rsidRPr="00330DA7" w14:paraId="00E6CDC1" w14:textId="77777777" w:rsidTr="004B56B4">
            <w:trPr>
              <w:trHeight w:val="283"/>
            </w:trPr>
            <w:tc>
              <w:tcPr>
                <w:tcW w:w="2727" w:type="dxa"/>
              </w:tcPr>
              <w:p w14:paraId="0631AD24" w14:textId="77777777" w:rsidR="00E9072D" w:rsidRPr="00330DA7" w:rsidRDefault="00E9072D" w:rsidP="004B56B4">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6F28FC3E" w:rsidR="00E9072D" w:rsidRPr="00952DD0" w:rsidRDefault="00E9072D" w:rsidP="004B56B4">
                <w:pPr>
                  <w:tabs>
                    <w:tab w:val="left" w:pos="2834"/>
                    <w:tab w:val="right" w:pos="8838"/>
                  </w:tabs>
                  <w:ind w:left="-108" w:right="-105"/>
                  <w:rPr>
                    <w:rFonts w:eastAsia="Calibri" w:cs="Tahoma"/>
                    <w:szCs w:val="22"/>
                    <w:lang w:eastAsia="en-US"/>
                  </w:rPr>
                </w:pPr>
                <w:r w:rsidRPr="00883EE6">
                  <w:rPr>
                    <w:rFonts w:eastAsia="Calibri" w:cs="Tahoma"/>
                    <w:szCs w:val="22"/>
                    <w:lang w:eastAsia="en-US"/>
                  </w:rPr>
                  <w:t>Instituto Electoral del Estado de México</w:t>
                </w:r>
              </w:p>
            </w:tc>
            <w:tc>
              <w:tcPr>
                <w:tcW w:w="3402" w:type="dxa"/>
              </w:tcPr>
              <w:p w14:paraId="3A7DA319" w14:textId="77777777" w:rsidR="00E9072D" w:rsidRPr="00A90C72" w:rsidRDefault="00E9072D" w:rsidP="004B56B4">
                <w:pPr>
                  <w:tabs>
                    <w:tab w:val="left" w:pos="2834"/>
                    <w:tab w:val="right" w:pos="8838"/>
                  </w:tabs>
                  <w:ind w:left="-108" w:right="-105"/>
                  <w:rPr>
                    <w:rFonts w:eastAsia="Calibri" w:cs="Tahoma"/>
                    <w:szCs w:val="22"/>
                    <w:lang w:eastAsia="en-US"/>
                  </w:rPr>
                </w:pPr>
              </w:p>
            </w:tc>
          </w:tr>
          <w:tr w:rsidR="00E9072D" w:rsidRPr="00330DA7" w14:paraId="0F6CD8D2" w14:textId="77777777" w:rsidTr="004B56B4">
            <w:trPr>
              <w:trHeight w:val="283"/>
            </w:trPr>
            <w:tc>
              <w:tcPr>
                <w:tcW w:w="2727" w:type="dxa"/>
              </w:tcPr>
              <w:p w14:paraId="31700628" w14:textId="032DD90E" w:rsidR="00E9072D" w:rsidRPr="00330DA7" w:rsidRDefault="00E9072D" w:rsidP="004B56B4">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9072D" w:rsidRPr="00EA66FC" w:rsidRDefault="00E9072D" w:rsidP="004B56B4">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9072D" w:rsidRPr="00330DA7" w:rsidRDefault="00E9072D" w:rsidP="004B56B4">
                <w:pPr>
                  <w:tabs>
                    <w:tab w:val="right" w:pos="8838"/>
                  </w:tabs>
                  <w:ind w:left="-108" w:right="-105"/>
                  <w:rPr>
                    <w:rFonts w:eastAsia="Calibri" w:cs="Tahoma"/>
                    <w:szCs w:val="22"/>
                    <w:lang w:eastAsia="en-US"/>
                  </w:rPr>
                </w:pPr>
              </w:p>
            </w:tc>
          </w:tr>
        </w:tbl>
        <w:p w14:paraId="5DC6AC61" w14:textId="77777777" w:rsidR="00E9072D" w:rsidRPr="00330DA7" w:rsidRDefault="00E9072D" w:rsidP="004B56B4">
          <w:pPr>
            <w:tabs>
              <w:tab w:val="right" w:pos="8838"/>
            </w:tabs>
            <w:ind w:left="-28"/>
            <w:rPr>
              <w:rFonts w:ascii="Arial" w:eastAsia="Calibri" w:hAnsi="Arial" w:cs="Arial"/>
              <w:b/>
              <w:szCs w:val="22"/>
              <w:lang w:eastAsia="en-US"/>
            </w:rPr>
          </w:pPr>
        </w:p>
      </w:tc>
    </w:tr>
  </w:tbl>
  <w:p w14:paraId="2A906731" w14:textId="77777777" w:rsidR="00E9072D" w:rsidRPr="00765661" w:rsidRDefault="00803ED4"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69.65pt;margin-top:-137.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AB3"/>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D16A5"/>
    <w:multiLevelType w:val="hybridMultilevel"/>
    <w:tmpl w:val="C5CCDD2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2EC213B8"/>
    <w:multiLevelType w:val="hybridMultilevel"/>
    <w:tmpl w:val="3E0C9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476F59"/>
    <w:multiLevelType w:val="hybridMultilevel"/>
    <w:tmpl w:val="E61A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7E6581"/>
    <w:multiLevelType w:val="hybridMultilevel"/>
    <w:tmpl w:val="F19E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F35CD2"/>
    <w:multiLevelType w:val="hybridMultilevel"/>
    <w:tmpl w:val="65DAB94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15:restartNumberingAfterBreak="0">
    <w:nsid w:val="77C46985"/>
    <w:multiLevelType w:val="hybridMultilevel"/>
    <w:tmpl w:val="B6F66C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F02E06"/>
    <w:multiLevelType w:val="hybridMultilevel"/>
    <w:tmpl w:val="AEBE3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F2173D"/>
    <w:multiLevelType w:val="hybridMultilevel"/>
    <w:tmpl w:val="816ED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D927D3"/>
    <w:multiLevelType w:val="hybridMultilevel"/>
    <w:tmpl w:val="9B7A386C"/>
    <w:lvl w:ilvl="0" w:tplc="F25A0DAA">
      <w:start w:val="3"/>
      <w:numFmt w:val="bullet"/>
      <w:lvlText w:val="-"/>
      <w:lvlJc w:val="left"/>
      <w:pPr>
        <w:ind w:left="927" w:hanging="360"/>
      </w:pPr>
      <w:rPr>
        <w:rFonts w:ascii="Palatino Linotype" w:eastAsiaTheme="majorEastAsia" w:hAnsi="Palatino Linotype" w:cstheme="maj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7C44091E"/>
    <w:multiLevelType w:val="hybridMultilevel"/>
    <w:tmpl w:val="0BAADBD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11"/>
  </w:num>
  <w:num w:numId="3">
    <w:abstractNumId w:val="7"/>
  </w:num>
  <w:num w:numId="4">
    <w:abstractNumId w:val="9"/>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num>
  <w:num w:numId="11">
    <w:abstractNumId w:val="2"/>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3628"/>
    <w:rsid w:val="0000438F"/>
    <w:rsid w:val="0000629A"/>
    <w:rsid w:val="00007B0E"/>
    <w:rsid w:val="000128F2"/>
    <w:rsid w:val="00016E3B"/>
    <w:rsid w:val="000318BC"/>
    <w:rsid w:val="00036589"/>
    <w:rsid w:val="00041F5B"/>
    <w:rsid w:val="00044BDF"/>
    <w:rsid w:val="00057B2D"/>
    <w:rsid w:val="00073F86"/>
    <w:rsid w:val="000748DF"/>
    <w:rsid w:val="000753DC"/>
    <w:rsid w:val="00080071"/>
    <w:rsid w:val="000820ED"/>
    <w:rsid w:val="00082A7D"/>
    <w:rsid w:val="00086B1B"/>
    <w:rsid w:val="000925BE"/>
    <w:rsid w:val="000931F8"/>
    <w:rsid w:val="0009347C"/>
    <w:rsid w:val="000A57F7"/>
    <w:rsid w:val="000D0AED"/>
    <w:rsid w:val="000D0D67"/>
    <w:rsid w:val="000D13AD"/>
    <w:rsid w:val="000E09C4"/>
    <w:rsid w:val="000E5A90"/>
    <w:rsid w:val="000F64F9"/>
    <w:rsid w:val="00104035"/>
    <w:rsid w:val="0011350D"/>
    <w:rsid w:val="00113CFA"/>
    <w:rsid w:val="001174B9"/>
    <w:rsid w:val="00122332"/>
    <w:rsid w:val="00124714"/>
    <w:rsid w:val="001259D3"/>
    <w:rsid w:val="00126BAB"/>
    <w:rsid w:val="0013398A"/>
    <w:rsid w:val="00134ED3"/>
    <w:rsid w:val="00137938"/>
    <w:rsid w:val="00141876"/>
    <w:rsid w:val="0014207B"/>
    <w:rsid w:val="00150C49"/>
    <w:rsid w:val="001674E8"/>
    <w:rsid w:val="001A5691"/>
    <w:rsid w:val="001A58B3"/>
    <w:rsid w:val="001B5696"/>
    <w:rsid w:val="001C0D6C"/>
    <w:rsid w:val="001C1234"/>
    <w:rsid w:val="001C1AE4"/>
    <w:rsid w:val="001C4670"/>
    <w:rsid w:val="001C7688"/>
    <w:rsid w:val="001C7E98"/>
    <w:rsid w:val="001D0C50"/>
    <w:rsid w:val="001E797A"/>
    <w:rsid w:val="001F3515"/>
    <w:rsid w:val="0020698B"/>
    <w:rsid w:val="00207DEA"/>
    <w:rsid w:val="00212CEC"/>
    <w:rsid w:val="002163E8"/>
    <w:rsid w:val="00220D74"/>
    <w:rsid w:val="00224352"/>
    <w:rsid w:val="00225580"/>
    <w:rsid w:val="002268D4"/>
    <w:rsid w:val="00227FB3"/>
    <w:rsid w:val="00233005"/>
    <w:rsid w:val="00233F17"/>
    <w:rsid w:val="00241ACF"/>
    <w:rsid w:val="00242B28"/>
    <w:rsid w:val="002465C6"/>
    <w:rsid w:val="0024744C"/>
    <w:rsid w:val="002526F5"/>
    <w:rsid w:val="00253809"/>
    <w:rsid w:val="00253845"/>
    <w:rsid w:val="00255111"/>
    <w:rsid w:val="00267CB6"/>
    <w:rsid w:val="002807DD"/>
    <w:rsid w:val="00286F15"/>
    <w:rsid w:val="0029656A"/>
    <w:rsid w:val="002A3173"/>
    <w:rsid w:val="002A3601"/>
    <w:rsid w:val="002B1314"/>
    <w:rsid w:val="002B3577"/>
    <w:rsid w:val="002B6ADA"/>
    <w:rsid w:val="002B7591"/>
    <w:rsid w:val="002B7C6F"/>
    <w:rsid w:val="002B7CE9"/>
    <w:rsid w:val="002D111C"/>
    <w:rsid w:val="002E1276"/>
    <w:rsid w:val="002E2C99"/>
    <w:rsid w:val="002E6465"/>
    <w:rsid w:val="002E6DBB"/>
    <w:rsid w:val="002F1C00"/>
    <w:rsid w:val="002F28A3"/>
    <w:rsid w:val="002F4DBD"/>
    <w:rsid w:val="002F5D9F"/>
    <w:rsid w:val="00302476"/>
    <w:rsid w:val="00304D00"/>
    <w:rsid w:val="00315789"/>
    <w:rsid w:val="00316258"/>
    <w:rsid w:val="0032100B"/>
    <w:rsid w:val="00321E6F"/>
    <w:rsid w:val="00331F35"/>
    <w:rsid w:val="0033442A"/>
    <w:rsid w:val="0033585B"/>
    <w:rsid w:val="00335CDF"/>
    <w:rsid w:val="00336B4B"/>
    <w:rsid w:val="00342431"/>
    <w:rsid w:val="00362A11"/>
    <w:rsid w:val="0036348A"/>
    <w:rsid w:val="0038284C"/>
    <w:rsid w:val="003A16C4"/>
    <w:rsid w:val="003A36BE"/>
    <w:rsid w:val="003A40C1"/>
    <w:rsid w:val="003A552F"/>
    <w:rsid w:val="003A7ED3"/>
    <w:rsid w:val="003B5D3E"/>
    <w:rsid w:val="003B62E6"/>
    <w:rsid w:val="003B6A2B"/>
    <w:rsid w:val="003C1E36"/>
    <w:rsid w:val="003D37E4"/>
    <w:rsid w:val="003D5032"/>
    <w:rsid w:val="003D64D3"/>
    <w:rsid w:val="003D7747"/>
    <w:rsid w:val="003E45CF"/>
    <w:rsid w:val="003E6667"/>
    <w:rsid w:val="003F35FD"/>
    <w:rsid w:val="003F5E69"/>
    <w:rsid w:val="003F780F"/>
    <w:rsid w:val="004004E2"/>
    <w:rsid w:val="00406F5A"/>
    <w:rsid w:val="0041385B"/>
    <w:rsid w:val="0041709A"/>
    <w:rsid w:val="004252F1"/>
    <w:rsid w:val="00426E7F"/>
    <w:rsid w:val="004326C1"/>
    <w:rsid w:val="00435F18"/>
    <w:rsid w:val="00436A6C"/>
    <w:rsid w:val="00441BFA"/>
    <w:rsid w:val="004427CC"/>
    <w:rsid w:val="00442963"/>
    <w:rsid w:val="0044329E"/>
    <w:rsid w:val="00453B6D"/>
    <w:rsid w:val="00454FBD"/>
    <w:rsid w:val="00456D52"/>
    <w:rsid w:val="00464F6A"/>
    <w:rsid w:val="004650BE"/>
    <w:rsid w:val="00475583"/>
    <w:rsid w:val="00477D34"/>
    <w:rsid w:val="00497BFA"/>
    <w:rsid w:val="004A7CF3"/>
    <w:rsid w:val="004B05E0"/>
    <w:rsid w:val="004B56B4"/>
    <w:rsid w:val="004C1BD1"/>
    <w:rsid w:val="004C2719"/>
    <w:rsid w:val="004C629E"/>
    <w:rsid w:val="004D18AD"/>
    <w:rsid w:val="004D7988"/>
    <w:rsid w:val="004D7CD8"/>
    <w:rsid w:val="004E10F6"/>
    <w:rsid w:val="004E4B78"/>
    <w:rsid w:val="004E5068"/>
    <w:rsid w:val="004F245D"/>
    <w:rsid w:val="004F6E7A"/>
    <w:rsid w:val="004F7A00"/>
    <w:rsid w:val="0050792D"/>
    <w:rsid w:val="00513801"/>
    <w:rsid w:val="0052341D"/>
    <w:rsid w:val="00523F48"/>
    <w:rsid w:val="00524E6D"/>
    <w:rsid w:val="005300A7"/>
    <w:rsid w:val="005314A3"/>
    <w:rsid w:val="005365FA"/>
    <w:rsid w:val="00546D39"/>
    <w:rsid w:val="0055491A"/>
    <w:rsid w:val="00554934"/>
    <w:rsid w:val="00554BA9"/>
    <w:rsid w:val="00562CFB"/>
    <w:rsid w:val="00565088"/>
    <w:rsid w:val="005666D8"/>
    <w:rsid w:val="005723CB"/>
    <w:rsid w:val="00575400"/>
    <w:rsid w:val="005776E3"/>
    <w:rsid w:val="005856CA"/>
    <w:rsid w:val="00590892"/>
    <w:rsid w:val="0059268C"/>
    <w:rsid w:val="005928D2"/>
    <w:rsid w:val="005A2E48"/>
    <w:rsid w:val="005B18AF"/>
    <w:rsid w:val="005B2E16"/>
    <w:rsid w:val="005C5308"/>
    <w:rsid w:val="005D15C0"/>
    <w:rsid w:val="005D5A50"/>
    <w:rsid w:val="005D6E81"/>
    <w:rsid w:val="005E2369"/>
    <w:rsid w:val="005E7210"/>
    <w:rsid w:val="005F2743"/>
    <w:rsid w:val="005F5301"/>
    <w:rsid w:val="005F5C51"/>
    <w:rsid w:val="005F625C"/>
    <w:rsid w:val="005F65B7"/>
    <w:rsid w:val="006067C7"/>
    <w:rsid w:val="006153F0"/>
    <w:rsid w:val="006159AD"/>
    <w:rsid w:val="006200F0"/>
    <w:rsid w:val="00644A42"/>
    <w:rsid w:val="00646436"/>
    <w:rsid w:val="00646CA4"/>
    <w:rsid w:val="0065172E"/>
    <w:rsid w:val="00664420"/>
    <w:rsid w:val="006807C4"/>
    <w:rsid w:val="00682FB7"/>
    <w:rsid w:val="0068416B"/>
    <w:rsid w:val="00685CF1"/>
    <w:rsid w:val="00686088"/>
    <w:rsid w:val="006A28B4"/>
    <w:rsid w:val="006A61F1"/>
    <w:rsid w:val="006A646A"/>
    <w:rsid w:val="006B10B0"/>
    <w:rsid w:val="006B566A"/>
    <w:rsid w:val="006C3622"/>
    <w:rsid w:val="006D42B5"/>
    <w:rsid w:val="006E23FF"/>
    <w:rsid w:val="006E25BC"/>
    <w:rsid w:val="006E6BBC"/>
    <w:rsid w:val="006F64E7"/>
    <w:rsid w:val="006F7071"/>
    <w:rsid w:val="006F7768"/>
    <w:rsid w:val="00703BC7"/>
    <w:rsid w:val="00712200"/>
    <w:rsid w:val="00712C84"/>
    <w:rsid w:val="00717E59"/>
    <w:rsid w:val="00721C9E"/>
    <w:rsid w:val="0075086A"/>
    <w:rsid w:val="007559E5"/>
    <w:rsid w:val="00760756"/>
    <w:rsid w:val="0077382A"/>
    <w:rsid w:val="00773E03"/>
    <w:rsid w:val="00775BFC"/>
    <w:rsid w:val="007772B2"/>
    <w:rsid w:val="0078291B"/>
    <w:rsid w:val="00783C1E"/>
    <w:rsid w:val="00797492"/>
    <w:rsid w:val="007978D7"/>
    <w:rsid w:val="007A2722"/>
    <w:rsid w:val="007A2AD8"/>
    <w:rsid w:val="007A3459"/>
    <w:rsid w:val="007B034E"/>
    <w:rsid w:val="007B6074"/>
    <w:rsid w:val="007B6BCA"/>
    <w:rsid w:val="007B7451"/>
    <w:rsid w:val="007C17CC"/>
    <w:rsid w:val="007C1C17"/>
    <w:rsid w:val="007C6519"/>
    <w:rsid w:val="007D1C55"/>
    <w:rsid w:val="007D317F"/>
    <w:rsid w:val="007F107E"/>
    <w:rsid w:val="007F2531"/>
    <w:rsid w:val="007F3D60"/>
    <w:rsid w:val="007F5D06"/>
    <w:rsid w:val="007F5ECA"/>
    <w:rsid w:val="00803A08"/>
    <w:rsid w:val="00803ED4"/>
    <w:rsid w:val="00805A6E"/>
    <w:rsid w:val="00807778"/>
    <w:rsid w:val="008171C5"/>
    <w:rsid w:val="0082247D"/>
    <w:rsid w:val="00826371"/>
    <w:rsid w:val="00826A93"/>
    <w:rsid w:val="00826F0D"/>
    <w:rsid w:val="0083518A"/>
    <w:rsid w:val="008363CB"/>
    <w:rsid w:val="00837517"/>
    <w:rsid w:val="008436D6"/>
    <w:rsid w:val="00846C75"/>
    <w:rsid w:val="008629A5"/>
    <w:rsid w:val="00865CF4"/>
    <w:rsid w:val="008669DA"/>
    <w:rsid w:val="0087567C"/>
    <w:rsid w:val="00876DBC"/>
    <w:rsid w:val="00882862"/>
    <w:rsid w:val="00883EE6"/>
    <w:rsid w:val="00893BA2"/>
    <w:rsid w:val="00896AF7"/>
    <w:rsid w:val="008A09B9"/>
    <w:rsid w:val="008A6003"/>
    <w:rsid w:val="008A6AB7"/>
    <w:rsid w:val="008A6F88"/>
    <w:rsid w:val="008B1E16"/>
    <w:rsid w:val="008B62FA"/>
    <w:rsid w:val="008C6F23"/>
    <w:rsid w:val="008E1316"/>
    <w:rsid w:val="008E19A7"/>
    <w:rsid w:val="008F3837"/>
    <w:rsid w:val="008F6A6B"/>
    <w:rsid w:val="00905835"/>
    <w:rsid w:val="00910FD2"/>
    <w:rsid w:val="0091733B"/>
    <w:rsid w:val="00923307"/>
    <w:rsid w:val="00925968"/>
    <w:rsid w:val="00931437"/>
    <w:rsid w:val="009341D4"/>
    <w:rsid w:val="00934ECD"/>
    <w:rsid w:val="0094746E"/>
    <w:rsid w:val="00953430"/>
    <w:rsid w:val="00955DCC"/>
    <w:rsid w:val="00960996"/>
    <w:rsid w:val="00964368"/>
    <w:rsid w:val="0096663A"/>
    <w:rsid w:val="00970EB3"/>
    <w:rsid w:val="00975CA6"/>
    <w:rsid w:val="00977BCC"/>
    <w:rsid w:val="00983EEF"/>
    <w:rsid w:val="00991944"/>
    <w:rsid w:val="009A1803"/>
    <w:rsid w:val="009A2D78"/>
    <w:rsid w:val="009A7C10"/>
    <w:rsid w:val="009B2945"/>
    <w:rsid w:val="009B38F6"/>
    <w:rsid w:val="009C644C"/>
    <w:rsid w:val="009C7CDB"/>
    <w:rsid w:val="009D68EF"/>
    <w:rsid w:val="009D69F6"/>
    <w:rsid w:val="009E2DEE"/>
    <w:rsid w:val="009E57D9"/>
    <w:rsid w:val="009F357D"/>
    <w:rsid w:val="009F3862"/>
    <w:rsid w:val="009F797C"/>
    <w:rsid w:val="00A0449B"/>
    <w:rsid w:val="00A053F2"/>
    <w:rsid w:val="00A10E0E"/>
    <w:rsid w:val="00A131AC"/>
    <w:rsid w:val="00A16D85"/>
    <w:rsid w:val="00A21A20"/>
    <w:rsid w:val="00A24D6A"/>
    <w:rsid w:val="00A32CA5"/>
    <w:rsid w:val="00A33BDB"/>
    <w:rsid w:val="00A34721"/>
    <w:rsid w:val="00A3541D"/>
    <w:rsid w:val="00A36A99"/>
    <w:rsid w:val="00A42706"/>
    <w:rsid w:val="00A45D1C"/>
    <w:rsid w:val="00A53315"/>
    <w:rsid w:val="00A5371E"/>
    <w:rsid w:val="00A64191"/>
    <w:rsid w:val="00A70EF0"/>
    <w:rsid w:val="00A71845"/>
    <w:rsid w:val="00A72915"/>
    <w:rsid w:val="00A81896"/>
    <w:rsid w:val="00A81DC8"/>
    <w:rsid w:val="00A82F04"/>
    <w:rsid w:val="00A850A3"/>
    <w:rsid w:val="00A9208D"/>
    <w:rsid w:val="00A97CF8"/>
    <w:rsid w:val="00AA364B"/>
    <w:rsid w:val="00AA4FA7"/>
    <w:rsid w:val="00AA4FD9"/>
    <w:rsid w:val="00AA6EA9"/>
    <w:rsid w:val="00AB06E8"/>
    <w:rsid w:val="00AB1BE1"/>
    <w:rsid w:val="00AB497D"/>
    <w:rsid w:val="00AC2DB8"/>
    <w:rsid w:val="00AC3CA0"/>
    <w:rsid w:val="00AE0232"/>
    <w:rsid w:val="00AE3DA7"/>
    <w:rsid w:val="00AE6FFC"/>
    <w:rsid w:val="00AE7030"/>
    <w:rsid w:val="00AF03C4"/>
    <w:rsid w:val="00B03AB8"/>
    <w:rsid w:val="00B04380"/>
    <w:rsid w:val="00B047A8"/>
    <w:rsid w:val="00B05F2B"/>
    <w:rsid w:val="00B11947"/>
    <w:rsid w:val="00B22A80"/>
    <w:rsid w:val="00B23C0A"/>
    <w:rsid w:val="00B2431E"/>
    <w:rsid w:val="00B373F5"/>
    <w:rsid w:val="00B416E8"/>
    <w:rsid w:val="00B50E12"/>
    <w:rsid w:val="00B540DC"/>
    <w:rsid w:val="00B55F8F"/>
    <w:rsid w:val="00B562C2"/>
    <w:rsid w:val="00B60BFC"/>
    <w:rsid w:val="00B62F57"/>
    <w:rsid w:val="00B82086"/>
    <w:rsid w:val="00B83675"/>
    <w:rsid w:val="00B85498"/>
    <w:rsid w:val="00B96520"/>
    <w:rsid w:val="00B9680B"/>
    <w:rsid w:val="00B97A00"/>
    <w:rsid w:val="00BA0CF7"/>
    <w:rsid w:val="00BA55A8"/>
    <w:rsid w:val="00BB2ABF"/>
    <w:rsid w:val="00BB3CAA"/>
    <w:rsid w:val="00BB64F4"/>
    <w:rsid w:val="00BB7B48"/>
    <w:rsid w:val="00BC17A4"/>
    <w:rsid w:val="00BC23A8"/>
    <w:rsid w:val="00BC2617"/>
    <w:rsid w:val="00BC67B0"/>
    <w:rsid w:val="00BC7CDB"/>
    <w:rsid w:val="00BD0200"/>
    <w:rsid w:val="00BD3F4F"/>
    <w:rsid w:val="00BD5A7C"/>
    <w:rsid w:val="00BE413E"/>
    <w:rsid w:val="00BE5FAE"/>
    <w:rsid w:val="00BE7A1B"/>
    <w:rsid w:val="00BF0221"/>
    <w:rsid w:val="00BF091A"/>
    <w:rsid w:val="00BF4236"/>
    <w:rsid w:val="00BF47DD"/>
    <w:rsid w:val="00BF4EAD"/>
    <w:rsid w:val="00BF70F9"/>
    <w:rsid w:val="00C018EB"/>
    <w:rsid w:val="00C02B2B"/>
    <w:rsid w:val="00C02F8E"/>
    <w:rsid w:val="00C049E2"/>
    <w:rsid w:val="00C05AB7"/>
    <w:rsid w:val="00C1139E"/>
    <w:rsid w:val="00C2153E"/>
    <w:rsid w:val="00C219BE"/>
    <w:rsid w:val="00C22DCF"/>
    <w:rsid w:val="00C23074"/>
    <w:rsid w:val="00C36795"/>
    <w:rsid w:val="00C458D6"/>
    <w:rsid w:val="00C46120"/>
    <w:rsid w:val="00C461EC"/>
    <w:rsid w:val="00C507D4"/>
    <w:rsid w:val="00C5325A"/>
    <w:rsid w:val="00C67A70"/>
    <w:rsid w:val="00C70B3F"/>
    <w:rsid w:val="00C71CEF"/>
    <w:rsid w:val="00C72DAA"/>
    <w:rsid w:val="00C74A0B"/>
    <w:rsid w:val="00C75036"/>
    <w:rsid w:val="00C80B14"/>
    <w:rsid w:val="00C82CA9"/>
    <w:rsid w:val="00C83423"/>
    <w:rsid w:val="00CA3A28"/>
    <w:rsid w:val="00CB7E9A"/>
    <w:rsid w:val="00CC29E8"/>
    <w:rsid w:val="00CC783A"/>
    <w:rsid w:val="00CD0B92"/>
    <w:rsid w:val="00CD0CA2"/>
    <w:rsid w:val="00CD22FC"/>
    <w:rsid w:val="00CD3D41"/>
    <w:rsid w:val="00CD633E"/>
    <w:rsid w:val="00CE0F4F"/>
    <w:rsid w:val="00CE29D3"/>
    <w:rsid w:val="00CF014E"/>
    <w:rsid w:val="00CF2D8B"/>
    <w:rsid w:val="00CF3C01"/>
    <w:rsid w:val="00CF63D9"/>
    <w:rsid w:val="00CF7586"/>
    <w:rsid w:val="00D02CF1"/>
    <w:rsid w:val="00D036D3"/>
    <w:rsid w:val="00D06018"/>
    <w:rsid w:val="00D1261A"/>
    <w:rsid w:val="00D13782"/>
    <w:rsid w:val="00D13A56"/>
    <w:rsid w:val="00D201B7"/>
    <w:rsid w:val="00D20BD7"/>
    <w:rsid w:val="00D27906"/>
    <w:rsid w:val="00D2790D"/>
    <w:rsid w:val="00D318F7"/>
    <w:rsid w:val="00D51ECD"/>
    <w:rsid w:val="00D568DC"/>
    <w:rsid w:val="00D6170E"/>
    <w:rsid w:val="00D64B5C"/>
    <w:rsid w:val="00D713EE"/>
    <w:rsid w:val="00D75EE6"/>
    <w:rsid w:val="00D8666D"/>
    <w:rsid w:val="00D91CB4"/>
    <w:rsid w:val="00D94DDB"/>
    <w:rsid w:val="00DB024D"/>
    <w:rsid w:val="00DB1C09"/>
    <w:rsid w:val="00DB28CE"/>
    <w:rsid w:val="00DD43D8"/>
    <w:rsid w:val="00DD45ED"/>
    <w:rsid w:val="00DD4A70"/>
    <w:rsid w:val="00DE1133"/>
    <w:rsid w:val="00DE285A"/>
    <w:rsid w:val="00DE656C"/>
    <w:rsid w:val="00DF01A7"/>
    <w:rsid w:val="00DF039B"/>
    <w:rsid w:val="00DF60AF"/>
    <w:rsid w:val="00E16BF5"/>
    <w:rsid w:val="00E21C5F"/>
    <w:rsid w:val="00E236E1"/>
    <w:rsid w:val="00E325AD"/>
    <w:rsid w:val="00E33714"/>
    <w:rsid w:val="00E366B8"/>
    <w:rsid w:val="00E37A3F"/>
    <w:rsid w:val="00E37D3C"/>
    <w:rsid w:val="00E400A7"/>
    <w:rsid w:val="00E415FE"/>
    <w:rsid w:val="00E62E6A"/>
    <w:rsid w:val="00E727BA"/>
    <w:rsid w:val="00E810F7"/>
    <w:rsid w:val="00E83EF5"/>
    <w:rsid w:val="00E9072D"/>
    <w:rsid w:val="00E9137B"/>
    <w:rsid w:val="00E9335C"/>
    <w:rsid w:val="00EA2677"/>
    <w:rsid w:val="00EA5674"/>
    <w:rsid w:val="00EA5B2F"/>
    <w:rsid w:val="00EC7CC9"/>
    <w:rsid w:val="00EC7E8F"/>
    <w:rsid w:val="00ED1788"/>
    <w:rsid w:val="00ED1C1E"/>
    <w:rsid w:val="00ED7170"/>
    <w:rsid w:val="00EE1B1C"/>
    <w:rsid w:val="00EE2AF2"/>
    <w:rsid w:val="00EE4087"/>
    <w:rsid w:val="00EE44F7"/>
    <w:rsid w:val="00EE69EA"/>
    <w:rsid w:val="00EE6BC3"/>
    <w:rsid w:val="00EE78BF"/>
    <w:rsid w:val="00EF1CA6"/>
    <w:rsid w:val="00EF70F1"/>
    <w:rsid w:val="00F05B15"/>
    <w:rsid w:val="00F0679F"/>
    <w:rsid w:val="00F07EE6"/>
    <w:rsid w:val="00F23BD7"/>
    <w:rsid w:val="00F27EB1"/>
    <w:rsid w:val="00F33CC8"/>
    <w:rsid w:val="00F34811"/>
    <w:rsid w:val="00F37AB2"/>
    <w:rsid w:val="00F4124A"/>
    <w:rsid w:val="00F41723"/>
    <w:rsid w:val="00F4481C"/>
    <w:rsid w:val="00F44DE5"/>
    <w:rsid w:val="00F46F46"/>
    <w:rsid w:val="00F52339"/>
    <w:rsid w:val="00F5289C"/>
    <w:rsid w:val="00F53E56"/>
    <w:rsid w:val="00F560A8"/>
    <w:rsid w:val="00F57C01"/>
    <w:rsid w:val="00F616E2"/>
    <w:rsid w:val="00F617C4"/>
    <w:rsid w:val="00F75D23"/>
    <w:rsid w:val="00F77407"/>
    <w:rsid w:val="00FA10C0"/>
    <w:rsid w:val="00FA5957"/>
    <w:rsid w:val="00FA7155"/>
    <w:rsid w:val="00FB1AF5"/>
    <w:rsid w:val="00FB1C2A"/>
    <w:rsid w:val="00FB380E"/>
    <w:rsid w:val="00FB5587"/>
    <w:rsid w:val="00FC1EAB"/>
    <w:rsid w:val="00FC3131"/>
    <w:rsid w:val="00FC3CE0"/>
    <w:rsid w:val="00FC406D"/>
    <w:rsid w:val="00FC7519"/>
    <w:rsid w:val="00FD06A8"/>
    <w:rsid w:val="00FE23C1"/>
    <w:rsid w:val="00FE4F1F"/>
    <w:rsid w:val="00FF1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paragraph" w:customStyle="1" w:styleId="Fundamentos">
    <w:name w:val="Fundamentos"/>
    <w:basedOn w:val="Normal"/>
    <w:qFormat/>
    <w:rsid w:val="00E9072D"/>
    <w:pPr>
      <w:pBdr>
        <w:top w:val="nil"/>
        <w:left w:val="nil"/>
        <w:bottom w:val="nil"/>
        <w:right w:val="nil"/>
        <w:between w:val="nil"/>
      </w:pBdr>
      <w:spacing w:line="240" w:lineRule="auto"/>
      <w:ind w:left="567" w:right="567"/>
      <w:contextualSpacing/>
    </w:pPr>
    <w:rPr>
      <w:rFonts w:eastAsia="Palatino Linotype" w:cs="Palatino Linotype"/>
      <w:i/>
      <w:color w:val="000000"/>
      <w:szCs w:val="24"/>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36164367">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17905411">
      <w:bodyDiv w:val="1"/>
      <w:marLeft w:val="0"/>
      <w:marRight w:val="0"/>
      <w:marTop w:val="0"/>
      <w:marBottom w:val="0"/>
      <w:divBdr>
        <w:top w:val="none" w:sz="0" w:space="0" w:color="auto"/>
        <w:left w:val="none" w:sz="0" w:space="0" w:color="auto"/>
        <w:bottom w:val="none" w:sz="0" w:space="0" w:color="auto"/>
        <w:right w:val="none" w:sz="0" w:space="0" w:color="auto"/>
      </w:divBdr>
    </w:div>
    <w:div w:id="954677818">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511870274">
      <w:bodyDiv w:val="1"/>
      <w:marLeft w:val="0"/>
      <w:marRight w:val="0"/>
      <w:marTop w:val="0"/>
      <w:marBottom w:val="0"/>
      <w:divBdr>
        <w:top w:val="none" w:sz="0" w:space="0" w:color="auto"/>
        <w:left w:val="none" w:sz="0" w:space="0" w:color="auto"/>
        <w:bottom w:val="none" w:sz="0" w:space="0" w:color="auto"/>
        <w:right w:val="none" w:sz="0" w:space="0" w:color="auto"/>
      </w:divBdr>
    </w:div>
    <w:div w:id="1611424998">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8729979">
      <w:bodyDiv w:val="1"/>
      <w:marLeft w:val="0"/>
      <w:marRight w:val="0"/>
      <w:marTop w:val="0"/>
      <w:marBottom w:val="0"/>
      <w:divBdr>
        <w:top w:val="none" w:sz="0" w:space="0" w:color="auto"/>
        <w:left w:val="none" w:sz="0" w:space="0" w:color="auto"/>
        <w:bottom w:val="none" w:sz="0" w:space="0" w:color="auto"/>
        <w:right w:val="none" w:sz="0" w:space="0" w:color="auto"/>
      </w:divBdr>
      <w:divsChild>
        <w:div w:id="2025932506">
          <w:marLeft w:val="0"/>
          <w:marRight w:val="0"/>
          <w:marTop w:val="0"/>
          <w:marBottom w:val="0"/>
          <w:divBdr>
            <w:top w:val="none" w:sz="0" w:space="0" w:color="auto"/>
            <w:left w:val="none" w:sz="0" w:space="0" w:color="auto"/>
            <w:bottom w:val="none" w:sz="0" w:space="0" w:color="auto"/>
            <w:right w:val="none" w:sz="0" w:space="0" w:color="auto"/>
          </w:divBdr>
        </w:div>
      </w:divsChild>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65689797">
      <w:bodyDiv w:val="1"/>
      <w:marLeft w:val="0"/>
      <w:marRight w:val="0"/>
      <w:marTop w:val="0"/>
      <w:marBottom w:val="0"/>
      <w:divBdr>
        <w:top w:val="none" w:sz="0" w:space="0" w:color="auto"/>
        <w:left w:val="none" w:sz="0" w:space="0" w:color="auto"/>
        <w:bottom w:val="none" w:sz="0" w:space="0" w:color="auto"/>
        <w:right w:val="none" w:sz="0" w:space="0" w:color="auto"/>
      </w:divBdr>
      <w:divsChild>
        <w:div w:id="1388871498">
          <w:marLeft w:val="0"/>
          <w:marRight w:val="0"/>
          <w:marTop w:val="0"/>
          <w:marBottom w:val="0"/>
          <w:divBdr>
            <w:top w:val="none" w:sz="0" w:space="0" w:color="auto"/>
            <w:left w:val="none" w:sz="0" w:space="0" w:color="auto"/>
            <w:bottom w:val="none" w:sz="0" w:space="0" w:color="auto"/>
            <w:right w:val="none" w:sz="0" w:space="0" w:color="auto"/>
          </w:divBdr>
        </w:div>
      </w:divsChild>
    </w:div>
    <w:div w:id="1784184469">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34706317">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BE9962A-4E44-2C43-94BB-2D4324B2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6820</Words>
  <Characters>37516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5</cp:revision>
  <cp:lastPrinted>2024-10-18T16:13:00Z</cp:lastPrinted>
  <dcterms:created xsi:type="dcterms:W3CDTF">2024-10-16T20:25:00Z</dcterms:created>
  <dcterms:modified xsi:type="dcterms:W3CDTF">2024-10-24T14:23:00Z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