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E33B" w14:textId="77777777" w:rsidR="0032289E" w:rsidRPr="00A065D6" w:rsidRDefault="0032289E" w:rsidP="0032289E">
      <w:pPr>
        <w:spacing w:line="360" w:lineRule="auto"/>
        <w:jc w:val="both"/>
        <w:rPr>
          <w:rFonts w:ascii="Palatino Linotype" w:eastAsiaTheme="minorEastAsia" w:hAnsi="Palatino Linotype"/>
          <w:sz w:val="22"/>
          <w:szCs w:val="22"/>
          <w:lang w:val="es-ES_tradnl" w:eastAsia="es-ES"/>
        </w:rPr>
      </w:pPr>
      <w:r w:rsidRPr="00A065D6">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w:t>
      </w:r>
      <w:r w:rsidR="00814942">
        <w:rPr>
          <w:rFonts w:ascii="Palatino Linotype" w:eastAsiaTheme="minorEastAsia" w:hAnsi="Palatino Linotype"/>
          <w:sz w:val="22"/>
          <w:szCs w:val="22"/>
          <w:lang w:val="es-ES_tradnl" w:eastAsia="es-ES"/>
        </w:rPr>
        <w:t>n Metepec, Estado de México; de</w:t>
      </w:r>
      <w:r w:rsidRPr="00A065D6">
        <w:rPr>
          <w:rFonts w:ascii="Palatino Linotype" w:eastAsiaTheme="minorEastAsia" w:hAnsi="Palatino Linotype"/>
          <w:sz w:val="22"/>
          <w:szCs w:val="22"/>
          <w:lang w:val="es-ES_tradnl" w:eastAsia="es-ES"/>
        </w:rPr>
        <w:t xml:space="preserve"> dieciséis (16) de octubre de dos mil veinticuatro. </w:t>
      </w:r>
    </w:p>
    <w:p w14:paraId="6F3F445E" w14:textId="77777777" w:rsidR="0032289E" w:rsidRPr="00A065D6" w:rsidRDefault="0032289E" w:rsidP="0032289E">
      <w:pPr>
        <w:spacing w:line="360" w:lineRule="auto"/>
        <w:jc w:val="both"/>
        <w:rPr>
          <w:rFonts w:ascii="Palatino Linotype" w:eastAsiaTheme="minorEastAsia" w:hAnsi="Palatino Linotype"/>
          <w:sz w:val="22"/>
          <w:szCs w:val="22"/>
          <w:lang w:val="es-ES_tradnl" w:eastAsia="es-ES"/>
        </w:rPr>
      </w:pPr>
    </w:p>
    <w:p w14:paraId="692EC6C1" w14:textId="0E7422E6" w:rsidR="0032289E" w:rsidRPr="00A065D6" w:rsidRDefault="0032289E" w:rsidP="0032289E">
      <w:pPr>
        <w:spacing w:line="360" w:lineRule="auto"/>
        <w:jc w:val="both"/>
        <w:rPr>
          <w:rFonts w:ascii="Palatino Linotype" w:hAnsi="Palatino Linotype"/>
          <w:sz w:val="22"/>
          <w:szCs w:val="22"/>
        </w:rPr>
      </w:pPr>
      <w:r w:rsidRPr="00A065D6">
        <w:rPr>
          <w:rFonts w:ascii="Palatino Linotype" w:hAnsi="Palatino Linotype"/>
          <w:b/>
          <w:sz w:val="22"/>
          <w:szCs w:val="22"/>
        </w:rPr>
        <w:t>VISTO</w:t>
      </w:r>
      <w:r w:rsidRPr="00A065D6">
        <w:rPr>
          <w:rFonts w:ascii="Palatino Linotype" w:hAnsi="Palatino Linotype"/>
          <w:sz w:val="22"/>
          <w:szCs w:val="22"/>
        </w:rPr>
        <w:t xml:space="preserve"> el expediente electrónico formado con motivo del recurso de revisión </w:t>
      </w:r>
      <w:r w:rsidRPr="00A065D6">
        <w:rPr>
          <w:rFonts w:ascii="Palatino Linotype" w:hAnsi="Palatino Linotype"/>
          <w:b/>
          <w:sz w:val="22"/>
          <w:szCs w:val="22"/>
        </w:rPr>
        <w:t>01438/INFOEM/IP/RR/2024,</w:t>
      </w:r>
      <w:r w:rsidRPr="00A065D6">
        <w:rPr>
          <w:rFonts w:ascii="Palatino Linotype" w:hAnsi="Palatino Linotype" w:cs="Arial"/>
          <w:b/>
          <w:bCs/>
          <w:sz w:val="22"/>
          <w:szCs w:val="22"/>
        </w:rPr>
        <w:t xml:space="preserve"> </w:t>
      </w:r>
      <w:r w:rsidRPr="00A065D6">
        <w:rPr>
          <w:rFonts w:ascii="Palatino Linotype" w:eastAsiaTheme="minorEastAsia" w:hAnsi="Palatino Linotype"/>
          <w:sz w:val="22"/>
          <w:szCs w:val="22"/>
          <w:lang w:val="es-ES_tradnl" w:eastAsia="es-ES"/>
        </w:rPr>
        <w:t xml:space="preserve">promovido </w:t>
      </w:r>
      <w:r w:rsidR="00434C59">
        <w:rPr>
          <w:rFonts w:ascii="Palatino Linotype" w:eastAsiaTheme="minorEastAsia" w:hAnsi="Palatino Linotype"/>
          <w:b/>
          <w:bCs/>
          <w:sz w:val="22"/>
          <w:szCs w:val="22"/>
          <w:lang w:eastAsia="es-ES"/>
        </w:rPr>
        <w:t xml:space="preserve">XXX </w:t>
      </w:r>
      <w:proofErr w:type="spellStart"/>
      <w:r w:rsidR="00434C59">
        <w:rPr>
          <w:rFonts w:ascii="Palatino Linotype" w:eastAsiaTheme="minorEastAsia" w:hAnsi="Palatino Linotype"/>
          <w:b/>
          <w:bCs/>
          <w:sz w:val="22"/>
          <w:szCs w:val="22"/>
          <w:lang w:eastAsia="es-ES"/>
        </w:rPr>
        <w:t>XXX</w:t>
      </w:r>
      <w:proofErr w:type="spellEnd"/>
      <w:r w:rsidRPr="00A065D6">
        <w:rPr>
          <w:rFonts w:ascii="Palatino Linotype" w:eastAsiaTheme="minorEastAsia" w:hAnsi="Palatino Linotype"/>
          <w:b/>
          <w:sz w:val="22"/>
          <w:szCs w:val="22"/>
          <w:lang w:val="es-ES_tradnl" w:eastAsia="es-ES"/>
        </w:rPr>
        <w:t>,</w:t>
      </w:r>
      <w:r w:rsidRPr="00A065D6">
        <w:rPr>
          <w:rFonts w:ascii="Palatino Linotype" w:hAnsi="Palatino Linotype"/>
          <w:sz w:val="22"/>
          <w:szCs w:val="22"/>
        </w:rPr>
        <w:t xml:space="preserve"> quien en lo sucesivo se identificará como </w:t>
      </w:r>
      <w:r w:rsidRPr="00A065D6">
        <w:rPr>
          <w:rFonts w:ascii="Palatino Linotype" w:hAnsi="Palatino Linotype"/>
          <w:b/>
          <w:sz w:val="22"/>
          <w:szCs w:val="22"/>
        </w:rPr>
        <w:t xml:space="preserve">EL </w:t>
      </w:r>
      <w:r w:rsidRPr="00A065D6">
        <w:rPr>
          <w:rFonts w:ascii="Palatino Linotype" w:hAnsi="Palatino Linotype" w:cs="Arial"/>
          <w:b/>
          <w:sz w:val="22"/>
          <w:szCs w:val="22"/>
        </w:rPr>
        <w:t>RECURRENTE</w:t>
      </w:r>
      <w:r w:rsidRPr="00A065D6">
        <w:rPr>
          <w:rFonts w:ascii="Palatino Linotype" w:hAnsi="Palatino Linotype" w:cs="Arial"/>
          <w:sz w:val="22"/>
          <w:szCs w:val="22"/>
        </w:rPr>
        <w:t xml:space="preserve">, en contra de la respuesta del </w:t>
      </w:r>
      <w:r w:rsidRPr="00A065D6">
        <w:rPr>
          <w:rFonts w:ascii="Palatino Linotype" w:hAnsi="Palatino Linotype" w:cs="Arial"/>
          <w:b/>
          <w:bCs/>
          <w:sz w:val="22"/>
          <w:szCs w:val="22"/>
        </w:rPr>
        <w:t>Ayuntamiento de Coacalco de Berriozábal</w:t>
      </w:r>
      <w:r w:rsidRPr="00A065D6">
        <w:rPr>
          <w:rFonts w:ascii="Palatino Linotype" w:hAnsi="Palatino Linotype" w:cs="Arial"/>
          <w:b/>
          <w:sz w:val="22"/>
          <w:szCs w:val="22"/>
        </w:rPr>
        <w:t>,</w:t>
      </w:r>
      <w:r w:rsidRPr="00A065D6">
        <w:rPr>
          <w:rFonts w:ascii="Palatino Linotype" w:hAnsi="Palatino Linotype"/>
          <w:b/>
          <w:sz w:val="22"/>
          <w:szCs w:val="22"/>
        </w:rPr>
        <w:t xml:space="preserve"> </w:t>
      </w:r>
      <w:r w:rsidRPr="00A065D6">
        <w:rPr>
          <w:rFonts w:ascii="Palatino Linotype" w:hAnsi="Palatino Linotype"/>
          <w:sz w:val="22"/>
          <w:szCs w:val="22"/>
        </w:rPr>
        <w:t>en lo sucesivo el</w:t>
      </w:r>
      <w:r w:rsidRPr="00A065D6">
        <w:rPr>
          <w:rFonts w:ascii="Palatino Linotype" w:hAnsi="Palatino Linotype"/>
          <w:b/>
          <w:sz w:val="22"/>
          <w:szCs w:val="22"/>
        </w:rPr>
        <w:t xml:space="preserve"> SUJETO OBLIGADO</w:t>
      </w:r>
      <w:r w:rsidRPr="00A065D6">
        <w:rPr>
          <w:rFonts w:ascii="Palatino Linotype" w:hAnsi="Palatino Linotype"/>
          <w:sz w:val="22"/>
          <w:szCs w:val="22"/>
        </w:rPr>
        <w:t>, por lo que se procede a dictar la presente resolución, con base en los siguientes:</w:t>
      </w:r>
    </w:p>
    <w:p w14:paraId="428BB6A6" w14:textId="77777777" w:rsidR="0032289E" w:rsidRPr="00A065D6" w:rsidRDefault="0032289E" w:rsidP="0032289E">
      <w:pPr>
        <w:spacing w:line="360" w:lineRule="auto"/>
        <w:jc w:val="both"/>
        <w:rPr>
          <w:rFonts w:ascii="Palatino Linotype" w:hAnsi="Palatino Linotype"/>
          <w:b/>
          <w:sz w:val="22"/>
          <w:szCs w:val="22"/>
        </w:rPr>
      </w:pPr>
    </w:p>
    <w:p w14:paraId="04EAE4A9" w14:textId="77777777" w:rsidR="0032289E" w:rsidRPr="00A065D6" w:rsidRDefault="0032289E" w:rsidP="0032289E">
      <w:pPr>
        <w:keepNext/>
        <w:keepLines/>
        <w:spacing w:line="360" w:lineRule="auto"/>
        <w:jc w:val="center"/>
        <w:outlineLvl w:val="0"/>
        <w:rPr>
          <w:rFonts w:ascii="Palatino Linotype" w:eastAsiaTheme="majorEastAsia" w:hAnsi="Palatino Linotype" w:cstheme="majorBidi"/>
          <w:b/>
          <w:sz w:val="22"/>
          <w:szCs w:val="22"/>
        </w:rPr>
      </w:pPr>
      <w:bookmarkStart w:id="0" w:name="_Toc66992241"/>
      <w:r w:rsidRPr="00A065D6">
        <w:rPr>
          <w:rFonts w:ascii="Palatino Linotype" w:eastAsiaTheme="majorEastAsia" w:hAnsi="Palatino Linotype" w:cstheme="majorBidi"/>
          <w:b/>
          <w:sz w:val="22"/>
          <w:szCs w:val="22"/>
        </w:rPr>
        <w:t>ANTECEDENTES</w:t>
      </w:r>
      <w:bookmarkEnd w:id="0"/>
    </w:p>
    <w:p w14:paraId="4252DF84" w14:textId="77777777" w:rsidR="0032289E" w:rsidRPr="00A065D6" w:rsidRDefault="0032289E" w:rsidP="0032289E">
      <w:pPr>
        <w:spacing w:line="360" w:lineRule="auto"/>
        <w:rPr>
          <w:rFonts w:ascii="Palatino Linotype" w:eastAsiaTheme="minorEastAsia" w:hAnsi="Palatino Linotype"/>
          <w:sz w:val="22"/>
          <w:szCs w:val="22"/>
        </w:rPr>
      </w:pPr>
    </w:p>
    <w:p w14:paraId="0055A6AB"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eastAsia="Calibri" w:hAnsi="Palatino Linotype" w:cs="Arial"/>
          <w:szCs w:val="22"/>
          <w:lang w:val="es-ES" w:eastAsia="es-ES"/>
        </w:rPr>
        <w:t>El veintitrés (23) de enero de dos mil veinticuatro,</w:t>
      </w:r>
      <w:r w:rsidRPr="00A065D6">
        <w:rPr>
          <w:rFonts w:ascii="Palatino Linotype" w:eastAsia="Calibri" w:hAnsi="Palatino Linotype"/>
          <w:szCs w:val="22"/>
          <w:lang w:val="es-ES" w:eastAsia="es-ES"/>
        </w:rPr>
        <w:t xml:space="preserve"> </w:t>
      </w:r>
      <w:r w:rsidRPr="00A065D6">
        <w:rPr>
          <w:rFonts w:ascii="Palatino Linotype" w:eastAsia="Calibri" w:hAnsi="Palatino Linotype"/>
          <w:b/>
          <w:szCs w:val="22"/>
          <w:lang w:val="es-ES" w:eastAsia="es-ES"/>
        </w:rPr>
        <w:t>EL RECURRENTE</w:t>
      </w:r>
      <w:r w:rsidRPr="00A065D6">
        <w:rPr>
          <w:rFonts w:ascii="Palatino Linotype" w:eastAsiaTheme="minorEastAsia" w:hAnsi="Palatino Linotype"/>
          <w:b/>
          <w:szCs w:val="22"/>
          <w:lang w:val="es-ES_tradnl" w:eastAsia="es-ES"/>
        </w:rPr>
        <w:t>,</w:t>
      </w:r>
      <w:r w:rsidRPr="00A065D6">
        <w:rPr>
          <w:rFonts w:ascii="Palatino Linotype" w:eastAsia="Calibri" w:hAnsi="Palatino Linotype" w:cs="Arial"/>
          <w:szCs w:val="22"/>
          <w:lang w:val="es-ES" w:eastAsia="es-ES"/>
        </w:rPr>
        <w:t xml:space="preserve"> ante el </w:t>
      </w:r>
      <w:r w:rsidRPr="00A065D6">
        <w:rPr>
          <w:rFonts w:ascii="Palatino Linotype" w:eastAsia="Calibri" w:hAnsi="Palatino Linotype" w:cs="Arial"/>
          <w:b/>
          <w:szCs w:val="22"/>
          <w:lang w:val="es-ES" w:eastAsia="es-ES"/>
        </w:rPr>
        <w:t>SUJETO OBLIGADO</w:t>
      </w:r>
      <w:r w:rsidRPr="00A065D6">
        <w:rPr>
          <w:rFonts w:ascii="Palatino Linotype" w:eastAsia="Calibri" w:hAnsi="Palatino Linotype" w:cs="Arial"/>
          <w:szCs w:val="22"/>
          <w:lang w:val="es-ES_tradnl" w:eastAsia="es-ES"/>
        </w:rPr>
        <w:t xml:space="preserve"> a través del Sistema de Acceso a la Información Mexiquense (SAIMEX)</w:t>
      </w:r>
      <w:r w:rsidRPr="00A065D6">
        <w:rPr>
          <w:rFonts w:ascii="Palatino Linotype" w:eastAsia="Calibri" w:hAnsi="Palatino Linotype" w:cs="Arial"/>
          <w:szCs w:val="22"/>
          <w:lang w:val="es-ES" w:eastAsia="es-ES"/>
        </w:rPr>
        <w:t xml:space="preserve">, presentó una solicitud de información registrada con el número </w:t>
      </w:r>
      <w:r w:rsidRPr="00A065D6">
        <w:rPr>
          <w:rFonts w:ascii="Palatino Linotype" w:hAnsi="Palatino Linotype"/>
          <w:b/>
          <w:bCs/>
          <w:szCs w:val="22"/>
        </w:rPr>
        <w:t> 00010/COACALCO/IP/2024</w:t>
      </w:r>
      <w:r w:rsidRPr="00A065D6">
        <w:rPr>
          <w:rFonts w:ascii="Palatino Linotype" w:eastAsiaTheme="minorEastAsia" w:hAnsi="Palatino Linotype"/>
          <w:b/>
          <w:szCs w:val="22"/>
          <w:lang w:val="es-ES_tradnl" w:eastAsia="es-ES"/>
        </w:rPr>
        <w:t xml:space="preserve">, </w:t>
      </w:r>
      <w:r w:rsidRPr="00A065D6">
        <w:rPr>
          <w:rFonts w:ascii="Palatino Linotype" w:eastAsia="Calibri" w:hAnsi="Palatino Linotype" w:cs="Arial"/>
          <w:szCs w:val="22"/>
          <w:lang w:val="es-ES" w:eastAsia="es-ES"/>
        </w:rPr>
        <w:t>mediante la cual solicitó lo siguiente:</w:t>
      </w:r>
    </w:p>
    <w:p w14:paraId="70E7AE2F"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03122688" w14:textId="77777777" w:rsidR="0032289E" w:rsidRPr="00A065D6" w:rsidRDefault="0032289E" w:rsidP="0032289E">
      <w:pPr>
        <w:pStyle w:val="Prrafodelista"/>
        <w:spacing w:line="360" w:lineRule="auto"/>
        <w:ind w:right="567"/>
        <w:jc w:val="both"/>
        <w:rPr>
          <w:rFonts w:ascii="Palatino Linotype" w:hAnsi="Palatino Linotype"/>
          <w:i/>
          <w:color w:val="000000"/>
          <w:szCs w:val="22"/>
        </w:rPr>
      </w:pPr>
      <w:r w:rsidRPr="00A065D6">
        <w:rPr>
          <w:rFonts w:ascii="Palatino Linotype" w:hAnsi="Palatino Linotype"/>
          <w:i/>
          <w:color w:val="000000"/>
          <w:szCs w:val="22"/>
        </w:rPr>
        <w:t xml:space="preserve">“¿Cuantas motocicletas tienen arrendadas para el área de la comisaria de seguridad pública y tránsito municipal? Contrato de arrendamiento de las motocicletas asignadas a la comisaria de seguridad pública y tránsito municipal Contrato de servicio de mantenimiento para las motocicletas asignadas a la comisaria de seguridad pública y tránsito municipal” (Sic) </w:t>
      </w:r>
    </w:p>
    <w:p w14:paraId="6A5CEF05"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0A4A74D4"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hAnsi="Palatino Linotype" w:cs="Arial"/>
          <w:szCs w:val="22"/>
          <w:lang w:val="es-ES" w:eastAsia="es-ES"/>
        </w:rPr>
        <w:t>Se señaló como modalidad de entrega a través de SAIMEX.</w:t>
      </w:r>
    </w:p>
    <w:p w14:paraId="6570A39C"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hAnsi="Palatino Linotype" w:cs="Arial"/>
          <w:szCs w:val="22"/>
          <w:lang w:val="es-ES" w:eastAsia="es-ES"/>
        </w:rPr>
        <w:t xml:space="preserve">El veinticuatro (24) de enero de dos mil veinticuatro, se realizó un requerimiento al servidor público habilitado. </w:t>
      </w:r>
    </w:p>
    <w:p w14:paraId="2D417329"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42EBBD6B"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hAnsi="Palatino Linotype" w:cs="Arial"/>
          <w:szCs w:val="22"/>
          <w:lang w:val="es-ES" w:eastAsia="es-ES"/>
        </w:rPr>
        <w:lastRenderedPageBreak/>
        <w:t>El catorce (14) de febrero de dos mil veinticuatro, se notificó una prórroga para emitir resolución en el siguiente sentido:</w:t>
      </w:r>
    </w:p>
    <w:p w14:paraId="68CE7D52" w14:textId="77777777" w:rsidR="0032289E" w:rsidRPr="00A065D6" w:rsidRDefault="0032289E" w:rsidP="0032289E">
      <w:pPr>
        <w:pStyle w:val="Prrafodelista"/>
        <w:rPr>
          <w:rFonts w:ascii="Palatino Linotype" w:hAnsi="Palatino Linotype" w:cs="Arial"/>
          <w:szCs w:val="22"/>
          <w:lang w:val="es-ES" w:eastAsia="es-ES"/>
        </w:rPr>
      </w:pPr>
    </w:p>
    <w:tbl>
      <w:tblPr>
        <w:tblW w:w="7901" w:type="dxa"/>
        <w:jc w:val="center"/>
        <w:tblCellSpacing w:w="0" w:type="dxa"/>
        <w:tblCellMar>
          <w:left w:w="0" w:type="dxa"/>
          <w:right w:w="0" w:type="dxa"/>
        </w:tblCellMar>
        <w:tblLook w:val="04A0" w:firstRow="1" w:lastRow="0" w:firstColumn="1" w:lastColumn="0" w:noHBand="0" w:noVBand="1"/>
      </w:tblPr>
      <w:tblGrid>
        <w:gridCol w:w="7901"/>
      </w:tblGrid>
      <w:tr w:rsidR="0032289E" w:rsidRPr="00A065D6" w14:paraId="332031C4" w14:textId="77777777" w:rsidTr="0032289E">
        <w:trPr>
          <w:trHeight w:val="308"/>
          <w:tblCellSpacing w:w="0" w:type="dxa"/>
          <w:jc w:val="center"/>
        </w:trPr>
        <w:tc>
          <w:tcPr>
            <w:tcW w:w="0" w:type="auto"/>
            <w:vAlign w:val="center"/>
            <w:hideMark/>
          </w:tcPr>
          <w:p w14:paraId="54AAAF9E" w14:textId="77777777" w:rsidR="0032289E" w:rsidRPr="00A065D6" w:rsidRDefault="0032289E" w:rsidP="0032289E">
            <w:pPr>
              <w:jc w:val="right"/>
              <w:rPr>
                <w:rFonts w:ascii="Palatino Linotype" w:hAnsi="Palatino Linotype"/>
                <w:i/>
                <w:sz w:val="22"/>
                <w:szCs w:val="22"/>
              </w:rPr>
            </w:pPr>
            <w:r w:rsidRPr="00A065D6">
              <w:rPr>
                <w:rFonts w:ascii="Palatino Linotype" w:hAnsi="Palatino Linotype"/>
                <w:i/>
                <w:sz w:val="22"/>
                <w:szCs w:val="22"/>
              </w:rPr>
              <w:t>“Coacalco de Berriozábal, México a 14 de Febrero de 2024</w:t>
            </w:r>
          </w:p>
        </w:tc>
      </w:tr>
      <w:tr w:rsidR="0032289E" w:rsidRPr="00A065D6" w14:paraId="34491170" w14:textId="77777777" w:rsidTr="0032289E">
        <w:trPr>
          <w:trHeight w:val="308"/>
          <w:tblCellSpacing w:w="0" w:type="dxa"/>
          <w:jc w:val="center"/>
        </w:trPr>
        <w:tc>
          <w:tcPr>
            <w:tcW w:w="0" w:type="auto"/>
            <w:vAlign w:val="center"/>
            <w:hideMark/>
          </w:tcPr>
          <w:p w14:paraId="7521FF39" w14:textId="77777777" w:rsidR="0032289E" w:rsidRPr="00A065D6" w:rsidRDefault="0032289E" w:rsidP="0032289E">
            <w:pPr>
              <w:jc w:val="right"/>
              <w:rPr>
                <w:rFonts w:ascii="Palatino Linotype" w:hAnsi="Palatino Linotype"/>
                <w:i/>
                <w:sz w:val="22"/>
                <w:szCs w:val="22"/>
              </w:rPr>
            </w:pPr>
            <w:r w:rsidRPr="00A065D6">
              <w:rPr>
                <w:rFonts w:ascii="Palatino Linotype" w:hAnsi="Palatino Linotype"/>
                <w:i/>
                <w:sz w:val="22"/>
                <w:szCs w:val="22"/>
              </w:rPr>
              <w:t>Nombre del solicitante: C. Solicitante</w:t>
            </w:r>
          </w:p>
        </w:tc>
      </w:tr>
      <w:tr w:rsidR="0032289E" w:rsidRPr="00A065D6" w14:paraId="07834F3D" w14:textId="77777777" w:rsidTr="0032289E">
        <w:trPr>
          <w:trHeight w:val="308"/>
          <w:tblCellSpacing w:w="0" w:type="dxa"/>
          <w:jc w:val="center"/>
        </w:trPr>
        <w:tc>
          <w:tcPr>
            <w:tcW w:w="0" w:type="auto"/>
            <w:vAlign w:val="center"/>
            <w:hideMark/>
          </w:tcPr>
          <w:p w14:paraId="722EC688" w14:textId="77777777" w:rsidR="0032289E" w:rsidRPr="00A065D6" w:rsidRDefault="0032289E" w:rsidP="0032289E">
            <w:pPr>
              <w:jc w:val="right"/>
              <w:rPr>
                <w:rFonts w:ascii="Palatino Linotype" w:hAnsi="Palatino Linotype"/>
                <w:i/>
                <w:sz w:val="22"/>
                <w:szCs w:val="22"/>
              </w:rPr>
            </w:pPr>
            <w:r w:rsidRPr="00A065D6">
              <w:rPr>
                <w:rFonts w:ascii="Palatino Linotype" w:hAnsi="Palatino Linotype"/>
                <w:i/>
                <w:sz w:val="22"/>
                <w:szCs w:val="22"/>
              </w:rPr>
              <w:t>Folio de la solicitud: 00010/COACALCO/IP/2024</w:t>
            </w:r>
          </w:p>
        </w:tc>
      </w:tr>
      <w:tr w:rsidR="0032289E" w:rsidRPr="00A065D6" w14:paraId="77BDE8A5" w14:textId="77777777" w:rsidTr="0032289E">
        <w:trPr>
          <w:trHeight w:val="462"/>
          <w:tblCellSpacing w:w="0" w:type="dxa"/>
          <w:jc w:val="center"/>
        </w:trPr>
        <w:tc>
          <w:tcPr>
            <w:tcW w:w="0" w:type="auto"/>
            <w:vAlign w:val="center"/>
            <w:hideMark/>
          </w:tcPr>
          <w:p w14:paraId="53838624" w14:textId="77777777" w:rsidR="0032289E" w:rsidRPr="00A065D6" w:rsidRDefault="0032289E" w:rsidP="0032289E">
            <w:pPr>
              <w:jc w:val="right"/>
              <w:rPr>
                <w:rFonts w:ascii="Palatino Linotype" w:hAnsi="Palatino Linotype"/>
                <w:i/>
                <w:sz w:val="22"/>
                <w:szCs w:val="22"/>
              </w:rPr>
            </w:pPr>
          </w:p>
        </w:tc>
      </w:tr>
      <w:tr w:rsidR="0032289E" w:rsidRPr="00A065D6" w14:paraId="5E847CB1" w14:textId="77777777" w:rsidTr="0032289E">
        <w:trPr>
          <w:trHeight w:val="154"/>
          <w:tblCellSpacing w:w="0" w:type="dxa"/>
          <w:jc w:val="center"/>
        </w:trPr>
        <w:tc>
          <w:tcPr>
            <w:tcW w:w="0" w:type="auto"/>
            <w:vAlign w:val="center"/>
            <w:hideMark/>
          </w:tcPr>
          <w:p w14:paraId="4B92EC6A" w14:textId="77777777" w:rsidR="0032289E" w:rsidRPr="00A065D6" w:rsidRDefault="0032289E" w:rsidP="0032289E">
            <w:pPr>
              <w:rPr>
                <w:rFonts w:ascii="Palatino Linotype" w:hAnsi="Palatino Linotype"/>
                <w:i/>
                <w:sz w:val="22"/>
                <w:szCs w:val="22"/>
              </w:rPr>
            </w:pPr>
            <w:r w:rsidRPr="00A065D6">
              <w:rPr>
                <w:rFonts w:ascii="Palatino Linotype" w:hAnsi="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32289E" w:rsidRPr="00A065D6" w14:paraId="5C0BBD69" w14:textId="77777777" w:rsidTr="0032289E">
        <w:trPr>
          <w:trHeight w:val="385"/>
          <w:tblCellSpacing w:w="0" w:type="dxa"/>
          <w:jc w:val="center"/>
        </w:trPr>
        <w:tc>
          <w:tcPr>
            <w:tcW w:w="0" w:type="auto"/>
            <w:vAlign w:val="center"/>
            <w:hideMark/>
          </w:tcPr>
          <w:p w14:paraId="1BB07881" w14:textId="77777777" w:rsidR="0032289E" w:rsidRPr="00A065D6" w:rsidRDefault="0032289E" w:rsidP="0032289E">
            <w:pPr>
              <w:rPr>
                <w:rFonts w:ascii="Palatino Linotype" w:hAnsi="Palatino Linotype"/>
                <w:i/>
                <w:sz w:val="22"/>
                <w:szCs w:val="22"/>
              </w:rPr>
            </w:pPr>
          </w:p>
        </w:tc>
      </w:tr>
      <w:tr w:rsidR="0032289E" w:rsidRPr="00A065D6" w14:paraId="26F729C3" w14:textId="77777777" w:rsidTr="0032289E">
        <w:trPr>
          <w:trHeight w:val="154"/>
          <w:tblCellSpacing w:w="0" w:type="dxa"/>
          <w:jc w:val="center"/>
        </w:trPr>
        <w:tc>
          <w:tcPr>
            <w:tcW w:w="0" w:type="auto"/>
            <w:vAlign w:val="center"/>
            <w:hideMark/>
          </w:tcPr>
          <w:p w14:paraId="496E4919" w14:textId="77777777" w:rsidR="0032289E" w:rsidRPr="00A065D6" w:rsidRDefault="0032289E" w:rsidP="0032289E">
            <w:pPr>
              <w:rPr>
                <w:rFonts w:ascii="Palatino Linotype" w:hAnsi="Palatino Linotype"/>
                <w:i/>
                <w:sz w:val="22"/>
                <w:szCs w:val="22"/>
              </w:rPr>
            </w:pPr>
            <w:r w:rsidRPr="00A065D6">
              <w:rPr>
                <w:rFonts w:ascii="Palatino Linotype" w:hAnsi="Palatino Linotype"/>
                <w:i/>
                <w:sz w:val="22"/>
                <w:szCs w:val="22"/>
              </w:rPr>
              <w:t>se aprueba prorroga</w:t>
            </w:r>
          </w:p>
        </w:tc>
      </w:tr>
      <w:tr w:rsidR="0032289E" w:rsidRPr="00A065D6" w14:paraId="5D7BA1E5" w14:textId="77777777" w:rsidTr="0032289E">
        <w:trPr>
          <w:trHeight w:val="385"/>
          <w:tblCellSpacing w:w="0" w:type="dxa"/>
          <w:jc w:val="center"/>
        </w:trPr>
        <w:tc>
          <w:tcPr>
            <w:tcW w:w="0" w:type="auto"/>
            <w:vAlign w:val="center"/>
            <w:hideMark/>
          </w:tcPr>
          <w:p w14:paraId="7309E3F8" w14:textId="77777777" w:rsidR="0032289E" w:rsidRPr="00A065D6" w:rsidRDefault="0032289E" w:rsidP="0032289E">
            <w:pPr>
              <w:rPr>
                <w:rFonts w:ascii="Palatino Linotype" w:hAnsi="Palatino Linotype"/>
                <w:i/>
                <w:sz w:val="22"/>
                <w:szCs w:val="22"/>
              </w:rPr>
            </w:pPr>
          </w:p>
        </w:tc>
      </w:tr>
      <w:tr w:rsidR="0032289E" w:rsidRPr="00A065D6" w14:paraId="47E57C8B" w14:textId="77777777" w:rsidTr="0032289E">
        <w:trPr>
          <w:trHeight w:val="154"/>
          <w:tblCellSpacing w:w="0" w:type="dxa"/>
          <w:jc w:val="center"/>
        </w:trPr>
        <w:tc>
          <w:tcPr>
            <w:tcW w:w="0" w:type="auto"/>
            <w:vAlign w:val="center"/>
            <w:hideMark/>
          </w:tcPr>
          <w:p w14:paraId="6AFEB152" w14:textId="77777777" w:rsidR="0032289E" w:rsidRPr="00A065D6" w:rsidRDefault="0032289E" w:rsidP="0032289E">
            <w:pPr>
              <w:jc w:val="center"/>
              <w:rPr>
                <w:rFonts w:ascii="Palatino Linotype" w:hAnsi="Palatino Linotype"/>
                <w:i/>
                <w:sz w:val="22"/>
                <w:szCs w:val="22"/>
              </w:rPr>
            </w:pPr>
          </w:p>
        </w:tc>
      </w:tr>
      <w:tr w:rsidR="0032289E" w:rsidRPr="00A065D6" w14:paraId="58015CA4" w14:textId="77777777" w:rsidTr="0032289E">
        <w:trPr>
          <w:trHeight w:val="154"/>
          <w:tblCellSpacing w:w="0" w:type="dxa"/>
          <w:jc w:val="center"/>
        </w:trPr>
        <w:tc>
          <w:tcPr>
            <w:tcW w:w="0" w:type="auto"/>
            <w:vAlign w:val="center"/>
            <w:hideMark/>
          </w:tcPr>
          <w:p w14:paraId="49E7ADBF" w14:textId="77777777" w:rsidR="0032289E" w:rsidRPr="00A065D6" w:rsidRDefault="0032289E" w:rsidP="0032289E">
            <w:pPr>
              <w:rPr>
                <w:rFonts w:ascii="Palatino Linotype" w:hAnsi="Palatino Linotype"/>
                <w:i/>
                <w:sz w:val="22"/>
                <w:szCs w:val="22"/>
              </w:rPr>
            </w:pPr>
            <w:r w:rsidRPr="00A065D6">
              <w:rPr>
                <w:rFonts w:ascii="Palatino Linotype" w:hAnsi="Palatino Linotype"/>
                <w:i/>
                <w:sz w:val="22"/>
                <w:szCs w:val="22"/>
              </w:rPr>
              <w:t>LIC. CESAR AUGUSTO MAGDALENO GUERRERO</w:t>
            </w:r>
          </w:p>
        </w:tc>
      </w:tr>
      <w:tr w:rsidR="0032289E" w:rsidRPr="00A065D6" w14:paraId="44146D37" w14:textId="77777777" w:rsidTr="0032289E">
        <w:trPr>
          <w:trHeight w:val="154"/>
          <w:tblCellSpacing w:w="0" w:type="dxa"/>
          <w:jc w:val="center"/>
        </w:trPr>
        <w:tc>
          <w:tcPr>
            <w:tcW w:w="0" w:type="auto"/>
            <w:vAlign w:val="center"/>
            <w:hideMark/>
          </w:tcPr>
          <w:p w14:paraId="474BDAC4" w14:textId="77777777" w:rsidR="0032289E" w:rsidRPr="00A065D6" w:rsidRDefault="0032289E" w:rsidP="0032289E">
            <w:pPr>
              <w:rPr>
                <w:rFonts w:ascii="Palatino Linotype" w:hAnsi="Palatino Linotype"/>
                <w:i/>
                <w:sz w:val="22"/>
                <w:szCs w:val="22"/>
              </w:rPr>
            </w:pPr>
            <w:r w:rsidRPr="00A065D6">
              <w:rPr>
                <w:rFonts w:ascii="Palatino Linotype" w:hAnsi="Palatino Linotype"/>
                <w:b/>
                <w:bCs/>
                <w:i/>
                <w:sz w:val="22"/>
                <w:szCs w:val="22"/>
              </w:rPr>
              <w:t>Responsable de la Unidad de Transparencia”</w:t>
            </w:r>
          </w:p>
        </w:tc>
      </w:tr>
    </w:tbl>
    <w:p w14:paraId="5EAEB2EA"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r w:rsidRPr="00A065D6">
        <w:rPr>
          <w:rFonts w:ascii="Palatino Linotype" w:hAnsi="Palatino Linotype" w:cs="Arial"/>
          <w:szCs w:val="22"/>
          <w:lang w:val="es-ES" w:eastAsia="es-ES"/>
        </w:rPr>
        <w:t xml:space="preserve">                                                            </w:t>
      </w:r>
    </w:p>
    <w:p w14:paraId="6F12B656"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hAnsi="Palatino Linotype" w:cs="Arial"/>
          <w:szCs w:val="22"/>
          <w:lang w:val="es-ES" w:eastAsia="es-ES"/>
        </w:rPr>
        <w:t>El veintitrés (23) de febrero de dos mil veinticuatro, El Sujeto Obligado dio respuesta a la solicitud de información en los siguientes términos:</w:t>
      </w:r>
    </w:p>
    <w:p w14:paraId="3BEA00B2" w14:textId="77777777" w:rsidR="0032289E" w:rsidRPr="00A065D6" w:rsidRDefault="0032289E" w:rsidP="0032289E">
      <w:pPr>
        <w:pStyle w:val="Prrafodelista"/>
        <w:rPr>
          <w:rFonts w:ascii="Palatino Linotype" w:hAnsi="Palatino Linotype" w:cs="Arial"/>
          <w:szCs w:val="22"/>
          <w:lang w:val="es-ES" w:eastAsia="es-ES"/>
        </w:rPr>
      </w:pPr>
    </w:p>
    <w:tbl>
      <w:tblPr>
        <w:tblW w:w="7601" w:type="dxa"/>
        <w:jc w:val="center"/>
        <w:tblCellSpacing w:w="0" w:type="dxa"/>
        <w:tblCellMar>
          <w:left w:w="0" w:type="dxa"/>
          <w:right w:w="0" w:type="dxa"/>
        </w:tblCellMar>
        <w:tblLook w:val="04A0" w:firstRow="1" w:lastRow="0" w:firstColumn="1" w:lastColumn="0" w:noHBand="0" w:noVBand="1"/>
      </w:tblPr>
      <w:tblGrid>
        <w:gridCol w:w="7601"/>
      </w:tblGrid>
      <w:tr w:rsidR="0032289E" w:rsidRPr="00A065D6" w14:paraId="22F19659" w14:textId="77777777" w:rsidTr="0032289E">
        <w:trPr>
          <w:trHeight w:val="609"/>
          <w:tblCellSpacing w:w="0" w:type="dxa"/>
          <w:jc w:val="center"/>
        </w:trPr>
        <w:tc>
          <w:tcPr>
            <w:tcW w:w="0" w:type="auto"/>
            <w:vAlign w:val="center"/>
            <w:hideMark/>
          </w:tcPr>
          <w:p w14:paraId="1B298575" w14:textId="77777777" w:rsidR="0032289E" w:rsidRPr="00A065D6" w:rsidRDefault="0032289E" w:rsidP="0032289E">
            <w:pPr>
              <w:jc w:val="right"/>
              <w:rPr>
                <w:rFonts w:ascii="Palatino Linotype" w:hAnsi="Palatino Linotype"/>
                <w:i/>
                <w:sz w:val="22"/>
                <w:szCs w:val="22"/>
              </w:rPr>
            </w:pPr>
            <w:r w:rsidRPr="00A065D6">
              <w:rPr>
                <w:rFonts w:ascii="Palatino Linotype" w:hAnsi="Palatino Linotype"/>
                <w:i/>
                <w:sz w:val="22"/>
                <w:szCs w:val="22"/>
              </w:rPr>
              <w:t>“Coacalco de Berriozábal, México a 23 de Febrero de 2024</w:t>
            </w:r>
          </w:p>
        </w:tc>
      </w:tr>
      <w:tr w:rsidR="0032289E" w:rsidRPr="00A065D6" w14:paraId="09384149" w14:textId="77777777" w:rsidTr="0032289E">
        <w:trPr>
          <w:trHeight w:val="609"/>
          <w:tblCellSpacing w:w="0" w:type="dxa"/>
          <w:jc w:val="center"/>
        </w:trPr>
        <w:tc>
          <w:tcPr>
            <w:tcW w:w="0" w:type="auto"/>
            <w:vAlign w:val="center"/>
            <w:hideMark/>
          </w:tcPr>
          <w:p w14:paraId="29219AB1" w14:textId="77777777" w:rsidR="0032289E" w:rsidRPr="00A065D6" w:rsidRDefault="0032289E" w:rsidP="0032289E">
            <w:pPr>
              <w:jc w:val="right"/>
              <w:rPr>
                <w:rFonts w:ascii="Palatino Linotype" w:hAnsi="Palatino Linotype"/>
                <w:i/>
                <w:sz w:val="22"/>
                <w:szCs w:val="22"/>
              </w:rPr>
            </w:pPr>
            <w:r w:rsidRPr="00A065D6">
              <w:rPr>
                <w:rFonts w:ascii="Palatino Linotype" w:hAnsi="Palatino Linotype"/>
                <w:i/>
                <w:sz w:val="22"/>
                <w:szCs w:val="22"/>
              </w:rPr>
              <w:t>Nombre del solicitante: C. Solicitante</w:t>
            </w:r>
          </w:p>
        </w:tc>
      </w:tr>
      <w:tr w:rsidR="0032289E" w:rsidRPr="00A065D6" w14:paraId="38AA8DBE" w14:textId="77777777" w:rsidTr="0032289E">
        <w:trPr>
          <w:trHeight w:val="609"/>
          <w:tblCellSpacing w:w="0" w:type="dxa"/>
          <w:jc w:val="center"/>
        </w:trPr>
        <w:tc>
          <w:tcPr>
            <w:tcW w:w="0" w:type="auto"/>
            <w:vAlign w:val="center"/>
            <w:hideMark/>
          </w:tcPr>
          <w:p w14:paraId="4E2D3DD9" w14:textId="77777777" w:rsidR="0032289E" w:rsidRPr="00A065D6" w:rsidRDefault="0032289E" w:rsidP="0032289E">
            <w:pPr>
              <w:jc w:val="right"/>
              <w:rPr>
                <w:rFonts w:ascii="Palatino Linotype" w:hAnsi="Palatino Linotype"/>
                <w:i/>
                <w:sz w:val="22"/>
                <w:szCs w:val="22"/>
              </w:rPr>
            </w:pPr>
            <w:r w:rsidRPr="00A065D6">
              <w:rPr>
                <w:rFonts w:ascii="Palatino Linotype" w:hAnsi="Palatino Linotype"/>
                <w:i/>
                <w:sz w:val="22"/>
                <w:szCs w:val="22"/>
              </w:rPr>
              <w:t>Folio de la solicitud: 00010/COACALCO/IP/2024</w:t>
            </w:r>
          </w:p>
        </w:tc>
      </w:tr>
      <w:tr w:rsidR="0032289E" w:rsidRPr="00A065D6" w14:paraId="337E9011" w14:textId="77777777" w:rsidTr="0032289E">
        <w:trPr>
          <w:trHeight w:val="913"/>
          <w:tblCellSpacing w:w="0" w:type="dxa"/>
          <w:jc w:val="center"/>
        </w:trPr>
        <w:tc>
          <w:tcPr>
            <w:tcW w:w="0" w:type="auto"/>
            <w:vAlign w:val="center"/>
            <w:hideMark/>
          </w:tcPr>
          <w:p w14:paraId="020C78AF" w14:textId="77777777" w:rsidR="0032289E" w:rsidRPr="00A065D6" w:rsidRDefault="0032289E" w:rsidP="0032289E">
            <w:pPr>
              <w:jc w:val="right"/>
              <w:rPr>
                <w:rFonts w:ascii="Palatino Linotype" w:hAnsi="Palatino Linotype"/>
                <w:i/>
                <w:sz w:val="22"/>
                <w:szCs w:val="22"/>
              </w:rPr>
            </w:pPr>
          </w:p>
        </w:tc>
      </w:tr>
      <w:tr w:rsidR="0032289E" w:rsidRPr="00A065D6" w14:paraId="04878204" w14:textId="77777777" w:rsidTr="0032289E">
        <w:trPr>
          <w:trHeight w:val="304"/>
          <w:tblCellSpacing w:w="0" w:type="dxa"/>
          <w:jc w:val="center"/>
        </w:trPr>
        <w:tc>
          <w:tcPr>
            <w:tcW w:w="0" w:type="auto"/>
            <w:vAlign w:val="center"/>
            <w:hideMark/>
          </w:tcPr>
          <w:p w14:paraId="1969A263" w14:textId="77777777" w:rsidR="0032289E" w:rsidRPr="00A065D6" w:rsidRDefault="0032289E" w:rsidP="0032289E">
            <w:pPr>
              <w:jc w:val="both"/>
              <w:rPr>
                <w:rFonts w:ascii="Palatino Linotype" w:hAnsi="Palatino Linotype"/>
                <w:i/>
                <w:sz w:val="22"/>
                <w:szCs w:val="22"/>
              </w:rPr>
            </w:pPr>
            <w:r w:rsidRPr="00A065D6">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2289E" w:rsidRPr="00A065D6" w14:paraId="7F13D0FC" w14:textId="77777777" w:rsidTr="0032289E">
        <w:trPr>
          <w:trHeight w:val="761"/>
          <w:tblCellSpacing w:w="0" w:type="dxa"/>
          <w:jc w:val="center"/>
        </w:trPr>
        <w:tc>
          <w:tcPr>
            <w:tcW w:w="0" w:type="auto"/>
            <w:vAlign w:val="center"/>
            <w:hideMark/>
          </w:tcPr>
          <w:p w14:paraId="5D9382F5" w14:textId="77777777" w:rsidR="0032289E" w:rsidRPr="00A065D6" w:rsidRDefault="0032289E" w:rsidP="0032289E">
            <w:pPr>
              <w:rPr>
                <w:rFonts w:ascii="Palatino Linotype" w:hAnsi="Palatino Linotype"/>
                <w:i/>
                <w:sz w:val="22"/>
                <w:szCs w:val="22"/>
              </w:rPr>
            </w:pPr>
          </w:p>
        </w:tc>
      </w:tr>
      <w:tr w:rsidR="0032289E" w:rsidRPr="00A065D6" w14:paraId="1AD63381" w14:textId="77777777" w:rsidTr="0032289E">
        <w:trPr>
          <w:trHeight w:val="304"/>
          <w:tblCellSpacing w:w="0" w:type="dxa"/>
          <w:jc w:val="center"/>
        </w:trPr>
        <w:tc>
          <w:tcPr>
            <w:tcW w:w="0" w:type="auto"/>
            <w:vAlign w:val="center"/>
            <w:hideMark/>
          </w:tcPr>
          <w:p w14:paraId="36454789" w14:textId="77777777" w:rsidR="0032289E" w:rsidRPr="00A065D6" w:rsidRDefault="0032289E" w:rsidP="0032289E">
            <w:pPr>
              <w:rPr>
                <w:rFonts w:ascii="Palatino Linotype" w:hAnsi="Palatino Linotype"/>
                <w:i/>
                <w:sz w:val="22"/>
                <w:szCs w:val="22"/>
              </w:rPr>
            </w:pPr>
            <w:r w:rsidRPr="00A065D6">
              <w:rPr>
                <w:rFonts w:ascii="Palatino Linotype" w:hAnsi="Palatino Linotype"/>
                <w:i/>
                <w:sz w:val="22"/>
                <w:szCs w:val="22"/>
              </w:rPr>
              <w:t>ENTREGA DE INFORMACIÓN</w:t>
            </w:r>
          </w:p>
        </w:tc>
      </w:tr>
      <w:tr w:rsidR="0032289E" w:rsidRPr="00A065D6" w14:paraId="7C9ECD4C" w14:textId="77777777" w:rsidTr="0032289E">
        <w:trPr>
          <w:trHeight w:val="304"/>
          <w:tblCellSpacing w:w="0" w:type="dxa"/>
          <w:jc w:val="center"/>
        </w:trPr>
        <w:tc>
          <w:tcPr>
            <w:tcW w:w="0" w:type="auto"/>
            <w:vAlign w:val="center"/>
            <w:hideMark/>
          </w:tcPr>
          <w:p w14:paraId="2682A273" w14:textId="77777777" w:rsidR="0032289E" w:rsidRPr="00A065D6" w:rsidRDefault="0032289E" w:rsidP="0032289E">
            <w:pPr>
              <w:jc w:val="center"/>
              <w:rPr>
                <w:rFonts w:ascii="Palatino Linotype" w:hAnsi="Palatino Linotype"/>
                <w:i/>
                <w:sz w:val="22"/>
                <w:szCs w:val="22"/>
              </w:rPr>
            </w:pPr>
          </w:p>
        </w:tc>
      </w:tr>
      <w:tr w:rsidR="0032289E" w:rsidRPr="00A065D6" w14:paraId="186EE402" w14:textId="77777777" w:rsidTr="0032289E">
        <w:trPr>
          <w:trHeight w:val="304"/>
          <w:tblCellSpacing w:w="0" w:type="dxa"/>
          <w:jc w:val="center"/>
        </w:trPr>
        <w:tc>
          <w:tcPr>
            <w:tcW w:w="0" w:type="auto"/>
            <w:vAlign w:val="center"/>
            <w:hideMark/>
          </w:tcPr>
          <w:p w14:paraId="7336CD4C" w14:textId="77777777" w:rsidR="0032289E" w:rsidRPr="00A065D6" w:rsidRDefault="0032289E" w:rsidP="0032289E">
            <w:pPr>
              <w:rPr>
                <w:rFonts w:ascii="Palatino Linotype" w:hAnsi="Palatino Linotype"/>
                <w:i/>
                <w:sz w:val="22"/>
                <w:szCs w:val="22"/>
              </w:rPr>
            </w:pPr>
          </w:p>
        </w:tc>
      </w:tr>
      <w:tr w:rsidR="0032289E" w:rsidRPr="00A065D6" w14:paraId="07801190" w14:textId="77777777" w:rsidTr="0032289E">
        <w:trPr>
          <w:trHeight w:val="304"/>
          <w:tblCellSpacing w:w="0" w:type="dxa"/>
          <w:jc w:val="center"/>
        </w:trPr>
        <w:tc>
          <w:tcPr>
            <w:tcW w:w="0" w:type="auto"/>
            <w:vAlign w:val="center"/>
            <w:hideMark/>
          </w:tcPr>
          <w:p w14:paraId="712DDCE4" w14:textId="77777777" w:rsidR="0032289E" w:rsidRPr="00A065D6" w:rsidRDefault="0032289E" w:rsidP="0032289E">
            <w:pPr>
              <w:rPr>
                <w:rFonts w:ascii="Palatino Linotype" w:hAnsi="Palatino Linotype"/>
                <w:i/>
                <w:sz w:val="22"/>
                <w:szCs w:val="22"/>
              </w:rPr>
            </w:pPr>
            <w:r w:rsidRPr="00A065D6">
              <w:rPr>
                <w:rFonts w:ascii="Palatino Linotype" w:hAnsi="Palatino Linotype"/>
                <w:i/>
                <w:sz w:val="22"/>
                <w:szCs w:val="22"/>
              </w:rPr>
              <w:t>ATENTAMENTE</w:t>
            </w:r>
          </w:p>
        </w:tc>
      </w:tr>
      <w:tr w:rsidR="0032289E" w:rsidRPr="00A065D6" w14:paraId="2F5117E1" w14:textId="77777777" w:rsidTr="0032289E">
        <w:trPr>
          <w:trHeight w:val="304"/>
          <w:tblCellSpacing w:w="0" w:type="dxa"/>
          <w:jc w:val="center"/>
        </w:trPr>
        <w:tc>
          <w:tcPr>
            <w:tcW w:w="0" w:type="auto"/>
            <w:vAlign w:val="center"/>
            <w:hideMark/>
          </w:tcPr>
          <w:p w14:paraId="572E892B" w14:textId="77777777" w:rsidR="0032289E" w:rsidRPr="00A065D6" w:rsidRDefault="0032289E" w:rsidP="0032289E">
            <w:pPr>
              <w:rPr>
                <w:rFonts w:ascii="Palatino Linotype" w:hAnsi="Palatino Linotype"/>
                <w:i/>
                <w:sz w:val="22"/>
                <w:szCs w:val="22"/>
              </w:rPr>
            </w:pPr>
            <w:r w:rsidRPr="00A065D6">
              <w:rPr>
                <w:rFonts w:ascii="Palatino Linotype" w:hAnsi="Palatino Linotype"/>
                <w:i/>
                <w:sz w:val="22"/>
                <w:szCs w:val="22"/>
              </w:rPr>
              <w:t>LIC. CESAR AUGUSTO MAGDALENO GUERRERO</w:t>
            </w:r>
          </w:p>
        </w:tc>
      </w:tr>
    </w:tbl>
    <w:p w14:paraId="550DE3BC"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10E68AB3" w14:textId="77777777" w:rsidR="0032289E" w:rsidRPr="00A065D6" w:rsidRDefault="0032289E" w:rsidP="0032289E">
      <w:pPr>
        <w:spacing w:line="360" w:lineRule="auto"/>
        <w:jc w:val="both"/>
        <w:rPr>
          <w:rFonts w:ascii="Palatino Linotype" w:hAnsi="Palatino Linotype" w:cs="Arial"/>
          <w:sz w:val="22"/>
          <w:szCs w:val="22"/>
          <w:lang w:val="es-ES" w:eastAsia="es-ES"/>
        </w:rPr>
      </w:pPr>
    </w:p>
    <w:p w14:paraId="7763C1FA" w14:textId="77777777" w:rsidR="0032289E" w:rsidRPr="00A065D6" w:rsidRDefault="0032289E" w:rsidP="0032289E">
      <w:pPr>
        <w:spacing w:line="360" w:lineRule="auto"/>
        <w:jc w:val="both"/>
        <w:rPr>
          <w:rFonts w:ascii="Palatino Linotype" w:hAnsi="Palatino Linotype" w:cs="Arial"/>
          <w:sz w:val="22"/>
          <w:szCs w:val="22"/>
          <w:lang w:val="es-ES" w:eastAsia="es-ES"/>
        </w:rPr>
      </w:pPr>
      <w:r w:rsidRPr="00A065D6">
        <w:rPr>
          <w:rFonts w:ascii="Palatino Linotype" w:hAnsi="Palatino Linotype" w:cs="Arial"/>
          <w:sz w:val="22"/>
          <w:szCs w:val="22"/>
          <w:lang w:val="es-ES" w:eastAsia="es-ES"/>
        </w:rPr>
        <w:t>A la respuesta se adjuntaron los archivos que se describen enseguida:</w:t>
      </w:r>
    </w:p>
    <w:p w14:paraId="49158290" w14:textId="77777777" w:rsidR="0032289E" w:rsidRPr="00A065D6" w:rsidRDefault="0032289E" w:rsidP="00E25E98">
      <w:pPr>
        <w:spacing w:line="360" w:lineRule="auto"/>
        <w:jc w:val="both"/>
        <w:rPr>
          <w:rFonts w:ascii="Palatino Linotype" w:hAnsi="Palatino Linotype" w:cs="Arial"/>
          <w:b/>
          <w:sz w:val="22"/>
          <w:szCs w:val="22"/>
          <w:lang w:val="es-ES" w:eastAsia="es-ES"/>
        </w:rPr>
      </w:pPr>
    </w:p>
    <w:p w14:paraId="593EBA22" w14:textId="77777777" w:rsidR="0032289E" w:rsidRPr="00A065D6" w:rsidRDefault="008E18E9" w:rsidP="004A07E0">
      <w:pPr>
        <w:pStyle w:val="Prrafodelista"/>
        <w:numPr>
          <w:ilvl w:val="0"/>
          <w:numId w:val="5"/>
        </w:numPr>
        <w:spacing w:line="360" w:lineRule="auto"/>
        <w:jc w:val="both"/>
        <w:rPr>
          <w:rFonts w:ascii="Palatino Linotype" w:hAnsi="Palatino Linotype"/>
          <w:szCs w:val="22"/>
        </w:rPr>
      </w:pPr>
      <w:hyperlink r:id="rId8" w:tgtFrame="_blank" w:history="1">
        <w:r w:rsidR="0032289E" w:rsidRPr="00A065D6">
          <w:rPr>
            <w:rStyle w:val="Hipervnculo"/>
            <w:rFonts w:ascii="Palatino Linotype" w:hAnsi="Palatino Linotype" w:cs="Arial"/>
            <w:b/>
            <w:bCs/>
            <w:color w:val="auto"/>
            <w:szCs w:val="22"/>
          </w:rPr>
          <w:t>Solicitante (1).pdf</w:t>
        </w:r>
      </w:hyperlink>
      <w:r w:rsidR="0032289E" w:rsidRPr="00A065D6">
        <w:rPr>
          <w:rFonts w:ascii="Palatino Linotype" w:hAnsi="Palatino Linotype"/>
          <w:szCs w:val="22"/>
        </w:rPr>
        <w:t>: Oficio PM/UT/CAMG/00121/2024 de fecha veintitrés de febrero de dos mil veinticuatro, suscrito por la Titular de la Unidad de Transparencia y Protección de Datos en el que señaló que, se entregó respuesta emitida por el servidor público habilitado de l</w:t>
      </w:r>
      <w:r w:rsidR="00E25E98" w:rsidRPr="00A065D6">
        <w:rPr>
          <w:rFonts w:ascii="Palatino Linotype" w:hAnsi="Palatino Linotype"/>
          <w:szCs w:val="22"/>
        </w:rPr>
        <w:t xml:space="preserve">a Dirección de Administración y de la Comisaria de Seguridad Pública y Tránsito Municipal. </w:t>
      </w:r>
    </w:p>
    <w:p w14:paraId="567792CD" w14:textId="77777777" w:rsidR="0032289E" w:rsidRPr="00A065D6" w:rsidRDefault="008E18E9" w:rsidP="004A07E0">
      <w:pPr>
        <w:pStyle w:val="Prrafodelista"/>
        <w:numPr>
          <w:ilvl w:val="0"/>
          <w:numId w:val="5"/>
        </w:numPr>
        <w:spacing w:line="360" w:lineRule="auto"/>
        <w:jc w:val="both"/>
        <w:rPr>
          <w:rFonts w:ascii="Palatino Linotype" w:hAnsi="Palatino Linotype"/>
          <w:szCs w:val="22"/>
        </w:rPr>
      </w:pPr>
      <w:hyperlink r:id="rId9" w:tgtFrame="_blank" w:history="1">
        <w:r w:rsidR="0032289E" w:rsidRPr="00A065D6">
          <w:rPr>
            <w:rStyle w:val="Hipervnculo"/>
            <w:rFonts w:ascii="Palatino Linotype" w:hAnsi="Palatino Linotype" w:cs="Arial"/>
            <w:b/>
            <w:bCs/>
            <w:color w:val="auto"/>
            <w:szCs w:val="22"/>
          </w:rPr>
          <w:t>COMISARIA DE SEGURIDAD PÚBLICA Y TRÁNSITO MUNICIPAL.pdf</w:t>
        </w:r>
      </w:hyperlink>
      <w:r w:rsidR="0032289E" w:rsidRPr="00A065D6">
        <w:rPr>
          <w:rFonts w:ascii="Palatino Linotype" w:hAnsi="Palatino Linotype"/>
          <w:szCs w:val="22"/>
        </w:rPr>
        <w:t xml:space="preserve">: </w:t>
      </w:r>
      <w:r w:rsidR="00E25E98" w:rsidRPr="00A065D6">
        <w:rPr>
          <w:rFonts w:ascii="Palatino Linotype" w:hAnsi="Palatino Linotype"/>
          <w:szCs w:val="22"/>
        </w:rPr>
        <w:t xml:space="preserve">Oficio CSPYTM/ET/013/2024 de fecha veintitrés de febrero de dos mil veinticuatro, suscrito por el Comisario de Seguridad Pública y Tránsito Municipal en el que señaló </w:t>
      </w:r>
      <w:r w:rsidR="00E25E98" w:rsidRPr="00A065D6">
        <w:rPr>
          <w:rFonts w:ascii="Palatino Linotype" w:hAnsi="Palatino Linotype"/>
          <w:i/>
          <w:szCs w:val="22"/>
        </w:rPr>
        <w:t xml:space="preserve">“…de acuerdo a las funciones y atribuciones de esta Comisaría de Seguridad Pública Y Tránsito Municipal, no está la de generar ni administrar cuantas motocicletas tienen arrendadas para el área de la comisaria de seguridad pública y tránsito municipal </w:t>
      </w:r>
      <w:r w:rsidR="00D62069" w:rsidRPr="00A065D6">
        <w:rPr>
          <w:rFonts w:ascii="Palatino Linotype" w:hAnsi="Palatino Linotype"/>
          <w:i/>
          <w:szCs w:val="22"/>
        </w:rPr>
        <w:t>, ni con contrato de arrendamiento de las motocicletas asignadas a la comisaria de seguridad pública y tránsito municipal así como tampoco contrato de servicio de mantenimiento para las motocicletas asignadas a la comisaria de seguridad pública y tránsito municipal</w:t>
      </w:r>
      <w:r w:rsidR="004A07E0" w:rsidRPr="00A065D6">
        <w:rPr>
          <w:rFonts w:ascii="Palatino Linotype" w:hAnsi="Palatino Linotype"/>
          <w:i/>
          <w:szCs w:val="22"/>
        </w:rPr>
        <w:t>.”</w:t>
      </w:r>
    </w:p>
    <w:p w14:paraId="4447A441" w14:textId="77777777" w:rsidR="0032289E" w:rsidRPr="00A065D6" w:rsidRDefault="008E18E9" w:rsidP="00E25E98">
      <w:pPr>
        <w:pStyle w:val="Prrafodelista"/>
        <w:numPr>
          <w:ilvl w:val="0"/>
          <w:numId w:val="5"/>
        </w:numPr>
        <w:spacing w:line="360" w:lineRule="auto"/>
        <w:jc w:val="both"/>
        <w:rPr>
          <w:rFonts w:ascii="Palatino Linotype" w:hAnsi="Palatino Linotype"/>
          <w:szCs w:val="22"/>
        </w:rPr>
      </w:pPr>
      <w:hyperlink r:id="rId10" w:tgtFrame="_blank" w:history="1">
        <w:r w:rsidR="0032289E" w:rsidRPr="00A065D6">
          <w:rPr>
            <w:rStyle w:val="Hipervnculo"/>
            <w:rFonts w:ascii="Palatino Linotype" w:hAnsi="Palatino Linotype" w:cs="Arial"/>
            <w:b/>
            <w:bCs/>
            <w:color w:val="auto"/>
            <w:szCs w:val="22"/>
          </w:rPr>
          <w:t>Admon.pdf</w:t>
        </w:r>
      </w:hyperlink>
      <w:r w:rsidR="004A07E0" w:rsidRPr="00A065D6">
        <w:rPr>
          <w:rFonts w:ascii="Palatino Linotype" w:hAnsi="Palatino Linotype"/>
          <w:szCs w:val="22"/>
        </w:rPr>
        <w:t>, en este archivo se adjuntaron los dos archivos que se describen enseguida:</w:t>
      </w:r>
    </w:p>
    <w:p w14:paraId="0B752D08" w14:textId="77777777" w:rsidR="004A07E0" w:rsidRPr="00A065D6" w:rsidRDefault="004A07E0" w:rsidP="004A07E0">
      <w:pPr>
        <w:pStyle w:val="Prrafodelista"/>
        <w:numPr>
          <w:ilvl w:val="0"/>
          <w:numId w:val="6"/>
        </w:numPr>
        <w:spacing w:line="360" w:lineRule="auto"/>
        <w:jc w:val="both"/>
        <w:rPr>
          <w:rFonts w:ascii="Palatino Linotype" w:hAnsi="Palatino Linotype"/>
          <w:szCs w:val="22"/>
        </w:rPr>
      </w:pPr>
      <w:r w:rsidRPr="00A065D6">
        <w:rPr>
          <w:rFonts w:ascii="Palatino Linotype" w:hAnsi="Palatino Linotype"/>
          <w:szCs w:val="22"/>
        </w:rPr>
        <w:lastRenderedPageBreak/>
        <w:t>Oficio DA/SAYRM/0072/2024 de fecha dos de febrero de dos mil veinticuatro, suscrito por el Subdirector de Adquisiciones y Recursos Materiales, en el que señaló:</w:t>
      </w:r>
    </w:p>
    <w:p w14:paraId="294D3019" w14:textId="77777777" w:rsidR="004A07E0" w:rsidRPr="00A065D6" w:rsidRDefault="004A07E0" w:rsidP="004A07E0">
      <w:pPr>
        <w:pStyle w:val="Prrafodelista"/>
        <w:spacing w:line="360" w:lineRule="auto"/>
        <w:ind w:left="1440"/>
        <w:jc w:val="both"/>
        <w:rPr>
          <w:rFonts w:ascii="Palatino Linotype" w:hAnsi="Palatino Linotype"/>
          <w:i/>
          <w:szCs w:val="22"/>
        </w:rPr>
      </w:pPr>
      <w:r w:rsidRPr="00A065D6">
        <w:rPr>
          <w:rFonts w:ascii="Palatino Linotype" w:hAnsi="Palatino Linotype"/>
          <w:i/>
          <w:szCs w:val="22"/>
        </w:rPr>
        <w:t>“Por lo que informamos que derivado de una búsqueda exhaustiva en los registros documentales de los periodos señalados se dio cuenta que:</w:t>
      </w:r>
    </w:p>
    <w:p w14:paraId="113AFEA9" w14:textId="77777777" w:rsidR="004A07E0" w:rsidRPr="00A065D6" w:rsidRDefault="004A07E0" w:rsidP="004A07E0">
      <w:pPr>
        <w:pStyle w:val="Prrafodelista"/>
        <w:spacing w:line="360" w:lineRule="auto"/>
        <w:ind w:left="1440"/>
        <w:jc w:val="both"/>
        <w:rPr>
          <w:rFonts w:ascii="Palatino Linotype" w:hAnsi="Palatino Linotype"/>
          <w:i/>
          <w:szCs w:val="22"/>
        </w:rPr>
      </w:pPr>
      <w:r w:rsidRPr="00A065D6">
        <w:rPr>
          <w:rFonts w:ascii="Palatino Linotype" w:hAnsi="Palatino Linotype"/>
          <w:i/>
          <w:szCs w:val="22"/>
        </w:rPr>
        <w:t>No obra información procesada como “Contrato de arrendamiento de las motocicletas asignadas a la comisaria de seguridad pública y tránsito municipal” o “Contrato de servicios de mantenimiento para las motocicletas asignadas a la comisaria de seguridad pública y tránsito municipal”, habiendo constar que a la fecha de la solicitud no se encontraron contratos denominativos al arrendamiento de motocicletas ni a servicios de mantenimiento de las mismas.</w:t>
      </w:r>
    </w:p>
    <w:p w14:paraId="1F484920" w14:textId="77777777" w:rsidR="004A07E0" w:rsidRPr="00A065D6" w:rsidRDefault="004A07E0" w:rsidP="004A07E0">
      <w:pPr>
        <w:pStyle w:val="Prrafodelista"/>
        <w:spacing w:line="360" w:lineRule="auto"/>
        <w:ind w:left="1440"/>
        <w:jc w:val="both"/>
        <w:rPr>
          <w:rFonts w:ascii="Palatino Linotype" w:hAnsi="Palatino Linotype"/>
          <w:i/>
          <w:szCs w:val="22"/>
        </w:rPr>
      </w:pPr>
      <w:r w:rsidRPr="00A065D6">
        <w:rPr>
          <w:rFonts w:ascii="Palatino Linotype" w:hAnsi="Palatino Linotype"/>
          <w:i/>
          <w:szCs w:val="22"/>
        </w:rPr>
        <w:t>Lo anterior con fundamento en el artículo 12 de la LEY DE TRANSPARENCIA Y ACCESO A LA INFORMACIÓN PÚBLICA DEL ESTADO DE MÉXICO Y MUNICIPIOS…”</w:t>
      </w:r>
    </w:p>
    <w:p w14:paraId="332A1F27" w14:textId="77777777" w:rsidR="004A07E0" w:rsidRPr="00A065D6" w:rsidRDefault="004A07E0" w:rsidP="004A07E0">
      <w:pPr>
        <w:pStyle w:val="Prrafodelista"/>
        <w:numPr>
          <w:ilvl w:val="0"/>
          <w:numId w:val="6"/>
        </w:numPr>
        <w:spacing w:line="360" w:lineRule="auto"/>
        <w:jc w:val="both"/>
        <w:rPr>
          <w:rFonts w:ascii="Palatino Linotype" w:hAnsi="Palatino Linotype"/>
          <w:szCs w:val="22"/>
        </w:rPr>
      </w:pPr>
      <w:r w:rsidRPr="00A065D6">
        <w:rPr>
          <w:rFonts w:ascii="Palatino Linotype" w:hAnsi="Palatino Linotype"/>
          <w:szCs w:val="22"/>
        </w:rPr>
        <w:t xml:space="preserve">Oficio DA/202/2024 de fecha catorce de febrero de dos mil veinticuatro, suscrito por la Directora de Administración, en el que señaló que, anexó oficio de contestación de la Subdirección de Adquisiciones y Recursos Materiales. </w:t>
      </w:r>
    </w:p>
    <w:p w14:paraId="71F9DC6E" w14:textId="77777777" w:rsidR="0032289E" w:rsidRPr="00A065D6" w:rsidRDefault="0032289E" w:rsidP="0032289E">
      <w:pPr>
        <w:spacing w:line="360" w:lineRule="auto"/>
        <w:rPr>
          <w:rFonts w:ascii="Palatino Linotype" w:hAnsi="Palatino Linotype" w:cs="Arial"/>
          <w:b/>
          <w:sz w:val="22"/>
          <w:szCs w:val="22"/>
          <w:lang w:val="es-ES" w:eastAsia="es-ES"/>
        </w:rPr>
      </w:pPr>
    </w:p>
    <w:p w14:paraId="198A49D2"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eastAsia="Calibri" w:hAnsi="Palatino Linotype" w:cs="Arial"/>
          <w:szCs w:val="22"/>
          <w:lang w:val="es-AR" w:eastAsia="es-ES"/>
        </w:rPr>
        <w:t xml:space="preserve">El </w:t>
      </w:r>
      <w:r w:rsidR="004A07E0" w:rsidRPr="00A065D6">
        <w:rPr>
          <w:rFonts w:ascii="Palatino Linotype" w:eastAsia="Calibri" w:hAnsi="Palatino Linotype" w:cs="Arial"/>
          <w:szCs w:val="22"/>
          <w:lang w:val="es-AR" w:eastAsia="es-ES"/>
        </w:rPr>
        <w:t>quince (15) de marzo</w:t>
      </w:r>
      <w:r w:rsidRPr="00A065D6">
        <w:rPr>
          <w:rFonts w:ascii="Palatino Linotype" w:hAnsi="Palatino Linotype" w:cs="Arial"/>
          <w:szCs w:val="22"/>
          <w:lang w:val="es-ES" w:eastAsia="es-ES"/>
        </w:rPr>
        <w:t xml:space="preserve"> de dos mil veinticuatro, </w:t>
      </w:r>
      <w:r w:rsidRPr="00A065D6">
        <w:rPr>
          <w:rFonts w:ascii="Palatino Linotype" w:eastAsiaTheme="minorEastAsia" w:hAnsi="Palatino Linotype"/>
          <w:b/>
          <w:szCs w:val="22"/>
          <w:lang w:val="es-ES_tradnl" w:eastAsia="es-ES"/>
        </w:rPr>
        <w:t>EL RECURRENTE</w:t>
      </w:r>
      <w:r w:rsidRPr="00A065D6">
        <w:rPr>
          <w:rFonts w:ascii="Palatino Linotype" w:hAnsi="Palatino Linotype" w:cs="Arial"/>
          <w:szCs w:val="22"/>
          <w:lang w:val="es-ES" w:eastAsia="es-ES"/>
        </w:rPr>
        <w:t xml:space="preserve"> interpuso el recurso de revisión, en contra de la respuesta, señalando como:</w:t>
      </w:r>
    </w:p>
    <w:p w14:paraId="693EB974"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265D91E0" w14:textId="77777777" w:rsidR="0032289E" w:rsidRPr="00A065D6" w:rsidRDefault="0032289E" w:rsidP="0032289E">
      <w:pPr>
        <w:spacing w:line="360" w:lineRule="auto"/>
        <w:ind w:left="567" w:right="567"/>
        <w:contextualSpacing/>
        <w:jc w:val="both"/>
        <w:rPr>
          <w:rFonts w:ascii="Palatino Linotype" w:eastAsia="Calibri" w:hAnsi="Palatino Linotype" w:cs="Arial"/>
          <w:i/>
          <w:sz w:val="22"/>
          <w:szCs w:val="22"/>
          <w:lang w:val="es-ES" w:eastAsia="es-ES"/>
        </w:rPr>
      </w:pPr>
      <w:r w:rsidRPr="00A065D6">
        <w:rPr>
          <w:rFonts w:ascii="Palatino Linotype" w:eastAsiaTheme="minorEastAsia" w:hAnsi="Palatino Linotype"/>
          <w:b/>
          <w:sz w:val="22"/>
          <w:szCs w:val="22"/>
          <w:lang w:val="es-ES_tradnl" w:eastAsia="es-ES"/>
        </w:rPr>
        <w:t>Acto impugnado</w:t>
      </w:r>
      <w:r w:rsidRPr="00A065D6">
        <w:rPr>
          <w:rFonts w:ascii="Palatino Linotype" w:eastAsiaTheme="minorEastAsia" w:hAnsi="Palatino Linotype"/>
          <w:b/>
          <w:i/>
          <w:sz w:val="22"/>
          <w:szCs w:val="22"/>
          <w:lang w:val="es-ES_tradnl" w:eastAsia="es-ES"/>
        </w:rPr>
        <w:t>:</w:t>
      </w:r>
      <w:r w:rsidRPr="00A065D6">
        <w:rPr>
          <w:rFonts w:ascii="Palatino Linotype" w:hAnsi="Palatino Linotype"/>
          <w:i/>
          <w:color w:val="000000"/>
          <w:sz w:val="22"/>
          <w:szCs w:val="22"/>
        </w:rPr>
        <w:t xml:space="preserve"> "</w:t>
      </w:r>
      <w:r w:rsidR="00E0420A" w:rsidRPr="00A065D6">
        <w:rPr>
          <w:rFonts w:ascii="Verdana" w:hAnsi="Verdana"/>
          <w:color w:val="000000"/>
          <w:sz w:val="22"/>
          <w:szCs w:val="22"/>
        </w:rPr>
        <w:t xml:space="preserve"> </w:t>
      </w:r>
      <w:r w:rsidR="00E0420A" w:rsidRPr="00A065D6">
        <w:rPr>
          <w:rFonts w:ascii="Palatino Linotype" w:hAnsi="Palatino Linotype"/>
          <w:i/>
          <w:color w:val="000000"/>
          <w:sz w:val="22"/>
          <w:szCs w:val="22"/>
        </w:rPr>
        <w:t xml:space="preserve">la contestación que dieron de parte de la dirección de administración y por parte de la comisaria de seguridad </w:t>
      </w:r>
      <w:proofErr w:type="spellStart"/>
      <w:r w:rsidR="00E0420A" w:rsidRPr="00A065D6">
        <w:rPr>
          <w:rFonts w:ascii="Palatino Linotype" w:hAnsi="Palatino Linotype"/>
          <w:i/>
          <w:color w:val="000000"/>
          <w:sz w:val="22"/>
          <w:szCs w:val="22"/>
        </w:rPr>
        <w:t>publica</w:t>
      </w:r>
      <w:proofErr w:type="spellEnd"/>
      <w:r w:rsidR="00E0420A" w:rsidRPr="00A065D6">
        <w:rPr>
          <w:rFonts w:ascii="Palatino Linotype" w:hAnsi="Palatino Linotype"/>
          <w:i/>
          <w:color w:val="000000"/>
          <w:sz w:val="22"/>
          <w:szCs w:val="22"/>
        </w:rPr>
        <w:t xml:space="preserve"> y </w:t>
      </w:r>
      <w:proofErr w:type="spellStart"/>
      <w:r w:rsidR="00E0420A" w:rsidRPr="00A065D6">
        <w:rPr>
          <w:rFonts w:ascii="Palatino Linotype" w:hAnsi="Palatino Linotype"/>
          <w:i/>
          <w:color w:val="000000"/>
          <w:sz w:val="22"/>
          <w:szCs w:val="22"/>
        </w:rPr>
        <w:t>transito</w:t>
      </w:r>
      <w:proofErr w:type="spellEnd"/>
      <w:r w:rsidR="00E0420A" w:rsidRPr="00A065D6">
        <w:rPr>
          <w:rFonts w:ascii="Palatino Linotype" w:hAnsi="Palatino Linotype"/>
          <w:i/>
          <w:color w:val="000000"/>
          <w:sz w:val="22"/>
          <w:szCs w:val="22"/>
        </w:rPr>
        <w:t xml:space="preserve"> municipal a la solicitud 00010/COACALCO/IP/2024</w:t>
      </w:r>
      <w:r w:rsidRPr="00A065D6">
        <w:rPr>
          <w:rFonts w:ascii="Palatino Linotype" w:hAnsi="Palatino Linotype"/>
          <w:i/>
          <w:color w:val="000000"/>
          <w:sz w:val="22"/>
          <w:szCs w:val="22"/>
        </w:rPr>
        <w:t>" (Sic)</w:t>
      </w:r>
    </w:p>
    <w:p w14:paraId="6EB20614" w14:textId="77777777" w:rsidR="0032289E" w:rsidRPr="00A065D6" w:rsidRDefault="0032289E" w:rsidP="0032289E">
      <w:pPr>
        <w:spacing w:line="360" w:lineRule="auto"/>
        <w:ind w:left="567" w:right="567"/>
        <w:contextualSpacing/>
        <w:jc w:val="both"/>
        <w:rPr>
          <w:rFonts w:ascii="Palatino Linotype" w:eastAsia="Calibri" w:hAnsi="Palatino Linotype" w:cs="Arial"/>
          <w:sz w:val="22"/>
          <w:szCs w:val="22"/>
          <w:lang w:val="es-ES" w:eastAsia="es-ES"/>
        </w:rPr>
      </w:pPr>
    </w:p>
    <w:p w14:paraId="3EA026F3" w14:textId="77777777" w:rsidR="0032289E" w:rsidRPr="00A065D6" w:rsidRDefault="0032289E" w:rsidP="0032289E">
      <w:pPr>
        <w:spacing w:line="360" w:lineRule="auto"/>
        <w:ind w:left="567" w:right="567"/>
        <w:contextualSpacing/>
        <w:jc w:val="both"/>
        <w:rPr>
          <w:rFonts w:ascii="Palatino Linotype" w:eastAsiaTheme="minorEastAsia" w:hAnsi="Palatino Linotype"/>
          <w:b/>
          <w:sz w:val="22"/>
          <w:szCs w:val="22"/>
          <w:lang w:val="es-ES_tradnl" w:eastAsia="es-ES"/>
        </w:rPr>
      </w:pPr>
      <w:r w:rsidRPr="00A065D6">
        <w:rPr>
          <w:rFonts w:ascii="Palatino Linotype" w:eastAsiaTheme="minorEastAsia" w:hAnsi="Palatino Linotype"/>
          <w:b/>
          <w:sz w:val="22"/>
          <w:szCs w:val="22"/>
          <w:lang w:val="es-ES_tradnl" w:eastAsia="es-ES"/>
        </w:rPr>
        <w:t>Razones o Motivos de inconformidad:</w:t>
      </w:r>
      <w:r w:rsidRPr="00A065D6">
        <w:rPr>
          <w:rFonts w:ascii="Verdana" w:hAnsi="Verdana"/>
          <w:color w:val="000000"/>
          <w:sz w:val="22"/>
          <w:szCs w:val="22"/>
        </w:rPr>
        <w:t xml:space="preserve"> </w:t>
      </w:r>
      <w:r w:rsidRPr="00A065D6">
        <w:rPr>
          <w:rFonts w:ascii="Palatino Linotype" w:hAnsi="Palatino Linotype"/>
          <w:i/>
          <w:color w:val="000000"/>
          <w:sz w:val="22"/>
          <w:szCs w:val="22"/>
        </w:rPr>
        <w:t>“</w:t>
      </w:r>
      <w:r w:rsidR="00E0420A" w:rsidRPr="00A065D6">
        <w:rPr>
          <w:rFonts w:ascii="Palatino Linotype" w:hAnsi="Palatino Linotype"/>
          <w:i/>
          <w:color w:val="000000"/>
          <w:sz w:val="22"/>
          <w:szCs w:val="22"/>
        </w:rPr>
        <w:t xml:space="preserve">están vulnerando el principio de máxima publicidad al negar la información argumentando que no </w:t>
      </w:r>
      <w:proofErr w:type="spellStart"/>
      <w:r w:rsidR="00E0420A" w:rsidRPr="00A065D6">
        <w:rPr>
          <w:rFonts w:ascii="Palatino Linotype" w:hAnsi="Palatino Linotype"/>
          <w:i/>
          <w:color w:val="000000"/>
          <w:sz w:val="22"/>
          <w:szCs w:val="22"/>
        </w:rPr>
        <w:t>esta</w:t>
      </w:r>
      <w:proofErr w:type="spellEnd"/>
      <w:r w:rsidR="00E0420A" w:rsidRPr="00A065D6">
        <w:rPr>
          <w:rFonts w:ascii="Palatino Linotype" w:hAnsi="Palatino Linotype"/>
          <w:i/>
          <w:color w:val="000000"/>
          <w:sz w:val="22"/>
          <w:szCs w:val="22"/>
        </w:rPr>
        <w:t xml:space="preserve"> dentro de sus funciones y </w:t>
      </w:r>
      <w:r w:rsidR="00E0420A" w:rsidRPr="00A065D6">
        <w:rPr>
          <w:rFonts w:ascii="Palatino Linotype" w:hAnsi="Palatino Linotype"/>
          <w:i/>
          <w:color w:val="000000"/>
          <w:sz w:val="22"/>
          <w:szCs w:val="22"/>
        </w:rPr>
        <w:lastRenderedPageBreak/>
        <w:t xml:space="preserve">atribuciones al no realizar la búsqueda correspondiente reformulo la pregunta solicitando todos los contratos de arrendamiento de vehículos contratados por el ayuntamiento de Coacalco de Berriozábal en la administración 2022-2024 así como todos los contratos de prestación de servicios contratados por el ayuntamiento de Coacalco de Berriozábal en la administración 2022-2024 y cuales son asignados para el área de seguridad </w:t>
      </w:r>
      <w:proofErr w:type="spellStart"/>
      <w:r w:rsidR="00E0420A" w:rsidRPr="00A065D6">
        <w:rPr>
          <w:rFonts w:ascii="Palatino Linotype" w:hAnsi="Palatino Linotype"/>
          <w:i/>
          <w:color w:val="000000"/>
          <w:sz w:val="22"/>
          <w:szCs w:val="22"/>
        </w:rPr>
        <w:t>publica</w:t>
      </w:r>
      <w:proofErr w:type="spellEnd"/>
      <w:r w:rsidRPr="00A065D6">
        <w:rPr>
          <w:rFonts w:ascii="Palatino Linotype" w:hAnsi="Palatino Linotype"/>
          <w:i/>
          <w:color w:val="000000"/>
          <w:sz w:val="22"/>
          <w:szCs w:val="22"/>
        </w:rPr>
        <w:t>”</w:t>
      </w:r>
    </w:p>
    <w:p w14:paraId="21031185" w14:textId="77777777" w:rsidR="0032289E" w:rsidRPr="00A065D6" w:rsidRDefault="0032289E" w:rsidP="0032289E">
      <w:pPr>
        <w:spacing w:line="360" w:lineRule="auto"/>
        <w:ind w:right="567"/>
        <w:contextualSpacing/>
        <w:jc w:val="both"/>
        <w:rPr>
          <w:rFonts w:ascii="Palatino Linotype" w:hAnsi="Palatino Linotype" w:cs="Arial"/>
          <w:sz w:val="22"/>
          <w:szCs w:val="22"/>
        </w:rPr>
      </w:pPr>
    </w:p>
    <w:p w14:paraId="0DC3DB9C"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hAnsi="Palatino Linotype" w:cs="Arial"/>
          <w:szCs w:val="22"/>
          <w:lang w:val="es-ES" w:eastAsia="es-ES"/>
        </w:rPr>
        <w:t xml:space="preserve">Se registró el recurso de revisión bajo el número de expediente </w:t>
      </w:r>
      <w:r w:rsidRPr="00A065D6">
        <w:rPr>
          <w:rFonts w:ascii="Palatino Linotype" w:eastAsiaTheme="minorEastAsia" w:hAnsi="Palatino Linotype" w:cs="Arial"/>
          <w:bCs/>
          <w:szCs w:val="22"/>
          <w:lang w:val="es-ES_tradnl" w:eastAsia="es-ES"/>
        </w:rPr>
        <w:t xml:space="preserve">al rubro indicado, asimismo con fundamento en lo dispuesto por el </w:t>
      </w:r>
      <w:r w:rsidRPr="00A065D6">
        <w:rPr>
          <w:rFonts w:ascii="Palatino Linotype" w:eastAsia="Calibri" w:hAnsi="Palatino Linotype" w:cs="Arial"/>
          <w:szCs w:val="22"/>
          <w:lang w:val="es-ES" w:eastAsia="es-ES"/>
        </w:rPr>
        <w:t xml:space="preserve">artículo 185 fracción I de la </w:t>
      </w:r>
      <w:r w:rsidRPr="00A065D6">
        <w:rPr>
          <w:rFonts w:ascii="Palatino Linotype" w:eastAsia="Calibri" w:hAnsi="Palatino Linotype" w:cs="Arial"/>
          <w:b/>
          <w:szCs w:val="22"/>
          <w:lang w:val="es-ES" w:eastAsia="es-ES"/>
        </w:rPr>
        <w:t xml:space="preserve">Ley de Transparencia y Acceso a la Información Pública del Estado de México y Municipios </w:t>
      </w:r>
      <w:r w:rsidRPr="00A065D6">
        <w:rPr>
          <w:rFonts w:ascii="Palatino Linotype" w:hAnsi="Palatino Linotype" w:cs="Arial"/>
          <w:szCs w:val="22"/>
          <w:lang w:val="es-ES" w:eastAsia="es-ES"/>
        </w:rPr>
        <w:t xml:space="preserve">se turnó a la </w:t>
      </w:r>
      <w:r w:rsidRPr="00A065D6">
        <w:rPr>
          <w:rFonts w:ascii="Palatino Linotype" w:hAnsi="Palatino Linotype" w:cs="Arial"/>
          <w:b/>
          <w:szCs w:val="22"/>
          <w:lang w:val="es-ES" w:eastAsia="es-ES"/>
        </w:rPr>
        <w:t xml:space="preserve">Comisionada María del Rosario Mejía Ayala, </w:t>
      </w:r>
      <w:r w:rsidRPr="00A065D6">
        <w:rPr>
          <w:rFonts w:ascii="Palatino Linotype" w:hAnsi="Palatino Linotype" w:cs="Arial"/>
          <w:szCs w:val="22"/>
          <w:lang w:val="es-ES" w:eastAsia="es-ES"/>
        </w:rPr>
        <w:t xml:space="preserve">con el objeto de </w:t>
      </w:r>
      <w:r w:rsidRPr="00A065D6">
        <w:rPr>
          <w:rFonts w:ascii="Palatino Linotype" w:hAnsi="Palatino Linotype" w:cs="Arial"/>
          <w:szCs w:val="22"/>
          <w:lang w:eastAsia="es-ES"/>
        </w:rPr>
        <w:t xml:space="preserve">su análisis. </w:t>
      </w:r>
    </w:p>
    <w:p w14:paraId="2DCC9D4E"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1DBB8491"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eastAsia="Calibri" w:hAnsi="Palatino Linotype" w:cs="Arial"/>
          <w:szCs w:val="22"/>
          <w:lang w:val="es-ES" w:eastAsia="es-ES"/>
        </w:rPr>
        <w:t xml:space="preserve">El Comisionado Ponente con fundamento en lo dispuesto por el artículo 185 fracción II de la ley de la materia, a través del acuerdo de admisión del </w:t>
      </w:r>
      <w:r w:rsidR="00E0420A" w:rsidRPr="00A065D6">
        <w:rPr>
          <w:rFonts w:ascii="Palatino Linotype" w:eastAsia="Calibri" w:hAnsi="Palatino Linotype" w:cs="Arial"/>
          <w:szCs w:val="22"/>
          <w:lang w:val="es-ES" w:eastAsia="es-ES"/>
        </w:rPr>
        <w:t>dos (02) de abril</w:t>
      </w:r>
      <w:r w:rsidRPr="00A065D6">
        <w:rPr>
          <w:rFonts w:ascii="Palatino Linotype" w:eastAsia="Calibri" w:hAnsi="Palatino Linotype" w:cs="Arial"/>
          <w:szCs w:val="22"/>
          <w:lang w:val="es-ES" w:eastAsia="es-ES"/>
        </w:rPr>
        <w:t xml:space="preserve"> de dos mil veinticuatro, puso a disposición de las partes el expediente electrónico </w:t>
      </w:r>
      <w:r w:rsidRPr="00A065D6">
        <w:rPr>
          <w:rFonts w:ascii="Palatino Linotype" w:eastAsia="Calibri" w:hAnsi="Palatino Linotype" w:cs="Arial"/>
          <w:szCs w:val="22"/>
          <w:lang w:val="es-ES_tradnl" w:eastAsia="es-ES"/>
        </w:rPr>
        <w:t xml:space="preserve">vía </w:t>
      </w:r>
      <w:r w:rsidRPr="00A065D6">
        <w:rPr>
          <w:rFonts w:ascii="Palatino Linotype" w:eastAsia="Calibri" w:hAnsi="Palatino Linotype" w:cs="Arial"/>
          <w:b/>
          <w:szCs w:val="22"/>
          <w:lang w:val="es-ES" w:eastAsia="es-ES"/>
        </w:rPr>
        <w:t xml:space="preserve">SAIMEX </w:t>
      </w:r>
      <w:r w:rsidRPr="00A065D6">
        <w:rPr>
          <w:rFonts w:ascii="Palatino Linotype" w:eastAsia="Calibri" w:hAnsi="Palatino Linotype" w:cs="Arial"/>
          <w:szCs w:val="22"/>
          <w:lang w:val="es-ES" w:eastAsia="es-ES"/>
        </w:rPr>
        <w:t xml:space="preserve">a efecto de que en un plazo máximo de siete días manifestaran lo que a derecho convinieran, ofrecieran pruebas y alegatos según corresponda al caso concreto, de esta forma para que el </w:t>
      </w:r>
      <w:r w:rsidRPr="00A065D6">
        <w:rPr>
          <w:rFonts w:ascii="Palatino Linotype" w:eastAsia="Calibri" w:hAnsi="Palatino Linotype" w:cs="Arial"/>
          <w:b/>
          <w:szCs w:val="22"/>
          <w:lang w:val="es-ES" w:eastAsia="es-ES"/>
        </w:rPr>
        <w:t>SUJETO OBLIGADO</w:t>
      </w:r>
      <w:r w:rsidRPr="00A065D6">
        <w:rPr>
          <w:rFonts w:ascii="Palatino Linotype" w:eastAsia="Calibri" w:hAnsi="Palatino Linotype" w:cs="Arial"/>
          <w:szCs w:val="22"/>
          <w:lang w:val="es-ES" w:eastAsia="es-ES"/>
        </w:rPr>
        <w:t xml:space="preserve"> presentara el informe justificado procedente. </w:t>
      </w:r>
    </w:p>
    <w:p w14:paraId="3DD9703D" w14:textId="77777777" w:rsidR="0032289E" w:rsidRPr="00A065D6" w:rsidRDefault="0032289E" w:rsidP="0032289E">
      <w:pPr>
        <w:pStyle w:val="Prrafodelista"/>
        <w:rPr>
          <w:rFonts w:ascii="Palatino Linotype" w:eastAsia="Calibri" w:hAnsi="Palatino Linotype" w:cs="Arial"/>
          <w:szCs w:val="22"/>
          <w:lang w:val="es-ES" w:eastAsia="es-ES"/>
        </w:rPr>
      </w:pPr>
    </w:p>
    <w:p w14:paraId="59B3AB86" w14:textId="77777777" w:rsidR="002D3297" w:rsidRPr="00A065D6" w:rsidRDefault="0032289E" w:rsidP="002D3297">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eastAsia="Calibri" w:hAnsi="Palatino Linotype" w:cs="Arial"/>
          <w:szCs w:val="22"/>
          <w:lang w:val="es-ES" w:eastAsia="es-ES"/>
        </w:rPr>
        <w:t xml:space="preserve">De las constancias del expediente electrónico SAIMEX no se advierten manifestaciones del Recurrente; por su parte, el Sujeto Obligado entregó informe justificado el </w:t>
      </w:r>
      <w:r w:rsidR="002D3297" w:rsidRPr="00A065D6">
        <w:rPr>
          <w:rFonts w:ascii="Palatino Linotype" w:eastAsia="Calibri" w:hAnsi="Palatino Linotype" w:cs="Arial"/>
          <w:szCs w:val="22"/>
          <w:lang w:val="es-ES" w:eastAsia="es-ES"/>
        </w:rPr>
        <w:t>nueve (09) de abril de dos mil veinticuatro y se puso a la vista del particular el ocho (08) de octubre del mismo año; consta de los archivos que, grosso modo, se describen enseguida:</w:t>
      </w:r>
    </w:p>
    <w:p w14:paraId="5CC82BF0" w14:textId="77777777" w:rsidR="0032289E" w:rsidRPr="00A065D6" w:rsidRDefault="0032289E" w:rsidP="0032289E">
      <w:pPr>
        <w:pStyle w:val="Prrafodelista"/>
        <w:rPr>
          <w:rFonts w:ascii="Palatino Linotype" w:hAnsi="Palatino Linotype" w:cs="Arial"/>
          <w:szCs w:val="22"/>
          <w:lang w:val="es-ES" w:eastAsia="es-ES"/>
        </w:rPr>
      </w:pPr>
    </w:p>
    <w:p w14:paraId="064A847C" w14:textId="77777777" w:rsidR="0032289E" w:rsidRPr="00A065D6" w:rsidRDefault="008E18E9" w:rsidP="002D3297">
      <w:pPr>
        <w:pStyle w:val="Prrafodelista"/>
        <w:numPr>
          <w:ilvl w:val="0"/>
          <w:numId w:val="7"/>
        </w:numPr>
        <w:spacing w:line="360" w:lineRule="auto"/>
        <w:jc w:val="both"/>
        <w:rPr>
          <w:rFonts w:ascii="Palatino Linotype" w:hAnsi="Palatino Linotype"/>
          <w:szCs w:val="22"/>
        </w:rPr>
      </w:pPr>
      <w:hyperlink r:id="rId11" w:history="1">
        <w:r w:rsidR="002D3297" w:rsidRPr="00A065D6">
          <w:rPr>
            <w:rStyle w:val="Hipervnculo"/>
            <w:rFonts w:ascii="Palatino Linotype" w:hAnsi="Palatino Linotype"/>
            <w:b/>
            <w:bCs/>
            <w:color w:val="auto"/>
            <w:szCs w:val="22"/>
          </w:rPr>
          <w:t>Recurso de revisión .pdf</w:t>
        </w:r>
      </w:hyperlink>
      <w:r w:rsidR="002D3297" w:rsidRPr="00A065D6">
        <w:rPr>
          <w:rFonts w:ascii="Palatino Linotype" w:hAnsi="Palatino Linotype"/>
          <w:szCs w:val="22"/>
        </w:rPr>
        <w:t xml:space="preserve">: documento suscrito por el Titular de la Unidad de Transparencia, en el que señaló, de forma medular, que se dio respuesta emitida por los servidores públicos habilitados. </w:t>
      </w:r>
    </w:p>
    <w:p w14:paraId="73C94AE8" w14:textId="77777777" w:rsidR="002D3297" w:rsidRPr="00A065D6" w:rsidRDefault="002D3297" w:rsidP="002D3297">
      <w:pPr>
        <w:pStyle w:val="Prrafodelista"/>
        <w:spacing w:line="360" w:lineRule="auto"/>
        <w:jc w:val="both"/>
        <w:rPr>
          <w:rFonts w:ascii="Palatino Linotype" w:hAnsi="Palatino Linotype"/>
          <w:szCs w:val="22"/>
        </w:rPr>
      </w:pPr>
    </w:p>
    <w:p w14:paraId="0C4B9986" w14:textId="77777777" w:rsidR="002D3297" w:rsidRPr="00A065D6" w:rsidRDefault="008E18E9" w:rsidP="002D3297">
      <w:pPr>
        <w:pStyle w:val="Prrafodelista"/>
        <w:numPr>
          <w:ilvl w:val="0"/>
          <w:numId w:val="7"/>
        </w:numPr>
        <w:spacing w:line="360" w:lineRule="auto"/>
        <w:jc w:val="both"/>
        <w:rPr>
          <w:rFonts w:ascii="Palatino Linotype" w:hAnsi="Palatino Linotype"/>
          <w:szCs w:val="22"/>
        </w:rPr>
      </w:pPr>
      <w:hyperlink r:id="rId12" w:history="1">
        <w:r w:rsidR="002D3297" w:rsidRPr="00A065D6">
          <w:rPr>
            <w:rStyle w:val="Hipervnculo"/>
            <w:rFonts w:ascii="Palatino Linotype" w:hAnsi="Palatino Linotype" w:cs="Arial"/>
            <w:b/>
            <w:bCs/>
            <w:color w:val="auto"/>
            <w:szCs w:val="22"/>
          </w:rPr>
          <w:t>Administración 10.pdf</w:t>
        </w:r>
      </w:hyperlink>
      <w:r w:rsidR="002D3297" w:rsidRPr="00A065D6">
        <w:rPr>
          <w:rFonts w:ascii="Palatino Linotype" w:hAnsi="Palatino Linotype"/>
          <w:szCs w:val="22"/>
        </w:rPr>
        <w:t>: se anexaron dos oficios, el primero suscrito por la Directora de Administración en el que ratificó su respuesta y el segundo suscrito por el Subdirector de Adquisiciones y Recursos Materiales en los que, ratificó su respuesta y señaló que el particular amplio su solicitud in</w:t>
      </w:r>
      <w:r w:rsidR="00A065D6" w:rsidRPr="00A065D6">
        <w:rPr>
          <w:rFonts w:ascii="Palatino Linotype" w:hAnsi="Palatino Linotype"/>
          <w:szCs w:val="22"/>
        </w:rPr>
        <w:t>i</w:t>
      </w:r>
      <w:r w:rsidR="002D3297" w:rsidRPr="00A065D6">
        <w:rPr>
          <w:rFonts w:ascii="Palatino Linotype" w:hAnsi="Palatino Linotype"/>
          <w:szCs w:val="22"/>
        </w:rPr>
        <w:t xml:space="preserve">cial. </w:t>
      </w:r>
    </w:p>
    <w:p w14:paraId="4B4D6B3E" w14:textId="77777777" w:rsidR="002D3297" w:rsidRPr="00A065D6" w:rsidRDefault="002D3297" w:rsidP="002D3297">
      <w:pPr>
        <w:spacing w:line="360" w:lineRule="auto"/>
        <w:jc w:val="both"/>
        <w:rPr>
          <w:rFonts w:ascii="Palatino Linotype" w:hAnsi="Palatino Linotype"/>
          <w:sz w:val="22"/>
          <w:szCs w:val="22"/>
        </w:rPr>
      </w:pPr>
    </w:p>
    <w:p w14:paraId="741800E3" w14:textId="77777777" w:rsidR="002D3297" w:rsidRPr="00A065D6" w:rsidRDefault="008E18E9" w:rsidP="002D3297">
      <w:pPr>
        <w:pStyle w:val="Prrafodelista"/>
        <w:numPr>
          <w:ilvl w:val="0"/>
          <w:numId w:val="7"/>
        </w:numPr>
        <w:spacing w:line="360" w:lineRule="auto"/>
        <w:jc w:val="both"/>
        <w:rPr>
          <w:rFonts w:ascii="Palatino Linotype" w:hAnsi="Palatino Linotype"/>
          <w:szCs w:val="22"/>
        </w:rPr>
      </w:pPr>
      <w:hyperlink r:id="rId13" w:history="1">
        <w:r w:rsidR="002D3297" w:rsidRPr="00A065D6">
          <w:rPr>
            <w:rStyle w:val="Hipervnculo"/>
            <w:rFonts w:ascii="Palatino Linotype" w:hAnsi="Palatino Linotype" w:cs="Arial"/>
            <w:b/>
            <w:bCs/>
            <w:color w:val="auto"/>
            <w:szCs w:val="22"/>
          </w:rPr>
          <w:t>Comisaria 10.pdf</w:t>
        </w:r>
      </w:hyperlink>
      <w:r w:rsidR="002D3297" w:rsidRPr="00A065D6">
        <w:rPr>
          <w:rFonts w:ascii="Palatino Linotype" w:hAnsi="Palatino Linotype"/>
          <w:szCs w:val="22"/>
        </w:rPr>
        <w:t>:</w:t>
      </w:r>
      <w:r w:rsidR="00A065D6" w:rsidRPr="00A065D6">
        <w:rPr>
          <w:rFonts w:ascii="Palatino Linotype" w:hAnsi="Palatino Linotype"/>
          <w:szCs w:val="22"/>
        </w:rPr>
        <w:t xml:space="preserve"> oficio CSPYTM/ET/018/2024 de fecha cuatro de abril de dos mil veinticuatro, suscrito por el Comisario de Seguridad Pública y Tránsito Municipal en el que ratificó su respuesta. </w:t>
      </w:r>
    </w:p>
    <w:p w14:paraId="57E6FCB9" w14:textId="77777777" w:rsidR="0032289E" w:rsidRPr="00A065D6" w:rsidRDefault="0032289E" w:rsidP="0032289E">
      <w:pPr>
        <w:rPr>
          <w:rFonts w:ascii="Palatino Linotype" w:hAnsi="Palatino Linotype" w:cs="Arial"/>
          <w:sz w:val="22"/>
          <w:szCs w:val="22"/>
          <w:lang w:val="es-ES" w:eastAsia="es-ES"/>
        </w:rPr>
      </w:pPr>
    </w:p>
    <w:p w14:paraId="537A3393" w14:textId="77777777" w:rsidR="0032289E" w:rsidRPr="00A065D6" w:rsidRDefault="00A065D6"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Pr>
          <w:rFonts w:ascii="Palatino Linotype" w:hAnsi="Palatino Linotype" w:cs="Arial"/>
          <w:szCs w:val="22"/>
          <w:lang w:val="es-ES" w:eastAsia="es-ES"/>
        </w:rPr>
        <w:t>El siete (07) de junio</w:t>
      </w:r>
      <w:r w:rsidR="0032289E" w:rsidRPr="00A065D6">
        <w:rPr>
          <w:rFonts w:ascii="Palatino Linotype" w:hAnsi="Palatino Linotype" w:cs="Arial"/>
          <w:szCs w:val="22"/>
          <w:lang w:val="es-ES" w:eastAsia="es-ES"/>
        </w:rPr>
        <w:t xml:space="preserve"> de dos mil veinticuatro, se notificó el acuerdo a través del cual se aprobó la ampliación de plazo para emitir resolución, por un periodo de quince días. </w:t>
      </w:r>
    </w:p>
    <w:p w14:paraId="12197D99"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76F41F56"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E630E65" w14:textId="77777777" w:rsidR="0032289E" w:rsidRPr="00A065D6" w:rsidRDefault="0032289E" w:rsidP="0032289E">
      <w:pPr>
        <w:spacing w:line="360" w:lineRule="auto"/>
        <w:rPr>
          <w:rFonts w:ascii="Palatino Linotype" w:hAnsi="Palatino Linotype"/>
          <w:sz w:val="22"/>
          <w:szCs w:val="22"/>
        </w:rPr>
      </w:pPr>
    </w:p>
    <w:p w14:paraId="092BFEC1"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w:t>
      </w:r>
      <w:r w:rsidRPr="00A065D6">
        <w:rPr>
          <w:rFonts w:ascii="Palatino Linotype" w:hAnsi="Palatino Linotype"/>
          <w:sz w:val="22"/>
          <w:szCs w:val="22"/>
        </w:rPr>
        <w:lastRenderedPageBreak/>
        <w:t>órganos jurisdiccionales federales, aplicables también en procedimientos análogos, como el que nos ocupa.</w:t>
      </w:r>
    </w:p>
    <w:p w14:paraId="77D8DF38" w14:textId="77777777" w:rsidR="0032289E" w:rsidRPr="00A065D6" w:rsidRDefault="0032289E" w:rsidP="0032289E">
      <w:pPr>
        <w:spacing w:line="360" w:lineRule="auto"/>
        <w:rPr>
          <w:rFonts w:ascii="Palatino Linotype" w:hAnsi="Palatino Linotype"/>
          <w:sz w:val="22"/>
          <w:szCs w:val="22"/>
        </w:rPr>
      </w:pPr>
    </w:p>
    <w:p w14:paraId="55F84E85"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E922CD" w14:textId="77777777" w:rsidR="0032289E" w:rsidRPr="00A065D6" w:rsidRDefault="0032289E" w:rsidP="0032289E">
      <w:pPr>
        <w:spacing w:line="360" w:lineRule="auto"/>
        <w:rPr>
          <w:rFonts w:ascii="Palatino Linotype" w:hAnsi="Palatino Linotype"/>
          <w:sz w:val="22"/>
          <w:szCs w:val="22"/>
        </w:rPr>
      </w:pPr>
    </w:p>
    <w:p w14:paraId="57E8EE2F"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E066781" w14:textId="77777777" w:rsidR="0032289E" w:rsidRPr="00A065D6" w:rsidRDefault="0032289E" w:rsidP="0032289E">
      <w:pPr>
        <w:spacing w:line="360" w:lineRule="auto"/>
        <w:contextualSpacing/>
        <w:jc w:val="both"/>
        <w:rPr>
          <w:rFonts w:ascii="Palatino Linotype" w:eastAsia="MS Mincho" w:hAnsi="Palatino Linotype"/>
          <w:b/>
          <w:sz w:val="22"/>
          <w:szCs w:val="22"/>
        </w:rPr>
      </w:pPr>
    </w:p>
    <w:p w14:paraId="76BD7EF3"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5EBC2E3B" w14:textId="77777777" w:rsidR="0032289E" w:rsidRPr="00A065D6" w:rsidRDefault="0032289E" w:rsidP="0032289E">
      <w:pPr>
        <w:spacing w:line="360" w:lineRule="auto"/>
        <w:rPr>
          <w:rFonts w:ascii="Palatino Linotype" w:hAnsi="Palatino Linotype"/>
          <w:sz w:val="22"/>
          <w:szCs w:val="22"/>
        </w:rPr>
      </w:pPr>
    </w:p>
    <w:p w14:paraId="7446744F" w14:textId="77777777" w:rsidR="0032289E" w:rsidRPr="00A065D6" w:rsidRDefault="0032289E" w:rsidP="0032289E">
      <w:pPr>
        <w:pStyle w:val="Prrafodelista"/>
        <w:numPr>
          <w:ilvl w:val="0"/>
          <w:numId w:val="2"/>
        </w:numPr>
        <w:spacing w:line="360" w:lineRule="auto"/>
        <w:jc w:val="both"/>
        <w:rPr>
          <w:rFonts w:ascii="Palatino Linotype" w:hAnsi="Palatino Linotype"/>
          <w:szCs w:val="22"/>
        </w:rPr>
      </w:pPr>
      <w:r w:rsidRPr="00A065D6">
        <w:rPr>
          <w:rFonts w:ascii="Palatino Linotype" w:hAnsi="Palatino Linotype"/>
          <w:szCs w:val="22"/>
        </w:rPr>
        <w:t xml:space="preserve">Complejidad del Asunto: La complejidad de la prueba, la pluralidad de sujetos procesales, el tiempo transcurrido, las características y contexto del recurso. </w:t>
      </w:r>
    </w:p>
    <w:p w14:paraId="4DE8E399" w14:textId="77777777" w:rsidR="0032289E" w:rsidRPr="00A065D6" w:rsidRDefault="0032289E" w:rsidP="0032289E">
      <w:pPr>
        <w:pStyle w:val="Prrafodelista"/>
        <w:spacing w:line="360" w:lineRule="auto"/>
        <w:ind w:left="927"/>
        <w:jc w:val="both"/>
        <w:rPr>
          <w:rFonts w:ascii="Palatino Linotype" w:hAnsi="Palatino Linotype"/>
          <w:szCs w:val="22"/>
        </w:rPr>
      </w:pPr>
    </w:p>
    <w:p w14:paraId="7A7049CF" w14:textId="77777777" w:rsidR="0032289E" w:rsidRPr="00A065D6" w:rsidRDefault="0032289E" w:rsidP="0032289E">
      <w:pPr>
        <w:pStyle w:val="Prrafodelista"/>
        <w:numPr>
          <w:ilvl w:val="0"/>
          <w:numId w:val="2"/>
        </w:numPr>
        <w:spacing w:line="360" w:lineRule="auto"/>
        <w:jc w:val="both"/>
        <w:rPr>
          <w:rFonts w:ascii="Palatino Linotype" w:hAnsi="Palatino Linotype"/>
          <w:szCs w:val="22"/>
        </w:rPr>
      </w:pPr>
      <w:r w:rsidRPr="00A065D6">
        <w:rPr>
          <w:rFonts w:ascii="Palatino Linotype" w:hAnsi="Palatino Linotype"/>
          <w:szCs w:val="22"/>
        </w:rPr>
        <w:t>Actividad Procesal del interesado. Acciones u omisiones del interesado.</w:t>
      </w:r>
    </w:p>
    <w:p w14:paraId="40CC7340" w14:textId="77777777" w:rsidR="0032289E" w:rsidRPr="00A065D6" w:rsidRDefault="0032289E" w:rsidP="0032289E">
      <w:pPr>
        <w:spacing w:line="360" w:lineRule="auto"/>
        <w:jc w:val="both"/>
        <w:rPr>
          <w:rFonts w:ascii="Palatino Linotype" w:hAnsi="Palatino Linotype"/>
          <w:sz w:val="22"/>
          <w:szCs w:val="22"/>
        </w:rPr>
      </w:pPr>
    </w:p>
    <w:p w14:paraId="7E6E2B33" w14:textId="77777777" w:rsidR="0032289E" w:rsidRPr="00A065D6" w:rsidRDefault="0032289E" w:rsidP="0032289E">
      <w:pPr>
        <w:pStyle w:val="Prrafodelista"/>
        <w:numPr>
          <w:ilvl w:val="0"/>
          <w:numId w:val="2"/>
        </w:numPr>
        <w:spacing w:line="360" w:lineRule="auto"/>
        <w:jc w:val="both"/>
        <w:rPr>
          <w:rFonts w:ascii="Palatino Linotype" w:hAnsi="Palatino Linotype"/>
          <w:szCs w:val="22"/>
        </w:rPr>
      </w:pPr>
      <w:r w:rsidRPr="00A065D6">
        <w:rPr>
          <w:rFonts w:ascii="Palatino Linotype" w:hAnsi="Palatino Linotype"/>
          <w:szCs w:val="22"/>
        </w:rPr>
        <w:t>Conducta de la Autoridad: Las Acciones u omisiones realizadas en el procedimiento. Así como si la autoridad actuó con la debida diligencia.</w:t>
      </w:r>
    </w:p>
    <w:p w14:paraId="637C3245" w14:textId="77777777" w:rsidR="0032289E" w:rsidRPr="00A065D6" w:rsidRDefault="0032289E" w:rsidP="0032289E">
      <w:pPr>
        <w:pStyle w:val="Prrafodelista"/>
        <w:spacing w:line="360" w:lineRule="auto"/>
        <w:rPr>
          <w:rFonts w:ascii="Palatino Linotype" w:hAnsi="Palatino Linotype"/>
          <w:szCs w:val="22"/>
        </w:rPr>
      </w:pPr>
    </w:p>
    <w:p w14:paraId="2EA16CE4" w14:textId="77777777" w:rsidR="0032289E" w:rsidRPr="00A065D6" w:rsidRDefault="0032289E" w:rsidP="0032289E">
      <w:pPr>
        <w:spacing w:line="360" w:lineRule="auto"/>
        <w:ind w:left="567"/>
        <w:jc w:val="both"/>
        <w:rPr>
          <w:rFonts w:ascii="Palatino Linotype" w:hAnsi="Palatino Linotype"/>
          <w:sz w:val="22"/>
          <w:szCs w:val="22"/>
        </w:rPr>
      </w:pPr>
      <w:r w:rsidRPr="00A065D6">
        <w:rPr>
          <w:rFonts w:ascii="Palatino Linotype" w:hAnsi="Palatino Linotype"/>
          <w:sz w:val="22"/>
          <w:szCs w:val="22"/>
        </w:rPr>
        <w:t>d) La afectación generada en la situación jurídica de la persona involucrada en el proceso: Violación a sus derechos humanos.</w:t>
      </w:r>
    </w:p>
    <w:p w14:paraId="01DB28EB" w14:textId="77777777" w:rsidR="0032289E" w:rsidRPr="00A065D6" w:rsidRDefault="0032289E" w:rsidP="0032289E">
      <w:pPr>
        <w:spacing w:line="360" w:lineRule="auto"/>
        <w:rPr>
          <w:rFonts w:ascii="Palatino Linotype" w:hAnsi="Palatino Linotype"/>
          <w:sz w:val="22"/>
          <w:szCs w:val="22"/>
        </w:rPr>
      </w:pPr>
    </w:p>
    <w:p w14:paraId="4FBD7ACA"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1C72CC" w14:textId="77777777" w:rsidR="0032289E" w:rsidRPr="00A065D6" w:rsidRDefault="0032289E" w:rsidP="0032289E">
      <w:pPr>
        <w:spacing w:line="360" w:lineRule="auto"/>
        <w:contextualSpacing/>
        <w:jc w:val="both"/>
        <w:rPr>
          <w:rFonts w:ascii="Palatino Linotype" w:eastAsia="MS Mincho" w:hAnsi="Palatino Linotype"/>
          <w:b/>
          <w:sz w:val="22"/>
          <w:szCs w:val="22"/>
        </w:rPr>
      </w:pPr>
    </w:p>
    <w:p w14:paraId="656CDDAA"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 xml:space="preserve">Argumento que encuentra sustento en la jurisprudencia P./J. 32/92 emitida por el Pleno de la Suprema Corte de Justicia de la Nación de rubro </w:t>
      </w:r>
      <w:r w:rsidRPr="00A065D6">
        <w:rPr>
          <w:rFonts w:ascii="Palatino Linotype" w:hAnsi="Palatino Linotype"/>
          <w:i/>
          <w:sz w:val="22"/>
          <w:szCs w:val="22"/>
        </w:rPr>
        <w:t>“TÉRMINOS PROCESALES. PARA DETERMINAR SI UN FUNCIONARIO JUDICIAL ACTUÓ INDEBIDAMENTE POR NO RESPETARLOS SE DEBE ATENDER AL PRESUPUESTO QUE CONSIDERÓ EL LEGISLADOR AL FIJARLOS Y LAS CARACTERÍSTICAS DEL CASO.”</w:t>
      </w:r>
      <w:r w:rsidRPr="00A065D6">
        <w:rPr>
          <w:rFonts w:ascii="Palatino Linotype" w:hAnsi="Palatino Linotype"/>
          <w:sz w:val="22"/>
          <w:szCs w:val="22"/>
        </w:rPr>
        <w:t>, visible en la Gaceta del Seminario Judicial de la Federación con el registro digital 205635.</w:t>
      </w:r>
    </w:p>
    <w:p w14:paraId="1C80AFA2" w14:textId="77777777" w:rsidR="0032289E" w:rsidRPr="00A065D6" w:rsidRDefault="0032289E" w:rsidP="0032289E">
      <w:pPr>
        <w:spacing w:line="360" w:lineRule="auto"/>
        <w:rPr>
          <w:rFonts w:ascii="Palatino Linotype" w:hAnsi="Palatino Linotype"/>
          <w:sz w:val="22"/>
          <w:szCs w:val="22"/>
        </w:rPr>
      </w:pPr>
    </w:p>
    <w:p w14:paraId="0FDE8A69"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770863B" w14:textId="77777777" w:rsidR="0032289E" w:rsidRPr="00A065D6" w:rsidRDefault="0032289E" w:rsidP="0032289E">
      <w:pPr>
        <w:spacing w:line="360" w:lineRule="auto"/>
        <w:rPr>
          <w:rFonts w:ascii="Palatino Linotype" w:hAnsi="Palatino Linotype"/>
          <w:sz w:val="22"/>
          <w:szCs w:val="22"/>
        </w:rPr>
      </w:pPr>
    </w:p>
    <w:p w14:paraId="62DA6617"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6F8B6655" w14:textId="77777777" w:rsidR="0032289E" w:rsidRPr="00A065D6" w:rsidRDefault="0032289E" w:rsidP="0032289E">
      <w:pPr>
        <w:spacing w:line="360" w:lineRule="auto"/>
        <w:rPr>
          <w:rFonts w:ascii="Palatino Linotype" w:hAnsi="Palatino Linotype"/>
          <w:sz w:val="22"/>
          <w:szCs w:val="22"/>
        </w:rPr>
      </w:pPr>
    </w:p>
    <w:p w14:paraId="51E1ACE2" w14:textId="77777777" w:rsidR="0032289E" w:rsidRPr="00A065D6"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A065D6">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59B24A6B" w14:textId="77777777" w:rsidR="0032289E" w:rsidRPr="00A065D6" w:rsidRDefault="0032289E" w:rsidP="0032289E">
      <w:pPr>
        <w:spacing w:line="360" w:lineRule="auto"/>
        <w:jc w:val="both"/>
        <w:rPr>
          <w:rFonts w:ascii="Palatino Linotype" w:hAnsi="Palatino Linotype"/>
          <w:sz w:val="22"/>
          <w:szCs w:val="22"/>
        </w:rPr>
      </w:pPr>
    </w:p>
    <w:p w14:paraId="27DDCF6D" w14:textId="77777777" w:rsidR="0032289E" w:rsidRPr="00A065D6" w:rsidRDefault="0032289E" w:rsidP="0032289E">
      <w:pPr>
        <w:spacing w:line="360" w:lineRule="auto"/>
        <w:ind w:left="851" w:right="822"/>
        <w:jc w:val="both"/>
        <w:rPr>
          <w:rFonts w:ascii="Palatino Linotype" w:hAnsi="Palatino Linotype"/>
          <w:sz w:val="22"/>
          <w:szCs w:val="22"/>
        </w:rPr>
      </w:pPr>
      <w:r w:rsidRPr="00A065D6">
        <w:rPr>
          <w:rFonts w:ascii="Palatino Linotype" w:hAnsi="Palatino Linotype"/>
          <w:sz w:val="22"/>
          <w:szCs w:val="22"/>
        </w:rPr>
        <w:t xml:space="preserve"> </w:t>
      </w:r>
      <w:r w:rsidRPr="00A065D6">
        <w:rPr>
          <w:rFonts w:ascii="Palatino Linotype" w:hAnsi="Palatino Linotype"/>
          <w:i/>
          <w:sz w:val="22"/>
          <w:szCs w:val="22"/>
        </w:rPr>
        <w:t>“PLAZO RAZONABLE PARA RESOLVER. DIMENSIÓN Y EFECTOS DE ESTE CONCEPTO CUANDO SE ADUCE EXCESIVA CARGA DE TRABAJO.”</w:t>
      </w:r>
      <w:r w:rsidRPr="00A065D6">
        <w:rPr>
          <w:rFonts w:ascii="Palatino Linotype" w:hAnsi="Palatino Linotype"/>
          <w:sz w:val="22"/>
          <w:szCs w:val="22"/>
        </w:rPr>
        <w:t xml:space="preserve"> consultable en el Seminario Judicial de la Federación y su gaceta, con el registro digital 2002351.</w:t>
      </w:r>
    </w:p>
    <w:p w14:paraId="036B594D" w14:textId="77777777" w:rsidR="0032289E" w:rsidRPr="00A065D6" w:rsidRDefault="0032289E" w:rsidP="0032289E">
      <w:pPr>
        <w:spacing w:line="360" w:lineRule="auto"/>
        <w:ind w:left="851" w:right="822"/>
        <w:jc w:val="both"/>
        <w:rPr>
          <w:rFonts w:ascii="Palatino Linotype" w:hAnsi="Palatino Linotype"/>
          <w:b/>
          <w:sz w:val="22"/>
          <w:szCs w:val="22"/>
        </w:rPr>
      </w:pPr>
    </w:p>
    <w:p w14:paraId="484D8423" w14:textId="77777777" w:rsidR="0032289E" w:rsidRPr="00A065D6" w:rsidRDefault="0032289E" w:rsidP="0032289E">
      <w:pPr>
        <w:spacing w:line="360" w:lineRule="auto"/>
        <w:ind w:left="851" w:right="822"/>
        <w:jc w:val="both"/>
        <w:rPr>
          <w:rFonts w:ascii="Palatino Linotype" w:hAnsi="Palatino Linotype"/>
          <w:sz w:val="22"/>
          <w:szCs w:val="22"/>
        </w:rPr>
      </w:pPr>
      <w:r w:rsidRPr="00A065D6">
        <w:rPr>
          <w:rFonts w:ascii="Palatino Linotype" w:hAnsi="Palatino Linotype"/>
          <w:i/>
          <w:sz w:val="22"/>
          <w:szCs w:val="22"/>
        </w:rPr>
        <w:t>“PLAZO RAZONABLE PARA RESOLVER. CONCEPTO Y ELEMENTOS QUE LO INTEGRAN A LA LUZ DEL DERECHO INTERNACIONAL DE LOS DERECHOS HUMANOS.”</w:t>
      </w:r>
      <w:r w:rsidRPr="00A065D6">
        <w:rPr>
          <w:rFonts w:ascii="Palatino Linotype" w:hAnsi="Palatino Linotype"/>
          <w:sz w:val="22"/>
          <w:szCs w:val="22"/>
        </w:rPr>
        <w:t>, visible en el Seminario Judicial de la Federación y su gaceta, con el registro digital 2002350.</w:t>
      </w:r>
    </w:p>
    <w:p w14:paraId="60D31026" w14:textId="77777777" w:rsidR="0032289E" w:rsidRPr="00A065D6" w:rsidRDefault="0032289E" w:rsidP="0032289E">
      <w:pPr>
        <w:spacing w:line="360" w:lineRule="auto"/>
        <w:ind w:right="822"/>
        <w:jc w:val="both"/>
        <w:rPr>
          <w:rFonts w:ascii="Palatino Linotype" w:hAnsi="Palatino Linotype"/>
          <w:i/>
          <w:sz w:val="22"/>
          <w:szCs w:val="22"/>
        </w:rPr>
      </w:pPr>
    </w:p>
    <w:p w14:paraId="1C1F6F0D" w14:textId="77777777" w:rsidR="0032289E" w:rsidRPr="00A065D6" w:rsidRDefault="0032289E" w:rsidP="0032289E">
      <w:pPr>
        <w:pStyle w:val="Prrafodelista"/>
        <w:numPr>
          <w:ilvl w:val="0"/>
          <w:numId w:val="1"/>
        </w:numPr>
        <w:spacing w:line="360" w:lineRule="auto"/>
        <w:ind w:left="0" w:right="113" w:firstLine="0"/>
        <w:jc w:val="both"/>
        <w:rPr>
          <w:rFonts w:ascii="Palatino Linotype" w:hAnsi="Palatino Linotype"/>
          <w:szCs w:val="22"/>
        </w:rPr>
      </w:pPr>
      <w:r w:rsidRPr="00A065D6">
        <w:rPr>
          <w:rFonts w:ascii="Palatino Linotype" w:hAnsi="Palatino Linotype"/>
          <w:szCs w:val="22"/>
        </w:rPr>
        <w:t xml:space="preserve">Por ello, este Organismo Garante comprometido con la tutela de los derechos humanos confiados, señala que este exceso de plazo legal para resolver el presente asunto, resulta de carácter excepcional. </w:t>
      </w:r>
    </w:p>
    <w:p w14:paraId="7CF4191D"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3B74741B"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eastAsiaTheme="minorEastAsia" w:hAnsi="Palatino Linotype"/>
          <w:szCs w:val="22"/>
          <w:lang w:val="es-ES_tradnl" w:eastAsia="es-ES"/>
        </w:rPr>
        <w:t>La Comisionada Ponente decretó el cierre de instrucción</w:t>
      </w:r>
      <w:r w:rsidRPr="00A065D6">
        <w:rPr>
          <w:rFonts w:ascii="Palatino Linotype" w:eastAsiaTheme="minorEastAsia" w:hAnsi="Palatino Linotype" w:cs="Arial"/>
          <w:szCs w:val="22"/>
          <w:lang w:val="es-ES_tradnl" w:eastAsia="es-ES"/>
        </w:rPr>
        <w:t xml:space="preserve"> </w:t>
      </w:r>
      <w:r w:rsidRPr="00A065D6">
        <w:rPr>
          <w:rFonts w:ascii="Palatino Linotype" w:eastAsiaTheme="minorEastAsia" w:hAnsi="Palatino Linotype"/>
          <w:szCs w:val="22"/>
          <w:lang w:val="es-ES_tradnl" w:eastAsia="es-ES"/>
        </w:rPr>
        <w:t xml:space="preserve">mediante el acuerdo del </w:t>
      </w:r>
      <w:r w:rsidR="00A065D6">
        <w:rPr>
          <w:rFonts w:ascii="Palatino Linotype" w:eastAsiaTheme="minorEastAsia" w:hAnsi="Palatino Linotype"/>
          <w:szCs w:val="22"/>
          <w:lang w:val="es-ES_tradnl" w:eastAsia="es-ES"/>
        </w:rPr>
        <w:t>quince (15)</w:t>
      </w:r>
      <w:r w:rsidRPr="00A065D6">
        <w:rPr>
          <w:rFonts w:ascii="Palatino Linotype" w:eastAsiaTheme="minorEastAsia" w:hAnsi="Palatino Linotype"/>
          <w:szCs w:val="22"/>
          <w:lang w:val="es-ES_tradnl" w:eastAsia="es-ES"/>
        </w:rPr>
        <w:t xml:space="preserve"> de octubre de dos mil veinticuatro.</w:t>
      </w:r>
    </w:p>
    <w:p w14:paraId="7D971256" w14:textId="77777777" w:rsidR="0032289E" w:rsidRPr="00A065D6" w:rsidRDefault="0032289E" w:rsidP="0032289E">
      <w:pPr>
        <w:spacing w:line="360" w:lineRule="auto"/>
        <w:rPr>
          <w:rFonts w:ascii="Palatino Linotype" w:hAnsi="Palatino Linotype" w:cs="Arial"/>
          <w:sz w:val="22"/>
          <w:szCs w:val="22"/>
          <w:lang w:val="es-ES" w:eastAsia="es-ES"/>
        </w:rPr>
      </w:pPr>
    </w:p>
    <w:p w14:paraId="27A767FA" w14:textId="77777777" w:rsidR="0032289E" w:rsidRPr="00A065D6" w:rsidRDefault="0032289E" w:rsidP="0032289E">
      <w:pPr>
        <w:spacing w:line="360" w:lineRule="auto"/>
        <w:jc w:val="center"/>
        <w:rPr>
          <w:rFonts w:ascii="Palatino Linotype" w:hAnsi="Palatino Linotype" w:cs="Arial"/>
          <w:sz w:val="22"/>
          <w:szCs w:val="22"/>
          <w:lang w:eastAsia="es-ES"/>
        </w:rPr>
      </w:pPr>
      <w:bookmarkStart w:id="1" w:name="_Toc66992242"/>
      <w:r w:rsidRPr="00A065D6">
        <w:rPr>
          <w:rFonts w:ascii="Palatino Linotype" w:hAnsi="Palatino Linotype" w:cs="Arial"/>
          <w:b/>
          <w:sz w:val="22"/>
          <w:szCs w:val="22"/>
          <w:lang w:eastAsia="es-ES"/>
        </w:rPr>
        <w:t>CONSIDERANDO</w:t>
      </w:r>
      <w:bookmarkEnd w:id="1"/>
    </w:p>
    <w:p w14:paraId="5C4CA9AD" w14:textId="77777777" w:rsidR="0032289E" w:rsidRPr="00A065D6" w:rsidRDefault="0032289E" w:rsidP="0032289E">
      <w:pPr>
        <w:spacing w:line="360" w:lineRule="auto"/>
        <w:jc w:val="center"/>
        <w:rPr>
          <w:rFonts w:ascii="Palatino Linotype" w:hAnsi="Palatino Linotype" w:cs="Arial"/>
          <w:sz w:val="22"/>
          <w:szCs w:val="22"/>
          <w:lang w:eastAsia="es-ES"/>
        </w:rPr>
      </w:pPr>
    </w:p>
    <w:p w14:paraId="0416331C" w14:textId="77777777" w:rsidR="0032289E" w:rsidRPr="00A065D6" w:rsidRDefault="0032289E" w:rsidP="0032289E">
      <w:pPr>
        <w:spacing w:line="360" w:lineRule="auto"/>
        <w:jc w:val="both"/>
        <w:rPr>
          <w:rFonts w:ascii="Palatino Linotype" w:hAnsi="Palatino Linotype" w:cs="Arial"/>
          <w:b/>
          <w:sz w:val="22"/>
          <w:szCs w:val="22"/>
          <w:lang w:eastAsia="es-ES"/>
        </w:rPr>
      </w:pPr>
      <w:bookmarkStart w:id="2" w:name="_Toc66992243"/>
      <w:r w:rsidRPr="00A065D6">
        <w:rPr>
          <w:rFonts w:ascii="Palatino Linotype" w:hAnsi="Palatino Linotype" w:cs="Arial"/>
          <w:b/>
          <w:sz w:val="22"/>
          <w:szCs w:val="22"/>
          <w:lang w:eastAsia="es-ES"/>
        </w:rPr>
        <w:t>PRIMERO. De la competencia</w:t>
      </w:r>
      <w:bookmarkEnd w:id="2"/>
    </w:p>
    <w:p w14:paraId="62B363CE" w14:textId="77777777" w:rsidR="0032289E" w:rsidRPr="00A065D6" w:rsidRDefault="0032289E" w:rsidP="0032289E">
      <w:pPr>
        <w:spacing w:line="360" w:lineRule="auto"/>
        <w:jc w:val="both"/>
        <w:rPr>
          <w:rFonts w:ascii="Palatino Linotype" w:hAnsi="Palatino Linotype" w:cs="Arial"/>
          <w:b/>
          <w:sz w:val="22"/>
          <w:szCs w:val="22"/>
          <w:lang w:eastAsia="es-ES"/>
        </w:rPr>
      </w:pPr>
    </w:p>
    <w:p w14:paraId="1708BD3D" w14:textId="77777777" w:rsidR="0032289E" w:rsidRPr="00A065D6" w:rsidRDefault="0032289E" w:rsidP="0032289E">
      <w:pPr>
        <w:pStyle w:val="Prrafodelista"/>
        <w:numPr>
          <w:ilvl w:val="0"/>
          <w:numId w:val="1"/>
        </w:numPr>
        <w:spacing w:before="240" w:after="240" w:line="360" w:lineRule="auto"/>
        <w:ind w:left="0" w:firstLine="0"/>
        <w:jc w:val="both"/>
        <w:rPr>
          <w:rFonts w:ascii="Palatino Linotype" w:hAnsi="Palatino Linotype"/>
          <w:szCs w:val="22"/>
        </w:rPr>
      </w:pPr>
      <w:r w:rsidRPr="00A065D6">
        <w:rPr>
          <w:rFonts w:ascii="Palatino Linotype" w:hAnsi="Palatino Linotype"/>
          <w:szCs w:val="22"/>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5509A1D" w14:textId="77777777" w:rsidR="0032289E" w:rsidRPr="00A065D6" w:rsidRDefault="0032289E" w:rsidP="0032289E">
      <w:pPr>
        <w:keepNext/>
        <w:keepLines/>
        <w:spacing w:line="360" w:lineRule="auto"/>
        <w:outlineLvl w:val="1"/>
        <w:rPr>
          <w:rFonts w:ascii="Palatino Linotype" w:eastAsiaTheme="majorEastAsia" w:hAnsi="Palatino Linotype" w:cstheme="majorBidi"/>
          <w:b/>
          <w:sz w:val="22"/>
          <w:szCs w:val="22"/>
        </w:rPr>
      </w:pPr>
      <w:bookmarkStart w:id="3" w:name="_Toc66992244"/>
      <w:r w:rsidRPr="00A065D6">
        <w:rPr>
          <w:rFonts w:ascii="Palatino Linotype" w:eastAsiaTheme="majorEastAsia" w:hAnsi="Palatino Linotype" w:cstheme="majorBidi"/>
          <w:b/>
          <w:sz w:val="22"/>
          <w:szCs w:val="22"/>
        </w:rPr>
        <w:t>SEGUNDO. De la oportunidad y procedencia.</w:t>
      </w:r>
      <w:bookmarkEnd w:id="3"/>
    </w:p>
    <w:p w14:paraId="403512EB"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4F2386AE"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eastAsia="Calibri" w:hAnsi="Palatino Linotype" w:cs="Arial"/>
          <w:szCs w:val="22"/>
          <w:lang w:val="es-ES_tradnl" w:eastAsia="es-ES"/>
        </w:rPr>
        <w:t xml:space="preserve">El medio de impugnación fue presentado a través del </w:t>
      </w:r>
      <w:r w:rsidRPr="00A065D6">
        <w:rPr>
          <w:rFonts w:ascii="Palatino Linotype" w:eastAsia="Calibri" w:hAnsi="Palatino Linotype" w:cs="Arial"/>
          <w:b/>
          <w:szCs w:val="22"/>
          <w:lang w:val="es-ES_tradnl" w:eastAsia="es-ES"/>
        </w:rPr>
        <w:t>SAIMEX,</w:t>
      </w:r>
      <w:r w:rsidRPr="00A065D6">
        <w:rPr>
          <w:rFonts w:ascii="Palatino Linotype" w:eastAsia="Calibri" w:hAnsi="Palatino Linotype" w:cs="Arial"/>
          <w:szCs w:val="22"/>
          <w:lang w:val="es-ES_tradnl" w:eastAsia="es-ES"/>
        </w:rPr>
        <w:t xml:space="preserve"> en el formato previamente aprobado para tal efecto y dentro del plazo legal de quince días hábiles otorgados; siendo así que el </w:t>
      </w:r>
      <w:r w:rsidRPr="00A065D6">
        <w:rPr>
          <w:rFonts w:ascii="Palatino Linotype" w:eastAsia="Calibri" w:hAnsi="Palatino Linotype" w:cs="Arial"/>
          <w:b/>
          <w:szCs w:val="22"/>
          <w:lang w:val="es-ES_tradnl" w:eastAsia="es-ES"/>
        </w:rPr>
        <w:t>SUJETO OBLIGADO</w:t>
      </w:r>
      <w:r w:rsidRPr="00A065D6">
        <w:rPr>
          <w:rFonts w:ascii="Palatino Linotype" w:eastAsia="Calibri" w:hAnsi="Palatino Linotype" w:cs="Arial"/>
          <w:szCs w:val="22"/>
          <w:lang w:val="es-ES_tradnl" w:eastAsia="es-ES"/>
        </w:rPr>
        <w:t xml:space="preserve"> entregó respuesta a la solicitud el día </w:t>
      </w:r>
      <w:r w:rsidR="00A065D6">
        <w:rPr>
          <w:rFonts w:ascii="Palatino Linotype" w:eastAsia="Calibri" w:hAnsi="Palatino Linotype" w:cs="Arial"/>
          <w:szCs w:val="22"/>
          <w:lang w:val="es-ES_tradnl" w:eastAsia="es-ES"/>
        </w:rPr>
        <w:t>veintitrés (23) de febrero</w:t>
      </w:r>
      <w:r w:rsidRPr="00A065D6">
        <w:rPr>
          <w:rFonts w:ascii="Palatino Linotype" w:eastAsia="Calibri" w:hAnsi="Palatino Linotype" w:cs="Arial"/>
          <w:szCs w:val="22"/>
          <w:lang w:val="es-ES_tradnl" w:eastAsia="es-ES"/>
        </w:rPr>
        <w:t xml:space="preserve"> de dos mil veinticuatro, </w:t>
      </w:r>
      <w:r w:rsidRPr="00A065D6">
        <w:rPr>
          <w:rFonts w:ascii="Palatino Linotype" w:eastAsiaTheme="minorEastAsia" w:hAnsi="Palatino Linotype" w:cs="Arial"/>
          <w:szCs w:val="22"/>
          <w:lang w:val="es-ES_tradnl" w:eastAsia="es-ES"/>
        </w:rPr>
        <w:t xml:space="preserve">de tal forma que el plazo para interponer el recurso de revisión transcurrió del </w:t>
      </w:r>
      <w:r w:rsidR="00A065D6">
        <w:rPr>
          <w:rFonts w:ascii="Palatino Linotype" w:eastAsiaTheme="minorEastAsia" w:hAnsi="Palatino Linotype" w:cs="Arial"/>
          <w:szCs w:val="22"/>
          <w:lang w:val="es-ES_tradnl" w:eastAsia="es-ES"/>
        </w:rPr>
        <w:t>veintiséis (26) de febrero al diecinueve (19) de marzo</w:t>
      </w:r>
      <w:r w:rsidRPr="00A065D6">
        <w:rPr>
          <w:rFonts w:ascii="Palatino Linotype" w:eastAsiaTheme="minorEastAsia" w:hAnsi="Palatino Linotype" w:cs="Arial"/>
          <w:szCs w:val="22"/>
          <w:lang w:val="es-ES_tradnl" w:eastAsia="es-ES"/>
        </w:rPr>
        <w:t xml:space="preserve"> de dos mil veinticuatro, de acuerdo al calendario oficial del Instituto de Transparencia, Acceso a la Información y Protección de Datos Personales del Estado de México y Municipios; en consecuencia, presentó su inconformidad </w:t>
      </w:r>
      <w:r w:rsidR="00A065D6">
        <w:rPr>
          <w:rFonts w:ascii="Palatino Linotype" w:eastAsiaTheme="minorEastAsia" w:hAnsi="Palatino Linotype" w:cs="Arial"/>
          <w:szCs w:val="22"/>
          <w:lang w:val="es-ES_tradnl" w:eastAsia="es-ES"/>
        </w:rPr>
        <w:t>el día quince (15) de marzo</w:t>
      </w:r>
      <w:r w:rsidRPr="00A065D6">
        <w:rPr>
          <w:rFonts w:ascii="Palatino Linotype" w:eastAsiaTheme="minorEastAsia" w:hAnsi="Palatino Linotype" w:cs="Arial"/>
          <w:szCs w:val="22"/>
          <w:lang w:val="es-ES_tradnl" w:eastAsia="es-ES"/>
        </w:rPr>
        <w:t xml:space="preserve"> de dos mil veinticuatro, por lo que se encuentra dentro de los márgenes temporales previstos en el artículo 178 de la </w:t>
      </w:r>
      <w:r w:rsidRPr="00A065D6">
        <w:rPr>
          <w:rFonts w:ascii="Palatino Linotype" w:eastAsiaTheme="minorEastAsia" w:hAnsi="Palatino Linotype" w:cs="Arial"/>
          <w:b/>
          <w:szCs w:val="22"/>
          <w:lang w:val="es-ES_tradnl" w:eastAsia="es-ES"/>
        </w:rPr>
        <w:t xml:space="preserve">Ley de Transparencia y Acceso a la Información Pública del Estado de México y Municipios </w:t>
      </w:r>
      <w:r w:rsidRPr="00A065D6">
        <w:rPr>
          <w:rFonts w:ascii="Palatino Linotype" w:eastAsiaTheme="minorEastAsia" w:hAnsi="Palatino Linotype" w:cs="Arial"/>
          <w:szCs w:val="22"/>
          <w:lang w:val="es-ES_tradnl" w:eastAsia="es-ES"/>
        </w:rPr>
        <w:t>vigente.</w:t>
      </w:r>
    </w:p>
    <w:p w14:paraId="20F29BBA" w14:textId="77777777" w:rsidR="0032289E" w:rsidRPr="00A065D6" w:rsidRDefault="0032289E" w:rsidP="0032289E">
      <w:pPr>
        <w:spacing w:line="360" w:lineRule="auto"/>
        <w:rPr>
          <w:rFonts w:ascii="Palatino Linotype" w:eastAsia="Calibri" w:hAnsi="Palatino Linotype" w:cs="Arial"/>
          <w:sz w:val="22"/>
          <w:szCs w:val="22"/>
          <w:lang w:val="es-ES_tradnl" w:eastAsia="es-ES"/>
        </w:rPr>
      </w:pPr>
    </w:p>
    <w:p w14:paraId="164CF23C" w14:textId="77777777" w:rsidR="0032289E" w:rsidRPr="00A065D6"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A065D6">
        <w:rPr>
          <w:rFonts w:ascii="Palatino Linotype" w:eastAsia="Calibri" w:hAnsi="Palatino Linotype" w:cs="Arial"/>
          <w:szCs w:val="22"/>
          <w:lang w:val="es-ES_tradnl" w:eastAsia="es-ES"/>
        </w:rPr>
        <w:t xml:space="preserve">Por otro lado, el escrito contiene las formalidades previstas por el artículo 180 último párrafo de la Ley de la materia actual, por lo que es procedente que este Instituto de </w:t>
      </w:r>
      <w:r w:rsidRPr="00A065D6">
        <w:rPr>
          <w:rFonts w:ascii="Palatino Linotype" w:eastAsia="Calibri" w:hAnsi="Palatino Linotype" w:cs="Arial"/>
          <w:szCs w:val="22"/>
          <w:lang w:val="es-ES_tradnl" w:eastAsia="es-ES"/>
        </w:rPr>
        <w:lastRenderedPageBreak/>
        <w:t>Transparencia, Acceso a la Información Pública y Protección de Datos Personales del Estado de México y Municipios, conozca y resuelva el presente recurso.</w:t>
      </w:r>
    </w:p>
    <w:p w14:paraId="20F59C19" w14:textId="77777777" w:rsidR="0032289E" w:rsidRPr="00A065D6" w:rsidRDefault="0032289E" w:rsidP="0032289E">
      <w:pPr>
        <w:pStyle w:val="Prrafodelista"/>
        <w:spacing w:line="360" w:lineRule="auto"/>
        <w:ind w:left="0"/>
        <w:jc w:val="both"/>
        <w:rPr>
          <w:rFonts w:ascii="Palatino Linotype" w:hAnsi="Palatino Linotype" w:cs="Arial"/>
          <w:szCs w:val="22"/>
          <w:lang w:val="es-ES" w:eastAsia="es-ES"/>
        </w:rPr>
      </w:pPr>
    </w:p>
    <w:p w14:paraId="09723CAF" w14:textId="77777777" w:rsidR="0032289E" w:rsidRPr="00A065D6" w:rsidRDefault="0032289E" w:rsidP="0032289E">
      <w:pPr>
        <w:spacing w:line="360" w:lineRule="auto"/>
        <w:ind w:right="49"/>
        <w:contextualSpacing/>
        <w:jc w:val="both"/>
        <w:rPr>
          <w:rFonts w:ascii="Palatino Linotype" w:eastAsia="MS Gothic" w:hAnsi="Palatino Linotype" w:cstheme="majorBidi"/>
          <w:b/>
          <w:sz w:val="22"/>
          <w:szCs w:val="22"/>
          <w:lang w:eastAsia="es-ES"/>
        </w:rPr>
      </w:pPr>
      <w:bookmarkStart w:id="4" w:name="_Toc497905366"/>
      <w:bookmarkStart w:id="5" w:name="_Toc495427547"/>
      <w:bookmarkStart w:id="6" w:name="_Toc466377653"/>
      <w:bookmarkStart w:id="7" w:name="_Toc466371865"/>
      <w:r w:rsidRPr="00A065D6">
        <w:rPr>
          <w:rFonts w:ascii="Palatino Linotype" w:eastAsia="MS Gothic" w:hAnsi="Palatino Linotype" w:cstheme="majorBidi"/>
          <w:b/>
          <w:sz w:val="22"/>
          <w:szCs w:val="22"/>
          <w:lang w:val="es-ES_tradnl" w:eastAsia="es-ES"/>
        </w:rPr>
        <w:t>TERCERO. Planteamiento de la Litis</w:t>
      </w:r>
      <w:r w:rsidRPr="00A065D6">
        <w:rPr>
          <w:rFonts w:ascii="Palatino Linotype" w:eastAsia="MS Gothic" w:hAnsi="Palatino Linotype" w:cstheme="majorBidi"/>
          <w:b/>
          <w:sz w:val="22"/>
          <w:szCs w:val="22"/>
          <w:lang w:eastAsia="es-ES"/>
        </w:rPr>
        <w:t>.</w:t>
      </w:r>
    </w:p>
    <w:p w14:paraId="7E8EB1A1" w14:textId="77777777" w:rsidR="0032289E" w:rsidRPr="00A065D6" w:rsidRDefault="0032289E" w:rsidP="0032289E">
      <w:pPr>
        <w:spacing w:line="360" w:lineRule="auto"/>
        <w:ind w:right="49"/>
        <w:contextualSpacing/>
        <w:jc w:val="both"/>
        <w:rPr>
          <w:rFonts w:ascii="Palatino Linotype" w:eastAsia="MS Gothic" w:hAnsi="Palatino Linotype" w:cstheme="majorBidi"/>
          <w:b/>
          <w:sz w:val="22"/>
          <w:szCs w:val="22"/>
          <w:lang w:eastAsia="es-ES"/>
        </w:rPr>
      </w:pPr>
    </w:p>
    <w:p w14:paraId="43416633" w14:textId="77777777" w:rsidR="0032289E" w:rsidRDefault="00E2790C" w:rsidP="0032289E">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Pr>
          <w:rFonts w:ascii="Palatino Linotype" w:eastAsia="MS Gothic" w:hAnsi="Palatino Linotype" w:cstheme="majorBidi"/>
          <w:sz w:val="22"/>
          <w:szCs w:val="22"/>
          <w:lang w:eastAsia="es-ES"/>
        </w:rPr>
        <w:t>El particular solicitó:</w:t>
      </w:r>
    </w:p>
    <w:p w14:paraId="3EFA7DFB" w14:textId="77777777" w:rsidR="00E2790C" w:rsidRDefault="00E2790C" w:rsidP="00E2790C">
      <w:pPr>
        <w:spacing w:line="360" w:lineRule="auto"/>
        <w:ind w:right="49"/>
        <w:contextualSpacing/>
        <w:jc w:val="both"/>
        <w:rPr>
          <w:rFonts w:ascii="Palatino Linotype" w:eastAsia="MS Gothic" w:hAnsi="Palatino Linotype" w:cstheme="majorBidi"/>
          <w:sz w:val="22"/>
          <w:szCs w:val="22"/>
          <w:lang w:eastAsia="es-ES"/>
        </w:rPr>
      </w:pPr>
    </w:p>
    <w:p w14:paraId="2ABFDCA7" w14:textId="77777777" w:rsidR="00E2790C" w:rsidRPr="00BE18EE" w:rsidRDefault="00E2790C" w:rsidP="00BE18EE">
      <w:pPr>
        <w:pStyle w:val="Prrafodelista"/>
        <w:numPr>
          <w:ilvl w:val="0"/>
          <w:numId w:val="8"/>
        </w:numPr>
        <w:spacing w:line="360" w:lineRule="auto"/>
        <w:ind w:right="49"/>
        <w:jc w:val="both"/>
        <w:rPr>
          <w:rFonts w:ascii="Palatino Linotype" w:eastAsia="MS Gothic" w:hAnsi="Palatino Linotype" w:cstheme="majorBidi"/>
          <w:szCs w:val="22"/>
          <w:lang w:eastAsia="es-ES"/>
        </w:rPr>
      </w:pPr>
      <w:r w:rsidRPr="00BE18EE">
        <w:rPr>
          <w:rFonts w:ascii="Palatino Linotype" w:eastAsia="MS Gothic" w:hAnsi="Palatino Linotype" w:cstheme="majorBidi"/>
          <w:szCs w:val="22"/>
          <w:lang w:eastAsia="es-ES"/>
        </w:rPr>
        <w:t>Número de motocicletas arrendadas por el área de la Comisaria de Seguridad Pública y Tránsito Municipal;</w:t>
      </w:r>
    </w:p>
    <w:p w14:paraId="1D80BDAC" w14:textId="77777777" w:rsidR="00E2790C" w:rsidRPr="00BE18EE" w:rsidRDefault="00BE18EE" w:rsidP="00BE18EE">
      <w:pPr>
        <w:pStyle w:val="Prrafodelista"/>
        <w:numPr>
          <w:ilvl w:val="0"/>
          <w:numId w:val="8"/>
        </w:numPr>
        <w:spacing w:line="360" w:lineRule="auto"/>
        <w:ind w:right="49"/>
        <w:jc w:val="both"/>
        <w:rPr>
          <w:rFonts w:ascii="Palatino Linotype" w:eastAsia="MS Gothic" w:hAnsi="Palatino Linotype" w:cstheme="majorBidi"/>
          <w:szCs w:val="22"/>
          <w:lang w:eastAsia="es-ES"/>
        </w:rPr>
      </w:pPr>
      <w:r w:rsidRPr="00BE18EE">
        <w:rPr>
          <w:rFonts w:ascii="Palatino Linotype" w:eastAsia="MS Gothic" w:hAnsi="Palatino Linotype" w:cstheme="majorBidi"/>
          <w:szCs w:val="22"/>
          <w:lang w:eastAsia="es-ES"/>
        </w:rPr>
        <w:t>Contratos de arrendamiento de las motocicletas asignadas a la Comisaria de Seguridad Pública y Tránsito Municipal;</w:t>
      </w:r>
      <w:r>
        <w:rPr>
          <w:rFonts w:ascii="Palatino Linotype" w:eastAsia="MS Gothic" w:hAnsi="Palatino Linotype" w:cstheme="majorBidi"/>
          <w:szCs w:val="22"/>
          <w:lang w:eastAsia="es-ES"/>
        </w:rPr>
        <w:t xml:space="preserve"> y</w:t>
      </w:r>
    </w:p>
    <w:p w14:paraId="6EF94281" w14:textId="77777777" w:rsidR="00BE18EE" w:rsidRPr="00BE18EE" w:rsidRDefault="00BE18EE" w:rsidP="00BE18EE">
      <w:pPr>
        <w:pStyle w:val="Prrafodelista"/>
        <w:numPr>
          <w:ilvl w:val="0"/>
          <w:numId w:val="8"/>
        </w:numPr>
        <w:spacing w:line="360" w:lineRule="auto"/>
        <w:ind w:right="49"/>
        <w:jc w:val="both"/>
        <w:rPr>
          <w:rFonts w:ascii="Palatino Linotype" w:eastAsia="MS Gothic" w:hAnsi="Palatino Linotype" w:cstheme="majorBidi"/>
          <w:szCs w:val="22"/>
          <w:lang w:eastAsia="es-ES"/>
        </w:rPr>
      </w:pPr>
      <w:r w:rsidRPr="00BE18EE">
        <w:rPr>
          <w:rFonts w:ascii="Palatino Linotype" w:eastAsia="MS Gothic" w:hAnsi="Palatino Linotype" w:cstheme="majorBidi"/>
          <w:szCs w:val="22"/>
          <w:lang w:eastAsia="es-ES"/>
        </w:rPr>
        <w:t xml:space="preserve">Contratos de servicios de mantenimiento para las motocicletas asignadas a la Comisaria de Seguridad Pública y Tránsito Municipal. </w:t>
      </w:r>
    </w:p>
    <w:p w14:paraId="6B793297" w14:textId="77777777" w:rsidR="0032289E" w:rsidRPr="00A065D6" w:rsidRDefault="0032289E" w:rsidP="0032289E">
      <w:pPr>
        <w:spacing w:line="360" w:lineRule="auto"/>
        <w:ind w:right="49"/>
        <w:contextualSpacing/>
        <w:jc w:val="both"/>
        <w:rPr>
          <w:rFonts w:ascii="Palatino Linotype" w:eastAsia="MS Gothic" w:hAnsi="Palatino Linotype" w:cstheme="majorBidi"/>
          <w:sz w:val="22"/>
          <w:szCs w:val="22"/>
          <w:lang w:eastAsia="es-ES"/>
        </w:rPr>
      </w:pPr>
    </w:p>
    <w:p w14:paraId="2396C212" w14:textId="77777777" w:rsidR="0032289E" w:rsidRPr="00BE18EE" w:rsidRDefault="0032289E" w:rsidP="00BE18EE">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A065D6">
        <w:rPr>
          <w:rFonts w:ascii="Palatino Linotype" w:eastAsia="MS Gothic" w:hAnsi="Palatino Linotype" w:cstheme="majorBidi"/>
          <w:sz w:val="22"/>
          <w:szCs w:val="22"/>
          <w:lang w:eastAsia="es-ES"/>
        </w:rPr>
        <w:t xml:space="preserve">En respuesta, el Servidor Público Habilitado de </w:t>
      </w:r>
      <w:r w:rsidR="00BE18EE">
        <w:rPr>
          <w:rFonts w:ascii="Palatino Linotype" w:eastAsia="MS Gothic" w:hAnsi="Palatino Linotype" w:cstheme="majorBidi"/>
          <w:sz w:val="22"/>
          <w:szCs w:val="22"/>
          <w:lang w:eastAsia="es-ES"/>
        </w:rPr>
        <w:t>la Subdirección de Adquisición y Recursos Materiales, adscrita a la Dirección de Administración, señaló que no se tiene contratos de arrendamiento de motocicletas ni de servicio de mantenimiento. Posteriormente, el particular interpuso recurso de revisión en el que señaló su inconformidad por las siguientes razones:</w:t>
      </w:r>
      <w:r w:rsidR="00BE18EE" w:rsidRPr="00BE18EE">
        <w:rPr>
          <w:rFonts w:ascii="Verdana" w:hAnsi="Verdana"/>
          <w:color w:val="000000"/>
          <w:sz w:val="14"/>
          <w:szCs w:val="14"/>
        </w:rPr>
        <w:t xml:space="preserve"> </w:t>
      </w:r>
      <w:r w:rsidR="00BE18EE">
        <w:rPr>
          <w:rFonts w:ascii="Verdana" w:hAnsi="Verdana"/>
          <w:color w:val="000000"/>
          <w:sz w:val="14"/>
          <w:szCs w:val="14"/>
        </w:rPr>
        <w:t>“</w:t>
      </w:r>
      <w:r w:rsidR="00BE18EE" w:rsidRPr="00BE18EE">
        <w:rPr>
          <w:rFonts w:ascii="Palatino Linotype" w:eastAsia="MS Gothic" w:hAnsi="Palatino Linotype" w:cstheme="majorBidi"/>
          <w:i/>
          <w:sz w:val="22"/>
          <w:szCs w:val="22"/>
          <w:lang w:eastAsia="es-ES"/>
        </w:rPr>
        <w:t xml:space="preserve">están vulnerando el principio de máxima publicidad al negar la información argumentando que no </w:t>
      </w:r>
      <w:proofErr w:type="spellStart"/>
      <w:r w:rsidR="00BE18EE" w:rsidRPr="00BE18EE">
        <w:rPr>
          <w:rFonts w:ascii="Palatino Linotype" w:eastAsia="MS Gothic" w:hAnsi="Palatino Linotype" w:cstheme="majorBidi"/>
          <w:i/>
          <w:sz w:val="22"/>
          <w:szCs w:val="22"/>
          <w:lang w:eastAsia="es-ES"/>
        </w:rPr>
        <w:t>esta</w:t>
      </w:r>
      <w:proofErr w:type="spellEnd"/>
      <w:r w:rsidR="00BE18EE" w:rsidRPr="00BE18EE">
        <w:rPr>
          <w:rFonts w:ascii="Palatino Linotype" w:eastAsia="MS Gothic" w:hAnsi="Palatino Linotype" w:cstheme="majorBidi"/>
          <w:i/>
          <w:sz w:val="22"/>
          <w:szCs w:val="22"/>
          <w:lang w:eastAsia="es-ES"/>
        </w:rPr>
        <w:t xml:space="preserve"> dentro de sus funciones y atribuciones al no realizar la búsqueda correspondiente reformulo la pregunta solicitando todos los contratos de arrendamiento de vehículos contratados por el ayuntamiento de Coacalco de Berriozábal en la administración 2022-2024 así como todos los contratos de prestación de servicios contratados por el ayuntamiento de Coacalco de Berriozábal en la administración 2022-2024 y cuales son asignados para el área de seguridad </w:t>
      </w:r>
      <w:proofErr w:type="spellStart"/>
      <w:r w:rsidR="00BE18EE" w:rsidRPr="00BE18EE">
        <w:rPr>
          <w:rFonts w:ascii="Palatino Linotype" w:eastAsia="MS Gothic" w:hAnsi="Palatino Linotype" w:cstheme="majorBidi"/>
          <w:i/>
          <w:sz w:val="22"/>
          <w:szCs w:val="22"/>
          <w:lang w:eastAsia="es-ES"/>
        </w:rPr>
        <w:t>publica</w:t>
      </w:r>
      <w:proofErr w:type="spellEnd"/>
      <w:r w:rsidR="00BE18EE">
        <w:rPr>
          <w:rFonts w:ascii="Palatino Linotype" w:eastAsia="MS Gothic" w:hAnsi="Palatino Linotype" w:cstheme="majorBidi"/>
          <w:i/>
          <w:sz w:val="22"/>
          <w:szCs w:val="22"/>
          <w:lang w:eastAsia="es-ES"/>
        </w:rPr>
        <w:t>”.</w:t>
      </w:r>
    </w:p>
    <w:p w14:paraId="699FDFB6" w14:textId="77777777" w:rsidR="0032289E" w:rsidRPr="00A065D6" w:rsidRDefault="0032289E" w:rsidP="0032289E">
      <w:pPr>
        <w:spacing w:line="360" w:lineRule="auto"/>
        <w:ind w:right="49"/>
        <w:contextualSpacing/>
        <w:jc w:val="both"/>
        <w:rPr>
          <w:rFonts w:ascii="Palatino Linotype" w:eastAsia="MS Gothic" w:hAnsi="Palatino Linotype" w:cstheme="majorBidi"/>
          <w:sz w:val="22"/>
          <w:szCs w:val="22"/>
          <w:lang w:eastAsia="es-ES"/>
        </w:rPr>
      </w:pPr>
    </w:p>
    <w:p w14:paraId="35564BA5" w14:textId="77777777" w:rsidR="0032289E" w:rsidRPr="00A065D6" w:rsidRDefault="0032289E" w:rsidP="0032289E">
      <w:pPr>
        <w:numPr>
          <w:ilvl w:val="0"/>
          <w:numId w:val="1"/>
        </w:numPr>
        <w:spacing w:line="360" w:lineRule="auto"/>
        <w:ind w:left="0" w:right="49" w:firstLine="0"/>
        <w:contextualSpacing/>
        <w:jc w:val="both"/>
        <w:rPr>
          <w:rFonts w:ascii="Palatino Linotype" w:eastAsia="MS Gothic" w:hAnsi="Palatino Linotype" w:cstheme="majorBidi"/>
          <w:b/>
          <w:sz w:val="22"/>
          <w:szCs w:val="22"/>
          <w:lang w:eastAsia="es-ES"/>
        </w:rPr>
      </w:pPr>
      <w:r w:rsidRPr="00A065D6">
        <w:rPr>
          <w:rFonts w:ascii="Palatino Linotype" w:eastAsia="MS Gothic" w:hAnsi="Palatino Linotype" w:cstheme="majorBidi"/>
          <w:sz w:val="22"/>
          <w:szCs w:val="22"/>
          <w:lang w:eastAsia="es-ES"/>
        </w:rPr>
        <w:t xml:space="preserve">En consecuencia, la Litis a resolver en este recurso, se circunscribe a determinar si la respuesta colma con lo solicitado o si se actualiza la causal de procedencia prevista en el </w:t>
      </w:r>
      <w:r w:rsidRPr="00A065D6">
        <w:rPr>
          <w:rFonts w:ascii="Palatino Linotype" w:eastAsia="MS Gothic" w:hAnsi="Palatino Linotype" w:cstheme="majorBidi"/>
          <w:sz w:val="22"/>
          <w:szCs w:val="22"/>
          <w:lang w:eastAsia="es-ES"/>
        </w:rPr>
        <w:lastRenderedPageBreak/>
        <w:t>artículo 179, fracción I de la Ley de Transparencia y Acceso a la Información Pública del Estado de México y Municipios; que establece la negativa de la información.</w:t>
      </w:r>
    </w:p>
    <w:p w14:paraId="4AA0BC74" w14:textId="77777777" w:rsidR="0032289E" w:rsidRPr="00A065D6" w:rsidRDefault="0032289E" w:rsidP="0032289E">
      <w:pPr>
        <w:spacing w:line="360" w:lineRule="auto"/>
        <w:ind w:right="49"/>
        <w:contextualSpacing/>
        <w:jc w:val="both"/>
        <w:rPr>
          <w:rFonts w:ascii="Palatino Linotype" w:eastAsia="MS Gothic" w:hAnsi="Palatino Linotype"/>
          <w:sz w:val="22"/>
          <w:szCs w:val="22"/>
        </w:rPr>
      </w:pPr>
    </w:p>
    <w:p w14:paraId="136A7ADF" w14:textId="77777777" w:rsidR="0032289E" w:rsidRPr="00A065D6" w:rsidRDefault="0032289E" w:rsidP="0032289E">
      <w:pPr>
        <w:keepNext/>
        <w:keepLines/>
        <w:spacing w:line="360" w:lineRule="auto"/>
        <w:ind w:right="48"/>
        <w:outlineLvl w:val="0"/>
        <w:rPr>
          <w:rFonts w:ascii="Palatino Linotype" w:eastAsia="MS Gothic" w:hAnsi="Palatino Linotype" w:cstheme="majorBidi"/>
          <w:b/>
          <w:sz w:val="22"/>
          <w:szCs w:val="22"/>
          <w:lang w:val="es-ES_tradnl" w:eastAsia="es-ES"/>
        </w:rPr>
      </w:pPr>
      <w:bookmarkStart w:id="8" w:name="_Toc70417466"/>
      <w:bookmarkStart w:id="9" w:name="_Toc80812775"/>
      <w:bookmarkStart w:id="10" w:name="_Toc83301638"/>
      <w:r w:rsidRPr="00A065D6">
        <w:rPr>
          <w:rFonts w:ascii="Palatino Linotype" w:eastAsia="MS Gothic" w:hAnsi="Palatino Linotype" w:cstheme="majorBidi"/>
          <w:b/>
          <w:sz w:val="22"/>
          <w:szCs w:val="22"/>
          <w:lang w:val="es-ES_tradnl" w:eastAsia="es-ES"/>
        </w:rPr>
        <w:t>CUARTO. Del estudio y resolución del recurso de revisión.</w:t>
      </w:r>
      <w:bookmarkEnd w:id="8"/>
      <w:bookmarkEnd w:id="9"/>
      <w:bookmarkEnd w:id="10"/>
    </w:p>
    <w:p w14:paraId="76F8707C" w14:textId="77777777" w:rsidR="0032289E" w:rsidRPr="00A065D6" w:rsidRDefault="0032289E" w:rsidP="0032289E">
      <w:pPr>
        <w:spacing w:line="360" w:lineRule="auto"/>
        <w:ind w:right="49"/>
        <w:contextualSpacing/>
        <w:jc w:val="both"/>
        <w:rPr>
          <w:rFonts w:ascii="Palatino Linotype" w:eastAsiaTheme="minorEastAsia" w:hAnsi="Palatino Linotype"/>
          <w:sz w:val="22"/>
          <w:szCs w:val="22"/>
          <w:lang w:val="es-ES_tradnl" w:eastAsia="es-ES"/>
        </w:rPr>
      </w:pPr>
    </w:p>
    <w:p w14:paraId="34003D15" w14:textId="77777777" w:rsidR="0032289E" w:rsidRPr="00A065D6" w:rsidRDefault="0032289E" w:rsidP="0032289E">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A065D6">
        <w:rPr>
          <w:rFonts w:ascii="Palatino Linotype" w:eastAsia="Cambria"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A065D6">
        <w:rPr>
          <w:rFonts w:ascii="Palatino Linotype" w:eastAsia="Calibri" w:hAnsi="Palatino Linotype" w:cs="Arial"/>
          <w:sz w:val="22"/>
          <w:szCs w:val="22"/>
          <w:lang w:val="es-ES"/>
        </w:rPr>
        <w:t>Ley de Transparencia y Acceso a la Información Pública del Estado de México y Municipios</w:t>
      </w:r>
      <w:r w:rsidRPr="00A065D6">
        <w:rPr>
          <w:rFonts w:ascii="Palatino Linotype" w:hAnsi="Palatino Linotype" w:cs="Arial"/>
          <w:sz w:val="22"/>
          <w:szCs w:val="22"/>
          <w:lang w:val="es-ES"/>
        </w:rPr>
        <w:t>.</w:t>
      </w:r>
    </w:p>
    <w:p w14:paraId="0834282C" w14:textId="77777777" w:rsidR="0032289E" w:rsidRPr="00A065D6" w:rsidRDefault="0032289E" w:rsidP="0032289E">
      <w:pPr>
        <w:spacing w:line="360" w:lineRule="auto"/>
        <w:ind w:right="49"/>
        <w:contextualSpacing/>
        <w:jc w:val="both"/>
        <w:rPr>
          <w:rFonts w:ascii="Palatino Linotype" w:eastAsiaTheme="minorEastAsia" w:hAnsi="Palatino Linotype"/>
          <w:sz w:val="22"/>
          <w:szCs w:val="22"/>
          <w:lang w:val="es-ES_tradnl" w:eastAsia="es-ES"/>
        </w:rPr>
      </w:pPr>
    </w:p>
    <w:p w14:paraId="53F5D5C8" w14:textId="77777777" w:rsidR="0032289E" w:rsidRDefault="0032289E" w:rsidP="0032289E">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A065D6">
        <w:rPr>
          <w:rFonts w:ascii="Palatino Linotype" w:hAnsi="Palatino Linotype" w:cs="Arial"/>
          <w:sz w:val="22"/>
          <w:szCs w:val="22"/>
          <w:lang w:val="es-ES"/>
        </w:rPr>
        <w:t>En es</w:t>
      </w:r>
      <w:r w:rsidR="00BE18EE">
        <w:rPr>
          <w:rFonts w:ascii="Palatino Linotype" w:hAnsi="Palatino Linotype" w:cs="Arial"/>
          <w:sz w:val="22"/>
          <w:szCs w:val="22"/>
          <w:lang w:val="es-ES"/>
        </w:rPr>
        <w:t>te caso, el particular solicitó:</w:t>
      </w:r>
    </w:p>
    <w:p w14:paraId="19174388" w14:textId="77777777" w:rsidR="00BE18EE" w:rsidRDefault="00BE18EE" w:rsidP="00BE18EE">
      <w:pPr>
        <w:pStyle w:val="Prrafodelista"/>
        <w:rPr>
          <w:rFonts w:ascii="Palatino Linotype" w:eastAsia="MS Gothic" w:hAnsi="Palatino Linotype" w:cstheme="majorBidi"/>
          <w:szCs w:val="22"/>
          <w:lang w:eastAsia="es-ES"/>
        </w:rPr>
      </w:pPr>
    </w:p>
    <w:p w14:paraId="2C868522" w14:textId="77777777" w:rsidR="00BE18EE" w:rsidRPr="00BE18EE" w:rsidRDefault="00BE18EE" w:rsidP="00BE18EE">
      <w:pPr>
        <w:pStyle w:val="Prrafodelista"/>
        <w:numPr>
          <w:ilvl w:val="0"/>
          <w:numId w:val="9"/>
        </w:numPr>
        <w:spacing w:line="360" w:lineRule="auto"/>
        <w:ind w:left="851" w:right="49" w:firstLine="0"/>
        <w:jc w:val="both"/>
        <w:rPr>
          <w:rFonts w:ascii="Palatino Linotype" w:eastAsia="MS Gothic" w:hAnsi="Palatino Linotype" w:cstheme="majorBidi"/>
          <w:szCs w:val="22"/>
          <w:lang w:eastAsia="es-ES"/>
        </w:rPr>
      </w:pPr>
      <w:r w:rsidRPr="00BE18EE">
        <w:rPr>
          <w:rFonts w:ascii="Palatino Linotype" w:eastAsia="MS Gothic" w:hAnsi="Palatino Linotype" w:cstheme="majorBidi"/>
          <w:szCs w:val="22"/>
          <w:lang w:eastAsia="es-ES"/>
        </w:rPr>
        <w:t>Número de motocicletas arrendadas por el área de la Comisaria de Seguridad Pública y Tránsito Municipal;</w:t>
      </w:r>
    </w:p>
    <w:p w14:paraId="3FAE4331" w14:textId="77777777" w:rsidR="00BE18EE" w:rsidRPr="00BE18EE" w:rsidRDefault="00BE18EE" w:rsidP="00BE18EE">
      <w:pPr>
        <w:pStyle w:val="Prrafodelista"/>
        <w:numPr>
          <w:ilvl w:val="0"/>
          <w:numId w:val="9"/>
        </w:numPr>
        <w:spacing w:line="360" w:lineRule="auto"/>
        <w:ind w:left="851" w:right="49" w:firstLine="0"/>
        <w:jc w:val="both"/>
        <w:rPr>
          <w:rFonts w:ascii="Palatino Linotype" w:eastAsia="MS Gothic" w:hAnsi="Palatino Linotype" w:cstheme="majorBidi"/>
          <w:szCs w:val="22"/>
          <w:lang w:eastAsia="es-ES"/>
        </w:rPr>
      </w:pPr>
      <w:r w:rsidRPr="00BE18EE">
        <w:rPr>
          <w:rFonts w:ascii="Palatino Linotype" w:eastAsia="MS Gothic" w:hAnsi="Palatino Linotype" w:cstheme="majorBidi"/>
          <w:szCs w:val="22"/>
          <w:lang w:eastAsia="es-ES"/>
        </w:rPr>
        <w:t>Contratos de arrendamiento de las motocicletas asignadas a la Comisaria de Seguridad Pública y Tránsito Municipal;</w:t>
      </w:r>
      <w:r>
        <w:rPr>
          <w:rFonts w:ascii="Palatino Linotype" w:eastAsia="MS Gothic" w:hAnsi="Palatino Linotype" w:cstheme="majorBidi"/>
          <w:szCs w:val="22"/>
          <w:lang w:eastAsia="es-ES"/>
        </w:rPr>
        <w:t xml:space="preserve"> y</w:t>
      </w:r>
    </w:p>
    <w:p w14:paraId="1B54807A" w14:textId="77777777" w:rsidR="00BE18EE" w:rsidRPr="00BE18EE" w:rsidRDefault="00BE18EE" w:rsidP="00BE18EE">
      <w:pPr>
        <w:pStyle w:val="Prrafodelista"/>
        <w:numPr>
          <w:ilvl w:val="0"/>
          <w:numId w:val="9"/>
        </w:numPr>
        <w:spacing w:line="360" w:lineRule="auto"/>
        <w:ind w:left="851" w:right="49" w:firstLine="0"/>
        <w:jc w:val="both"/>
        <w:rPr>
          <w:rFonts w:ascii="Palatino Linotype" w:eastAsia="MS Gothic" w:hAnsi="Palatino Linotype" w:cstheme="majorBidi"/>
          <w:szCs w:val="22"/>
          <w:lang w:eastAsia="es-ES"/>
        </w:rPr>
      </w:pPr>
      <w:r w:rsidRPr="00BE18EE">
        <w:rPr>
          <w:rFonts w:ascii="Palatino Linotype" w:eastAsia="MS Gothic" w:hAnsi="Palatino Linotype" w:cstheme="majorBidi"/>
          <w:szCs w:val="22"/>
          <w:lang w:eastAsia="es-ES"/>
        </w:rPr>
        <w:t xml:space="preserve">Contratos de servicios de mantenimiento para las motocicletas asignadas a la Comisaria de Seguridad Pública y Tránsito Municipal. </w:t>
      </w:r>
    </w:p>
    <w:p w14:paraId="13D17B59" w14:textId="77777777" w:rsidR="00F72F46" w:rsidRPr="00A065D6" w:rsidRDefault="00F72F46" w:rsidP="0032289E">
      <w:pPr>
        <w:spacing w:line="360" w:lineRule="auto"/>
        <w:ind w:right="49"/>
        <w:contextualSpacing/>
        <w:jc w:val="both"/>
        <w:rPr>
          <w:rFonts w:ascii="Palatino Linotype" w:eastAsia="MS Gothic" w:hAnsi="Palatino Linotype" w:cstheme="majorBidi"/>
          <w:sz w:val="22"/>
          <w:szCs w:val="22"/>
          <w:lang w:eastAsia="es-ES"/>
        </w:rPr>
      </w:pPr>
    </w:p>
    <w:p w14:paraId="6675D38E" w14:textId="77777777" w:rsidR="00F72F46" w:rsidRPr="00F72F46" w:rsidRDefault="00F72F46" w:rsidP="00F72F46">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Pr>
          <w:rFonts w:ascii="Palatino Linotype" w:eastAsia="MS Mincho" w:hAnsi="Palatino Linotype" w:cs="Arial"/>
          <w:szCs w:val="22"/>
          <w:lang w:val="es-ES_tradnl" w:eastAsia="es-ES"/>
        </w:rPr>
        <w:t xml:space="preserve">En respuesta, </w:t>
      </w:r>
      <w:r w:rsidRPr="00F72F46">
        <w:rPr>
          <w:rFonts w:ascii="Palatino Linotype" w:eastAsia="MS Gothic" w:hAnsi="Palatino Linotype" w:cstheme="majorBidi"/>
          <w:szCs w:val="22"/>
          <w:lang w:eastAsia="es-ES"/>
        </w:rPr>
        <w:t xml:space="preserve">el Servidor Público Habilitado de la Subdirección de Adquisición y Recursos Materiales, adscrita a la Dirección de Administración, señaló que no se tiene contratos de arrendamiento de motocicletas ni de servicio de mantenimiento. </w:t>
      </w:r>
    </w:p>
    <w:p w14:paraId="5141E0B3" w14:textId="77777777" w:rsidR="00F72F46" w:rsidRPr="00F72F46" w:rsidRDefault="00F72F46" w:rsidP="00F72F46">
      <w:pPr>
        <w:pStyle w:val="Prrafodelista"/>
        <w:spacing w:line="360" w:lineRule="auto"/>
        <w:ind w:left="0"/>
        <w:jc w:val="both"/>
        <w:rPr>
          <w:rFonts w:ascii="Palatino Linotype" w:eastAsia="MS Mincho" w:hAnsi="Palatino Linotype" w:cs="Arial"/>
          <w:szCs w:val="22"/>
          <w:lang w:val="es-ES_tradnl" w:eastAsia="es-ES"/>
        </w:rPr>
      </w:pPr>
    </w:p>
    <w:p w14:paraId="6756255E" w14:textId="77777777" w:rsidR="00F72F46" w:rsidRPr="00F72F46" w:rsidRDefault="00F72F46" w:rsidP="00F72F46">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sidRPr="00F72F46">
        <w:rPr>
          <w:rFonts w:ascii="Palatino Linotype" w:eastAsia="MS Gothic" w:hAnsi="Palatino Linotype" w:cstheme="majorBidi"/>
          <w:szCs w:val="22"/>
          <w:lang w:eastAsia="es-ES"/>
        </w:rPr>
        <w:t>Posteriormente, el particular interpuso recurso de revisión en el que señaló su inconformidad por las siguientes razones:</w:t>
      </w:r>
      <w:r w:rsidRPr="00F72F46">
        <w:rPr>
          <w:rFonts w:ascii="Verdana" w:hAnsi="Verdana"/>
          <w:color w:val="000000"/>
          <w:sz w:val="14"/>
          <w:szCs w:val="14"/>
        </w:rPr>
        <w:t xml:space="preserve"> “</w:t>
      </w:r>
      <w:r w:rsidRPr="00F72F46">
        <w:rPr>
          <w:rFonts w:ascii="Palatino Linotype" w:eastAsia="MS Gothic" w:hAnsi="Palatino Linotype" w:cstheme="majorBidi"/>
          <w:i/>
          <w:szCs w:val="22"/>
          <w:lang w:eastAsia="es-ES"/>
        </w:rPr>
        <w:t xml:space="preserve">están vulnerando el principio de máxima publicidad al negar la información argumentando que no </w:t>
      </w:r>
      <w:proofErr w:type="spellStart"/>
      <w:r w:rsidRPr="00F72F46">
        <w:rPr>
          <w:rFonts w:ascii="Palatino Linotype" w:eastAsia="MS Gothic" w:hAnsi="Palatino Linotype" w:cstheme="majorBidi"/>
          <w:i/>
          <w:szCs w:val="22"/>
          <w:lang w:eastAsia="es-ES"/>
        </w:rPr>
        <w:t>esta</w:t>
      </w:r>
      <w:proofErr w:type="spellEnd"/>
      <w:r w:rsidRPr="00F72F46">
        <w:rPr>
          <w:rFonts w:ascii="Palatino Linotype" w:eastAsia="MS Gothic" w:hAnsi="Palatino Linotype" w:cstheme="majorBidi"/>
          <w:i/>
          <w:szCs w:val="22"/>
          <w:lang w:eastAsia="es-ES"/>
        </w:rPr>
        <w:t xml:space="preserve"> dentro de sus funciones y atribuciones al no realizar la </w:t>
      </w:r>
      <w:r w:rsidRPr="00F72F46">
        <w:rPr>
          <w:rFonts w:ascii="Palatino Linotype" w:eastAsia="MS Gothic" w:hAnsi="Palatino Linotype" w:cstheme="majorBidi"/>
          <w:i/>
          <w:szCs w:val="22"/>
          <w:lang w:eastAsia="es-ES"/>
        </w:rPr>
        <w:lastRenderedPageBreak/>
        <w:t xml:space="preserve">búsqueda correspondiente reformulo la pregunta solicitando todos los contratos de arrendamiento de vehículos contratados por el ayuntamiento de Coacalco de Berriozábal en la administración 2022-2024 así como todos los contratos de prestación de servicios contratados por el ayuntamiento de Coacalco de Berriozábal en la administración 2022-2024 y cuales son asignados para el área de seguridad </w:t>
      </w:r>
      <w:proofErr w:type="spellStart"/>
      <w:r w:rsidRPr="00F72F46">
        <w:rPr>
          <w:rFonts w:ascii="Palatino Linotype" w:eastAsia="MS Gothic" w:hAnsi="Palatino Linotype" w:cstheme="majorBidi"/>
          <w:i/>
          <w:szCs w:val="22"/>
          <w:lang w:eastAsia="es-ES"/>
        </w:rPr>
        <w:t>publica</w:t>
      </w:r>
      <w:proofErr w:type="spellEnd"/>
      <w:r w:rsidRPr="00F72F46">
        <w:rPr>
          <w:rFonts w:ascii="Palatino Linotype" w:eastAsia="MS Gothic" w:hAnsi="Palatino Linotype" w:cstheme="majorBidi"/>
          <w:i/>
          <w:szCs w:val="22"/>
          <w:lang w:eastAsia="es-ES"/>
        </w:rPr>
        <w:t>”.</w:t>
      </w:r>
    </w:p>
    <w:p w14:paraId="6EE46807" w14:textId="77777777" w:rsidR="00F72F46" w:rsidRPr="00F72F46" w:rsidRDefault="00F72F46" w:rsidP="00F72F46">
      <w:pPr>
        <w:pStyle w:val="Prrafodelista"/>
        <w:spacing w:line="360" w:lineRule="auto"/>
        <w:ind w:left="0"/>
        <w:jc w:val="both"/>
        <w:rPr>
          <w:rFonts w:ascii="Palatino Linotype" w:eastAsia="MS Mincho" w:hAnsi="Palatino Linotype" w:cs="Arial"/>
          <w:szCs w:val="22"/>
          <w:lang w:val="es-ES_tradnl" w:eastAsia="es-ES"/>
        </w:rPr>
      </w:pPr>
    </w:p>
    <w:p w14:paraId="4B77CF6D" w14:textId="77777777" w:rsidR="0032289E" w:rsidRPr="00A065D6" w:rsidRDefault="0032289E" w:rsidP="0032289E">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sidRPr="00A065D6">
        <w:rPr>
          <w:rFonts w:ascii="Palatino Linotype" w:eastAsia="MS Mincho" w:hAnsi="Palatino Linotype" w:cs="Arial"/>
          <w:szCs w:val="22"/>
          <w:lang w:val="es-ES_tradnl" w:eastAsia="es-ES"/>
        </w:rPr>
        <w:t xml:space="preserve">En ese contexto, es necesario señalar que 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w:t>
      </w:r>
    </w:p>
    <w:p w14:paraId="4E5D5E3D" w14:textId="77777777" w:rsidR="0032289E" w:rsidRPr="00A065D6" w:rsidRDefault="0032289E" w:rsidP="0032289E">
      <w:pPr>
        <w:pStyle w:val="Prrafodelista"/>
        <w:spacing w:line="360" w:lineRule="auto"/>
        <w:ind w:left="0"/>
        <w:jc w:val="both"/>
        <w:rPr>
          <w:rFonts w:ascii="Palatino Linotype" w:eastAsia="MS Mincho" w:hAnsi="Palatino Linotype" w:cs="Arial"/>
          <w:szCs w:val="22"/>
          <w:lang w:val="es-ES_tradnl" w:eastAsia="es-ES"/>
        </w:rPr>
      </w:pPr>
    </w:p>
    <w:p w14:paraId="6EF53B99" w14:textId="77777777" w:rsidR="0032289E" w:rsidRPr="00A065D6" w:rsidRDefault="0032289E" w:rsidP="0032289E">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sidRPr="00A065D6">
        <w:rPr>
          <w:rFonts w:ascii="Palatino Linotype" w:eastAsia="MS Mincho" w:hAnsi="Palatino Linotype" w:cs="Arial"/>
          <w:szCs w:val="22"/>
          <w:lang w:val="es-ES_tradnl" w:eastAsia="es-ES"/>
        </w:rPr>
        <w:t>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50FC5CEF" w14:textId="77777777" w:rsidR="0032289E" w:rsidRPr="00A065D6" w:rsidRDefault="0032289E" w:rsidP="0032289E">
      <w:pPr>
        <w:pStyle w:val="Prrafodelista"/>
        <w:spacing w:line="360" w:lineRule="auto"/>
        <w:ind w:left="0"/>
        <w:jc w:val="both"/>
        <w:rPr>
          <w:rFonts w:ascii="Palatino Linotype" w:eastAsia="MS Mincho" w:hAnsi="Palatino Linotype" w:cs="Arial"/>
          <w:szCs w:val="22"/>
          <w:lang w:val="es-ES_tradnl" w:eastAsia="es-ES"/>
        </w:rPr>
      </w:pPr>
    </w:p>
    <w:p w14:paraId="7C861C81" w14:textId="77777777" w:rsidR="0032289E" w:rsidRPr="00A065D6" w:rsidRDefault="0032289E" w:rsidP="0032289E">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sidRPr="00A065D6">
        <w:rPr>
          <w:rFonts w:ascii="Palatino Linotype" w:eastAsia="MS Mincho" w:hAnsi="Palatino Linotype" w:cs="Arial"/>
          <w:szCs w:val="22"/>
          <w:lang w:val="es-ES_tradnl" w:eastAsia="es-ES"/>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w:t>
      </w:r>
      <w:r w:rsidRPr="00A065D6">
        <w:rPr>
          <w:rFonts w:ascii="Palatino Linotype" w:eastAsia="MS Mincho" w:hAnsi="Palatino Linotype" w:cs="Arial"/>
          <w:i/>
          <w:szCs w:val="22"/>
          <w:lang w:val="es-ES_tradnl" w:eastAsia="es-ES"/>
        </w:rPr>
        <w:t xml:space="preserve">a todas las áreas competentes que cuenten con la información o deban tenerla de acuerdo a sus facultades, competencias y funciones, </w:t>
      </w:r>
      <w:r w:rsidRPr="00A065D6">
        <w:rPr>
          <w:rFonts w:ascii="Palatino Linotype" w:eastAsia="MS Mincho" w:hAnsi="Palatino Linotype" w:cs="Arial"/>
          <w:b/>
          <w:i/>
          <w:szCs w:val="22"/>
          <w:u w:val="single"/>
          <w:lang w:val="es-ES_tradnl" w:eastAsia="es-ES"/>
        </w:rPr>
        <w:t xml:space="preserve">con el objeto de </w:t>
      </w:r>
      <w:r w:rsidRPr="00A065D6">
        <w:rPr>
          <w:rFonts w:ascii="Palatino Linotype" w:eastAsia="MS Mincho" w:hAnsi="Palatino Linotype" w:cs="Arial"/>
          <w:b/>
          <w:i/>
          <w:szCs w:val="22"/>
          <w:u w:val="single"/>
          <w:lang w:val="es-ES_tradnl" w:eastAsia="es-ES"/>
        </w:rPr>
        <w:lastRenderedPageBreak/>
        <w:t>que realicen una búsqueda exhaustiva y razonable de la información solicitada</w:t>
      </w:r>
      <w:r w:rsidRPr="00A065D6">
        <w:rPr>
          <w:rFonts w:ascii="Palatino Linotype" w:eastAsia="MS Mincho" w:hAnsi="Palatino Linotype" w:cs="Arial"/>
          <w:i/>
          <w:szCs w:val="22"/>
          <w:lang w:val="es-ES_tradnl" w:eastAsia="es-ES"/>
        </w:rPr>
        <w:t>,</w:t>
      </w:r>
      <w:r w:rsidRPr="00A065D6">
        <w:rPr>
          <w:rFonts w:ascii="Palatino Linotype" w:eastAsia="MS Mincho" w:hAnsi="Palatino Linotype" w:cs="Arial"/>
          <w:szCs w:val="22"/>
          <w:lang w:val="es-ES_tradnl" w:eastAsia="es-ES"/>
        </w:rPr>
        <w:t xml:space="preserve"> según se asienta en el artículo 162 de la ley citada. </w:t>
      </w:r>
    </w:p>
    <w:p w14:paraId="40007F58" w14:textId="77777777" w:rsidR="0032289E" w:rsidRPr="00A065D6" w:rsidRDefault="0032289E" w:rsidP="0032289E">
      <w:pPr>
        <w:pStyle w:val="Prrafodelista"/>
        <w:spacing w:line="360" w:lineRule="auto"/>
        <w:ind w:left="0"/>
        <w:jc w:val="both"/>
        <w:rPr>
          <w:rFonts w:ascii="Palatino Linotype" w:eastAsia="MS Mincho" w:hAnsi="Palatino Linotype" w:cs="Arial"/>
          <w:szCs w:val="22"/>
          <w:lang w:val="es-ES_tradnl" w:eastAsia="es-ES"/>
        </w:rPr>
      </w:pPr>
    </w:p>
    <w:p w14:paraId="6E221DD2" w14:textId="77777777" w:rsidR="0032289E" w:rsidRPr="00EF544B" w:rsidRDefault="0032289E" w:rsidP="0032289E">
      <w:pPr>
        <w:pStyle w:val="Prrafodelista"/>
        <w:numPr>
          <w:ilvl w:val="0"/>
          <w:numId w:val="1"/>
        </w:numPr>
        <w:spacing w:before="240" w:after="240" w:line="360" w:lineRule="auto"/>
        <w:ind w:left="0" w:right="49" w:firstLine="0"/>
        <w:jc w:val="both"/>
        <w:rPr>
          <w:rFonts w:ascii="Palatino Linotype" w:eastAsia="MS Mincho" w:hAnsi="Palatino Linotype" w:cs="Arial"/>
          <w:szCs w:val="22"/>
          <w:lang w:val="es-ES_tradnl" w:eastAsia="es-ES"/>
        </w:rPr>
      </w:pPr>
      <w:r w:rsidRPr="00A065D6">
        <w:rPr>
          <w:rFonts w:ascii="Palatino Linotype" w:eastAsia="MS Mincho" w:hAnsi="Palatino Linotype" w:cs="Arial"/>
          <w:szCs w:val="22"/>
          <w:lang w:val="es-ES_tradnl" w:eastAsia="es-ES"/>
        </w:rPr>
        <w:t xml:space="preserve">Por lo 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 </w:t>
      </w:r>
    </w:p>
    <w:p w14:paraId="2DDEECBD" w14:textId="77777777" w:rsidR="00EF544B" w:rsidRPr="00B73F0F" w:rsidRDefault="0032289E" w:rsidP="00554088">
      <w:pPr>
        <w:pStyle w:val="Prrafodelista"/>
        <w:numPr>
          <w:ilvl w:val="0"/>
          <w:numId w:val="1"/>
        </w:numPr>
        <w:spacing w:before="240" w:after="240" w:line="360" w:lineRule="auto"/>
        <w:ind w:left="0" w:right="49" w:firstLine="0"/>
        <w:jc w:val="both"/>
        <w:rPr>
          <w:rFonts w:ascii="Palatino Linotype" w:hAnsi="Palatino Linotype" w:cs="Tahoma"/>
          <w:b/>
          <w:bCs/>
          <w:iCs/>
          <w:szCs w:val="22"/>
          <w:lang w:val="es-ES" w:eastAsia="es-ES"/>
        </w:rPr>
      </w:pPr>
      <w:r w:rsidRPr="00A065D6">
        <w:rPr>
          <w:rFonts w:ascii="Palatino Linotype" w:hAnsi="Palatino Linotype" w:cs="Tahoma"/>
          <w:bCs/>
          <w:iCs/>
          <w:szCs w:val="22"/>
          <w:lang w:eastAsia="es-ES"/>
        </w:rPr>
        <w:t xml:space="preserve">En este caso, la respuesta fue emitida por el servidor público habilitado de la </w:t>
      </w:r>
      <w:r w:rsidRPr="00554088">
        <w:rPr>
          <w:rFonts w:ascii="Palatino Linotype" w:hAnsi="Palatino Linotype" w:cs="Tahoma"/>
          <w:bCs/>
          <w:iCs/>
          <w:szCs w:val="22"/>
          <w:lang w:eastAsia="es-ES"/>
        </w:rPr>
        <w:t xml:space="preserve">Subdirección de </w:t>
      </w:r>
      <w:r w:rsidR="00EF544B" w:rsidRPr="00554088">
        <w:rPr>
          <w:rFonts w:ascii="Palatino Linotype" w:hAnsi="Palatino Linotype" w:cs="Tahoma"/>
          <w:bCs/>
          <w:iCs/>
          <w:szCs w:val="22"/>
          <w:lang w:eastAsia="es-ES"/>
        </w:rPr>
        <w:t xml:space="preserve">Adquisiciones y Recursos Materiales, adscrita a la Dirección de Administración, quien de acuerdo al Reglamento </w:t>
      </w:r>
      <w:r w:rsidR="00554088" w:rsidRPr="00554088">
        <w:rPr>
          <w:rFonts w:ascii="Palatino Linotype" w:hAnsi="Palatino Linotype" w:cs="Tahoma"/>
          <w:bCs/>
          <w:iCs/>
          <w:szCs w:val="22"/>
          <w:lang w:eastAsia="es-ES"/>
        </w:rPr>
        <w:t>Interior de la Administración Pública Municipal</w:t>
      </w:r>
      <w:r w:rsidR="00554088">
        <w:rPr>
          <w:rFonts w:ascii="Palatino Linotype" w:hAnsi="Palatino Linotype" w:cs="Tahoma"/>
          <w:bCs/>
          <w:iCs/>
          <w:szCs w:val="22"/>
          <w:lang w:eastAsia="es-ES"/>
        </w:rPr>
        <w:t>, se auxilia de las áreas de Coordinación de Control, de Taller Vehicular y Combustible, la Coordinación de Servicios Generales y Almacén y la Coordinación de Contratos y Licitaciones</w:t>
      </w:r>
      <w:r w:rsidR="00B73F0F">
        <w:rPr>
          <w:rFonts w:ascii="Palatino Linotype" w:hAnsi="Palatino Linotype" w:cs="Tahoma"/>
          <w:bCs/>
          <w:iCs/>
          <w:szCs w:val="22"/>
          <w:lang w:eastAsia="es-ES"/>
        </w:rPr>
        <w:t xml:space="preserve"> y tiene las siguientes atribuciones:</w:t>
      </w:r>
    </w:p>
    <w:p w14:paraId="5C2CD46B" w14:textId="77777777" w:rsidR="00B73F0F" w:rsidRPr="00B73F0F" w:rsidRDefault="00B73F0F" w:rsidP="00B73F0F">
      <w:pPr>
        <w:pStyle w:val="Prrafodelista"/>
        <w:spacing w:before="240" w:after="240" w:line="360" w:lineRule="auto"/>
        <w:ind w:left="0" w:right="49"/>
        <w:jc w:val="both"/>
        <w:rPr>
          <w:rFonts w:ascii="Palatino Linotype" w:hAnsi="Palatino Linotype" w:cs="Tahoma"/>
          <w:b/>
          <w:bCs/>
          <w:iCs/>
          <w:szCs w:val="22"/>
          <w:lang w:val="es-ES" w:eastAsia="es-ES"/>
        </w:rPr>
      </w:pPr>
    </w:p>
    <w:p w14:paraId="3EDDEAD5" w14:textId="77777777" w:rsidR="00B73F0F" w:rsidRDefault="00B73F0F" w:rsidP="00B73F0F">
      <w:pPr>
        <w:pStyle w:val="Prrafodelista"/>
        <w:spacing w:before="240" w:after="240" w:line="360" w:lineRule="auto"/>
        <w:ind w:left="851" w:right="822"/>
        <w:jc w:val="both"/>
      </w:pPr>
      <w:r>
        <w:t>“Artículo 199. La Subdirección de Adquisiciones y Recursos Materiales tendrá las atribuciones siguientes:</w:t>
      </w:r>
    </w:p>
    <w:p w14:paraId="6286BEAD" w14:textId="77777777" w:rsidR="00B73F0F" w:rsidRDefault="00B73F0F" w:rsidP="00B73F0F">
      <w:pPr>
        <w:pStyle w:val="Prrafodelista"/>
        <w:spacing w:before="240" w:after="240" w:line="360" w:lineRule="auto"/>
        <w:ind w:left="0" w:right="49"/>
        <w:jc w:val="both"/>
        <w:rPr>
          <w:rFonts w:ascii="Palatino Linotype" w:hAnsi="Palatino Linotype" w:cs="Tahoma"/>
          <w:bCs/>
          <w:iCs/>
          <w:szCs w:val="22"/>
          <w:lang w:eastAsia="es-ES"/>
        </w:rPr>
      </w:pPr>
    </w:p>
    <w:p w14:paraId="664DCFC2" w14:textId="77777777" w:rsidR="00B73F0F" w:rsidRPr="00B73F0F" w:rsidRDefault="00B73F0F" w:rsidP="00B73F0F">
      <w:pPr>
        <w:pStyle w:val="Prrafodelista"/>
        <w:spacing w:before="240" w:after="240" w:line="360" w:lineRule="auto"/>
        <w:ind w:left="851" w:right="822"/>
        <w:jc w:val="both"/>
        <w:rPr>
          <w:i/>
        </w:rPr>
      </w:pPr>
      <w:r w:rsidRPr="00B73F0F">
        <w:rPr>
          <w:i/>
        </w:rPr>
        <w:t xml:space="preserve">I. Vigilar los procedimientos adquisitivos sean apegados a la normatividad vigente; </w:t>
      </w:r>
    </w:p>
    <w:p w14:paraId="5228284E" w14:textId="77777777" w:rsidR="00B73F0F" w:rsidRPr="00B73F0F" w:rsidRDefault="00B73F0F" w:rsidP="00B73F0F">
      <w:pPr>
        <w:pStyle w:val="Prrafodelista"/>
        <w:spacing w:before="240" w:after="240" w:line="360" w:lineRule="auto"/>
        <w:ind w:left="851" w:right="822"/>
        <w:jc w:val="both"/>
        <w:rPr>
          <w:i/>
        </w:rPr>
      </w:pPr>
      <w:r w:rsidRPr="00B73F0F">
        <w:rPr>
          <w:i/>
        </w:rPr>
        <w:t xml:space="preserve">II. Controlar las adquisiciones de bienes y la contratación de servicios, con la finalidad de que sean únicamente necesarios, y no se adquiera o se contrate de más, o sin necesitarlo; </w:t>
      </w:r>
    </w:p>
    <w:p w14:paraId="699F2894" w14:textId="77777777" w:rsidR="00B73F0F" w:rsidRPr="00B73F0F" w:rsidRDefault="00B73F0F" w:rsidP="00B73F0F">
      <w:pPr>
        <w:pStyle w:val="Prrafodelista"/>
        <w:spacing w:before="240" w:after="240" w:line="360" w:lineRule="auto"/>
        <w:ind w:left="851" w:right="822"/>
        <w:jc w:val="both"/>
        <w:rPr>
          <w:i/>
        </w:rPr>
      </w:pPr>
      <w:r w:rsidRPr="00B73F0F">
        <w:rPr>
          <w:i/>
        </w:rPr>
        <w:t xml:space="preserve">III. Actualizar el Padrón de Proveedores de bienes y de los prestadores de servicios, con la finalidad de que el Municipio cuente con una amplia gama de opciones; </w:t>
      </w:r>
    </w:p>
    <w:p w14:paraId="19E4935B" w14:textId="77777777" w:rsidR="00B73F0F" w:rsidRPr="00B73F0F" w:rsidRDefault="00B73F0F" w:rsidP="00B73F0F">
      <w:pPr>
        <w:pStyle w:val="Prrafodelista"/>
        <w:spacing w:before="240" w:after="240" w:line="360" w:lineRule="auto"/>
        <w:ind w:left="851" w:right="822"/>
        <w:jc w:val="both"/>
        <w:rPr>
          <w:i/>
        </w:rPr>
      </w:pPr>
      <w:r w:rsidRPr="00B73F0F">
        <w:rPr>
          <w:i/>
        </w:rPr>
        <w:t xml:space="preserve">IV. Revisar y analizar cada una de las requisiciones de adquisiciones de bienes y contratación de servicios para determinar cuál será el procedimiento a seguir a dicho proceso; y </w:t>
      </w:r>
    </w:p>
    <w:p w14:paraId="70F5B883" w14:textId="77777777" w:rsidR="00B73F0F" w:rsidRDefault="00B73F0F" w:rsidP="00B73F0F">
      <w:pPr>
        <w:pStyle w:val="Prrafodelista"/>
        <w:spacing w:before="240" w:after="240" w:line="360" w:lineRule="auto"/>
        <w:ind w:left="851" w:right="822"/>
        <w:jc w:val="both"/>
        <w:rPr>
          <w:i/>
        </w:rPr>
      </w:pPr>
      <w:r w:rsidRPr="00B73F0F">
        <w:rPr>
          <w:i/>
        </w:rPr>
        <w:lastRenderedPageBreak/>
        <w:t>V. Las demás que le confiera su superior jerárquico inmediato, las Leyes, Reglamentos y demás disposiciones jurídicas aplicables en el ámbito de sus atribuciones.</w:t>
      </w:r>
      <w:r>
        <w:rPr>
          <w:i/>
        </w:rPr>
        <w:t>”</w:t>
      </w:r>
    </w:p>
    <w:p w14:paraId="1DB46B1C" w14:textId="77777777" w:rsidR="0032289E" w:rsidRPr="00B73F0F" w:rsidRDefault="0032289E" w:rsidP="00B73F0F">
      <w:pPr>
        <w:pStyle w:val="Prrafodelista"/>
        <w:spacing w:before="240" w:after="240" w:line="360" w:lineRule="auto"/>
        <w:ind w:left="0" w:right="49"/>
        <w:jc w:val="both"/>
        <w:rPr>
          <w:rFonts w:ascii="Palatino Linotype" w:hAnsi="Palatino Linotype" w:cs="Tahoma"/>
          <w:b/>
          <w:bCs/>
          <w:iCs/>
          <w:szCs w:val="22"/>
          <w:lang w:val="es-ES" w:eastAsia="es-ES"/>
        </w:rPr>
      </w:pPr>
    </w:p>
    <w:p w14:paraId="2D7DCBD8" w14:textId="77777777" w:rsidR="00F72F46" w:rsidRPr="00B40EB4" w:rsidRDefault="0032289E" w:rsidP="00B40EB4">
      <w:pPr>
        <w:pStyle w:val="Prrafodelista"/>
        <w:numPr>
          <w:ilvl w:val="0"/>
          <w:numId w:val="1"/>
        </w:numPr>
        <w:spacing w:before="240" w:after="240" w:line="360" w:lineRule="auto"/>
        <w:ind w:left="0" w:right="49" w:firstLine="0"/>
        <w:jc w:val="both"/>
        <w:rPr>
          <w:rFonts w:ascii="Palatino Linotype" w:hAnsi="Palatino Linotype" w:cs="Tahoma"/>
          <w:bCs/>
          <w:iCs/>
          <w:szCs w:val="22"/>
          <w:lang w:val="es-ES" w:eastAsia="es-ES"/>
        </w:rPr>
      </w:pPr>
      <w:r w:rsidRPr="00A065D6">
        <w:rPr>
          <w:rFonts w:ascii="Palatino Linotype" w:hAnsi="Palatino Linotype" w:cs="Tahoma"/>
          <w:bCs/>
          <w:iCs/>
          <w:szCs w:val="22"/>
          <w:lang w:val="es-ES" w:eastAsia="es-ES"/>
        </w:rPr>
        <w:t>En ese sentido, se advierte que la respuesta fue emitida por el servidor público habilitado con atribuciones para generar, poseer o adminis</w:t>
      </w:r>
      <w:r w:rsidR="00B73F0F">
        <w:rPr>
          <w:rFonts w:ascii="Palatino Linotype" w:hAnsi="Palatino Linotype" w:cs="Tahoma"/>
          <w:bCs/>
          <w:iCs/>
          <w:szCs w:val="22"/>
          <w:lang w:val="es-ES" w:eastAsia="es-ES"/>
        </w:rPr>
        <w:t xml:space="preserve">trar la información solicitada, es decir,  que el Sujeto Obligado dio cumplimiento </w:t>
      </w:r>
      <w:r w:rsidR="00B40EB4">
        <w:rPr>
          <w:rFonts w:ascii="Palatino Linotype" w:hAnsi="Palatino Linotype" w:cs="Tahoma"/>
          <w:bCs/>
          <w:iCs/>
          <w:szCs w:val="22"/>
          <w:lang w:val="es-ES" w:eastAsia="es-ES"/>
        </w:rPr>
        <w:t xml:space="preserve">a los establecido por el </w:t>
      </w:r>
      <w:r w:rsidR="00B73F0F">
        <w:rPr>
          <w:rFonts w:ascii="Palatino Linotype" w:hAnsi="Palatino Linotype" w:cs="Tahoma"/>
          <w:bCs/>
          <w:iCs/>
          <w:szCs w:val="22"/>
          <w:lang w:val="es-ES" w:eastAsia="es-ES"/>
        </w:rPr>
        <w:t xml:space="preserve"> artículo 162 de la Ley de Transparencia respecto al procedimiento de búsqueda </w:t>
      </w:r>
      <w:r w:rsidR="00B40EB4">
        <w:rPr>
          <w:rFonts w:ascii="Palatino Linotype" w:hAnsi="Palatino Linotype" w:cs="Tahoma"/>
          <w:bCs/>
          <w:iCs/>
          <w:szCs w:val="22"/>
          <w:lang w:val="es-ES" w:eastAsia="es-ES"/>
        </w:rPr>
        <w:t xml:space="preserve">de la información. </w:t>
      </w:r>
    </w:p>
    <w:p w14:paraId="4E01D990" w14:textId="77777777" w:rsidR="00F72F46" w:rsidRDefault="00F72F46" w:rsidP="00F72F46">
      <w:pPr>
        <w:pStyle w:val="Prrafodelista"/>
        <w:rPr>
          <w:rFonts w:ascii="Palatino Linotype" w:hAnsi="Palatino Linotype"/>
          <w:szCs w:val="22"/>
        </w:rPr>
      </w:pPr>
    </w:p>
    <w:p w14:paraId="380436B7" w14:textId="77777777" w:rsidR="00F72F46" w:rsidRPr="00D80D01" w:rsidRDefault="00F72F46" w:rsidP="00F72F46">
      <w:pPr>
        <w:pStyle w:val="Prrafodelista"/>
        <w:numPr>
          <w:ilvl w:val="0"/>
          <w:numId w:val="1"/>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Ahora bien</w:t>
      </w:r>
      <w:r w:rsidRPr="00D80D01">
        <w:rPr>
          <w:rFonts w:ascii="Palatino Linotype" w:eastAsia="Calibri" w:hAnsi="Palatino Linotype" w:cs="Arial"/>
          <w:sz w:val="24"/>
        </w:rPr>
        <w:t xml:space="preserve">, </w:t>
      </w:r>
      <w:r>
        <w:rPr>
          <w:rFonts w:ascii="Palatino Linotype" w:eastAsia="Calibri" w:hAnsi="Palatino Linotype" w:cs="Arial"/>
          <w:sz w:val="24"/>
        </w:rPr>
        <w:t>del recurso de revisión, también se advierte que se desprenden nuevos requerimientos</w:t>
      </w:r>
      <w:r w:rsidR="00B40EB4">
        <w:rPr>
          <w:rFonts w:ascii="Palatino Linotype" w:eastAsia="Calibri" w:hAnsi="Palatino Linotype" w:cs="Arial"/>
          <w:sz w:val="24"/>
        </w:rPr>
        <w:t xml:space="preserve"> del particular que refieren lo siguiente</w:t>
      </w:r>
      <w:r>
        <w:rPr>
          <w:rFonts w:ascii="Palatino Linotype" w:eastAsia="Calibri" w:hAnsi="Palatino Linotype" w:cs="Arial"/>
          <w:sz w:val="24"/>
        </w:rPr>
        <w:t>, “</w:t>
      </w:r>
      <w:r w:rsidR="00B40EB4">
        <w:rPr>
          <w:rFonts w:ascii="Palatino Linotype" w:eastAsia="Calibri" w:hAnsi="Palatino Linotype" w:cs="Arial"/>
          <w:sz w:val="24"/>
        </w:rPr>
        <w:t>…</w:t>
      </w:r>
      <w:r w:rsidR="00B40EB4" w:rsidRPr="00B40EB4">
        <w:rPr>
          <w:rFonts w:ascii="Palatino Linotype" w:eastAsia="MS Mincho" w:hAnsi="Palatino Linotype" w:cstheme="majorBidi"/>
          <w:i/>
          <w:sz w:val="24"/>
          <w:lang w:eastAsia="es-ES"/>
        </w:rPr>
        <w:t xml:space="preserve">reformulo la pregunta solicitando todos los contratos de arrendamiento de vehículos contratados por el ayuntamiento de Coacalco de Berriozábal en la administración 2022-2024 así como todos los contratos de prestación de servicios contratados por el ayuntamiento de Coacalco de Berriozábal en la administración 2022-2024 y cuales son asignados para el área de seguridad </w:t>
      </w:r>
      <w:proofErr w:type="spellStart"/>
      <w:r w:rsidR="00B40EB4" w:rsidRPr="00B40EB4">
        <w:rPr>
          <w:rFonts w:ascii="Palatino Linotype" w:eastAsia="MS Mincho" w:hAnsi="Palatino Linotype" w:cstheme="majorBidi"/>
          <w:i/>
          <w:sz w:val="24"/>
          <w:lang w:eastAsia="es-ES"/>
        </w:rPr>
        <w:t>publica</w:t>
      </w:r>
      <w:proofErr w:type="spellEnd"/>
      <w:r w:rsidRPr="00D80D01">
        <w:rPr>
          <w:rFonts w:ascii="Palatino Linotype" w:eastAsia="MS Mincho" w:hAnsi="Palatino Linotype" w:cstheme="majorBidi"/>
          <w:i/>
          <w:sz w:val="24"/>
          <w:lang w:eastAsia="es-ES"/>
        </w:rPr>
        <w:t>”</w:t>
      </w:r>
      <w:r w:rsidRPr="00D80D01">
        <w:rPr>
          <w:rFonts w:ascii="Palatino Linotype" w:eastAsia="MS Mincho" w:hAnsi="Palatino Linotype" w:cstheme="majorBidi"/>
          <w:b/>
          <w:sz w:val="24"/>
          <w:lang w:val="es-ES_tradnl" w:eastAsia="es-ES"/>
        </w:rPr>
        <w:t>, mismos que no pueden ser atendidos dado que no fueron solicitados inicialmente, a lo que se le co</w:t>
      </w:r>
      <w:r>
        <w:rPr>
          <w:rFonts w:ascii="Palatino Linotype" w:eastAsia="MS Mincho" w:hAnsi="Palatino Linotype" w:cstheme="majorBidi"/>
          <w:b/>
          <w:sz w:val="24"/>
          <w:lang w:val="es-ES_tradnl" w:eastAsia="es-ES"/>
        </w:rPr>
        <w:t xml:space="preserve">noce también como </w:t>
      </w:r>
      <w:r w:rsidRPr="00B40EB4">
        <w:rPr>
          <w:rFonts w:ascii="Palatino Linotype" w:eastAsia="MS Mincho" w:hAnsi="Palatino Linotype" w:cstheme="majorBidi"/>
          <w:b/>
          <w:i/>
          <w:sz w:val="24"/>
          <w:lang w:val="es-ES_tradnl" w:eastAsia="es-ES"/>
        </w:rPr>
        <w:t xml:space="preserve">plus </w:t>
      </w:r>
      <w:proofErr w:type="spellStart"/>
      <w:r w:rsidRPr="00B40EB4">
        <w:rPr>
          <w:rFonts w:ascii="Palatino Linotype" w:eastAsia="MS Mincho" w:hAnsi="Palatino Linotype" w:cstheme="majorBidi"/>
          <w:b/>
          <w:i/>
          <w:sz w:val="24"/>
          <w:lang w:val="es-ES_tradnl" w:eastAsia="es-ES"/>
        </w:rPr>
        <w:t>petitio</w:t>
      </w:r>
      <w:proofErr w:type="spellEnd"/>
      <w:r>
        <w:rPr>
          <w:rFonts w:ascii="Palatino Linotype" w:eastAsia="MS Mincho" w:hAnsi="Palatino Linotype" w:cstheme="majorBidi"/>
          <w:b/>
          <w:sz w:val="24"/>
          <w:lang w:val="es-ES_tradnl" w:eastAsia="es-ES"/>
        </w:rPr>
        <w:t xml:space="preserve">, pues bien, en un principio solo requirió </w:t>
      </w:r>
      <w:r w:rsidR="00B40EB4">
        <w:rPr>
          <w:rFonts w:ascii="Palatino Linotype" w:eastAsia="MS Mincho" w:hAnsi="Palatino Linotype" w:cstheme="majorBidi"/>
          <w:b/>
          <w:sz w:val="24"/>
          <w:lang w:val="es-ES_tradnl" w:eastAsia="es-ES"/>
        </w:rPr>
        <w:t>los contratos sobre las motocicletas asignadas a seguridad pública</w:t>
      </w:r>
      <w:r>
        <w:rPr>
          <w:rFonts w:ascii="Palatino Linotype" w:eastAsia="MS Mincho" w:hAnsi="Palatino Linotype" w:cstheme="majorBidi"/>
          <w:b/>
          <w:sz w:val="24"/>
          <w:lang w:val="es-ES_tradnl" w:eastAsia="es-ES"/>
        </w:rPr>
        <w:t xml:space="preserve">, </w:t>
      </w:r>
      <w:r w:rsidR="00B40EB4">
        <w:rPr>
          <w:rFonts w:ascii="Palatino Linotype" w:eastAsia="MS Mincho" w:hAnsi="Palatino Linotype" w:cstheme="majorBidi"/>
          <w:b/>
          <w:sz w:val="24"/>
          <w:lang w:val="es-ES_tradnl" w:eastAsia="es-ES"/>
        </w:rPr>
        <w:t>y posteriormente requirió todos los contratos de arrendamiento de todos los vehículos</w:t>
      </w:r>
      <w:r>
        <w:rPr>
          <w:rFonts w:ascii="Palatino Linotype" w:eastAsia="MS Mincho" w:hAnsi="Palatino Linotype" w:cstheme="majorBidi"/>
          <w:b/>
          <w:sz w:val="24"/>
          <w:lang w:val="es-ES_tradnl" w:eastAsia="es-ES"/>
        </w:rPr>
        <w:t xml:space="preserve">. </w:t>
      </w:r>
      <w:r w:rsidRPr="00D80D01">
        <w:rPr>
          <w:rFonts w:ascii="Palatino Linotype" w:hAnsi="Palatino Linotype" w:cs="Arial"/>
          <w:color w:val="000000"/>
          <w:sz w:val="24"/>
          <w:lang w:val="es-ES" w:eastAsia="es-ES"/>
        </w:rPr>
        <w:t>Sirve de apoyo a lo anterior por analogía, la Jurisprudencia No. 29 visible a foja 19 del Apéndice al Semanario Judicial de la Federación 1917-1995, Torno VI, Materia Común, Primera Parte, Tesis de la Suprema Corte de Justicia, que enseña:</w:t>
      </w:r>
    </w:p>
    <w:p w14:paraId="14B3D650" w14:textId="77777777" w:rsidR="00F72F46" w:rsidRPr="00D23039" w:rsidRDefault="00F72F46" w:rsidP="00F72F46">
      <w:pPr>
        <w:pStyle w:val="Prrafodelista"/>
        <w:tabs>
          <w:tab w:val="left" w:pos="567"/>
        </w:tabs>
        <w:spacing w:line="360" w:lineRule="auto"/>
        <w:ind w:left="0"/>
        <w:jc w:val="both"/>
        <w:rPr>
          <w:rFonts w:ascii="Palatino Linotype" w:eastAsia="Calibri" w:hAnsi="Palatino Linotype" w:cs="Arial"/>
          <w:sz w:val="24"/>
        </w:rPr>
      </w:pPr>
    </w:p>
    <w:p w14:paraId="523167A5" w14:textId="77777777" w:rsidR="00F72F46" w:rsidRDefault="00F72F46" w:rsidP="00F72F46">
      <w:pPr>
        <w:pStyle w:val="Prrafodelista"/>
        <w:spacing w:before="240" w:after="240" w:line="360" w:lineRule="auto"/>
        <w:ind w:right="901"/>
        <w:jc w:val="both"/>
        <w:rPr>
          <w:rFonts w:ascii="Palatino Linotype" w:hAnsi="Palatino Linotype" w:cs="Arial"/>
          <w:b/>
          <w:color w:val="000000"/>
          <w:lang w:val="es-ES" w:eastAsia="es-ES"/>
        </w:rPr>
      </w:pPr>
      <w:r w:rsidRPr="00D23039">
        <w:rPr>
          <w:rFonts w:ascii="Palatino Linotype" w:hAnsi="Palatino Linotype" w:cs="Arial"/>
          <w:b/>
          <w:color w:val="000000"/>
          <w:lang w:val="es-ES" w:eastAsia="es-ES"/>
        </w:rPr>
        <w:t>"</w:t>
      </w:r>
      <w:r w:rsidRPr="00D23039">
        <w:rPr>
          <w:rFonts w:ascii="Palatino Linotype" w:hAnsi="Palatino Linotype" w:cs="Arial"/>
          <w:i/>
          <w:color w:val="000000"/>
          <w:lang w:val="es-ES" w:eastAsia="es-ES"/>
        </w:rPr>
        <w:t xml:space="preserve">AGRAVIOS EN LA REVISION. DEBEN ESTAR EN RELACION DIRECTA CON LOS FUNDAMENTOS Y CONSIDERACIONES DE LA SENTENCIA.- Los agravios deben estar en relación directa e inmediata con los fundamentos </w:t>
      </w:r>
      <w:r w:rsidRPr="00D23039">
        <w:rPr>
          <w:rFonts w:ascii="Palatino Linotype" w:hAnsi="Palatino Linotype" w:cs="Arial"/>
          <w:i/>
          <w:color w:val="000000"/>
          <w:lang w:val="es-ES" w:eastAsia="es-ES"/>
        </w:rPr>
        <w:lastRenderedPageBreak/>
        <w:t>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sidRPr="00D23039">
        <w:rPr>
          <w:rFonts w:ascii="Palatino Linotype" w:hAnsi="Palatino Linotype" w:cs="Arial"/>
          <w:b/>
          <w:color w:val="000000"/>
          <w:lang w:val="es-ES" w:eastAsia="es-ES"/>
        </w:rPr>
        <w:t>"</w:t>
      </w:r>
    </w:p>
    <w:p w14:paraId="4C6201B4" w14:textId="77777777" w:rsidR="00F72F46" w:rsidRPr="00D23039" w:rsidRDefault="00F72F46" w:rsidP="00F72F46">
      <w:pPr>
        <w:pStyle w:val="Prrafodelista"/>
        <w:spacing w:before="240" w:after="240" w:line="360" w:lineRule="auto"/>
        <w:ind w:right="901"/>
        <w:jc w:val="both"/>
        <w:rPr>
          <w:rFonts w:ascii="Palatino Linotype" w:hAnsi="Palatino Linotype" w:cs="Arial"/>
          <w:color w:val="000000"/>
          <w:lang w:val="es-ES" w:eastAsia="es-ES"/>
        </w:rPr>
      </w:pPr>
    </w:p>
    <w:p w14:paraId="66E82B48" w14:textId="77777777" w:rsidR="00F72F46" w:rsidRPr="00D23039" w:rsidRDefault="00F72F46" w:rsidP="00F72F46">
      <w:pPr>
        <w:pStyle w:val="Prrafodelista"/>
        <w:numPr>
          <w:ilvl w:val="0"/>
          <w:numId w:val="1"/>
        </w:numPr>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Asimismo, cabe por analogía en el presente asunto el fallo emitido por el Segundo Tribunal Colegiado del Cuarto Circuito, recaído en el amparo directo 277/88, que establece:</w:t>
      </w:r>
    </w:p>
    <w:p w14:paraId="73D161A3" w14:textId="77777777" w:rsidR="00F72F46" w:rsidRPr="00D23039" w:rsidRDefault="00F72F46" w:rsidP="00F72F46">
      <w:pPr>
        <w:pStyle w:val="Prrafodelista"/>
        <w:spacing w:before="240" w:after="240" w:line="360" w:lineRule="auto"/>
        <w:jc w:val="both"/>
        <w:rPr>
          <w:rFonts w:ascii="Palatino Linotype" w:hAnsi="Palatino Linotype" w:cs="Arial"/>
          <w:color w:val="000000"/>
          <w:lang w:val="es-ES" w:eastAsia="es-ES"/>
        </w:rPr>
      </w:pPr>
    </w:p>
    <w:p w14:paraId="429BAD6A" w14:textId="77777777" w:rsidR="00F72F46" w:rsidRDefault="00F72F46" w:rsidP="00F72F46">
      <w:pPr>
        <w:pStyle w:val="Prrafodelista"/>
        <w:tabs>
          <w:tab w:val="left" w:pos="8080"/>
        </w:tabs>
        <w:spacing w:before="240" w:after="240" w:line="360" w:lineRule="auto"/>
        <w:ind w:left="851" w:right="901"/>
        <w:jc w:val="both"/>
        <w:rPr>
          <w:rFonts w:ascii="Palatino Linotype" w:hAnsi="Palatino Linotype" w:cs="Arial"/>
          <w:b/>
          <w:color w:val="000000"/>
          <w:lang w:val="es-ES" w:eastAsia="es-ES"/>
        </w:rPr>
      </w:pPr>
      <w:r w:rsidRPr="00D23039">
        <w:rPr>
          <w:rFonts w:ascii="Palatino Linotype" w:hAnsi="Palatino Linotype" w:cs="Arial"/>
          <w:b/>
          <w:color w:val="000000"/>
          <w:lang w:val="es-ES" w:eastAsia="es-ES"/>
        </w:rPr>
        <w:t>“</w:t>
      </w:r>
      <w:r w:rsidRPr="00D23039">
        <w:rPr>
          <w:rFonts w:ascii="Palatino Linotype" w:hAnsi="Palatino Linotype" w:cs="Arial"/>
          <w:i/>
          <w:color w:val="000000"/>
          <w:lang w:val="es-ES" w:eastAsia="es-ES"/>
        </w:rPr>
        <w:t xml:space="preserve">JUICIO DE NULIDAD LITIS EN EL. Interpretación de los artículos 215 y 237 DEL CÓDIGO FISCAL DE LA FEDERACIÓN.- El actual Código Fiscal de la Federación no contempla literalmente la hipótesis legal regulada en el artículo 219 del Código Fiscal de 1967, en el que se estima que la resolución impugnada deberá ser apreciada en los términos en que lo fue ante la autoridad administrativa; sin embargo el artículo 237 de dicho ordenamiento en vigor establece que las sentencias del Tribunal Fiscal de la Federación se fundarán en derecho y examinarán todos y cada uno de los puntos controvertidos, del acto impugnado de donde se sigue que, interpretando conjuntamente los artículos 215 y 237, del Código Fiscal vigente, la autoridad en su contestación a la demanda no podrá cambiar los fundamentos de derecho dados en la resolución y, por su parte, la actora no podrá introducir en su demanda cuestiones diversas a las planteadas originalmente ante la autoridad administrativa, pues de seguirse un criterio contrario, el juzgador tendría que analizar el acto combatido a la luz de argumentos que no fueron del conocimiento de la autoridad o, en su caso, de aquéllos que no fueron expuestos en la propia </w:t>
      </w:r>
      <w:r w:rsidRPr="00D23039">
        <w:rPr>
          <w:rFonts w:ascii="Palatino Linotype" w:hAnsi="Palatino Linotype" w:cs="Arial"/>
          <w:i/>
          <w:color w:val="000000"/>
          <w:lang w:val="es-ES" w:eastAsia="es-ES"/>
        </w:rPr>
        <w:lastRenderedPageBreak/>
        <w:t>resolución, con lo cual no se examinarían todos y cada uno de los hechos y puntos controvertidos del acto impugnado, tal como establece el artículo 237 mencionado. Por último cabe señalar que dicha regla admite la excepción relativa a cuestiones y pruebas supervenientes- Visible en el S.J.F., Octava Época, Tomo VII, enero de 1991, pág. 294.</w:t>
      </w:r>
      <w:r w:rsidRPr="00D23039">
        <w:rPr>
          <w:rFonts w:ascii="Palatino Linotype" w:hAnsi="Palatino Linotype" w:cs="Arial"/>
          <w:b/>
          <w:color w:val="000000"/>
          <w:lang w:val="es-ES" w:eastAsia="es-ES"/>
        </w:rPr>
        <w:t>”</w:t>
      </w:r>
    </w:p>
    <w:p w14:paraId="69589771" w14:textId="77777777" w:rsidR="00F72F46" w:rsidRPr="00D23039" w:rsidRDefault="00F72F46" w:rsidP="00F72F46">
      <w:pPr>
        <w:pStyle w:val="Prrafodelista"/>
        <w:spacing w:before="240" w:after="240"/>
        <w:ind w:right="901"/>
        <w:jc w:val="both"/>
        <w:rPr>
          <w:rFonts w:ascii="Palatino Linotype" w:hAnsi="Palatino Linotype" w:cs="Arial"/>
          <w:b/>
          <w:color w:val="000000"/>
          <w:lang w:val="es-ES" w:eastAsia="es-ES"/>
        </w:rPr>
      </w:pPr>
    </w:p>
    <w:p w14:paraId="06B6C563" w14:textId="77777777" w:rsidR="00F72F46" w:rsidRPr="00D23039" w:rsidRDefault="00F72F46" w:rsidP="00F72F46">
      <w:pPr>
        <w:pStyle w:val="Prrafodelista"/>
        <w:numPr>
          <w:ilvl w:val="0"/>
          <w:numId w:val="1"/>
        </w:numPr>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 xml:space="preserve">Por lo anterior, se establece que, el recurso de revisión presentado por </w:t>
      </w:r>
      <w:r w:rsidRPr="00D23039">
        <w:rPr>
          <w:rFonts w:ascii="Palatino Linotype" w:hAnsi="Palatino Linotype" w:cs="Arial"/>
          <w:b/>
          <w:color w:val="000000"/>
          <w:sz w:val="24"/>
          <w:lang w:val="es-ES" w:eastAsia="es-ES"/>
        </w:rPr>
        <w:t>EL RECURRENTE</w:t>
      </w:r>
      <w:r w:rsidRPr="00D23039">
        <w:rPr>
          <w:rFonts w:ascii="Palatino Linotype" w:hAnsi="Palatino Linotype" w:cs="Arial"/>
          <w:color w:val="000000"/>
          <w:sz w:val="24"/>
          <w:lang w:val="es-ES" w:eastAsia="es-ES"/>
        </w:rPr>
        <w:t xml:space="preserve"> no debe variar el fondo de la litis, de tal manera que, los argumentos planteados por </w:t>
      </w:r>
      <w:r w:rsidRPr="00D23039">
        <w:rPr>
          <w:rFonts w:ascii="Palatino Linotype" w:hAnsi="Palatino Linotype" w:cs="Arial"/>
          <w:b/>
          <w:color w:val="000000"/>
          <w:sz w:val="24"/>
          <w:lang w:val="es-ES" w:eastAsia="es-ES"/>
        </w:rPr>
        <w:t>EL RECURRENTE</w:t>
      </w:r>
      <w:r w:rsidRPr="00D23039">
        <w:rPr>
          <w:rFonts w:ascii="Palatino Linotype" w:hAnsi="Palatino Linotype" w:cs="Arial"/>
          <w:color w:val="000000"/>
          <w:sz w:val="24"/>
          <w:lang w:val="es-ES" w:eastAsia="es-ES"/>
        </w:rPr>
        <w:t xml:space="preserve"> en su inconformidad respecto de los puntos materia del presente análisis, resultan notoriamente improcedentes, pues este Órgano Garante se encuentra imposibilitado para satisfacer requerimientos que no fueron formulados en tiempo y forma.</w:t>
      </w:r>
    </w:p>
    <w:p w14:paraId="2CBF19B1" w14:textId="77777777" w:rsidR="00F72F46" w:rsidRPr="00D23039" w:rsidRDefault="00F72F46" w:rsidP="00F72F46">
      <w:pPr>
        <w:pStyle w:val="Prrafodelista"/>
        <w:spacing w:before="240" w:after="240" w:line="360" w:lineRule="auto"/>
        <w:ind w:left="0"/>
        <w:jc w:val="both"/>
        <w:rPr>
          <w:rFonts w:ascii="Palatino Linotype" w:hAnsi="Palatino Linotype" w:cs="Arial"/>
          <w:color w:val="000000"/>
          <w:sz w:val="24"/>
          <w:lang w:val="es-ES" w:eastAsia="es-ES"/>
        </w:rPr>
      </w:pPr>
    </w:p>
    <w:p w14:paraId="3A497404" w14:textId="77777777" w:rsidR="00F72F46" w:rsidRPr="00D23039" w:rsidRDefault="00F72F46" w:rsidP="00F72F46">
      <w:pPr>
        <w:pStyle w:val="Prrafodelista"/>
        <w:numPr>
          <w:ilvl w:val="0"/>
          <w:numId w:val="1"/>
        </w:numPr>
        <w:shd w:val="clear" w:color="auto" w:fill="FFFFFF"/>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14:paraId="2EF499B1" w14:textId="77777777" w:rsidR="00F72F46" w:rsidRPr="00D23039" w:rsidRDefault="00F72F46" w:rsidP="00F72F46">
      <w:pPr>
        <w:pStyle w:val="Prrafodelista"/>
        <w:shd w:val="clear" w:color="auto" w:fill="FFFFFF"/>
        <w:spacing w:before="240" w:after="240" w:line="360" w:lineRule="auto"/>
        <w:ind w:left="0"/>
        <w:jc w:val="both"/>
        <w:rPr>
          <w:rFonts w:ascii="Palatino Linotype" w:hAnsi="Palatino Linotype" w:cs="Arial"/>
          <w:color w:val="000000"/>
          <w:lang w:val="es-ES" w:eastAsia="es-ES"/>
        </w:rPr>
      </w:pPr>
    </w:p>
    <w:p w14:paraId="78B8E5C7" w14:textId="77777777" w:rsidR="00F72F46" w:rsidRDefault="00F72F46" w:rsidP="00F72F46">
      <w:pPr>
        <w:pStyle w:val="Prrafodelista"/>
        <w:shd w:val="clear" w:color="auto" w:fill="FFFFFF"/>
        <w:spacing w:line="360" w:lineRule="auto"/>
        <w:ind w:left="851" w:right="822"/>
        <w:jc w:val="both"/>
        <w:rPr>
          <w:rFonts w:ascii="Palatino Linotype" w:hAnsi="Palatino Linotype" w:cs="Arial"/>
          <w:b/>
          <w:i/>
          <w:iCs/>
          <w:color w:val="000000"/>
          <w:lang w:val="es-ES" w:eastAsia="es-ES"/>
        </w:rPr>
      </w:pPr>
      <w:r w:rsidRPr="00D23039">
        <w:rPr>
          <w:rFonts w:ascii="Palatino Linotype" w:hAnsi="Palatino Linotype" w:cs="Arial"/>
          <w:b/>
          <w:bCs/>
          <w:i/>
          <w:iCs/>
          <w:color w:val="000000"/>
          <w:lang w:val="es-ES" w:eastAsia="es-ES"/>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r w:rsidRPr="00D23039">
        <w:rPr>
          <w:rFonts w:ascii="Palatino Linotype" w:hAnsi="Palatino Linotype" w:cs="Arial"/>
          <w:i/>
          <w:iCs/>
          <w:color w:val="000000"/>
          <w:lang w:val="es-ES" w:eastAsia="es-ES"/>
        </w:rPr>
        <w:t xml:space="preserve">Si bien es cierto que los artículos 1 y 2 de la Ley Federal de Transparencia y Acceso a la Información Pública Gubernamental establecen, respectivamente, que </w:t>
      </w:r>
      <w:r w:rsidRPr="00D23039">
        <w:rPr>
          <w:rFonts w:ascii="Palatino Linotype" w:hAnsi="Palatino Linotype" w:cs="Arial"/>
          <w:i/>
          <w:iCs/>
          <w:color w:val="000000"/>
          <w:lang w:val="es-ES" w:eastAsia="es-ES"/>
        </w:rPr>
        <w:lastRenderedPageBreak/>
        <w:t>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r w:rsidRPr="00D23039">
        <w:rPr>
          <w:rFonts w:ascii="Palatino Linotype" w:hAnsi="Palatino Linotype" w:cs="Arial"/>
          <w:i/>
          <w:iCs/>
          <w:color w:val="000000"/>
          <w:lang w:val="es-ES" w:eastAsia="es-ES"/>
        </w:rPr>
        <w:br/>
        <w:t>OCTAVO TRIBUNAL COLEGIADO EN MATERIA ADMINISTRATIVA DEL PRIMER CIRCUITO.</w:t>
      </w:r>
      <w:r w:rsidRPr="00D23039">
        <w:rPr>
          <w:rFonts w:ascii="Palatino Linotype" w:hAnsi="Palatino Linotype" w:cs="Arial"/>
          <w:b/>
          <w:i/>
          <w:iCs/>
          <w:color w:val="000000"/>
          <w:lang w:val="es-ES" w:eastAsia="es-ES"/>
        </w:rPr>
        <w:t>”</w:t>
      </w:r>
    </w:p>
    <w:p w14:paraId="6853F242" w14:textId="77777777" w:rsidR="00F72F46" w:rsidRPr="00D23039" w:rsidRDefault="00F72F46" w:rsidP="00F72F46">
      <w:pPr>
        <w:pStyle w:val="Prrafodelista"/>
        <w:shd w:val="clear" w:color="auto" w:fill="FFFFFF"/>
        <w:spacing w:line="276" w:lineRule="auto"/>
        <w:ind w:left="851" w:right="822"/>
        <w:jc w:val="both"/>
        <w:rPr>
          <w:rFonts w:ascii="Palatino Linotype" w:hAnsi="Palatino Linotype" w:cs="Arial"/>
          <w:b/>
          <w:color w:val="000000"/>
          <w:lang w:val="es-ES" w:eastAsia="es-ES"/>
        </w:rPr>
      </w:pPr>
    </w:p>
    <w:p w14:paraId="7781CEA0" w14:textId="77777777" w:rsidR="00F72F46" w:rsidRPr="00D23039" w:rsidRDefault="00F72F46" w:rsidP="00F72F46">
      <w:pPr>
        <w:pStyle w:val="Prrafodelista"/>
        <w:numPr>
          <w:ilvl w:val="0"/>
          <w:numId w:val="1"/>
        </w:numPr>
        <w:shd w:val="clear" w:color="auto" w:fill="FFFFFF"/>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 xml:space="preserve">Así mismo ha sido criterio del Instituto Nacional de Transparencia, Acceso a la Información y Protección de Datos Personales bajo el número 27/10, que </w:t>
      </w:r>
      <w:r w:rsidRPr="00D23039">
        <w:rPr>
          <w:rFonts w:ascii="Palatino Linotype" w:hAnsi="Palatino Linotype" w:cs="Arial"/>
          <w:bCs/>
          <w:color w:val="000000"/>
          <w:sz w:val="24"/>
          <w:u w:val="single"/>
          <w:lang w:val="es-ES" w:eastAsia="es-ES"/>
        </w:rPr>
        <w:t>resulta improcedente ampliar las solicitudes de información pública</w:t>
      </w:r>
      <w:r w:rsidRPr="00D23039">
        <w:rPr>
          <w:rFonts w:ascii="Palatino Linotype" w:hAnsi="Palatino Linotype" w:cs="Arial"/>
          <w:color w:val="000000"/>
          <w:sz w:val="24"/>
          <w:u w:val="single"/>
          <w:lang w:val="es-ES" w:eastAsia="es-ES"/>
        </w:rPr>
        <w:t xml:space="preserve"> o de datos personales a través de la interposición del recurso de revisión</w:t>
      </w:r>
      <w:r w:rsidRPr="00D23039">
        <w:rPr>
          <w:rFonts w:ascii="Palatino Linotype" w:hAnsi="Palatino Linotype" w:cs="Arial"/>
          <w:color w:val="000000"/>
          <w:sz w:val="24"/>
          <w:lang w:val="es-ES" w:eastAsia="es-ES"/>
        </w:rPr>
        <w:t xml:space="preserve">, como se estima acontece en el presente asunto, al aumentar datos a la solicitud inicial, </w:t>
      </w:r>
      <w:r w:rsidRPr="00D23039">
        <w:rPr>
          <w:rFonts w:ascii="Palatino Linotype" w:hAnsi="Palatino Linotype" w:cs="Arial"/>
          <w:b/>
          <w:bCs/>
          <w:color w:val="000000"/>
          <w:sz w:val="24"/>
          <w:lang w:val="es-ES" w:eastAsia="es-ES"/>
        </w:rPr>
        <w:t>por lo que se insiste no se puede entrar al estudio de la información novedosa</w:t>
      </w:r>
      <w:r w:rsidRPr="00D23039">
        <w:rPr>
          <w:rFonts w:ascii="Palatino Linotype" w:hAnsi="Palatino Linotype" w:cs="Arial"/>
          <w:color w:val="000000"/>
          <w:sz w:val="24"/>
          <w:lang w:val="es-ES" w:eastAsia="es-ES"/>
        </w:rPr>
        <w:t>, criterio que es de la literalidad siguiente:</w:t>
      </w:r>
    </w:p>
    <w:p w14:paraId="49E0CB9B" w14:textId="77777777" w:rsidR="00F72F46" w:rsidRPr="00D23039" w:rsidRDefault="00F72F46" w:rsidP="00F72F46">
      <w:pPr>
        <w:pStyle w:val="Prrafodelista"/>
        <w:shd w:val="clear" w:color="auto" w:fill="FFFFFF"/>
        <w:spacing w:before="240" w:after="240" w:line="360" w:lineRule="auto"/>
        <w:jc w:val="both"/>
        <w:rPr>
          <w:rFonts w:ascii="Palatino Linotype" w:hAnsi="Palatino Linotype" w:cs="Arial"/>
          <w:color w:val="000000"/>
          <w:lang w:val="es-ES" w:eastAsia="es-ES"/>
        </w:rPr>
      </w:pPr>
    </w:p>
    <w:p w14:paraId="4FEFE056" w14:textId="77777777" w:rsidR="00F72F46" w:rsidRPr="00D23039" w:rsidRDefault="00F72F46" w:rsidP="00F72F46">
      <w:pPr>
        <w:pStyle w:val="Prrafodelista"/>
        <w:shd w:val="clear" w:color="auto" w:fill="FFFFFF"/>
        <w:spacing w:before="240" w:after="240" w:line="360" w:lineRule="auto"/>
        <w:ind w:left="851" w:right="822"/>
        <w:jc w:val="both"/>
        <w:rPr>
          <w:rFonts w:ascii="Palatino Linotype" w:hAnsi="Palatino Linotype" w:cs="Arial"/>
          <w:color w:val="000000"/>
          <w:lang w:val="es-ES" w:eastAsia="es-ES"/>
        </w:rPr>
      </w:pPr>
      <w:r w:rsidRPr="00D23039">
        <w:rPr>
          <w:rFonts w:ascii="Palatino Linotype" w:hAnsi="Palatino Linotype" w:cs="Arial"/>
          <w:b/>
          <w:bCs/>
          <w:i/>
          <w:iCs/>
          <w:color w:val="000000"/>
          <w:lang w:val="es-ES" w:eastAsia="es-ES"/>
        </w:rPr>
        <w:lastRenderedPageBreak/>
        <w:t>“Es improcedente ampliar las solicitudes de acceso a información pública o datos personales, a través de la interposición del recurso de revisión.</w:t>
      </w:r>
      <w:r w:rsidRPr="00D23039">
        <w:rPr>
          <w:rFonts w:ascii="Palatino Linotype" w:hAnsi="Palatino Linotype" w:cs="Arial"/>
          <w:i/>
          <w:iCs/>
          <w:color w:val="000000"/>
          <w:lang w:val="es-ES" w:eastAsia="es-ES"/>
        </w:rPr>
        <w:t>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14:paraId="407E13B7" w14:textId="77777777" w:rsidR="00F72F46" w:rsidRPr="00B40EB4" w:rsidRDefault="00F72F46" w:rsidP="00B40EB4">
      <w:pPr>
        <w:pStyle w:val="Prrafodelista"/>
        <w:shd w:val="clear" w:color="auto" w:fill="FFFFFF"/>
        <w:spacing w:before="240" w:after="240" w:line="360" w:lineRule="auto"/>
        <w:ind w:left="851" w:right="822"/>
        <w:jc w:val="both"/>
        <w:rPr>
          <w:rFonts w:ascii="Palatino Linotype" w:hAnsi="Palatino Linotype" w:cs="Arial"/>
          <w:b/>
          <w:i/>
          <w:iCs/>
          <w:color w:val="000000"/>
          <w:lang w:val="es-ES" w:eastAsia="es-ES"/>
        </w:rPr>
      </w:pPr>
      <w:r w:rsidRPr="00D23039">
        <w:rPr>
          <w:rFonts w:ascii="Palatino Linotype" w:hAnsi="Palatino Linotype" w:cs="Arial"/>
          <w:i/>
          <w:iCs/>
          <w:color w:val="000000"/>
          <w:lang w:val="es-ES" w:eastAsia="es-ES"/>
        </w:rPr>
        <w:t xml:space="preserve">Expedientes: 5871/08 Secretaría de Educación Pública – Alonso Gómez-Robledo Verduzco 3468/09 Instituto de Seguridad y Servicios Sociales de los Trabajadores del Estado - Ángel Trinidad Zaldívar 5417/09 Procuraduría General de la República - María </w:t>
      </w:r>
      <w:proofErr w:type="spellStart"/>
      <w:r w:rsidRPr="00D23039">
        <w:rPr>
          <w:rFonts w:ascii="Palatino Linotype" w:hAnsi="Palatino Linotype" w:cs="Arial"/>
          <w:i/>
          <w:iCs/>
          <w:color w:val="000000"/>
          <w:lang w:val="es-ES" w:eastAsia="es-ES"/>
        </w:rPr>
        <w:t>Marván</w:t>
      </w:r>
      <w:proofErr w:type="spellEnd"/>
      <w:r w:rsidRPr="00D23039">
        <w:rPr>
          <w:rFonts w:ascii="Palatino Linotype" w:hAnsi="Palatino Linotype" w:cs="Arial"/>
          <w:i/>
          <w:iCs/>
          <w:color w:val="000000"/>
          <w:lang w:val="es-ES" w:eastAsia="es-ES"/>
        </w:rPr>
        <w:t xml:space="preserve"> Laborde1523 1006/10 Instituto Mexicano del Seguro Social – Sigrid </w:t>
      </w:r>
      <w:proofErr w:type="spellStart"/>
      <w:r w:rsidRPr="00D23039">
        <w:rPr>
          <w:rFonts w:ascii="Palatino Linotype" w:hAnsi="Palatino Linotype" w:cs="Arial"/>
          <w:i/>
          <w:iCs/>
          <w:color w:val="000000"/>
          <w:lang w:val="es-ES" w:eastAsia="es-ES"/>
        </w:rPr>
        <w:t>Arzt</w:t>
      </w:r>
      <w:proofErr w:type="spellEnd"/>
      <w:r w:rsidRPr="00D23039">
        <w:rPr>
          <w:rFonts w:ascii="Palatino Linotype" w:hAnsi="Palatino Linotype" w:cs="Arial"/>
          <w:i/>
          <w:iCs/>
          <w:color w:val="000000"/>
          <w:lang w:val="es-ES" w:eastAsia="es-ES"/>
        </w:rPr>
        <w:t xml:space="preserve"> Colunga 1378/10 Instituto de Seguridad y Servicios Sociales de los Trabajadores del Estado – María Elena Pérez-Jaén Zermeño.</w:t>
      </w:r>
      <w:r w:rsidRPr="00D23039">
        <w:rPr>
          <w:rFonts w:ascii="Palatino Linotype" w:hAnsi="Palatino Linotype" w:cs="Arial"/>
          <w:b/>
          <w:i/>
          <w:iCs/>
          <w:color w:val="000000"/>
          <w:lang w:val="es-ES" w:eastAsia="es-ES"/>
        </w:rPr>
        <w:t>”</w:t>
      </w:r>
    </w:p>
    <w:p w14:paraId="3FC73078" w14:textId="77777777" w:rsidR="0032289E" w:rsidRPr="00A065D6" w:rsidRDefault="0032289E" w:rsidP="0032289E">
      <w:pPr>
        <w:pStyle w:val="Default"/>
        <w:numPr>
          <w:ilvl w:val="0"/>
          <w:numId w:val="1"/>
        </w:numPr>
        <w:tabs>
          <w:tab w:val="left" w:pos="0"/>
        </w:tabs>
        <w:spacing w:before="240" w:after="360" w:line="360" w:lineRule="auto"/>
        <w:ind w:left="0" w:firstLine="0"/>
        <w:jc w:val="both"/>
        <w:rPr>
          <w:rFonts w:ascii="Palatino Linotype" w:hAnsi="Palatino Linotype"/>
          <w:sz w:val="22"/>
          <w:szCs w:val="22"/>
        </w:rPr>
      </w:pPr>
      <w:r w:rsidRPr="00A065D6">
        <w:rPr>
          <w:rFonts w:ascii="Palatino Linotype" w:hAnsi="Palatino Linotype"/>
          <w:sz w:val="22"/>
          <w:szCs w:val="22"/>
        </w:rPr>
        <w:t xml:space="preserve">En ese sentido, la </w:t>
      </w:r>
      <w:r w:rsidRPr="00A065D6">
        <w:rPr>
          <w:rFonts w:ascii="Palatino Linotype" w:hAnsi="Palatino Linotype"/>
          <w:b/>
          <w:sz w:val="22"/>
          <w:szCs w:val="22"/>
        </w:rPr>
        <w:t>Ley de Transparencia y Acceso a la Información Pública del Estado de México y Municipios</w:t>
      </w:r>
      <w:r w:rsidRPr="00A065D6">
        <w:rPr>
          <w:rFonts w:ascii="Palatino Linotype" w:hAnsi="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79B2F07" w14:textId="77777777" w:rsidR="00B40EB4" w:rsidRDefault="00B40EB4" w:rsidP="0032289E">
      <w:pPr>
        <w:pStyle w:val="Prrafodelista"/>
        <w:spacing w:line="360" w:lineRule="auto"/>
        <w:ind w:right="902"/>
        <w:jc w:val="both"/>
        <w:rPr>
          <w:rFonts w:ascii="Palatino Linotype" w:hAnsi="Palatino Linotype" w:cs="Arial"/>
          <w:i/>
          <w:szCs w:val="22"/>
        </w:rPr>
      </w:pPr>
      <w:r>
        <w:rPr>
          <w:rFonts w:ascii="Palatino Linotype" w:hAnsi="Palatino Linotype" w:cs="Arial"/>
          <w:i/>
          <w:szCs w:val="22"/>
        </w:rPr>
        <w:t>“</w:t>
      </w:r>
      <w:r w:rsidR="0032289E" w:rsidRPr="00A065D6">
        <w:rPr>
          <w:rFonts w:ascii="Palatino Linotype" w:hAnsi="Palatino Linotype" w:cs="Arial"/>
          <w:i/>
          <w:szCs w:val="22"/>
        </w:rPr>
        <w:t xml:space="preserve">Artículo </w:t>
      </w:r>
      <w:r>
        <w:rPr>
          <w:rFonts w:ascii="Palatino Linotype" w:hAnsi="Palatino Linotype" w:cs="Arial"/>
          <w:i/>
          <w:szCs w:val="22"/>
        </w:rPr>
        <w:t>4</w:t>
      </w:r>
      <w:r w:rsidR="0032289E" w:rsidRPr="00A065D6">
        <w:rPr>
          <w:rFonts w:ascii="Palatino Linotype" w:hAnsi="Palatino Linotype" w:cs="Arial"/>
          <w:i/>
          <w:szCs w:val="22"/>
        </w:rPr>
        <w:t xml:space="preserve">.- </w:t>
      </w:r>
    </w:p>
    <w:p w14:paraId="77680BA9" w14:textId="77777777" w:rsidR="00B40EB4" w:rsidRDefault="00B40EB4" w:rsidP="0032289E">
      <w:pPr>
        <w:pStyle w:val="Prrafodelista"/>
        <w:spacing w:line="360" w:lineRule="auto"/>
        <w:ind w:right="902"/>
        <w:jc w:val="both"/>
        <w:rPr>
          <w:rFonts w:ascii="Palatino Linotype" w:hAnsi="Palatino Linotype" w:cs="Arial"/>
          <w:i/>
          <w:szCs w:val="22"/>
        </w:rPr>
      </w:pPr>
      <w:r>
        <w:rPr>
          <w:rFonts w:ascii="Palatino Linotype" w:hAnsi="Palatino Linotype" w:cs="Arial"/>
          <w:i/>
          <w:szCs w:val="22"/>
        </w:rPr>
        <w:t>..</w:t>
      </w:r>
    </w:p>
    <w:p w14:paraId="6D9456B7" w14:textId="77777777" w:rsidR="0032289E" w:rsidRDefault="00B40EB4" w:rsidP="0032289E">
      <w:pPr>
        <w:pStyle w:val="Prrafodelista"/>
        <w:spacing w:line="360" w:lineRule="auto"/>
        <w:ind w:right="902"/>
        <w:jc w:val="both"/>
        <w:rPr>
          <w:rFonts w:ascii="Palatino Linotype" w:hAnsi="Palatino Linotype" w:cs="Arial"/>
          <w:i/>
          <w:szCs w:val="22"/>
        </w:rPr>
      </w:pPr>
      <w:r w:rsidRPr="00B40EB4">
        <w:rPr>
          <w:rFonts w:ascii="Palatino Linotype" w:hAnsi="Palatino Linotype" w:cs="Arial"/>
          <w:i/>
          <w:szCs w:val="22"/>
        </w:rPr>
        <w:t>Los sujetos obligados deben poner en práctica, políticas y programas de acceso a la información que se apeguen a criterios de publicidad, veracidad, oportunidad, precisión y suficiencia en beneficio de los solicitantes.</w:t>
      </w:r>
    </w:p>
    <w:p w14:paraId="6ECFA24A" w14:textId="77777777" w:rsidR="00B40EB4" w:rsidRPr="00A065D6" w:rsidRDefault="00B40EB4" w:rsidP="0032289E">
      <w:pPr>
        <w:pStyle w:val="Prrafodelista"/>
        <w:spacing w:line="360" w:lineRule="auto"/>
        <w:ind w:right="902"/>
        <w:jc w:val="both"/>
        <w:rPr>
          <w:rFonts w:ascii="Palatino Linotype" w:hAnsi="Palatino Linotype" w:cs="Arial"/>
          <w:b/>
          <w:i/>
          <w:szCs w:val="22"/>
        </w:rPr>
      </w:pPr>
      <w:r>
        <w:rPr>
          <w:rFonts w:ascii="Palatino Linotype" w:hAnsi="Palatino Linotype" w:cs="Arial"/>
          <w:i/>
          <w:szCs w:val="22"/>
        </w:rPr>
        <w:lastRenderedPageBreak/>
        <w:t>…”</w:t>
      </w:r>
    </w:p>
    <w:p w14:paraId="2E91DBCF" w14:textId="77777777" w:rsidR="0032289E" w:rsidRPr="00A065D6" w:rsidRDefault="0032289E" w:rsidP="0032289E">
      <w:pPr>
        <w:pStyle w:val="Prrafodelista"/>
        <w:tabs>
          <w:tab w:val="left" w:pos="709"/>
        </w:tabs>
        <w:spacing w:line="360" w:lineRule="auto"/>
        <w:ind w:right="51"/>
        <w:jc w:val="both"/>
        <w:rPr>
          <w:rFonts w:ascii="Palatino Linotype" w:hAnsi="Palatino Linotype" w:cs="Arial"/>
          <w:noProof/>
          <w:szCs w:val="22"/>
        </w:rPr>
      </w:pPr>
    </w:p>
    <w:p w14:paraId="2CAA4F78" w14:textId="77777777" w:rsidR="0032289E" w:rsidRPr="00B40EB4" w:rsidRDefault="0032289E" w:rsidP="0032289E">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A065D6">
        <w:rPr>
          <w:rFonts w:ascii="Palatino Linotype" w:hAnsi="Palatino Linotype" w:cs="Arial"/>
          <w:noProof/>
          <w:szCs w:val="22"/>
        </w:rPr>
        <w:t xml:space="preserve">Numerales que compelen al </w:t>
      </w:r>
      <w:r w:rsidRPr="00A065D6">
        <w:rPr>
          <w:rFonts w:ascii="Palatino Linotype" w:hAnsi="Palatino Linotype" w:cs="Arial"/>
          <w:b/>
          <w:noProof/>
          <w:szCs w:val="22"/>
        </w:rPr>
        <w:t>SUJETO OBLIGADO</w:t>
      </w:r>
      <w:r w:rsidRPr="00A065D6">
        <w:rPr>
          <w:rFonts w:ascii="Palatino Linotype" w:hAnsi="Palatino Linotype" w:cs="Arial"/>
          <w:noProof/>
          <w:szCs w:val="22"/>
        </w:rPr>
        <w:t xml:space="preserve"> a apegarse en todo momento a los criterios ya expuestos, imipidiendo a este Órgano Colegiado cuestionar la veracidad de la información.</w:t>
      </w:r>
    </w:p>
    <w:p w14:paraId="1CB77C12" w14:textId="77777777" w:rsidR="0032289E" w:rsidRPr="00A065D6" w:rsidRDefault="0032289E" w:rsidP="0032289E">
      <w:pPr>
        <w:numPr>
          <w:ilvl w:val="0"/>
          <w:numId w:val="1"/>
        </w:numPr>
        <w:spacing w:line="360" w:lineRule="auto"/>
        <w:ind w:left="0" w:firstLine="0"/>
        <w:jc w:val="both"/>
        <w:rPr>
          <w:rFonts w:ascii="Palatino Linotype" w:eastAsia="MS Gothic" w:hAnsi="Palatino Linotype" w:cstheme="majorBidi"/>
          <w:sz w:val="22"/>
          <w:szCs w:val="22"/>
          <w:lang w:eastAsia="es-ES"/>
        </w:rPr>
      </w:pPr>
      <w:r w:rsidRPr="00A065D6">
        <w:rPr>
          <w:rFonts w:ascii="Palatino Linotype" w:eastAsia="MS Gothic" w:hAnsi="Palatino Linotype" w:cstheme="majorBidi"/>
          <w:sz w:val="22"/>
          <w:szCs w:val="22"/>
          <w:lang w:val="es-ES" w:eastAsia="es-ES"/>
        </w:rPr>
        <w:t xml:space="preserve">Atento a todo lo anteriormente señalado, resultan infundadas las razones o motivos de </w:t>
      </w:r>
      <w:r w:rsidRPr="00A065D6">
        <w:rPr>
          <w:rFonts w:ascii="Palatino Linotype" w:eastAsia="MS Gothic" w:hAnsi="Palatino Linotype" w:cstheme="majorBidi"/>
          <w:sz w:val="22"/>
          <w:szCs w:val="22"/>
          <w:lang w:eastAsia="es-ES"/>
        </w:rPr>
        <w:t xml:space="preserve">inconformidad hechos valer por el </w:t>
      </w:r>
      <w:r w:rsidRPr="00A065D6">
        <w:rPr>
          <w:rFonts w:ascii="Palatino Linotype" w:eastAsia="MS Gothic" w:hAnsi="Palatino Linotype" w:cstheme="majorBidi"/>
          <w:b/>
          <w:sz w:val="22"/>
          <w:szCs w:val="22"/>
          <w:lang w:eastAsia="es-ES"/>
        </w:rPr>
        <w:t>RECURRENTE, y</w:t>
      </w:r>
      <w:r w:rsidRPr="00A065D6">
        <w:rPr>
          <w:rFonts w:ascii="Palatino Linotype" w:eastAsia="MS Gothic" w:hAnsi="Palatino Linotype" w:cstheme="majorBidi"/>
          <w:sz w:val="22"/>
          <w:szCs w:val="22"/>
          <w:lang w:val="es-ES_tradnl" w:eastAsia="es-ES"/>
        </w:rPr>
        <w:t xml:space="preserve"> en términos del artículo 186 fracción II este Pleno determina procedente </w:t>
      </w:r>
      <w:r w:rsidRPr="00A065D6">
        <w:rPr>
          <w:rFonts w:ascii="Palatino Linotype" w:eastAsia="MS Gothic" w:hAnsi="Palatino Linotype" w:cstheme="majorBidi"/>
          <w:b/>
          <w:sz w:val="22"/>
          <w:szCs w:val="22"/>
          <w:lang w:val="es-ES_tradnl" w:eastAsia="es-ES"/>
        </w:rPr>
        <w:t>CONFIRMAR</w:t>
      </w:r>
      <w:r w:rsidRPr="00A065D6">
        <w:rPr>
          <w:rFonts w:ascii="Palatino Linotype" w:eastAsia="MS Gothic" w:hAnsi="Palatino Linotype" w:cstheme="majorBidi"/>
          <w:sz w:val="22"/>
          <w:szCs w:val="22"/>
          <w:lang w:val="es-ES_tradnl" w:eastAsia="es-ES"/>
        </w:rPr>
        <w:t xml:space="preserve"> la respuesta del presente recurso de revisión, toda vez que no hubo afectación al derecho de acceso a la información pública establecido constitucionalmente a favor del particular.</w:t>
      </w:r>
    </w:p>
    <w:p w14:paraId="461F9156" w14:textId="77777777" w:rsidR="0032289E" w:rsidRPr="00A065D6" w:rsidRDefault="0032289E" w:rsidP="0032289E">
      <w:pPr>
        <w:spacing w:line="360" w:lineRule="auto"/>
        <w:rPr>
          <w:rFonts w:ascii="Palatino Linotype" w:eastAsia="Calibri" w:hAnsi="Palatino Linotype"/>
          <w:sz w:val="22"/>
          <w:szCs w:val="22"/>
        </w:rPr>
      </w:pPr>
    </w:p>
    <w:p w14:paraId="44175F11" w14:textId="77777777" w:rsidR="0032289E" w:rsidRPr="00A065D6" w:rsidRDefault="0032289E" w:rsidP="0032289E">
      <w:pPr>
        <w:numPr>
          <w:ilvl w:val="0"/>
          <w:numId w:val="1"/>
        </w:numPr>
        <w:spacing w:line="360" w:lineRule="auto"/>
        <w:ind w:left="0" w:right="49" w:firstLine="0"/>
        <w:contextualSpacing/>
        <w:jc w:val="both"/>
        <w:rPr>
          <w:rFonts w:ascii="Palatino Linotype" w:eastAsia="MS Gothic" w:hAnsi="Palatino Linotype" w:cstheme="majorBidi"/>
          <w:sz w:val="22"/>
          <w:szCs w:val="22"/>
          <w:lang w:val="es-ES_tradnl" w:eastAsia="es-ES"/>
        </w:rPr>
      </w:pPr>
      <w:r w:rsidRPr="00A065D6">
        <w:rPr>
          <w:rFonts w:ascii="Palatino Linotype" w:eastAsia="Calibri" w:hAnsi="Palatino Linotype"/>
          <w:sz w:val="22"/>
          <w:szCs w:val="22"/>
        </w:rPr>
        <w:t xml:space="preserve">Por lo anteriormente expuesto y fundado, este </w:t>
      </w:r>
      <w:r w:rsidRPr="00A065D6">
        <w:rPr>
          <w:rFonts w:ascii="Palatino Linotype" w:eastAsia="Calibri" w:hAnsi="Palatino Linotype"/>
          <w:b/>
          <w:bCs/>
          <w:sz w:val="22"/>
          <w:szCs w:val="22"/>
        </w:rPr>
        <w:t>ÓRGANO GARANTE</w:t>
      </w:r>
      <w:r w:rsidRPr="00A065D6">
        <w:rPr>
          <w:rFonts w:ascii="Palatino Linotype" w:eastAsia="Calibri" w:hAnsi="Palatino Linotype"/>
          <w:sz w:val="22"/>
          <w:szCs w:val="22"/>
        </w:rPr>
        <w:t xml:space="preserve"> emite los siguientes:</w:t>
      </w:r>
    </w:p>
    <w:p w14:paraId="4FA6EC50" w14:textId="77777777" w:rsidR="0032289E" w:rsidRPr="00A065D6" w:rsidRDefault="0032289E" w:rsidP="0032289E">
      <w:pPr>
        <w:spacing w:line="360" w:lineRule="auto"/>
        <w:contextualSpacing/>
        <w:jc w:val="both"/>
        <w:rPr>
          <w:rFonts w:ascii="Palatino Linotype" w:eastAsia="Calibri" w:hAnsi="Palatino Linotype"/>
          <w:sz w:val="22"/>
          <w:szCs w:val="22"/>
        </w:rPr>
      </w:pPr>
    </w:p>
    <w:p w14:paraId="51C48A6F" w14:textId="77777777" w:rsidR="0032289E" w:rsidRPr="00A065D6" w:rsidRDefault="0032289E" w:rsidP="0032289E">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11" w:name="_Toc528153792"/>
      <w:bookmarkStart w:id="12" w:name="_Toc71158406"/>
      <w:bookmarkStart w:id="13" w:name="_Toc83301643"/>
      <w:r w:rsidRPr="00A065D6">
        <w:rPr>
          <w:rFonts w:ascii="Palatino Linotype" w:eastAsiaTheme="majorEastAsia" w:hAnsi="Palatino Linotype" w:cstheme="majorBidi"/>
          <w:b/>
          <w:color w:val="000000" w:themeColor="text1"/>
          <w:sz w:val="22"/>
          <w:szCs w:val="22"/>
          <w:lang w:eastAsia="en-US"/>
        </w:rPr>
        <w:t>R E S O L U T I V O S</w:t>
      </w:r>
      <w:bookmarkEnd w:id="11"/>
      <w:bookmarkEnd w:id="12"/>
      <w:bookmarkEnd w:id="13"/>
    </w:p>
    <w:p w14:paraId="7BFFA833" w14:textId="77777777" w:rsidR="0032289E" w:rsidRPr="00A065D6" w:rsidRDefault="0032289E" w:rsidP="0032289E">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14:paraId="19E4B19A" w14:textId="77777777" w:rsidR="0032289E" w:rsidRPr="00A065D6" w:rsidRDefault="0032289E" w:rsidP="0032289E">
      <w:pPr>
        <w:spacing w:line="360" w:lineRule="auto"/>
        <w:jc w:val="both"/>
        <w:rPr>
          <w:rFonts w:ascii="Palatino Linotype" w:eastAsiaTheme="minorEastAsia" w:hAnsi="Palatino Linotype" w:cs="Arial"/>
          <w:bCs/>
          <w:sz w:val="22"/>
          <w:szCs w:val="22"/>
          <w:lang w:val="es-ES_tradnl" w:eastAsia="es-ES"/>
        </w:rPr>
      </w:pPr>
      <w:r w:rsidRPr="00A065D6">
        <w:rPr>
          <w:rFonts w:ascii="Palatino Linotype" w:hAnsi="Palatino Linotype" w:cs="Arial"/>
          <w:b/>
          <w:sz w:val="22"/>
          <w:szCs w:val="22"/>
          <w:lang w:val="es-ES_tradnl" w:eastAsia="es-ES"/>
        </w:rPr>
        <w:t xml:space="preserve">PRIMERO. </w:t>
      </w:r>
      <w:r w:rsidRPr="00A065D6">
        <w:rPr>
          <w:rFonts w:ascii="Palatino Linotype" w:hAnsi="Palatino Linotype" w:cs="Arial"/>
          <w:sz w:val="22"/>
          <w:szCs w:val="22"/>
          <w:lang w:val="es-ES_tradnl" w:eastAsia="es-ES"/>
        </w:rPr>
        <w:t>Resultan infundadas las</w:t>
      </w:r>
      <w:r w:rsidRPr="00A065D6">
        <w:rPr>
          <w:rFonts w:ascii="Palatino Linotype" w:hAnsi="Palatino Linotype" w:cs="Arial"/>
          <w:b/>
          <w:sz w:val="22"/>
          <w:szCs w:val="22"/>
          <w:lang w:val="es-ES_tradnl" w:eastAsia="es-ES"/>
        </w:rPr>
        <w:t xml:space="preserve"> </w:t>
      </w:r>
      <w:r w:rsidRPr="00A065D6">
        <w:rPr>
          <w:rFonts w:ascii="Palatino Linotype" w:hAnsi="Palatino Linotype" w:cs="Arial"/>
          <w:sz w:val="22"/>
          <w:szCs w:val="22"/>
          <w:lang w:val="es-ES" w:eastAsia="es-ES"/>
        </w:rPr>
        <w:t xml:space="preserve">razones o motivos de inconformidad hechos valer </w:t>
      </w:r>
      <w:r w:rsidRPr="00A065D6">
        <w:rPr>
          <w:rFonts w:ascii="Palatino Linotype" w:eastAsia="Calibri" w:hAnsi="Palatino Linotype" w:cs="Arial"/>
          <w:sz w:val="22"/>
          <w:szCs w:val="22"/>
          <w:lang w:val="es-ES" w:eastAsia="es-ES"/>
        </w:rPr>
        <w:t xml:space="preserve">en el recurso de revisión </w:t>
      </w:r>
      <w:r w:rsidR="00B40EB4">
        <w:rPr>
          <w:rFonts w:ascii="Palatino Linotype" w:eastAsiaTheme="minorEastAsia" w:hAnsi="Palatino Linotype" w:cs="Arial"/>
          <w:b/>
          <w:bCs/>
          <w:sz w:val="22"/>
          <w:szCs w:val="22"/>
          <w:lang w:val="es-ES_tradnl" w:eastAsia="es-ES"/>
        </w:rPr>
        <w:t>01438</w:t>
      </w:r>
      <w:r w:rsidRPr="00A065D6">
        <w:rPr>
          <w:rFonts w:ascii="Palatino Linotype" w:eastAsiaTheme="minorEastAsia" w:hAnsi="Palatino Linotype" w:cs="Arial"/>
          <w:b/>
          <w:bCs/>
          <w:sz w:val="22"/>
          <w:szCs w:val="22"/>
          <w:lang w:val="es-ES_tradnl" w:eastAsia="es-ES"/>
        </w:rPr>
        <w:t xml:space="preserve">/INFOEM/IP/RR/2024, </w:t>
      </w:r>
      <w:r w:rsidRPr="00A065D6">
        <w:rPr>
          <w:rFonts w:ascii="Palatino Linotype" w:eastAsiaTheme="minorEastAsia" w:hAnsi="Palatino Linotype" w:cs="Arial"/>
          <w:bCs/>
          <w:sz w:val="22"/>
          <w:szCs w:val="22"/>
          <w:lang w:val="es-ES_tradnl" w:eastAsia="es-ES"/>
        </w:rPr>
        <w:t xml:space="preserve">en términos del </w:t>
      </w:r>
      <w:r w:rsidRPr="00A065D6">
        <w:rPr>
          <w:rFonts w:ascii="Palatino Linotype" w:eastAsiaTheme="minorEastAsia" w:hAnsi="Palatino Linotype" w:cs="Arial"/>
          <w:b/>
          <w:bCs/>
          <w:sz w:val="22"/>
          <w:szCs w:val="22"/>
          <w:lang w:val="es-ES_tradnl" w:eastAsia="es-ES"/>
        </w:rPr>
        <w:t>Considerando</w:t>
      </w:r>
      <w:r w:rsidRPr="00A065D6">
        <w:rPr>
          <w:rFonts w:ascii="Palatino Linotype" w:eastAsiaTheme="minorEastAsia" w:hAnsi="Palatino Linotype" w:cs="Arial"/>
          <w:bCs/>
          <w:sz w:val="22"/>
          <w:szCs w:val="22"/>
          <w:lang w:val="es-ES_tradnl" w:eastAsia="es-ES"/>
        </w:rPr>
        <w:t xml:space="preserve"> </w:t>
      </w:r>
      <w:r w:rsidRPr="00A065D6">
        <w:rPr>
          <w:rFonts w:ascii="Palatino Linotype" w:eastAsiaTheme="minorEastAsia" w:hAnsi="Palatino Linotype" w:cs="Arial"/>
          <w:b/>
          <w:bCs/>
          <w:sz w:val="22"/>
          <w:szCs w:val="22"/>
          <w:lang w:val="es-ES_tradnl" w:eastAsia="es-ES"/>
        </w:rPr>
        <w:t>CUARTO</w:t>
      </w:r>
      <w:r w:rsidRPr="00A065D6">
        <w:rPr>
          <w:rFonts w:ascii="Palatino Linotype" w:eastAsiaTheme="minorEastAsia" w:hAnsi="Palatino Linotype" w:cs="Arial"/>
          <w:bCs/>
          <w:sz w:val="22"/>
          <w:szCs w:val="22"/>
          <w:lang w:val="es-ES_tradnl" w:eastAsia="es-ES"/>
        </w:rPr>
        <w:t xml:space="preserve"> de la presente resolución.</w:t>
      </w:r>
    </w:p>
    <w:p w14:paraId="757E2B32" w14:textId="77777777" w:rsidR="0032289E" w:rsidRPr="00A065D6" w:rsidRDefault="0032289E" w:rsidP="0032289E">
      <w:pPr>
        <w:spacing w:line="360" w:lineRule="auto"/>
        <w:jc w:val="both"/>
        <w:rPr>
          <w:rFonts w:ascii="Palatino Linotype" w:hAnsi="Palatino Linotype"/>
          <w:sz w:val="22"/>
          <w:szCs w:val="22"/>
          <w:lang w:val="es-ES_tradnl" w:eastAsia="es-ES"/>
        </w:rPr>
      </w:pPr>
    </w:p>
    <w:p w14:paraId="044C1D98" w14:textId="77777777" w:rsidR="0032289E" w:rsidRPr="00A065D6" w:rsidRDefault="0032289E" w:rsidP="0032289E">
      <w:pPr>
        <w:spacing w:line="360" w:lineRule="auto"/>
        <w:jc w:val="both"/>
        <w:rPr>
          <w:rFonts w:ascii="Palatino Linotype" w:eastAsia="Calibri" w:hAnsi="Palatino Linotype" w:cs="Arial"/>
          <w:sz w:val="22"/>
          <w:szCs w:val="22"/>
          <w:lang w:val="es-ES" w:eastAsia="es-ES"/>
        </w:rPr>
      </w:pPr>
      <w:r w:rsidRPr="00A065D6">
        <w:rPr>
          <w:rFonts w:ascii="Palatino Linotype" w:eastAsiaTheme="minorEastAsia" w:hAnsi="Palatino Linotype"/>
          <w:b/>
          <w:sz w:val="22"/>
          <w:szCs w:val="22"/>
          <w:lang w:val="es-ES_tradnl" w:eastAsia="es-ES"/>
        </w:rPr>
        <w:t>SEGUNDO.</w:t>
      </w:r>
      <w:r w:rsidRPr="00A065D6">
        <w:rPr>
          <w:rFonts w:ascii="Palatino Linotype" w:eastAsiaTheme="majorEastAsia" w:hAnsi="Palatino Linotype" w:cstheme="majorBidi"/>
          <w:b/>
          <w:color w:val="2E74B5" w:themeColor="accent1" w:themeShade="BF"/>
          <w:sz w:val="22"/>
          <w:szCs w:val="22"/>
          <w:lang w:val="es-ES_tradnl" w:eastAsia="es-ES"/>
        </w:rPr>
        <w:t xml:space="preserve"> </w:t>
      </w:r>
      <w:r w:rsidRPr="00A065D6">
        <w:rPr>
          <w:rFonts w:ascii="Palatino Linotype" w:eastAsia="Calibri" w:hAnsi="Palatino Linotype" w:cs="Arial"/>
          <w:sz w:val="22"/>
          <w:szCs w:val="22"/>
          <w:lang w:val="es-ES" w:eastAsia="es-ES"/>
        </w:rPr>
        <w:t>Se</w:t>
      </w:r>
      <w:r w:rsidRPr="00A065D6">
        <w:rPr>
          <w:rFonts w:ascii="Palatino Linotype" w:eastAsia="Calibri" w:hAnsi="Palatino Linotype" w:cs="Arial"/>
          <w:b/>
          <w:sz w:val="22"/>
          <w:szCs w:val="22"/>
          <w:lang w:val="es-ES" w:eastAsia="es-ES"/>
        </w:rPr>
        <w:t xml:space="preserve"> CONFIRMA </w:t>
      </w:r>
      <w:r w:rsidR="00B40EB4">
        <w:rPr>
          <w:rFonts w:ascii="Palatino Linotype" w:eastAsia="Calibri" w:hAnsi="Palatino Linotype" w:cs="Arial"/>
          <w:sz w:val="22"/>
          <w:szCs w:val="22"/>
          <w:lang w:val="es-ES" w:eastAsia="es-ES"/>
        </w:rPr>
        <w:t>la respuesta emitida por el</w:t>
      </w:r>
      <w:r w:rsidRPr="00A065D6">
        <w:rPr>
          <w:rFonts w:ascii="Palatino Linotype" w:eastAsia="Calibri" w:hAnsi="Palatino Linotype" w:cs="Arial"/>
          <w:sz w:val="22"/>
          <w:szCs w:val="22"/>
          <w:lang w:val="es-ES" w:eastAsia="es-ES"/>
        </w:rPr>
        <w:t xml:space="preserve"> </w:t>
      </w:r>
      <w:r w:rsidR="00B40EB4">
        <w:rPr>
          <w:rFonts w:ascii="Palatino Linotype" w:eastAsiaTheme="minorEastAsia" w:hAnsi="Palatino Linotype" w:cs="Arial"/>
          <w:b/>
          <w:bCs/>
          <w:sz w:val="22"/>
          <w:szCs w:val="22"/>
          <w:lang w:eastAsia="es-ES"/>
        </w:rPr>
        <w:t>Ayuntamiento de Coacalco de Berriozábal</w:t>
      </w:r>
      <w:r w:rsidRPr="00A065D6">
        <w:rPr>
          <w:rFonts w:ascii="Palatino Linotype" w:eastAsiaTheme="minorEastAsia" w:hAnsi="Palatino Linotype" w:cs="Arial"/>
          <w:b/>
          <w:bCs/>
          <w:sz w:val="22"/>
          <w:szCs w:val="22"/>
          <w:lang w:val="es-ES" w:eastAsia="es-ES"/>
        </w:rPr>
        <w:t xml:space="preserve"> </w:t>
      </w:r>
      <w:r w:rsidRPr="00A065D6">
        <w:rPr>
          <w:rFonts w:ascii="Palatino Linotype" w:eastAsia="Calibri" w:hAnsi="Palatino Linotype" w:cs="Arial"/>
          <w:sz w:val="22"/>
          <w:szCs w:val="22"/>
          <w:lang w:val="es-ES" w:eastAsia="es-ES"/>
        </w:rPr>
        <w:t xml:space="preserve">a la solicitud </w:t>
      </w:r>
      <w:r w:rsidR="00B40EB4" w:rsidRPr="00B40EB4">
        <w:rPr>
          <w:rFonts w:ascii="Palatino Linotype" w:hAnsi="Palatino Linotype"/>
          <w:b/>
          <w:bCs/>
          <w:sz w:val="22"/>
          <w:szCs w:val="22"/>
        </w:rPr>
        <w:t>00010/COACALCO/IP/2024</w:t>
      </w:r>
      <w:r w:rsidRPr="00A065D6">
        <w:rPr>
          <w:rFonts w:ascii="Palatino Linotype" w:eastAsia="Calibri" w:hAnsi="Palatino Linotype" w:cs="Arial"/>
          <w:b/>
          <w:sz w:val="22"/>
          <w:szCs w:val="22"/>
          <w:lang w:val="es-ES" w:eastAsia="es-ES"/>
        </w:rPr>
        <w:t>.</w:t>
      </w:r>
      <w:r w:rsidRPr="00A065D6">
        <w:rPr>
          <w:rFonts w:ascii="Palatino Linotype" w:eastAsia="Calibri" w:hAnsi="Palatino Linotype" w:cs="Arial"/>
          <w:sz w:val="22"/>
          <w:szCs w:val="22"/>
          <w:lang w:val="es-ES" w:eastAsia="es-ES"/>
        </w:rPr>
        <w:t xml:space="preserve"> </w:t>
      </w:r>
    </w:p>
    <w:p w14:paraId="77181094" w14:textId="77777777" w:rsidR="0032289E" w:rsidRPr="00A065D6" w:rsidRDefault="0032289E" w:rsidP="0032289E">
      <w:pPr>
        <w:spacing w:line="360" w:lineRule="auto"/>
        <w:jc w:val="both"/>
        <w:rPr>
          <w:rFonts w:ascii="Palatino Linotype" w:eastAsia="Calibri" w:hAnsi="Palatino Linotype" w:cs="Arial"/>
          <w:sz w:val="22"/>
          <w:szCs w:val="22"/>
          <w:lang w:val="es-ES" w:eastAsia="es-ES"/>
        </w:rPr>
      </w:pPr>
    </w:p>
    <w:p w14:paraId="7140FF17" w14:textId="77777777" w:rsidR="0032289E" w:rsidRPr="00A065D6" w:rsidRDefault="0032289E" w:rsidP="0032289E">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r w:rsidRPr="00A065D6">
        <w:rPr>
          <w:rFonts w:ascii="Palatino Linotype" w:eastAsia="Palatino Linotype" w:hAnsi="Palatino Linotype" w:cs="Palatino Linotype"/>
          <w:b/>
          <w:sz w:val="22"/>
          <w:szCs w:val="22"/>
          <w:lang w:val="es-ES_tradnl" w:eastAsia="es-ES"/>
        </w:rPr>
        <w:t xml:space="preserve">TERCERO. REMÍTASE, </w:t>
      </w:r>
      <w:r w:rsidRPr="00A065D6">
        <w:rPr>
          <w:rFonts w:ascii="Palatino Linotype" w:eastAsia="Palatino Linotype" w:hAnsi="Palatino Linotype" w:cs="Palatino Linotype"/>
          <w:sz w:val="22"/>
          <w:szCs w:val="22"/>
          <w:lang w:val="es-ES_tradnl" w:eastAsia="es-ES"/>
        </w:rPr>
        <w:t xml:space="preserve">vía Sistema de Acceso a la Información Mexiquense (SAIMEX), la presente resolución al Titular de la Unidad de Transparencia del </w:t>
      </w:r>
      <w:r w:rsidRPr="00A065D6">
        <w:rPr>
          <w:rFonts w:ascii="Palatino Linotype" w:eastAsia="Palatino Linotype" w:hAnsi="Palatino Linotype" w:cs="Palatino Linotype"/>
          <w:b/>
          <w:sz w:val="22"/>
          <w:szCs w:val="22"/>
          <w:lang w:val="es-ES_tradnl" w:eastAsia="es-ES"/>
        </w:rPr>
        <w:t>SUJETO OBLIGADO.</w:t>
      </w:r>
    </w:p>
    <w:p w14:paraId="658702F9" w14:textId="77777777" w:rsidR="0032289E" w:rsidRPr="00A065D6" w:rsidRDefault="0032289E" w:rsidP="0032289E">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p>
    <w:p w14:paraId="078A00C6" w14:textId="77777777" w:rsidR="0032289E" w:rsidRPr="00A065D6" w:rsidRDefault="0032289E" w:rsidP="0032289E">
      <w:pPr>
        <w:shd w:val="clear" w:color="auto" w:fill="FFFFFF"/>
        <w:spacing w:line="360" w:lineRule="auto"/>
        <w:jc w:val="both"/>
        <w:rPr>
          <w:rFonts w:ascii="Palatino Linotype" w:eastAsiaTheme="minorEastAsia" w:hAnsi="Palatino Linotype"/>
          <w:sz w:val="22"/>
          <w:szCs w:val="22"/>
          <w:lang w:val="es-ES_tradnl" w:eastAsia="es-ES"/>
        </w:rPr>
      </w:pPr>
      <w:r w:rsidRPr="00A065D6">
        <w:rPr>
          <w:rFonts w:ascii="Palatino Linotype" w:hAnsi="Palatino Linotype" w:cs="Arial"/>
          <w:b/>
          <w:sz w:val="22"/>
          <w:szCs w:val="22"/>
          <w:lang w:val="es-ES_tradnl" w:eastAsia="es-ES"/>
        </w:rPr>
        <w:t xml:space="preserve">CUARTO. </w:t>
      </w:r>
      <w:r w:rsidRPr="00A065D6">
        <w:rPr>
          <w:rFonts w:ascii="Palatino Linotype" w:hAnsi="Palatino Linotype"/>
          <w:b/>
          <w:bCs/>
          <w:sz w:val="22"/>
          <w:szCs w:val="22"/>
          <w:lang w:val="es-ES" w:eastAsia="es-ES"/>
        </w:rPr>
        <w:t>Notifíquese a</w:t>
      </w:r>
      <w:r w:rsidRPr="00A065D6">
        <w:rPr>
          <w:rFonts w:ascii="Palatino Linotype" w:eastAsiaTheme="minorEastAsia" w:hAnsi="Palatino Linotype"/>
          <w:b/>
          <w:sz w:val="22"/>
          <w:szCs w:val="22"/>
          <w:lang w:val="es-ES_tradnl" w:eastAsia="es-ES"/>
        </w:rPr>
        <w:t xml:space="preserve">l RECURRENTE </w:t>
      </w:r>
      <w:r w:rsidRPr="00A065D6">
        <w:rPr>
          <w:rFonts w:ascii="Palatino Linotype" w:eastAsiaTheme="minorEastAsia" w:hAnsi="Palatino Linotype"/>
          <w:sz w:val="22"/>
          <w:szCs w:val="22"/>
          <w:lang w:val="es-ES_tradnl" w:eastAsia="es-ES"/>
        </w:rPr>
        <w:t>la presente resolución vía SAIMEX.</w:t>
      </w:r>
    </w:p>
    <w:p w14:paraId="544C5823" w14:textId="77777777" w:rsidR="0032289E" w:rsidRPr="00A065D6" w:rsidRDefault="0032289E" w:rsidP="0032289E">
      <w:pPr>
        <w:shd w:val="clear" w:color="auto" w:fill="FFFFFF"/>
        <w:spacing w:line="360" w:lineRule="auto"/>
        <w:jc w:val="both"/>
        <w:rPr>
          <w:rFonts w:ascii="Palatino Linotype" w:eastAsiaTheme="minorEastAsia" w:hAnsi="Palatino Linotype"/>
          <w:sz w:val="22"/>
          <w:szCs w:val="22"/>
          <w:lang w:val="es-ES_tradnl" w:eastAsia="es-ES"/>
        </w:rPr>
      </w:pPr>
    </w:p>
    <w:p w14:paraId="0FDE1700" w14:textId="77777777" w:rsidR="0032289E" w:rsidRPr="00A065D6" w:rsidRDefault="0032289E" w:rsidP="0032289E">
      <w:pPr>
        <w:spacing w:line="360" w:lineRule="auto"/>
        <w:jc w:val="both"/>
        <w:rPr>
          <w:rFonts w:ascii="Palatino Linotype" w:eastAsia="MS Mincho" w:hAnsi="Palatino Linotype"/>
          <w:sz w:val="22"/>
          <w:szCs w:val="22"/>
          <w:lang w:val="es-ES" w:eastAsia="es-ES"/>
        </w:rPr>
      </w:pPr>
      <w:r w:rsidRPr="00A065D6">
        <w:rPr>
          <w:rFonts w:ascii="Palatino Linotype" w:eastAsia="MS Mincho" w:hAnsi="Palatino Linotype"/>
          <w:b/>
          <w:sz w:val="22"/>
          <w:szCs w:val="22"/>
          <w:lang w:eastAsia="es-ES"/>
        </w:rPr>
        <w:t>QUINTO.</w:t>
      </w:r>
      <w:r w:rsidRPr="00A065D6">
        <w:rPr>
          <w:rFonts w:ascii="Palatino Linotype" w:eastAsia="MS Mincho" w:hAnsi="Palatino Linotype"/>
          <w:sz w:val="22"/>
          <w:szCs w:val="22"/>
          <w:lang w:eastAsia="es-ES"/>
        </w:rPr>
        <w:t xml:space="preserve"> </w:t>
      </w:r>
      <w:r w:rsidRPr="00A065D6">
        <w:rPr>
          <w:rFonts w:ascii="Palatino Linotype" w:eastAsia="MS Mincho" w:hAnsi="Palatino Linotype"/>
          <w:sz w:val="22"/>
          <w:szCs w:val="22"/>
          <w:lang w:val="es-ES" w:eastAsia="es-ES"/>
        </w:rPr>
        <w:t xml:space="preserve">Se hace del conocimiento del </w:t>
      </w:r>
      <w:r w:rsidRPr="00A065D6">
        <w:rPr>
          <w:rFonts w:ascii="Palatino Linotype" w:eastAsiaTheme="minorEastAsia" w:hAnsi="Palatino Linotype"/>
          <w:b/>
          <w:sz w:val="22"/>
          <w:szCs w:val="22"/>
          <w:lang w:val="es-ES_tradnl" w:eastAsia="es-ES"/>
        </w:rPr>
        <w:t xml:space="preserve">RECURRENTE </w:t>
      </w:r>
      <w:r w:rsidRPr="00A065D6">
        <w:rPr>
          <w:rFonts w:ascii="Palatino Linotype" w:eastAsia="MS Mincho" w:hAnsi="Palatino Linotype"/>
          <w:sz w:val="22"/>
          <w:szCs w:val="22"/>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A065D6">
        <w:rPr>
          <w:rFonts w:ascii="Palatino Linotype" w:eastAsia="MS Mincho" w:hAnsi="Palatino Linotype"/>
          <w:bCs/>
          <w:sz w:val="22"/>
          <w:szCs w:val="22"/>
          <w:lang w:val="es-ES" w:eastAsia="es-ES"/>
        </w:rPr>
        <w:t>vía juicio de amparo</w:t>
      </w:r>
      <w:r w:rsidRPr="00A065D6">
        <w:rPr>
          <w:rFonts w:ascii="Palatino Linotype" w:eastAsia="MS Mincho" w:hAnsi="Palatino Linotype"/>
          <w:sz w:val="22"/>
          <w:szCs w:val="22"/>
          <w:lang w:val="es-ES" w:eastAsia="es-ES"/>
        </w:rPr>
        <w:t> en los términos de las leyes aplicables.</w:t>
      </w:r>
    </w:p>
    <w:p w14:paraId="56251E22" w14:textId="77777777" w:rsidR="0032289E" w:rsidRPr="00A065D6" w:rsidRDefault="0032289E" w:rsidP="0032289E">
      <w:pPr>
        <w:spacing w:line="360" w:lineRule="auto"/>
        <w:ind w:right="48"/>
        <w:jc w:val="both"/>
        <w:rPr>
          <w:rFonts w:ascii="Palatino Linotype" w:hAnsi="Palatino Linotype"/>
          <w:sz w:val="22"/>
          <w:szCs w:val="22"/>
        </w:rPr>
      </w:pPr>
    </w:p>
    <w:bookmarkEnd w:id="4"/>
    <w:bookmarkEnd w:id="5"/>
    <w:bookmarkEnd w:id="6"/>
    <w:bookmarkEnd w:id="7"/>
    <w:p w14:paraId="6901F4F6" w14:textId="77777777" w:rsidR="00821714" w:rsidRPr="003C7186" w:rsidRDefault="00821714" w:rsidP="00821714">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0B1F6FD1" w14:textId="77777777" w:rsidR="00D37B8E" w:rsidRDefault="00D37B8E">
      <w:pPr>
        <w:spacing w:after="160" w:line="259" w:lineRule="auto"/>
        <w:rPr>
          <w:rFonts w:ascii="Calibri" w:hAnsi="Calibri" w:cs="Calibri"/>
        </w:rPr>
      </w:pPr>
      <w:r>
        <w:rPr>
          <w:rFonts w:ascii="Calibri" w:hAnsi="Calibri" w:cs="Calibri"/>
        </w:rPr>
        <w:br w:type="page"/>
      </w:r>
    </w:p>
    <w:p w14:paraId="50114E5C" w14:textId="77777777" w:rsidR="00821714" w:rsidRPr="00902BA4" w:rsidRDefault="00821714" w:rsidP="00821714">
      <w:pPr>
        <w:widowControl w:val="0"/>
        <w:autoSpaceDE w:val="0"/>
        <w:autoSpaceDN w:val="0"/>
        <w:adjustRightInd w:val="0"/>
        <w:spacing w:after="200" w:line="276" w:lineRule="auto"/>
        <w:ind w:left="-142" w:right="-234"/>
        <w:rPr>
          <w:rFonts w:ascii="Calibri" w:hAnsi="Calibri" w:cs="Calibri"/>
        </w:rPr>
      </w:pPr>
    </w:p>
    <w:p w14:paraId="42F80A6B" w14:textId="77777777" w:rsidR="00821714" w:rsidRDefault="00821714" w:rsidP="00821714">
      <w:pPr>
        <w:spacing w:before="240" w:after="240" w:line="360" w:lineRule="auto"/>
        <w:ind w:firstLine="1"/>
        <w:jc w:val="both"/>
        <w:rPr>
          <w:rFonts w:ascii="Palatino Linotype" w:hAnsi="Palatino Linotype"/>
        </w:rPr>
      </w:pPr>
      <w:bookmarkStart w:id="14" w:name="_Hlk96506827"/>
    </w:p>
    <w:bookmarkEnd w:id="14"/>
    <w:p w14:paraId="40B49365" w14:textId="77777777" w:rsidR="000277DA" w:rsidRPr="00A065D6" w:rsidRDefault="000277DA">
      <w:pPr>
        <w:rPr>
          <w:sz w:val="22"/>
          <w:szCs w:val="22"/>
        </w:rPr>
      </w:pPr>
    </w:p>
    <w:sectPr w:rsidR="000277DA" w:rsidRPr="00A065D6" w:rsidSect="0032289E">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2A9E" w14:textId="77777777" w:rsidR="008E18E9" w:rsidRDefault="008E18E9" w:rsidP="0032289E">
      <w:r>
        <w:separator/>
      </w:r>
    </w:p>
  </w:endnote>
  <w:endnote w:type="continuationSeparator" w:id="0">
    <w:p w14:paraId="197D64A6" w14:textId="77777777" w:rsidR="008E18E9" w:rsidRDefault="008E18E9" w:rsidP="0032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AD62" w14:textId="77777777" w:rsidR="00F72F46" w:rsidRDefault="00F72F46">
    <w:pPr>
      <w:pStyle w:val="Piedepgina"/>
      <w:jc w:val="right"/>
    </w:pPr>
    <w:r>
      <w:rPr>
        <w:lang w:val="es-ES"/>
      </w:rPr>
      <w:t xml:space="preserve">Página </w:t>
    </w:r>
    <w:r>
      <w:rPr>
        <w:b/>
        <w:bCs/>
      </w:rPr>
      <w:fldChar w:fldCharType="begin"/>
    </w:r>
    <w:r>
      <w:rPr>
        <w:b/>
        <w:bCs/>
      </w:rPr>
      <w:instrText>PAGE</w:instrText>
    </w:r>
    <w:r>
      <w:rPr>
        <w:b/>
        <w:bCs/>
      </w:rPr>
      <w:fldChar w:fldCharType="separate"/>
    </w:r>
    <w:r w:rsidR="001C14F5">
      <w:rPr>
        <w:b/>
        <w:bCs/>
        <w:noProof/>
      </w:rPr>
      <w:t>20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C14F5">
      <w:rPr>
        <w:b/>
        <w:bCs/>
        <w:noProof/>
      </w:rPr>
      <w:t>22</w:t>
    </w:r>
    <w:r>
      <w:rPr>
        <w:b/>
        <w:bCs/>
      </w:rPr>
      <w:fldChar w:fldCharType="end"/>
    </w:r>
  </w:p>
  <w:p w14:paraId="5763697C" w14:textId="77777777" w:rsidR="00F72F46" w:rsidRDefault="00F72F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A2BC" w14:textId="77777777" w:rsidR="00F72F46" w:rsidRDefault="00F72F46">
    <w:pPr>
      <w:pStyle w:val="Piedepgina"/>
      <w:jc w:val="right"/>
    </w:pPr>
    <w:r>
      <w:rPr>
        <w:lang w:val="es-ES"/>
      </w:rPr>
      <w:t xml:space="preserve">Página </w:t>
    </w:r>
    <w:r>
      <w:rPr>
        <w:b/>
        <w:bCs/>
      </w:rPr>
      <w:fldChar w:fldCharType="begin"/>
    </w:r>
    <w:r>
      <w:rPr>
        <w:b/>
        <w:bCs/>
      </w:rPr>
      <w:instrText>PAGE</w:instrText>
    </w:r>
    <w:r>
      <w:rPr>
        <w:b/>
        <w:bCs/>
      </w:rPr>
      <w:fldChar w:fldCharType="separate"/>
    </w:r>
    <w:r w:rsidR="001C14F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C14F5">
      <w:rPr>
        <w:b/>
        <w:bCs/>
        <w:noProof/>
      </w:rPr>
      <w:t>22</w:t>
    </w:r>
    <w:r>
      <w:rPr>
        <w:b/>
        <w:bCs/>
      </w:rPr>
      <w:fldChar w:fldCharType="end"/>
    </w:r>
  </w:p>
  <w:p w14:paraId="4CB8D9EB" w14:textId="77777777" w:rsidR="00F72F46" w:rsidRDefault="00F72F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5CC2" w14:textId="77777777" w:rsidR="008E18E9" w:rsidRDefault="008E18E9" w:rsidP="0032289E">
      <w:r>
        <w:separator/>
      </w:r>
    </w:p>
  </w:footnote>
  <w:footnote w:type="continuationSeparator" w:id="0">
    <w:p w14:paraId="23FCE5EA" w14:textId="77777777" w:rsidR="008E18E9" w:rsidRDefault="008E18E9" w:rsidP="0032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BEBA" w14:textId="77777777" w:rsidR="00F72F46" w:rsidRDefault="008E18E9">
    <w:pPr>
      <w:pStyle w:val="Encabezado"/>
    </w:pPr>
    <w:r>
      <w:rPr>
        <w:noProof/>
      </w:rPr>
      <w:pict w14:anchorId="13FF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F72F46" w:rsidRPr="005C106F" w14:paraId="3E0455AA" w14:textId="77777777" w:rsidTr="0032289E">
      <w:trPr>
        <w:trHeight w:val="1435"/>
      </w:trPr>
      <w:tc>
        <w:tcPr>
          <w:tcW w:w="2268" w:type="dxa"/>
          <w:shd w:val="clear" w:color="auto" w:fill="auto"/>
        </w:tcPr>
        <w:p w14:paraId="5B4F65D7" w14:textId="77777777" w:rsidR="00F72F46" w:rsidRPr="005C106F" w:rsidRDefault="00F72F46" w:rsidP="0032289E">
          <w:pPr>
            <w:tabs>
              <w:tab w:val="right" w:pos="4273"/>
            </w:tabs>
            <w:rPr>
              <w:rFonts w:ascii="Garamond" w:eastAsia="Calibri" w:hAnsi="Garamond"/>
              <w:sz w:val="16"/>
              <w:szCs w:val="16"/>
              <w:lang w:eastAsia="en-US"/>
            </w:rPr>
          </w:pPr>
        </w:p>
      </w:tc>
      <w:tc>
        <w:tcPr>
          <w:tcW w:w="6946" w:type="dxa"/>
          <w:shd w:val="clear" w:color="auto" w:fill="auto"/>
        </w:tcPr>
        <w:p w14:paraId="1002C426" w14:textId="77777777" w:rsidR="00F72F46" w:rsidRDefault="00F72F46" w:rsidP="0032289E"/>
        <w:tbl>
          <w:tblPr>
            <w:tblW w:w="6662" w:type="dxa"/>
            <w:tblInd w:w="40" w:type="dxa"/>
            <w:tblLayout w:type="fixed"/>
            <w:tblLook w:val="0420" w:firstRow="1" w:lastRow="0" w:firstColumn="0" w:lastColumn="0" w:noHBand="0" w:noVBand="1"/>
          </w:tblPr>
          <w:tblGrid>
            <w:gridCol w:w="2551"/>
            <w:gridCol w:w="4111"/>
          </w:tblGrid>
          <w:tr w:rsidR="00F72F46" w14:paraId="08C31D93" w14:textId="77777777" w:rsidTr="0032289E">
            <w:trPr>
              <w:trHeight w:val="150"/>
            </w:trPr>
            <w:tc>
              <w:tcPr>
                <w:tcW w:w="2551" w:type="dxa"/>
                <w:shd w:val="clear" w:color="auto" w:fill="auto"/>
              </w:tcPr>
              <w:p w14:paraId="552B8D84" w14:textId="77777777" w:rsidR="00F72F46" w:rsidRPr="00020E73" w:rsidRDefault="00F72F46" w:rsidP="0032289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02E0E523" w14:textId="77777777" w:rsidR="00F72F46" w:rsidRPr="00020E73" w:rsidRDefault="00F72F46" w:rsidP="0032289E">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01438/INFOEM/IP/RR/2024</w:t>
                </w:r>
                <w:r w:rsidRPr="009E7B0A">
                  <w:rPr>
                    <w:rFonts w:ascii="Palatino Linotype" w:eastAsia="Calibri" w:hAnsi="Palatino Linotype" w:cs="Tahoma"/>
                    <w:b/>
                    <w:bCs/>
                    <w:sz w:val="22"/>
                    <w:szCs w:val="22"/>
                    <w:lang w:eastAsia="en-US"/>
                  </w:rPr>
                  <w:t xml:space="preserve"> </w:t>
                </w:r>
              </w:p>
            </w:tc>
          </w:tr>
          <w:tr w:rsidR="00F72F46" w14:paraId="4EF4D0A2" w14:textId="77777777" w:rsidTr="0032289E">
            <w:trPr>
              <w:trHeight w:val="295"/>
            </w:trPr>
            <w:tc>
              <w:tcPr>
                <w:tcW w:w="2551" w:type="dxa"/>
                <w:shd w:val="clear" w:color="auto" w:fill="auto"/>
              </w:tcPr>
              <w:p w14:paraId="40524A2D" w14:textId="77777777" w:rsidR="00F72F46" w:rsidRPr="00020E73" w:rsidRDefault="00F72F46" w:rsidP="0032289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2FF46C8B" w14:textId="77777777" w:rsidR="00F72F46" w:rsidRPr="0032289E" w:rsidRDefault="00F72F46" w:rsidP="0032289E">
                <w:pPr>
                  <w:tabs>
                    <w:tab w:val="left" w:pos="2834"/>
                    <w:tab w:val="right" w:pos="8838"/>
                  </w:tabs>
                  <w:ind w:left="-108" w:right="-102"/>
                  <w:jc w:val="both"/>
                  <w:rPr>
                    <w:rFonts w:ascii="Palatino Linotype" w:eastAsia="Calibri" w:hAnsi="Palatino Linotype" w:cs="Tahoma"/>
                    <w:sz w:val="22"/>
                    <w:szCs w:val="22"/>
                    <w:lang w:val="es-ES" w:eastAsia="en-US"/>
                  </w:rPr>
                </w:pPr>
                <w:r w:rsidRPr="0032289E">
                  <w:rPr>
                    <w:rFonts w:ascii="Palatino Linotype" w:eastAsia="Calibri" w:hAnsi="Palatino Linotype" w:cs="Tahoma"/>
                    <w:bCs/>
                    <w:sz w:val="22"/>
                    <w:szCs w:val="22"/>
                    <w:lang w:eastAsia="en-US"/>
                  </w:rPr>
                  <w:t>Ayuntamiento de Coacalco de Berriozábal</w:t>
                </w:r>
              </w:p>
            </w:tc>
          </w:tr>
          <w:tr w:rsidR="00F72F46" w14:paraId="44CFA958" w14:textId="77777777" w:rsidTr="0032289E">
            <w:trPr>
              <w:trHeight w:val="295"/>
            </w:trPr>
            <w:tc>
              <w:tcPr>
                <w:tcW w:w="2551" w:type="dxa"/>
                <w:shd w:val="clear" w:color="auto" w:fill="auto"/>
              </w:tcPr>
              <w:p w14:paraId="20F4C346" w14:textId="77777777" w:rsidR="00F72F46" w:rsidRPr="00020E73" w:rsidRDefault="00F72F46" w:rsidP="0032289E">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68F427E6" w14:textId="77777777" w:rsidR="00F72F46" w:rsidRPr="00020E73" w:rsidRDefault="00F72F46" w:rsidP="0032289E">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9AB89BA" w14:textId="77777777" w:rsidR="00F72F46" w:rsidRPr="00020E73" w:rsidRDefault="00F72F46" w:rsidP="0032289E">
                <w:pPr>
                  <w:tabs>
                    <w:tab w:val="right" w:pos="8838"/>
                  </w:tabs>
                  <w:ind w:left="-108" w:right="171"/>
                  <w:jc w:val="both"/>
                  <w:rPr>
                    <w:rFonts w:ascii="Palatino Linotype" w:eastAsia="Calibri" w:hAnsi="Palatino Linotype" w:cs="Tahoma"/>
                    <w:b/>
                    <w:sz w:val="22"/>
                    <w:szCs w:val="22"/>
                    <w:lang w:val="es-ES" w:eastAsia="en-US"/>
                  </w:rPr>
                </w:pPr>
              </w:p>
            </w:tc>
          </w:tr>
        </w:tbl>
        <w:p w14:paraId="6DA069B6" w14:textId="77777777" w:rsidR="00F72F46" w:rsidRPr="005C106F" w:rsidRDefault="00F72F46" w:rsidP="0032289E">
          <w:pPr>
            <w:tabs>
              <w:tab w:val="right" w:pos="8838"/>
            </w:tabs>
            <w:ind w:left="-28"/>
            <w:jc w:val="both"/>
            <w:rPr>
              <w:rFonts w:ascii="Arial" w:eastAsia="Calibri" w:hAnsi="Arial" w:cs="Arial"/>
              <w:b/>
              <w:sz w:val="22"/>
              <w:szCs w:val="22"/>
              <w:lang w:eastAsia="en-US"/>
            </w:rPr>
          </w:pPr>
        </w:p>
      </w:tc>
    </w:tr>
  </w:tbl>
  <w:p w14:paraId="47573FFC" w14:textId="77777777" w:rsidR="00F72F46" w:rsidRPr="00443C6B" w:rsidRDefault="008E18E9" w:rsidP="0032289E">
    <w:pPr>
      <w:pStyle w:val="Encabezado"/>
      <w:rPr>
        <w:sz w:val="14"/>
      </w:rPr>
    </w:pPr>
    <w:r>
      <w:rPr>
        <w:noProof/>
        <w:sz w:val="14"/>
      </w:rPr>
      <w:pict w14:anchorId="5D2B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F72F46" w:rsidRPr="00330DA7" w14:paraId="57861B16" w14:textId="77777777" w:rsidTr="0032289E">
      <w:trPr>
        <w:trHeight w:val="1435"/>
      </w:trPr>
      <w:tc>
        <w:tcPr>
          <w:tcW w:w="2268" w:type="dxa"/>
          <w:shd w:val="clear" w:color="auto" w:fill="auto"/>
        </w:tcPr>
        <w:p w14:paraId="77B70630" w14:textId="77777777" w:rsidR="00F72F46" w:rsidRPr="00330DA7" w:rsidRDefault="00F72F46" w:rsidP="0032289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F72F46" w:rsidRPr="00330DA7" w14:paraId="76A75C0F" w14:textId="77777777" w:rsidTr="0032289E">
            <w:trPr>
              <w:trHeight w:val="144"/>
            </w:trPr>
            <w:tc>
              <w:tcPr>
                <w:tcW w:w="2444" w:type="dxa"/>
                <w:shd w:val="clear" w:color="auto" w:fill="auto"/>
              </w:tcPr>
              <w:p w14:paraId="43754CC2" w14:textId="77777777" w:rsidR="00F72F46" w:rsidRPr="00020E73" w:rsidRDefault="00F72F46" w:rsidP="0032289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060E88EB" w14:textId="77777777" w:rsidR="00F72F46" w:rsidRPr="00020E73" w:rsidRDefault="00F72F46" w:rsidP="0032289E">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01438/INFOEM/IP/RR/2024</w:t>
                </w:r>
              </w:p>
            </w:tc>
          </w:tr>
          <w:tr w:rsidR="00F72F46" w:rsidRPr="00330DA7" w14:paraId="6AB3CAA6" w14:textId="77777777" w:rsidTr="0032289E">
            <w:trPr>
              <w:trHeight w:val="144"/>
            </w:trPr>
            <w:tc>
              <w:tcPr>
                <w:tcW w:w="2444" w:type="dxa"/>
                <w:shd w:val="clear" w:color="auto" w:fill="auto"/>
              </w:tcPr>
              <w:p w14:paraId="0D83B09A" w14:textId="77777777" w:rsidR="00F72F46" w:rsidRPr="00020E73" w:rsidRDefault="00F72F46" w:rsidP="0032289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101AAEE2" w14:textId="067D6CB5" w:rsidR="00F72F46" w:rsidRPr="0032289E" w:rsidRDefault="00434C59" w:rsidP="0032289E">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F72F46" w:rsidRPr="00330DA7" w14:paraId="55D099CE" w14:textId="77777777" w:rsidTr="0032289E">
            <w:trPr>
              <w:trHeight w:val="283"/>
            </w:trPr>
            <w:tc>
              <w:tcPr>
                <w:tcW w:w="2444" w:type="dxa"/>
                <w:shd w:val="clear" w:color="auto" w:fill="auto"/>
              </w:tcPr>
              <w:p w14:paraId="0E722523" w14:textId="77777777" w:rsidR="00F72F46" w:rsidRPr="00020E73" w:rsidRDefault="00F72F46" w:rsidP="0032289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4C077998" w14:textId="77777777" w:rsidR="00F72F46" w:rsidRPr="0032289E" w:rsidRDefault="00F72F46" w:rsidP="0032289E">
                <w:pPr>
                  <w:tabs>
                    <w:tab w:val="left" w:pos="2834"/>
                    <w:tab w:val="right" w:pos="8838"/>
                  </w:tabs>
                  <w:ind w:left="-74" w:right="-105"/>
                  <w:jc w:val="both"/>
                  <w:rPr>
                    <w:rFonts w:ascii="Palatino Linotype" w:eastAsia="Calibri" w:hAnsi="Palatino Linotype" w:cs="Tahoma"/>
                    <w:sz w:val="22"/>
                    <w:szCs w:val="22"/>
                    <w:lang w:val="es-ES" w:eastAsia="en-US"/>
                  </w:rPr>
                </w:pPr>
                <w:r w:rsidRPr="0032289E">
                  <w:rPr>
                    <w:rFonts w:ascii="Palatino Linotype" w:eastAsia="Calibri" w:hAnsi="Palatino Linotype" w:cs="Tahoma"/>
                    <w:bCs/>
                    <w:sz w:val="22"/>
                    <w:szCs w:val="22"/>
                    <w:lang w:eastAsia="en-US"/>
                  </w:rPr>
                  <w:t>Ayuntamiento de Coacalco de Berriozábal</w:t>
                </w:r>
              </w:p>
            </w:tc>
          </w:tr>
          <w:tr w:rsidR="00F72F46" w:rsidRPr="00330DA7" w14:paraId="18C8EA8C" w14:textId="77777777" w:rsidTr="0032289E">
            <w:trPr>
              <w:trHeight w:val="283"/>
            </w:trPr>
            <w:tc>
              <w:tcPr>
                <w:tcW w:w="2444" w:type="dxa"/>
                <w:shd w:val="clear" w:color="auto" w:fill="auto"/>
              </w:tcPr>
              <w:p w14:paraId="3EA948A8" w14:textId="77777777" w:rsidR="00F72F46" w:rsidRPr="00020E73" w:rsidRDefault="00F72F46" w:rsidP="0032289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7F55202E" w14:textId="77777777" w:rsidR="00F72F46" w:rsidRPr="00020E73" w:rsidRDefault="00F72F46" w:rsidP="0032289E">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FC08C07" w14:textId="77777777" w:rsidR="00F72F46" w:rsidRPr="00020E73" w:rsidRDefault="00F72F46" w:rsidP="0032289E">
                <w:pPr>
                  <w:tabs>
                    <w:tab w:val="right" w:pos="8838"/>
                  </w:tabs>
                  <w:ind w:left="-74" w:right="-105"/>
                  <w:jc w:val="both"/>
                  <w:rPr>
                    <w:rFonts w:ascii="Palatino Linotype" w:eastAsia="Calibri" w:hAnsi="Palatino Linotype" w:cs="Tahoma"/>
                    <w:b/>
                    <w:sz w:val="22"/>
                    <w:szCs w:val="22"/>
                    <w:lang w:val="es-ES" w:eastAsia="en-US"/>
                  </w:rPr>
                </w:pPr>
              </w:p>
            </w:tc>
          </w:tr>
        </w:tbl>
        <w:p w14:paraId="6EDAB607" w14:textId="77777777" w:rsidR="00F72F46" w:rsidRPr="00330DA7" w:rsidRDefault="00F72F46" w:rsidP="0032289E">
          <w:pPr>
            <w:tabs>
              <w:tab w:val="right" w:pos="8838"/>
            </w:tabs>
            <w:ind w:left="-28"/>
            <w:jc w:val="both"/>
            <w:rPr>
              <w:rFonts w:ascii="Arial" w:eastAsia="Calibri" w:hAnsi="Arial" w:cs="Arial"/>
              <w:b/>
              <w:sz w:val="22"/>
              <w:szCs w:val="22"/>
              <w:lang w:eastAsia="en-US"/>
            </w:rPr>
          </w:pPr>
        </w:p>
      </w:tc>
    </w:tr>
  </w:tbl>
  <w:p w14:paraId="4EC9EE3D" w14:textId="77777777" w:rsidR="00F72F46" w:rsidRPr="00827FA0" w:rsidRDefault="008E18E9" w:rsidP="0032289E">
    <w:pPr>
      <w:pStyle w:val="Encabezado"/>
      <w:rPr>
        <w:sz w:val="2"/>
        <w:szCs w:val="22"/>
      </w:rPr>
    </w:pPr>
    <w:r>
      <w:rPr>
        <w:noProof/>
        <w:sz w:val="2"/>
        <w:szCs w:val="22"/>
      </w:rPr>
      <w:pict w14:anchorId="6ABF7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300"/>
    <w:multiLevelType w:val="hybridMultilevel"/>
    <w:tmpl w:val="E238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61270"/>
    <w:multiLevelType w:val="hybridMultilevel"/>
    <w:tmpl w:val="1228CAA8"/>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4843C5"/>
    <w:multiLevelType w:val="hybridMultilevel"/>
    <w:tmpl w:val="249266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B424C45"/>
    <w:multiLevelType w:val="hybridMultilevel"/>
    <w:tmpl w:val="5F14E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132F4"/>
    <w:multiLevelType w:val="hybridMultilevel"/>
    <w:tmpl w:val="E24AD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9A26D6"/>
    <w:multiLevelType w:val="hybridMultilevel"/>
    <w:tmpl w:val="1520BC7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1B65EC8"/>
    <w:multiLevelType w:val="hybridMultilevel"/>
    <w:tmpl w:val="F6944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237B95"/>
    <w:multiLevelType w:val="hybridMultilevel"/>
    <w:tmpl w:val="C64E2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377776797">
    <w:abstractNumId w:val="1"/>
  </w:num>
  <w:num w:numId="2" w16cid:durableId="606892407">
    <w:abstractNumId w:val="8"/>
  </w:num>
  <w:num w:numId="3" w16cid:durableId="336614035">
    <w:abstractNumId w:val="4"/>
  </w:num>
  <w:num w:numId="4" w16cid:durableId="1733506339">
    <w:abstractNumId w:val="3"/>
  </w:num>
  <w:num w:numId="5" w16cid:durableId="49573647">
    <w:abstractNumId w:val="7"/>
  </w:num>
  <w:num w:numId="6" w16cid:durableId="747307766">
    <w:abstractNumId w:val="5"/>
  </w:num>
  <w:num w:numId="7" w16cid:durableId="1254624877">
    <w:abstractNumId w:val="6"/>
  </w:num>
  <w:num w:numId="8" w16cid:durableId="578445975">
    <w:abstractNumId w:val="0"/>
  </w:num>
  <w:num w:numId="9" w16cid:durableId="73704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9E"/>
    <w:rsid w:val="000277DA"/>
    <w:rsid w:val="000F1E1E"/>
    <w:rsid w:val="001C14F5"/>
    <w:rsid w:val="002D3297"/>
    <w:rsid w:val="0032289E"/>
    <w:rsid w:val="00434C59"/>
    <w:rsid w:val="004A07E0"/>
    <w:rsid w:val="00554088"/>
    <w:rsid w:val="0060465B"/>
    <w:rsid w:val="00814942"/>
    <w:rsid w:val="00821714"/>
    <w:rsid w:val="008E18E9"/>
    <w:rsid w:val="009D3FF4"/>
    <w:rsid w:val="00A065D6"/>
    <w:rsid w:val="00B40EB4"/>
    <w:rsid w:val="00B73F0F"/>
    <w:rsid w:val="00BE18EE"/>
    <w:rsid w:val="00D37B8E"/>
    <w:rsid w:val="00D62069"/>
    <w:rsid w:val="00E0420A"/>
    <w:rsid w:val="00E25E98"/>
    <w:rsid w:val="00E2790C"/>
    <w:rsid w:val="00EF544B"/>
    <w:rsid w:val="00F72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4CAA"/>
  <w15:chartTrackingRefBased/>
  <w15:docId w15:val="{FC5B93B6-3B22-4E1A-BC7A-2B37D811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9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89E"/>
    <w:pPr>
      <w:tabs>
        <w:tab w:val="center" w:pos="4419"/>
        <w:tab w:val="right" w:pos="8838"/>
      </w:tabs>
    </w:pPr>
  </w:style>
  <w:style w:type="character" w:customStyle="1" w:styleId="EncabezadoCar">
    <w:name w:val="Encabezado Car"/>
    <w:basedOn w:val="Fuentedeprrafopredeter"/>
    <w:link w:val="Encabezado"/>
    <w:uiPriority w:val="99"/>
    <w:rsid w:val="0032289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2289E"/>
    <w:pPr>
      <w:tabs>
        <w:tab w:val="center" w:pos="4419"/>
        <w:tab w:val="right" w:pos="8838"/>
      </w:tabs>
    </w:pPr>
  </w:style>
  <w:style w:type="character" w:customStyle="1" w:styleId="PiedepginaCar">
    <w:name w:val="Pie de página Car"/>
    <w:basedOn w:val="Fuentedeprrafopredeter"/>
    <w:link w:val="Piedepgina"/>
    <w:uiPriority w:val="99"/>
    <w:rsid w:val="0032289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2289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2289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2289E"/>
    <w:rPr>
      <w:color w:val="0563C1"/>
      <w:u w:val="single"/>
    </w:rPr>
  </w:style>
  <w:style w:type="paragraph" w:customStyle="1" w:styleId="Default">
    <w:name w:val="Default"/>
    <w:rsid w:val="0032289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B73F0F"/>
    <w:rPr>
      <w:sz w:val="20"/>
      <w:szCs w:val="20"/>
    </w:rPr>
  </w:style>
  <w:style w:type="character" w:customStyle="1" w:styleId="TextonotapieCar">
    <w:name w:val="Texto nota pie Car"/>
    <w:basedOn w:val="Fuentedeprrafopredeter"/>
    <w:link w:val="Textonotapie"/>
    <w:uiPriority w:val="99"/>
    <w:semiHidden/>
    <w:rsid w:val="00B73F0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B73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45364">
      <w:bodyDiv w:val="1"/>
      <w:marLeft w:val="0"/>
      <w:marRight w:val="0"/>
      <w:marTop w:val="0"/>
      <w:marBottom w:val="0"/>
      <w:divBdr>
        <w:top w:val="none" w:sz="0" w:space="0" w:color="auto"/>
        <w:left w:val="none" w:sz="0" w:space="0" w:color="auto"/>
        <w:bottom w:val="none" w:sz="0" w:space="0" w:color="auto"/>
        <w:right w:val="none" w:sz="0" w:space="0" w:color="auto"/>
      </w:divBdr>
    </w:div>
    <w:div w:id="21102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25970.page" TargetMode="External"/><Relationship Id="rId13" Type="http://schemas.openxmlformats.org/officeDocument/2006/relationships/hyperlink" Target="https://saimex.org.mx/saimex/solicitud/downloadAttach/2061560.p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061559.p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61558.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2025972.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025971.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183E-8B80-4665-B5B5-CBE7CCE6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5172</Words>
  <Characters>28452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9</cp:revision>
  <cp:lastPrinted>2024-10-17T20:11:00Z</cp:lastPrinted>
  <dcterms:created xsi:type="dcterms:W3CDTF">2024-10-09T15:26:00Z</dcterms:created>
  <dcterms:modified xsi:type="dcterms:W3CDTF">2024-10-25T19:42:00Z</dcterms:modified>
</cp:coreProperties>
</file>