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D2441" w14:textId="77777777" w:rsidR="000A0890" w:rsidRDefault="000A0890" w:rsidP="00C03631">
      <w:pPr>
        <w:spacing w:after="0" w:line="360" w:lineRule="auto"/>
        <w:contextualSpacing/>
        <w:rPr>
          <w:rFonts w:cs="Tahoma"/>
        </w:rPr>
      </w:pPr>
    </w:p>
    <w:p w14:paraId="57463E05" w14:textId="0B1668AD" w:rsidR="00306B1A" w:rsidRPr="00854A8C" w:rsidRDefault="00306B1A" w:rsidP="00C03631">
      <w:pPr>
        <w:spacing w:after="0" w:line="360" w:lineRule="auto"/>
        <w:contextualSpacing/>
        <w:rPr>
          <w:rFonts w:cs="Tahoma"/>
        </w:rPr>
      </w:pPr>
      <w:r w:rsidRPr="00854A8C">
        <w:rPr>
          <w:rFonts w:cs="Tahoma"/>
        </w:rPr>
        <w:t xml:space="preserve">Resolución del Pleno del Instituto de Transparencia, Acceso a la Información Pública y Protección de Datos Personales del Estado de México y Municipios, con domicilio en Metepec, Estado de México, de fecha </w:t>
      </w:r>
      <w:r w:rsidR="00C048A2">
        <w:rPr>
          <w:rFonts w:cs="Tahoma"/>
        </w:rPr>
        <w:t>dieciséis</w:t>
      </w:r>
      <w:r w:rsidR="00F441FC">
        <w:rPr>
          <w:rFonts w:cs="Tahoma"/>
        </w:rPr>
        <w:t xml:space="preserve"> de octubre</w:t>
      </w:r>
      <w:r w:rsidRPr="00854A8C">
        <w:rPr>
          <w:rFonts w:cs="Tahoma"/>
        </w:rPr>
        <w:t xml:space="preserve"> de dos mil veinticuatro.</w:t>
      </w:r>
      <w:bookmarkStart w:id="0" w:name="_GoBack"/>
      <w:bookmarkEnd w:id="0"/>
    </w:p>
    <w:p w14:paraId="3CC633F6" w14:textId="77777777" w:rsidR="00306B1A" w:rsidRPr="00854A8C" w:rsidRDefault="00306B1A" w:rsidP="00C03631">
      <w:pPr>
        <w:spacing w:after="0" w:line="360" w:lineRule="auto"/>
        <w:contextualSpacing/>
        <w:rPr>
          <w:rFonts w:cs="Tahoma"/>
          <w:bCs/>
        </w:rPr>
      </w:pPr>
    </w:p>
    <w:p w14:paraId="1AC43EA9" w14:textId="77777777" w:rsidR="00306B1A" w:rsidRPr="00854A8C" w:rsidRDefault="00306B1A" w:rsidP="00C03631">
      <w:pPr>
        <w:spacing w:after="0" w:line="360" w:lineRule="auto"/>
        <w:contextualSpacing/>
        <w:rPr>
          <w:rFonts w:cs="Tahoma"/>
          <w:bCs/>
        </w:rPr>
      </w:pPr>
      <w:r w:rsidRPr="00854A8C">
        <w:rPr>
          <w:rFonts w:cs="Tahoma"/>
          <w:b/>
          <w:bCs/>
        </w:rPr>
        <w:t xml:space="preserve">VISTO </w:t>
      </w:r>
      <w:r w:rsidRPr="00854A8C">
        <w:rPr>
          <w:rFonts w:cs="Tahoma"/>
          <w:bCs/>
        </w:rPr>
        <w:t xml:space="preserve">el expediente conformado con motivo de los Recursos de Revisión </w:t>
      </w:r>
      <w:r>
        <w:rPr>
          <w:bCs/>
        </w:rPr>
        <w:t>0</w:t>
      </w:r>
      <w:r w:rsidRPr="00854A8C">
        <w:rPr>
          <w:bCs/>
        </w:rPr>
        <w:t>1</w:t>
      </w:r>
      <w:r>
        <w:rPr>
          <w:bCs/>
        </w:rPr>
        <w:t>956</w:t>
      </w:r>
      <w:r w:rsidRPr="00854A8C">
        <w:rPr>
          <w:bCs/>
        </w:rPr>
        <w:t>/INFOEM/IP/RR/2024</w:t>
      </w:r>
      <w:r w:rsidRPr="00854A8C">
        <w:rPr>
          <w:rFonts w:cs="Tahoma"/>
          <w:bCs/>
        </w:rPr>
        <w:t xml:space="preserve">, </w:t>
      </w:r>
      <w:r w:rsidRPr="00854A8C">
        <w:rPr>
          <w:bCs/>
        </w:rPr>
        <w:t xml:space="preserve">y </w:t>
      </w:r>
      <w:r>
        <w:rPr>
          <w:rFonts w:cs="Tahoma"/>
          <w:bCs/>
        </w:rPr>
        <w:t>01957</w:t>
      </w:r>
      <w:r w:rsidRPr="00854A8C">
        <w:rPr>
          <w:bCs/>
        </w:rPr>
        <w:t>/INFOEM/IP/RR/2024,</w:t>
      </w:r>
      <w:r w:rsidRPr="00854A8C">
        <w:t xml:space="preserve"> </w:t>
      </w:r>
      <w:r w:rsidRPr="00854A8C">
        <w:rPr>
          <w:rFonts w:cs="Tahoma"/>
        </w:rPr>
        <w:t>interpuestos por el</w:t>
      </w:r>
      <w:r w:rsidRPr="00854A8C">
        <w:t xml:space="preserve"> </w:t>
      </w:r>
      <w:r w:rsidRPr="00854A8C">
        <w:rPr>
          <w:rFonts w:cs="Tahoma"/>
        </w:rPr>
        <w:t xml:space="preserve">Recurrente o Particular, en contra de las respuestas del Sujeto Obligado, Ayuntamiento de Ecatepec de Morelos, a las solicitudes de información con números de folio </w:t>
      </w:r>
      <w:r>
        <w:rPr>
          <w:bCs/>
        </w:rPr>
        <w:t>00189/ECATEPEC/IP/2024 y 00194/ECATEPEC/IP/2024</w:t>
      </w:r>
      <w:r w:rsidRPr="00854A8C">
        <w:rPr>
          <w:color w:val="auto"/>
        </w:rPr>
        <w:t>,</w:t>
      </w:r>
      <w:r w:rsidRPr="00854A8C">
        <w:rPr>
          <w:rFonts w:cs="Tahoma"/>
        </w:rPr>
        <w:t xml:space="preserve"> se emite la presente Resolución, con base en los Antecedentes y Considerandos que</w:t>
      </w:r>
      <w:r w:rsidRPr="00854A8C">
        <w:rPr>
          <w:rFonts w:cs="Tahoma"/>
          <w:bCs/>
        </w:rPr>
        <w:t xml:space="preserve"> se exponen a continuación:</w:t>
      </w:r>
    </w:p>
    <w:p w14:paraId="75A48826" w14:textId="77777777" w:rsidR="00306B1A" w:rsidRPr="00854A8C" w:rsidRDefault="00306B1A" w:rsidP="00C03631">
      <w:pPr>
        <w:spacing w:after="0" w:line="360" w:lineRule="auto"/>
        <w:contextualSpacing/>
        <w:rPr>
          <w:rFonts w:cs="Tahoma"/>
          <w:bCs/>
        </w:rPr>
      </w:pPr>
    </w:p>
    <w:p w14:paraId="440800D5" w14:textId="057FF16A" w:rsidR="00306B1A" w:rsidRPr="00854A8C" w:rsidRDefault="00306B1A" w:rsidP="00C03631">
      <w:pPr>
        <w:tabs>
          <w:tab w:val="center" w:pos="4522"/>
          <w:tab w:val="left" w:pos="7245"/>
        </w:tabs>
        <w:spacing w:after="0" w:line="360" w:lineRule="auto"/>
        <w:contextualSpacing/>
        <w:jc w:val="center"/>
        <w:rPr>
          <w:rFonts w:cs="Tahoma"/>
          <w:b/>
        </w:rPr>
      </w:pPr>
      <w:r w:rsidRPr="00854A8C">
        <w:rPr>
          <w:rFonts w:cs="Tahoma"/>
          <w:b/>
        </w:rPr>
        <w:t>A N T E C E D E N T E S</w:t>
      </w:r>
    </w:p>
    <w:p w14:paraId="0214BBEE" w14:textId="77777777" w:rsidR="00306B1A" w:rsidRPr="00854A8C" w:rsidRDefault="00306B1A" w:rsidP="00C03631">
      <w:pPr>
        <w:spacing w:after="0" w:line="360" w:lineRule="auto"/>
        <w:contextualSpacing/>
      </w:pPr>
    </w:p>
    <w:p w14:paraId="707A570D" w14:textId="49644016" w:rsidR="00306B1A" w:rsidRPr="00854A8C" w:rsidRDefault="00306B1A" w:rsidP="00C03631">
      <w:pPr>
        <w:pStyle w:val="Prrafodelista"/>
        <w:tabs>
          <w:tab w:val="left" w:pos="567"/>
        </w:tabs>
        <w:spacing w:line="360" w:lineRule="auto"/>
        <w:ind w:left="0"/>
        <w:jc w:val="both"/>
        <w:rPr>
          <w:rFonts w:ascii="Palatino Linotype" w:hAnsi="Palatino Linotype" w:cs="Tahoma"/>
          <w:b/>
          <w:color w:val="000000" w:themeColor="text1"/>
          <w:szCs w:val="22"/>
        </w:rPr>
      </w:pPr>
      <w:r w:rsidRPr="00854A8C">
        <w:rPr>
          <w:rFonts w:ascii="Palatino Linotype" w:hAnsi="Palatino Linotype" w:cs="Tahoma"/>
          <w:b/>
          <w:color w:val="000000" w:themeColor="text1"/>
          <w:szCs w:val="22"/>
        </w:rPr>
        <w:t>I. Presentación de las solicitudes de información</w:t>
      </w:r>
    </w:p>
    <w:p w14:paraId="206A7368" w14:textId="77777777" w:rsidR="00306B1A" w:rsidRPr="00854A8C" w:rsidRDefault="00306B1A" w:rsidP="00C03631">
      <w:pPr>
        <w:pStyle w:val="Prrafodelista"/>
        <w:tabs>
          <w:tab w:val="left" w:pos="567"/>
        </w:tabs>
        <w:spacing w:line="360" w:lineRule="auto"/>
        <w:ind w:left="0"/>
        <w:jc w:val="both"/>
        <w:rPr>
          <w:rFonts w:ascii="Palatino Linotype" w:hAnsi="Palatino Linotype" w:cs="Tahoma"/>
          <w:color w:val="000000" w:themeColor="text1"/>
          <w:szCs w:val="22"/>
        </w:rPr>
      </w:pPr>
    </w:p>
    <w:p w14:paraId="2EDA138E" w14:textId="77777777" w:rsidR="00306B1A" w:rsidRPr="00854A8C" w:rsidRDefault="00306B1A" w:rsidP="00C03631">
      <w:pPr>
        <w:tabs>
          <w:tab w:val="left" w:pos="567"/>
        </w:tabs>
        <w:spacing w:after="0" w:line="360" w:lineRule="auto"/>
        <w:ind w:right="-28"/>
        <w:contextualSpacing/>
        <w:rPr>
          <w:rFonts w:cs="Tahoma"/>
        </w:rPr>
      </w:pPr>
      <w:r w:rsidRPr="00854A8C">
        <w:rPr>
          <w:rFonts w:cs="Tahoma"/>
        </w:rPr>
        <w:t xml:space="preserve">Con fecha </w:t>
      </w:r>
      <w:r>
        <w:rPr>
          <w:rFonts w:cs="Tahoma"/>
        </w:rPr>
        <w:t>primero</w:t>
      </w:r>
      <w:r w:rsidRPr="00854A8C">
        <w:rPr>
          <w:rFonts w:cs="Tahoma"/>
        </w:rPr>
        <w:t xml:space="preserve"> de abril de dos mil veinticuatro, el Particular presentó dos solicitudes de acceso a la información pública, a través del Sistema de Acceso a la Información Mexiquense </w:t>
      </w:r>
      <w:r w:rsidRPr="00854A8C">
        <w:rPr>
          <w:rFonts w:cs="Tahoma"/>
          <w:lang w:val="es-ES"/>
        </w:rPr>
        <w:t>(SAIMEX)</w:t>
      </w:r>
      <w:r w:rsidRPr="00854A8C">
        <w:rPr>
          <w:rFonts w:cs="Tahoma"/>
        </w:rPr>
        <w:t>, ante el Ayuntamiento de Ecatepec de Morelos, en los siguientes términos:</w:t>
      </w:r>
    </w:p>
    <w:p w14:paraId="7F2CFFF4" w14:textId="77777777" w:rsidR="00306B1A" w:rsidRPr="00854A8C" w:rsidRDefault="00306B1A" w:rsidP="00C03631">
      <w:pPr>
        <w:tabs>
          <w:tab w:val="left" w:pos="567"/>
        </w:tabs>
        <w:spacing w:after="0" w:line="360" w:lineRule="auto"/>
        <w:ind w:right="-28"/>
        <w:contextualSpacing/>
        <w:rPr>
          <w:rFonts w:cs="Tahoma"/>
        </w:rPr>
      </w:pPr>
    </w:p>
    <w:p w14:paraId="7C643DE1" w14:textId="77777777" w:rsidR="00306B1A" w:rsidRPr="00306B1A" w:rsidRDefault="00306B1A" w:rsidP="00C03631">
      <w:pPr>
        <w:tabs>
          <w:tab w:val="left" w:pos="4667"/>
        </w:tabs>
        <w:spacing w:after="0" w:line="360" w:lineRule="auto"/>
        <w:ind w:left="567" w:right="567"/>
        <w:contextualSpacing/>
        <w:rPr>
          <w:b/>
          <w:bCs/>
          <w:i/>
          <w:iCs/>
          <w:color w:val="auto"/>
          <w:sz w:val="20"/>
          <w:szCs w:val="20"/>
        </w:rPr>
      </w:pPr>
      <w:r w:rsidRPr="00306B1A">
        <w:rPr>
          <w:b/>
          <w:bCs/>
          <w:i/>
          <w:iCs/>
          <w:sz w:val="20"/>
          <w:szCs w:val="20"/>
        </w:rPr>
        <w:t xml:space="preserve">Folio de la solicitud </w:t>
      </w:r>
      <w:r w:rsidRPr="00306B1A">
        <w:rPr>
          <w:b/>
          <w:bCs/>
          <w:i/>
          <w:sz w:val="20"/>
          <w:szCs w:val="20"/>
        </w:rPr>
        <w:t>00189/ECATEPEC/IP/2024</w:t>
      </w:r>
    </w:p>
    <w:p w14:paraId="2CA6E5E3" w14:textId="77777777" w:rsidR="00306B1A" w:rsidRPr="00306B1A" w:rsidRDefault="00306B1A" w:rsidP="00C03631">
      <w:pPr>
        <w:tabs>
          <w:tab w:val="left" w:pos="4667"/>
        </w:tabs>
        <w:spacing w:after="0" w:line="360" w:lineRule="auto"/>
        <w:ind w:left="567" w:right="567"/>
        <w:contextualSpacing/>
        <w:rPr>
          <w:rFonts w:cs="Tahoma"/>
          <w:b/>
          <w:bCs/>
          <w:i/>
          <w:iCs/>
          <w:sz w:val="20"/>
          <w:szCs w:val="20"/>
        </w:rPr>
      </w:pPr>
      <w:r w:rsidRPr="00306B1A">
        <w:rPr>
          <w:rFonts w:cs="Tahoma"/>
          <w:b/>
          <w:bCs/>
          <w:i/>
          <w:iCs/>
          <w:sz w:val="20"/>
          <w:szCs w:val="20"/>
        </w:rPr>
        <w:t>“DESCRIPCIÓN CLARA Y PRECISA DE LA INFORMACIÓN SOLICITADA</w:t>
      </w:r>
    </w:p>
    <w:p w14:paraId="0FE643C1" w14:textId="6F318967" w:rsidR="00306B1A" w:rsidRPr="00306B1A" w:rsidRDefault="00306B1A" w:rsidP="00C03631">
      <w:pPr>
        <w:spacing w:after="0" w:line="360" w:lineRule="auto"/>
        <w:ind w:left="567" w:right="567"/>
        <w:contextualSpacing/>
        <w:rPr>
          <w:rFonts w:eastAsia="Times New Roman" w:cs="Times New Roman"/>
          <w:i/>
          <w:iCs/>
          <w:color w:val="auto"/>
          <w:sz w:val="20"/>
          <w:szCs w:val="20"/>
          <w:lang w:eastAsia="es-MX"/>
        </w:rPr>
      </w:pPr>
      <w:r w:rsidRPr="00306B1A">
        <w:rPr>
          <w:i/>
          <w:color w:val="000000"/>
          <w:sz w:val="20"/>
          <w:szCs w:val="20"/>
        </w:rPr>
        <w:t>Sea este el medio para solicitar la información relativa a la adjudicación de luminarias para el municipio de Ecatepec de Morelos, con la información que viene descrita en el artículo 92 fracción XXIX inciso a) con todos sus consecuentes o si es el caso, lo que viene en el mismo artículo y fracción pero del inciso b) dependiendo el proceso del adjudicación,el artículo mencionado corresponde a la Ley de Transparencia y Acceso a la Información Pública del Estado de México y Municipios</w:t>
      </w:r>
      <w:r w:rsidRPr="00306B1A">
        <w:rPr>
          <w:rFonts w:eastAsia="Times New Roman" w:cs="Times New Roman"/>
          <w:i/>
          <w:iCs/>
          <w:color w:val="auto"/>
          <w:sz w:val="20"/>
          <w:szCs w:val="20"/>
          <w:lang w:eastAsia="es-MX"/>
        </w:rPr>
        <w:t xml:space="preserve">.” </w:t>
      </w:r>
      <w:r w:rsidRPr="00306B1A">
        <w:rPr>
          <w:rFonts w:eastAsia="Times New Roman" w:cs="Arial"/>
          <w:bCs/>
          <w:i/>
          <w:iCs/>
          <w:sz w:val="20"/>
          <w:szCs w:val="20"/>
          <w:lang w:eastAsia="es-ES"/>
        </w:rPr>
        <w:t>(Sic)</w:t>
      </w:r>
    </w:p>
    <w:p w14:paraId="0FC1FF95" w14:textId="77777777" w:rsidR="00306B1A" w:rsidRDefault="00306B1A" w:rsidP="00C03631">
      <w:pPr>
        <w:tabs>
          <w:tab w:val="left" w:pos="4667"/>
        </w:tabs>
        <w:spacing w:after="0" w:line="360" w:lineRule="auto"/>
        <w:ind w:left="567" w:right="567"/>
        <w:contextualSpacing/>
        <w:rPr>
          <w:b/>
          <w:bCs/>
          <w:i/>
          <w:iCs/>
          <w:sz w:val="20"/>
          <w:szCs w:val="20"/>
        </w:rPr>
      </w:pPr>
    </w:p>
    <w:p w14:paraId="655102CE" w14:textId="77777777" w:rsidR="00101DA9" w:rsidRPr="00854A8C" w:rsidRDefault="00101DA9" w:rsidP="00C03631">
      <w:pPr>
        <w:tabs>
          <w:tab w:val="left" w:pos="4667"/>
        </w:tabs>
        <w:spacing w:after="0" w:line="360" w:lineRule="auto"/>
        <w:ind w:left="567" w:right="567"/>
        <w:contextualSpacing/>
        <w:rPr>
          <w:b/>
          <w:bCs/>
          <w:i/>
          <w:iCs/>
          <w:sz w:val="20"/>
          <w:szCs w:val="20"/>
        </w:rPr>
      </w:pPr>
    </w:p>
    <w:p w14:paraId="2076C103" w14:textId="77777777" w:rsidR="00306B1A" w:rsidRPr="00306B1A" w:rsidRDefault="00306B1A" w:rsidP="00C03631">
      <w:pPr>
        <w:tabs>
          <w:tab w:val="left" w:pos="4667"/>
        </w:tabs>
        <w:spacing w:after="0" w:line="360" w:lineRule="auto"/>
        <w:ind w:left="567" w:right="567"/>
        <w:contextualSpacing/>
        <w:rPr>
          <w:b/>
          <w:bCs/>
          <w:i/>
          <w:iCs/>
          <w:color w:val="auto"/>
          <w:sz w:val="20"/>
          <w:szCs w:val="20"/>
        </w:rPr>
      </w:pPr>
      <w:r w:rsidRPr="00306B1A">
        <w:rPr>
          <w:b/>
          <w:bCs/>
          <w:i/>
          <w:iCs/>
          <w:sz w:val="20"/>
          <w:szCs w:val="20"/>
        </w:rPr>
        <w:t xml:space="preserve">Folio de la solicitud </w:t>
      </w:r>
      <w:r w:rsidRPr="00306B1A">
        <w:rPr>
          <w:b/>
          <w:bCs/>
          <w:i/>
          <w:sz w:val="20"/>
          <w:szCs w:val="20"/>
        </w:rPr>
        <w:t>00194/ECATEPEC/IP/2024</w:t>
      </w:r>
    </w:p>
    <w:p w14:paraId="06D74751" w14:textId="77777777" w:rsidR="00306B1A" w:rsidRPr="00306B1A" w:rsidRDefault="00306B1A" w:rsidP="00C03631">
      <w:pPr>
        <w:tabs>
          <w:tab w:val="left" w:pos="4667"/>
        </w:tabs>
        <w:spacing w:after="0" w:line="360" w:lineRule="auto"/>
        <w:ind w:left="567" w:right="567"/>
        <w:contextualSpacing/>
        <w:rPr>
          <w:b/>
          <w:bCs/>
          <w:i/>
          <w:iCs/>
          <w:color w:val="auto"/>
          <w:sz w:val="20"/>
          <w:szCs w:val="20"/>
        </w:rPr>
      </w:pPr>
      <w:r w:rsidRPr="00306B1A">
        <w:rPr>
          <w:rFonts w:cs="Tahoma"/>
          <w:b/>
          <w:bCs/>
          <w:i/>
          <w:iCs/>
          <w:sz w:val="20"/>
          <w:szCs w:val="20"/>
        </w:rPr>
        <w:t>“DESCRIPCIÓN CLARA Y PRECISA DE LA INFORMACIÓN SOLICITADA</w:t>
      </w:r>
    </w:p>
    <w:p w14:paraId="69AA5541" w14:textId="05847704" w:rsidR="00306B1A" w:rsidRPr="00F441FC" w:rsidRDefault="00306B1A" w:rsidP="00C03631">
      <w:pPr>
        <w:spacing w:after="0" w:line="360" w:lineRule="auto"/>
        <w:ind w:left="567" w:right="567"/>
        <w:contextualSpacing/>
        <w:rPr>
          <w:rFonts w:cs="Tahoma"/>
          <w:bCs/>
          <w:i/>
          <w:iCs/>
          <w:sz w:val="20"/>
          <w:szCs w:val="20"/>
        </w:rPr>
      </w:pPr>
      <w:r w:rsidRPr="00306B1A">
        <w:rPr>
          <w:i/>
          <w:color w:val="000000"/>
          <w:sz w:val="20"/>
          <w:szCs w:val="20"/>
        </w:rPr>
        <w:t>solocito saber todo lo relativo al progrmama luces del bicenternario que hubo en el municipio ya que no hay lamparas en mi calle y quiero saber cuantas se compraron y donde las pusieron ya que es muy molesto que no nos pueda poner 5 lamparas que faltan en mi calle, denme el contrato en pdf o como se compraron, cuantas y a quien</w:t>
      </w:r>
      <w:r w:rsidRPr="00306B1A">
        <w:rPr>
          <w:i/>
          <w:iCs/>
          <w:color w:val="000000"/>
          <w:sz w:val="20"/>
          <w:szCs w:val="20"/>
        </w:rPr>
        <w:t>.</w:t>
      </w:r>
      <w:r w:rsidRPr="00306B1A">
        <w:rPr>
          <w:rFonts w:cs="Tahoma"/>
          <w:bCs/>
          <w:i/>
          <w:iCs/>
          <w:sz w:val="20"/>
          <w:szCs w:val="20"/>
        </w:rPr>
        <w:t xml:space="preserve">” </w:t>
      </w:r>
      <w:r w:rsidRPr="00306B1A">
        <w:rPr>
          <w:rFonts w:eastAsia="Times New Roman" w:cs="Arial"/>
          <w:bCs/>
          <w:i/>
          <w:iCs/>
          <w:sz w:val="20"/>
          <w:szCs w:val="20"/>
          <w:lang w:eastAsia="es-ES"/>
        </w:rPr>
        <w:t>(Sic)</w:t>
      </w:r>
    </w:p>
    <w:p w14:paraId="46957F92" w14:textId="77777777" w:rsidR="00306B1A" w:rsidRPr="00854A8C" w:rsidRDefault="00306B1A" w:rsidP="00C03631">
      <w:pPr>
        <w:tabs>
          <w:tab w:val="left" w:pos="4667"/>
        </w:tabs>
        <w:spacing w:after="0" w:line="360" w:lineRule="auto"/>
        <w:ind w:left="567" w:right="567"/>
        <w:contextualSpacing/>
        <w:rPr>
          <w:rFonts w:cs="Tahoma"/>
          <w:bCs/>
          <w:i/>
          <w:iCs/>
          <w:sz w:val="20"/>
          <w:szCs w:val="20"/>
        </w:rPr>
      </w:pPr>
    </w:p>
    <w:p w14:paraId="704BDF86" w14:textId="77777777" w:rsidR="00306B1A" w:rsidRPr="00854A8C" w:rsidRDefault="00306B1A" w:rsidP="00C03631">
      <w:pPr>
        <w:spacing w:after="0" w:line="360" w:lineRule="auto"/>
        <w:contextualSpacing/>
        <w:rPr>
          <w:rFonts w:eastAsia="Times New Roman" w:cs="Arial"/>
          <w:bCs/>
          <w:szCs w:val="20"/>
          <w:lang w:eastAsia="es-ES"/>
        </w:rPr>
      </w:pPr>
      <w:r w:rsidRPr="00854A8C">
        <w:rPr>
          <w:rFonts w:eastAsia="Times New Roman" w:cs="Arial"/>
          <w:bCs/>
          <w:szCs w:val="20"/>
          <w:lang w:eastAsia="es-ES"/>
        </w:rPr>
        <w:t>En las dos solicitudes el Particular eligió como modalidad de entrega de la información “a través del SAIMEX”</w:t>
      </w:r>
    </w:p>
    <w:p w14:paraId="29CB0F91" w14:textId="77777777" w:rsidR="00306B1A" w:rsidRPr="00854A8C" w:rsidRDefault="00306B1A" w:rsidP="00C03631">
      <w:pPr>
        <w:spacing w:after="0" w:line="360" w:lineRule="auto"/>
        <w:contextualSpacing/>
        <w:rPr>
          <w:rFonts w:eastAsia="Times New Roman" w:cs="Arial"/>
          <w:bCs/>
          <w:szCs w:val="20"/>
          <w:lang w:eastAsia="es-ES"/>
        </w:rPr>
      </w:pPr>
    </w:p>
    <w:p w14:paraId="6E20F920" w14:textId="25FB75F1" w:rsidR="002A01DD" w:rsidRPr="00110B6E" w:rsidRDefault="002A01DD" w:rsidP="00C03631">
      <w:pPr>
        <w:tabs>
          <w:tab w:val="left" w:pos="4667"/>
        </w:tabs>
        <w:spacing w:after="0" w:line="360" w:lineRule="auto"/>
        <w:contextualSpacing/>
        <w:rPr>
          <w:rFonts w:cs="Tahoma"/>
          <w:szCs w:val="24"/>
        </w:rPr>
      </w:pPr>
      <w:r w:rsidRPr="00537F14">
        <w:rPr>
          <w:rFonts w:cs="Tahoma"/>
          <w:b/>
          <w:bCs/>
          <w:szCs w:val="24"/>
        </w:rPr>
        <w:t xml:space="preserve">II. </w:t>
      </w:r>
      <w:r w:rsidRPr="00537F14">
        <w:rPr>
          <w:rFonts w:cs="Tahoma"/>
          <w:b/>
        </w:rPr>
        <w:t>Respuestas</w:t>
      </w:r>
      <w:r w:rsidRPr="00537F14">
        <w:rPr>
          <w:rFonts w:cs="Tahoma"/>
          <w:b/>
          <w:bCs/>
        </w:rPr>
        <w:t xml:space="preserve"> del Sujeto Obligado</w:t>
      </w:r>
    </w:p>
    <w:p w14:paraId="02023D76" w14:textId="77777777" w:rsidR="002A01DD" w:rsidRPr="00537F14" w:rsidRDefault="002A01DD" w:rsidP="00C03631">
      <w:pPr>
        <w:tabs>
          <w:tab w:val="left" w:pos="4667"/>
        </w:tabs>
        <w:spacing w:after="0" w:line="360" w:lineRule="auto"/>
        <w:ind w:right="567"/>
        <w:contextualSpacing/>
        <w:rPr>
          <w:rFonts w:cs="Tahoma"/>
          <w:b/>
          <w:bCs/>
        </w:rPr>
      </w:pPr>
    </w:p>
    <w:p w14:paraId="2AFC7CA9" w14:textId="77777777" w:rsidR="002A01DD" w:rsidRPr="00537F14" w:rsidRDefault="002A01DD" w:rsidP="00C03631">
      <w:pPr>
        <w:autoSpaceDE w:val="0"/>
        <w:autoSpaceDN w:val="0"/>
        <w:adjustRightInd w:val="0"/>
        <w:spacing w:after="0" w:line="360" w:lineRule="auto"/>
        <w:contextualSpacing/>
        <w:rPr>
          <w:rFonts w:cs="Tahoma"/>
        </w:rPr>
      </w:pPr>
      <w:r w:rsidRPr="00537F14">
        <w:rPr>
          <w:rFonts w:cs="Tahoma"/>
          <w:bCs/>
        </w:rPr>
        <w:t xml:space="preserve">Con fecha </w:t>
      </w:r>
      <w:r>
        <w:rPr>
          <w:rFonts w:cs="Tahoma"/>
          <w:bCs/>
        </w:rPr>
        <w:t>dieciséis de abril de dos mil veinticuatro</w:t>
      </w:r>
      <w:r w:rsidRPr="00537F14">
        <w:rPr>
          <w:rFonts w:cs="Tahoma"/>
          <w:bCs/>
        </w:rPr>
        <w:t>, el</w:t>
      </w:r>
      <w:r w:rsidRPr="00537F14">
        <w:rPr>
          <w:rFonts w:cs="Tahoma"/>
          <w:b/>
        </w:rPr>
        <w:t xml:space="preserve"> </w:t>
      </w:r>
      <w:r w:rsidRPr="00537F14">
        <w:rPr>
          <w:rFonts w:cs="Tahoma"/>
        </w:rPr>
        <w:t>Sujeto Obligado dio respuesta a las solicitudes de acceso a la información a través del Sistema de Acceso a la Información Mexiquense (SAIMEX), mediante la digitalización de los siguientes documentos:</w:t>
      </w:r>
    </w:p>
    <w:p w14:paraId="334719FE" w14:textId="77777777" w:rsidR="002A01DD" w:rsidRPr="00537F14" w:rsidRDefault="002A01DD" w:rsidP="00C03631">
      <w:pPr>
        <w:autoSpaceDE w:val="0"/>
        <w:autoSpaceDN w:val="0"/>
        <w:adjustRightInd w:val="0"/>
        <w:spacing w:after="0" w:line="360" w:lineRule="auto"/>
        <w:contextualSpacing/>
        <w:rPr>
          <w:rFonts w:cs="Tahoma"/>
        </w:rPr>
      </w:pPr>
    </w:p>
    <w:p w14:paraId="7FA656B7" w14:textId="2B5998A0" w:rsidR="00F441FC" w:rsidRDefault="002A01DD" w:rsidP="00C03631">
      <w:pPr>
        <w:tabs>
          <w:tab w:val="left" w:pos="567"/>
        </w:tabs>
        <w:spacing w:after="0" w:line="360" w:lineRule="auto"/>
        <w:ind w:right="567"/>
        <w:contextualSpacing/>
        <w:rPr>
          <w:b/>
          <w:bCs/>
        </w:rPr>
      </w:pPr>
      <w:r w:rsidRPr="002A01DD">
        <w:rPr>
          <w:b/>
          <w:bCs/>
          <w:iCs/>
        </w:rPr>
        <w:t xml:space="preserve">Solicitud de Información </w:t>
      </w:r>
      <w:r w:rsidRPr="002A01DD">
        <w:rPr>
          <w:b/>
          <w:bCs/>
        </w:rPr>
        <w:t>00189/ECATEPEC/IP/2024</w:t>
      </w:r>
    </w:p>
    <w:p w14:paraId="54107E9E" w14:textId="77777777" w:rsidR="00101DA9" w:rsidRDefault="00101DA9" w:rsidP="00C03631">
      <w:pPr>
        <w:tabs>
          <w:tab w:val="left" w:pos="567"/>
        </w:tabs>
        <w:spacing w:after="0" w:line="360" w:lineRule="auto"/>
        <w:ind w:right="567"/>
        <w:contextualSpacing/>
        <w:rPr>
          <w:b/>
          <w:bCs/>
        </w:rPr>
      </w:pPr>
    </w:p>
    <w:p w14:paraId="56DE91A7" w14:textId="77777777" w:rsidR="002A01DD" w:rsidRDefault="002A01DD" w:rsidP="00C03631">
      <w:pPr>
        <w:autoSpaceDE w:val="0"/>
        <w:autoSpaceDN w:val="0"/>
        <w:adjustRightInd w:val="0"/>
        <w:spacing w:after="0" w:line="360" w:lineRule="auto"/>
        <w:contextualSpacing/>
        <w:rPr>
          <w:rFonts w:cs="Tahoma"/>
        </w:rPr>
      </w:pPr>
      <w:r w:rsidRPr="00537F14">
        <w:rPr>
          <w:rFonts w:cs="Tahoma"/>
        </w:rPr>
        <w:t xml:space="preserve">i) Oficio </w:t>
      </w:r>
      <w:r>
        <w:rPr>
          <w:rFonts w:cs="Tahoma"/>
        </w:rPr>
        <w:t xml:space="preserve">sin </w:t>
      </w:r>
      <w:r w:rsidRPr="00537F14">
        <w:rPr>
          <w:rFonts w:cs="Tahoma"/>
        </w:rPr>
        <w:t>número</w:t>
      </w:r>
      <w:r>
        <w:rPr>
          <w:rFonts w:cs="Tahoma"/>
        </w:rPr>
        <w:t xml:space="preserve"> del doc</w:t>
      </w:r>
      <w:r w:rsidR="00375431">
        <w:rPr>
          <w:rFonts w:cs="Tahoma"/>
        </w:rPr>
        <w:t>e de abril de dos mil veinticuatro</w:t>
      </w:r>
      <w:r w:rsidRPr="00537F14">
        <w:rPr>
          <w:rFonts w:cs="Tahoma"/>
        </w:rPr>
        <w:t>, suscrito p</w:t>
      </w:r>
      <w:r>
        <w:rPr>
          <w:rFonts w:cs="Tahoma"/>
        </w:rPr>
        <w:t>or la encargada de despacho de la Unidad de Transparencia</w:t>
      </w:r>
      <w:r w:rsidRPr="00537F14">
        <w:rPr>
          <w:rFonts w:cs="Tahoma"/>
        </w:rPr>
        <w:t>, y dirigido a</w:t>
      </w:r>
      <w:r>
        <w:rPr>
          <w:rFonts w:cs="Tahoma"/>
        </w:rPr>
        <w:t>l</w:t>
      </w:r>
      <w:r w:rsidRPr="00537F14">
        <w:rPr>
          <w:rFonts w:cs="Tahoma"/>
        </w:rPr>
        <w:t xml:space="preserve"> </w:t>
      </w:r>
      <w:r>
        <w:rPr>
          <w:rFonts w:cs="Tahoma"/>
        </w:rPr>
        <w:t>Solicitante</w:t>
      </w:r>
      <w:r w:rsidRPr="00537F14">
        <w:rPr>
          <w:rFonts w:cs="Tahoma"/>
        </w:rPr>
        <w:t xml:space="preserve">, a través del cual refirió </w:t>
      </w:r>
      <w:r>
        <w:rPr>
          <w:rFonts w:cs="Tahoma"/>
        </w:rPr>
        <w:t>que proporcionaba la respuesta remitida por la Dirección de Administración.</w:t>
      </w:r>
    </w:p>
    <w:p w14:paraId="33868A36" w14:textId="77777777" w:rsidR="002A01DD" w:rsidRDefault="002A01DD" w:rsidP="00C03631">
      <w:pPr>
        <w:autoSpaceDE w:val="0"/>
        <w:autoSpaceDN w:val="0"/>
        <w:adjustRightInd w:val="0"/>
        <w:spacing w:after="0" w:line="360" w:lineRule="auto"/>
        <w:contextualSpacing/>
        <w:rPr>
          <w:rFonts w:cs="Tahoma"/>
        </w:rPr>
      </w:pPr>
    </w:p>
    <w:p w14:paraId="4B710B97" w14:textId="77777777" w:rsidR="002A01DD" w:rsidRDefault="002A01DD" w:rsidP="00C03631">
      <w:pPr>
        <w:autoSpaceDE w:val="0"/>
        <w:autoSpaceDN w:val="0"/>
        <w:adjustRightInd w:val="0"/>
        <w:spacing w:after="0" w:line="360" w:lineRule="auto"/>
        <w:contextualSpacing/>
        <w:rPr>
          <w:rFonts w:cs="Tahoma"/>
        </w:rPr>
      </w:pPr>
      <w:r w:rsidRPr="00537F14">
        <w:rPr>
          <w:rFonts w:cs="Tahoma"/>
        </w:rPr>
        <w:t>i</w:t>
      </w:r>
      <w:r>
        <w:rPr>
          <w:rFonts w:cs="Tahoma"/>
        </w:rPr>
        <w:t>i</w:t>
      </w:r>
      <w:r w:rsidRPr="00537F14">
        <w:rPr>
          <w:rFonts w:cs="Tahoma"/>
        </w:rPr>
        <w:t>) Oficio número</w:t>
      </w:r>
      <w:r>
        <w:rPr>
          <w:rFonts w:cs="Tahoma"/>
        </w:rPr>
        <w:t xml:space="preserve"> DA/ECA/SAYL/0944/2024</w:t>
      </w:r>
      <w:r w:rsidRPr="00537F14">
        <w:rPr>
          <w:rFonts w:cs="Tahoma"/>
        </w:rPr>
        <w:t>, d</w:t>
      </w:r>
      <w:r>
        <w:rPr>
          <w:rFonts w:cs="Tahoma"/>
        </w:rPr>
        <w:t>el nueve de abril del dos mil veinticuatro</w:t>
      </w:r>
      <w:r w:rsidRPr="00537F14">
        <w:rPr>
          <w:rFonts w:cs="Tahoma"/>
        </w:rPr>
        <w:t>, suscrito p</w:t>
      </w:r>
      <w:r>
        <w:rPr>
          <w:rFonts w:cs="Tahoma"/>
        </w:rPr>
        <w:t>or la Directora de Administración</w:t>
      </w:r>
      <w:r w:rsidRPr="00537F14">
        <w:rPr>
          <w:rFonts w:cs="Tahoma"/>
        </w:rPr>
        <w:t xml:space="preserve">, y dirigido a </w:t>
      </w:r>
      <w:r>
        <w:rPr>
          <w:rFonts w:cs="Tahoma"/>
        </w:rPr>
        <w:t xml:space="preserve">la Encargada del Despacho de la </w:t>
      </w:r>
      <w:r w:rsidRPr="00537F14">
        <w:rPr>
          <w:rFonts w:cs="Tahoma"/>
        </w:rPr>
        <w:t xml:space="preserve">Unidad de Transparencia, a través del cual refirió esencialmente lo siguiente: </w:t>
      </w:r>
    </w:p>
    <w:p w14:paraId="4AD66EC1" w14:textId="77777777" w:rsidR="002A01DD" w:rsidRDefault="002A01DD" w:rsidP="00C03631">
      <w:pPr>
        <w:autoSpaceDE w:val="0"/>
        <w:autoSpaceDN w:val="0"/>
        <w:adjustRightInd w:val="0"/>
        <w:spacing w:after="0" w:line="360" w:lineRule="auto"/>
        <w:contextualSpacing/>
        <w:rPr>
          <w:rFonts w:cs="Tahoma"/>
        </w:rPr>
      </w:pPr>
    </w:p>
    <w:p w14:paraId="1471E26B" w14:textId="77777777" w:rsidR="00101DA9" w:rsidRDefault="00101DA9" w:rsidP="00C03631">
      <w:pPr>
        <w:autoSpaceDE w:val="0"/>
        <w:autoSpaceDN w:val="0"/>
        <w:adjustRightInd w:val="0"/>
        <w:spacing w:after="0" w:line="360" w:lineRule="auto"/>
        <w:contextualSpacing/>
        <w:rPr>
          <w:rFonts w:cs="Tahoma"/>
        </w:rPr>
      </w:pPr>
    </w:p>
    <w:p w14:paraId="7B997941" w14:textId="77777777" w:rsidR="00101DA9" w:rsidRDefault="00101DA9" w:rsidP="00C03631">
      <w:pPr>
        <w:autoSpaceDE w:val="0"/>
        <w:autoSpaceDN w:val="0"/>
        <w:adjustRightInd w:val="0"/>
        <w:spacing w:after="0" w:line="360" w:lineRule="auto"/>
        <w:contextualSpacing/>
        <w:rPr>
          <w:rFonts w:cs="Tahoma"/>
        </w:rPr>
      </w:pPr>
    </w:p>
    <w:p w14:paraId="1F63C638" w14:textId="77777777" w:rsidR="002A01DD" w:rsidRPr="002A01DD" w:rsidRDefault="002A01DD" w:rsidP="00C03631">
      <w:pPr>
        <w:autoSpaceDE w:val="0"/>
        <w:autoSpaceDN w:val="0"/>
        <w:adjustRightInd w:val="0"/>
        <w:spacing w:after="0" w:line="360" w:lineRule="auto"/>
        <w:ind w:left="567" w:right="567"/>
        <w:contextualSpacing/>
        <w:rPr>
          <w:rFonts w:cs="Tahoma"/>
          <w:i/>
          <w:sz w:val="20"/>
          <w:szCs w:val="20"/>
        </w:rPr>
      </w:pPr>
      <w:r w:rsidRPr="002A01DD">
        <w:rPr>
          <w:rFonts w:cs="Tahoma"/>
          <w:i/>
          <w:sz w:val="20"/>
          <w:szCs w:val="20"/>
        </w:rPr>
        <w:t>“…</w:t>
      </w:r>
    </w:p>
    <w:p w14:paraId="1FA0EE7A" w14:textId="72495991" w:rsidR="002A01DD" w:rsidRPr="00F441FC" w:rsidRDefault="002A01DD" w:rsidP="00C03631">
      <w:pPr>
        <w:autoSpaceDE w:val="0"/>
        <w:autoSpaceDN w:val="0"/>
        <w:adjustRightInd w:val="0"/>
        <w:spacing w:after="0" w:line="360" w:lineRule="auto"/>
        <w:ind w:left="567" w:right="567"/>
        <w:contextualSpacing/>
        <w:rPr>
          <w:rFonts w:cs="Tahoma"/>
          <w:i/>
          <w:sz w:val="20"/>
          <w:szCs w:val="20"/>
        </w:rPr>
      </w:pPr>
      <w:r w:rsidRPr="00F441FC">
        <w:rPr>
          <w:rFonts w:cs="Tahoma"/>
          <w:i/>
          <w:sz w:val="20"/>
          <w:szCs w:val="20"/>
        </w:rPr>
        <w:t xml:space="preserve">Con la finalidad de dar respuesta oportuna a la solicitud, se da a conocer que la información relativa a adjudicaciones con la que cuenta la Dirección de Administración, se encuentra publicada en la página oficial del Gobierno Municipal de Ecatepec de Morelos, misma que puede ser consultada a través de la Plataforma del </w:t>
      </w:r>
      <w:r w:rsidR="00101DA9" w:rsidRPr="00F441FC">
        <w:rPr>
          <w:rFonts w:cs="Tahoma"/>
          <w:i/>
          <w:sz w:val="20"/>
          <w:szCs w:val="20"/>
        </w:rPr>
        <w:t>IPOMEX en</w:t>
      </w:r>
      <w:r w:rsidRPr="00F441FC">
        <w:rPr>
          <w:rFonts w:cs="Tahoma"/>
          <w:i/>
          <w:sz w:val="20"/>
          <w:szCs w:val="20"/>
        </w:rPr>
        <w:t xml:space="preserve"> la dirección electrónica: </w:t>
      </w:r>
      <w:hyperlink r:id="rId8" w:history="1">
        <w:r w:rsidRPr="00F441FC">
          <w:rPr>
            <w:rStyle w:val="Hipervnculo"/>
            <w:rFonts w:cs="Tahoma"/>
            <w:i/>
            <w:sz w:val="20"/>
            <w:szCs w:val="20"/>
          </w:rPr>
          <w:t>https://www.ecatepec.gob.mx/transparencia</w:t>
        </w:r>
      </w:hyperlink>
      <w:r w:rsidRPr="00F441FC">
        <w:rPr>
          <w:rFonts w:cs="Tahoma"/>
          <w:i/>
          <w:sz w:val="20"/>
          <w:szCs w:val="20"/>
        </w:rPr>
        <w:t>. En el apartado de Transparencia obra la información que solicita por el artículo 92 de la Ley de Transparencia y Acceso a la Información Pública del Estado de México y sus Municipios, por ende la puede consultar en el momento que asi lo considere. (Se agrega ruta de acceso en Anexo 1)…”</w:t>
      </w:r>
      <w:r w:rsidRPr="00F441FC">
        <w:rPr>
          <w:rFonts w:cs="Tahoma"/>
          <w:sz w:val="20"/>
          <w:szCs w:val="20"/>
        </w:rPr>
        <w:t xml:space="preserve"> </w:t>
      </w:r>
    </w:p>
    <w:p w14:paraId="7BE97324" w14:textId="77777777" w:rsidR="002A01DD" w:rsidRDefault="002A01DD" w:rsidP="00C03631">
      <w:pPr>
        <w:autoSpaceDE w:val="0"/>
        <w:autoSpaceDN w:val="0"/>
        <w:adjustRightInd w:val="0"/>
        <w:spacing w:after="0" w:line="360" w:lineRule="auto"/>
        <w:contextualSpacing/>
        <w:rPr>
          <w:rFonts w:cs="Tahoma"/>
        </w:rPr>
      </w:pPr>
      <w:r w:rsidRPr="00537F14">
        <w:rPr>
          <w:rFonts w:cs="Tahoma"/>
        </w:rPr>
        <w:t xml:space="preserve"> </w:t>
      </w:r>
    </w:p>
    <w:p w14:paraId="45F32E74" w14:textId="77777777" w:rsidR="002A01DD" w:rsidRPr="00537F14" w:rsidRDefault="002A01DD" w:rsidP="00C03631">
      <w:pPr>
        <w:autoSpaceDE w:val="0"/>
        <w:autoSpaceDN w:val="0"/>
        <w:adjustRightInd w:val="0"/>
        <w:spacing w:after="0" w:line="360" w:lineRule="auto"/>
        <w:contextualSpacing/>
        <w:rPr>
          <w:rFonts w:cs="Tahoma"/>
        </w:rPr>
      </w:pPr>
      <w:r>
        <w:rPr>
          <w:rFonts w:cs="Tahoma"/>
        </w:rPr>
        <w:t>iii) Anexo 1 que contiene el procedimiento para acceder a la información</w:t>
      </w:r>
    </w:p>
    <w:p w14:paraId="1D49F415" w14:textId="77777777" w:rsidR="002A01DD" w:rsidRDefault="002A01DD" w:rsidP="00C03631">
      <w:pPr>
        <w:tabs>
          <w:tab w:val="left" w:pos="567"/>
        </w:tabs>
        <w:spacing w:after="0" w:line="360" w:lineRule="auto"/>
        <w:ind w:right="567"/>
        <w:contextualSpacing/>
        <w:rPr>
          <w:b/>
          <w:bCs/>
        </w:rPr>
      </w:pPr>
    </w:p>
    <w:p w14:paraId="3925783C" w14:textId="77777777" w:rsidR="00375431" w:rsidRDefault="00375431" w:rsidP="00C03631">
      <w:pPr>
        <w:autoSpaceDE w:val="0"/>
        <w:autoSpaceDN w:val="0"/>
        <w:adjustRightInd w:val="0"/>
        <w:spacing w:after="0" w:line="360" w:lineRule="auto"/>
        <w:contextualSpacing/>
        <w:rPr>
          <w:rFonts w:cs="Tahoma"/>
        </w:rPr>
      </w:pPr>
      <w:r w:rsidRPr="00375431">
        <w:rPr>
          <w:bCs/>
        </w:rPr>
        <w:t>iv)</w:t>
      </w:r>
      <w:r>
        <w:rPr>
          <w:bCs/>
        </w:rPr>
        <w:t xml:space="preserve"> </w:t>
      </w:r>
      <w:r w:rsidRPr="00537F14">
        <w:rPr>
          <w:rFonts w:cs="Tahoma"/>
        </w:rPr>
        <w:t xml:space="preserve">Oficio </w:t>
      </w:r>
      <w:r>
        <w:rPr>
          <w:rFonts w:cs="Tahoma"/>
        </w:rPr>
        <w:t xml:space="preserve">sin </w:t>
      </w:r>
      <w:r w:rsidRPr="00537F14">
        <w:rPr>
          <w:rFonts w:cs="Tahoma"/>
        </w:rPr>
        <w:t>número</w:t>
      </w:r>
      <w:r>
        <w:rPr>
          <w:rFonts w:cs="Tahoma"/>
        </w:rPr>
        <w:t xml:space="preserve"> del doce de abril de dos mil veinticuatro</w:t>
      </w:r>
      <w:r w:rsidRPr="00537F14">
        <w:rPr>
          <w:rFonts w:cs="Tahoma"/>
        </w:rPr>
        <w:t>, suscrito p</w:t>
      </w:r>
      <w:r>
        <w:rPr>
          <w:rFonts w:cs="Tahoma"/>
        </w:rPr>
        <w:t>or la encargada de despacho de la Unidad de Transparencia</w:t>
      </w:r>
      <w:r w:rsidRPr="00537F14">
        <w:rPr>
          <w:rFonts w:cs="Tahoma"/>
        </w:rPr>
        <w:t>, y dirigido a</w:t>
      </w:r>
      <w:r>
        <w:rPr>
          <w:rFonts w:cs="Tahoma"/>
        </w:rPr>
        <w:t>l</w:t>
      </w:r>
      <w:r w:rsidRPr="00537F14">
        <w:rPr>
          <w:rFonts w:cs="Tahoma"/>
        </w:rPr>
        <w:t xml:space="preserve"> </w:t>
      </w:r>
      <w:r>
        <w:rPr>
          <w:rFonts w:cs="Tahoma"/>
        </w:rPr>
        <w:t>Solicitante</w:t>
      </w:r>
      <w:r w:rsidRPr="00537F14">
        <w:rPr>
          <w:rFonts w:cs="Tahoma"/>
        </w:rPr>
        <w:t xml:space="preserve">, a través del cual refirió </w:t>
      </w:r>
      <w:r>
        <w:rPr>
          <w:rFonts w:cs="Tahoma"/>
        </w:rPr>
        <w:t>que proporcionaba la respuesta remitida por la Dirección de Servicios Públicos.</w:t>
      </w:r>
    </w:p>
    <w:p w14:paraId="6D826EE2" w14:textId="77777777" w:rsidR="00375431" w:rsidRDefault="00375431" w:rsidP="00C03631">
      <w:pPr>
        <w:tabs>
          <w:tab w:val="left" w:pos="567"/>
        </w:tabs>
        <w:spacing w:after="0" w:line="360" w:lineRule="auto"/>
        <w:ind w:right="567"/>
        <w:contextualSpacing/>
        <w:rPr>
          <w:bCs/>
        </w:rPr>
      </w:pPr>
    </w:p>
    <w:p w14:paraId="3FE4D32E" w14:textId="77777777" w:rsidR="00375431" w:rsidRDefault="00375431" w:rsidP="00C03631">
      <w:pPr>
        <w:autoSpaceDE w:val="0"/>
        <w:autoSpaceDN w:val="0"/>
        <w:adjustRightInd w:val="0"/>
        <w:spacing w:after="0" w:line="360" w:lineRule="auto"/>
        <w:contextualSpacing/>
        <w:rPr>
          <w:rFonts w:cs="Tahoma"/>
        </w:rPr>
      </w:pPr>
      <w:r>
        <w:rPr>
          <w:bCs/>
        </w:rPr>
        <w:t xml:space="preserve">v) </w:t>
      </w:r>
      <w:r w:rsidRPr="00537F14">
        <w:rPr>
          <w:rFonts w:cs="Tahoma"/>
        </w:rPr>
        <w:t>Oficio número</w:t>
      </w:r>
      <w:r>
        <w:rPr>
          <w:rFonts w:cs="Tahoma"/>
        </w:rPr>
        <w:t xml:space="preserve"> DSP/ECA/0350/2024</w:t>
      </w:r>
      <w:r w:rsidRPr="00537F14">
        <w:rPr>
          <w:rFonts w:cs="Tahoma"/>
        </w:rPr>
        <w:t>, d</w:t>
      </w:r>
      <w:r>
        <w:rPr>
          <w:rFonts w:cs="Tahoma"/>
        </w:rPr>
        <w:t>el diez de abril del dos mil veinticuatro</w:t>
      </w:r>
      <w:r w:rsidRPr="00537F14">
        <w:rPr>
          <w:rFonts w:cs="Tahoma"/>
        </w:rPr>
        <w:t>, suscrito p</w:t>
      </w:r>
      <w:r>
        <w:rPr>
          <w:rFonts w:cs="Tahoma"/>
        </w:rPr>
        <w:t>or el Director de Servicios Públicos</w:t>
      </w:r>
      <w:r w:rsidRPr="00537F14">
        <w:rPr>
          <w:rFonts w:cs="Tahoma"/>
        </w:rPr>
        <w:t xml:space="preserve">, y dirigido a </w:t>
      </w:r>
      <w:r>
        <w:rPr>
          <w:rFonts w:cs="Tahoma"/>
        </w:rPr>
        <w:t xml:space="preserve">la Encargada del Despacho de la </w:t>
      </w:r>
      <w:r w:rsidRPr="00537F14">
        <w:rPr>
          <w:rFonts w:cs="Tahoma"/>
        </w:rPr>
        <w:t xml:space="preserve">Unidad de Transparencia, a través del cual refirió esencialmente lo siguiente: </w:t>
      </w:r>
    </w:p>
    <w:p w14:paraId="488667F3" w14:textId="77777777" w:rsidR="00375431" w:rsidRDefault="00375431" w:rsidP="00C03631">
      <w:pPr>
        <w:autoSpaceDE w:val="0"/>
        <w:autoSpaceDN w:val="0"/>
        <w:adjustRightInd w:val="0"/>
        <w:spacing w:after="0" w:line="360" w:lineRule="auto"/>
        <w:contextualSpacing/>
        <w:rPr>
          <w:rFonts w:cs="Tahoma"/>
        </w:rPr>
      </w:pPr>
    </w:p>
    <w:p w14:paraId="4E539E15" w14:textId="2F3CE372" w:rsidR="006A5F66" w:rsidRPr="006A5F66" w:rsidRDefault="00375431" w:rsidP="00C03631">
      <w:pPr>
        <w:autoSpaceDE w:val="0"/>
        <w:autoSpaceDN w:val="0"/>
        <w:adjustRightInd w:val="0"/>
        <w:spacing w:after="0" w:line="360" w:lineRule="auto"/>
        <w:ind w:left="567" w:right="567"/>
        <w:contextualSpacing/>
        <w:rPr>
          <w:rFonts w:cs="Tahoma"/>
          <w:i/>
          <w:sz w:val="20"/>
          <w:szCs w:val="20"/>
        </w:rPr>
      </w:pPr>
      <w:r w:rsidRPr="006A5F66">
        <w:rPr>
          <w:rFonts w:cs="Tahoma"/>
          <w:i/>
          <w:sz w:val="20"/>
          <w:szCs w:val="20"/>
        </w:rPr>
        <w:t>“…</w:t>
      </w:r>
    </w:p>
    <w:p w14:paraId="78E465D7" w14:textId="77777777" w:rsidR="00375431" w:rsidRPr="006A5F66" w:rsidRDefault="006A5F66" w:rsidP="00C03631">
      <w:pPr>
        <w:autoSpaceDE w:val="0"/>
        <w:autoSpaceDN w:val="0"/>
        <w:adjustRightInd w:val="0"/>
        <w:spacing w:after="0" w:line="360" w:lineRule="auto"/>
        <w:ind w:left="567" w:right="567"/>
        <w:contextualSpacing/>
        <w:rPr>
          <w:rFonts w:cs="Tahoma"/>
          <w:i/>
          <w:sz w:val="20"/>
          <w:szCs w:val="20"/>
        </w:rPr>
      </w:pPr>
      <w:r w:rsidRPr="006A5F66">
        <w:rPr>
          <w:rFonts w:cs="Tahoma"/>
          <w:i/>
          <w:sz w:val="20"/>
          <w:szCs w:val="20"/>
        </w:rPr>
        <w:t>Razón por la cual no es posible que es suscrito, proporcione información solicitada, ya que ésta no se encuentra en la esfera de competencia de la Dirección de Servicios Públicos.</w:t>
      </w:r>
    </w:p>
    <w:p w14:paraId="6D23DD9E" w14:textId="77777777" w:rsidR="006A5F66" w:rsidRPr="006A5F66" w:rsidRDefault="006A5F66" w:rsidP="00C03631">
      <w:pPr>
        <w:autoSpaceDE w:val="0"/>
        <w:autoSpaceDN w:val="0"/>
        <w:adjustRightInd w:val="0"/>
        <w:spacing w:after="0" w:line="360" w:lineRule="auto"/>
        <w:ind w:left="567" w:right="567"/>
        <w:contextualSpacing/>
        <w:rPr>
          <w:rFonts w:cs="Tahoma"/>
          <w:i/>
          <w:sz w:val="20"/>
          <w:szCs w:val="20"/>
        </w:rPr>
      </w:pPr>
      <w:r w:rsidRPr="006A5F66">
        <w:rPr>
          <w:rFonts w:cs="Tahoma"/>
          <w:i/>
          <w:sz w:val="20"/>
          <w:szCs w:val="20"/>
        </w:rPr>
        <w:t>…”</w:t>
      </w:r>
    </w:p>
    <w:p w14:paraId="745167E7" w14:textId="77777777" w:rsidR="006A5F66" w:rsidRDefault="006A5F66" w:rsidP="00C03631">
      <w:pPr>
        <w:tabs>
          <w:tab w:val="left" w:pos="567"/>
        </w:tabs>
        <w:spacing w:after="0" w:line="360" w:lineRule="auto"/>
        <w:ind w:right="567"/>
        <w:contextualSpacing/>
        <w:rPr>
          <w:b/>
          <w:bCs/>
          <w:iCs/>
        </w:rPr>
      </w:pPr>
    </w:p>
    <w:p w14:paraId="720BEC45" w14:textId="77777777" w:rsidR="006A5F66" w:rsidRDefault="006A5F66" w:rsidP="00C03631">
      <w:pPr>
        <w:tabs>
          <w:tab w:val="left" w:pos="567"/>
        </w:tabs>
        <w:spacing w:after="0" w:line="360" w:lineRule="auto"/>
        <w:ind w:right="567"/>
        <w:contextualSpacing/>
        <w:rPr>
          <w:b/>
          <w:bCs/>
        </w:rPr>
      </w:pPr>
      <w:r w:rsidRPr="002A01DD">
        <w:rPr>
          <w:b/>
          <w:bCs/>
          <w:iCs/>
        </w:rPr>
        <w:t xml:space="preserve">Solicitud de Información </w:t>
      </w:r>
      <w:r>
        <w:rPr>
          <w:b/>
          <w:bCs/>
        </w:rPr>
        <w:t>001</w:t>
      </w:r>
      <w:r w:rsidRPr="002A01DD">
        <w:rPr>
          <w:b/>
          <w:bCs/>
        </w:rPr>
        <w:t>9</w:t>
      </w:r>
      <w:r>
        <w:rPr>
          <w:b/>
          <w:bCs/>
        </w:rPr>
        <w:t>4</w:t>
      </w:r>
      <w:r w:rsidRPr="002A01DD">
        <w:rPr>
          <w:b/>
          <w:bCs/>
        </w:rPr>
        <w:t>/ECATEPEC/IP/2024</w:t>
      </w:r>
    </w:p>
    <w:p w14:paraId="4E740DE0" w14:textId="77777777" w:rsidR="006A5F66" w:rsidRDefault="006A5F66" w:rsidP="00C03631">
      <w:pPr>
        <w:autoSpaceDE w:val="0"/>
        <w:autoSpaceDN w:val="0"/>
        <w:adjustRightInd w:val="0"/>
        <w:spacing w:after="0" w:line="360" w:lineRule="auto"/>
        <w:contextualSpacing/>
        <w:rPr>
          <w:rFonts w:cs="Tahoma"/>
        </w:rPr>
      </w:pPr>
    </w:p>
    <w:p w14:paraId="55451920" w14:textId="77777777" w:rsidR="006A5F66" w:rsidRDefault="006A5F66" w:rsidP="00C03631">
      <w:pPr>
        <w:autoSpaceDE w:val="0"/>
        <w:autoSpaceDN w:val="0"/>
        <w:adjustRightInd w:val="0"/>
        <w:spacing w:after="0" w:line="360" w:lineRule="auto"/>
        <w:contextualSpacing/>
        <w:rPr>
          <w:rFonts w:cs="Tahoma"/>
        </w:rPr>
      </w:pPr>
      <w:r w:rsidRPr="00537F14">
        <w:rPr>
          <w:rFonts w:cs="Tahoma"/>
        </w:rPr>
        <w:lastRenderedPageBreak/>
        <w:t xml:space="preserve">i) Oficio </w:t>
      </w:r>
      <w:r>
        <w:rPr>
          <w:rFonts w:cs="Tahoma"/>
        </w:rPr>
        <w:t xml:space="preserve">sin </w:t>
      </w:r>
      <w:r w:rsidRPr="00537F14">
        <w:rPr>
          <w:rFonts w:cs="Tahoma"/>
        </w:rPr>
        <w:t>número</w:t>
      </w:r>
      <w:r>
        <w:rPr>
          <w:rFonts w:cs="Tahoma"/>
        </w:rPr>
        <w:t xml:space="preserve"> del doce de abril de dos mil veinticuatro</w:t>
      </w:r>
      <w:r w:rsidRPr="00537F14">
        <w:rPr>
          <w:rFonts w:cs="Tahoma"/>
        </w:rPr>
        <w:t>, suscrito p</w:t>
      </w:r>
      <w:r>
        <w:rPr>
          <w:rFonts w:cs="Tahoma"/>
        </w:rPr>
        <w:t>or la encargada de despacho de la Unidad de Transparencia</w:t>
      </w:r>
      <w:r w:rsidRPr="00537F14">
        <w:rPr>
          <w:rFonts w:cs="Tahoma"/>
        </w:rPr>
        <w:t>, y dirigido a</w:t>
      </w:r>
      <w:r>
        <w:rPr>
          <w:rFonts w:cs="Tahoma"/>
        </w:rPr>
        <w:t>l</w:t>
      </w:r>
      <w:r w:rsidRPr="00537F14">
        <w:rPr>
          <w:rFonts w:cs="Tahoma"/>
        </w:rPr>
        <w:t xml:space="preserve"> </w:t>
      </w:r>
      <w:r>
        <w:rPr>
          <w:rFonts w:cs="Tahoma"/>
        </w:rPr>
        <w:t>Solicitante</w:t>
      </w:r>
      <w:r w:rsidRPr="00537F14">
        <w:rPr>
          <w:rFonts w:cs="Tahoma"/>
        </w:rPr>
        <w:t xml:space="preserve">, a través del cual refirió </w:t>
      </w:r>
      <w:r>
        <w:rPr>
          <w:rFonts w:cs="Tahoma"/>
        </w:rPr>
        <w:t>que proporcionaba la respuesta remitida por la Dirección de Administración.</w:t>
      </w:r>
    </w:p>
    <w:p w14:paraId="56E1B6CB" w14:textId="77777777" w:rsidR="006A5F66" w:rsidRDefault="006A5F66" w:rsidP="00C03631">
      <w:pPr>
        <w:autoSpaceDE w:val="0"/>
        <w:autoSpaceDN w:val="0"/>
        <w:adjustRightInd w:val="0"/>
        <w:spacing w:after="0" w:line="360" w:lineRule="auto"/>
        <w:contextualSpacing/>
        <w:rPr>
          <w:rFonts w:cs="Tahoma"/>
        </w:rPr>
      </w:pPr>
    </w:p>
    <w:p w14:paraId="2C2E5F3E" w14:textId="77777777" w:rsidR="006A5F66" w:rsidRDefault="006A5F66" w:rsidP="00C03631">
      <w:pPr>
        <w:autoSpaceDE w:val="0"/>
        <w:autoSpaceDN w:val="0"/>
        <w:adjustRightInd w:val="0"/>
        <w:spacing w:after="0" w:line="360" w:lineRule="auto"/>
        <w:contextualSpacing/>
        <w:rPr>
          <w:rFonts w:cs="Tahoma"/>
        </w:rPr>
      </w:pPr>
      <w:r w:rsidRPr="00537F14">
        <w:rPr>
          <w:rFonts w:cs="Tahoma"/>
        </w:rPr>
        <w:t>i</w:t>
      </w:r>
      <w:r>
        <w:rPr>
          <w:rFonts w:cs="Tahoma"/>
        </w:rPr>
        <w:t>i</w:t>
      </w:r>
      <w:r w:rsidRPr="00537F14">
        <w:rPr>
          <w:rFonts w:cs="Tahoma"/>
        </w:rPr>
        <w:t>) Oficio número</w:t>
      </w:r>
      <w:r>
        <w:rPr>
          <w:rFonts w:cs="Tahoma"/>
        </w:rPr>
        <w:t xml:space="preserve"> DA/ECA/SAYL/0945/2024</w:t>
      </w:r>
      <w:r w:rsidRPr="00537F14">
        <w:rPr>
          <w:rFonts w:cs="Tahoma"/>
        </w:rPr>
        <w:t>, d</w:t>
      </w:r>
      <w:r>
        <w:rPr>
          <w:rFonts w:cs="Tahoma"/>
        </w:rPr>
        <w:t>el nueve de abril del dos mil veinticuatro</w:t>
      </w:r>
      <w:r w:rsidRPr="00537F14">
        <w:rPr>
          <w:rFonts w:cs="Tahoma"/>
        </w:rPr>
        <w:t>, suscrito p</w:t>
      </w:r>
      <w:r>
        <w:rPr>
          <w:rFonts w:cs="Tahoma"/>
        </w:rPr>
        <w:t>or la Directora de Administración</w:t>
      </w:r>
      <w:r w:rsidRPr="00537F14">
        <w:rPr>
          <w:rFonts w:cs="Tahoma"/>
        </w:rPr>
        <w:t xml:space="preserve">, y dirigido a </w:t>
      </w:r>
      <w:r>
        <w:rPr>
          <w:rFonts w:cs="Tahoma"/>
        </w:rPr>
        <w:t xml:space="preserve">la Encargada del Despacho de la </w:t>
      </w:r>
      <w:r w:rsidRPr="00537F14">
        <w:rPr>
          <w:rFonts w:cs="Tahoma"/>
        </w:rPr>
        <w:t xml:space="preserve">Unidad de Transparencia, a través del cual refirió esencialmente lo siguiente: </w:t>
      </w:r>
    </w:p>
    <w:p w14:paraId="0A088AAB" w14:textId="77777777" w:rsidR="006A5F66" w:rsidRDefault="006A5F66" w:rsidP="00C03631">
      <w:pPr>
        <w:autoSpaceDE w:val="0"/>
        <w:autoSpaceDN w:val="0"/>
        <w:adjustRightInd w:val="0"/>
        <w:spacing w:after="0" w:line="360" w:lineRule="auto"/>
        <w:contextualSpacing/>
        <w:rPr>
          <w:rFonts w:cs="Tahoma"/>
        </w:rPr>
      </w:pPr>
    </w:p>
    <w:p w14:paraId="04BC7DFE" w14:textId="77777777" w:rsidR="006A5F66" w:rsidRPr="006A5F66" w:rsidRDefault="006A5F66" w:rsidP="00C03631">
      <w:pPr>
        <w:autoSpaceDE w:val="0"/>
        <w:autoSpaceDN w:val="0"/>
        <w:adjustRightInd w:val="0"/>
        <w:spacing w:after="0" w:line="360" w:lineRule="auto"/>
        <w:ind w:left="567" w:right="567"/>
        <w:contextualSpacing/>
        <w:rPr>
          <w:rFonts w:cs="Tahoma"/>
          <w:i/>
          <w:sz w:val="20"/>
          <w:szCs w:val="20"/>
        </w:rPr>
      </w:pPr>
      <w:r w:rsidRPr="006A5F66">
        <w:rPr>
          <w:rFonts w:cs="Tahoma"/>
          <w:i/>
          <w:sz w:val="20"/>
          <w:szCs w:val="20"/>
        </w:rPr>
        <w:t>“…</w:t>
      </w:r>
    </w:p>
    <w:p w14:paraId="29942AC2" w14:textId="06A67CA9" w:rsidR="006A5F66" w:rsidRPr="006A5F66" w:rsidRDefault="006A5F66" w:rsidP="00C03631">
      <w:pPr>
        <w:autoSpaceDE w:val="0"/>
        <w:autoSpaceDN w:val="0"/>
        <w:adjustRightInd w:val="0"/>
        <w:spacing w:after="0" w:line="360" w:lineRule="auto"/>
        <w:ind w:left="567" w:right="567"/>
        <w:contextualSpacing/>
        <w:rPr>
          <w:rFonts w:cs="Tahoma"/>
          <w:i/>
          <w:sz w:val="20"/>
          <w:szCs w:val="20"/>
        </w:rPr>
      </w:pPr>
      <w:r w:rsidRPr="006A5F66">
        <w:rPr>
          <w:rFonts w:cs="Tahoma"/>
          <w:i/>
          <w:sz w:val="20"/>
          <w:szCs w:val="20"/>
        </w:rPr>
        <w:t>Con la finalidad de dar respuesta oportuna a la solicitud, se informa que la Dirección de Administración carece de competencia respecto a información del Programa Luces del Bicentenario, sin embargo conforme al Bando Municipal de Ecatepec de Morelos, Estado de México 2024, en su capítulo XV de la Dirección de Servicios Públicos en el artículo 82 que a la letra dice:</w:t>
      </w:r>
    </w:p>
    <w:p w14:paraId="3439264D" w14:textId="77777777" w:rsidR="006A5F66" w:rsidRPr="006A5F66" w:rsidRDefault="006A5F66" w:rsidP="00C03631">
      <w:pPr>
        <w:autoSpaceDE w:val="0"/>
        <w:autoSpaceDN w:val="0"/>
        <w:adjustRightInd w:val="0"/>
        <w:spacing w:after="0" w:line="360" w:lineRule="auto"/>
        <w:ind w:left="567" w:right="567"/>
        <w:contextualSpacing/>
        <w:rPr>
          <w:rFonts w:cs="Tahoma"/>
          <w:i/>
          <w:sz w:val="20"/>
          <w:szCs w:val="20"/>
        </w:rPr>
      </w:pPr>
      <w:r w:rsidRPr="006A5F66">
        <w:rPr>
          <w:rFonts w:cs="Tahoma"/>
          <w:i/>
          <w:sz w:val="20"/>
          <w:szCs w:val="20"/>
        </w:rPr>
        <w:t>…”</w:t>
      </w:r>
    </w:p>
    <w:p w14:paraId="0F7F18F0" w14:textId="77777777" w:rsidR="006A5F66" w:rsidRDefault="006A5F66" w:rsidP="00C03631">
      <w:pPr>
        <w:tabs>
          <w:tab w:val="left" w:pos="567"/>
        </w:tabs>
        <w:spacing w:after="0" w:line="360" w:lineRule="auto"/>
        <w:ind w:right="567"/>
        <w:contextualSpacing/>
        <w:rPr>
          <w:b/>
          <w:bCs/>
        </w:rPr>
      </w:pPr>
    </w:p>
    <w:p w14:paraId="19EC752C" w14:textId="77777777" w:rsidR="006A5F66" w:rsidRDefault="006A5F66" w:rsidP="00C03631">
      <w:pPr>
        <w:autoSpaceDE w:val="0"/>
        <w:autoSpaceDN w:val="0"/>
        <w:adjustRightInd w:val="0"/>
        <w:spacing w:after="0" w:line="360" w:lineRule="auto"/>
        <w:contextualSpacing/>
        <w:rPr>
          <w:rFonts w:cs="Tahoma"/>
        </w:rPr>
      </w:pPr>
      <w:r>
        <w:rPr>
          <w:bCs/>
        </w:rPr>
        <w:t xml:space="preserve">iii) </w:t>
      </w:r>
      <w:r w:rsidRPr="00537F14">
        <w:rPr>
          <w:rFonts w:cs="Tahoma"/>
        </w:rPr>
        <w:t xml:space="preserve">Oficio </w:t>
      </w:r>
      <w:r>
        <w:rPr>
          <w:rFonts w:cs="Tahoma"/>
        </w:rPr>
        <w:t xml:space="preserve">sin </w:t>
      </w:r>
      <w:r w:rsidRPr="00537F14">
        <w:rPr>
          <w:rFonts w:cs="Tahoma"/>
        </w:rPr>
        <w:t>número</w:t>
      </w:r>
      <w:r>
        <w:rPr>
          <w:rFonts w:cs="Tahoma"/>
        </w:rPr>
        <w:t xml:space="preserve"> del doce de abril de dos mil veinticuatro</w:t>
      </w:r>
      <w:r w:rsidRPr="00537F14">
        <w:rPr>
          <w:rFonts w:cs="Tahoma"/>
        </w:rPr>
        <w:t>, suscrito p</w:t>
      </w:r>
      <w:r>
        <w:rPr>
          <w:rFonts w:cs="Tahoma"/>
        </w:rPr>
        <w:t>or la encargada de despacho de la Unidad de Transparencia</w:t>
      </w:r>
      <w:r w:rsidRPr="00537F14">
        <w:rPr>
          <w:rFonts w:cs="Tahoma"/>
        </w:rPr>
        <w:t>, y dirigido a</w:t>
      </w:r>
      <w:r>
        <w:rPr>
          <w:rFonts w:cs="Tahoma"/>
        </w:rPr>
        <w:t>l</w:t>
      </w:r>
      <w:r w:rsidRPr="00537F14">
        <w:rPr>
          <w:rFonts w:cs="Tahoma"/>
        </w:rPr>
        <w:t xml:space="preserve"> </w:t>
      </w:r>
      <w:r>
        <w:rPr>
          <w:rFonts w:cs="Tahoma"/>
        </w:rPr>
        <w:t>Solicitante</w:t>
      </w:r>
      <w:r w:rsidRPr="00537F14">
        <w:rPr>
          <w:rFonts w:cs="Tahoma"/>
        </w:rPr>
        <w:t xml:space="preserve">, a través del cual refirió </w:t>
      </w:r>
      <w:r>
        <w:rPr>
          <w:rFonts w:cs="Tahoma"/>
        </w:rPr>
        <w:t>que proporcionaba la respuesta remitida por la Dirección de Servicios Públicos.</w:t>
      </w:r>
    </w:p>
    <w:p w14:paraId="1F57E57D" w14:textId="77777777" w:rsidR="006A5F66" w:rsidRDefault="006A5F66" w:rsidP="00C03631">
      <w:pPr>
        <w:tabs>
          <w:tab w:val="left" w:pos="4667"/>
        </w:tabs>
        <w:spacing w:after="0" w:line="360" w:lineRule="auto"/>
        <w:ind w:right="567"/>
        <w:contextualSpacing/>
        <w:rPr>
          <w:bCs/>
        </w:rPr>
      </w:pPr>
    </w:p>
    <w:p w14:paraId="0A0BB159" w14:textId="77777777" w:rsidR="006A5F66" w:rsidRDefault="006A5F66" w:rsidP="00C03631">
      <w:pPr>
        <w:autoSpaceDE w:val="0"/>
        <w:autoSpaceDN w:val="0"/>
        <w:adjustRightInd w:val="0"/>
        <w:spacing w:after="0" w:line="360" w:lineRule="auto"/>
        <w:contextualSpacing/>
        <w:rPr>
          <w:rFonts w:cs="Tahoma"/>
        </w:rPr>
      </w:pPr>
      <w:r>
        <w:rPr>
          <w:bCs/>
        </w:rPr>
        <w:t xml:space="preserve">iv) </w:t>
      </w:r>
      <w:r w:rsidRPr="00537F14">
        <w:rPr>
          <w:rFonts w:cs="Tahoma"/>
        </w:rPr>
        <w:t>Oficio número</w:t>
      </w:r>
      <w:r>
        <w:rPr>
          <w:rFonts w:cs="Tahoma"/>
        </w:rPr>
        <w:t xml:space="preserve"> DSP/0349/2024</w:t>
      </w:r>
      <w:r w:rsidRPr="00537F14">
        <w:rPr>
          <w:rFonts w:cs="Tahoma"/>
        </w:rPr>
        <w:t>, d</w:t>
      </w:r>
      <w:r>
        <w:rPr>
          <w:rFonts w:cs="Tahoma"/>
        </w:rPr>
        <w:t>el diez de abril del dos mil veinticuatro</w:t>
      </w:r>
      <w:r w:rsidRPr="00537F14">
        <w:rPr>
          <w:rFonts w:cs="Tahoma"/>
        </w:rPr>
        <w:t>, suscrito p</w:t>
      </w:r>
      <w:r>
        <w:rPr>
          <w:rFonts w:cs="Tahoma"/>
        </w:rPr>
        <w:t>or el Director de Servicios Públicos</w:t>
      </w:r>
      <w:r w:rsidRPr="00537F14">
        <w:rPr>
          <w:rFonts w:cs="Tahoma"/>
        </w:rPr>
        <w:t xml:space="preserve">, y dirigido a </w:t>
      </w:r>
      <w:r>
        <w:rPr>
          <w:rFonts w:cs="Tahoma"/>
        </w:rPr>
        <w:t xml:space="preserve">la Encargada del Despacho de la </w:t>
      </w:r>
      <w:r w:rsidRPr="00537F14">
        <w:rPr>
          <w:rFonts w:cs="Tahoma"/>
        </w:rPr>
        <w:t xml:space="preserve">Unidad de Transparencia, a través del cual refirió esencialmente lo siguiente: </w:t>
      </w:r>
    </w:p>
    <w:p w14:paraId="7D9F5B00" w14:textId="77777777" w:rsidR="00987300" w:rsidRDefault="00987300" w:rsidP="00C03631">
      <w:pPr>
        <w:autoSpaceDE w:val="0"/>
        <w:autoSpaceDN w:val="0"/>
        <w:adjustRightInd w:val="0"/>
        <w:spacing w:after="0" w:line="360" w:lineRule="auto"/>
        <w:contextualSpacing/>
        <w:rPr>
          <w:rFonts w:cs="Tahoma"/>
        </w:rPr>
      </w:pPr>
    </w:p>
    <w:p w14:paraId="65730DA0" w14:textId="77777777" w:rsidR="00987300" w:rsidRPr="009A7901" w:rsidRDefault="00987300" w:rsidP="00C03631">
      <w:pPr>
        <w:autoSpaceDE w:val="0"/>
        <w:autoSpaceDN w:val="0"/>
        <w:adjustRightInd w:val="0"/>
        <w:spacing w:after="0" w:line="360" w:lineRule="auto"/>
        <w:ind w:left="567" w:right="567"/>
        <w:contextualSpacing/>
        <w:rPr>
          <w:rFonts w:cs="Tahoma"/>
          <w:i/>
          <w:sz w:val="20"/>
          <w:szCs w:val="20"/>
        </w:rPr>
      </w:pPr>
      <w:r w:rsidRPr="009A7901">
        <w:rPr>
          <w:rFonts w:cs="Tahoma"/>
          <w:i/>
          <w:sz w:val="20"/>
          <w:szCs w:val="20"/>
        </w:rPr>
        <w:t>“…</w:t>
      </w:r>
    </w:p>
    <w:p w14:paraId="09DEB26F" w14:textId="77777777" w:rsidR="00F1296A" w:rsidRPr="009A7901" w:rsidRDefault="00987300" w:rsidP="00C03631">
      <w:pPr>
        <w:autoSpaceDE w:val="0"/>
        <w:autoSpaceDN w:val="0"/>
        <w:adjustRightInd w:val="0"/>
        <w:spacing w:after="0" w:line="360" w:lineRule="auto"/>
        <w:ind w:left="567" w:right="567"/>
        <w:contextualSpacing/>
        <w:rPr>
          <w:rFonts w:cs="Tahoma"/>
          <w:i/>
          <w:sz w:val="20"/>
          <w:szCs w:val="20"/>
        </w:rPr>
      </w:pPr>
      <w:r w:rsidRPr="009A7901">
        <w:rPr>
          <w:rFonts w:cs="Tahoma"/>
          <w:i/>
          <w:sz w:val="20"/>
          <w:szCs w:val="20"/>
        </w:rPr>
        <w:t xml:space="preserve">Con relación a la información del Programa Luces del Bicentenario, me permito señalar que éste arrancó en el 2020, en el cual inicialmente se sustituyeron cerca de 7 mil luminarias en 35 comunidades dentro del municipio, para el siguiente año, dicho programa continuó en su segunda etapa con el reemplazo de 10 mil luminarias más, sin embargo, debemos considerar que si bien es </w:t>
      </w:r>
      <w:r w:rsidRPr="009A7901">
        <w:rPr>
          <w:rFonts w:cs="Tahoma"/>
          <w:i/>
          <w:sz w:val="20"/>
          <w:szCs w:val="20"/>
        </w:rPr>
        <w:lastRenderedPageBreak/>
        <w:t>cierto el objetivo del programa es la sustitución de luminarias (ya que las existentes hasta ese momento eran obsoletas) y pese a los trabajos realizados por el gobierno municipal, no podemos obviar el hecho de que a la población en Ecatepec de acuerdo con la publicación mas reciente del INEGI, asciende a más de 1.64 millones de habitantes</w:t>
      </w:r>
      <w:r w:rsidR="00F1296A" w:rsidRPr="009A7901">
        <w:rPr>
          <w:rFonts w:cs="Tahoma"/>
          <w:i/>
          <w:sz w:val="20"/>
          <w:szCs w:val="20"/>
        </w:rPr>
        <w:t xml:space="preserve"> convirtiéndolo en el segundo municipio más poblado de México, por tanto aún se continúan con los trabajos en cuanto al alumbrado público.</w:t>
      </w:r>
    </w:p>
    <w:p w14:paraId="3F6FF0BD" w14:textId="77777777" w:rsidR="00F1296A" w:rsidRPr="009A7901" w:rsidRDefault="00F1296A" w:rsidP="00C03631">
      <w:pPr>
        <w:autoSpaceDE w:val="0"/>
        <w:autoSpaceDN w:val="0"/>
        <w:adjustRightInd w:val="0"/>
        <w:spacing w:after="0" w:line="360" w:lineRule="auto"/>
        <w:ind w:left="567" w:right="567"/>
        <w:contextualSpacing/>
        <w:rPr>
          <w:rFonts w:cs="Tahoma"/>
          <w:i/>
          <w:sz w:val="20"/>
          <w:szCs w:val="20"/>
        </w:rPr>
      </w:pPr>
    </w:p>
    <w:p w14:paraId="44736724" w14:textId="77777777" w:rsidR="00F1296A" w:rsidRPr="009A7901" w:rsidRDefault="00F1296A" w:rsidP="00C03631">
      <w:pPr>
        <w:autoSpaceDE w:val="0"/>
        <w:autoSpaceDN w:val="0"/>
        <w:adjustRightInd w:val="0"/>
        <w:spacing w:after="0" w:line="360" w:lineRule="auto"/>
        <w:ind w:left="567" w:right="567"/>
        <w:contextualSpacing/>
        <w:rPr>
          <w:rFonts w:cs="Tahoma"/>
          <w:i/>
          <w:sz w:val="20"/>
          <w:szCs w:val="20"/>
        </w:rPr>
      </w:pPr>
      <w:r w:rsidRPr="009A7901">
        <w:rPr>
          <w:rFonts w:cs="Tahoma"/>
          <w:i/>
          <w:sz w:val="20"/>
          <w:szCs w:val="20"/>
        </w:rPr>
        <w:t>Bajo lo anteriormente expuesto, es necesario conocer algunos datos como calle y colonia en la cual señala falta la instalación de cinco luminarias, ello con el objeto de informar la situación que prevalece.</w:t>
      </w:r>
    </w:p>
    <w:p w14:paraId="1A4899CF" w14:textId="77777777" w:rsidR="00F1296A" w:rsidRPr="009A7901" w:rsidRDefault="00F1296A" w:rsidP="00C03631">
      <w:pPr>
        <w:autoSpaceDE w:val="0"/>
        <w:autoSpaceDN w:val="0"/>
        <w:adjustRightInd w:val="0"/>
        <w:spacing w:after="0" w:line="360" w:lineRule="auto"/>
        <w:ind w:left="567" w:right="567"/>
        <w:contextualSpacing/>
        <w:rPr>
          <w:rFonts w:cs="Tahoma"/>
          <w:i/>
          <w:sz w:val="20"/>
          <w:szCs w:val="20"/>
        </w:rPr>
      </w:pPr>
    </w:p>
    <w:p w14:paraId="6E4169D8" w14:textId="77777777" w:rsidR="009A7901" w:rsidRPr="009A7901" w:rsidRDefault="00F1296A" w:rsidP="00C03631">
      <w:pPr>
        <w:autoSpaceDE w:val="0"/>
        <w:autoSpaceDN w:val="0"/>
        <w:adjustRightInd w:val="0"/>
        <w:spacing w:after="0" w:line="360" w:lineRule="auto"/>
        <w:ind w:left="567" w:right="567"/>
        <w:contextualSpacing/>
        <w:rPr>
          <w:rFonts w:cs="Tahoma"/>
          <w:i/>
          <w:sz w:val="20"/>
          <w:szCs w:val="20"/>
        </w:rPr>
      </w:pPr>
      <w:r w:rsidRPr="009A7901">
        <w:rPr>
          <w:rFonts w:cs="Tahoma"/>
          <w:i/>
          <w:sz w:val="20"/>
          <w:szCs w:val="20"/>
        </w:rPr>
        <w:t xml:space="preserve">Por último y con relación a poner a disposición tanto el contrato o datos relacionados con el proceso adquisitivo que tuvo lugar para la compra de luminarias, mepermito informar que a esta Dirección de Servicios Públicos no cuenta con información al respecto, ya que ésta no se encuentra en el ámbito de su competencia, ello con base en </w:t>
      </w:r>
      <w:r w:rsidR="009A7901" w:rsidRPr="009A7901">
        <w:rPr>
          <w:rFonts w:cs="Tahoma"/>
          <w:i/>
          <w:sz w:val="20"/>
          <w:szCs w:val="20"/>
        </w:rPr>
        <w:t>el artículo 24 fracción XXV de la Ley de Transparencia de Acceso a la Información y Protección de Datos Personales del Estado de México y Municipios…</w:t>
      </w:r>
    </w:p>
    <w:p w14:paraId="5E8686E4" w14:textId="77777777" w:rsidR="00987300" w:rsidRDefault="009A7901" w:rsidP="00C03631">
      <w:pPr>
        <w:autoSpaceDE w:val="0"/>
        <w:autoSpaceDN w:val="0"/>
        <w:adjustRightInd w:val="0"/>
        <w:spacing w:after="0" w:line="360" w:lineRule="auto"/>
        <w:ind w:left="567" w:right="567"/>
        <w:contextualSpacing/>
        <w:rPr>
          <w:rFonts w:cs="Tahoma"/>
        </w:rPr>
      </w:pPr>
      <w:r w:rsidRPr="009A7901">
        <w:rPr>
          <w:rFonts w:cs="Tahoma"/>
          <w:i/>
          <w:sz w:val="20"/>
          <w:szCs w:val="20"/>
        </w:rPr>
        <w:t>…”</w:t>
      </w:r>
      <w:r w:rsidR="00987300">
        <w:rPr>
          <w:rFonts w:cs="Tahoma"/>
        </w:rPr>
        <w:t xml:space="preserve">  </w:t>
      </w:r>
    </w:p>
    <w:p w14:paraId="69F1C9BE" w14:textId="77777777" w:rsidR="006A5F66" w:rsidRPr="00854A8C" w:rsidRDefault="006A5F66" w:rsidP="00C03631">
      <w:pPr>
        <w:tabs>
          <w:tab w:val="left" w:pos="4667"/>
        </w:tabs>
        <w:spacing w:after="0" w:line="360" w:lineRule="auto"/>
        <w:ind w:right="567"/>
        <w:contextualSpacing/>
        <w:rPr>
          <w:rFonts w:cs="Tahoma"/>
          <w:i/>
          <w:iCs/>
          <w:sz w:val="20"/>
          <w:szCs w:val="20"/>
        </w:rPr>
      </w:pPr>
    </w:p>
    <w:p w14:paraId="7BD573F5" w14:textId="0273B09C" w:rsidR="00306B1A" w:rsidRPr="00854A8C" w:rsidRDefault="00306B1A" w:rsidP="00C03631">
      <w:pPr>
        <w:autoSpaceDE w:val="0"/>
        <w:autoSpaceDN w:val="0"/>
        <w:adjustRightInd w:val="0"/>
        <w:spacing w:after="0" w:line="360" w:lineRule="auto"/>
        <w:contextualSpacing/>
        <w:rPr>
          <w:rFonts w:cs="Tahoma"/>
          <w:b/>
        </w:rPr>
      </w:pPr>
      <w:r w:rsidRPr="00854A8C">
        <w:rPr>
          <w:rFonts w:cs="Tahoma"/>
          <w:b/>
        </w:rPr>
        <w:t>III. Interposición de los Recursos de Revisión</w:t>
      </w:r>
    </w:p>
    <w:p w14:paraId="46CE7A76" w14:textId="77777777" w:rsidR="00306B1A" w:rsidRPr="00854A8C" w:rsidRDefault="00306B1A" w:rsidP="00C03631">
      <w:pPr>
        <w:widowControl w:val="0"/>
        <w:spacing w:after="0" w:line="360" w:lineRule="auto"/>
        <w:contextualSpacing/>
        <w:rPr>
          <w:rFonts w:eastAsia="Calibri" w:cs="Times New Roman"/>
          <w:bCs/>
        </w:rPr>
      </w:pPr>
    </w:p>
    <w:p w14:paraId="7A3CCF77" w14:textId="77777777" w:rsidR="00306B1A" w:rsidRPr="00854A8C" w:rsidRDefault="00306B1A" w:rsidP="00C03631">
      <w:pPr>
        <w:widowControl w:val="0"/>
        <w:spacing w:after="0" w:line="360" w:lineRule="auto"/>
        <w:contextualSpacing/>
        <w:rPr>
          <w:rFonts w:eastAsia="Calibri" w:cs="Times New Roman"/>
          <w:b/>
        </w:rPr>
      </w:pPr>
      <w:r w:rsidRPr="00854A8C">
        <w:rPr>
          <w:rFonts w:eastAsia="Calibri" w:cs="Times New Roman"/>
          <w:bCs/>
        </w:rPr>
        <w:t xml:space="preserve">Con fecha </w:t>
      </w:r>
      <w:r w:rsidR="002A01DD">
        <w:rPr>
          <w:rFonts w:eastAsia="Calibri" w:cs="Times New Roman"/>
          <w:bCs/>
        </w:rPr>
        <w:t>dieciséis</w:t>
      </w:r>
      <w:r w:rsidRPr="00854A8C">
        <w:rPr>
          <w:rFonts w:eastAsia="Calibri" w:cs="Times New Roman"/>
          <w:bCs/>
        </w:rPr>
        <w:t xml:space="preserve"> de </w:t>
      </w:r>
      <w:r w:rsidR="002A01DD">
        <w:rPr>
          <w:rFonts w:eastAsia="Calibri" w:cs="Times New Roman"/>
          <w:bCs/>
        </w:rPr>
        <w:t>abril</w:t>
      </w:r>
      <w:r w:rsidRPr="00854A8C">
        <w:rPr>
          <w:rFonts w:eastAsia="Calibri" w:cs="Times New Roman"/>
          <w:bCs/>
        </w:rPr>
        <w:t xml:space="preserve"> de dos mil veinticuatro, </w:t>
      </w:r>
      <w:r w:rsidRPr="00854A8C">
        <w:rPr>
          <w:rFonts w:eastAsia="Calibri" w:cs="Times New Roman"/>
          <w:bCs/>
          <w:lang w:val="es-ES"/>
        </w:rPr>
        <w:t>se recibieron en este Instituto, a través del Sistema de Acceso a la Información Mexiquense (SAIMEX), los Recursos de Revisión interpuestos por la parte Recurrente, en contra de las respuestas del Sujeto Obligado</w:t>
      </w:r>
      <w:r w:rsidRPr="00854A8C">
        <w:rPr>
          <w:rFonts w:eastAsia="Calibri" w:cs="Times New Roman"/>
          <w:b/>
        </w:rPr>
        <w:t>,</w:t>
      </w:r>
      <w:r w:rsidRPr="00854A8C">
        <w:rPr>
          <w:rFonts w:eastAsia="Calibri" w:cs="Times New Roman"/>
          <w:bCs/>
          <w:color w:val="auto"/>
          <w:lang w:val="es-ES" w:eastAsia="es-ES"/>
        </w:rPr>
        <w:t xml:space="preserve"> </w:t>
      </w:r>
      <w:r w:rsidRPr="00854A8C">
        <w:rPr>
          <w:rFonts w:eastAsia="Times New Roman" w:cs="Tahoma"/>
          <w:bCs/>
          <w:color w:val="auto"/>
          <w:lang w:val="es-ES" w:eastAsia="es-ES"/>
        </w:rPr>
        <w:t>en términos idénticos lo siguiente:</w:t>
      </w:r>
    </w:p>
    <w:p w14:paraId="55DCDA63" w14:textId="77777777" w:rsidR="009943DA" w:rsidRDefault="009943DA" w:rsidP="00C03631">
      <w:pPr>
        <w:tabs>
          <w:tab w:val="left" w:pos="4667"/>
        </w:tabs>
        <w:spacing w:after="0" w:line="360" w:lineRule="auto"/>
        <w:ind w:right="567"/>
        <w:contextualSpacing/>
        <w:rPr>
          <w:b/>
          <w:bCs/>
        </w:rPr>
      </w:pPr>
    </w:p>
    <w:p w14:paraId="14B2EAB9" w14:textId="77777777" w:rsidR="00306B1A" w:rsidRPr="00101DA9" w:rsidRDefault="00306B1A" w:rsidP="00C03631">
      <w:pPr>
        <w:tabs>
          <w:tab w:val="left" w:pos="4667"/>
        </w:tabs>
        <w:spacing w:after="0" w:line="360" w:lineRule="auto"/>
        <w:ind w:left="567" w:right="567"/>
        <w:contextualSpacing/>
        <w:rPr>
          <w:rFonts w:cs="Tahoma"/>
          <w:b/>
          <w:bCs/>
          <w:i/>
          <w:sz w:val="20"/>
          <w:szCs w:val="20"/>
        </w:rPr>
      </w:pPr>
      <w:r w:rsidRPr="00101DA9">
        <w:rPr>
          <w:rFonts w:cs="Tahoma"/>
          <w:b/>
          <w:bCs/>
          <w:i/>
          <w:sz w:val="20"/>
          <w:szCs w:val="20"/>
        </w:rPr>
        <w:t>Recurso de Revisión 01956/INFOEM/IP/RR/2024</w:t>
      </w:r>
    </w:p>
    <w:p w14:paraId="686A269A" w14:textId="77777777" w:rsidR="00306B1A" w:rsidRPr="00854A8C" w:rsidRDefault="00306B1A" w:rsidP="00C03631">
      <w:pPr>
        <w:tabs>
          <w:tab w:val="left" w:pos="4667"/>
        </w:tabs>
        <w:spacing w:after="0" w:line="360" w:lineRule="auto"/>
        <w:ind w:left="567" w:right="567"/>
        <w:contextualSpacing/>
        <w:rPr>
          <w:rFonts w:cs="Tahoma"/>
          <w:b/>
          <w:bCs/>
          <w:i/>
          <w:sz w:val="20"/>
          <w:szCs w:val="20"/>
        </w:rPr>
      </w:pPr>
      <w:r w:rsidRPr="00854A8C">
        <w:rPr>
          <w:rFonts w:cs="Tahoma"/>
          <w:b/>
          <w:bCs/>
          <w:i/>
          <w:sz w:val="20"/>
          <w:szCs w:val="20"/>
        </w:rPr>
        <w:t>“ACTO IMPUGNADO</w:t>
      </w:r>
    </w:p>
    <w:p w14:paraId="04BCA6CB" w14:textId="3C091F62" w:rsidR="00306B1A" w:rsidRPr="00854A8C" w:rsidRDefault="00306B1A" w:rsidP="00C03631">
      <w:pPr>
        <w:spacing w:after="0" w:line="360" w:lineRule="auto"/>
        <w:ind w:right="567" w:firstLine="567"/>
        <w:contextualSpacing/>
        <w:rPr>
          <w:rFonts w:cs="Tahoma"/>
          <w:i/>
          <w:sz w:val="20"/>
          <w:szCs w:val="20"/>
        </w:rPr>
      </w:pPr>
      <w:r>
        <w:rPr>
          <w:i/>
          <w:color w:val="000000"/>
          <w:sz w:val="20"/>
          <w:szCs w:val="20"/>
        </w:rPr>
        <w:t>Falta de</w:t>
      </w:r>
      <w:r w:rsidRPr="00854A8C">
        <w:rPr>
          <w:i/>
          <w:color w:val="000000"/>
          <w:sz w:val="20"/>
          <w:szCs w:val="20"/>
        </w:rPr>
        <w:t xml:space="preserve"> respuesta</w:t>
      </w:r>
      <w:r w:rsidRPr="00854A8C">
        <w:rPr>
          <w:rFonts w:eastAsia="Times New Roman" w:cs="Times New Roman"/>
          <w:i/>
          <w:color w:val="auto"/>
          <w:sz w:val="20"/>
          <w:szCs w:val="20"/>
          <w:lang w:eastAsia="es-MX"/>
        </w:rPr>
        <w:t>.</w:t>
      </w:r>
      <w:r w:rsidRPr="00854A8C">
        <w:rPr>
          <w:i/>
          <w:sz w:val="20"/>
          <w:szCs w:val="20"/>
        </w:rPr>
        <w:t>”</w:t>
      </w:r>
      <w:r w:rsidRPr="00854A8C">
        <w:rPr>
          <w:rFonts w:cs="Tahoma"/>
          <w:i/>
          <w:sz w:val="20"/>
          <w:szCs w:val="20"/>
        </w:rPr>
        <w:t xml:space="preserve"> (Sic.)</w:t>
      </w:r>
    </w:p>
    <w:p w14:paraId="54576295" w14:textId="77777777" w:rsidR="00306B1A" w:rsidRDefault="00306B1A" w:rsidP="00C03631">
      <w:pPr>
        <w:autoSpaceDE w:val="0"/>
        <w:autoSpaceDN w:val="0"/>
        <w:adjustRightInd w:val="0"/>
        <w:spacing w:after="0" w:line="360" w:lineRule="auto"/>
        <w:ind w:left="567" w:right="567"/>
        <w:contextualSpacing/>
        <w:rPr>
          <w:rFonts w:cs="Tahoma"/>
          <w:b/>
          <w:i/>
          <w:sz w:val="20"/>
          <w:szCs w:val="20"/>
        </w:rPr>
      </w:pPr>
    </w:p>
    <w:p w14:paraId="3F8FCF57" w14:textId="77777777" w:rsidR="00101DA9" w:rsidRPr="00854A8C" w:rsidRDefault="00101DA9" w:rsidP="00C03631">
      <w:pPr>
        <w:autoSpaceDE w:val="0"/>
        <w:autoSpaceDN w:val="0"/>
        <w:adjustRightInd w:val="0"/>
        <w:spacing w:after="0" w:line="360" w:lineRule="auto"/>
        <w:ind w:left="567" w:right="567"/>
        <w:contextualSpacing/>
        <w:rPr>
          <w:rFonts w:cs="Tahoma"/>
          <w:b/>
          <w:i/>
          <w:sz w:val="20"/>
          <w:szCs w:val="20"/>
        </w:rPr>
      </w:pPr>
    </w:p>
    <w:p w14:paraId="376DC7BE" w14:textId="77777777" w:rsidR="00306B1A" w:rsidRPr="00854A8C" w:rsidRDefault="00306B1A" w:rsidP="00C03631">
      <w:pPr>
        <w:autoSpaceDE w:val="0"/>
        <w:autoSpaceDN w:val="0"/>
        <w:adjustRightInd w:val="0"/>
        <w:spacing w:after="0" w:line="360" w:lineRule="auto"/>
        <w:ind w:left="567" w:right="567"/>
        <w:contextualSpacing/>
        <w:rPr>
          <w:rFonts w:cs="Tahoma"/>
          <w:b/>
          <w:i/>
          <w:sz w:val="20"/>
          <w:szCs w:val="20"/>
        </w:rPr>
      </w:pPr>
      <w:r w:rsidRPr="00854A8C">
        <w:rPr>
          <w:rFonts w:cs="Tahoma"/>
          <w:b/>
          <w:i/>
          <w:sz w:val="20"/>
          <w:szCs w:val="20"/>
        </w:rPr>
        <w:lastRenderedPageBreak/>
        <w:t>“RAZONES O MOTIVOS DE LA INCONFORMIDAD</w:t>
      </w:r>
    </w:p>
    <w:p w14:paraId="26DD68EC" w14:textId="4505D116" w:rsidR="00306B1A" w:rsidRPr="00854A8C" w:rsidRDefault="00306B1A" w:rsidP="00C03631">
      <w:pPr>
        <w:spacing w:after="0" w:line="360" w:lineRule="auto"/>
        <w:ind w:left="567" w:right="567"/>
        <w:contextualSpacing/>
        <w:rPr>
          <w:rFonts w:cs="Tahoma"/>
          <w:i/>
          <w:sz w:val="20"/>
          <w:szCs w:val="20"/>
        </w:rPr>
      </w:pPr>
      <w:r>
        <w:rPr>
          <w:i/>
          <w:color w:val="000000"/>
          <w:sz w:val="20"/>
          <w:szCs w:val="20"/>
        </w:rPr>
        <w:t>Falta de</w:t>
      </w:r>
      <w:r w:rsidRPr="00854A8C">
        <w:rPr>
          <w:i/>
          <w:color w:val="000000"/>
          <w:sz w:val="20"/>
          <w:szCs w:val="20"/>
        </w:rPr>
        <w:t xml:space="preserve"> respuesta</w:t>
      </w:r>
      <w:r w:rsidRPr="00854A8C">
        <w:rPr>
          <w:rFonts w:cs="Tahoma"/>
          <w:i/>
          <w:sz w:val="20"/>
          <w:szCs w:val="20"/>
        </w:rPr>
        <w:t>” Sic.)</w:t>
      </w:r>
    </w:p>
    <w:p w14:paraId="170EF2D7" w14:textId="77777777" w:rsidR="00306B1A" w:rsidRDefault="00306B1A" w:rsidP="00C03631">
      <w:pPr>
        <w:spacing w:after="0" w:line="360" w:lineRule="auto"/>
        <w:contextualSpacing/>
        <w:rPr>
          <w:rFonts w:cs="Tahoma"/>
          <w:b/>
        </w:rPr>
      </w:pPr>
    </w:p>
    <w:p w14:paraId="3386D210" w14:textId="77777777" w:rsidR="00306B1A" w:rsidRPr="00101DA9" w:rsidRDefault="00306B1A" w:rsidP="00C03631">
      <w:pPr>
        <w:tabs>
          <w:tab w:val="left" w:pos="4667"/>
        </w:tabs>
        <w:spacing w:after="0" w:line="360" w:lineRule="auto"/>
        <w:ind w:left="567" w:right="567"/>
        <w:contextualSpacing/>
        <w:rPr>
          <w:rFonts w:cs="Tahoma"/>
          <w:b/>
          <w:bCs/>
          <w:i/>
          <w:sz w:val="20"/>
          <w:szCs w:val="20"/>
        </w:rPr>
      </w:pPr>
      <w:r w:rsidRPr="00101DA9">
        <w:rPr>
          <w:rFonts w:cs="Tahoma"/>
          <w:b/>
          <w:bCs/>
          <w:i/>
          <w:sz w:val="20"/>
          <w:szCs w:val="20"/>
        </w:rPr>
        <w:t>Recurso de Revisión 01957/INFOEM/IP/RR/2024</w:t>
      </w:r>
    </w:p>
    <w:p w14:paraId="5A9ECF00" w14:textId="77777777" w:rsidR="00306B1A" w:rsidRPr="00854A8C" w:rsidRDefault="00306B1A" w:rsidP="00C03631">
      <w:pPr>
        <w:tabs>
          <w:tab w:val="left" w:pos="4667"/>
        </w:tabs>
        <w:spacing w:after="0" w:line="360" w:lineRule="auto"/>
        <w:ind w:left="567" w:right="567"/>
        <w:contextualSpacing/>
        <w:rPr>
          <w:rFonts w:cs="Tahoma"/>
          <w:b/>
          <w:bCs/>
          <w:i/>
          <w:sz w:val="20"/>
          <w:szCs w:val="20"/>
        </w:rPr>
      </w:pPr>
      <w:r w:rsidRPr="00854A8C">
        <w:rPr>
          <w:rFonts w:cs="Tahoma"/>
          <w:b/>
          <w:bCs/>
          <w:i/>
          <w:sz w:val="20"/>
          <w:szCs w:val="20"/>
        </w:rPr>
        <w:t>“ACTO IMPUGNADO</w:t>
      </w:r>
    </w:p>
    <w:p w14:paraId="2EF01600" w14:textId="0B3314B5" w:rsidR="00306B1A" w:rsidRPr="00F441FC" w:rsidRDefault="00306B1A" w:rsidP="00C03631">
      <w:pPr>
        <w:spacing w:after="0" w:line="360" w:lineRule="auto"/>
        <w:ind w:right="567" w:firstLine="567"/>
        <w:contextualSpacing/>
        <w:rPr>
          <w:i/>
          <w:sz w:val="20"/>
          <w:szCs w:val="20"/>
        </w:rPr>
      </w:pPr>
      <w:r>
        <w:rPr>
          <w:i/>
          <w:color w:val="000000"/>
          <w:sz w:val="20"/>
          <w:szCs w:val="20"/>
        </w:rPr>
        <w:t>Falta de información solicitada</w:t>
      </w:r>
      <w:r w:rsidRPr="00854A8C">
        <w:rPr>
          <w:rFonts w:eastAsia="Times New Roman" w:cs="Times New Roman"/>
          <w:i/>
          <w:color w:val="auto"/>
          <w:sz w:val="20"/>
          <w:szCs w:val="20"/>
          <w:lang w:eastAsia="es-MX"/>
        </w:rPr>
        <w:t>.</w:t>
      </w:r>
      <w:r w:rsidRPr="00854A8C">
        <w:rPr>
          <w:i/>
          <w:sz w:val="20"/>
          <w:szCs w:val="20"/>
        </w:rPr>
        <w:t>”</w:t>
      </w:r>
      <w:r w:rsidRPr="00854A8C">
        <w:rPr>
          <w:rFonts w:cs="Tahoma"/>
          <w:i/>
          <w:sz w:val="20"/>
          <w:szCs w:val="20"/>
        </w:rPr>
        <w:t xml:space="preserve"> (Sic.)</w:t>
      </w:r>
    </w:p>
    <w:p w14:paraId="4B88D358" w14:textId="77777777" w:rsidR="00306B1A" w:rsidRPr="00854A8C" w:rsidRDefault="00306B1A" w:rsidP="00C03631">
      <w:pPr>
        <w:autoSpaceDE w:val="0"/>
        <w:autoSpaceDN w:val="0"/>
        <w:adjustRightInd w:val="0"/>
        <w:spacing w:after="0" w:line="360" w:lineRule="auto"/>
        <w:ind w:left="567" w:right="567"/>
        <w:contextualSpacing/>
        <w:rPr>
          <w:rFonts w:cs="Tahoma"/>
          <w:b/>
          <w:i/>
          <w:sz w:val="20"/>
          <w:szCs w:val="20"/>
        </w:rPr>
      </w:pPr>
    </w:p>
    <w:p w14:paraId="5B20AC89" w14:textId="77777777" w:rsidR="00306B1A" w:rsidRPr="00854A8C" w:rsidRDefault="00306B1A" w:rsidP="00C03631">
      <w:pPr>
        <w:autoSpaceDE w:val="0"/>
        <w:autoSpaceDN w:val="0"/>
        <w:adjustRightInd w:val="0"/>
        <w:spacing w:after="0" w:line="360" w:lineRule="auto"/>
        <w:ind w:left="567" w:right="567"/>
        <w:contextualSpacing/>
        <w:rPr>
          <w:rFonts w:cs="Tahoma"/>
          <w:b/>
          <w:i/>
          <w:sz w:val="20"/>
          <w:szCs w:val="20"/>
        </w:rPr>
      </w:pPr>
      <w:r w:rsidRPr="00854A8C">
        <w:rPr>
          <w:rFonts w:cs="Tahoma"/>
          <w:b/>
          <w:i/>
          <w:sz w:val="20"/>
          <w:szCs w:val="20"/>
        </w:rPr>
        <w:t>“RAZONES O MOTIVOS DE LA INCONFORMIDAD</w:t>
      </w:r>
    </w:p>
    <w:p w14:paraId="6CCB9EA2" w14:textId="41AE23D1" w:rsidR="00306B1A" w:rsidRPr="00854A8C" w:rsidRDefault="00306B1A" w:rsidP="00C03631">
      <w:pPr>
        <w:spacing w:after="0" w:line="360" w:lineRule="auto"/>
        <w:ind w:left="567" w:right="567"/>
        <w:contextualSpacing/>
        <w:rPr>
          <w:rFonts w:cs="Tahoma"/>
          <w:i/>
          <w:sz w:val="20"/>
          <w:szCs w:val="20"/>
        </w:rPr>
      </w:pPr>
      <w:r>
        <w:rPr>
          <w:i/>
          <w:color w:val="000000"/>
          <w:sz w:val="20"/>
          <w:szCs w:val="20"/>
        </w:rPr>
        <w:t>Falta de información solicitada</w:t>
      </w:r>
      <w:r w:rsidRPr="00854A8C">
        <w:rPr>
          <w:rFonts w:cs="Tahoma"/>
          <w:i/>
          <w:sz w:val="20"/>
          <w:szCs w:val="20"/>
        </w:rPr>
        <w:t>” (Sic.)</w:t>
      </w:r>
    </w:p>
    <w:p w14:paraId="5A918C16" w14:textId="77777777" w:rsidR="00306B1A" w:rsidRPr="00854A8C" w:rsidRDefault="00306B1A" w:rsidP="00C03631">
      <w:pPr>
        <w:spacing w:after="0" w:line="360" w:lineRule="auto"/>
        <w:contextualSpacing/>
        <w:rPr>
          <w:rFonts w:cs="Tahoma"/>
          <w:b/>
        </w:rPr>
      </w:pPr>
    </w:p>
    <w:p w14:paraId="1CB7FCBD" w14:textId="2B4AFC5B" w:rsidR="00306B1A" w:rsidRPr="00854A8C" w:rsidRDefault="00306B1A" w:rsidP="00C03631">
      <w:pPr>
        <w:spacing w:after="0" w:line="360" w:lineRule="auto"/>
        <w:contextualSpacing/>
        <w:rPr>
          <w:rFonts w:eastAsia="Batang" w:cs="Tahoma"/>
          <w:b/>
          <w:bCs/>
        </w:rPr>
      </w:pPr>
      <w:r w:rsidRPr="00854A8C">
        <w:rPr>
          <w:rFonts w:cs="Tahoma"/>
          <w:b/>
        </w:rPr>
        <w:t xml:space="preserve">IV. </w:t>
      </w:r>
      <w:r w:rsidRPr="00854A8C">
        <w:rPr>
          <w:rFonts w:eastAsia="Batang" w:cs="Tahoma"/>
          <w:b/>
          <w:bCs/>
        </w:rPr>
        <w:t xml:space="preserve">Trámite del </w:t>
      </w:r>
      <w:r w:rsidRPr="00854A8C">
        <w:rPr>
          <w:rFonts w:cs="Tahoma"/>
          <w:b/>
        </w:rPr>
        <w:t xml:space="preserve">Recurso de Revisión </w:t>
      </w:r>
      <w:r w:rsidRPr="00854A8C">
        <w:rPr>
          <w:rFonts w:eastAsia="Batang" w:cs="Tahoma"/>
          <w:b/>
          <w:bCs/>
        </w:rPr>
        <w:t>ante este Instituto</w:t>
      </w:r>
    </w:p>
    <w:p w14:paraId="5967A2D8" w14:textId="77777777" w:rsidR="00306B1A" w:rsidRPr="00854A8C" w:rsidRDefault="00306B1A" w:rsidP="00C03631">
      <w:pPr>
        <w:spacing w:after="0" w:line="360" w:lineRule="auto"/>
        <w:contextualSpacing/>
        <w:rPr>
          <w:rFonts w:eastAsia="Batang" w:cs="Tahoma"/>
          <w:b/>
          <w:bCs/>
        </w:rPr>
      </w:pPr>
    </w:p>
    <w:p w14:paraId="77DF1D8B" w14:textId="77777777" w:rsidR="00306B1A" w:rsidRPr="00854A8C" w:rsidRDefault="00306B1A" w:rsidP="00C03631">
      <w:pPr>
        <w:spacing w:after="0" w:line="360" w:lineRule="auto"/>
        <w:contextualSpacing/>
        <w:rPr>
          <w:rFonts w:eastAsia="Batang" w:cs="Tahoma"/>
          <w:bCs/>
        </w:rPr>
      </w:pPr>
      <w:r w:rsidRPr="00854A8C">
        <w:rPr>
          <w:rFonts w:eastAsia="Batang" w:cs="Tahoma"/>
          <w:b/>
          <w:bCs/>
        </w:rPr>
        <w:t xml:space="preserve">a) Turno del Medio de Impugnación. </w:t>
      </w:r>
      <w:r w:rsidR="002A01DD">
        <w:rPr>
          <w:rFonts w:eastAsia="Batang" w:cs="Tahoma"/>
          <w:bCs/>
        </w:rPr>
        <w:t xml:space="preserve">El dieciséis </w:t>
      </w:r>
      <w:r w:rsidRPr="00854A8C">
        <w:rPr>
          <w:rFonts w:eastAsia="Batang" w:cs="Tahoma"/>
          <w:bCs/>
        </w:rPr>
        <w:t xml:space="preserve">de </w:t>
      </w:r>
      <w:r w:rsidR="002A01DD">
        <w:rPr>
          <w:rFonts w:eastAsia="Batang" w:cs="Tahoma"/>
          <w:bCs/>
        </w:rPr>
        <w:t>abril</w:t>
      </w:r>
      <w:r w:rsidRPr="00854A8C">
        <w:rPr>
          <w:rFonts w:eastAsia="Batang" w:cs="Tahoma"/>
          <w:bCs/>
        </w:rPr>
        <w:t xml:space="preserve"> de dos mil veinticuatro, el </w:t>
      </w:r>
      <w:r w:rsidRPr="00854A8C">
        <w:rPr>
          <w:rFonts w:cs="Tahoma"/>
          <w:lang w:val="es-ES"/>
        </w:rPr>
        <w:t>Sistema de Acceso a la Información Mexiquense (SAIMEX),</w:t>
      </w:r>
      <w:r w:rsidRPr="00854A8C">
        <w:rPr>
          <w:rFonts w:eastAsia="Batang" w:cs="Tahoma"/>
          <w:bCs/>
        </w:rPr>
        <w:t xml:space="preserve"> asignó los números de expediente </w:t>
      </w:r>
      <w:r w:rsidR="002A01DD">
        <w:rPr>
          <w:bCs/>
        </w:rPr>
        <w:t>0</w:t>
      </w:r>
      <w:r w:rsidRPr="00854A8C">
        <w:rPr>
          <w:bCs/>
        </w:rPr>
        <w:t>1</w:t>
      </w:r>
      <w:r w:rsidR="002A01DD">
        <w:rPr>
          <w:bCs/>
        </w:rPr>
        <w:t>956</w:t>
      </w:r>
      <w:r w:rsidRPr="00854A8C">
        <w:rPr>
          <w:bCs/>
        </w:rPr>
        <w:t>/INFOEM/IP/RR/2024</w:t>
      </w:r>
      <w:r w:rsidRPr="00854A8C">
        <w:rPr>
          <w:rFonts w:cs="Tahoma"/>
          <w:bCs/>
        </w:rPr>
        <w:t xml:space="preserve">, </w:t>
      </w:r>
      <w:r w:rsidRPr="00854A8C">
        <w:rPr>
          <w:bCs/>
        </w:rPr>
        <w:t xml:space="preserve">y </w:t>
      </w:r>
      <w:r w:rsidR="002A01DD">
        <w:rPr>
          <w:rFonts w:cs="Tahoma"/>
          <w:bCs/>
        </w:rPr>
        <w:t>01957</w:t>
      </w:r>
      <w:r w:rsidRPr="00854A8C">
        <w:rPr>
          <w:bCs/>
        </w:rPr>
        <w:t xml:space="preserve">/INFOEM/IP/RR/2024 </w:t>
      </w:r>
      <w:r w:rsidRPr="00854A8C">
        <w:rPr>
          <w:rFonts w:eastAsia="Batang" w:cs="Tahoma"/>
          <w:bCs/>
        </w:rPr>
        <w:t>a los medios de impugnación que nos ocupa, con base en el sistema aprobado por el Pleno de este Órgano Garante y lo turnó a los Comisionados  Luis Gustavo Parra Noriega, y María del Rosario Mejía Ayala  para los efectos del artículo 185, fracción I de la Ley de Transparencia y Acceso a la Información Pública del Estado de México y Municipios.</w:t>
      </w:r>
    </w:p>
    <w:p w14:paraId="457D5EF9" w14:textId="77777777" w:rsidR="00306B1A" w:rsidRPr="00854A8C" w:rsidRDefault="00306B1A" w:rsidP="00C03631">
      <w:pPr>
        <w:spacing w:after="0" w:line="360" w:lineRule="auto"/>
        <w:contextualSpacing/>
        <w:rPr>
          <w:rFonts w:eastAsia="Batang" w:cs="Tahoma"/>
          <w:bCs/>
        </w:rPr>
      </w:pPr>
    </w:p>
    <w:p w14:paraId="75B14B7F" w14:textId="77777777" w:rsidR="009943DA" w:rsidRPr="00306B1A" w:rsidRDefault="00306B1A" w:rsidP="00C03631">
      <w:pPr>
        <w:tabs>
          <w:tab w:val="left" w:pos="4667"/>
        </w:tabs>
        <w:spacing w:after="0" w:line="360" w:lineRule="auto"/>
        <w:ind w:right="567"/>
        <w:contextualSpacing/>
        <w:rPr>
          <w:b/>
          <w:bCs/>
          <w:iCs/>
          <w:sz w:val="20"/>
          <w:szCs w:val="20"/>
        </w:rPr>
      </w:pPr>
      <w:r w:rsidRPr="00854A8C">
        <w:rPr>
          <w:rFonts w:eastAsia="Batang" w:cs="Tahoma"/>
          <w:b/>
          <w:bCs/>
        </w:rPr>
        <w:t xml:space="preserve">b) </w:t>
      </w:r>
      <w:r w:rsidR="009943DA">
        <w:rPr>
          <w:rFonts w:eastAsia="Batang" w:cs="Tahoma"/>
          <w:b/>
          <w:bCs/>
        </w:rPr>
        <w:t xml:space="preserve">Prevención al </w:t>
      </w:r>
      <w:r w:rsidR="009943DA" w:rsidRPr="00306B1A">
        <w:rPr>
          <w:b/>
          <w:bCs/>
        </w:rPr>
        <w:t>Recurso de Revisión 0195</w:t>
      </w:r>
      <w:r w:rsidR="00592883">
        <w:rPr>
          <w:b/>
          <w:bCs/>
        </w:rPr>
        <w:t>6</w:t>
      </w:r>
      <w:r w:rsidR="009943DA" w:rsidRPr="00306B1A">
        <w:rPr>
          <w:b/>
          <w:bCs/>
        </w:rPr>
        <w:t>/INFOEM/IP/RR/2024</w:t>
      </w:r>
    </w:p>
    <w:p w14:paraId="2DAA4D8F" w14:textId="77777777" w:rsidR="009943DA" w:rsidRDefault="009943DA" w:rsidP="00C03631">
      <w:pPr>
        <w:spacing w:after="0" w:line="360" w:lineRule="auto"/>
        <w:contextualSpacing/>
        <w:rPr>
          <w:rFonts w:eastAsia="Batang" w:cs="Tahoma"/>
          <w:b/>
          <w:bCs/>
        </w:rPr>
      </w:pPr>
    </w:p>
    <w:p w14:paraId="796E3BB1" w14:textId="54B65F5C" w:rsidR="00592883" w:rsidRDefault="009943DA" w:rsidP="00C03631">
      <w:pPr>
        <w:spacing w:after="0" w:line="360" w:lineRule="auto"/>
        <w:contextualSpacing/>
        <w:rPr>
          <w:rFonts w:eastAsia="Batang" w:cs="Tahoma"/>
          <w:bCs/>
        </w:rPr>
      </w:pPr>
      <w:r>
        <w:rPr>
          <w:rFonts w:eastAsia="Batang" w:cs="Tahoma"/>
          <w:bCs/>
        </w:rPr>
        <w:t xml:space="preserve">Con fecha veintitrés de abril de dos mil veinticuatro, se previno al Recurrente para </w:t>
      </w:r>
      <w:r w:rsidR="00101DA9">
        <w:rPr>
          <w:rFonts w:eastAsia="Batang" w:cs="Tahoma"/>
          <w:bCs/>
        </w:rPr>
        <w:t>que,</w:t>
      </w:r>
      <w:r>
        <w:rPr>
          <w:rFonts w:eastAsia="Batang" w:cs="Tahoma"/>
          <w:bCs/>
        </w:rPr>
        <w:t xml:space="preserve"> dentro del plazo máximo de cinco días hábiles, aclarara el acto reclamado y los motivos de inconformidad, pues se inconformó de la falta de respuesta, cuando el Sujeto Obligado si emitió</w:t>
      </w:r>
      <w:r w:rsidR="00592883">
        <w:rPr>
          <w:rFonts w:eastAsia="Batang" w:cs="Tahoma"/>
          <w:bCs/>
        </w:rPr>
        <w:t xml:space="preserve"> contestación; lo anterior sin ampliar o modificar la solicitud inicial.</w:t>
      </w:r>
    </w:p>
    <w:p w14:paraId="14F4DFDA" w14:textId="77777777" w:rsidR="00592883" w:rsidRDefault="00592883" w:rsidP="00C03631">
      <w:pPr>
        <w:spacing w:after="0" w:line="360" w:lineRule="auto"/>
        <w:contextualSpacing/>
        <w:rPr>
          <w:rFonts w:eastAsia="Batang" w:cs="Tahoma"/>
          <w:bCs/>
        </w:rPr>
      </w:pPr>
    </w:p>
    <w:p w14:paraId="503EA1B9" w14:textId="77777777" w:rsidR="00101DA9" w:rsidRDefault="00101DA9" w:rsidP="00C03631">
      <w:pPr>
        <w:spacing w:after="0" w:line="360" w:lineRule="auto"/>
        <w:contextualSpacing/>
        <w:rPr>
          <w:rFonts w:eastAsia="Batang" w:cs="Tahoma"/>
          <w:bCs/>
        </w:rPr>
      </w:pPr>
    </w:p>
    <w:p w14:paraId="113C6D10" w14:textId="76C004ED" w:rsidR="00592883" w:rsidRDefault="00592883" w:rsidP="00C03631">
      <w:pPr>
        <w:spacing w:after="0" w:line="360" w:lineRule="auto"/>
        <w:contextualSpacing/>
        <w:rPr>
          <w:rFonts w:eastAsia="Batang" w:cs="Tahoma"/>
          <w:b/>
          <w:bCs/>
        </w:rPr>
      </w:pPr>
      <w:r>
        <w:rPr>
          <w:rFonts w:eastAsia="Batang" w:cs="Tahoma"/>
          <w:b/>
          <w:bCs/>
        </w:rPr>
        <w:lastRenderedPageBreak/>
        <w:t>c) Desahogo a la prevención del Medio de Impugnación</w:t>
      </w:r>
    </w:p>
    <w:p w14:paraId="5630C17F" w14:textId="77777777" w:rsidR="00592883" w:rsidRDefault="00592883" w:rsidP="00C03631">
      <w:pPr>
        <w:spacing w:after="0" w:line="360" w:lineRule="auto"/>
        <w:contextualSpacing/>
        <w:rPr>
          <w:rFonts w:eastAsia="Batang" w:cs="Tahoma"/>
          <w:b/>
          <w:bCs/>
        </w:rPr>
      </w:pPr>
    </w:p>
    <w:p w14:paraId="277C184E" w14:textId="77777777" w:rsidR="009943DA" w:rsidRDefault="009943DA" w:rsidP="00C03631">
      <w:pPr>
        <w:spacing w:after="0" w:line="360" w:lineRule="auto"/>
        <w:contextualSpacing/>
        <w:rPr>
          <w:rFonts w:eastAsia="Batang" w:cs="Tahoma"/>
          <w:bCs/>
        </w:rPr>
      </w:pPr>
      <w:r>
        <w:rPr>
          <w:rFonts w:eastAsia="Batang" w:cs="Tahoma"/>
          <w:bCs/>
        </w:rPr>
        <w:t xml:space="preserve"> </w:t>
      </w:r>
      <w:r w:rsidR="00592883">
        <w:rPr>
          <w:rFonts w:eastAsia="Batang" w:cs="Tahoma"/>
          <w:bCs/>
        </w:rPr>
        <w:t>Con fecha veinticinco de abril de dos mil veinticuatro, el Recurrente atendió la prevención en los términos siguientes:</w:t>
      </w:r>
    </w:p>
    <w:p w14:paraId="5EBD22C7" w14:textId="77777777" w:rsidR="00592883" w:rsidRDefault="00592883" w:rsidP="00C03631">
      <w:pPr>
        <w:spacing w:after="0" w:line="360" w:lineRule="auto"/>
        <w:contextualSpacing/>
        <w:rPr>
          <w:rFonts w:eastAsia="Batang" w:cs="Tahoma"/>
          <w:bCs/>
        </w:rPr>
      </w:pPr>
    </w:p>
    <w:p w14:paraId="18EC2036" w14:textId="77777777" w:rsidR="00592883" w:rsidRPr="00592883" w:rsidRDefault="00592883" w:rsidP="00C03631">
      <w:pPr>
        <w:spacing w:after="0" w:line="360" w:lineRule="auto"/>
        <w:ind w:left="567" w:right="567"/>
        <w:contextualSpacing/>
        <w:rPr>
          <w:rFonts w:eastAsia="Batang" w:cs="Tahoma"/>
          <w:bCs/>
          <w:i/>
          <w:sz w:val="20"/>
          <w:szCs w:val="20"/>
        </w:rPr>
      </w:pPr>
      <w:r w:rsidRPr="00592883">
        <w:rPr>
          <w:rFonts w:eastAsia="Batang" w:cs="Tahoma"/>
          <w:bCs/>
          <w:i/>
          <w:sz w:val="20"/>
          <w:szCs w:val="20"/>
        </w:rPr>
        <w:t>“DATOS DE LA ATENCIÓN A LA PREVENCIÓN</w:t>
      </w:r>
    </w:p>
    <w:p w14:paraId="359C6B05" w14:textId="50A0EE61" w:rsidR="00592883" w:rsidRPr="00F441FC" w:rsidRDefault="00592883" w:rsidP="00C03631">
      <w:pPr>
        <w:spacing w:after="0" w:line="360" w:lineRule="auto"/>
        <w:ind w:left="567" w:right="567"/>
        <w:contextualSpacing/>
        <w:rPr>
          <w:i/>
          <w:color w:val="000000"/>
          <w:sz w:val="20"/>
          <w:szCs w:val="20"/>
        </w:rPr>
      </w:pPr>
      <w:r w:rsidRPr="00592883">
        <w:rPr>
          <w:i/>
          <w:color w:val="000000"/>
          <w:sz w:val="20"/>
          <w:szCs w:val="20"/>
        </w:rPr>
        <w:t>Si bien las direcciones de servicios públicos y la dirección de adminstración emitieron una respuesta, no estan cumpliendo con los criterios deaxima publicidad de la información, al solo manifestar que no tienen la información y bien no mandan un soporte de busqueda de la información y no se pronuncian al respecto de los contratos generados, cuando es claro que las compras las realizarón o como es que llevaron a cabo el programa y bien no entregan ni el prpyecto del programa.” (Sic)</w:t>
      </w:r>
    </w:p>
    <w:p w14:paraId="4CC26985" w14:textId="77777777" w:rsidR="009943DA" w:rsidRPr="009943DA" w:rsidRDefault="009943DA" w:rsidP="00C03631">
      <w:pPr>
        <w:spacing w:after="0" w:line="360" w:lineRule="auto"/>
        <w:contextualSpacing/>
        <w:rPr>
          <w:rFonts w:eastAsia="Batang" w:cs="Tahoma"/>
          <w:bCs/>
        </w:rPr>
      </w:pPr>
      <w:r>
        <w:rPr>
          <w:rFonts w:eastAsia="Batang" w:cs="Tahoma"/>
          <w:bCs/>
        </w:rPr>
        <w:t xml:space="preserve"> </w:t>
      </w:r>
    </w:p>
    <w:p w14:paraId="5956F0D3" w14:textId="77777777" w:rsidR="00306B1A" w:rsidRPr="00854A8C" w:rsidRDefault="00592883" w:rsidP="00C03631">
      <w:pPr>
        <w:spacing w:after="0" w:line="360" w:lineRule="auto"/>
        <w:contextualSpacing/>
        <w:rPr>
          <w:rFonts w:eastAsia="Times New Roman" w:cs="Tahoma"/>
          <w:b/>
        </w:rPr>
      </w:pPr>
      <w:r>
        <w:rPr>
          <w:rFonts w:eastAsia="Batang" w:cs="Tahoma"/>
          <w:b/>
          <w:bCs/>
        </w:rPr>
        <w:t xml:space="preserve">d) </w:t>
      </w:r>
      <w:r w:rsidR="00306B1A" w:rsidRPr="00854A8C">
        <w:rPr>
          <w:rFonts w:eastAsia="Batang" w:cs="Tahoma"/>
          <w:b/>
          <w:bCs/>
        </w:rPr>
        <w:t xml:space="preserve">Admisión de los </w:t>
      </w:r>
      <w:r w:rsidR="00306B1A" w:rsidRPr="00854A8C">
        <w:rPr>
          <w:rFonts w:cs="Tahoma"/>
          <w:b/>
        </w:rPr>
        <w:t>Recursos de Revisión</w:t>
      </w:r>
      <w:r w:rsidR="00306B1A" w:rsidRPr="00854A8C">
        <w:rPr>
          <w:rFonts w:eastAsia="Batang" w:cs="Tahoma"/>
          <w:b/>
          <w:bCs/>
          <w:lang w:val="es-ES_tradnl"/>
        </w:rPr>
        <w:t xml:space="preserve">. </w:t>
      </w:r>
      <w:r w:rsidR="00306B1A" w:rsidRPr="00854A8C">
        <w:rPr>
          <w:rFonts w:eastAsia="Batang" w:cs="Tahoma"/>
          <w:lang w:val="es-ES_tradnl"/>
        </w:rPr>
        <w:t>Con fechas</w:t>
      </w:r>
      <w:r w:rsidR="00306B1A" w:rsidRPr="00854A8C">
        <w:rPr>
          <w:rFonts w:eastAsia="Batang" w:cs="Tahoma"/>
          <w:b/>
          <w:bCs/>
          <w:lang w:val="es-ES_tradnl"/>
        </w:rPr>
        <w:t xml:space="preserve"> </w:t>
      </w:r>
      <w:r w:rsidR="00306B1A" w:rsidRPr="00854A8C">
        <w:rPr>
          <w:rFonts w:eastAsia="Batang" w:cs="Tahoma"/>
          <w:bCs/>
          <w:lang w:val="es-ES_tradnl"/>
        </w:rPr>
        <w:t>diecisiete</w:t>
      </w:r>
      <w:r w:rsidR="002A01DD">
        <w:rPr>
          <w:rFonts w:eastAsia="Batang" w:cs="Tahoma"/>
          <w:bCs/>
          <w:lang w:val="es-ES_tradnl"/>
        </w:rPr>
        <w:t xml:space="preserve"> y veintiséis</w:t>
      </w:r>
      <w:r w:rsidR="00306B1A" w:rsidRPr="00854A8C">
        <w:rPr>
          <w:rFonts w:eastAsia="Batang" w:cs="Tahoma"/>
          <w:bCs/>
          <w:lang w:val="es-ES_tradnl"/>
        </w:rPr>
        <w:t xml:space="preserve"> de </w:t>
      </w:r>
      <w:r w:rsidR="002A01DD">
        <w:rPr>
          <w:rFonts w:eastAsia="Batang" w:cs="Tahoma"/>
          <w:bCs/>
          <w:lang w:val="es-ES_tradnl"/>
        </w:rPr>
        <w:t>abril</w:t>
      </w:r>
      <w:r w:rsidR="00306B1A" w:rsidRPr="00854A8C">
        <w:rPr>
          <w:rFonts w:eastAsia="Batang" w:cs="Tahoma"/>
          <w:bCs/>
          <w:lang w:val="es-ES_tradnl"/>
        </w:rPr>
        <w:t xml:space="preserv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debidamente notificados a las partes, a través del Sistema de Acceso a la Información Mexiquense (SAIMEX), en el que se les otorgó un plazo de siete días hábiles posteriores a la misma, para que manifestaran lo que a su derecho conviniera y formularan alegatos. </w:t>
      </w:r>
    </w:p>
    <w:p w14:paraId="7761C2DD" w14:textId="77777777" w:rsidR="00306B1A" w:rsidRPr="00854A8C" w:rsidRDefault="00306B1A" w:rsidP="00C03631">
      <w:pPr>
        <w:spacing w:after="0" w:line="360" w:lineRule="auto"/>
        <w:contextualSpacing/>
        <w:rPr>
          <w:rFonts w:eastAsia="Times New Roman" w:cs="Tahoma"/>
          <w:b/>
        </w:rPr>
      </w:pPr>
    </w:p>
    <w:p w14:paraId="7C7D8DEB" w14:textId="77777777" w:rsidR="00592883" w:rsidRDefault="00592883" w:rsidP="00C03631">
      <w:pPr>
        <w:spacing w:after="0" w:line="360" w:lineRule="auto"/>
        <w:contextualSpacing/>
        <w:rPr>
          <w:rFonts w:cs="Tahoma"/>
          <w:bCs/>
          <w:lang w:val="es-ES_tradnl"/>
        </w:rPr>
      </w:pPr>
      <w:r>
        <w:rPr>
          <w:rFonts w:cs="Tahoma"/>
          <w:b/>
        </w:rPr>
        <w:t>e</w:t>
      </w:r>
      <w:r w:rsidR="00306B1A" w:rsidRPr="00854A8C">
        <w:rPr>
          <w:rFonts w:cs="Tahoma"/>
          <w:b/>
        </w:rPr>
        <w:t xml:space="preserve">) </w:t>
      </w:r>
      <w:r w:rsidR="00306B1A" w:rsidRPr="00854A8C">
        <w:rPr>
          <w:rFonts w:cs="Tahoma"/>
          <w:b/>
          <w:lang w:val="es-ES_tradnl"/>
        </w:rPr>
        <w:t xml:space="preserve">Informe Justificado. </w:t>
      </w:r>
      <w:r w:rsidR="00306B1A" w:rsidRPr="00854A8C">
        <w:rPr>
          <w:rFonts w:cs="Tahoma"/>
          <w:bCs/>
          <w:lang w:val="es-ES_tradnl"/>
        </w:rPr>
        <w:t>El</w:t>
      </w:r>
      <w:r>
        <w:rPr>
          <w:rFonts w:cs="Tahoma"/>
          <w:bCs/>
          <w:lang w:val="es-ES_tradnl"/>
        </w:rPr>
        <w:t xml:space="preserve"> diecisiete de abril,</w:t>
      </w:r>
      <w:r w:rsidR="00306B1A" w:rsidRPr="00854A8C">
        <w:rPr>
          <w:rFonts w:cs="Tahoma"/>
          <w:bCs/>
          <w:lang w:val="es-ES_tradnl"/>
        </w:rPr>
        <w:t xml:space="preserve"> veintiuno</w:t>
      </w:r>
      <w:r>
        <w:rPr>
          <w:rFonts w:cs="Tahoma"/>
          <w:bCs/>
          <w:lang w:val="es-ES_tradnl"/>
        </w:rPr>
        <w:t xml:space="preserve"> y veinticuatro</w:t>
      </w:r>
      <w:r w:rsidR="00306B1A" w:rsidRPr="00854A8C">
        <w:rPr>
          <w:rFonts w:cs="Tahoma"/>
          <w:bCs/>
          <w:lang w:val="es-ES_tradnl"/>
        </w:rPr>
        <w:t xml:space="preserve"> de mayo de dos mil veinticuatro, se recibió en este Instituto, a través del Sistema de Acceso a la Información Mexiquense (SAIMEX), el Informe Justificado del Sujeto Obligado, por medio de</w:t>
      </w:r>
      <w:r>
        <w:rPr>
          <w:rFonts w:cs="Tahoma"/>
          <w:bCs/>
          <w:lang w:val="es-ES_tradnl"/>
        </w:rPr>
        <w:t xml:space="preserve"> la digitalización de diversos documentos, conforme a lo siguiente:</w:t>
      </w:r>
      <w:r w:rsidR="00306B1A" w:rsidRPr="00854A8C">
        <w:rPr>
          <w:rFonts w:cs="Tahoma"/>
          <w:bCs/>
          <w:lang w:val="es-ES_tradnl"/>
        </w:rPr>
        <w:t xml:space="preserve"> </w:t>
      </w:r>
    </w:p>
    <w:p w14:paraId="77BA7777" w14:textId="77777777" w:rsidR="00592883" w:rsidRDefault="00592883" w:rsidP="00C03631">
      <w:pPr>
        <w:spacing w:after="0" w:line="360" w:lineRule="auto"/>
        <w:contextualSpacing/>
        <w:rPr>
          <w:rFonts w:cs="Tahoma"/>
          <w:bCs/>
          <w:lang w:val="es-ES_tradnl"/>
        </w:rPr>
      </w:pPr>
    </w:p>
    <w:p w14:paraId="4785FD40" w14:textId="77777777" w:rsidR="00592883" w:rsidRDefault="00592883" w:rsidP="00C03631">
      <w:pPr>
        <w:spacing w:after="0" w:line="360" w:lineRule="auto"/>
        <w:contextualSpacing/>
        <w:rPr>
          <w:b/>
          <w:bCs/>
        </w:rPr>
      </w:pPr>
      <w:r w:rsidRPr="00306B1A">
        <w:rPr>
          <w:b/>
          <w:bCs/>
        </w:rPr>
        <w:t>Recurso de Revisión 0195</w:t>
      </w:r>
      <w:r>
        <w:rPr>
          <w:b/>
          <w:bCs/>
        </w:rPr>
        <w:t>6</w:t>
      </w:r>
      <w:r w:rsidRPr="00306B1A">
        <w:rPr>
          <w:b/>
          <w:bCs/>
        </w:rPr>
        <w:t>/INFOEM/IP/RR/2024</w:t>
      </w:r>
    </w:p>
    <w:p w14:paraId="7A51652D" w14:textId="77777777" w:rsidR="00637D3C" w:rsidRDefault="00637D3C" w:rsidP="00C03631">
      <w:pPr>
        <w:autoSpaceDE w:val="0"/>
        <w:autoSpaceDN w:val="0"/>
        <w:adjustRightInd w:val="0"/>
        <w:spacing w:after="0" w:line="360" w:lineRule="auto"/>
        <w:contextualSpacing/>
        <w:rPr>
          <w:rFonts w:cs="Tahoma"/>
        </w:rPr>
      </w:pPr>
    </w:p>
    <w:p w14:paraId="1FA362E4" w14:textId="77777777" w:rsidR="00637D3C" w:rsidRDefault="00637D3C" w:rsidP="00C03631">
      <w:pPr>
        <w:autoSpaceDE w:val="0"/>
        <w:autoSpaceDN w:val="0"/>
        <w:adjustRightInd w:val="0"/>
        <w:spacing w:after="0" w:line="360" w:lineRule="auto"/>
        <w:contextualSpacing/>
        <w:rPr>
          <w:rFonts w:cs="Tahoma"/>
        </w:rPr>
      </w:pPr>
      <w:r w:rsidRPr="00537F14">
        <w:rPr>
          <w:rFonts w:cs="Tahoma"/>
        </w:rPr>
        <w:lastRenderedPageBreak/>
        <w:t xml:space="preserve">i) Oficio </w:t>
      </w:r>
      <w:r>
        <w:rPr>
          <w:rFonts w:cs="Tahoma"/>
        </w:rPr>
        <w:t xml:space="preserve">sin </w:t>
      </w:r>
      <w:r w:rsidRPr="00537F14">
        <w:rPr>
          <w:rFonts w:cs="Tahoma"/>
        </w:rPr>
        <w:t>número</w:t>
      </w:r>
      <w:r>
        <w:rPr>
          <w:rFonts w:cs="Tahoma"/>
        </w:rPr>
        <w:t xml:space="preserve"> del doce de abril de dos mil veinticuatro remitido en respuesta.</w:t>
      </w:r>
    </w:p>
    <w:p w14:paraId="5A157BE6" w14:textId="77777777" w:rsidR="00637D3C" w:rsidRDefault="00637D3C" w:rsidP="00C03631">
      <w:pPr>
        <w:autoSpaceDE w:val="0"/>
        <w:autoSpaceDN w:val="0"/>
        <w:adjustRightInd w:val="0"/>
        <w:spacing w:after="0" w:line="360" w:lineRule="auto"/>
        <w:contextualSpacing/>
        <w:rPr>
          <w:rFonts w:cs="Tahoma"/>
        </w:rPr>
      </w:pPr>
    </w:p>
    <w:p w14:paraId="053F13CE" w14:textId="77777777" w:rsidR="00637D3C" w:rsidRPr="006A5F66" w:rsidRDefault="00637D3C" w:rsidP="00C03631">
      <w:pPr>
        <w:autoSpaceDE w:val="0"/>
        <w:autoSpaceDN w:val="0"/>
        <w:adjustRightInd w:val="0"/>
        <w:spacing w:after="0" w:line="360" w:lineRule="auto"/>
        <w:contextualSpacing/>
        <w:rPr>
          <w:rFonts w:cs="Tahoma"/>
          <w:i/>
          <w:sz w:val="20"/>
          <w:szCs w:val="20"/>
        </w:rPr>
      </w:pPr>
      <w:r w:rsidRPr="00537F14">
        <w:rPr>
          <w:rFonts w:cs="Tahoma"/>
        </w:rPr>
        <w:t>i</w:t>
      </w:r>
      <w:r>
        <w:rPr>
          <w:rFonts w:cs="Tahoma"/>
        </w:rPr>
        <w:t>i</w:t>
      </w:r>
      <w:r w:rsidRPr="00537F14">
        <w:rPr>
          <w:rFonts w:cs="Tahoma"/>
        </w:rPr>
        <w:t>) Oficio número</w:t>
      </w:r>
      <w:r>
        <w:rPr>
          <w:rFonts w:cs="Tahoma"/>
        </w:rPr>
        <w:t xml:space="preserve"> DA/ECA/SAYL/0945/2024</w:t>
      </w:r>
      <w:r w:rsidRPr="00537F14">
        <w:rPr>
          <w:rFonts w:cs="Tahoma"/>
        </w:rPr>
        <w:t>, d</w:t>
      </w:r>
      <w:r>
        <w:rPr>
          <w:rFonts w:cs="Tahoma"/>
        </w:rPr>
        <w:t>el nueve de abril del dos mil veinticuatro remitido en respuesta.</w:t>
      </w:r>
    </w:p>
    <w:p w14:paraId="5FE772DE" w14:textId="77777777" w:rsidR="00637D3C" w:rsidRDefault="00637D3C" w:rsidP="00C03631">
      <w:pPr>
        <w:tabs>
          <w:tab w:val="left" w:pos="567"/>
        </w:tabs>
        <w:spacing w:after="0" w:line="360" w:lineRule="auto"/>
        <w:ind w:right="567"/>
        <w:contextualSpacing/>
        <w:rPr>
          <w:b/>
          <w:bCs/>
        </w:rPr>
      </w:pPr>
    </w:p>
    <w:p w14:paraId="4D2E8EDB" w14:textId="77777777" w:rsidR="00637D3C" w:rsidRDefault="00637D3C" w:rsidP="00C03631">
      <w:pPr>
        <w:autoSpaceDE w:val="0"/>
        <w:autoSpaceDN w:val="0"/>
        <w:adjustRightInd w:val="0"/>
        <w:spacing w:after="0" w:line="360" w:lineRule="auto"/>
        <w:contextualSpacing/>
        <w:rPr>
          <w:rFonts w:cs="Tahoma"/>
        </w:rPr>
      </w:pPr>
      <w:r>
        <w:rPr>
          <w:bCs/>
        </w:rPr>
        <w:t xml:space="preserve">iii) </w:t>
      </w:r>
      <w:r w:rsidRPr="00537F14">
        <w:rPr>
          <w:rFonts w:cs="Tahoma"/>
        </w:rPr>
        <w:t xml:space="preserve">Oficio </w:t>
      </w:r>
      <w:r>
        <w:rPr>
          <w:rFonts w:cs="Tahoma"/>
        </w:rPr>
        <w:t xml:space="preserve">sin </w:t>
      </w:r>
      <w:r w:rsidRPr="00537F14">
        <w:rPr>
          <w:rFonts w:cs="Tahoma"/>
        </w:rPr>
        <w:t>número</w:t>
      </w:r>
      <w:r>
        <w:rPr>
          <w:rFonts w:cs="Tahoma"/>
        </w:rPr>
        <w:t xml:space="preserve"> del doce de abril de dos mil veinticuatro</w:t>
      </w:r>
      <w:r w:rsidRPr="00537F14">
        <w:rPr>
          <w:rFonts w:cs="Tahoma"/>
        </w:rPr>
        <w:t xml:space="preserve">, </w:t>
      </w:r>
      <w:r>
        <w:rPr>
          <w:rFonts w:cs="Tahoma"/>
        </w:rPr>
        <w:t>remitido en respuesta.</w:t>
      </w:r>
    </w:p>
    <w:p w14:paraId="0E2B4A18" w14:textId="77777777" w:rsidR="00637D3C" w:rsidRDefault="00637D3C" w:rsidP="00C03631">
      <w:pPr>
        <w:tabs>
          <w:tab w:val="left" w:pos="4667"/>
        </w:tabs>
        <w:spacing w:after="0" w:line="360" w:lineRule="auto"/>
        <w:ind w:right="567"/>
        <w:contextualSpacing/>
        <w:rPr>
          <w:bCs/>
        </w:rPr>
      </w:pPr>
    </w:p>
    <w:p w14:paraId="2DC628BA" w14:textId="77777777" w:rsidR="00637D3C" w:rsidRDefault="00637D3C" w:rsidP="00C03631">
      <w:pPr>
        <w:autoSpaceDE w:val="0"/>
        <w:autoSpaceDN w:val="0"/>
        <w:adjustRightInd w:val="0"/>
        <w:spacing w:after="0" w:line="360" w:lineRule="auto"/>
        <w:contextualSpacing/>
        <w:rPr>
          <w:rFonts w:cs="Tahoma"/>
        </w:rPr>
      </w:pPr>
      <w:r>
        <w:rPr>
          <w:bCs/>
        </w:rPr>
        <w:t xml:space="preserve">iv) </w:t>
      </w:r>
      <w:r w:rsidRPr="00537F14">
        <w:rPr>
          <w:rFonts w:cs="Tahoma"/>
        </w:rPr>
        <w:t>Oficio número</w:t>
      </w:r>
      <w:r>
        <w:rPr>
          <w:rFonts w:cs="Tahoma"/>
        </w:rPr>
        <w:t xml:space="preserve"> DSP/0349/2024</w:t>
      </w:r>
      <w:r w:rsidRPr="00537F14">
        <w:rPr>
          <w:rFonts w:cs="Tahoma"/>
        </w:rPr>
        <w:t>, d</w:t>
      </w:r>
      <w:r>
        <w:rPr>
          <w:rFonts w:cs="Tahoma"/>
        </w:rPr>
        <w:t>el diez de abril del dos mil veinticuatro, remitido en respuesta.</w:t>
      </w:r>
    </w:p>
    <w:p w14:paraId="26152F47" w14:textId="77777777" w:rsidR="00637D3C" w:rsidRDefault="00637D3C" w:rsidP="00C03631">
      <w:pPr>
        <w:autoSpaceDE w:val="0"/>
        <w:autoSpaceDN w:val="0"/>
        <w:adjustRightInd w:val="0"/>
        <w:spacing w:after="0" w:line="360" w:lineRule="auto"/>
        <w:contextualSpacing/>
        <w:rPr>
          <w:rFonts w:cs="Tahoma"/>
        </w:rPr>
      </w:pPr>
    </w:p>
    <w:p w14:paraId="15C38A1E" w14:textId="77777777" w:rsidR="00637D3C" w:rsidRDefault="00637D3C" w:rsidP="00C03631">
      <w:pPr>
        <w:autoSpaceDE w:val="0"/>
        <w:autoSpaceDN w:val="0"/>
        <w:adjustRightInd w:val="0"/>
        <w:spacing w:after="0" w:line="360" w:lineRule="auto"/>
        <w:contextualSpacing/>
        <w:rPr>
          <w:rFonts w:cs="Tahoma"/>
        </w:rPr>
      </w:pPr>
      <w:r>
        <w:rPr>
          <w:rFonts w:cs="Tahoma"/>
        </w:rPr>
        <w:t xml:space="preserve">v) </w:t>
      </w:r>
      <w:r w:rsidRPr="00537F14">
        <w:rPr>
          <w:rFonts w:cs="Tahoma"/>
        </w:rPr>
        <w:t>Oficio número</w:t>
      </w:r>
      <w:r>
        <w:rPr>
          <w:rFonts w:cs="Tahoma"/>
        </w:rPr>
        <w:t xml:space="preserve"> ST/UT/ECA/0336/2024</w:t>
      </w:r>
      <w:r w:rsidRPr="00537F14">
        <w:rPr>
          <w:rFonts w:cs="Tahoma"/>
        </w:rPr>
        <w:t>, d</w:t>
      </w:r>
      <w:r>
        <w:rPr>
          <w:rFonts w:cs="Tahoma"/>
        </w:rPr>
        <w:t>el dos de abril del dos mil veinticuatro</w:t>
      </w:r>
      <w:r w:rsidRPr="00537F14">
        <w:rPr>
          <w:rFonts w:cs="Tahoma"/>
        </w:rPr>
        <w:t>, suscrito p</w:t>
      </w:r>
      <w:r>
        <w:rPr>
          <w:rFonts w:cs="Tahoma"/>
        </w:rPr>
        <w:t>or la Directora de Administración</w:t>
      </w:r>
      <w:r w:rsidRPr="00537F14">
        <w:rPr>
          <w:rFonts w:cs="Tahoma"/>
        </w:rPr>
        <w:t xml:space="preserve">, y dirigido a </w:t>
      </w:r>
      <w:r>
        <w:rPr>
          <w:rFonts w:cs="Tahoma"/>
        </w:rPr>
        <w:t xml:space="preserve">la Encargada del Despacho de la </w:t>
      </w:r>
      <w:r w:rsidRPr="00537F14">
        <w:rPr>
          <w:rFonts w:cs="Tahoma"/>
        </w:rPr>
        <w:t xml:space="preserve">Unidad de Transparencia, </w:t>
      </w:r>
      <w:r>
        <w:rPr>
          <w:rFonts w:cs="Tahoma"/>
        </w:rPr>
        <w:t>dirigido a la Directora de Administración</w:t>
      </w:r>
      <w:r w:rsidRPr="00537F14">
        <w:rPr>
          <w:rFonts w:cs="Tahoma"/>
        </w:rPr>
        <w:t xml:space="preserve">, </w:t>
      </w:r>
      <w:r>
        <w:rPr>
          <w:rFonts w:cs="Tahoma"/>
        </w:rPr>
        <w:t>mediante el cual le requiere que remita respuesta a la solicitud de acceso a la información.</w:t>
      </w:r>
    </w:p>
    <w:p w14:paraId="099653C7" w14:textId="77777777" w:rsidR="00637D3C" w:rsidRDefault="00637D3C" w:rsidP="00C03631">
      <w:pPr>
        <w:autoSpaceDE w:val="0"/>
        <w:autoSpaceDN w:val="0"/>
        <w:adjustRightInd w:val="0"/>
        <w:spacing w:after="0" w:line="360" w:lineRule="auto"/>
        <w:contextualSpacing/>
        <w:rPr>
          <w:rFonts w:cs="Tahoma"/>
        </w:rPr>
      </w:pPr>
    </w:p>
    <w:p w14:paraId="6718B994" w14:textId="77777777" w:rsidR="00637D3C" w:rsidRDefault="00637D3C" w:rsidP="00C03631">
      <w:pPr>
        <w:autoSpaceDE w:val="0"/>
        <w:autoSpaceDN w:val="0"/>
        <w:adjustRightInd w:val="0"/>
        <w:spacing w:after="0" w:line="360" w:lineRule="auto"/>
        <w:contextualSpacing/>
        <w:rPr>
          <w:rFonts w:cs="Tahoma"/>
        </w:rPr>
      </w:pPr>
      <w:r>
        <w:rPr>
          <w:rFonts w:cs="Tahoma"/>
        </w:rPr>
        <w:t xml:space="preserve">vi) </w:t>
      </w:r>
      <w:r w:rsidRPr="00537F14">
        <w:rPr>
          <w:rFonts w:cs="Tahoma"/>
        </w:rPr>
        <w:t>Oficio número</w:t>
      </w:r>
      <w:r>
        <w:rPr>
          <w:rFonts w:cs="Tahoma"/>
        </w:rPr>
        <w:t xml:space="preserve"> ST/UT/ECA/0335/2024</w:t>
      </w:r>
      <w:r w:rsidRPr="00537F14">
        <w:rPr>
          <w:rFonts w:cs="Tahoma"/>
        </w:rPr>
        <w:t>, d</w:t>
      </w:r>
      <w:r>
        <w:rPr>
          <w:rFonts w:cs="Tahoma"/>
        </w:rPr>
        <w:t>el dos de abril del dos mil veinticuatro</w:t>
      </w:r>
      <w:r w:rsidRPr="00537F14">
        <w:rPr>
          <w:rFonts w:cs="Tahoma"/>
        </w:rPr>
        <w:t>, suscrito p</w:t>
      </w:r>
      <w:r>
        <w:rPr>
          <w:rFonts w:cs="Tahoma"/>
        </w:rPr>
        <w:t xml:space="preserve">or la encargada de Despacho de la </w:t>
      </w:r>
      <w:r w:rsidRPr="00537F14">
        <w:rPr>
          <w:rFonts w:cs="Tahoma"/>
        </w:rPr>
        <w:t xml:space="preserve">Unidad de Transparencia, </w:t>
      </w:r>
      <w:r>
        <w:rPr>
          <w:rFonts w:cs="Tahoma"/>
        </w:rPr>
        <w:t>dirigido al Director de Servicios Públicos</w:t>
      </w:r>
      <w:r w:rsidRPr="00537F14">
        <w:rPr>
          <w:rFonts w:cs="Tahoma"/>
        </w:rPr>
        <w:t xml:space="preserve">, </w:t>
      </w:r>
      <w:r>
        <w:rPr>
          <w:rFonts w:cs="Tahoma"/>
        </w:rPr>
        <w:t>mediante el cual le requiere que remita respuesta a la solicitud de acceso a la información.</w:t>
      </w:r>
    </w:p>
    <w:p w14:paraId="3A945D20" w14:textId="77777777" w:rsidR="00637D3C" w:rsidRDefault="00637D3C" w:rsidP="00C03631">
      <w:pPr>
        <w:autoSpaceDE w:val="0"/>
        <w:autoSpaceDN w:val="0"/>
        <w:adjustRightInd w:val="0"/>
        <w:spacing w:after="0" w:line="360" w:lineRule="auto"/>
        <w:contextualSpacing/>
        <w:rPr>
          <w:rFonts w:cs="Tahoma"/>
        </w:rPr>
      </w:pPr>
    </w:p>
    <w:p w14:paraId="68C55FDA" w14:textId="77777777" w:rsidR="00637D3C" w:rsidRDefault="00637D3C" w:rsidP="00C03631">
      <w:pPr>
        <w:autoSpaceDE w:val="0"/>
        <w:autoSpaceDN w:val="0"/>
        <w:adjustRightInd w:val="0"/>
        <w:spacing w:after="0" w:line="360" w:lineRule="auto"/>
        <w:contextualSpacing/>
        <w:rPr>
          <w:rFonts w:cs="Tahoma"/>
        </w:rPr>
      </w:pPr>
      <w:r>
        <w:rPr>
          <w:rFonts w:cs="Tahoma"/>
        </w:rPr>
        <w:t xml:space="preserve">vii) Copia de la solicitud de Acceso a la Información número </w:t>
      </w:r>
      <w:r w:rsidRPr="00637D3C">
        <w:rPr>
          <w:bCs/>
        </w:rPr>
        <w:t>00194/ECATEPEC/IP/2024.</w:t>
      </w:r>
    </w:p>
    <w:p w14:paraId="76FB161E" w14:textId="77777777" w:rsidR="00637D3C" w:rsidRDefault="00637D3C" w:rsidP="00C03631">
      <w:pPr>
        <w:autoSpaceDE w:val="0"/>
        <w:autoSpaceDN w:val="0"/>
        <w:adjustRightInd w:val="0"/>
        <w:spacing w:after="0" w:line="360" w:lineRule="auto"/>
        <w:contextualSpacing/>
        <w:rPr>
          <w:rFonts w:cs="Tahoma"/>
        </w:rPr>
      </w:pPr>
    </w:p>
    <w:p w14:paraId="198C7AA1" w14:textId="77777777" w:rsidR="00890E99" w:rsidRDefault="00890E99" w:rsidP="00C03631">
      <w:pPr>
        <w:spacing w:after="0" w:line="360" w:lineRule="auto"/>
        <w:contextualSpacing/>
        <w:rPr>
          <w:b/>
          <w:bCs/>
        </w:rPr>
      </w:pPr>
      <w:r w:rsidRPr="00306B1A">
        <w:rPr>
          <w:b/>
          <w:bCs/>
        </w:rPr>
        <w:t>Recurso de Revisión 0195</w:t>
      </w:r>
      <w:r>
        <w:rPr>
          <w:b/>
          <w:bCs/>
        </w:rPr>
        <w:t>7</w:t>
      </w:r>
      <w:r w:rsidRPr="00306B1A">
        <w:rPr>
          <w:b/>
          <w:bCs/>
        </w:rPr>
        <w:t>/INFOEM/IP/RR/2024</w:t>
      </w:r>
    </w:p>
    <w:p w14:paraId="3D494489" w14:textId="77777777" w:rsidR="00637D3C" w:rsidRDefault="00637D3C" w:rsidP="00C03631">
      <w:pPr>
        <w:autoSpaceDE w:val="0"/>
        <w:autoSpaceDN w:val="0"/>
        <w:adjustRightInd w:val="0"/>
        <w:spacing w:after="0" w:line="360" w:lineRule="auto"/>
        <w:contextualSpacing/>
        <w:rPr>
          <w:rFonts w:cs="Tahoma"/>
        </w:rPr>
      </w:pPr>
    </w:p>
    <w:p w14:paraId="3ED711A3" w14:textId="77777777" w:rsidR="00890E99" w:rsidRDefault="00890E99" w:rsidP="00C03631">
      <w:pPr>
        <w:autoSpaceDE w:val="0"/>
        <w:autoSpaceDN w:val="0"/>
        <w:adjustRightInd w:val="0"/>
        <w:spacing w:after="0" w:line="360" w:lineRule="auto"/>
        <w:contextualSpacing/>
        <w:rPr>
          <w:rFonts w:cs="Tahoma"/>
        </w:rPr>
      </w:pPr>
      <w:r w:rsidRPr="00537F14">
        <w:rPr>
          <w:rFonts w:cs="Tahoma"/>
        </w:rPr>
        <w:t xml:space="preserve">i) Oficio </w:t>
      </w:r>
      <w:r>
        <w:rPr>
          <w:rFonts w:cs="Tahoma"/>
        </w:rPr>
        <w:t xml:space="preserve">sin </w:t>
      </w:r>
      <w:r w:rsidRPr="00537F14">
        <w:rPr>
          <w:rFonts w:cs="Tahoma"/>
        </w:rPr>
        <w:t>número</w:t>
      </w:r>
      <w:r>
        <w:rPr>
          <w:rFonts w:cs="Tahoma"/>
        </w:rPr>
        <w:t xml:space="preserve"> del doce de abril de dos mil veinticuatro</w:t>
      </w:r>
      <w:r w:rsidRPr="00537F14">
        <w:rPr>
          <w:rFonts w:cs="Tahoma"/>
        </w:rPr>
        <w:t>,</w:t>
      </w:r>
      <w:r>
        <w:rPr>
          <w:rFonts w:cs="Tahoma"/>
        </w:rPr>
        <w:t xml:space="preserve"> remitido en respuesta.</w:t>
      </w:r>
      <w:r w:rsidRPr="00537F14">
        <w:rPr>
          <w:rFonts w:cs="Tahoma"/>
        </w:rPr>
        <w:t xml:space="preserve"> </w:t>
      </w:r>
    </w:p>
    <w:p w14:paraId="5BCC7A32" w14:textId="77777777" w:rsidR="00890E99" w:rsidRDefault="00890E99" w:rsidP="00C03631">
      <w:pPr>
        <w:autoSpaceDE w:val="0"/>
        <w:autoSpaceDN w:val="0"/>
        <w:adjustRightInd w:val="0"/>
        <w:spacing w:after="0" w:line="360" w:lineRule="auto"/>
        <w:contextualSpacing/>
        <w:rPr>
          <w:rFonts w:cs="Tahoma"/>
        </w:rPr>
      </w:pPr>
    </w:p>
    <w:p w14:paraId="4E78C427" w14:textId="77777777" w:rsidR="00890E99" w:rsidRDefault="00890E99" w:rsidP="00C03631">
      <w:pPr>
        <w:autoSpaceDE w:val="0"/>
        <w:autoSpaceDN w:val="0"/>
        <w:adjustRightInd w:val="0"/>
        <w:spacing w:after="0" w:line="360" w:lineRule="auto"/>
        <w:contextualSpacing/>
        <w:rPr>
          <w:rFonts w:cs="Tahoma"/>
        </w:rPr>
      </w:pPr>
      <w:r w:rsidRPr="00537F14">
        <w:rPr>
          <w:rFonts w:cs="Tahoma"/>
        </w:rPr>
        <w:lastRenderedPageBreak/>
        <w:t>i</w:t>
      </w:r>
      <w:r>
        <w:rPr>
          <w:rFonts w:cs="Tahoma"/>
        </w:rPr>
        <w:t>i</w:t>
      </w:r>
      <w:r w:rsidRPr="00537F14">
        <w:rPr>
          <w:rFonts w:cs="Tahoma"/>
        </w:rPr>
        <w:t>) Oficio número</w:t>
      </w:r>
      <w:r>
        <w:rPr>
          <w:rFonts w:cs="Tahoma"/>
        </w:rPr>
        <w:t xml:space="preserve"> DA/ECA/SAYL/0944/2024</w:t>
      </w:r>
      <w:r w:rsidRPr="00537F14">
        <w:rPr>
          <w:rFonts w:cs="Tahoma"/>
        </w:rPr>
        <w:t>, d</w:t>
      </w:r>
      <w:r>
        <w:rPr>
          <w:rFonts w:cs="Tahoma"/>
        </w:rPr>
        <w:t>el nueve de abril del dos mil veinticuatro</w:t>
      </w:r>
      <w:r w:rsidRPr="00537F14">
        <w:rPr>
          <w:rFonts w:cs="Tahoma"/>
        </w:rPr>
        <w:t xml:space="preserve">, </w:t>
      </w:r>
      <w:r>
        <w:rPr>
          <w:rFonts w:cs="Tahoma"/>
        </w:rPr>
        <w:t>remitido en respuesta.</w:t>
      </w:r>
    </w:p>
    <w:p w14:paraId="0A09ECE7" w14:textId="77777777" w:rsidR="00890E99" w:rsidRDefault="00890E99" w:rsidP="00C03631">
      <w:pPr>
        <w:autoSpaceDE w:val="0"/>
        <w:autoSpaceDN w:val="0"/>
        <w:adjustRightInd w:val="0"/>
        <w:spacing w:after="0" w:line="360" w:lineRule="auto"/>
        <w:contextualSpacing/>
        <w:rPr>
          <w:rFonts w:cs="Tahoma"/>
          <w:i/>
          <w:sz w:val="20"/>
          <w:szCs w:val="20"/>
        </w:rPr>
      </w:pPr>
    </w:p>
    <w:p w14:paraId="39D22080" w14:textId="77777777" w:rsidR="00890E99" w:rsidRPr="00537F14" w:rsidRDefault="00890E99" w:rsidP="00C03631">
      <w:pPr>
        <w:autoSpaceDE w:val="0"/>
        <w:autoSpaceDN w:val="0"/>
        <w:adjustRightInd w:val="0"/>
        <w:spacing w:after="0" w:line="360" w:lineRule="auto"/>
        <w:contextualSpacing/>
        <w:rPr>
          <w:rFonts w:cs="Tahoma"/>
        </w:rPr>
      </w:pPr>
      <w:r>
        <w:rPr>
          <w:rFonts w:cs="Tahoma"/>
        </w:rPr>
        <w:t>iii) Anexo 1 que contiene el procedimiento para acceder a la información, remitido en respuesta.</w:t>
      </w:r>
    </w:p>
    <w:p w14:paraId="4D35AC62" w14:textId="77777777" w:rsidR="00890E99" w:rsidRDefault="00890E99" w:rsidP="00C03631">
      <w:pPr>
        <w:tabs>
          <w:tab w:val="left" w:pos="567"/>
        </w:tabs>
        <w:spacing w:after="0" w:line="360" w:lineRule="auto"/>
        <w:ind w:right="567"/>
        <w:contextualSpacing/>
        <w:rPr>
          <w:b/>
          <w:bCs/>
        </w:rPr>
      </w:pPr>
    </w:p>
    <w:p w14:paraId="1F231C4C" w14:textId="77777777" w:rsidR="00890E99" w:rsidRDefault="00890E99" w:rsidP="00C03631">
      <w:pPr>
        <w:autoSpaceDE w:val="0"/>
        <w:autoSpaceDN w:val="0"/>
        <w:adjustRightInd w:val="0"/>
        <w:spacing w:after="0" w:line="360" w:lineRule="auto"/>
        <w:contextualSpacing/>
        <w:rPr>
          <w:rFonts w:cs="Tahoma"/>
        </w:rPr>
      </w:pPr>
      <w:r w:rsidRPr="00375431">
        <w:rPr>
          <w:bCs/>
        </w:rPr>
        <w:t>iv)</w:t>
      </w:r>
      <w:r>
        <w:rPr>
          <w:bCs/>
        </w:rPr>
        <w:t xml:space="preserve"> </w:t>
      </w:r>
      <w:r w:rsidRPr="00537F14">
        <w:rPr>
          <w:rFonts w:cs="Tahoma"/>
        </w:rPr>
        <w:t xml:space="preserve">Oficio </w:t>
      </w:r>
      <w:r>
        <w:rPr>
          <w:rFonts w:cs="Tahoma"/>
        </w:rPr>
        <w:t xml:space="preserve">sin </w:t>
      </w:r>
      <w:r w:rsidRPr="00537F14">
        <w:rPr>
          <w:rFonts w:cs="Tahoma"/>
        </w:rPr>
        <w:t>número</w:t>
      </w:r>
      <w:r>
        <w:rPr>
          <w:rFonts w:cs="Tahoma"/>
        </w:rPr>
        <w:t xml:space="preserve"> del doce de abril de dos mil veinticuatro</w:t>
      </w:r>
      <w:r w:rsidRPr="00537F14">
        <w:rPr>
          <w:rFonts w:cs="Tahoma"/>
        </w:rPr>
        <w:t xml:space="preserve">, </w:t>
      </w:r>
      <w:r>
        <w:rPr>
          <w:rFonts w:cs="Tahoma"/>
        </w:rPr>
        <w:t>remitido en respuesta.</w:t>
      </w:r>
    </w:p>
    <w:p w14:paraId="21014A48" w14:textId="77777777" w:rsidR="00890E99" w:rsidRDefault="00890E99" w:rsidP="00C03631">
      <w:pPr>
        <w:tabs>
          <w:tab w:val="left" w:pos="567"/>
        </w:tabs>
        <w:spacing w:after="0" w:line="360" w:lineRule="auto"/>
        <w:ind w:right="567"/>
        <w:contextualSpacing/>
        <w:rPr>
          <w:bCs/>
        </w:rPr>
      </w:pPr>
    </w:p>
    <w:p w14:paraId="498B6840" w14:textId="77777777" w:rsidR="00890E99" w:rsidRDefault="00890E99" w:rsidP="00C03631">
      <w:pPr>
        <w:autoSpaceDE w:val="0"/>
        <w:autoSpaceDN w:val="0"/>
        <w:adjustRightInd w:val="0"/>
        <w:spacing w:after="0" w:line="360" w:lineRule="auto"/>
        <w:contextualSpacing/>
        <w:rPr>
          <w:rFonts w:cs="Tahoma"/>
        </w:rPr>
      </w:pPr>
      <w:r>
        <w:rPr>
          <w:bCs/>
        </w:rPr>
        <w:t xml:space="preserve">v) </w:t>
      </w:r>
      <w:r w:rsidRPr="00537F14">
        <w:rPr>
          <w:rFonts w:cs="Tahoma"/>
        </w:rPr>
        <w:t>Oficio número</w:t>
      </w:r>
      <w:r>
        <w:rPr>
          <w:rFonts w:cs="Tahoma"/>
        </w:rPr>
        <w:t xml:space="preserve"> DSP/ECA/0350/2024</w:t>
      </w:r>
      <w:r w:rsidRPr="00537F14">
        <w:rPr>
          <w:rFonts w:cs="Tahoma"/>
        </w:rPr>
        <w:t>, d</w:t>
      </w:r>
      <w:r>
        <w:rPr>
          <w:rFonts w:cs="Tahoma"/>
        </w:rPr>
        <w:t>el diez de abril del dos mil veinticuatro</w:t>
      </w:r>
      <w:r w:rsidRPr="00537F14">
        <w:rPr>
          <w:rFonts w:cs="Tahoma"/>
        </w:rPr>
        <w:t xml:space="preserve">, </w:t>
      </w:r>
      <w:r>
        <w:rPr>
          <w:rFonts w:cs="Tahoma"/>
        </w:rPr>
        <w:t>remitido en respuesta.</w:t>
      </w:r>
    </w:p>
    <w:p w14:paraId="042B2CA8" w14:textId="77777777" w:rsidR="00890E99" w:rsidRDefault="00890E99" w:rsidP="00C03631">
      <w:pPr>
        <w:autoSpaceDE w:val="0"/>
        <w:autoSpaceDN w:val="0"/>
        <w:adjustRightInd w:val="0"/>
        <w:spacing w:after="0" w:line="360" w:lineRule="auto"/>
        <w:contextualSpacing/>
        <w:rPr>
          <w:rFonts w:cs="Tahoma"/>
        </w:rPr>
      </w:pPr>
    </w:p>
    <w:p w14:paraId="075CCE80" w14:textId="77777777" w:rsidR="00890E99" w:rsidRDefault="00890E99" w:rsidP="00C03631">
      <w:pPr>
        <w:autoSpaceDE w:val="0"/>
        <w:autoSpaceDN w:val="0"/>
        <w:adjustRightInd w:val="0"/>
        <w:spacing w:after="0" w:line="360" w:lineRule="auto"/>
        <w:contextualSpacing/>
        <w:rPr>
          <w:rFonts w:cs="Tahoma"/>
        </w:rPr>
      </w:pPr>
      <w:r>
        <w:rPr>
          <w:rFonts w:cs="Tahoma"/>
        </w:rPr>
        <w:t xml:space="preserve">vi) </w:t>
      </w:r>
      <w:r w:rsidRPr="00537F14">
        <w:rPr>
          <w:rFonts w:cs="Tahoma"/>
        </w:rPr>
        <w:t>Oficio número</w:t>
      </w:r>
      <w:r>
        <w:rPr>
          <w:rFonts w:cs="Tahoma"/>
        </w:rPr>
        <w:t xml:space="preserve"> ST/UT/ECA/0329/2024</w:t>
      </w:r>
      <w:r w:rsidRPr="00537F14">
        <w:rPr>
          <w:rFonts w:cs="Tahoma"/>
        </w:rPr>
        <w:t>, d</w:t>
      </w:r>
      <w:r>
        <w:rPr>
          <w:rFonts w:cs="Tahoma"/>
        </w:rPr>
        <w:t>el dos de abril del dos mil veinticuatro</w:t>
      </w:r>
      <w:r w:rsidRPr="00537F14">
        <w:rPr>
          <w:rFonts w:cs="Tahoma"/>
        </w:rPr>
        <w:t>, suscrito p</w:t>
      </w:r>
      <w:r>
        <w:rPr>
          <w:rFonts w:cs="Tahoma"/>
        </w:rPr>
        <w:t xml:space="preserve">or la encargada de Despacho de la </w:t>
      </w:r>
      <w:r w:rsidRPr="00537F14">
        <w:rPr>
          <w:rFonts w:cs="Tahoma"/>
        </w:rPr>
        <w:t xml:space="preserve">Unidad de Transparencia, </w:t>
      </w:r>
      <w:r>
        <w:rPr>
          <w:rFonts w:cs="Tahoma"/>
        </w:rPr>
        <w:t>dirigido a la Directora de Servicios Públicos</w:t>
      </w:r>
      <w:r w:rsidRPr="00537F14">
        <w:rPr>
          <w:rFonts w:cs="Tahoma"/>
        </w:rPr>
        <w:t xml:space="preserve">, </w:t>
      </w:r>
      <w:r>
        <w:rPr>
          <w:rFonts w:cs="Tahoma"/>
        </w:rPr>
        <w:t>mediante el cual le requiere que remita respuesta a la solicitud de acceso a la información.</w:t>
      </w:r>
    </w:p>
    <w:p w14:paraId="0E6AB116" w14:textId="77777777" w:rsidR="00890E99" w:rsidRDefault="00890E99" w:rsidP="00C03631">
      <w:pPr>
        <w:autoSpaceDE w:val="0"/>
        <w:autoSpaceDN w:val="0"/>
        <w:adjustRightInd w:val="0"/>
        <w:spacing w:after="0" w:line="360" w:lineRule="auto"/>
        <w:contextualSpacing/>
        <w:rPr>
          <w:rFonts w:cs="Tahoma"/>
        </w:rPr>
      </w:pPr>
    </w:p>
    <w:p w14:paraId="2E184F64" w14:textId="77777777" w:rsidR="00890E99" w:rsidRDefault="00890E99" w:rsidP="00C03631">
      <w:pPr>
        <w:autoSpaceDE w:val="0"/>
        <w:autoSpaceDN w:val="0"/>
        <w:adjustRightInd w:val="0"/>
        <w:spacing w:after="0" w:line="360" w:lineRule="auto"/>
        <w:contextualSpacing/>
        <w:rPr>
          <w:rFonts w:cs="Tahoma"/>
        </w:rPr>
      </w:pPr>
      <w:r>
        <w:rPr>
          <w:rFonts w:cs="Tahoma"/>
        </w:rPr>
        <w:t xml:space="preserve">vi) </w:t>
      </w:r>
      <w:r w:rsidRPr="00537F14">
        <w:rPr>
          <w:rFonts w:cs="Tahoma"/>
        </w:rPr>
        <w:t>Oficio número</w:t>
      </w:r>
      <w:r>
        <w:rPr>
          <w:rFonts w:cs="Tahoma"/>
        </w:rPr>
        <w:t xml:space="preserve"> ST/UT/ECA/0335/2024</w:t>
      </w:r>
      <w:r w:rsidRPr="00537F14">
        <w:rPr>
          <w:rFonts w:cs="Tahoma"/>
        </w:rPr>
        <w:t>, d</w:t>
      </w:r>
      <w:r>
        <w:rPr>
          <w:rFonts w:cs="Tahoma"/>
        </w:rPr>
        <w:t>el dos de abril del dos mil veinticuatro</w:t>
      </w:r>
      <w:r w:rsidRPr="00537F14">
        <w:rPr>
          <w:rFonts w:cs="Tahoma"/>
        </w:rPr>
        <w:t>, suscrito p</w:t>
      </w:r>
      <w:r>
        <w:rPr>
          <w:rFonts w:cs="Tahoma"/>
        </w:rPr>
        <w:t xml:space="preserve">or la encargada de Despacho de la </w:t>
      </w:r>
      <w:r w:rsidRPr="00537F14">
        <w:rPr>
          <w:rFonts w:cs="Tahoma"/>
        </w:rPr>
        <w:t xml:space="preserve">Unidad de Transparencia, </w:t>
      </w:r>
      <w:r>
        <w:rPr>
          <w:rFonts w:cs="Tahoma"/>
        </w:rPr>
        <w:t>dirigido a la Directora de Administración</w:t>
      </w:r>
      <w:r w:rsidRPr="00537F14">
        <w:rPr>
          <w:rFonts w:cs="Tahoma"/>
        </w:rPr>
        <w:t xml:space="preserve">, </w:t>
      </w:r>
      <w:r>
        <w:rPr>
          <w:rFonts w:cs="Tahoma"/>
        </w:rPr>
        <w:t>mediante el cual le requiere que remita respuesta a la solicitud de acceso a la información.</w:t>
      </w:r>
    </w:p>
    <w:p w14:paraId="75AA8438" w14:textId="77777777" w:rsidR="00890E99" w:rsidRDefault="00890E99" w:rsidP="00C03631">
      <w:pPr>
        <w:autoSpaceDE w:val="0"/>
        <w:autoSpaceDN w:val="0"/>
        <w:adjustRightInd w:val="0"/>
        <w:spacing w:after="0" w:line="360" w:lineRule="auto"/>
        <w:contextualSpacing/>
        <w:rPr>
          <w:rFonts w:cs="Tahoma"/>
        </w:rPr>
      </w:pPr>
    </w:p>
    <w:p w14:paraId="299F50D5" w14:textId="77777777" w:rsidR="00890E99" w:rsidRDefault="00890E99" w:rsidP="00C03631">
      <w:pPr>
        <w:autoSpaceDE w:val="0"/>
        <w:autoSpaceDN w:val="0"/>
        <w:adjustRightInd w:val="0"/>
        <w:spacing w:after="0" w:line="360" w:lineRule="auto"/>
        <w:contextualSpacing/>
        <w:rPr>
          <w:rFonts w:cs="Tahoma"/>
        </w:rPr>
      </w:pPr>
      <w:r>
        <w:rPr>
          <w:rFonts w:cs="Tahoma"/>
        </w:rPr>
        <w:t xml:space="preserve">vii) Copia de la solicitud de Acceso a la Información número </w:t>
      </w:r>
      <w:r>
        <w:rPr>
          <w:bCs/>
        </w:rPr>
        <w:t>00189</w:t>
      </w:r>
      <w:r w:rsidRPr="00637D3C">
        <w:rPr>
          <w:bCs/>
        </w:rPr>
        <w:t>/ECATEPEC/IP/2024.</w:t>
      </w:r>
    </w:p>
    <w:p w14:paraId="5FECB1DA" w14:textId="77777777" w:rsidR="00306B1A" w:rsidRPr="00854A8C" w:rsidRDefault="00306B1A" w:rsidP="00C03631">
      <w:pPr>
        <w:spacing w:after="0" w:line="360" w:lineRule="auto"/>
        <w:contextualSpacing/>
        <w:rPr>
          <w:rFonts w:eastAsia="Palatino Linotype" w:cs="Palatino Linotype"/>
          <w:b/>
          <w:bCs/>
          <w:lang w:val="es-ES"/>
        </w:rPr>
      </w:pPr>
    </w:p>
    <w:p w14:paraId="166FD40F" w14:textId="77777777" w:rsidR="003B6CD2" w:rsidRPr="003B6CD2" w:rsidRDefault="00890E99" w:rsidP="00C03631">
      <w:pPr>
        <w:spacing w:after="0" w:line="360" w:lineRule="auto"/>
        <w:contextualSpacing/>
        <w:rPr>
          <w:rFonts w:eastAsia="Times New Roman" w:cs="Tahoma"/>
          <w:color w:val="auto"/>
          <w:lang w:eastAsia="es-ES"/>
        </w:rPr>
      </w:pPr>
      <w:r>
        <w:rPr>
          <w:rFonts w:eastAsia="Times New Roman" w:cs="Tahoma"/>
          <w:b/>
          <w:color w:val="auto"/>
          <w:lang w:eastAsia="es-ES"/>
        </w:rPr>
        <w:t>f</w:t>
      </w:r>
      <w:r w:rsidR="00306B1A" w:rsidRPr="00854A8C">
        <w:rPr>
          <w:rFonts w:eastAsia="Times New Roman" w:cs="Tahoma"/>
          <w:b/>
          <w:color w:val="auto"/>
          <w:lang w:eastAsia="es-ES"/>
        </w:rPr>
        <w:t xml:space="preserve">) </w:t>
      </w:r>
      <w:r w:rsidR="003B6CD2">
        <w:rPr>
          <w:rFonts w:eastAsia="Times New Roman" w:cs="Tahoma"/>
          <w:b/>
          <w:color w:val="auto"/>
          <w:lang w:eastAsia="es-ES"/>
        </w:rPr>
        <w:t xml:space="preserve">Manifestaciones. </w:t>
      </w:r>
      <w:r w:rsidR="003B6CD2">
        <w:rPr>
          <w:rFonts w:eastAsia="Times New Roman" w:cs="Tahoma"/>
          <w:color w:val="auto"/>
          <w:lang w:eastAsia="es-ES"/>
        </w:rPr>
        <w:t xml:space="preserve">Con fecha veinte de abril de dos mil veinticuatro, el Particular realizó diversas manifestaciones tendientes a inconformarse con la respuesta remitida a su solicitud de información </w:t>
      </w:r>
      <w:r w:rsidR="003B6CD2">
        <w:rPr>
          <w:bCs/>
        </w:rPr>
        <w:t>00189</w:t>
      </w:r>
      <w:r w:rsidR="003B6CD2" w:rsidRPr="00637D3C">
        <w:rPr>
          <w:bCs/>
        </w:rPr>
        <w:t>/ECATEPEC/IP/2024</w:t>
      </w:r>
      <w:r w:rsidR="003B6CD2">
        <w:rPr>
          <w:bCs/>
        </w:rPr>
        <w:t>.</w:t>
      </w:r>
    </w:p>
    <w:p w14:paraId="5B271173" w14:textId="77777777" w:rsidR="003B6CD2" w:rsidRDefault="003B6CD2" w:rsidP="00C03631">
      <w:pPr>
        <w:spacing w:after="0" w:line="360" w:lineRule="auto"/>
        <w:contextualSpacing/>
        <w:rPr>
          <w:rFonts w:eastAsia="Times New Roman" w:cs="Tahoma"/>
          <w:b/>
          <w:color w:val="auto"/>
          <w:lang w:eastAsia="es-ES"/>
        </w:rPr>
      </w:pPr>
    </w:p>
    <w:p w14:paraId="04D545FE" w14:textId="77777777" w:rsidR="00306B1A" w:rsidRPr="00854A8C" w:rsidRDefault="003B6CD2" w:rsidP="00C03631">
      <w:pPr>
        <w:spacing w:after="0" w:line="360" w:lineRule="auto"/>
        <w:contextualSpacing/>
        <w:rPr>
          <w:rFonts w:cs="Tahoma"/>
          <w:b/>
          <w:lang w:val="es-ES_tradnl"/>
        </w:rPr>
      </w:pPr>
      <w:r>
        <w:rPr>
          <w:rFonts w:eastAsia="Times New Roman" w:cs="Tahoma"/>
          <w:b/>
          <w:color w:val="auto"/>
          <w:lang w:eastAsia="es-ES"/>
        </w:rPr>
        <w:lastRenderedPageBreak/>
        <w:t xml:space="preserve">g) </w:t>
      </w:r>
      <w:r w:rsidR="00306B1A" w:rsidRPr="00854A8C">
        <w:rPr>
          <w:rFonts w:eastAsia="Times New Roman" w:cs="Tahoma"/>
          <w:b/>
          <w:color w:val="auto"/>
          <w:lang w:eastAsia="es-ES"/>
        </w:rPr>
        <w:t xml:space="preserve">Acumulación de los asuntos. </w:t>
      </w:r>
      <w:r w:rsidR="00306B1A" w:rsidRPr="00854A8C">
        <w:rPr>
          <w:rFonts w:eastAsia="Times New Roman" w:cs="Tahoma"/>
          <w:color w:val="auto"/>
          <w:lang w:eastAsia="es-ES"/>
        </w:rPr>
        <w:t>El</w:t>
      </w:r>
      <w:r w:rsidR="00306B1A" w:rsidRPr="00854A8C">
        <w:rPr>
          <w:rFonts w:eastAsia="Times New Roman" w:cs="Tahoma"/>
          <w:b/>
          <w:color w:val="auto"/>
          <w:lang w:eastAsia="es-ES"/>
        </w:rPr>
        <w:t xml:space="preserve"> </w:t>
      </w:r>
      <w:r w:rsidR="00890E99">
        <w:rPr>
          <w:rFonts w:eastAsia="Times New Roman" w:cs="Tahoma"/>
          <w:bCs/>
          <w:color w:val="auto"/>
          <w:lang w:eastAsia="es-ES"/>
        </w:rPr>
        <w:t>nueve de mayo</w:t>
      </w:r>
      <w:r w:rsidR="00306B1A" w:rsidRPr="00854A8C">
        <w:rPr>
          <w:rFonts w:eastAsia="Times New Roman" w:cs="Tahoma"/>
          <w:bCs/>
          <w:color w:val="auto"/>
          <w:lang w:eastAsia="es-ES"/>
        </w:rPr>
        <w:t xml:space="preserve"> de dos mil veinticuatro, el Pleno del Instituto de Transparencia, Acceso a la Información Pública y Protección de Datos Personales del Estado de Méx</w:t>
      </w:r>
      <w:r w:rsidR="00B4433D">
        <w:rPr>
          <w:rFonts w:eastAsia="Times New Roman" w:cs="Tahoma"/>
          <w:bCs/>
          <w:color w:val="auto"/>
          <w:lang w:eastAsia="es-ES"/>
        </w:rPr>
        <w:t>ico y Municipios, durante la Déc</w:t>
      </w:r>
      <w:r w:rsidR="00306B1A" w:rsidRPr="00854A8C">
        <w:rPr>
          <w:rFonts w:eastAsia="Times New Roman" w:cs="Tahoma"/>
          <w:bCs/>
          <w:color w:val="auto"/>
          <w:lang w:eastAsia="es-ES"/>
        </w:rPr>
        <w:t>ima</w:t>
      </w:r>
      <w:r w:rsidR="00B4433D">
        <w:rPr>
          <w:rFonts w:eastAsia="Times New Roman" w:cs="Tahoma"/>
          <w:bCs/>
          <w:color w:val="auto"/>
          <w:lang w:eastAsia="es-ES"/>
        </w:rPr>
        <w:t xml:space="preserve"> Sexta</w:t>
      </w:r>
      <w:r w:rsidR="00306B1A" w:rsidRPr="00854A8C">
        <w:rPr>
          <w:rFonts w:eastAsia="Times New Roman" w:cs="Tahoma"/>
          <w:bCs/>
          <w:color w:val="auto"/>
          <w:lang w:eastAsia="es-ES"/>
        </w:rPr>
        <w:t xml:space="preserve">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306B1A" w:rsidRPr="00854A8C">
        <w:rPr>
          <w:rFonts w:eastAsia="Times New Roman" w:cs="Tahoma"/>
          <w:b/>
          <w:bCs/>
          <w:color w:val="auto"/>
          <w:lang w:eastAsia="es-ES"/>
        </w:rPr>
        <w:t>acordó</w:t>
      </w:r>
      <w:r w:rsidR="00306B1A" w:rsidRPr="00854A8C">
        <w:rPr>
          <w:rFonts w:eastAsia="Times New Roman" w:cs="Tahoma"/>
          <w:bCs/>
          <w:color w:val="auto"/>
          <w:lang w:eastAsia="es-ES"/>
        </w:rPr>
        <w:t xml:space="preserve"> la acumulación del Recurso de Revisión </w:t>
      </w:r>
      <w:r w:rsidR="00890E99" w:rsidRPr="00F441FC">
        <w:rPr>
          <w:b/>
          <w:bCs/>
        </w:rPr>
        <w:t>0</w:t>
      </w:r>
      <w:r w:rsidR="00306B1A" w:rsidRPr="00F441FC">
        <w:rPr>
          <w:b/>
          <w:bCs/>
        </w:rPr>
        <w:t>1</w:t>
      </w:r>
      <w:r w:rsidR="00890E99" w:rsidRPr="00F441FC">
        <w:rPr>
          <w:b/>
          <w:bCs/>
        </w:rPr>
        <w:t>957</w:t>
      </w:r>
      <w:r w:rsidR="00306B1A" w:rsidRPr="00F441FC">
        <w:rPr>
          <w:b/>
          <w:bCs/>
        </w:rPr>
        <w:t>/INFOEM/IP/RR/2024</w:t>
      </w:r>
      <w:r w:rsidR="00306B1A" w:rsidRPr="00854A8C">
        <w:t xml:space="preserve"> </w:t>
      </w:r>
      <w:r w:rsidR="00306B1A" w:rsidRPr="00854A8C">
        <w:rPr>
          <w:rFonts w:eastAsia="Times New Roman" w:cs="Tahoma"/>
          <w:color w:val="auto"/>
          <w:lang w:eastAsia="es-ES"/>
        </w:rPr>
        <w:t xml:space="preserve">al diverso </w:t>
      </w:r>
      <w:r w:rsidR="00890E99" w:rsidRPr="00F441FC">
        <w:rPr>
          <w:b/>
          <w:bCs/>
        </w:rPr>
        <w:t>01956</w:t>
      </w:r>
      <w:r w:rsidR="00306B1A" w:rsidRPr="00F441FC">
        <w:rPr>
          <w:b/>
          <w:bCs/>
        </w:rPr>
        <w:t>/INFOEM/IP/RR/2024</w:t>
      </w:r>
      <w:r w:rsidR="00306B1A" w:rsidRPr="00854A8C">
        <w:rPr>
          <w:bCs/>
        </w:rPr>
        <w:t>,</w:t>
      </w:r>
      <w:r w:rsidR="00306B1A" w:rsidRPr="00854A8C">
        <w:rPr>
          <w:b/>
          <w:bCs/>
        </w:rPr>
        <w:t xml:space="preserve"> </w:t>
      </w:r>
      <w:r w:rsidR="00306B1A" w:rsidRPr="00854A8C">
        <w:rPr>
          <w:rFonts w:eastAsia="Times New Roman" w:cs="Tahoma"/>
          <w:bCs/>
          <w:color w:val="auto"/>
          <w:lang w:eastAsia="es-ES"/>
        </w:rPr>
        <w:t>por ser este último el más antiguo, sustanciado bajo el índice de esta Ponencia.</w:t>
      </w:r>
    </w:p>
    <w:p w14:paraId="04EAD341" w14:textId="77777777" w:rsidR="00306B1A" w:rsidRPr="00854A8C" w:rsidRDefault="00306B1A" w:rsidP="00C03631">
      <w:pPr>
        <w:spacing w:after="0" w:line="360" w:lineRule="auto"/>
        <w:contextualSpacing/>
        <w:rPr>
          <w:rFonts w:eastAsia="Palatino Linotype" w:cs="Palatino Linotype"/>
          <w:b/>
          <w:bCs/>
          <w:lang w:val="es-ES"/>
        </w:rPr>
      </w:pPr>
    </w:p>
    <w:p w14:paraId="3FB71E02" w14:textId="53991933" w:rsidR="00306B1A" w:rsidRPr="00854A8C" w:rsidRDefault="003B6CD2" w:rsidP="00C03631">
      <w:pPr>
        <w:spacing w:after="0" w:line="360" w:lineRule="auto"/>
        <w:contextualSpacing/>
        <w:rPr>
          <w:rFonts w:eastAsia="Palatino Linotype" w:cs="Palatino Linotype"/>
          <w:lang w:val="es-ES"/>
        </w:rPr>
      </w:pPr>
      <w:r>
        <w:rPr>
          <w:rFonts w:eastAsia="Palatino Linotype" w:cs="Palatino Linotype"/>
          <w:b/>
          <w:bCs/>
          <w:lang w:val="es-ES"/>
        </w:rPr>
        <w:t>h</w:t>
      </w:r>
      <w:r w:rsidR="00306B1A" w:rsidRPr="00854A8C">
        <w:rPr>
          <w:rFonts w:eastAsia="Palatino Linotype" w:cs="Palatino Linotype"/>
          <w:b/>
          <w:bCs/>
          <w:lang w:val="es-ES"/>
        </w:rPr>
        <w:t xml:space="preserve">) Ampliación de plazo para resolver. </w:t>
      </w:r>
      <w:r w:rsidR="00B4433D">
        <w:rPr>
          <w:rFonts w:eastAsia="Palatino Linotype" w:cs="Palatino Linotype"/>
          <w:lang w:val="es-ES"/>
        </w:rPr>
        <w:t xml:space="preserve">El </w:t>
      </w:r>
      <w:r w:rsidR="00F441FC">
        <w:rPr>
          <w:rFonts w:eastAsia="Palatino Linotype" w:cs="Palatino Linotype"/>
          <w:lang w:val="es-ES"/>
        </w:rPr>
        <w:t xml:space="preserve">diez de septiembre </w:t>
      </w:r>
      <w:r w:rsidR="00306B1A" w:rsidRPr="00854A8C">
        <w:rPr>
          <w:rFonts w:eastAsia="Palatino Linotype" w:cs="Palatino Linotype"/>
          <w:lang w:val="es-ES"/>
        </w:rPr>
        <w:t xml:space="preserve">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w:t>
      </w:r>
      <w:r w:rsidR="00F441FC">
        <w:rPr>
          <w:rFonts w:eastAsia="Palatino Linotype" w:cs="Palatino Linotype"/>
          <w:lang w:val="es-ES"/>
        </w:rPr>
        <w:t>mismo día</w:t>
      </w:r>
      <w:r w:rsidR="00306B1A" w:rsidRPr="00854A8C">
        <w:rPr>
          <w:rFonts w:eastAsia="Palatino Linotype" w:cs="Palatino Linotype"/>
          <w:lang w:val="es-ES"/>
        </w:rPr>
        <w:t>, mediante el Sistema de Acceso a la Información Mexiquense (SAIMEX).</w:t>
      </w:r>
    </w:p>
    <w:p w14:paraId="6F0711CF" w14:textId="77777777" w:rsidR="00306B1A" w:rsidRPr="00854A8C" w:rsidRDefault="00306B1A" w:rsidP="00C03631">
      <w:pPr>
        <w:spacing w:after="0" w:line="360" w:lineRule="auto"/>
        <w:contextualSpacing/>
        <w:rPr>
          <w:rFonts w:eastAsia="Palatino Linotype" w:cs="Palatino Linotype"/>
          <w:lang w:val="es-ES"/>
        </w:rPr>
      </w:pPr>
    </w:p>
    <w:p w14:paraId="7D431F4B" w14:textId="77777777" w:rsidR="00306B1A" w:rsidRPr="00854A8C" w:rsidRDefault="00306B1A" w:rsidP="00C03631">
      <w:pPr>
        <w:spacing w:after="0" w:line="360" w:lineRule="auto"/>
        <w:contextualSpacing/>
        <w:rPr>
          <w:rFonts w:cs="Tahoma"/>
        </w:rPr>
      </w:pPr>
      <w:r w:rsidRPr="00854A8C">
        <w:rPr>
          <w:rFonts w:cs="Tahoma"/>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3146C12" w14:textId="77777777" w:rsidR="00306B1A" w:rsidRPr="00854A8C" w:rsidRDefault="00306B1A" w:rsidP="00C03631">
      <w:pPr>
        <w:spacing w:after="0" w:line="360" w:lineRule="auto"/>
        <w:contextualSpacing/>
        <w:rPr>
          <w:rFonts w:cs="Tahoma"/>
        </w:rPr>
      </w:pPr>
    </w:p>
    <w:p w14:paraId="1182B0B4" w14:textId="77777777" w:rsidR="00306B1A" w:rsidRPr="00854A8C" w:rsidRDefault="00306B1A" w:rsidP="00C03631">
      <w:pPr>
        <w:spacing w:after="0" w:line="360" w:lineRule="auto"/>
        <w:contextualSpacing/>
        <w:rPr>
          <w:rFonts w:cs="Tahoma"/>
        </w:rPr>
      </w:pPr>
      <w:r w:rsidRPr="00854A8C">
        <w:rPr>
          <w:rFonts w:cs="Tahoma"/>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C1ABC7" w14:textId="77777777" w:rsidR="00306B1A" w:rsidRPr="00854A8C" w:rsidRDefault="00306B1A" w:rsidP="00C03631">
      <w:pPr>
        <w:spacing w:after="0" w:line="360" w:lineRule="auto"/>
        <w:contextualSpacing/>
        <w:rPr>
          <w:rFonts w:cs="Tahoma"/>
        </w:rPr>
      </w:pPr>
    </w:p>
    <w:p w14:paraId="69E7C895" w14:textId="77777777" w:rsidR="00306B1A" w:rsidRPr="00854A8C" w:rsidRDefault="00306B1A" w:rsidP="00C03631">
      <w:pPr>
        <w:spacing w:after="0" w:line="360" w:lineRule="auto"/>
        <w:contextualSpacing/>
        <w:rPr>
          <w:rFonts w:cs="Tahoma"/>
        </w:rPr>
      </w:pPr>
      <w:r w:rsidRPr="00854A8C">
        <w:rPr>
          <w:rFonts w:cs="Tahoma"/>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C06ED6B" w14:textId="77777777" w:rsidR="00306B1A" w:rsidRPr="00854A8C" w:rsidRDefault="00306B1A" w:rsidP="00C03631">
      <w:pPr>
        <w:spacing w:after="0" w:line="360" w:lineRule="auto"/>
        <w:contextualSpacing/>
        <w:rPr>
          <w:rFonts w:cs="Tahoma"/>
        </w:rPr>
      </w:pPr>
      <w:r w:rsidRPr="00854A8C">
        <w:rPr>
          <w:rFonts w:cs="Tahoma"/>
        </w:rPr>
        <w:t xml:space="preserve"> </w:t>
      </w:r>
    </w:p>
    <w:p w14:paraId="30CF144A"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Por ello, excepcionalmente, si un asunto es resuelto con posterioridad a los plazos señalados por la norma debe analizarse la razonabilidad del tiempo necesario para su resolución, atentos a los siguientes criterios:  </w:t>
      </w:r>
    </w:p>
    <w:p w14:paraId="134A1C73"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 </w:t>
      </w:r>
    </w:p>
    <w:p w14:paraId="1D3218C8" w14:textId="77777777" w:rsidR="00306B1A" w:rsidRPr="00854A8C" w:rsidRDefault="00306B1A" w:rsidP="00C03631">
      <w:pPr>
        <w:numPr>
          <w:ilvl w:val="0"/>
          <w:numId w:val="2"/>
        </w:numPr>
        <w:spacing w:after="0" w:line="360" w:lineRule="auto"/>
        <w:ind w:left="851"/>
        <w:contextualSpacing/>
      </w:pPr>
      <w:r w:rsidRPr="00854A8C">
        <w:rPr>
          <w:b/>
          <w:bCs/>
        </w:rPr>
        <w:t>Complejidad del asunto:</w:t>
      </w:r>
      <w:r w:rsidRPr="00854A8C">
        <w:t xml:space="preserve"> La complejidad de la prueba, la pluralidad de sujetos procesales, el tiempo transcurrido, las características y contexto del recurso.</w:t>
      </w:r>
    </w:p>
    <w:p w14:paraId="25ED828E" w14:textId="77777777" w:rsidR="00306B1A" w:rsidRPr="00854A8C" w:rsidRDefault="00306B1A" w:rsidP="00C03631">
      <w:pPr>
        <w:spacing w:after="0" w:line="360" w:lineRule="auto"/>
        <w:ind w:left="851"/>
        <w:contextualSpacing/>
      </w:pPr>
    </w:p>
    <w:p w14:paraId="23B64985" w14:textId="77777777" w:rsidR="00306B1A" w:rsidRPr="00854A8C" w:rsidRDefault="00306B1A" w:rsidP="00C03631">
      <w:pPr>
        <w:numPr>
          <w:ilvl w:val="0"/>
          <w:numId w:val="2"/>
        </w:numPr>
        <w:spacing w:after="0" w:line="360" w:lineRule="auto"/>
        <w:ind w:left="851"/>
        <w:contextualSpacing/>
      </w:pPr>
      <w:r w:rsidRPr="00854A8C">
        <w:rPr>
          <w:b/>
          <w:bCs/>
        </w:rPr>
        <w:t>Actividad Procesal del interesado:</w:t>
      </w:r>
      <w:r w:rsidRPr="00854A8C">
        <w:t xml:space="preserve"> Acciones u omisiones del interesado.</w:t>
      </w:r>
    </w:p>
    <w:p w14:paraId="232F352E" w14:textId="77777777" w:rsidR="00306B1A" w:rsidRPr="00854A8C" w:rsidRDefault="00306B1A" w:rsidP="00C03631">
      <w:pPr>
        <w:spacing w:after="0" w:line="360" w:lineRule="auto"/>
        <w:ind w:left="851"/>
        <w:contextualSpacing/>
      </w:pPr>
    </w:p>
    <w:p w14:paraId="6517F296" w14:textId="77777777" w:rsidR="00306B1A" w:rsidRPr="00854A8C" w:rsidRDefault="00306B1A" w:rsidP="00C03631">
      <w:pPr>
        <w:numPr>
          <w:ilvl w:val="0"/>
          <w:numId w:val="2"/>
        </w:numPr>
        <w:spacing w:after="0" w:line="360" w:lineRule="auto"/>
        <w:ind w:left="851"/>
        <w:contextualSpacing/>
      </w:pPr>
      <w:r w:rsidRPr="00854A8C">
        <w:rPr>
          <w:b/>
          <w:bCs/>
        </w:rPr>
        <w:t>Conducta de la Autoridad:</w:t>
      </w:r>
      <w:r w:rsidRPr="00854A8C">
        <w:t xml:space="preserve"> Las Acciones u omisiones realizadas en el procedimiento. Así como si la autoridad actuó con la debida diligencia.</w:t>
      </w:r>
    </w:p>
    <w:p w14:paraId="62C24C44" w14:textId="77777777" w:rsidR="00306B1A" w:rsidRPr="00854A8C" w:rsidRDefault="00306B1A" w:rsidP="00C03631">
      <w:pPr>
        <w:spacing w:after="0" w:line="360" w:lineRule="auto"/>
        <w:ind w:left="851"/>
        <w:contextualSpacing/>
      </w:pPr>
    </w:p>
    <w:p w14:paraId="52F4BC7F" w14:textId="77777777" w:rsidR="00306B1A" w:rsidRPr="00854A8C" w:rsidRDefault="00306B1A" w:rsidP="00C03631">
      <w:pPr>
        <w:numPr>
          <w:ilvl w:val="0"/>
          <w:numId w:val="2"/>
        </w:numPr>
        <w:spacing w:after="0" w:line="360" w:lineRule="auto"/>
        <w:ind w:left="851"/>
        <w:contextualSpacing/>
      </w:pPr>
      <w:r w:rsidRPr="00854A8C">
        <w:rPr>
          <w:b/>
          <w:bCs/>
        </w:rPr>
        <w:t xml:space="preserve">La afectación generada en la situación jurídica de la persona involucrada en el proceso: </w:t>
      </w:r>
      <w:r w:rsidRPr="00854A8C">
        <w:t>Violación a sus derechos humanos.</w:t>
      </w:r>
    </w:p>
    <w:p w14:paraId="11F02E47" w14:textId="77777777" w:rsidR="00306B1A" w:rsidRPr="00854A8C" w:rsidRDefault="00306B1A" w:rsidP="00C03631">
      <w:pPr>
        <w:spacing w:after="0" w:line="360" w:lineRule="auto"/>
        <w:contextualSpacing/>
        <w:rPr>
          <w:rFonts w:eastAsia="Calibri" w:cs="Tahoma"/>
          <w:bCs/>
        </w:rPr>
      </w:pPr>
    </w:p>
    <w:p w14:paraId="462C20FA"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w:t>
      </w:r>
      <w:r w:rsidRPr="00854A8C">
        <w:rPr>
          <w:rFonts w:eastAsia="Calibri" w:cs="Tahoma"/>
          <w:bCs/>
        </w:rPr>
        <w:lastRenderedPageBreak/>
        <w:t>excluyente de responsabilidad en relación con la actuación del funcionario, como ha acontecido en el caso que nos ocupa.</w:t>
      </w:r>
    </w:p>
    <w:p w14:paraId="25F9DFBA"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 </w:t>
      </w:r>
    </w:p>
    <w:p w14:paraId="7E08B24A"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Argumento que encuentra sustento en la jurisprudencia P./J. 32/92 emitida por el Pleno de la Suprema Corte de Justicia de la Nación de rubro </w:t>
      </w:r>
      <w:r w:rsidRPr="00854A8C">
        <w:rPr>
          <w:rFonts w:eastAsia="Calibri" w:cs="Tahoma"/>
          <w:b/>
        </w:rPr>
        <w:t>“TÉRMINOS PROCESALES. PARA DETERMINAR SI UN FUNCIONARIO JUDICIAL ACTUÓ INDEBIDAMENTE POR NO RESPETARLOS SE DEBE ATENDER AL PRESUPUESTO QUE CONSIDERÓ EL LEGISLADOR AL FIJARLOS Y LAS CARACTERÍSTICAS DEL CASO.”</w:t>
      </w:r>
      <w:r w:rsidRPr="00854A8C">
        <w:rPr>
          <w:rFonts w:eastAsia="Calibri" w:cs="Tahoma"/>
          <w:bCs/>
        </w:rPr>
        <w:t>, visible en la Gaceta del Seminario Judicial de la Federación con el registro digital 205635.</w:t>
      </w:r>
    </w:p>
    <w:p w14:paraId="2EACCB47"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 </w:t>
      </w:r>
    </w:p>
    <w:p w14:paraId="35FF2927" w14:textId="77777777" w:rsidR="00306B1A" w:rsidRPr="00854A8C" w:rsidRDefault="00306B1A" w:rsidP="00C03631">
      <w:pPr>
        <w:spacing w:after="0" w:line="360" w:lineRule="auto"/>
        <w:contextualSpacing/>
        <w:rPr>
          <w:rFonts w:eastAsia="Calibri" w:cs="Tahoma"/>
          <w:bCs/>
        </w:rPr>
      </w:pPr>
      <w:r w:rsidRPr="00854A8C">
        <w:rPr>
          <w:rFonts w:eastAsia="Calibri" w:cs="Tahoma"/>
          <w:bC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8DA8627" w14:textId="77777777" w:rsidR="00306B1A" w:rsidRPr="00854A8C" w:rsidRDefault="00306B1A" w:rsidP="00C03631">
      <w:pPr>
        <w:spacing w:after="0" w:line="360" w:lineRule="auto"/>
        <w:contextualSpacing/>
        <w:rPr>
          <w:rFonts w:eastAsia="Calibri" w:cs="Tahoma"/>
          <w:bCs/>
        </w:rPr>
      </w:pPr>
    </w:p>
    <w:p w14:paraId="12593680" w14:textId="77777777" w:rsidR="00306B1A" w:rsidRPr="00854A8C" w:rsidRDefault="00306B1A" w:rsidP="00C03631">
      <w:pPr>
        <w:spacing w:after="0" w:line="360" w:lineRule="auto"/>
        <w:contextualSpacing/>
        <w:rPr>
          <w:rFonts w:eastAsia="Calibri" w:cs="Tahoma"/>
          <w:bCs/>
        </w:rPr>
      </w:pPr>
      <w:r w:rsidRPr="00854A8C">
        <w:rPr>
          <w:rFonts w:eastAsia="Calibri" w:cs="Tahoma"/>
          <w:bCs/>
        </w:rPr>
        <w:t>Al respecto, también son de considerar los criterios sostenidos por el Cuarto Tribunal Colegiado en Materia Administrativa del Primer Circuito, cuyos rubros y datos de identificación son los siguientes:</w:t>
      </w:r>
    </w:p>
    <w:p w14:paraId="038C860D" w14:textId="77777777" w:rsidR="00306B1A" w:rsidRPr="00854A8C" w:rsidRDefault="00306B1A" w:rsidP="00C03631">
      <w:pPr>
        <w:spacing w:after="0" w:line="360" w:lineRule="auto"/>
        <w:contextualSpacing/>
        <w:rPr>
          <w:rFonts w:eastAsia="Calibri" w:cs="Tahoma"/>
          <w:bCs/>
        </w:rPr>
      </w:pPr>
      <w:r w:rsidRPr="00854A8C">
        <w:rPr>
          <w:rFonts w:eastAsia="Calibri" w:cs="Tahoma"/>
          <w:bCs/>
        </w:rPr>
        <w:t xml:space="preserve"> </w:t>
      </w:r>
    </w:p>
    <w:p w14:paraId="40FF4104" w14:textId="77777777" w:rsidR="00306B1A" w:rsidRPr="00854A8C" w:rsidRDefault="00306B1A" w:rsidP="00C03631">
      <w:pPr>
        <w:spacing w:after="0" w:line="360" w:lineRule="auto"/>
        <w:contextualSpacing/>
        <w:rPr>
          <w:rFonts w:eastAsia="Calibri" w:cs="Tahoma"/>
          <w:bCs/>
        </w:rPr>
      </w:pPr>
      <w:r w:rsidRPr="00854A8C">
        <w:rPr>
          <w:rFonts w:eastAsia="Calibri" w:cs="Tahoma"/>
          <w:b/>
        </w:rPr>
        <w:t>“PLAZO RAZONABLE PARA RESOLVER. DIMENSIÓN Y EFECTOS DE ESTE CONCEPTO CUANDO SE ADUCE EXCESIVA CARGA DE TRABAJO.”</w:t>
      </w:r>
      <w:r w:rsidRPr="00854A8C">
        <w:rPr>
          <w:rFonts w:eastAsia="Calibri" w:cs="Tahoma"/>
          <w:bCs/>
        </w:rPr>
        <w:t xml:space="preserve"> consultable en el Seminario Judicial de la Federación y su gaceta, con el registro digital 2002351.</w:t>
      </w:r>
    </w:p>
    <w:p w14:paraId="1B6E1B4F" w14:textId="77777777" w:rsidR="00306B1A" w:rsidRPr="00854A8C" w:rsidRDefault="00306B1A" w:rsidP="00C03631">
      <w:pPr>
        <w:spacing w:after="0" w:line="360" w:lineRule="auto"/>
        <w:contextualSpacing/>
        <w:rPr>
          <w:rFonts w:eastAsia="Calibri" w:cs="Tahoma"/>
          <w:bCs/>
        </w:rPr>
      </w:pPr>
      <w:r w:rsidRPr="00854A8C">
        <w:rPr>
          <w:rFonts w:eastAsia="Calibri" w:cs="Tahoma"/>
          <w:bCs/>
        </w:rPr>
        <w:lastRenderedPageBreak/>
        <w:t xml:space="preserve"> </w:t>
      </w:r>
    </w:p>
    <w:p w14:paraId="6A1A6BE8" w14:textId="77777777" w:rsidR="00306B1A" w:rsidRPr="00854A8C" w:rsidRDefault="00306B1A" w:rsidP="00C03631">
      <w:pPr>
        <w:spacing w:after="0" w:line="360" w:lineRule="auto"/>
        <w:contextualSpacing/>
        <w:rPr>
          <w:rFonts w:eastAsia="Calibri" w:cs="Tahoma"/>
          <w:bCs/>
        </w:rPr>
      </w:pPr>
      <w:r w:rsidRPr="00854A8C">
        <w:rPr>
          <w:rFonts w:eastAsia="Calibri" w:cs="Tahoma"/>
          <w:b/>
        </w:rPr>
        <w:t>“PLAZO RAZONABLE PARA RESOLVER. CONCEPTO Y ELEMENTOS QUE LO INTEGRAN A LA LUZ DEL DERECHO INTERNACIONAL DE LOS DERECHOS HUMANOS.”</w:t>
      </w:r>
      <w:r w:rsidRPr="00854A8C">
        <w:rPr>
          <w:rFonts w:eastAsia="Calibri" w:cs="Tahoma"/>
          <w:bCs/>
        </w:rPr>
        <w:t>, visible en el Seminario Judicial de la Federación y su gaceta, con el registro digital 2002350.</w:t>
      </w:r>
    </w:p>
    <w:p w14:paraId="12AA84B1" w14:textId="77777777" w:rsidR="00306B1A" w:rsidRPr="00854A8C" w:rsidRDefault="00306B1A" w:rsidP="00C03631">
      <w:pPr>
        <w:spacing w:after="0" w:line="360" w:lineRule="auto"/>
        <w:contextualSpacing/>
        <w:rPr>
          <w:rFonts w:eastAsia="Calibri" w:cs="Tahoma"/>
          <w:bCs/>
        </w:rPr>
      </w:pPr>
    </w:p>
    <w:p w14:paraId="32B132DF" w14:textId="77777777" w:rsidR="00306B1A" w:rsidRDefault="00306B1A" w:rsidP="00C03631">
      <w:pPr>
        <w:spacing w:after="0" w:line="360" w:lineRule="auto"/>
        <w:contextualSpacing/>
        <w:rPr>
          <w:rFonts w:eastAsia="Calibri" w:cs="Tahoma"/>
          <w:bCs/>
        </w:rPr>
      </w:pPr>
      <w:r w:rsidRPr="00854A8C">
        <w:rPr>
          <w:rFonts w:eastAsia="Calibri" w:cs="Tahoma"/>
          <w:bCs/>
        </w:rPr>
        <w:t>Por ello, este organismo garante comprometido con la tutela de los derechos humanos confiados, señala que este exceso del plazo legal para resolver el presente asunto, resulta de carácter excepcional.</w:t>
      </w:r>
    </w:p>
    <w:p w14:paraId="52F9742B" w14:textId="77777777" w:rsidR="00B4433D" w:rsidRDefault="00B4433D" w:rsidP="00C03631">
      <w:pPr>
        <w:spacing w:after="0" w:line="360" w:lineRule="auto"/>
        <w:contextualSpacing/>
        <w:rPr>
          <w:rFonts w:eastAsia="Calibri" w:cs="Tahoma"/>
          <w:bCs/>
        </w:rPr>
      </w:pPr>
    </w:p>
    <w:p w14:paraId="46EA89AF" w14:textId="5779E245" w:rsidR="00B4433D" w:rsidRPr="00B4433D" w:rsidRDefault="003B6CD2" w:rsidP="00C03631">
      <w:pPr>
        <w:widowControl w:val="0"/>
        <w:spacing w:after="0" w:line="360" w:lineRule="auto"/>
        <w:contextualSpacing/>
        <w:rPr>
          <w:rFonts w:eastAsia="Times New Roman" w:cs="Tahoma"/>
          <w:b/>
          <w:color w:val="auto"/>
          <w:szCs w:val="24"/>
          <w:lang w:eastAsia="es-ES"/>
        </w:rPr>
      </w:pPr>
      <w:r>
        <w:rPr>
          <w:rFonts w:eastAsia="Palatino Linotype" w:cs="Palatino Linotype"/>
          <w:b/>
          <w:bCs/>
          <w:lang w:val="es-ES"/>
        </w:rPr>
        <w:t>i</w:t>
      </w:r>
      <w:r w:rsidR="00B4433D" w:rsidRPr="00854A8C">
        <w:rPr>
          <w:rFonts w:eastAsia="Palatino Linotype" w:cs="Palatino Linotype"/>
          <w:b/>
          <w:bCs/>
          <w:lang w:val="es-ES"/>
        </w:rPr>
        <w:t xml:space="preserve">) </w:t>
      </w:r>
      <w:r w:rsidR="00B4433D" w:rsidRPr="00854A8C">
        <w:rPr>
          <w:rFonts w:eastAsia="Batang" w:cs="Tahoma"/>
          <w:b/>
          <w:lang w:val="es-ES_tradnl"/>
        </w:rPr>
        <w:t xml:space="preserve">Vista del Informe Justificado. </w:t>
      </w:r>
      <w:r w:rsidR="00B4433D" w:rsidRPr="00854A8C">
        <w:rPr>
          <w:rFonts w:eastAsia="Batang" w:cs="Tahoma"/>
          <w:bCs/>
          <w:lang w:val="es-ES_tradnl"/>
        </w:rPr>
        <w:t>El</w:t>
      </w:r>
      <w:r w:rsidR="00B4433D">
        <w:rPr>
          <w:rFonts w:eastAsia="Batang" w:cs="Tahoma"/>
          <w:bCs/>
          <w:lang w:val="es-ES_tradnl"/>
        </w:rPr>
        <w:t xml:space="preserve"> treinta de abril y dieci</w:t>
      </w:r>
      <w:r w:rsidR="00F441FC">
        <w:rPr>
          <w:rFonts w:eastAsia="Batang" w:cs="Tahoma"/>
          <w:bCs/>
          <w:lang w:val="es-ES_tradnl"/>
        </w:rPr>
        <w:t>séis</w:t>
      </w:r>
      <w:r w:rsidR="00B4433D" w:rsidRPr="00854A8C">
        <w:rPr>
          <w:rFonts w:eastAsia="Batang" w:cs="Tahoma"/>
          <w:bCs/>
          <w:lang w:val="es-ES_tradnl"/>
        </w:rPr>
        <w:t xml:space="preserve"> de julio de dos mil veinticuatro</w:t>
      </w:r>
      <w:r w:rsidR="00B4433D" w:rsidRPr="00854A8C">
        <w:rPr>
          <w:rFonts w:cs="Tahoma"/>
        </w:rPr>
        <w:t>, se dictó acuerdo mediante el cual se puso a la vista del Particular, el Informe Justificado, el cual le fue notificado</w:t>
      </w:r>
      <w:r w:rsidR="00F441FC">
        <w:rPr>
          <w:rFonts w:cs="Tahoma"/>
        </w:rPr>
        <w:t xml:space="preserve"> </w:t>
      </w:r>
      <w:r w:rsidR="00B4433D" w:rsidRPr="00854A8C">
        <w:rPr>
          <w:rFonts w:cs="Tahoma"/>
        </w:rPr>
        <w:t xml:space="preserve">a través del Sistema de Acceso a la Información Mexiquense (SAIMEX). </w:t>
      </w:r>
    </w:p>
    <w:p w14:paraId="2EB0E647" w14:textId="77777777" w:rsidR="00306B1A" w:rsidRPr="00854A8C" w:rsidRDefault="00306B1A" w:rsidP="00C03631">
      <w:pPr>
        <w:spacing w:after="0" w:line="360" w:lineRule="auto"/>
        <w:contextualSpacing/>
        <w:rPr>
          <w:rFonts w:eastAsia="Calibri" w:cs="Tahoma"/>
          <w:bCs/>
        </w:rPr>
      </w:pPr>
    </w:p>
    <w:p w14:paraId="537EF441" w14:textId="4FE91DA0" w:rsidR="00306B1A" w:rsidRPr="00854A8C" w:rsidRDefault="003B6CD2" w:rsidP="00C03631">
      <w:pPr>
        <w:spacing w:after="0" w:line="360" w:lineRule="auto"/>
        <w:contextualSpacing/>
        <w:rPr>
          <w:rFonts w:cs="Tahoma"/>
        </w:rPr>
      </w:pPr>
      <w:r>
        <w:rPr>
          <w:rFonts w:cs="Tahoma"/>
          <w:b/>
          <w:bCs/>
        </w:rPr>
        <w:t>j</w:t>
      </w:r>
      <w:r w:rsidR="00306B1A" w:rsidRPr="00854A8C">
        <w:rPr>
          <w:rFonts w:cs="Tahoma"/>
          <w:b/>
          <w:bCs/>
        </w:rPr>
        <w:t>) Cierre de instrucción.</w:t>
      </w:r>
      <w:r w:rsidR="00306B1A" w:rsidRPr="00854A8C">
        <w:rPr>
          <w:rFonts w:cs="Tahoma"/>
        </w:rPr>
        <w:t xml:space="preserve">  El </w:t>
      </w:r>
      <w:r w:rsidR="00C008C2">
        <w:rPr>
          <w:rFonts w:cs="Tahoma"/>
        </w:rPr>
        <w:t>quince</w:t>
      </w:r>
      <w:r w:rsidR="00F441FC">
        <w:rPr>
          <w:rFonts w:cs="Tahoma"/>
        </w:rPr>
        <w:t xml:space="preserve"> de octubre</w:t>
      </w:r>
      <w:r w:rsidR="00306B1A" w:rsidRPr="00854A8C">
        <w:rPr>
          <w:rFonts w:cs="Tahoma"/>
        </w:rPr>
        <w:t xml:space="preserv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debidamente notificado a las partes, el </w:t>
      </w:r>
      <w:r w:rsidR="00C008C2">
        <w:rPr>
          <w:rFonts w:cs="Tahoma"/>
        </w:rPr>
        <w:t>diecisiete de dicho mes y año</w:t>
      </w:r>
      <w:r w:rsidR="00306B1A" w:rsidRPr="00854A8C">
        <w:rPr>
          <w:rFonts w:cs="Tahoma"/>
        </w:rPr>
        <w:t xml:space="preserve">, a través del </w:t>
      </w:r>
      <w:r w:rsidR="00306B1A" w:rsidRPr="00854A8C">
        <w:rPr>
          <w:rFonts w:cs="Tahoma"/>
          <w:lang w:val="es-ES"/>
        </w:rPr>
        <w:t>Sistema de Acceso a la Información Mexiquense (SAIMEX)</w:t>
      </w:r>
      <w:r w:rsidR="00306B1A" w:rsidRPr="00854A8C">
        <w:rPr>
          <w:rFonts w:cs="Tahoma"/>
        </w:rPr>
        <w:t xml:space="preserve">. </w:t>
      </w:r>
    </w:p>
    <w:p w14:paraId="486D3FDF" w14:textId="77777777" w:rsidR="00306B1A" w:rsidRPr="00854A8C" w:rsidRDefault="00306B1A" w:rsidP="00C03631">
      <w:pPr>
        <w:spacing w:after="0" w:line="360" w:lineRule="auto"/>
        <w:contextualSpacing/>
        <w:rPr>
          <w:rFonts w:cs="Tahoma"/>
        </w:rPr>
      </w:pPr>
    </w:p>
    <w:p w14:paraId="22383B2F" w14:textId="77777777" w:rsidR="00306B1A" w:rsidRPr="00854A8C" w:rsidRDefault="00306B1A" w:rsidP="00C03631">
      <w:pPr>
        <w:spacing w:after="0" w:line="360" w:lineRule="auto"/>
        <w:contextualSpacing/>
        <w:rPr>
          <w:rFonts w:cs="Tahoma"/>
        </w:rPr>
      </w:pPr>
      <w:r w:rsidRPr="00854A8C">
        <w:rPr>
          <w:rFonts w:cs="Tahoma"/>
        </w:rPr>
        <w:t xml:space="preserve">En razón de que fue debidamente sustanciado el expediente electrónico y no existe diligencia pendiente de desahogo, se emite la resolución que conforme a Derecho proceda, de acuerdo a los siguientes: </w:t>
      </w:r>
    </w:p>
    <w:p w14:paraId="62434680" w14:textId="77777777" w:rsidR="00306B1A" w:rsidRPr="00854A8C" w:rsidRDefault="00306B1A" w:rsidP="00C03631">
      <w:pPr>
        <w:spacing w:after="0" w:line="360" w:lineRule="auto"/>
        <w:contextualSpacing/>
        <w:jc w:val="center"/>
        <w:rPr>
          <w:rFonts w:cs="Tahoma"/>
          <w:b/>
          <w:lang w:val="es-ES"/>
        </w:rPr>
      </w:pPr>
    </w:p>
    <w:p w14:paraId="49F480D4" w14:textId="3F89EF16" w:rsidR="00306B1A" w:rsidRPr="00854A8C" w:rsidRDefault="00306B1A" w:rsidP="00C03631">
      <w:pPr>
        <w:spacing w:after="0" w:line="360" w:lineRule="auto"/>
        <w:contextualSpacing/>
        <w:jc w:val="center"/>
        <w:rPr>
          <w:rFonts w:cs="Tahoma"/>
          <w:b/>
          <w:lang w:val="es-ES"/>
        </w:rPr>
      </w:pPr>
      <w:r w:rsidRPr="00854A8C">
        <w:rPr>
          <w:rFonts w:cs="Tahoma"/>
          <w:b/>
          <w:lang w:val="es-ES"/>
        </w:rPr>
        <w:t>CONSIDERANDOS</w:t>
      </w:r>
    </w:p>
    <w:p w14:paraId="43FF272C" w14:textId="77777777" w:rsidR="00306B1A" w:rsidRPr="00854A8C" w:rsidRDefault="00306B1A" w:rsidP="00C03631">
      <w:pPr>
        <w:autoSpaceDE w:val="0"/>
        <w:autoSpaceDN w:val="0"/>
        <w:adjustRightInd w:val="0"/>
        <w:spacing w:after="0" w:line="360" w:lineRule="auto"/>
        <w:contextualSpacing/>
        <w:rPr>
          <w:rFonts w:eastAsia="Calibri" w:cs="Tahoma"/>
          <w:b/>
          <w:lang w:val="es-ES" w:eastAsia="es-MX"/>
        </w:rPr>
      </w:pPr>
    </w:p>
    <w:p w14:paraId="2E8E9AE0" w14:textId="29A5E38E" w:rsidR="00306B1A" w:rsidRPr="00854A8C" w:rsidRDefault="00306B1A" w:rsidP="00C03631">
      <w:pPr>
        <w:autoSpaceDE w:val="0"/>
        <w:autoSpaceDN w:val="0"/>
        <w:adjustRightInd w:val="0"/>
        <w:spacing w:after="0" w:line="360" w:lineRule="auto"/>
        <w:contextualSpacing/>
        <w:rPr>
          <w:rFonts w:cs="Tahoma"/>
          <w:b/>
          <w:lang w:val="es-ES"/>
        </w:rPr>
      </w:pPr>
      <w:r w:rsidRPr="00854A8C">
        <w:rPr>
          <w:rFonts w:eastAsia="Calibri" w:cs="Tahoma"/>
          <w:b/>
          <w:lang w:val="es-ES" w:eastAsia="es-MX"/>
        </w:rPr>
        <w:t>PRIMERO</w:t>
      </w:r>
      <w:r w:rsidRPr="00854A8C">
        <w:rPr>
          <w:rFonts w:eastAsia="Calibri" w:cs="Tahoma"/>
          <w:lang w:val="es-ES" w:eastAsia="es-MX"/>
        </w:rPr>
        <w:t xml:space="preserve">. </w:t>
      </w:r>
      <w:r w:rsidRPr="00854A8C">
        <w:rPr>
          <w:rFonts w:cs="Tahoma"/>
          <w:b/>
          <w:lang w:val="es-ES"/>
        </w:rPr>
        <w:t>Competencia</w:t>
      </w:r>
    </w:p>
    <w:p w14:paraId="2FD85FB0" w14:textId="77777777" w:rsidR="00306B1A" w:rsidRPr="00854A8C" w:rsidRDefault="00306B1A" w:rsidP="00C03631">
      <w:pPr>
        <w:autoSpaceDE w:val="0"/>
        <w:autoSpaceDN w:val="0"/>
        <w:adjustRightInd w:val="0"/>
        <w:spacing w:after="0" w:line="360" w:lineRule="auto"/>
        <w:contextualSpacing/>
        <w:rPr>
          <w:rFonts w:cs="Tahoma"/>
          <w:b/>
          <w:lang w:val="es-ES"/>
        </w:rPr>
      </w:pPr>
    </w:p>
    <w:p w14:paraId="1ADBB463" w14:textId="77777777" w:rsidR="00306B1A" w:rsidRPr="00854A8C" w:rsidRDefault="00306B1A" w:rsidP="00C03631">
      <w:pPr>
        <w:spacing w:after="0" w:line="360" w:lineRule="auto"/>
        <w:contextualSpacing/>
        <w:rPr>
          <w:rFonts w:eastAsia="Times New Roman" w:cs="Tahoma"/>
          <w:bCs/>
          <w:color w:val="auto"/>
          <w:lang w:eastAsia="es-ES"/>
        </w:rPr>
      </w:pPr>
      <w:bookmarkStart w:id="1" w:name="_Hlk63334754"/>
      <w:r w:rsidRPr="00854A8C">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854A8C">
        <w:rPr>
          <w:rFonts w:eastAsia="Times New Roman" w:cs="Times New Roman"/>
          <w:bCs/>
          <w:color w:val="auto"/>
          <w:lang w:eastAsia="es-ES"/>
        </w:rPr>
        <w:t xml:space="preserve"> 7°, </w:t>
      </w:r>
      <w:r w:rsidRPr="00854A8C">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
    </w:p>
    <w:p w14:paraId="79A3FE72" w14:textId="77777777" w:rsidR="00306B1A" w:rsidRPr="00854A8C" w:rsidRDefault="00306B1A" w:rsidP="00C03631">
      <w:pPr>
        <w:autoSpaceDE w:val="0"/>
        <w:autoSpaceDN w:val="0"/>
        <w:adjustRightInd w:val="0"/>
        <w:spacing w:after="0" w:line="360" w:lineRule="auto"/>
        <w:contextualSpacing/>
        <w:rPr>
          <w:rFonts w:eastAsia="Calibri" w:cs="Tahoma"/>
          <w:b/>
          <w:lang w:val="es-ES" w:eastAsia="es-MX"/>
        </w:rPr>
      </w:pPr>
    </w:p>
    <w:p w14:paraId="23655C5E" w14:textId="3918CE4A" w:rsidR="00306B1A" w:rsidRPr="00854A8C" w:rsidRDefault="00306B1A" w:rsidP="00C03631">
      <w:pPr>
        <w:autoSpaceDE w:val="0"/>
        <w:autoSpaceDN w:val="0"/>
        <w:adjustRightInd w:val="0"/>
        <w:spacing w:after="0" w:line="360" w:lineRule="auto"/>
        <w:contextualSpacing/>
        <w:rPr>
          <w:rFonts w:cs="Tahoma"/>
          <w:b/>
          <w:lang w:val="es-ES"/>
        </w:rPr>
      </w:pPr>
      <w:r w:rsidRPr="00854A8C">
        <w:rPr>
          <w:rFonts w:eastAsia="Calibri" w:cs="Tahoma"/>
          <w:b/>
          <w:lang w:val="es-ES" w:eastAsia="es-MX"/>
        </w:rPr>
        <w:t>SEGUNDO</w:t>
      </w:r>
      <w:r w:rsidRPr="00854A8C">
        <w:rPr>
          <w:rFonts w:eastAsia="Calibri" w:cs="Tahoma"/>
          <w:lang w:val="es-ES" w:eastAsia="es-MX"/>
        </w:rPr>
        <w:t xml:space="preserve">. </w:t>
      </w:r>
      <w:r w:rsidRPr="00854A8C">
        <w:rPr>
          <w:rFonts w:cs="Tahoma"/>
          <w:b/>
          <w:lang w:val="es-ES"/>
        </w:rPr>
        <w:t>Causales de improcedencia y sobreseimiento</w:t>
      </w:r>
      <w:r w:rsidR="000A0890">
        <w:rPr>
          <w:rFonts w:cs="Tahoma"/>
          <w:b/>
          <w:lang w:val="es-ES"/>
        </w:rPr>
        <w:t xml:space="preserve">                            </w:t>
      </w:r>
    </w:p>
    <w:p w14:paraId="02954CDB" w14:textId="77777777" w:rsidR="00306B1A" w:rsidRPr="00854A8C" w:rsidRDefault="00306B1A" w:rsidP="00C03631">
      <w:pPr>
        <w:autoSpaceDE w:val="0"/>
        <w:autoSpaceDN w:val="0"/>
        <w:adjustRightInd w:val="0"/>
        <w:spacing w:after="0" w:line="360" w:lineRule="auto"/>
        <w:contextualSpacing/>
        <w:rPr>
          <w:rFonts w:cs="Tahoma"/>
          <w:b/>
          <w:lang w:val="es-ES"/>
        </w:rPr>
      </w:pPr>
    </w:p>
    <w:p w14:paraId="34B224B5" w14:textId="77777777" w:rsidR="00306B1A" w:rsidRPr="00854A8C" w:rsidRDefault="00306B1A" w:rsidP="00C03631">
      <w:pPr>
        <w:autoSpaceDE w:val="0"/>
        <w:autoSpaceDN w:val="0"/>
        <w:adjustRightInd w:val="0"/>
        <w:spacing w:after="0" w:line="360" w:lineRule="auto"/>
        <w:contextualSpacing/>
        <w:rPr>
          <w:rFonts w:cs="Tahoma"/>
          <w:lang w:val="es-ES"/>
        </w:rPr>
      </w:pPr>
      <w:r w:rsidRPr="00854A8C">
        <w:rPr>
          <w:rFonts w:cs="Tahoma"/>
          <w:lang w:val="es-ES"/>
        </w:rPr>
        <w:t xml:space="preserve">De las constancias que forma parte del Recurso de Revisión que se analiza, se advierte que previo al estudio del fondo de la </w:t>
      </w:r>
      <w:r w:rsidRPr="00854A8C">
        <w:rPr>
          <w:rFonts w:cs="Tahoma"/>
          <w:i/>
          <w:lang w:val="es-ES"/>
        </w:rPr>
        <w:t>litis</w:t>
      </w:r>
      <w:r w:rsidRPr="00854A8C">
        <w:rPr>
          <w:rFonts w:cs="Tahoma"/>
          <w:lang w:val="es-ES"/>
        </w:rPr>
        <w:t>, es necesario estudiar las causales de improcedencia y sobreseimiento que se adviertan, para determinar lo que en Derecho proceda.</w:t>
      </w:r>
    </w:p>
    <w:p w14:paraId="3137019C" w14:textId="77777777" w:rsidR="00306B1A" w:rsidRPr="00854A8C" w:rsidRDefault="00306B1A" w:rsidP="00C03631">
      <w:pPr>
        <w:autoSpaceDE w:val="0"/>
        <w:autoSpaceDN w:val="0"/>
        <w:adjustRightInd w:val="0"/>
        <w:spacing w:after="0" w:line="360" w:lineRule="auto"/>
        <w:contextualSpacing/>
        <w:rPr>
          <w:rFonts w:cs="Tahoma"/>
          <w:lang w:val="es-ES"/>
        </w:rPr>
      </w:pPr>
    </w:p>
    <w:p w14:paraId="26457D96" w14:textId="07AEBE7C" w:rsidR="00306B1A" w:rsidRPr="00854A8C" w:rsidRDefault="00306B1A" w:rsidP="00C03631">
      <w:pPr>
        <w:autoSpaceDE w:val="0"/>
        <w:autoSpaceDN w:val="0"/>
        <w:adjustRightInd w:val="0"/>
        <w:spacing w:after="0" w:line="360" w:lineRule="auto"/>
        <w:contextualSpacing/>
        <w:rPr>
          <w:rFonts w:eastAsia="Calibri" w:cs="Tahoma"/>
          <w:b/>
          <w:lang w:val="es-ES" w:eastAsia="es-MX"/>
        </w:rPr>
      </w:pPr>
      <w:r w:rsidRPr="00854A8C">
        <w:rPr>
          <w:rFonts w:eastAsia="Calibri" w:cs="Tahoma"/>
          <w:b/>
          <w:lang w:val="es-ES" w:eastAsia="es-MX"/>
        </w:rPr>
        <w:t>Causales de improcedencia</w:t>
      </w:r>
    </w:p>
    <w:p w14:paraId="52EFBB02" w14:textId="77777777" w:rsidR="00306B1A" w:rsidRPr="00854A8C" w:rsidRDefault="00306B1A" w:rsidP="00C03631">
      <w:pPr>
        <w:autoSpaceDE w:val="0"/>
        <w:autoSpaceDN w:val="0"/>
        <w:adjustRightInd w:val="0"/>
        <w:spacing w:after="0" w:line="360" w:lineRule="auto"/>
        <w:contextualSpacing/>
        <w:rPr>
          <w:rFonts w:eastAsia="Calibri" w:cs="Tahoma"/>
          <w:lang w:val="es-ES" w:eastAsia="es-MX"/>
        </w:rPr>
      </w:pPr>
    </w:p>
    <w:p w14:paraId="51E61B8F" w14:textId="77777777" w:rsidR="00306B1A" w:rsidRPr="00854A8C" w:rsidRDefault="00306B1A" w:rsidP="00C03631">
      <w:pPr>
        <w:spacing w:after="0" w:line="360" w:lineRule="auto"/>
        <w:contextualSpacing/>
        <w:rPr>
          <w:rFonts w:eastAsia="Times New Roman" w:cs="Tahoma"/>
          <w:lang w:eastAsia="es-ES"/>
        </w:rPr>
      </w:pPr>
      <w:r w:rsidRPr="00854A8C">
        <w:rPr>
          <w:rFonts w:cs="Tahoma"/>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854A8C">
        <w:rPr>
          <w:rFonts w:cs="Tahoma"/>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3BC2301" w14:textId="77777777" w:rsidR="00306B1A" w:rsidRPr="00854A8C" w:rsidRDefault="00306B1A" w:rsidP="00C03631">
      <w:pPr>
        <w:spacing w:after="0" w:line="360" w:lineRule="auto"/>
        <w:contextualSpacing/>
        <w:rPr>
          <w:rFonts w:cs="Tahoma"/>
        </w:rPr>
      </w:pPr>
      <w:r w:rsidRPr="00854A8C">
        <w:rPr>
          <w:rFonts w:cs="Tahoma"/>
        </w:rPr>
        <w:t xml:space="preserve">  </w:t>
      </w:r>
    </w:p>
    <w:p w14:paraId="63979FF9" w14:textId="77777777" w:rsidR="00306B1A" w:rsidRPr="00854A8C" w:rsidRDefault="00306B1A" w:rsidP="00C03631">
      <w:pPr>
        <w:spacing w:after="0" w:line="360" w:lineRule="auto"/>
        <w:contextualSpacing/>
        <w:rPr>
          <w:rFonts w:cs="Tahoma"/>
        </w:rPr>
      </w:pPr>
      <w:r w:rsidRPr="00854A8C">
        <w:rPr>
          <w:rFonts w:cs="Tahoma"/>
        </w:rPr>
        <w:t>En el presente caso, </w:t>
      </w:r>
      <w:r w:rsidRPr="00854A8C">
        <w:rPr>
          <w:rFonts w:cs="Tahoma"/>
          <w:b/>
          <w:bCs/>
        </w:rPr>
        <w:t>no se actualiza ninguna de las causales de improcedencia</w:t>
      </w:r>
      <w:r w:rsidRPr="00854A8C">
        <w:rPr>
          <w:rFonts w:cs="Tahoma"/>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AE0FFA7" w14:textId="77777777" w:rsidR="00306B1A" w:rsidRPr="00854A8C" w:rsidRDefault="00306B1A" w:rsidP="00C03631">
      <w:pPr>
        <w:spacing w:after="0" w:line="360" w:lineRule="auto"/>
        <w:contextualSpacing/>
        <w:rPr>
          <w:rFonts w:cs="Tahoma"/>
          <w:lang w:val="es-ES"/>
        </w:rPr>
      </w:pPr>
    </w:p>
    <w:p w14:paraId="34BC8E99" w14:textId="77777777" w:rsidR="00306B1A" w:rsidRPr="00854A8C" w:rsidRDefault="00306B1A" w:rsidP="00C03631">
      <w:pPr>
        <w:spacing w:after="0" w:line="360" w:lineRule="auto"/>
        <w:contextualSpacing/>
        <w:rPr>
          <w:rFonts w:eastAsia="Times New Roman" w:cs="Tahoma"/>
          <w:bCs/>
          <w:color w:val="auto"/>
          <w:lang w:val="es-ES" w:eastAsia="es-ES"/>
        </w:rPr>
      </w:pPr>
      <w:r w:rsidRPr="00854A8C">
        <w:rPr>
          <w:rFonts w:eastAsia="Times New Roman" w:cs="Tahoma"/>
          <w:color w:val="auto"/>
          <w:lang w:val="es-ES" w:eastAsia="es-ES"/>
        </w:rPr>
        <w:t>Conforme a lo anterior, se actualiza la causal de procedencia señalada en</w:t>
      </w:r>
      <w:r w:rsidR="0070129C">
        <w:rPr>
          <w:rFonts w:eastAsia="Times New Roman" w:cs="Tahoma"/>
          <w:color w:val="auto"/>
          <w:lang w:val="es-ES" w:eastAsia="es-ES"/>
        </w:rPr>
        <w:t xml:space="preserve"> el artículo 179, fracciones V</w:t>
      </w:r>
      <w:r w:rsidRPr="00854A8C">
        <w:rPr>
          <w:rFonts w:eastAsia="Times New Roman" w:cs="Tahoma"/>
          <w:color w:val="auto"/>
          <w:lang w:val="es-ES" w:eastAsia="es-ES"/>
        </w:rPr>
        <w:t>, de la Ley de la materia</w:t>
      </w:r>
      <w:r w:rsidRPr="00854A8C">
        <w:rPr>
          <w:rFonts w:eastAsia="Times New Roman" w:cs="Tahoma"/>
          <w:bCs/>
          <w:color w:val="auto"/>
          <w:lang w:val="es-ES" w:eastAsia="es-ES"/>
        </w:rPr>
        <w:t xml:space="preserve">, toda vez que el Solicitante se inconformó con la </w:t>
      </w:r>
      <w:r w:rsidR="00B4433D">
        <w:rPr>
          <w:rFonts w:eastAsia="Times New Roman" w:cs="Tahoma"/>
          <w:bCs/>
          <w:color w:val="auto"/>
          <w:lang w:val="es-ES" w:eastAsia="es-ES"/>
        </w:rPr>
        <w:t xml:space="preserve">entrega </w:t>
      </w:r>
      <w:r w:rsidRPr="00854A8C">
        <w:rPr>
          <w:rFonts w:eastAsia="Times New Roman" w:cs="Tahoma"/>
          <w:bCs/>
          <w:color w:val="auto"/>
          <w:lang w:val="es-ES" w:eastAsia="es-ES"/>
        </w:rPr>
        <w:t>de información</w:t>
      </w:r>
      <w:r w:rsidR="00B4433D">
        <w:rPr>
          <w:rFonts w:eastAsia="Times New Roman" w:cs="Tahoma"/>
          <w:bCs/>
          <w:color w:val="auto"/>
          <w:lang w:val="es-ES" w:eastAsia="es-ES"/>
        </w:rPr>
        <w:t xml:space="preserve"> </w:t>
      </w:r>
      <w:r w:rsidR="003B6CD2">
        <w:rPr>
          <w:rFonts w:eastAsia="Times New Roman" w:cs="Tahoma"/>
          <w:bCs/>
          <w:color w:val="auto"/>
          <w:lang w:val="es-ES" w:eastAsia="es-ES"/>
        </w:rPr>
        <w:t>incompleta</w:t>
      </w:r>
      <w:r w:rsidRPr="00854A8C">
        <w:rPr>
          <w:rFonts w:eastAsia="Times New Roman" w:cs="Tahoma"/>
          <w:bCs/>
          <w:color w:val="auto"/>
          <w:lang w:val="es-ES" w:eastAsia="es-ES"/>
        </w:rPr>
        <w:t>.</w:t>
      </w:r>
    </w:p>
    <w:p w14:paraId="40B750C2" w14:textId="77777777" w:rsidR="00306B1A" w:rsidRPr="00854A8C" w:rsidRDefault="00306B1A" w:rsidP="00C03631">
      <w:pPr>
        <w:spacing w:after="0" w:line="360" w:lineRule="auto"/>
        <w:contextualSpacing/>
        <w:rPr>
          <w:rFonts w:eastAsia="Times New Roman" w:cs="Tahoma"/>
          <w:lang w:val="es-ES" w:eastAsia="es-ES"/>
        </w:rPr>
      </w:pPr>
    </w:p>
    <w:p w14:paraId="53A1FFC3" w14:textId="55CE471B" w:rsidR="00306B1A" w:rsidRPr="00854A8C" w:rsidRDefault="00306B1A" w:rsidP="00C03631">
      <w:pPr>
        <w:spacing w:after="0" w:line="360" w:lineRule="auto"/>
        <w:contextualSpacing/>
        <w:rPr>
          <w:rFonts w:cs="Tahoma"/>
          <w:b/>
          <w:bCs/>
        </w:rPr>
      </w:pPr>
      <w:r w:rsidRPr="00854A8C">
        <w:rPr>
          <w:rFonts w:cs="Tahoma"/>
          <w:b/>
          <w:bCs/>
        </w:rPr>
        <w:t>Causales de sobreseimiento</w:t>
      </w:r>
    </w:p>
    <w:p w14:paraId="08DDBB27" w14:textId="77777777" w:rsidR="00306B1A" w:rsidRPr="00854A8C" w:rsidRDefault="00306B1A" w:rsidP="00C03631">
      <w:pPr>
        <w:spacing w:after="0" w:line="360" w:lineRule="auto"/>
        <w:contextualSpacing/>
        <w:rPr>
          <w:rFonts w:cs="Tahoma"/>
        </w:rPr>
      </w:pPr>
    </w:p>
    <w:p w14:paraId="3D617C71" w14:textId="77777777" w:rsidR="00306B1A" w:rsidRPr="00854A8C" w:rsidRDefault="00306B1A" w:rsidP="00C03631">
      <w:pPr>
        <w:spacing w:after="0" w:line="360" w:lineRule="auto"/>
        <w:contextualSpacing/>
        <w:rPr>
          <w:rFonts w:cs="Tahoma"/>
        </w:rPr>
      </w:pPr>
      <w:r w:rsidRPr="00854A8C">
        <w:rPr>
          <w:rFonts w:cs="Tahoma"/>
        </w:rPr>
        <w:t>Por ser de previo y especial pronunciamiento, este Instituto analiza si se actualiza alguna causal de sobreseimiento.</w:t>
      </w:r>
    </w:p>
    <w:p w14:paraId="5FEFDA82" w14:textId="77777777" w:rsidR="00306B1A" w:rsidRPr="00854A8C" w:rsidRDefault="00306B1A" w:rsidP="00C03631">
      <w:pPr>
        <w:spacing w:after="0" w:line="360" w:lineRule="auto"/>
        <w:contextualSpacing/>
        <w:rPr>
          <w:rFonts w:cs="Tahoma"/>
        </w:rPr>
      </w:pPr>
    </w:p>
    <w:p w14:paraId="0F9E96CE" w14:textId="77777777" w:rsidR="00306B1A" w:rsidRPr="00854A8C" w:rsidRDefault="00306B1A" w:rsidP="00C03631">
      <w:pPr>
        <w:spacing w:after="0" w:line="360" w:lineRule="auto"/>
        <w:contextualSpacing/>
        <w:rPr>
          <w:rFonts w:cs="Tahoma"/>
        </w:rPr>
      </w:pPr>
      <w:r w:rsidRPr="00854A8C">
        <w:rPr>
          <w:rFonts w:cs="Tahoma"/>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w:t>
      </w:r>
      <w:r w:rsidRPr="00854A8C">
        <w:rPr>
          <w:rFonts w:cs="Tahoma"/>
        </w:rPr>
        <w:lastRenderedPageBreak/>
        <w:t>sobreviniera alguna causal de improcedencia, que el Sujeto Obligado hubiese modificado o revocado el acto impugnado o bien, haya quedado sin materia.</w:t>
      </w:r>
    </w:p>
    <w:p w14:paraId="520C0DB0" w14:textId="77777777" w:rsidR="00306B1A" w:rsidRPr="00854A8C" w:rsidRDefault="00306B1A" w:rsidP="00C03631">
      <w:pPr>
        <w:spacing w:after="0" w:line="360" w:lineRule="auto"/>
        <w:contextualSpacing/>
        <w:rPr>
          <w:rFonts w:cs="Tahoma"/>
        </w:rPr>
      </w:pPr>
    </w:p>
    <w:p w14:paraId="33760343" w14:textId="77777777" w:rsidR="00306B1A" w:rsidRPr="00854A8C" w:rsidRDefault="00306B1A" w:rsidP="00C03631">
      <w:pPr>
        <w:tabs>
          <w:tab w:val="left" w:pos="4962"/>
        </w:tabs>
        <w:spacing w:after="0" w:line="360" w:lineRule="auto"/>
        <w:contextualSpacing/>
        <w:rPr>
          <w:rFonts w:cs="Tahoma"/>
          <w:lang w:val="es-ES"/>
        </w:rPr>
      </w:pPr>
      <w:r w:rsidRPr="00854A8C">
        <w:rPr>
          <w:rFonts w:cs="Tahoma"/>
          <w:bCs/>
          <w:lang w:val="es-ES"/>
        </w:rPr>
        <w:t xml:space="preserve">Por tales motivos, </w:t>
      </w:r>
      <w:r w:rsidRPr="00854A8C">
        <w:rPr>
          <w:rFonts w:cs="Tahoma"/>
          <w:lang w:val="es-ES"/>
        </w:rPr>
        <w:t xml:space="preserve">se considera procedente entrar al fondo del presente asunto. </w:t>
      </w:r>
    </w:p>
    <w:p w14:paraId="5167F183" w14:textId="77777777" w:rsidR="00306B1A" w:rsidRPr="00854A8C" w:rsidRDefault="00306B1A" w:rsidP="00C03631">
      <w:pPr>
        <w:tabs>
          <w:tab w:val="left" w:pos="4962"/>
        </w:tabs>
        <w:spacing w:after="0" w:line="360" w:lineRule="auto"/>
        <w:contextualSpacing/>
        <w:rPr>
          <w:rFonts w:eastAsia="Calibri" w:cs="Tahoma"/>
          <w:b/>
          <w:iCs/>
          <w:lang w:val="es-ES" w:eastAsia="es-ES_tradnl"/>
        </w:rPr>
      </w:pPr>
    </w:p>
    <w:p w14:paraId="1BA91611" w14:textId="13882EEA" w:rsidR="00306B1A" w:rsidRPr="00854A8C" w:rsidRDefault="00306B1A" w:rsidP="00C03631">
      <w:pPr>
        <w:tabs>
          <w:tab w:val="left" w:pos="4962"/>
        </w:tabs>
        <w:spacing w:after="0" w:line="360" w:lineRule="auto"/>
        <w:contextualSpacing/>
        <w:rPr>
          <w:rFonts w:eastAsia="Calibri" w:cs="Tahoma"/>
          <w:b/>
          <w:iCs/>
          <w:lang w:val="es-ES" w:eastAsia="es-ES_tradnl"/>
        </w:rPr>
      </w:pPr>
      <w:r w:rsidRPr="00854A8C">
        <w:rPr>
          <w:rFonts w:eastAsia="Calibri" w:cs="Tahoma"/>
          <w:b/>
          <w:iCs/>
          <w:lang w:val="es-ES" w:eastAsia="es-ES_tradnl"/>
        </w:rPr>
        <w:t>TERCERO. Determinación de la Controversia</w:t>
      </w:r>
    </w:p>
    <w:p w14:paraId="40C05E19" w14:textId="77777777" w:rsidR="00306B1A" w:rsidRPr="00854A8C" w:rsidRDefault="00306B1A" w:rsidP="00C03631">
      <w:pPr>
        <w:spacing w:after="0" w:line="360" w:lineRule="auto"/>
        <w:contextualSpacing/>
      </w:pPr>
    </w:p>
    <w:p w14:paraId="0EE19479" w14:textId="77777777" w:rsidR="00101DA9" w:rsidRDefault="00306B1A" w:rsidP="00C03631">
      <w:pPr>
        <w:tabs>
          <w:tab w:val="left" w:pos="4962"/>
        </w:tabs>
        <w:spacing w:after="0" w:line="360" w:lineRule="auto"/>
        <w:contextualSpacing/>
        <w:rPr>
          <w:rFonts w:cs="Tahoma"/>
        </w:rPr>
      </w:pPr>
      <w:r w:rsidRPr="00854A8C">
        <w:rPr>
          <w:rFonts w:cs="Tahoma"/>
        </w:rPr>
        <w:t>Con el objetivo de ilustrar la controversia planteada, resulta conveniente precisar, que una vez realizado el estudio de las constancias que integran el expediente en el que se actúa, se desprende que el Particular requirió</w:t>
      </w:r>
      <w:r w:rsidR="00101DA9">
        <w:rPr>
          <w:rFonts w:cs="Tahoma"/>
        </w:rPr>
        <w:t xml:space="preserve"> por medio de dos solicitudes de información, lo siguiente:</w:t>
      </w:r>
    </w:p>
    <w:p w14:paraId="317D8466" w14:textId="77777777" w:rsidR="00101DA9" w:rsidRDefault="00101DA9" w:rsidP="00C03631">
      <w:pPr>
        <w:tabs>
          <w:tab w:val="left" w:pos="4962"/>
        </w:tabs>
        <w:spacing w:after="0" w:line="360" w:lineRule="auto"/>
        <w:contextualSpacing/>
        <w:rPr>
          <w:rFonts w:cs="Tahoma"/>
        </w:rPr>
      </w:pPr>
    </w:p>
    <w:p w14:paraId="2EE6A958" w14:textId="435ABAA3" w:rsidR="00306B1A" w:rsidRPr="00101DA9" w:rsidRDefault="00101DA9" w:rsidP="00C03631">
      <w:pPr>
        <w:pStyle w:val="Prrafodelista"/>
        <w:numPr>
          <w:ilvl w:val="0"/>
          <w:numId w:val="19"/>
        </w:numPr>
        <w:tabs>
          <w:tab w:val="left" w:pos="4962"/>
        </w:tabs>
        <w:spacing w:line="360" w:lineRule="auto"/>
        <w:rPr>
          <w:rFonts w:ascii="Palatino Linotype" w:hAnsi="Palatino Linotype" w:cs="Tahoma"/>
          <w:lang w:val="es-ES"/>
        </w:rPr>
      </w:pPr>
      <w:r w:rsidRPr="00101DA9">
        <w:rPr>
          <w:rFonts w:ascii="Palatino Linotype" w:hAnsi="Palatino Linotype" w:cs="Tahoma"/>
          <w:lang w:val="es-ES"/>
        </w:rPr>
        <w:t>R</w:t>
      </w:r>
      <w:r w:rsidR="00306B1A" w:rsidRPr="00101DA9">
        <w:rPr>
          <w:rFonts w:ascii="Palatino Linotype" w:hAnsi="Palatino Linotype" w:cs="Tahoma"/>
          <w:lang w:val="es-ES"/>
        </w:rPr>
        <w:t>especto de</w:t>
      </w:r>
      <w:r w:rsidR="003D1CCF" w:rsidRPr="00101DA9">
        <w:rPr>
          <w:rFonts w:ascii="Palatino Linotype" w:hAnsi="Palatino Linotype" w:cs="Tahoma"/>
          <w:lang w:val="es-ES"/>
        </w:rPr>
        <w:t xml:space="preserve">l </w:t>
      </w:r>
      <w:r w:rsidR="0058434A" w:rsidRPr="00101DA9">
        <w:rPr>
          <w:rFonts w:ascii="Palatino Linotype" w:hAnsi="Palatino Linotype" w:cs="Tahoma"/>
          <w:lang w:val="es-ES"/>
        </w:rPr>
        <w:t>“P</w:t>
      </w:r>
      <w:r w:rsidR="003D1CCF" w:rsidRPr="00101DA9">
        <w:rPr>
          <w:rFonts w:ascii="Palatino Linotype" w:hAnsi="Palatino Linotype" w:cs="Tahoma"/>
          <w:lang w:val="es-ES"/>
        </w:rPr>
        <w:t>rograma</w:t>
      </w:r>
      <w:r w:rsidR="0058434A" w:rsidRPr="00101DA9">
        <w:rPr>
          <w:rFonts w:ascii="Palatino Linotype" w:hAnsi="Palatino Linotype" w:cs="Tahoma"/>
          <w:lang w:val="es-ES"/>
        </w:rPr>
        <w:t xml:space="preserve"> Luces del Bicentenario”,</w:t>
      </w:r>
      <w:r w:rsidR="00ED5224" w:rsidRPr="00101DA9">
        <w:rPr>
          <w:rFonts w:ascii="Palatino Linotype" w:hAnsi="Palatino Linotype" w:cs="Tahoma"/>
          <w:lang w:val="es-ES"/>
        </w:rPr>
        <w:t xml:space="preserve"> al </w:t>
      </w:r>
      <w:r w:rsidR="00C70D29" w:rsidRPr="00101DA9">
        <w:rPr>
          <w:rFonts w:ascii="Palatino Linotype" w:hAnsi="Palatino Linotype" w:cs="Tahoma"/>
          <w:lang w:val="es-ES"/>
        </w:rPr>
        <w:t>primero de abril de dos mil veinticuatro,</w:t>
      </w:r>
      <w:r w:rsidR="0058434A" w:rsidRPr="00101DA9">
        <w:rPr>
          <w:rFonts w:ascii="Palatino Linotype" w:hAnsi="Palatino Linotype" w:cs="Tahoma"/>
          <w:lang w:val="es-ES"/>
        </w:rPr>
        <w:t xml:space="preserve"> lo siguiente:</w:t>
      </w:r>
    </w:p>
    <w:p w14:paraId="61FB5AA6" w14:textId="77777777" w:rsidR="0058434A" w:rsidRPr="0058434A" w:rsidRDefault="0058434A" w:rsidP="00C03631">
      <w:pPr>
        <w:tabs>
          <w:tab w:val="left" w:pos="4962"/>
        </w:tabs>
        <w:spacing w:after="0" w:line="360" w:lineRule="auto"/>
        <w:contextualSpacing/>
        <w:rPr>
          <w:rFonts w:cs="Tahoma"/>
          <w:szCs w:val="24"/>
          <w:lang w:val="es-ES"/>
        </w:rPr>
      </w:pPr>
    </w:p>
    <w:p w14:paraId="02D18FAA" w14:textId="77777777" w:rsidR="0058434A" w:rsidRPr="0058434A" w:rsidRDefault="0058434A" w:rsidP="00C03631">
      <w:pPr>
        <w:pStyle w:val="Prrafodelista"/>
        <w:numPr>
          <w:ilvl w:val="0"/>
          <w:numId w:val="11"/>
        </w:numPr>
        <w:tabs>
          <w:tab w:val="left" w:pos="4962"/>
        </w:tabs>
        <w:spacing w:line="360" w:lineRule="auto"/>
        <w:ind w:left="1134"/>
        <w:rPr>
          <w:rFonts w:ascii="Palatino Linotype" w:eastAsiaTheme="minorHAnsi" w:hAnsi="Palatino Linotype" w:cs="Tahoma"/>
          <w:lang w:val="es-ES"/>
        </w:rPr>
      </w:pPr>
      <w:r w:rsidRPr="0058434A">
        <w:rPr>
          <w:rFonts w:ascii="Palatino Linotype" w:eastAsiaTheme="minorHAnsi" w:hAnsi="Palatino Linotype" w:cs="Tahoma"/>
          <w:lang w:val="es-ES"/>
        </w:rPr>
        <w:t>Cantidad de luces adquiridas;</w:t>
      </w:r>
    </w:p>
    <w:p w14:paraId="3C811BD0" w14:textId="77777777" w:rsidR="0058434A" w:rsidRPr="0058434A" w:rsidRDefault="0058434A" w:rsidP="00C03631">
      <w:pPr>
        <w:pStyle w:val="Prrafodelista"/>
        <w:numPr>
          <w:ilvl w:val="0"/>
          <w:numId w:val="11"/>
        </w:numPr>
        <w:tabs>
          <w:tab w:val="left" w:pos="4962"/>
        </w:tabs>
        <w:spacing w:line="360" w:lineRule="auto"/>
        <w:ind w:left="1134"/>
        <w:rPr>
          <w:rFonts w:ascii="Palatino Linotype" w:eastAsiaTheme="minorHAnsi" w:hAnsi="Palatino Linotype" w:cs="Tahoma"/>
          <w:lang w:val="es-ES"/>
        </w:rPr>
      </w:pPr>
      <w:r w:rsidRPr="0058434A">
        <w:rPr>
          <w:rFonts w:ascii="Palatino Linotype" w:eastAsiaTheme="minorHAnsi" w:hAnsi="Palatino Linotype" w:cs="Tahoma"/>
          <w:lang w:val="es-ES"/>
        </w:rPr>
        <w:t>Lugar en que fueron instaladas;</w:t>
      </w:r>
    </w:p>
    <w:p w14:paraId="4014D71A" w14:textId="3817CD49" w:rsidR="0070129C" w:rsidRDefault="0058434A" w:rsidP="00C03631">
      <w:pPr>
        <w:pStyle w:val="Prrafodelista"/>
        <w:numPr>
          <w:ilvl w:val="0"/>
          <w:numId w:val="11"/>
        </w:numPr>
        <w:tabs>
          <w:tab w:val="left" w:pos="4962"/>
        </w:tabs>
        <w:spacing w:line="360" w:lineRule="auto"/>
        <w:ind w:left="1134"/>
        <w:rPr>
          <w:rFonts w:ascii="Palatino Linotype" w:eastAsiaTheme="minorHAnsi" w:hAnsi="Palatino Linotype" w:cs="Tahoma"/>
          <w:lang w:val="es-ES"/>
        </w:rPr>
      </w:pPr>
      <w:r w:rsidRPr="0058434A">
        <w:rPr>
          <w:rFonts w:ascii="Palatino Linotype" w:eastAsiaTheme="minorHAnsi" w:hAnsi="Palatino Linotype" w:cs="Tahoma"/>
          <w:lang w:val="es-ES"/>
        </w:rPr>
        <w:t>Contrato</w:t>
      </w:r>
      <w:r w:rsidR="00101DA9">
        <w:rPr>
          <w:rFonts w:ascii="Palatino Linotype" w:eastAsiaTheme="minorHAnsi" w:hAnsi="Palatino Linotype" w:cs="Tahoma"/>
          <w:lang w:val="es-ES"/>
        </w:rPr>
        <w:t xml:space="preserve"> de adquisición;</w:t>
      </w:r>
    </w:p>
    <w:p w14:paraId="7A8CD76F" w14:textId="1729CD94" w:rsidR="0058434A" w:rsidRPr="0070129C" w:rsidRDefault="0070129C" w:rsidP="00C03631">
      <w:pPr>
        <w:pStyle w:val="Prrafodelista"/>
        <w:numPr>
          <w:ilvl w:val="0"/>
          <w:numId w:val="11"/>
        </w:numPr>
        <w:tabs>
          <w:tab w:val="left" w:pos="4962"/>
        </w:tabs>
        <w:spacing w:line="360" w:lineRule="auto"/>
        <w:ind w:left="1134"/>
        <w:rPr>
          <w:rFonts w:ascii="Palatino Linotype" w:eastAsiaTheme="minorHAnsi" w:hAnsi="Palatino Linotype" w:cs="Tahoma"/>
          <w:lang w:val="es-ES"/>
        </w:rPr>
      </w:pPr>
      <w:r>
        <w:rPr>
          <w:rFonts w:ascii="Palatino Linotype" w:eastAsiaTheme="minorHAnsi" w:hAnsi="Palatino Linotype" w:cs="Tahoma"/>
          <w:lang w:val="es-ES"/>
        </w:rPr>
        <w:t>Proveedor</w:t>
      </w:r>
      <w:r w:rsidR="00101DA9">
        <w:rPr>
          <w:rFonts w:ascii="Palatino Linotype" w:eastAsiaTheme="minorHAnsi" w:hAnsi="Palatino Linotype" w:cs="Tahoma"/>
          <w:lang w:val="es-ES"/>
        </w:rPr>
        <w:t xml:space="preserve">, </w:t>
      </w:r>
      <w:r w:rsidR="0058434A" w:rsidRPr="0070129C">
        <w:rPr>
          <w:rFonts w:ascii="Palatino Linotype" w:eastAsiaTheme="minorHAnsi" w:hAnsi="Palatino Linotype" w:cs="Tahoma"/>
          <w:lang w:val="es-ES"/>
        </w:rPr>
        <w:t>y</w:t>
      </w:r>
    </w:p>
    <w:p w14:paraId="0831B91C" w14:textId="77777777" w:rsidR="0058434A" w:rsidRDefault="007437B2" w:rsidP="00C03631">
      <w:pPr>
        <w:pStyle w:val="Prrafodelista"/>
        <w:numPr>
          <w:ilvl w:val="0"/>
          <w:numId w:val="11"/>
        </w:numPr>
        <w:tabs>
          <w:tab w:val="left" w:pos="4962"/>
        </w:tabs>
        <w:spacing w:line="360" w:lineRule="auto"/>
        <w:ind w:left="1134"/>
        <w:rPr>
          <w:rFonts w:ascii="Palatino Linotype" w:eastAsiaTheme="minorHAnsi" w:hAnsi="Palatino Linotype" w:cs="Tahoma"/>
          <w:lang w:val="es-ES"/>
        </w:rPr>
      </w:pPr>
      <w:r>
        <w:rPr>
          <w:rFonts w:ascii="Palatino Linotype" w:eastAsiaTheme="minorHAnsi" w:hAnsi="Palatino Linotype" w:cs="Tahoma"/>
          <w:lang w:val="es-ES"/>
        </w:rPr>
        <w:t>Expediente de adjudicación</w:t>
      </w:r>
      <w:r w:rsidR="0058434A" w:rsidRPr="0058434A">
        <w:rPr>
          <w:rFonts w:ascii="Palatino Linotype" w:eastAsiaTheme="minorHAnsi" w:hAnsi="Palatino Linotype" w:cs="Tahoma"/>
          <w:lang w:val="es-ES"/>
        </w:rPr>
        <w:t>.</w:t>
      </w:r>
    </w:p>
    <w:p w14:paraId="25E95004" w14:textId="77777777" w:rsidR="00101DA9" w:rsidRDefault="00101DA9" w:rsidP="00C03631">
      <w:pPr>
        <w:pStyle w:val="Prrafodelista"/>
        <w:tabs>
          <w:tab w:val="left" w:pos="4962"/>
        </w:tabs>
        <w:spacing w:line="360" w:lineRule="auto"/>
        <w:ind w:left="1134"/>
        <w:rPr>
          <w:rFonts w:ascii="Palatino Linotype" w:eastAsiaTheme="minorHAnsi" w:hAnsi="Palatino Linotype" w:cs="Tahoma"/>
          <w:lang w:val="es-ES"/>
        </w:rPr>
      </w:pPr>
    </w:p>
    <w:p w14:paraId="5BC1D55B" w14:textId="2BA3BA13" w:rsidR="00101DA9" w:rsidRDefault="00101DA9" w:rsidP="00C03631">
      <w:pPr>
        <w:pStyle w:val="Prrafodelista"/>
        <w:numPr>
          <w:ilvl w:val="0"/>
          <w:numId w:val="19"/>
        </w:numPr>
        <w:tabs>
          <w:tab w:val="left" w:pos="4962"/>
        </w:tabs>
        <w:spacing w:line="360" w:lineRule="auto"/>
        <w:jc w:val="both"/>
        <w:rPr>
          <w:rFonts w:ascii="Palatino Linotype" w:hAnsi="Palatino Linotype" w:cs="Tahoma"/>
          <w:lang w:val="es-ES"/>
        </w:rPr>
      </w:pPr>
      <w:r>
        <w:rPr>
          <w:rFonts w:ascii="Palatino Linotype" w:hAnsi="Palatino Linotype" w:cs="Tahoma"/>
          <w:lang w:val="es-ES"/>
        </w:rPr>
        <w:t>Los expedientes de los procedimientos de adquisición de luminarias para el Municipio.</w:t>
      </w:r>
    </w:p>
    <w:p w14:paraId="76971D58" w14:textId="77777777" w:rsidR="0058434A" w:rsidRPr="0058434A" w:rsidRDefault="0058434A" w:rsidP="00C03631">
      <w:pPr>
        <w:pStyle w:val="Prrafodelista"/>
        <w:tabs>
          <w:tab w:val="left" w:pos="4962"/>
        </w:tabs>
        <w:spacing w:line="360" w:lineRule="auto"/>
        <w:rPr>
          <w:rFonts w:eastAsiaTheme="minorHAnsi" w:cs="Tahoma"/>
          <w:lang w:val="es-ES"/>
        </w:rPr>
      </w:pPr>
    </w:p>
    <w:p w14:paraId="698577E2" w14:textId="2946DFE2" w:rsidR="007437B2" w:rsidRPr="00E40D4A" w:rsidRDefault="007437B2" w:rsidP="00C03631">
      <w:pPr>
        <w:spacing w:after="0" w:line="360" w:lineRule="auto"/>
        <w:contextualSpacing/>
        <w:rPr>
          <w:rFonts w:cs="Tahoma"/>
          <w:bCs/>
          <w:iCs/>
        </w:rPr>
      </w:pPr>
      <w:r w:rsidRPr="00AE1D93">
        <w:rPr>
          <w:rFonts w:cs="Tahoma"/>
          <w:bCs/>
          <w:iCs/>
          <w:lang w:val="es-ES"/>
        </w:rPr>
        <w:t xml:space="preserve">En respuesta el ente Recurrido, </w:t>
      </w:r>
      <w:r>
        <w:rPr>
          <w:rFonts w:cs="Tahoma"/>
          <w:bCs/>
          <w:iCs/>
          <w:lang w:val="es-ES"/>
        </w:rPr>
        <w:t xml:space="preserve">proporcionó un enlace y el proceso mediante al cual podía acceder a los documentos que integraban la adquisición de las luminarias requeridas, además precisó la cantidad de comunidades y luminarias que fueron instaladas en la primera etapa, las adquiridas en la segunda, sumado a que requirió al Particular que precisara la ubicación en la que </w:t>
      </w:r>
      <w:r w:rsidR="003B6CD2">
        <w:rPr>
          <w:rFonts w:cs="Tahoma"/>
          <w:bCs/>
          <w:iCs/>
          <w:lang w:val="es-ES"/>
        </w:rPr>
        <w:t xml:space="preserve">se </w:t>
      </w:r>
      <w:r>
        <w:rPr>
          <w:rFonts w:cs="Tahoma"/>
          <w:bCs/>
          <w:iCs/>
          <w:lang w:val="es-ES"/>
        </w:rPr>
        <w:t xml:space="preserve">requería la cantidad de cinco luminarias a efecto de que se le informara </w:t>
      </w:r>
      <w:r w:rsidR="003B6CD2">
        <w:rPr>
          <w:rFonts w:cs="Tahoma"/>
          <w:bCs/>
          <w:iCs/>
          <w:lang w:val="es-ES"/>
        </w:rPr>
        <w:t xml:space="preserve">el estado en </w:t>
      </w:r>
      <w:r w:rsidR="003B6CD2">
        <w:rPr>
          <w:rFonts w:cs="Tahoma"/>
          <w:bCs/>
          <w:iCs/>
          <w:lang w:val="es-ES"/>
        </w:rPr>
        <w:lastRenderedPageBreak/>
        <w:t>que se encuentra el programa en la zona</w:t>
      </w:r>
      <w:r w:rsidR="003B6CD2">
        <w:rPr>
          <w:rFonts w:cs="Tahoma"/>
          <w:bCs/>
          <w:iCs/>
        </w:rPr>
        <w:t>; A</w:t>
      </w:r>
      <w:r w:rsidRPr="00AE1D93">
        <w:rPr>
          <w:rFonts w:cs="Tahoma"/>
          <w:bCs/>
          <w:iCs/>
        </w:rPr>
        <w:t xml:space="preserve">nte dicha circunstancia, la parte Recurrente se inconformó con </w:t>
      </w:r>
      <w:r w:rsidR="003B6CD2">
        <w:rPr>
          <w:rFonts w:cs="Tahoma"/>
          <w:bCs/>
          <w:iCs/>
        </w:rPr>
        <w:t xml:space="preserve">la </w:t>
      </w:r>
      <w:r w:rsidR="00E40D4A">
        <w:rPr>
          <w:rFonts w:cs="Tahoma"/>
          <w:bCs/>
          <w:iCs/>
        </w:rPr>
        <w:t xml:space="preserve">entrega </w:t>
      </w:r>
      <w:r w:rsidR="003B6CD2">
        <w:rPr>
          <w:rFonts w:cs="Tahoma"/>
          <w:bCs/>
          <w:iCs/>
        </w:rPr>
        <w:t>de información</w:t>
      </w:r>
      <w:r w:rsidR="00E40D4A">
        <w:rPr>
          <w:rFonts w:cs="Tahoma"/>
          <w:bCs/>
          <w:iCs/>
        </w:rPr>
        <w:t xml:space="preserve"> incompleta</w:t>
      </w:r>
      <w:r w:rsidRPr="00AE1D93">
        <w:rPr>
          <w:rFonts w:cs="Tahoma"/>
          <w:bCs/>
          <w:iCs/>
        </w:rPr>
        <w:t xml:space="preserve">, </w:t>
      </w:r>
      <w:r w:rsidRPr="00AE1D93">
        <w:rPr>
          <w:rFonts w:cs="Tahoma"/>
          <w:bCs/>
          <w:iCs/>
          <w:lang w:val="es-ES"/>
        </w:rPr>
        <w:t>lo cual actualiza los supuesto previsto en el artículo 179, fracción</w:t>
      </w:r>
      <w:r w:rsidR="003B6CD2">
        <w:rPr>
          <w:rFonts w:cs="Tahoma"/>
          <w:bCs/>
          <w:iCs/>
          <w:lang w:val="es-ES"/>
        </w:rPr>
        <w:t xml:space="preserve"> V</w:t>
      </w:r>
      <w:r w:rsidRPr="00AE1D93">
        <w:rPr>
          <w:rFonts w:cs="Tahoma"/>
          <w:bCs/>
          <w:iCs/>
          <w:lang w:val="es-ES"/>
        </w:rPr>
        <w:t>, de la Ley de Transparencia y Acceso a la Información Pública del Estado de México y Municipios</w:t>
      </w:r>
      <w:r w:rsidRPr="00AE1D93">
        <w:rPr>
          <w:rFonts w:cs="Tahoma"/>
          <w:bCs/>
          <w:iCs/>
        </w:rPr>
        <w:t xml:space="preserve">. </w:t>
      </w:r>
      <w:r w:rsidRPr="00AE1D93">
        <w:rPr>
          <w:rFonts w:cs="Tahoma"/>
          <w:bCs/>
          <w:iCs/>
          <w:lang w:val="es-ES"/>
        </w:rPr>
        <w:t>Así las cosas, una vez admitido</w:t>
      </w:r>
      <w:r w:rsidR="003B6CD2">
        <w:rPr>
          <w:rFonts w:cs="Tahoma"/>
          <w:bCs/>
          <w:iCs/>
          <w:lang w:val="es-ES"/>
        </w:rPr>
        <w:t>s</w:t>
      </w:r>
      <w:r w:rsidRPr="00AE1D93">
        <w:rPr>
          <w:rFonts w:cs="Tahoma"/>
          <w:bCs/>
          <w:iCs/>
          <w:lang w:val="es-ES"/>
        </w:rPr>
        <w:t xml:space="preserve"> y notificado</w:t>
      </w:r>
      <w:r w:rsidR="003B6CD2">
        <w:rPr>
          <w:rFonts w:cs="Tahoma"/>
          <w:bCs/>
          <w:iCs/>
          <w:lang w:val="es-ES"/>
        </w:rPr>
        <w:t>s</w:t>
      </w:r>
      <w:r w:rsidRPr="00AE1D93">
        <w:rPr>
          <w:rFonts w:cs="Tahoma"/>
          <w:bCs/>
          <w:iCs/>
          <w:lang w:val="es-ES"/>
        </w:rPr>
        <w:t xml:space="preserve"> los Recursos de Revisión a las partes, el Sujeto Obligado </w:t>
      </w:r>
      <w:r w:rsidR="003B6CD2">
        <w:rPr>
          <w:rFonts w:cs="Tahoma"/>
          <w:bCs/>
          <w:iCs/>
          <w:lang w:val="es-ES"/>
        </w:rPr>
        <w:t>ratificó sus respuestas iniciales</w:t>
      </w:r>
      <w:r w:rsidRPr="00AE1D93">
        <w:rPr>
          <w:rFonts w:cs="Tahoma"/>
          <w:bCs/>
          <w:iCs/>
          <w:lang w:val="es-ES"/>
        </w:rPr>
        <w:t xml:space="preserve">. </w:t>
      </w:r>
      <w:r w:rsidR="003B6CD2">
        <w:rPr>
          <w:rFonts w:cs="Tahoma"/>
          <w:bCs/>
          <w:iCs/>
          <w:lang w:val="es-ES"/>
        </w:rPr>
        <w:t xml:space="preserve">Por su parte el ahora Recurrente realizó diversas manifestaciones mediante las cuales se inconforma por las respuestas remitidas en la solicitud de información número </w:t>
      </w:r>
      <w:r w:rsidR="003B6CD2">
        <w:rPr>
          <w:bCs/>
        </w:rPr>
        <w:t>00189</w:t>
      </w:r>
      <w:r w:rsidR="003B6CD2" w:rsidRPr="00637D3C">
        <w:rPr>
          <w:bCs/>
        </w:rPr>
        <w:t>/ECATEPEC/IP/2024</w:t>
      </w:r>
      <w:r w:rsidR="003B6CD2">
        <w:rPr>
          <w:bCs/>
        </w:rPr>
        <w:t>.</w:t>
      </w:r>
    </w:p>
    <w:p w14:paraId="4054F749" w14:textId="77777777" w:rsidR="007437B2" w:rsidRPr="00AE1D93" w:rsidRDefault="007437B2" w:rsidP="00C03631">
      <w:pPr>
        <w:pStyle w:val="Prrafodelista"/>
        <w:tabs>
          <w:tab w:val="left" w:pos="4962"/>
        </w:tabs>
        <w:spacing w:line="360" w:lineRule="auto"/>
        <w:ind w:left="0" w:right="-28"/>
        <w:jc w:val="both"/>
        <w:rPr>
          <w:rFonts w:ascii="Palatino Linotype" w:eastAsia="Calibri" w:hAnsi="Palatino Linotype" w:cs="Tahoma"/>
          <w:iCs/>
          <w:szCs w:val="22"/>
          <w:lang w:val="es-ES" w:eastAsia="es-ES_tradnl"/>
        </w:rPr>
      </w:pPr>
    </w:p>
    <w:p w14:paraId="169F91B9" w14:textId="77777777" w:rsidR="007437B2" w:rsidRPr="00AE1D93" w:rsidRDefault="007437B2" w:rsidP="00C03631">
      <w:pPr>
        <w:spacing w:after="0" w:line="360" w:lineRule="auto"/>
        <w:contextualSpacing/>
        <w:rPr>
          <w:rFonts w:cs="Tahoma"/>
          <w:bCs/>
        </w:rPr>
      </w:pPr>
      <w:r w:rsidRPr="00AE1D93">
        <w:rPr>
          <w:rFonts w:cs="Tahoma"/>
          <w:iCs/>
        </w:rPr>
        <w:t>Lo anterior, se desprende de las documentales que obran en los expedientes de referencia, materia de la presente resolución, consistente en: la</w:t>
      </w:r>
      <w:r>
        <w:rPr>
          <w:rFonts w:cs="Tahoma"/>
          <w:iCs/>
        </w:rPr>
        <w:t xml:space="preserve">s </w:t>
      </w:r>
      <w:r w:rsidRPr="00AE1D93">
        <w:rPr>
          <w:rFonts w:cs="Tahoma"/>
          <w:iCs/>
        </w:rPr>
        <w:t>solicitud</w:t>
      </w:r>
      <w:r>
        <w:rPr>
          <w:rFonts w:cs="Tahoma"/>
          <w:iCs/>
        </w:rPr>
        <w:t>es</w:t>
      </w:r>
      <w:r w:rsidRPr="00AE1D93">
        <w:rPr>
          <w:rFonts w:cs="Tahoma"/>
          <w:iCs/>
        </w:rPr>
        <w:t xml:space="preserve"> de acceso a la información; la</w:t>
      </w:r>
      <w:r>
        <w:rPr>
          <w:rFonts w:cs="Tahoma"/>
          <w:iCs/>
        </w:rPr>
        <w:t>s</w:t>
      </w:r>
      <w:r w:rsidRPr="00AE1D93">
        <w:rPr>
          <w:rFonts w:cs="Tahoma"/>
          <w:iCs/>
        </w:rPr>
        <w:t xml:space="preserve"> respuesta</w:t>
      </w:r>
      <w:r>
        <w:rPr>
          <w:rFonts w:cs="Tahoma"/>
          <w:iCs/>
        </w:rPr>
        <w:t>s</w:t>
      </w:r>
      <w:r w:rsidRPr="00AE1D93">
        <w:rPr>
          <w:rFonts w:cs="Tahoma"/>
          <w:iCs/>
        </w:rPr>
        <w:t xml:space="preserve"> proporcionada</w:t>
      </w:r>
      <w:r>
        <w:rPr>
          <w:rFonts w:cs="Tahoma"/>
          <w:iCs/>
        </w:rPr>
        <w:t>s</w:t>
      </w:r>
      <w:r w:rsidR="0070129C">
        <w:rPr>
          <w:rFonts w:cs="Tahoma"/>
          <w:iCs/>
        </w:rPr>
        <w:t xml:space="preserve"> por el Sujeto Obligado,</w:t>
      </w:r>
      <w:r w:rsidRPr="00AE1D93">
        <w:rPr>
          <w:rFonts w:cs="Tahoma"/>
          <w:iCs/>
        </w:rPr>
        <w:t xml:space="preserve"> l</w:t>
      </w:r>
      <w:r>
        <w:rPr>
          <w:rFonts w:cs="Tahoma"/>
          <w:iCs/>
        </w:rPr>
        <w:t>os</w:t>
      </w:r>
      <w:r w:rsidRPr="00AE1D93">
        <w:rPr>
          <w:rFonts w:cs="Tahoma"/>
          <w:iCs/>
        </w:rPr>
        <w:t xml:space="preserve"> escrito</w:t>
      </w:r>
      <w:r>
        <w:rPr>
          <w:rFonts w:cs="Tahoma"/>
          <w:iCs/>
        </w:rPr>
        <w:t>s</w:t>
      </w:r>
      <w:r w:rsidRPr="00AE1D93">
        <w:rPr>
          <w:rFonts w:cs="Tahoma"/>
          <w:iCs/>
        </w:rPr>
        <w:t xml:space="preserve"> recu</w:t>
      </w:r>
      <w:r>
        <w:rPr>
          <w:rFonts w:cs="Tahoma"/>
          <w:iCs/>
        </w:rPr>
        <w:t>r</w:t>
      </w:r>
      <w:r w:rsidRPr="00AE1D93">
        <w:rPr>
          <w:rFonts w:cs="Tahoma"/>
          <w:iCs/>
        </w:rPr>
        <w:t>sa</w:t>
      </w:r>
      <w:r>
        <w:rPr>
          <w:rFonts w:cs="Tahoma"/>
          <w:iCs/>
        </w:rPr>
        <w:t>les</w:t>
      </w:r>
      <w:r w:rsidR="0070129C">
        <w:rPr>
          <w:rFonts w:cs="Tahoma"/>
          <w:iCs/>
        </w:rPr>
        <w:t xml:space="preserve"> y los informes justificados</w:t>
      </w:r>
      <w:r w:rsidRPr="00AE1D93">
        <w:rPr>
          <w:rFonts w:cs="Tahoma"/>
          <w:iCs/>
        </w:rPr>
        <w:t xml:space="preserve">; </w:t>
      </w:r>
      <w:r w:rsidRPr="00AE1D93">
        <w:rPr>
          <w:rFonts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2A636C2" w14:textId="77777777" w:rsidR="00306B1A" w:rsidRPr="00854A8C" w:rsidRDefault="00306B1A" w:rsidP="00C03631">
      <w:pPr>
        <w:spacing w:after="0" w:line="360" w:lineRule="auto"/>
        <w:contextualSpacing/>
        <w:rPr>
          <w:rFonts w:cs="Tahoma"/>
        </w:rPr>
      </w:pPr>
    </w:p>
    <w:p w14:paraId="3D8F6E11" w14:textId="6A7C7024" w:rsidR="00306B1A" w:rsidRPr="00854A8C" w:rsidRDefault="00306B1A" w:rsidP="00C03631">
      <w:pPr>
        <w:spacing w:after="0" w:line="360" w:lineRule="auto"/>
        <w:contextualSpacing/>
        <w:rPr>
          <w:rFonts w:eastAsia="Times New Roman" w:cs="Tahoma"/>
          <w:b/>
          <w:bCs/>
          <w:iCs/>
          <w:color w:val="auto"/>
          <w:lang w:eastAsia="es-ES"/>
        </w:rPr>
      </w:pPr>
      <w:r w:rsidRPr="00854A8C">
        <w:rPr>
          <w:rFonts w:eastAsia="Times New Roman" w:cs="Tahoma"/>
          <w:b/>
          <w:bCs/>
          <w:iCs/>
          <w:color w:val="auto"/>
          <w:lang w:val="es-ES" w:eastAsia="es-ES"/>
        </w:rPr>
        <w:t xml:space="preserve">CUARTO. </w:t>
      </w:r>
      <w:r w:rsidRPr="00854A8C">
        <w:rPr>
          <w:rFonts w:eastAsia="Times New Roman" w:cs="Tahoma"/>
          <w:b/>
          <w:bCs/>
          <w:iCs/>
          <w:color w:val="auto"/>
          <w:lang w:eastAsia="es-ES"/>
        </w:rPr>
        <w:t>Marco normativo aplicable en materia de transparencia y acceso a la información pública</w:t>
      </w:r>
    </w:p>
    <w:p w14:paraId="427E67DB" w14:textId="77777777" w:rsidR="00306B1A" w:rsidRPr="00854A8C" w:rsidRDefault="00306B1A" w:rsidP="00C03631">
      <w:pPr>
        <w:autoSpaceDE w:val="0"/>
        <w:autoSpaceDN w:val="0"/>
        <w:adjustRightInd w:val="0"/>
        <w:spacing w:after="0" w:line="360" w:lineRule="auto"/>
        <w:contextualSpacing/>
        <w:rPr>
          <w:rFonts w:eastAsia="Times New Roman" w:cs="Tahoma"/>
          <w:bCs/>
          <w:iCs/>
          <w:color w:val="auto"/>
          <w:lang w:val="es-ES" w:eastAsia="es-ES"/>
        </w:rPr>
      </w:pPr>
    </w:p>
    <w:p w14:paraId="066319B3" w14:textId="77777777" w:rsidR="00306B1A" w:rsidRPr="00854A8C" w:rsidRDefault="00306B1A" w:rsidP="00C03631">
      <w:pPr>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2DD930A" w14:textId="77777777" w:rsidR="00306B1A" w:rsidRPr="00854A8C" w:rsidRDefault="00306B1A" w:rsidP="00C03631">
      <w:pPr>
        <w:spacing w:after="0" w:line="360" w:lineRule="auto"/>
        <w:contextualSpacing/>
        <w:rPr>
          <w:rFonts w:eastAsia="Times New Roman" w:cs="Tahoma"/>
          <w:bCs/>
          <w:iCs/>
          <w:color w:val="auto"/>
          <w:lang w:eastAsia="es-ES"/>
        </w:rPr>
      </w:pPr>
    </w:p>
    <w:p w14:paraId="295EA427" w14:textId="77777777" w:rsidR="00306B1A" w:rsidRPr="00854A8C" w:rsidRDefault="00306B1A" w:rsidP="00C03631">
      <w:pPr>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ECC2484" w14:textId="77777777" w:rsidR="00306B1A" w:rsidRPr="00854A8C" w:rsidRDefault="00306B1A" w:rsidP="00C03631">
      <w:pPr>
        <w:spacing w:after="0" w:line="360" w:lineRule="auto"/>
        <w:contextualSpacing/>
        <w:rPr>
          <w:rFonts w:eastAsia="Times New Roman" w:cs="Tahoma"/>
          <w:bCs/>
          <w:iCs/>
          <w:color w:val="auto"/>
          <w:lang w:eastAsia="es-ES"/>
        </w:rPr>
      </w:pPr>
    </w:p>
    <w:p w14:paraId="68A1A634" w14:textId="77777777" w:rsidR="00306B1A" w:rsidRPr="00854A8C" w:rsidRDefault="00306B1A" w:rsidP="00C03631">
      <w:pPr>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C721952" w14:textId="77777777" w:rsidR="00306B1A" w:rsidRPr="00854A8C" w:rsidRDefault="00306B1A" w:rsidP="00C03631">
      <w:pPr>
        <w:spacing w:after="0" w:line="360" w:lineRule="auto"/>
        <w:contextualSpacing/>
        <w:rPr>
          <w:rFonts w:eastAsia="Times New Roman" w:cs="Tahoma"/>
          <w:bCs/>
          <w:iCs/>
          <w:color w:val="auto"/>
          <w:lang w:eastAsia="es-ES"/>
        </w:rPr>
      </w:pPr>
    </w:p>
    <w:p w14:paraId="60421F00" w14:textId="77777777" w:rsidR="00306B1A" w:rsidRPr="00854A8C" w:rsidRDefault="00306B1A" w:rsidP="00C03631">
      <w:pPr>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63AC3663" w14:textId="77777777" w:rsidR="00306B1A" w:rsidRPr="00854A8C" w:rsidRDefault="00306B1A" w:rsidP="00C03631">
      <w:pPr>
        <w:spacing w:after="0" w:line="360" w:lineRule="auto"/>
        <w:contextualSpacing/>
        <w:rPr>
          <w:rFonts w:eastAsia="Times New Roman" w:cs="Tahoma"/>
          <w:bCs/>
          <w:iCs/>
          <w:color w:val="auto"/>
          <w:lang w:eastAsia="es-ES"/>
        </w:rPr>
      </w:pPr>
    </w:p>
    <w:p w14:paraId="60AF69AD" w14:textId="77777777" w:rsidR="00306B1A" w:rsidRPr="00854A8C" w:rsidRDefault="00306B1A" w:rsidP="00C03631">
      <w:pPr>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t>El artículo 12, que, quienes generen, recopilen, administren, manejen, procesen, archiven o conserven información pública serán responsables de la misma.</w:t>
      </w:r>
    </w:p>
    <w:p w14:paraId="4475F966" w14:textId="77777777" w:rsidR="00306B1A" w:rsidRPr="00854A8C" w:rsidRDefault="00306B1A" w:rsidP="00C03631">
      <w:pPr>
        <w:spacing w:after="0" w:line="360" w:lineRule="auto"/>
        <w:contextualSpacing/>
        <w:rPr>
          <w:rFonts w:eastAsia="Times New Roman" w:cs="Tahoma"/>
          <w:bCs/>
          <w:iCs/>
          <w:color w:val="auto"/>
          <w:lang w:eastAsia="es-ES"/>
        </w:rPr>
      </w:pPr>
    </w:p>
    <w:p w14:paraId="7CED98F0" w14:textId="77777777" w:rsidR="00306B1A" w:rsidRPr="00854A8C" w:rsidRDefault="00306B1A" w:rsidP="00C03631">
      <w:pPr>
        <w:widowControl w:val="0"/>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42113C0E" w14:textId="77777777" w:rsidR="00306B1A" w:rsidRPr="00854A8C" w:rsidRDefault="00306B1A" w:rsidP="00C03631">
      <w:pPr>
        <w:spacing w:after="0" w:line="360" w:lineRule="auto"/>
        <w:contextualSpacing/>
        <w:rPr>
          <w:rFonts w:eastAsia="Times New Roman" w:cs="Tahoma"/>
          <w:bCs/>
          <w:iCs/>
          <w:color w:val="auto"/>
          <w:lang w:eastAsia="es-ES"/>
        </w:rPr>
      </w:pPr>
    </w:p>
    <w:p w14:paraId="2A39AB25" w14:textId="77777777" w:rsidR="00306B1A" w:rsidRPr="00854A8C" w:rsidRDefault="00306B1A" w:rsidP="00C03631">
      <w:pPr>
        <w:spacing w:after="0" w:line="360" w:lineRule="auto"/>
        <w:contextualSpacing/>
        <w:rPr>
          <w:rFonts w:eastAsia="Times New Roman" w:cs="Tahoma"/>
          <w:bCs/>
          <w:iCs/>
          <w:color w:val="auto"/>
          <w:lang w:eastAsia="es-ES"/>
        </w:rPr>
      </w:pPr>
      <w:r w:rsidRPr="00854A8C">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1677DEA" w14:textId="77777777" w:rsidR="00306B1A" w:rsidRPr="00854A8C" w:rsidRDefault="00306B1A" w:rsidP="00C03631">
      <w:pPr>
        <w:spacing w:after="0" w:line="360" w:lineRule="auto"/>
        <w:contextualSpacing/>
        <w:rPr>
          <w:rFonts w:eastAsia="Times New Roman" w:cs="Tahoma"/>
          <w:bCs/>
          <w:iCs/>
          <w:color w:val="auto"/>
          <w:lang w:eastAsia="es-ES"/>
        </w:rPr>
      </w:pPr>
    </w:p>
    <w:p w14:paraId="7A563AD1" w14:textId="42E70A91" w:rsidR="00306B1A" w:rsidRPr="00854A8C" w:rsidRDefault="00306B1A" w:rsidP="00C03631">
      <w:pPr>
        <w:spacing w:after="0" w:line="360" w:lineRule="auto"/>
        <w:contextualSpacing/>
        <w:rPr>
          <w:rFonts w:eastAsia="Times New Roman" w:cs="Tahoma"/>
          <w:b/>
          <w:bCs/>
          <w:iCs/>
          <w:color w:val="auto"/>
          <w:lang w:val="es-ES" w:eastAsia="es-ES"/>
        </w:rPr>
      </w:pPr>
      <w:r w:rsidRPr="00854A8C">
        <w:rPr>
          <w:rFonts w:eastAsia="Times New Roman" w:cs="Tahoma"/>
          <w:b/>
          <w:bCs/>
          <w:iCs/>
          <w:color w:val="auto"/>
          <w:lang w:val="es-ES" w:eastAsia="es-ES"/>
        </w:rPr>
        <w:t>QUINTO. Estudio de Fondo</w:t>
      </w:r>
    </w:p>
    <w:p w14:paraId="591B68B3" w14:textId="77777777" w:rsidR="00306B1A" w:rsidRPr="00854A8C" w:rsidRDefault="00306B1A" w:rsidP="00C03631">
      <w:pPr>
        <w:tabs>
          <w:tab w:val="left" w:pos="4962"/>
        </w:tabs>
        <w:spacing w:after="0" w:line="360" w:lineRule="auto"/>
        <w:contextualSpacing/>
        <w:rPr>
          <w:rFonts w:eastAsia="Times New Roman" w:cs="Tahoma"/>
          <w:bCs/>
          <w:color w:val="auto"/>
          <w:lang w:val="es-ES" w:eastAsia="es-ES"/>
        </w:rPr>
      </w:pPr>
    </w:p>
    <w:p w14:paraId="0B8C7B50" w14:textId="77777777" w:rsidR="007C4D58" w:rsidRDefault="007C4D58" w:rsidP="00C03631">
      <w:pPr>
        <w:tabs>
          <w:tab w:val="left" w:pos="4962"/>
        </w:tabs>
        <w:spacing w:after="0" w:line="360" w:lineRule="auto"/>
        <w:contextualSpacing/>
      </w:pPr>
      <w:r w:rsidRPr="00F2058B">
        <w:rPr>
          <w:rFonts w:cs="Tahoma"/>
          <w:bCs/>
          <w:iCs/>
        </w:rPr>
        <w:t>Expuestas las posturas de las partes, se procede a realizar el análisi</w:t>
      </w:r>
      <w:r w:rsidR="00865ADF">
        <w:rPr>
          <w:rFonts w:cs="Tahoma"/>
          <w:bCs/>
          <w:iCs/>
        </w:rPr>
        <w:t>s del agravio hecho valer por el</w:t>
      </w:r>
      <w:r w:rsidRPr="00F2058B">
        <w:rPr>
          <w:rFonts w:cs="Tahoma"/>
          <w:bCs/>
          <w:iCs/>
        </w:rPr>
        <w:t xml:space="preserve"> ahora Recurrente, concerniente a </w:t>
      </w:r>
      <w:r>
        <w:rPr>
          <w:rFonts w:cs="Tahoma"/>
          <w:bCs/>
          <w:iCs/>
        </w:rPr>
        <w:t xml:space="preserve">la </w:t>
      </w:r>
      <w:r w:rsidRPr="00D434D1">
        <w:t xml:space="preserve">entrega de información </w:t>
      </w:r>
      <w:r>
        <w:t>incompleta, por lo que, en principio, resulta necesario contextualizar la solicitud de información.</w:t>
      </w:r>
    </w:p>
    <w:p w14:paraId="27636F33" w14:textId="77777777" w:rsidR="00306B1A" w:rsidRDefault="00306B1A" w:rsidP="00C03631">
      <w:pPr>
        <w:tabs>
          <w:tab w:val="left" w:pos="4962"/>
        </w:tabs>
        <w:spacing w:after="0" w:line="360" w:lineRule="auto"/>
        <w:contextualSpacing/>
        <w:rPr>
          <w:rFonts w:eastAsia="Calibri" w:cs="Tahoma"/>
          <w:iCs/>
          <w:lang w:val="es-ES" w:eastAsia="es-ES_tradnl"/>
        </w:rPr>
      </w:pPr>
    </w:p>
    <w:p w14:paraId="2CADC7C7" w14:textId="77777777" w:rsidR="007C4D58" w:rsidRPr="00FD367E" w:rsidRDefault="007C4D58" w:rsidP="00C03631">
      <w:pPr>
        <w:spacing w:after="0" w:line="360" w:lineRule="auto"/>
        <w:contextualSpacing/>
        <w:rPr>
          <w:rFonts w:eastAsia="Times New Roman" w:cs="Tahoma"/>
          <w:color w:val="0D0D0D" w:themeColor="text1" w:themeTint="F2"/>
          <w:lang w:val="es-ES" w:eastAsia="es-ES"/>
        </w:rPr>
      </w:pPr>
      <w:r>
        <w:rPr>
          <w:rFonts w:eastAsia="Times New Roman" w:cs="Tahoma"/>
          <w:color w:val="0D0D0D" w:themeColor="text1" w:themeTint="F2"/>
          <w:lang w:val="es-ES" w:eastAsia="es-ES"/>
        </w:rPr>
        <w:lastRenderedPageBreak/>
        <w:t>En principio</w:t>
      </w:r>
      <w:r w:rsidRPr="00FD367E">
        <w:t xml:space="preserve">, López Olvera, Miguel Alejandro Cancino Gómez, Rodolfo. (2020). “La Contratación Pública y el Sistema Nacional Anticorrupción”. (p. 4) la </w:t>
      </w:r>
      <w:r w:rsidRPr="00FD367E">
        <w:rPr>
          <w:b/>
        </w:rPr>
        <w:t>contratación pública</w:t>
      </w:r>
      <w:r w:rsidRPr="00FD367E">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21D5E560" w14:textId="77777777" w:rsidR="007C4D58" w:rsidRPr="00FD367E" w:rsidRDefault="007C4D58" w:rsidP="00C03631">
      <w:pPr>
        <w:spacing w:after="0" w:line="360" w:lineRule="auto"/>
        <w:contextualSpacing/>
      </w:pPr>
    </w:p>
    <w:p w14:paraId="25CD63AD" w14:textId="77777777" w:rsidR="007C4D58" w:rsidRPr="002117BE" w:rsidRDefault="007C4D58" w:rsidP="00C03631">
      <w:pPr>
        <w:spacing w:after="0" w:line="360" w:lineRule="auto"/>
        <w:contextualSpacing/>
        <w:rPr>
          <w:rFonts w:eastAsia="Calibri" w:cs="Tahoma"/>
        </w:rPr>
      </w:pPr>
      <w:r w:rsidRPr="002117BE">
        <w:rPr>
          <w:rFonts w:eastAsia="Calibri" w:cs="Tahoma"/>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2117BE">
        <w:rPr>
          <w:rFonts w:eastAsia="Calibri" w:cs="Tahoma"/>
          <w:b/>
          <w:bCs/>
        </w:rPr>
        <w:t>contratación de servicios</w:t>
      </w:r>
      <w:r w:rsidRPr="002117BE">
        <w:rPr>
          <w:rFonts w:eastAsia="Calibri" w:cs="Tahoma"/>
        </w:rPr>
        <w:t xml:space="preserve"> de cualquier naturaleza. </w:t>
      </w:r>
    </w:p>
    <w:p w14:paraId="5375A87B" w14:textId="77777777" w:rsidR="007C4D58" w:rsidRPr="002117BE" w:rsidRDefault="007C4D58" w:rsidP="00C03631">
      <w:pPr>
        <w:spacing w:after="0" w:line="360" w:lineRule="auto"/>
        <w:contextualSpacing/>
        <w:rPr>
          <w:rFonts w:eastAsia="Calibri" w:cs="Tahoma"/>
          <w:highlight w:val="magenta"/>
        </w:rPr>
      </w:pPr>
    </w:p>
    <w:p w14:paraId="63CD5F35" w14:textId="77777777" w:rsidR="007C4D58" w:rsidRPr="002117BE" w:rsidRDefault="007C4D58" w:rsidP="00C03631">
      <w:pPr>
        <w:spacing w:after="0" w:line="360" w:lineRule="auto"/>
        <w:contextualSpacing/>
        <w:rPr>
          <w:rFonts w:eastAsia="Calibri" w:cs="Tahoma"/>
        </w:rPr>
      </w:pPr>
      <w:r w:rsidRPr="002117BE">
        <w:rPr>
          <w:rFonts w:eastAsia="Calibri" w:cs="Tahoma"/>
        </w:rPr>
        <w:t xml:space="preserve">En ese contexto, conforme a los artículos 26 y 27 de dicho ordenamiento jurídico, las adquisiciones, arrendamientos y </w:t>
      </w:r>
      <w:r w:rsidRPr="002117BE">
        <w:rPr>
          <w:rFonts w:eastAsia="Calibri" w:cs="Tahoma"/>
          <w:b/>
          <w:bCs/>
        </w:rPr>
        <w:t>servicios</w:t>
      </w:r>
      <w:r w:rsidRPr="002117BE">
        <w:rPr>
          <w:rFonts w:eastAsia="Calibri" w:cs="Tahoma"/>
        </w:rPr>
        <w:t>, se adjudicarán a través de procedimientos de licitación pública, invitación restringida y adjudicación directa.</w:t>
      </w:r>
    </w:p>
    <w:p w14:paraId="58CA5D01" w14:textId="77777777" w:rsidR="007C4D58" w:rsidRPr="002117BE" w:rsidRDefault="007C4D58" w:rsidP="00C03631">
      <w:pPr>
        <w:spacing w:after="0" w:line="360" w:lineRule="auto"/>
        <w:contextualSpacing/>
        <w:rPr>
          <w:rFonts w:eastAsia="Calibri" w:cs="Tahoma"/>
          <w:highlight w:val="magenta"/>
        </w:rPr>
      </w:pPr>
    </w:p>
    <w:p w14:paraId="665EC6A7" w14:textId="77777777" w:rsidR="007C4D58" w:rsidRPr="002117BE" w:rsidRDefault="007C4D58" w:rsidP="00C03631">
      <w:pPr>
        <w:spacing w:after="0" w:line="360" w:lineRule="auto"/>
        <w:contextualSpacing/>
        <w:rPr>
          <w:rFonts w:eastAsia="Calibri" w:cs="Tahoma"/>
        </w:rPr>
      </w:pPr>
      <w:r w:rsidRPr="002117BE">
        <w:rPr>
          <w:rFonts w:cs="Tahoma"/>
          <w:bCs/>
          <w:iCs/>
          <w:lang w:val="es-ES" w:eastAsia="es-MX"/>
        </w:rPr>
        <w:t xml:space="preserve">En ese orden de ideas, conforme al artículo 65 de la Ley de Contratación Pública del Estado de México y Municipios, la adjudicación de un procedimiento de </w:t>
      </w:r>
      <w:r w:rsidRPr="002117BE">
        <w:rPr>
          <w:rFonts w:cs="Tahoma"/>
          <w:iCs/>
          <w:lang w:val="es-ES" w:eastAsia="es-MX"/>
        </w:rPr>
        <w:t xml:space="preserve">adquisición y arrendamiento de bienes y </w:t>
      </w:r>
      <w:r w:rsidRPr="002117BE">
        <w:rPr>
          <w:rFonts w:cs="Tahoma"/>
          <w:b/>
          <w:bCs/>
          <w:iCs/>
          <w:lang w:val="es-ES" w:eastAsia="es-MX"/>
        </w:rPr>
        <w:t>contratación de servicios</w:t>
      </w:r>
      <w:r w:rsidRPr="002117BE">
        <w:rPr>
          <w:rFonts w:cs="Tahoma"/>
          <w:bCs/>
          <w:iCs/>
          <w:lang w:val="es-ES" w:eastAsia="es-MX"/>
        </w:rPr>
        <w:t xml:space="preserve"> se realizará mediante la suscripción de un contrato, entre el Ayuntamiento y la persona a la cual haya ganado el procedimiento respectivo, dentro de los diez días hábiles siguientes a la notificación del fallo.</w:t>
      </w:r>
    </w:p>
    <w:p w14:paraId="5CF7E5F5" w14:textId="77777777" w:rsidR="007C4D58" w:rsidRPr="002117BE" w:rsidRDefault="007C4D58" w:rsidP="00C03631">
      <w:pPr>
        <w:spacing w:after="0" w:line="360" w:lineRule="auto"/>
        <w:contextualSpacing/>
        <w:rPr>
          <w:rFonts w:cs="Tahoma"/>
          <w:highlight w:val="magenta"/>
          <w:lang w:val="es-ES"/>
        </w:rPr>
      </w:pPr>
    </w:p>
    <w:p w14:paraId="2D3DDA6C" w14:textId="77777777" w:rsidR="007C4D58" w:rsidRPr="002117BE" w:rsidRDefault="007C4D58" w:rsidP="00C03631">
      <w:pPr>
        <w:spacing w:after="0" w:line="360" w:lineRule="auto"/>
        <w:contextualSpacing/>
        <w:rPr>
          <w:rFonts w:cs="Tahoma"/>
          <w:b/>
          <w:lang w:val="es-ES"/>
        </w:rPr>
      </w:pPr>
      <w:r w:rsidRPr="002117BE">
        <w:rPr>
          <w:rFonts w:cs="Tahoma"/>
          <w:lang w:val="es-ES"/>
        </w:rPr>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w:t>
      </w:r>
      <w:r w:rsidRPr="002117BE">
        <w:rPr>
          <w:rFonts w:cs="Tahoma"/>
          <w:lang w:val="es-ES"/>
        </w:rPr>
        <w:lastRenderedPageBreak/>
        <w:t xml:space="preserve">datos, entre los cuales, se encuentran los datos de identificación de las partes y del contrato, </w:t>
      </w:r>
      <w:r w:rsidRPr="002117BE">
        <w:rPr>
          <w:rFonts w:cs="Tahoma"/>
          <w:b/>
          <w:lang w:val="es-ES"/>
        </w:rPr>
        <w:t>así como el importe total.</w:t>
      </w:r>
    </w:p>
    <w:p w14:paraId="38F122B9" w14:textId="77777777" w:rsidR="007C4D58" w:rsidRPr="002117BE" w:rsidRDefault="007C4D58" w:rsidP="00C03631">
      <w:pPr>
        <w:spacing w:after="0" w:line="360" w:lineRule="auto"/>
        <w:contextualSpacing/>
        <w:rPr>
          <w:rFonts w:cs="Tahoma"/>
          <w:b/>
          <w:highlight w:val="magenta"/>
          <w:lang w:val="es-ES"/>
        </w:rPr>
      </w:pPr>
    </w:p>
    <w:p w14:paraId="15CDE39C" w14:textId="77777777" w:rsidR="007C4D58" w:rsidRPr="002117BE" w:rsidRDefault="007C4D58" w:rsidP="00C03631">
      <w:pPr>
        <w:spacing w:after="0" w:line="360" w:lineRule="auto"/>
        <w:contextualSpacing/>
        <w:rPr>
          <w:shd w:val="clear" w:color="auto" w:fill="FFFFFF"/>
        </w:rPr>
      </w:pPr>
      <w:r w:rsidRPr="002117BE">
        <w:rPr>
          <w:color w:val="000000"/>
          <w:shd w:val="clear" w:color="auto" w:fill="FFFFFF"/>
          <w:lang w:val="es-ES"/>
        </w:rPr>
        <w:t xml:space="preserve">Así mismo, el artículo 70 fracción XXVIII, de la Ley General  de Transparencia y Acceso a la Información Pública y 92 fracción XXIX, de la Ley de Transparencia y Acceso a la Información Pública del Estado de México y Municipios, </w:t>
      </w:r>
      <w:r w:rsidRPr="002117BE">
        <w:rPr>
          <w:color w:val="000000"/>
          <w:shd w:val="clear" w:color="auto" w:fill="FFFFFF"/>
        </w:rPr>
        <w:t xml:space="preserve">precisa que es </w:t>
      </w:r>
      <w:r w:rsidRPr="002117BE">
        <w:rPr>
          <w:b/>
          <w:bCs/>
          <w:color w:val="000000"/>
          <w:shd w:val="clear" w:color="auto" w:fill="FFFFFF"/>
        </w:rPr>
        <w:t xml:space="preserve">información que es pública de oficio, </w:t>
      </w:r>
      <w:r w:rsidRPr="002117BE">
        <w:rPr>
          <w:color w:val="000000"/>
          <w:shd w:val="clear" w:color="auto" w:fill="FFFFFF"/>
        </w:rPr>
        <w:t>la</w:t>
      </w:r>
      <w:r w:rsidRPr="002117BE">
        <w:rPr>
          <w:b/>
          <w:bCs/>
          <w:color w:val="000000"/>
          <w:shd w:val="clear" w:color="auto" w:fill="FFFFFF"/>
        </w:rPr>
        <w:t xml:space="preserve"> </w:t>
      </w:r>
      <w:r w:rsidRPr="002117BE">
        <w:rPr>
          <w:color w:val="000000"/>
          <w:shd w:val="clear" w:color="auto" w:fill="FFFFFF"/>
        </w:rPr>
        <w:t xml:space="preserve">información sobre los procesos y resultados sobre procedimientos de adjudicación directa, invitación restringida y licitación de cualquier naturaleza, </w:t>
      </w:r>
      <w:r w:rsidRPr="002117BE">
        <w:rPr>
          <w:b/>
          <w:bCs/>
          <w:color w:val="000000"/>
          <w:shd w:val="clear" w:color="auto" w:fill="FFFFFF"/>
        </w:rPr>
        <w:t xml:space="preserve">que incluye la versión pública del expediente respectivo y de los contratos celebrados, </w:t>
      </w:r>
      <w:r w:rsidRPr="002117BE">
        <w:rPr>
          <w:color w:val="000000"/>
          <w:shd w:val="clear" w:color="auto" w:fill="FFFFFF"/>
        </w:rPr>
        <w:t xml:space="preserve">y deberán contener por lo menos lo siguiente: </w:t>
      </w:r>
    </w:p>
    <w:p w14:paraId="16A18754" w14:textId="77777777" w:rsidR="007C4D58" w:rsidRPr="002117BE" w:rsidRDefault="007C4D58" w:rsidP="00C03631">
      <w:pPr>
        <w:spacing w:after="0" w:line="360" w:lineRule="auto"/>
        <w:contextualSpacing/>
        <w:rPr>
          <w:color w:val="000000"/>
          <w:shd w:val="clear" w:color="auto" w:fill="FFFFFF"/>
        </w:rPr>
      </w:pPr>
    </w:p>
    <w:tbl>
      <w:tblPr>
        <w:tblStyle w:val="Tablaconcuadrcula3"/>
        <w:tblW w:w="0" w:type="auto"/>
        <w:tblLook w:val="04A0" w:firstRow="1" w:lastRow="0" w:firstColumn="1" w:lastColumn="0" w:noHBand="0" w:noVBand="1"/>
      </w:tblPr>
      <w:tblGrid>
        <w:gridCol w:w="2899"/>
        <w:gridCol w:w="2898"/>
        <w:gridCol w:w="2899"/>
      </w:tblGrid>
      <w:tr w:rsidR="007C4D58" w:rsidRPr="002117BE" w14:paraId="4EE84AFA" w14:textId="77777777" w:rsidTr="00DC1094">
        <w:trPr>
          <w:trHeight w:val="424"/>
        </w:trPr>
        <w:tc>
          <w:tcPr>
            <w:tcW w:w="2899" w:type="dxa"/>
            <w:tcBorders>
              <w:top w:val="single" w:sz="4" w:space="0" w:color="auto"/>
              <w:left w:val="single" w:sz="4" w:space="0" w:color="auto"/>
              <w:bottom w:val="single" w:sz="4" w:space="0" w:color="auto"/>
              <w:right w:val="single" w:sz="4" w:space="0" w:color="auto"/>
            </w:tcBorders>
            <w:hideMark/>
          </w:tcPr>
          <w:p w14:paraId="4DD16912" w14:textId="77777777" w:rsidR="007C4D58" w:rsidRPr="002117BE" w:rsidRDefault="007C4D58" w:rsidP="00C03631">
            <w:pPr>
              <w:spacing w:line="360" w:lineRule="auto"/>
              <w:contextualSpacing/>
              <w:rPr>
                <w:rFonts w:cs="Tahoma"/>
                <w:b/>
              </w:rPr>
            </w:pPr>
            <w:r w:rsidRPr="002117BE">
              <w:rPr>
                <w:rFonts w:cs="Tahoma"/>
                <w:b/>
                <w:color w:val="000000"/>
              </w:rPr>
              <w:t>Licitación Pública</w:t>
            </w:r>
          </w:p>
        </w:tc>
        <w:tc>
          <w:tcPr>
            <w:tcW w:w="2898" w:type="dxa"/>
            <w:tcBorders>
              <w:top w:val="single" w:sz="4" w:space="0" w:color="auto"/>
              <w:left w:val="single" w:sz="4" w:space="0" w:color="auto"/>
              <w:bottom w:val="single" w:sz="4" w:space="0" w:color="auto"/>
              <w:right w:val="single" w:sz="4" w:space="0" w:color="auto"/>
            </w:tcBorders>
            <w:hideMark/>
          </w:tcPr>
          <w:p w14:paraId="75B8C348" w14:textId="77777777" w:rsidR="007C4D58" w:rsidRPr="002117BE" w:rsidRDefault="007C4D58" w:rsidP="00C03631">
            <w:pPr>
              <w:spacing w:line="360" w:lineRule="auto"/>
              <w:contextualSpacing/>
              <w:rPr>
                <w:rFonts w:cs="Tahoma"/>
                <w:b/>
                <w:color w:val="000000"/>
              </w:rPr>
            </w:pPr>
            <w:r w:rsidRPr="002117BE">
              <w:rPr>
                <w:rFonts w:cs="Tahoma"/>
                <w:b/>
                <w:color w:val="000000"/>
              </w:rPr>
              <w:t>Invitación Restringida</w:t>
            </w:r>
          </w:p>
        </w:tc>
        <w:tc>
          <w:tcPr>
            <w:tcW w:w="2899" w:type="dxa"/>
            <w:tcBorders>
              <w:top w:val="single" w:sz="4" w:space="0" w:color="auto"/>
              <w:left w:val="single" w:sz="4" w:space="0" w:color="auto"/>
              <w:bottom w:val="single" w:sz="4" w:space="0" w:color="auto"/>
              <w:right w:val="single" w:sz="4" w:space="0" w:color="auto"/>
            </w:tcBorders>
            <w:hideMark/>
          </w:tcPr>
          <w:p w14:paraId="4C28A900" w14:textId="77777777" w:rsidR="007C4D58" w:rsidRPr="002117BE" w:rsidRDefault="007C4D58" w:rsidP="00C03631">
            <w:pPr>
              <w:spacing w:line="360" w:lineRule="auto"/>
              <w:contextualSpacing/>
              <w:rPr>
                <w:rFonts w:cs="Tahoma"/>
                <w:b/>
                <w:color w:val="000000"/>
              </w:rPr>
            </w:pPr>
            <w:r w:rsidRPr="002117BE">
              <w:rPr>
                <w:rFonts w:cs="Tahoma"/>
                <w:b/>
                <w:color w:val="000000"/>
              </w:rPr>
              <w:t>Adjudicación Directa</w:t>
            </w:r>
          </w:p>
        </w:tc>
      </w:tr>
      <w:tr w:rsidR="007C4D58" w:rsidRPr="002117BE" w14:paraId="1D606701" w14:textId="77777777" w:rsidTr="00DC1094">
        <w:trPr>
          <w:trHeight w:val="863"/>
        </w:trPr>
        <w:tc>
          <w:tcPr>
            <w:tcW w:w="2899" w:type="dxa"/>
            <w:tcBorders>
              <w:top w:val="single" w:sz="4" w:space="0" w:color="auto"/>
              <w:left w:val="single" w:sz="4" w:space="0" w:color="auto"/>
              <w:bottom w:val="single" w:sz="4" w:space="0" w:color="auto"/>
              <w:right w:val="single" w:sz="4" w:space="0" w:color="auto"/>
            </w:tcBorders>
            <w:hideMark/>
          </w:tcPr>
          <w:p w14:paraId="40913AD4" w14:textId="77777777" w:rsidR="007C4D58" w:rsidRPr="002117BE" w:rsidRDefault="007C4D58" w:rsidP="00C03631">
            <w:pPr>
              <w:spacing w:line="360" w:lineRule="auto"/>
              <w:contextualSpacing/>
              <w:rPr>
                <w:rFonts w:cs="Tahoma"/>
                <w:color w:val="000000"/>
              </w:rPr>
            </w:pPr>
            <w:r w:rsidRPr="002117BE">
              <w:rPr>
                <w:rFonts w:cs="Tahoma"/>
                <w:color w:val="000000"/>
              </w:rPr>
              <w:t>Convocatoria y fundamentos legales</w:t>
            </w:r>
          </w:p>
        </w:tc>
        <w:tc>
          <w:tcPr>
            <w:tcW w:w="2898" w:type="dxa"/>
            <w:tcBorders>
              <w:top w:val="single" w:sz="4" w:space="0" w:color="auto"/>
              <w:left w:val="single" w:sz="4" w:space="0" w:color="auto"/>
              <w:bottom w:val="single" w:sz="4" w:space="0" w:color="auto"/>
              <w:right w:val="single" w:sz="4" w:space="0" w:color="auto"/>
            </w:tcBorders>
            <w:hideMark/>
          </w:tcPr>
          <w:p w14:paraId="1E8AA0F9" w14:textId="77777777" w:rsidR="007C4D58" w:rsidRPr="002117BE" w:rsidRDefault="007C4D58" w:rsidP="00C03631">
            <w:pPr>
              <w:spacing w:line="360" w:lineRule="auto"/>
              <w:contextualSpacing/>
              <w:rPr>
                <w:rFonts w:cs="Tahoma"/>
                <w:color w:val="000000"/>
              </w:rPr>
            </w:pPr>
            <w:r w:rsidRPr="002117BE">
              <w:rPr>
                <w:rFonts w:cs="Tahoma"/>
                <w:color w:val="000000"/>
              </w:rPr>
              <w:t>Invitación y fundamentos legales</w:t>
            </w:r>
          </w:p>
        </w:tc>
        <w:tc>
          <w:tcPr>
            <w:tcW w:w="2899" w:type="dxa"/>
            <w:tcBorders>
              <w:top w:val="single" w:sz="4" w:space="0" w:color="auto"/>
              <w:left w:val="single" w:sz="4" w:space="0" w:color="auto"/>
              <w:bottom w:val="single" w:sz="4" w:space="0" w:color="auto"/>
              <w:right w:val="single" w:sz="4" w:space="0" w:color="auto"/>
            </w:tcBorders>
            <w:hideMark/>
          </w:tcPr>
          <w:p w14:paraId="474E2EA6" w14:textId="77777777" w:rsidR="007C4D58" w:rsidRPr="002117BE" w:rsidRDefault="007C4D58" w:rsidP="00C03631">
            <w:pPr>
              <w:spacing w:line="360" w:lineRule="auto"/>
              <w:contextualSpacing/>
              <w:rPr>
                <w:rFonts w:cs="Tahoma"/>
                <w:color w:val="000000"/>
              </w:rPr>
            </w:pPr>
            <w:r w:rsidRPr="002117BE">
              <w:rPr>
                <w:rFonts w:cs="Tahoma"/>
                <w:color w:val="000000"/>
              </w:rPr>
              <w:t>Propuesta enviada por el participante</w:t>
            </w:r>
          </w:p>
        </w:tc>
      </w:tr>
      <w:tr w:rsidR="007C4D58" w:rsidRPr="002117BE" w14:paraId="4FA81D09" w14:textId="77777777" w:rsidTr="00DC1094">
        <w:trPr>
          <w:trHeight w:val="1302"/>
        </w:trPr>
        <w:tc>
          <w:tcPr>
            <w:tcW w:w="2899" w:type="dxa"/>
            <w:tcBorders>
              <w:top w:val="single" w:sz="4" w:space="0" w:color="auto"/>
              <w:left w:val="single" w:sz="4" w:space="0" w:color="auto"/>
              <w:bottom w:val="single" w:sz="4" w:space="0" w:color="auto"/>
              <w:right w:val="single" w:sz="4" w:space="0" w:color="auto"/>
            </w:tcBorders>
            <w:hideMark/>
          </w:tcPr>
          <w:p w14:paraId="165C5CE5" w14:textId="77777777" w:rsidR="007C4D58" w:rsidRPr="002117BE" w:rsidRDefault="007C4D58" w:rsidP="00C03631">
            <w:pPr>
              <w:spacing w:line="360" w:lineRule="auto"/>
              <w:contextualSpacing/>
              <w:rPr>
                <w:rFonts w:cs="Tahoma"/>
                <w:color w:val="000000"/>
              </w:rPr>
            </w:pPr>
            <w:r w:rsidRPr="002117BE">
              <w:rPr>
                <w:rFonts w:cs="Tahoma"/>
                <w:color w:val="000000"/>
              </w:rPr>
              <w:t>Nombre de los participantes</w:t>
            </w:r>
          </w:p>
        </w:tc>
        <w:tc>
          <w:tcPr>
            <w:tcW w:w="2898" w:type="dxa"/>
            <w:tcBorders>
              <w:top w:val="single" w:sz="4" w:space="0" w:color="auto"/>
              <w:left w:val="single" w:sz="4" w:space="0" w:color="auto"/>
              <w:bottom w:val="single" w:sz="4" w:space="0" w:color="auto"/>
              <w:right w:val="single" w:sz="4" w:space="0" w:color="auto"/>
            </w:tcBorders>
            <w:hideMark/>
          </w:tcPr>
          <w:p w14:paraId="70647443" w14:textId="77777777" w:rsidR="007C4D58" w:rsidRPr="002117BE" w:rsidRDefault="007C4D58" w:rsidP="00C03631">
            <w:pPr>
              <w:spacing w:line="360" w:lineRule="auto"/>
              <w:contextualSpacing/>
              <w:rPr>
                <w:rFonts w:cs="Tahoma"/>
                <w:color w:val="000000"/>
              </w:rPr>
            </w:pPr>
            <w:r w:rsidRPr="002117BE">
              <w:rPr>
                <w:rFonts w:cs="Tahoma"/>
                <w:color w:val="000000"/>
              </w:rPr>
              <w:t>Nombre de los invitados</w:t>
            </w:r>
          </w:p>
        </w:tc>
        <w:tc>
          <w:tcPr>
            <w:tcW w:w="2899" w:type="dxa"/>
            <w:tcBorders>
              <w:top w:val="single" w:sz="4" w:space="0" w:color="auto"/>
              <w:left w:val="single" w:sz="4" w:space="0" w:color="auto"/>
              <w:bottom w:val="single" w:sz="4" w:space="0" w:color="auto"/>
              <w:right w:val="single" w:sz="4" w:space="0" w:color="auto"/>
            </w:tcBorders>
            <w:hideMark/>
          </w:tcPr>
          <w:p w14:paraId="58CD1B96" w14:textId="77777777" w:rsidR="007C4D58" w:rsidRPr="002117BE" w:rsidRDefault="007C4D58" w:rsidP="00C03631">
            <w:pPr>
              <w:spacing w:line="360" w:lineRule="auto"/>
              <w:contextualSpacing/>
              <w:rPr>
                <w:rFonts w:cs="Tahoma"/>
                <w:color w:val="000000"/>
              </w:rPr>
            </w:pPr>
            <w:r w:rsidRPr="002117BE">
              <w:rPr>
                <w:rFonts w:cs="Tahoma"/>
                <w:color w:val="000000"/>
              </w:rPr>
              <w:t>Motivos y fundamentos legales aplicados para llevar a cabo la adjudicación</w:t>
            </w:r>
          </w:p>
        </w:tc>
      </w:tr>
      <w:tr w:rsidR="007C4D58" w:rsidRPr="002117BE" w14:paraId="2F2C8EF8" w14:textId="77777777" w:rsidTr="00DC1094">
        <w:trPr>
          <w:trHeight w:val="863"/>
        </w:trPr>
        <w:tc>
          <w:tcPr>
            <w:tcW w:w="2899" w:type="dxa"/>
            <w:tcBorders>
              <w:top w:val="single" w:sz="4" w:space="0" w:color="auto"/>
              <w:left w:val="single" w:sz="4" w:space="0" w:color="auto"/>
              <w:bottom w:val="single" w:sz="4" w:space="0" w:color="auto"/>
              <w:right w:val="single" w:sz="4" w:space="0" w:color="auto"/>
            </w:tcBorders>
            <w:hideMark/>
          </w:tcPr>
          <w:p w14:paraId="7F6ED069" w14:textId="77777777" w:rsidR="007C4D58" w:rsidRPr="002117BE" w:rsidRDefault="007C4D58" w:rsidP="00C03631">
            <w:pPr>
              <w:spacing w:line="360" w:lineRule="auto"/>
              <w:contextualSpacing/>
              <w:rPr>
                <w:rFonts w:cs="Tahoma"/>
                <w:color w:val="000000"/>
              </w:rPr>
            </w:pPr>
            <w:r w:rsidRPr="002117BE">
              <w:rPr>
                <w:rFonts w:cs="Tahoma"/>
                <w:color w:val="000000"/>
              </w:rPr>
              <w:t>Nombre del ganador y razones que lo justifican</w:t>
            </w:r>
          </w:p>
        </w:tc>
        <w:tc>
          <w:tcPr>
            <w:tcW w:w="2898" w:type="dxa"/>
            <w:tcBorders>
              <w:top w:val="single" w:sz="4" w:space="0" w:color="auto"/>
              <w:left w:val="single" w:sz="4" w:space="0" w:color="auto"/>
              <w:bottom w:val="single" w:sz="4" w:space="0" w:color="auto"/>
              <w:right w:val="single" w:sz="4" w:space="0" w:color="auto"/>
            </w:tcBorders>
            <w:hideMark/>
          </w:tcPr>
          <w:p w14:paraId="593E4CCC" w14:textId="77777777" w:rsidR="007C4D58" w:rsidRPr="002117BE" w:rsidRDefault="007C4D58" w:rsidP="00C03631">
            <w:pPr>
              <w:spacing w:line="360" w:lineRule="auto"/>
              <w:contextualSpacing/>
              <w:rPr>
                <w:rFonts w:cs="Tahoma"/>
                <w:color w:val="000000"/>
              </w:rPr>
            </w:pPr>
            <w:r w:rsidRPr="002117BE">
              <w:rPr>
                <w:rFonts w:cs="Tahoma"/>
                <w:color w:val="000000"/>
              </w:rPr>
              <w:t>Nombre del ganador y razones que lo justifican</w:t>
            </w:r>
          </w:p>
        </w:tc>
        <w:tc>
          <w:tcPr>
            <w:tcW w:w="2899" w:type="dxa"/>
            <w:tcBorders>
              <w:top w:val="single" w:sz="4" w:space="0" w:color="auto"/>
              <w:left w:val="single" w:sz="4" w:space="0" w:color="auto"/>
              <w:bottom w:val="single" w:sz="4" w:space="0" w:color="auto"/>
              <w:right w:val="single" w:sz="4" w:space="0" w:color="auto"/>
            </w:tcBorders>
            <w:hideMark/>
          </w:tcPr>
          <w:p w14:paraId="4615034E" w14:textId="77777777" w:rsidR="007C4D58" w:rsidRPr="002117BE" w:rsidRDefault="007C4D58" w:rsidP="00C03631">
            <w:pPr>
              <w:spacing w:line="360" w:lineRule="auto"/>
              <w:contextualSpacing/>
              <w:rPr>
                <w:rFonts w:cs="Tahoma"/>
                <w:color w:val="000000"/>
              </w:rPr>
            </w:pPr>
            <w:r w:rsidRPr="002117BE">
              <w:rPr>
                <w:rFonts w:cs="Tahoma"/>
                <w:color w:val="000000"/>
              </w:rPr>
              <w:t>Autorización del ejercicio de la opción</w:t>
            </w:r>
          </w:p>
        </w:tc>
      </w:tr>
      <w:tr w:rsidR="007C4D58" w:rsidRPr="002117BE" w14:paraId="421090C5" w14:textId="77777777" w:rsidTr="00DC1094">
        <w:trPr>
          <w:trHeight w:val="1726"/>
        </w:trPr>
        <w:tc>
          <w:tcPr>
            <w:tcW w:w="2899" w:type="dxa"/>
            <w:tcBorders>
              <w:top w:val="single" w:sz="4" w:space="0" w:color="auto"/>
              <w:left w:val="single" w:sz="4" w:space="0" w:color="auto"/>
              <w:bottom w:val="single" w:sz="4" w:space="0" w:color="auto"/>
              <w:right w:val="single" w:sz="4" w:space="0" w:color="auto"/>
            </w:tcBorders>
            <w:hideMark/>
          </w:tcPr>
          <w:p w14:paraId="5B758C72" w14:textId="77777777" w:rsidR="007C4D58" w:rsidRPr="002117BE" w:rsidRDefault="007C4D58" w:rsidP="00C03631">
            <w:pPr>
              <w:spacing w:line="360" w:lineRule="auto"/>
              <w:contextualSpacing/>
              <w:rPr>
                <w:rFonts w:cs="Tahoma"/>
                <w:color w:val="000000"/>
              </w:rPr>
            </w:pPr>
            <w:r w:rsidRPr="002117BE">
              <w:rPr>
                <w:rFonts w:cs="Tahoma"/>
                <w:color w:val="000000"/>
              </w:rPr>
              <w:t>La unidad administrativa solicitante y responsable de la ejecución</w:t>
            </w:r>
          </w:p>
        </w:tc>
        <w:tc>
          <w:tcPr>
            <w:tcW w:w="2898" w:type="dxa"/>
            <w:tcBorders>
              <w:top w:val="single" w:sz="4" w:space="0" w:color="auto"/>
              <w:left w:val="single" w:sz="4" w:space="0" w:color="auto"/>
              <w:bottom w:val="single" w:sz="4" w:space="0" w:color="auto"/>
              <w:right w:val="single" w:sz="4" w:space="0" w:color="auto"/>
            </w:tcBorders>
            <w:hideMark/>
          </w:tcPr>
          <w:p w14:paraId="4799CEC6" w14:textId="77777777" w:rsidR="007C4D58" w:rsidRPr="002117BE" w:rsidRDefault="007C4D58" w:rsidP="00C03631">
            <w:pPr>
              <w:spacing w:line="360" w:lineRule="auto"/>
              <w:contextualSpacing/>
              <w:rPr>
                <w:rFonts w:cs="Tahoma"/>
                <w:color w:val="000000"/>
              </w:rPr>
            </w:pPr>
            <w:r w:rsidRPr="002117BE">
              <w:rPr>
                <w:rFonts w:cs="Tahoma"/>
                <w:color w:val="000000"/>
              </w:rPr>
              <w:t>La unidad administrativa solicitante y responsable de la ejecución</w:t>
            </w:r>
          </w:p>
        </w:tc>
        <w:tc>
          <w:tcPr>
            <w:tcW w:w="2899" w:type="dxa"/>
            <w:tcBorders>
              <w:top w:val="single" w:sz="4" w:space="0" w:color="auto"/>
              <w:left w:val="single" w:sz="4" w:space="0" w:color="auto"/>
              <w:bottom w:val="single" w:sz="4" w:space="0" w:color="auto"/>
              <w:right w:val="single" w:sz="4" w:space="0" w:color="auto"/>
            </w:tcBorders>
            <w:hideMark/>
          </w:tcPr>
          <w:p w14:paraId="729E6834" w14:textId="77777777" w:rsidR="007C4D58" w:rsidRPr="002117BE" w:rsidRDefault="007C4D58" w:rsidP="00C03631">
            <w:pPr>
              <w:spacing w:line="360" w:lineRule="auto"/>
              <w:contextualSpacing/>
              <w:rPr>
                <w:rFonts w:cs="Tahoma"/>
                <w:color w:val="000000"/>
              </w:rPr>
            </w:pPr>
            <w:r w:rsidRPr="002117BE">
              <w:rPr>
                <w:rFonts w:cs="Tahoma"/>
                <w:color w:val="000000"/>
              </w:rPr>
              <w:t>Cotizaciones consideradas, especificando el nombre de los proveedores y sus montos</w:t>
            </w:r>
          </w:p>
        </w:tc>
      </w:tr>
      <w:tr w:rsidR="007C4D58" w:rsidRPr="002117BE" w14:paraId="1C90F8DB" w14:textId="77777777" w:rsidTr="00DC1094">
        <w:trPr>
          <w:trHeight w:val="1302"/>
        </w:trPr>
        <w:tc>
          <w:tcPr>
            <w:tcW w:w="2899" w:type="dxa"/>
            <w:tcBorders>
              <w:top w:val="single" w:sz="4" w:space="0" w:color="auto"/>
              <w:left w:val="single" w:sz="4" w:space="0" w:color="auto"/>
              <w:bottom w:val="single" w:sz="4" w:space="0" w:color="auto"/>
              <w:right w:val="single" w:sz="4" w:space="0" w:color="auto"/>
            </w:tcBorders>
            <w:hideMark/>
          </w:tcPr>
          <w:p w14:paraId="108EB567" w14:textId="77777777" w:rsidR="007C4D58" w:rsidRPr="002117BE" w:rsidRDefault="007C4D58" w:rsidP="00C03631">
            <w:pPr>
              <w:spacing w:line="360" w:lineRule="auto"/>
              <w:contextualSpacing/>
              <w:rPr>
                <w:rFonts w:cs="Tahoma"/>
                <w:color w:val="000000"/>
              </w:rPr>
            </w:pPr>
            <w:r w:rsidRPr="002117BE">
              <w:rPr>
                <w:rFonts w:cs="Tahoma"/>
                <w:color w:val="000000"/>
              </w:rPr>
              <w:t>Convocatorias emitidas</w:t>
            </w:r>
          </w:p>
        </w:tc>
        <w:tc>
          <w:tcPr>
            <w:tcW w:w="2898" w:type="dxa"/>
            <w:tcBorders>
              <w:top w:val="single" w:sz="4" w:space="0" w:color="auto"/>
              <w:left w:val="single" w:sz="4" w:space="0" w:color="auto"/>
              <w:bottom w:val="single" w:sz="4" w:space="0" w:color="auto"/>
              <w:right w:val="single" w:sz="4" w:space="0" w:color="auto"/>
            </w:tcBorders>
            <w:hideMark/>
          </w:tcPr>
          <w:p w14:paraId="4DD1F01B" w14:textId="77777777" w:rsidR="007C4D58" w:rsidRPr="002117BE" w:rsidRDefault="007C4D58" w:rsidP="00C03631">
            <w:pPr>
              <w:spacing w:line="360" w:lineRule="auto"/>
              <w:contextualSpacing/>
              <w:rPr>
                <w:rFonts w:cs="Tahoma"/>
                <w:color w:val="000000"/>
              </w:rPr>
            </w:pPr>
            <w:r w:rsidRPr="002117BE">
              <w:rPr>
                <w:rFonts w:cs="Tahoma"/>
                <w:color w:val="000000"/>
              </w:rPr>
              <w:t>Invitaciones emitidas</w:t>
            </w:r>
          </w:p>
        </w:tc>
        <w:tc>
          <w:tcPr>
            <w:tcW w:w="2899" w:type="dxa"/>
            <w:tcBorders>
              <w:top w:val="single" w:sz="4" w:space="0" w:color="auto"/>
              <w:left w:val="single" w:sz="4" w:space="0" w:color="auto"/>
              <w:bottom w:val="single" w:sz="4" w:space="0" w:color="auto"/>
              <w:right w:val="single" w:sz="4" w:space="0" w:color="auto"/>
            </w:tcBorders>
            <w:hideMark/>
          </w:tcPr>
          <w:p w14:paraId="09F524C9" w14:textId="77777777" w:rsidR="007C4D58" w:rsidRPr="002117BE" w:rsidRDefault="007C4D58" w:rsidP="00C03631">
            <w:pPr>
              <w:spacing w:line="360" w:lineRule="auto"/>
              <w:contextualSpacing/>
              <w:rPr>
                <w:rFonts w:cs="Tahoma"/>
                <w:color w:val="000000"/>
              </w:rPr>
            </w:pPr>
            <w:r w:rsidRPr="002117BE">
              <w:rPr>
                <w:rFonts w:cs="Tahoma"/>
                <w:color w:val="000000"/>
              </w:rPr>
              <w:t>Nombre de la persona física o jurídica colectiva adjudicada</w:t>
            </w:r>
          </w:p>
        </w:tc>
      </w:tr>
      <w:tr w:rsidR="007C4D58" w:rsidRPr="002117BE" w14:paraId="0EABBE41" w14:textId="77777777" w:rsidTr="00DC1094">
        <w:trPr>
          <w:trHeight w:val="1302"/>
        </w:trPr>
        <w:tc>
          <w:tcPr>
            <w:tcW w:w="2899" w:type="dxa"/>
            <w:tcBorders>
              <w:top w:val="single" w:sz="4" w:space="0" w:color="auto"/>
              <w:left w:val="single" w:sz="4" w:space="0" w:color="auto"/>
              <w:bottom w:val="single" w:sz="4" w:space="0" w:color="auto"/>
              <w:right w:val="single" w:sz="4" w:space="0" w:color="auto"/>
            </w:tcBorders>
            <w:hideMark/>
          </w:tcPr>
          <w:p w14:paraId="00A7A821" w14:textId="77777777" w:rsidR="007C4D58" w:rsidRPr="002117BE" w:rsidRDefault="007C4D58" w:rsidP="00C03631">
            <w:pPr>
              <w:spacing w:line="360" w:lineRule="auto"/>
              <w:contextualSpacing/>
              <w:rPr>
                <w:rFonts w:cs="Tahoma"/>
                <w:color w:val="000000"/>
              </w:rPr>
            </w:pPr>
            <w:r w:rsidRPr="002117BE">
              <w:rPr>
                <w:rFonts w:cs="Tahoma"/>
                <w:color w:val="000000"/>
              </w:rPr>
              <w:lastRenderedPageBreak/>
              <w:t>Dictámenes y fallos</w:t>
            </w:r>
          </w:p>
        </w:tc>
        <w:tc>
          <w:tcPr>
            <w:tcW w:w="2898" w:type="dxa"/>
            <w:tcBorders>
              <w:top w:val="single" w:sz="4" w:space="0" w:color="auto"/>
              <w:left w:val="single" w:sz="4" w:space="0" w:color="auto"/>
              <w:bottom w:val="single" w:sz="4" w:space="0" w:color="auto"/>
              <w:right w:val="single" w:sz="4" w:space="0" w:color="auto"/>
            </w:tcBorders>
            <w:hideMark/>
          </w:tcPr>
          <w:p w14:paraId="3AE9A0CD" w14:textId="77777777" w:rsidR="007C4D58" w:rsidRPr="002117BE" w:rsidRDefault="007C4D58" w:rsidP="00C03631">
            <w:pPr>
              <w:spacing w:line="360" w:lineRule="auto"/>
              <w:contextualSpacing/>
              <w:rPr>
                <w:rFonts w:cs="Tahoma"/>
                <w:color w:val="000000"/>
              </w:rPr>
            </w:pPr>
            <w:r w:rsidRPr="002117BE">
              <w:rPr>
                <w:rFonts w:cs="Tahoma"/>
                <w:color w:val="000000"/>
              </w:rPr>
              <w:t>Dictámenes y fallos</w:t>
            </w:r>
          </w:p>
        </w:tc>
        <w:tc>
          <w:tcPr>
            <w:tcW w:w="2899" w:type="dxa"/>
            <w:tcBorders>
              <w:top w:val="single" w:sz="4" w:space="0" w:color="auto"/>
              <w:left w:val="single" w:sz="4" w:space="0" w:color="auto"/>
              <w:bottom w:val="single" w:sz="4" w:space="0" w:color="auto"/>
              <w:right w:val="single" w:sz="4" w:space="0" w:color="auto"/>
            </w:tcBorders>
            <w:hideMark/>
          </w:tcPr>
          <w:p w14:paraId="2FCAB5C3" w14:textId="77777777" w:rsidR="007C4D58" w:rsidRPr="002117BE" w:rsidRDefault="007C4D58" w:rsidP="00C03631">
            <w:pPr>
              <w:spacing w:line="360" w:lineRule="auto"/>
              <w:contextualSpacing/>
              <w:rPr>
                <w:rFonts w:cs="Tahoma"/>
                <w:color w:val="000000"/>
              </w:rPr>
            </w:pPr>
            <w:r w:rsidRPr="002117BE">
              <w:rPr>
                <w:rFonts w:cs="Tahoma"/>
                <w:color w:val="000000"/>
              </w:rPr>
              <w:t>La unidad administrativa solicitante y responsable de la ejecución</w:t>
            </w:r>
          </w:p>
        </w:tc>
      </w:tr>
      <w:tr w:rsidR="007C4D58" w:rsidRPr="002117BE" w14:paraId="71D96616" w14:textId="77777777" w:rsidTr="00DC1094">
        <w:trPr>
          <w:trHeight w:val="1726"/>
        </w:trPr>
        <w:tc>
          <w:tcPr>
            <w:tcW w:w="2899" w:type="dxa"/>
            <w:tcBorders>
              <w:top w:val="single" w:sz="4" w:space="0" w:color="auto"/>
              <w:left w:val="single" w:sz="4" w:space="0" w:color="auto"/>
              <w:bottom w:val="single" w:sz="4" w:space="0" w:color="auto"/>
              <w:right w:val="single" w:sz="4" w:space="0" w:color="auto"/>
            </w:tcBorders>
            <w:hideMark/>
          </w:tcPr>
          <w:p w14:paraId="6DAE70DE" w14:textId="77777777" w:rsidR="007C4D58" w:rsidRPr="002117BE" w:rsidRDefault="007C4D58" w:rsidP="00C03631">
            <w:pPr>
              <w:spacing w:line="360" w:lineRule="auto"/>
              <w:contextualSpacing/>
              <w:rPr>
                <w:rFonts w:cs="Tahoma"/>
                <w:color w:val="000000"/>
              </w:rPr>
            </w:pPr>
            <w:r w:rsidRPr="002117BE">
              <w:rPr>
                <w:rFonts w:cs="Tahoma"/>
                <w:color w:val="000000"/>
              </w:rPr>
              <w:t>Contrato y anexos</w:t>
            </w:r>
          </w:p>
        </w:tc>
        <w:tc>
          <w:tcPr>
            <w:tcW w:w="2898" w:type="dxa"/>
            <w:tcBorders>
              <w:top w:val="single" w:sz="4" w:space="0" w:color="auto"/>
              <w:left w:val="single" w:sz="4" w:space="0" w:color="auto"/>
              <w:bottom w:val="single" w:sz="4" w:space="0" w:color="auto"/>
              <w:right w:val="single" w:sz="4" w:space="0" w:color="auto"/>
            </w:tcBorders>
            <w:hideMark/>
          </w:tcPr>
          <w:p w14:paraId="582CE9C3" w14:textId="77777777" w:rsidR="007C4D58" w:rsidRPr="002117BE" w:rsidRDefault="007C4D58" w:rsidP="00C03631">
            <w:pPr>
              <w:spacing w:line="360" w:lineRule="auto"/>
              <w:contextualSpacing/>
              <w:rPr>
                <w:rFonts w:cs="Tahoma"/>
                <w:color w:val="000000"/>
              </w:rPr>
            </w:pPr>
            <w:r w:rsidRPr="002117BE">
              <w:rPr>
                <w:rFonts w:cs="Tahoma"/>
                <w:color w:val="000000"/>
              </w:rPr>
              <w:t>Contrato y anexos</w:t>
            </w:r>
          </w:p>
        </w:tc>
        <w:tc>
          <w:tcPr>
            <w:tcW w:w="2899" w:type="dxa"/>
            <w:tcBorders>
              <w:top w:val="single" w:sz="4" w:space="0" w:color="auto"/>
              <w:left w:val="single" w:sz="4" w:space="0" w:color="auto"/>
              <w:bottom w:val="single" w:sz="4" w:space="0" w:color="auto"/>
              <w:right w:val="single" w:sz="4" w:space="0" w:color="auto"/>
            </w:tcBorders>
            <w:hideMark/>
          </w:tcPr>
          <w:p w14:paraId="4E10B415" w14:textId="77777777" w:rsidR="007C4D58" w:rsidRPr="002117BE" w:rsidRDefault="007C4D58" w:rsidP="00C03631">
            <w:pPr>
              <w:spacing w:line="360" w:lineRule="auto"/>
              <w:contextualSpacing/>
              <w:rPr>
                <w:rFonts w:cs="Tahoma"/>
                <w:color w:val="000000"/>
              </w:rPr>
            </w:pPr>
            <w:r w:rsidRPr="002117BE">
              <w:rPr>
                <w:rFonts w:cs="Tahoma"/>
                <w:color w:val="000000"/>
              </w:rPr>
              <w:t>Número, fecha, monto del contrato, el plazo de entrega o de ejecución de los servicios de obra.</w:t>
            </w:r>
          </w:p>
        </w:tc>
      </w:tr>
      <w:tr w:rsidR="007C4D58" w:rsidRPr="002117BE" w14:paraId="4B17A779" w14:textId="77777777" w:rsidTr="00DC1094">
        <w:trPr>
          <w:trHeight w:val="863"/>
        </w:trPr>
        <w:tc>
          <w:tcPr>
            <w:tcW w:w="2899" w:type="dxa"/>
            <w:tcBorders>
              <w:top w:val="single" w:sz="4" w:space="0" w:color="auto"/>
              <w:left w:val="single" w:sz="4" w:space="0" w:color="auto"/>
              <w:bottom w:val="single" w:sz="4" w:space="0" w:color="auto"/>
              <w:right w:val="single" w:sz="4" w:space="0" w:color="auto"/>
            </w:tcBorders>
            <w:hideMark/>
          </w:tcPr>
          <w:p w14:paraId="3C2E5FBD" w14:textId="77777777" w:rsidR="007C4D58" w:rsidRPr="002117BE" w:rsidRDefault="007C4D58" w:rsidP="00C03631">
            <w:pPr>
              <w:spacing w:line="360" w:lineRule="auto"/>
              <w:contextualSpacing/>
              <w:rPr>
                <w:rFonts w:cs="Tahoma"/>
                <w:color w:val="000000"/>
              </w:rPr>
            </w:pPr>
            <w:r w:rsidRPr="002117BE">
              <w:rPr>
                <w:rFonts w:cs="Tahoma"/>
                <w:color w:val="000000"/>
              </w:rPr>
              <w:t>Los mecanismos de vigilancia y supervisión</w:t>
            </w:r>
          </w:p>
        </w:tc>
        <w:tc>
          <w:tcPr>
            <w:tcW w:w="2898" w:type="dxa"/>
            <w:tcBorders>
              <w:top w:val="single" w:sz="4" w:space="0" w:color="auto"/>
              <w:left w:val="single" w:sz="4" w:space="0" w:color="auto"/>
              <w:bottom w:val="single" w:sz="4" w:space="0" w:color="auto"/>
              <w:right w:val="single" w:sz="4" w:space="0" w:color="auto"/>
            </w:tcBorders>
            <w:hideMark/>
          </w:tcPr>
          <w:p w14:paraId="5A1BB857" w14:textId="77777777" w:rsidR="007C4D58" w:rsidRPr="002117BE" w:rsidRDefault="007C4D58" w:rsidP="00C03631">
            <w:pPr>
              <w:spacing w:line="360" w:lineRule="auto"/>
              <w:contextualSpacing/>
              <w:rPr>
                <w:rFonts w:cs="Tahoma"/>
                <w:color w:val="000000"/>
              </w:rPr>
            </w:pPr>
            <w:r w:rsidRPr="002117BE">
              <w:rPr>
                <w:rFonts w:cs="Tahoma"/>
                <w:color w:val="000000"/>
              </w:rPr>
              <w:t>Los mecanismos de vigilancia y supervisión</w:t>
            </w:r>
          </w:p>
        </w:tc>
        <w:tc>
          <w:tcPr>
            <w:tcW w:w="2899" w:type="dxa"/>
            <w:tcBorders>
              <w:top w:val="single" w:sz="4" w:space="0" w:color="auto"/>
              <w:left w:val="single" w:sz="4" w:space="0" w:color="auto"/>
              <w:bottom w:val="single" w:sz="4" w:space="0" w:color="auto"/>
              <w:right w:val="single" w:sz="4" w:space="0" w:color="auto"/>
            </w:tcBorders>
            <w:hideMark/>
          </w:tcPr>
          <w:p w14:paraId="747BC3E9" w14:textId="77777777" w:rsidR="007C4D58" w:rsidRPr="002117BE" w:rsidRDefault="007C4D58" w:rsidP="00C03631">
            <w:pPr>
              <w:spacing w:line="360" w:lineRule="auto"/>
              <w:contextualSpacing/>
              <w:rPr>
                <w:rFonts w:cs="Tahoma"/>
                <w:color w:val="000000"/>
              </w:rPr>
            </w:pPr>
            <w:r w:rsidRPr="002117BE">
              <w:rPr>
                <w:rFonts w:cs="Tahoma"/>
                <w:color w:val="000000"/>
              </w:rPr>
              <w:t>Los mecanismos de vigilancia y supervisión</w:t>
            </w:r>
          </w:p>
        </w:tc>
      </w:tr>
      <w:tr w:rsidR="007C4D58" w:rsidRPr="002117BE" w14:paraId="637C0E2C" w14:textId="77777777" w:rsidTr="00DC1094">
        <w:trPr>
          <w:trHeight w:val="863"/>
        </w:trPr>
        <w:tc>
          <w:tcPr>
            <w:tcW w:w="2899" w:type="dxa"/>
            <w:tcBorders>
              <w:top w:val="single" w:sz="4" w:space="0" w:color="auto"/>
              <w:left w:val="single" w:sz="4" w:space="0" w:color="auto"/>
              <w:bottom w:val="single" w:sz="4" w:space="0" w:color="auto"/>
              <w:right w:val="single" w:sz="4" w:space="0" w:color="auto"/>
            </w:tcBorders>
            <w:hideMark/>
          </w:tcPr>
          <w:p w14:paraId="6580A119" w14:textId="77777777" w:rsidR="007C4D58" w:rsidRPr="002117BE" w:rsidRDefault="007C4D58" w:rsidP="00C03631">
            <w:pPr>
              <w:spacing w:line="360" w:lineRule="auto"/>
              <w:contextualSpacing/>
              <w:rPr>
                <w:rFonts w:cs="Tahoma"/>
                <w:color w:val="000000"/>
              </w:rPr>
            </w:pPr>
            <w:r w:rsidRPr="002117BE">
              <w:rPr>
                <w:rFonts w:cs="Tahoma"/>
                <w:color w:val="000000"/>
              </w:rPr>
              <w:t>La partida presupuestal</w:t>
            </w:r>
          </w:p>
        </w:tc>
        <w:tc>
          <w:tcPr>
            <w:tcW w:w="2898" w:type="dxa"/>
            <w:tcBorders>
              <w:top w:val="single" w:sz="4" w:space="0" w:color="auto"/>
              <w:left w:val="single" w:sz="4" w:space="0" w:color="auto"/>
              <w:bottom w:val="single" w:sz="4" w:space="0" w:color="auto"/>
              <w:right w:val="single" w:sz="4" w:space="0" w:color="auto"/>
            </w:tcBorders>
            <w:hideMark/>
          </w:tcPr>
          <w:p w14:paraId="12B13B9D" w14:textId="77777777" w:rsidR="007C4D58" w:rsidRPr="002117BE" w:rsidRDefault="007C4D58" w:rsidP="00C03631">
            <w:pPr>
              <w:spacing w:line="360" w:lineRule="auto"/>
              <w:contextualSpacing/>
              <w:rPr>
                <w:rFonts w:cs="Tahoma"/>
                <w:color w:val="000000"/>
              </w:rPr>
            </w:pPr>
            <w:r w:rsidRPr="002117BE">
              <w:rPr>
                <w:rFonts w:cs="Tahoma"/>
                <w:color w:val="000000"/>
              </w:rPr>
              <w:t>La partida presupuestal</w:t>
            </w:r>
          </w:p>
        </w:tc>
        <w:tc>
          <w:tcPr>
            <w:tcW w:w="2899" w:type="dxa"/>
            <w:tcBorders>
              <w:top w:val="single" w:sz="4" w:space="0" w:color="auto"/>
              <w:left w:val="single" w:sz="4" w:space="0" w:color="auto"/>
              <w:bottom w:val="single" w:sz="4" w:space="0" w:color="auto"/>
              <w:right w:val="single" w:sz="4" w:space="0" w:color="auto"/>
            </w:tcBorders>
            <w:hideMark/>
          </w:tcPr>
          <w:p w14:paraId="3448AF5B" w14:textId="77777777" w:rsidR="007C4D58" w:rsidRPr="002117BE" w:rsidRDefault="007C4D58" w:rsidP="00C03631">
            <w:pPr>
              <w:spacing w:line="360" w:lineRule="auto"/>
              <w:contextualSpacing/>
              <w:rPr>
                <w:rFonts w:cs="Tahoma"/>
                <w:color w:val="000000"/>
              </w:rPr>
            </w:pPr>
            <w:r w:rsidRPr="002117BE">
              <w:rPr>
                <w:rFonts w:cs="Tahoma"/>
                <w:color w:val="000000"/>
              </w:rPr>
              <w:t>Informes de avances físicos y financieros</w:t>
            </w:r>
          </w:p>
        </w:tc>
      </w:tr>
      <w:tr w:rsidR="007C4D58" w:rsidRPr="002117BE" w14:paraId="2A4F7A10" w14:textId="77777777" w:rsidTr="00DC1094">
        <w:trPr>
          <w:trHeight w:val="863"/>
        </w:trPr>
        <w:tc>
          <w:tcPr>
            <w:tcW w:w="2899" w:type="dxa"/>
            <w:tcBorders>
              <w:top w:val="single" w:sz="4" w:space="0" w:color="auto"/>
              <w:left w:val="single" w:sz="4" w:space="0" w:color="auto"/>
              <w:bottom w:val="single" w:sz="4" w:space="0" w:color="auto"/>
              <w:right w:val="single" w:sz="4" w:space="0" w:color="auto"/>
            </w:tcBorders>
            <w:hideMark/>
          </w:tcPr>
          <w:p w14:paraId="29389F34" w14:textId="77777777" w:rsidR="007C4D58" w:rsidRPr="002117BE" w:rsidRDefault="007C4D58" w:rsidP="00C03631">
            <w:pPr>
              <w:spacing w:line="360" w:lineRule="auto"/>
              <w:contextualSpacing/>
              <w:rPr>
                <w:rFonts w:cs="Tahoma"/>
                <w:color w:val="000000"/>
              </w:rPr>
            </w:pPr>
            <w:r w:rsidRPr="002117BE">
              <w:rPr>
                <w:rFonts w:cs="Tahoma"/>
                <w:color w:val="000000"/>
              </w:rPr>
              <w:t>Origen de los recursos, así como el tipo de fondo de participación o aportación respectiva</w:t>
            </w:r>
          </w:p>
        </w:tc>
        <w:tc>
          <w:tcPr>
            <w:tcW w:w="2898" w:type="dxa"/>
            <w:tcBorders>
              <w:top w:val="single" w:sz="4" w:space="0" w:color="auto"/>
              <w:left w:val="single" w:sz="4" w:space="0" w:color="auto"/>
              <w:bottom w:val="single" w:sz="4" w:space="0" w:color="auto"/>
              <w:right w:val="single" w:sz="4" w:space="0" w:color="auto"/>
            </w:tcBorders>
            <w:hideMark/>
          </w:tcPr>
          <w:p w14:paraId="7C4052F9" w14:textId="77777777" w:rsidR="007C4D58" w:rsidRPr="002117BE" w:rsidRDefault="007C4D58" w:rsidP="00C03631">
            <w:pPr>
              <w:spacing w:line="360" w:lineRule="auto"/>
              <w:contextualSpacing/>
              <w:rPr>
                <w:rFonts w:cs="Tahoma"/>
                <w:color w:val="000000"/>
              </w:rPr>
            </w:pPr>
            <w:r w:rsidRPr="002117BE">
              <w:rPr>
                <w:rFonts w:cs="Tahoma"/>
                <w:color w:val="000000"/>
              </w:rPr>
              <w:t>Origen de los recursos, así como el tipo de fondo de participación o aportación respectiva</w:t>
            </w:r>
          </w:p>
        </w:tc>
        <w:tc>
          <w:tcPr>
            <w:tcW w:w="2899" w:type="dxa"/>
            <w:tcBorders>
              <w:top w:val="single" w:sz="4" w:space="0" w:color="auto"/>
              <w:left w:val="single" w:sz="4" w:space="0" w:color="auto"/>
              <w:bottom w:val="single" w:sz="4" w:space="0" w:color="auto"/>
              <w:right w:val="single" w:sz="4" w:space="0" w:color="auto"/>
            </w:tcBorders>
            <w:hideMark/>
          </w:tcPr>
          <w:p w14:paraId="4ABC066E" w14:textId="77777777" w:rsidR="007C4D58" w:rsidRPr="002117BE" w:rsidRDefault="007C4D58" w:rsidP="00C03631">
            <w:pPr>
              <w:spacing w:line="360" w:lineRule="auto"/>
              <w:contextualSpacing/>
              <w:rPr>
                <w:rFonts w:cs="Tahoma"/>
                <w:color w:val="000000"/>
              </w:rPr>
            </w:pPr>
            <w:r w:rsidRPr="002117BE">
              <w:rPr>
                <w:rFonts w:cs="Tahoma"/>
                <w:color w:val="000000"/>
              </w:rPr>
              <w:t>Convenio de terminación</w:t>
            </w:r>
          </w:p>
        </w:tc>
      </w:tr>
      <w:tr w:rsidR="007C4D58" w:rsidRPr="002117BE" w14:paraId="63B90617" w14:textId="77777777" w:rsidTr="00DC1094">
        <w:trPr>
          <w:trHeight w:val="140"/>
        </w:trPr>
        <w:tc>
          <w:tcPr>
            <w:tcW w:w="2899" w:type="dxa"/>
            <w:tcBorders>
              <w:top w:val="single" w:sz="4" w:space="0" w:color="auto"/>
              <w:left w:val="single" w:sz="4" w:space="0" w:color="auto"/>
              <w:bottom w:val="single" w:sz="4" w:space="0" w:color="auto"/>
              <w:right w:val="single" w:sz="4" w:space="0" w:color="auto"/>
            </w:tcBorders>
            <w:hideMark/>
          </w:tcPr>
          <w:p w14:paraId="460A71F5" w14:textId="77777777" w:rsidR="007C4D58" w:rsidRPr="002117BE" w:rsidRDefault="007C4D58" w:rsidP="00C03631">
            <w:pPr>
              <w:spacing w:line="360" w:lineRule="auto"/>
              <w:contextualSpacing/>
              <w:rPr>
                <w:rFonts w:cs="Tahoma"/>
                <w:color w:val="000000"/>
              </w:rPr>
            </w:pPr>
            <w:r w:rsidRPr="002117BE">
              <w:rPr>
                <w:rFonts w:cs="Tahoma"/>
                <w:color w:val="000000"/>
              </w:rPr>
              <w:t>Convenios modificatorios</w:t>
            </w:r>
          </w:p>
        </w:tc>
        <w:tc>
          <w:tcPr>
            <w:tcW w:w="2898" w:type="dxa"/>
            <w:tcBorders>
              <w:top w:val="single" w:sz="4" w:space="0" w:color="auto"/>
              <w:left w:val="single" w:sz="4" w:space="0" w:color="auto"/>
              <w:bottom w:val="single" w:sz="4" w:space="0" w:color="auto"/>
              <w:right w:val="single" w:sz="4" w:space="0" w:color="auto"/>
            </w:tcBorders>
            <w:hideMark/>
          </w:tcPr>
          <w:p w14:paraId="19C29C0C" w14:textId="77777777" w:rsidR="007C4D58" w:rsidRPr="002117BE" w:rsidRDefault="007C4D58" w:rsidP="00C03631">
            <w:pPr>
              <w:spacing w:line="360" w:lineRule="auto"/>
              <w:contextualSpacing/>
              <w:rPr>
                <w:rFonts w:cs="Tahoma"/>
                <w:color w:val="000000"/>
              </w:rPr>
            </w:pPr>
            <w:r w:rsidRPr="002117BE">
              <w:rPr>
                <w:rFonts w:cs="Tahoma"/>
                <w:color w:val="000000"/>
              </w:rPr>
              <w:t>Convenios modificatorios</w:t>
            </w:r>
          </w:p>
        </w:tc>
        <w:tc>
          <w:tcPr>
            <w:tcW w:w="2899" w:type="dxa"/>
            <w:tcBorders>
              <w:top w:val="single" w:sz="4" w:space="0" w:color="auto"/>
              <w:left w:val="single" w:sz="4" w:space="0" w:color="auto"/>
              <w:bottom w:val="single" w:sz="4" w:space="0" w:color="auto"/>
              <w:right w:val="single" w:sz="4" w:space="0" w:color="auto"/>
            </w:tcBorders>
            <w:hideMark/>
          </w:tcPr>
          <w:p w14:paraId="59E93C3E" w14:textId="77777777" w:rsidR="007C4D58" w:rsidRPr="002117BE" w:rsidRDefault="007C4D58" w:rsidP="00C03631">
            <w:pPr>
              <w:spacing w:line="360" w:lineRule="auto"/>
              <w:contextualSpacing/>
              <w:rPr>
                <w:rFonts w:cs="Tahoma"/>
                <w:color w:val="000000"/>
              </w:rPr>
            </w:pPr>
            <w:r w:rsidRPr="002117BE">
              <w:rPr>
                <w:rFonts w:cs="Tahoma"/>
                <w:color w:val="000000"/>
              </w:rPr>
              <w:t>Finiquito</w:t>
            </w:r>
          </w:p>
        </w:tc>
      </w:tr>
      <w:tr w:rsidR="007C4D58" w:rsidRPr="002117BE" w14:paraId="6759EEA1" w14:textId="77777777" w:rsidTr="00DC1094">
        <w:trPr>
          <w:trHeight w:val="140"/>
        </w:trPr>
        <w:tc>
          <w:tcPr>
            <w:tcW w:w="2899" w:type="dxa"/>
            <w:tcBorders>
              <w:top w:val="single" w:sz="4" w:space="0" w:color="auto"/>
              <w:left w:val="single" w:sz="4" w:space="0" w:color="auto"/>
              <w:bottom w:val="single" w:sz="4" w:space="0" w:color="auto"/>
              <w:right w:val="single" w:sz="4" w:space="0" w:color="auto"/>
            </w:tcBorders>
            <w:hideMark/>
          </w:tcPr>
          <w:p w14:paraId="4C2B8BF4" w14:textId="77777777" w:rsidR="007C4D58" w:rsidRPr="002117BE" w:rsidRDefault="007C4D58" w:rsidP="00C03631">
            <w:pPr>
              <w:spacing w:line="360" w:lineRule="auto"/>
              <w:contextualSpacing/>
              <w:rPr>
                <w:rFonts w:cs="Tahoma"/>
                <w:color w:val="000000"/>
              </w:rPr>
            </w:pPr>
            <w:r w:rsidRPr="002117BE">
              <w:rPr>
                <w:rFonts w:cs="Tahoma"/>
                <w:color w:val="000000"/>
              </w:rPr>
              <w:t>Informes de avances físicos y financieros</w:t>
            </w:r>
          </w:p>
        </w:tc>
        <w:tc>
          <w:tcPr>
            <w:tcW w:w="2898" w:type="dxa"/>
            <w:tcBorders>
              <w:top w:val="single" w:sz="4" w:space="0" w:color="auto"/>
              <w:left w:val="single" w:sz="4" w:space="0" w:color="auto"/>
              <w:bottom w:val="single" w:sz="4" w:space="0" w:color="auto"/>
              <w:right w:val="single" w:sz="4" w:space="0" w:color="auto"/>
            </w:tcBorders>
            <w:hideMark/>
          </w:tcPr>
          <w:p w14:paraId="3DA4E330" w14:textId="77777777" w:rsidR="007C4D58" w:rsidRPr="002117BE" w:rsidRDefault="007C4D58" w:rsidP="00C03631">
            <w:pPr>
              <w:spacing w:line="360" w:lineRule="auto"/>
              <w:contextualSpacing/>
              <w:rPr>
                <w:rFonts w:cs="Tahoma"/>
                <w:color w:val="000000"/>
              </w:rPr>
            </w:pPr>
            <w:r w:rsidRPr="002117BE">
              <w:rPr>
                <w:rFonts w:cs="Tahoma"/>
                <w:color w:val="000000"/>
              </w:rPr>
              <w:t>Informes de avances físicos y financieros</w:t>
            </w:r>
          </w:p>
        </w:tc>
        <w:tc>
          <w:tcPr>
            <w:tcW w:w="2899" w:type="dxa"/>
            <w:tcBorders>
              <w:top w:val="single" w:sz="4" w:space="0" w:color="auto"/>
              <w:left w:val="single" w:sz="4" w:space="0" w:color="auto"/>
              <w:bottom w:val="single" w:sz="4" w:space="0" w:color="auto"/>
              <w:right w:val="single" w:sz="4" w:space="0" w:color="auto"/>
            </w:tcBorders>
          </w:tcPr>
          <w:p w14:paraId="79AC7037" w14:textId="77777777" w:rsidR="007C4D58" w:rsidRPr="002117BE" w:rsidRDefault="007C4D58" w:rsidP="00C03631">
            <w:pPr>
              <w:spacing w:line="360" w:lineRule="auto"/>
              <w:contextualSpacing/>
              <w:rPr>
                <w:rFonts w:cs="Tahoma"/>
                <w:color w:val="000000"/>
              </w:rPr>
            </w:pPr>
          </w:p>
        </w:tc>
      </w:tr>
      <w:tr w:rsidR="007C4D58" w:rsidRPr="002117BE" w14:paraId="200616DB" w14:textId="77777777" w:rsidTr="00DC1094">
        <w:trPr>
          <w:trHeight w:val="140"/>
        </w:trPr>
        <w:tc>
          <w:tcPr>
            <w:tcW w:w="2899" w:type="dxa"/>
            <w:tcBorders>
              <w:top w:val="single" w:sz="4" w:space="0" w:color="auto"/>
              <w:left w:val="single" w:sz="4" w:space="0" w:color="auto"/>
              <w:bottom w:val="single" w:sz="4" w:space="0" w:color="auto"/>
              <w:right w:val="single" w:sz="4" w:space="0" w:color="auto"/>
            </w:tcBorders>
            <w:hideMark/>
          </w:tcPr>
          <w:p w14:paraId="0024920D" w14:textId="77777777" w:rsidR="007C4D58" w:rsidRPr="002117BE" w:rsidRDefault="007C4D58" w:rsidP="00C03631">
            <w:pPr>
              <w:shd w:val="clear" w:color="auto" w:fill="FFFFFF"/>
              <w:spacing w:line="360" w:lineRule="auto"/>
              <w:contextualSpacing/>
              <w:rPr>
                <w:rFonts w:cs="Tahoma"/>
                <w:bCs/>
                <w:iCs/>
              </w:rPr>
            </w:pPr>
            <w:r w:rsidRPr="002117BE">
              <w:rPr>
                <w:rFonts w:cs="Tahoma"/>
                <w:bCs/>
                <w:iCs/>
              </w:rPr>
              <w:t>Convenio de terminación</w:t>
            </w:r>
          </w:p>
        </w:tc>
        <w:tc>
          <w:tcPr>
            <w:tcW w:w="2898" w:type="dxa"/>
            <w:tcBorders>
              <w:top w:val="single" w:sz="4" w:space="0" w:color="auto"/>
              <w:left w:val="single" w:sz="4" w:space="0" w:color="auto"/>
              <w:bottom w:val="single" w:sz="4" w:space="0" w:color="auto"/>
              <w:right w:val="single" w:sz="4" w:space="0" w:color="auto"/>
            </w:tcBorders>
            <w:hideMark/>
          </w:tcPr>
          <w:p w14:paraId="16039DFE" w14:textId="77777777" w:rsidR="007C4D58" w:rsidRPr="002117BE" w:rsidRDefault="007C4D58" w:rsidP="00C03631">
            <w:pPr>
              <w:shd w:val="clear" w:color="auto" w:fill="FFFFFF"/>
              <w:spacing w:line="360" w:lineRule="auto"/>
              <w:contextualSpacing/>
              <w:rPr>
                <w:rFonts w:cs="Tahoma"/>
                <w:bCs/>
                <w:iCs/>
              </w:rPr>
            </w:pPr>
            <w:r w:rsidRPr="002117BE">
              <w:rPr>
                <w:rFonts w:cs="Tahoma"/>
                <w:bCs/>
                <w:iCs/>
              </w:rPr>
              <w:t>Convenio de terminación</w:t>
            </w:r>
          </w:p>
        </w:tc>
        <w:tc>
          <w:tcPr>
            <w:tcW w:w="2899" w:type="dxa"/>
            <w:tcBorders>
              <w:top w:val="single" w:sz="4" w:space="0" w:color="auto"/>
              <w:left w:val="single" w:sz="4" w:space="0" w:color="auto"/>
              <w:bottom w:val="single" w:sz="4" w:space="0" w:color="auto"/>
              <w:right w:val="single" w:sz="4" w:space="0" w:color="auto"/>
            </w:tcBorders>
          </w:tcPr>
          <w:p w14:paraId="23D0E5A1" w14:textId="77777777" w:rsidR="007C4D58" w:rsidRPr="002117BE" w:rsidRDefault="007C4D58" w:rsidP="00C03631">
            <w:pPr>
              <w:shd w:val="clear" w:color="auto" w:fill="FFFFFF"/>
              <w:spacing w:line="360" w:lineRule="auto"/>
              <w:contextualSpacing/>
              <w:rPr>
                <w:rFonts w:cs="Tahoma"/>
                <w:bCs/>
                <w:iCs/>
              </w:rPr>
            </w:pPr>
          </w:p>
        </w:tc>
      </w:tr>
      <w:tr w:rsidR="007C4D58" w:rsidRPr="002117BE" w14:paraId="02F1ACC1" w14:textId="77777777" w:rsidTr="00DC1094">
        <w:trPr>
          <w:trHeight w:val="424"/>
        </w:trPr>
        <w:tc>
          <w:tcPr>
            <w:tcW w:w="2899" w:type="dxa"/>
            <w:tcBorders>
              <w:top w:val="single" w:sz="4" w:space="0" w:color="auto"/>
              <w:left w:val="single" w:sz="4" w:space="0" w:color="auto"/>
              <w:bottom w:val="single" w:sz="4" w:space="0" w:color="auto"/>
              <w:right w:val="single" w:sz="4" w:space="0" w:color="auto"/>
            </w:tcBorders>
            <w:hideMark/>
          </w:tcPr>
          <w:p w14:paraId="24A7928C" w14:textId="77777777" w:rsidR="007C4D58" w:rsidRPr="002117BE" w:rsidRDefault="007C4D58" w:rsidP="00C03631">
            <w:pPr>
              <w:shd w:val="clear" w:color="auto" w:fill="FFFFFF"/>
              <w:spacing w:line="360" w:lineRule="auto"/>
              <w:contextualSpacing/>
              <w:rPr>
                <w:rFonts w:cs="Tahoma"/>
                <w:bCs/>
                <w:iCs/>
              </w:rPr>
            </w:pPr>
            <w:r w:rsidRPr="002117BE">
              <w:rPr>
                <w:rFonts w:cs="Tahoma"/>
                <w:bCs/>
                <w:iCs/>
              </w:rPr>
              <w:t>Finiquito</w:t>
            </w:r>
          </w:p>
        </w:tc>
        <w:tc>
          <w:tcPr>
            <w:tcW w:w="2898" w:type="dxa"/>
            <w:tcBorders>
              <w:top w:val="single" w:sz="4" w:space="0" w:color="auto"/>
              <w:left w:val="single" w:sz="4" w:space="0" w:color="auto"/>
              <w:bottom w:val="single" w:sz="4" w:space="0" w:color="auto"/>
              <w:right w:val="single" w:sz="4" w:space="0" w:color="auto"/>
            </w:tcBorders>
            <w:hideMark/>
          </w:tcPr>
          <w:p w14:paraId="4BADC72C" w14:textId="77777777" w:rsidR="007C4D58" w:rsidRPr="002117BE" w:rsidRDefault="007C4D58" w:rsidP="00C03631">
            <w:pPr>
              <w:shd w:val="clear" w:color="auto" w:fill="FFFFFF"/>
              <w:spacing w:line="360" w:lineRule="auto"/>
              <w:contextualSpacing/>
              <w:rPr>
                <w:rFonts w:cs="Tahoma"/>
                <w:bCs/>
                <w:iCs/>
              </w:rPr>
            </w:pPr>
            <w:r w:rsidRPr="002117BE">
              <w:rPr>
                <w:rFonts w:cs="Tahoma"/>
                <w:bCs/>
                <w:iCs/>
              </w:rPr>
              <w:t>Finiquito</w:t>
            </w:r>
          </w:p>
        </w:tc>
        <w:tc>
          <w:tcPr>
            <w:tcW w:w="2899" w:type="dxa"/>
            <w:tcBorders>
              <w:top w:val="single" w:sz="4" w:space="0" w:color="auto"/>
              <w:left w:val="single" w:sz="4" w:space="0" w:color="auto"/>
              <w:bottom w:val="single" w:sz="4" w:space="0" w:color="auto"/>
              <w:right w:val="single" w:sz="4" w:space="0" w:color="auto"/>
            </w:tcBorders>
          </w:tcPr>
          <w:p w14:paraId="64BEB34E" w14:textId="77777777" w:rsidR="007C4D58" w:rsidRPr="002117BE" w:rsidRDefault="007C4D58" w:rsidP="00C03631">
            <w:pPr>
              <w:shd w:val="clear" w:color="auto" w:fill="FFFFFF"/>
              <w:spacing w:line="360" w:lineRule="auto"/>
              <w:contextualSpacing/>
              <w:rPr>
                <w:rFonts w:cs="Tahoma"/>
                <w:bCs/>
                <w:iCs/>
              </w:rPr>
            </w:pPr>
          </w:p>
        </w:tc>
      </w:tr>
    </w:tbl>
    <w:p w14:paraId="0C7D0D6E" w14:textId="77777777" w:rsidR="00306B1A" w:rsidRDefault="00306B1A" w:rsidP="00C03631">
      <w:pPr>
        <w:spacing w:after="0" w:line="360" w:lineRule="auto"/>
        <w:contextualSpacing/>
        <w:rPr>
          <w:rFonts w:eastAsia="Calibri" w:cs="Tahoma"/>
          <w:bCs/>
        </w:rPr>
      </w:pPr>
    </w:p>
    <w:p w14:paraId="749D8C1A" w14:textId="4A719D0D" w:rsidR="00B20890" w:rsidRDefault="00B20890" w:rsidP="00C03631">
      <w:pPr>
        <w:spacing w:after="0" w:line="360" w:lineRule="auto"/>
        <w:contextualSpacing/>
        <w:rPr>
          <w:rFonts w:eastAsia="Calibri" w:cs="Tahoma"/>
          <w:bCs/>
        </w:rPr>
      </w:pPr>
      <w:r>
        <w:rPr>
          <w:rFonts w:eastAsia="Calibri" w:cs="Tahoma"/>
          <w:bCs/>
        </w:rPr>
        <w:t xml:space="preserve">Conforme a lo anterior y toda vez que el artículo 92 de la Ley de Transparencia y Acceso a la Información Pública del Estado de México y Municipios, precisa que se debe entregar la versión pública de los expedientes de adjudicación, se considera </w:t>
      </w:r>
      <w:r w:rsidR="00B14A3C">
        <w:rPr>
          <w:rFonts w:eastAsia="Calibri" w:cs="Tahoma"/>
          <w:bCs/>
        </w:rPr>
        <w:t>que,</w:t>
      </w:r>
      <w:r>
        <w:rPr>
          <w:rFonts w:eastAsia="Calibri" w:cs="Tahoma"/>
          <w:bCs/>
        </w:rPr>
        <w:t xml:space="preserve"> en el presente caso, se requiere la información de dichos legajos.</w:t>
      </w:r>
    </w:p>
    <w:p w14:paraId="441CA8A8" w14:textId="77777777" w:rsidR="00B20890" w:rsidRDefault="00B20890" w:rsidP="00C03631">
      <w:pPr>
        <w:spacing w:after="0" w:line="360" w:lineRule="auto"/>
        <w:contextualSpacing/>
        <w:rPr>
          <w:rFonts w:eastAsia="Calibri" w:cs="Tahoma"/>
          <w:bCs/>
        </w:rPr>
      </w:pPr>
    </w:p>
    <w:p w14:paraId="78B47A80" w14:textId="6400559C" w:rsidR="007329CE" w:rsidRDefault="007329CE" w:rsidP="00C03631">
      <w:pPr>
        <w:spacing w:after="0" w:line="360" w:lineRule="auto"/>
        <w:contextualSpacing/>
      </w:pPr>
      <w:r>
        <w:rPr>
          <w:rFonts w:eastAsia="Calibri" w:cs="Tahoma"/>
          <w:bCs/>
        </w:rPr>
        <w:lastRenderedPageBreak/>
        <w:t>En ese contexto, este Instituto localizó en el Segundo Informe de Gobierno de Ecatepec de Morelos, administración 2022-2024, que durante el ejercicio fiscal dos mil veintitrés, el Sujeto Obligado llevó a cabo la sustitución de seis mil luminarias, diecinueve mil quinientas reconexiones y la reparación de dos mil trescientas luminarias; además, que la Dirección de Administración realizó los procedimientos necesarios para la adquisición de lámparas y material eléctrico para la continuación del programa de luminarias “</w:t>
      </w:r>
      <w:r>
        <w:t>“Tlahuilli”, tal como se muestra a continuación:</w:t>
      </w:r>
    </w:p>
    <w:p w14:paraId="09057E71" w14:textId="77777777" w:rsidR="007329CE" w:rsidRDefault="007329CE" w:rsidP="00C03631">
      <w:pPr>
        <w:spacing w:after="0" w:line="360" w:lineRule="auto"/>
        <w:contextualSpacing/>
      </w:pPr>
    </w:p>
    <w:p w14:paraId="019FC533" w14:textId="4FB92DDA" w:rsidR="007329CE" w:rsidRDefault="007329CE" w:rsidP="00C03631">
      <w:pPr>
        <w:spacing w:after="0" w:line="360" w:lineRule="auto"/>
        <w:contextualSpacing/>
        <w:jc w:val="center"/>
        <w:rPr>
          <w:rFonts w:eastAsia="Calibri" w:cs="Tahoma"/>
          <w:bCs/>
        </w:rPr>
      </w:pPr>
      <w:r w:rsidRPr="007329CE">
        <w:rPr>
          <w:rFonts w:eastAsia="Calibri" w:cs="Tahoma"/>
          <w:bCs/>
          <w:noProof/>
          <w:lang w:eastAsia="es-MX"/>
        </w:rPr>
        <w:drawing>
          <wp:inline distT="0" distB="0" distL="0" distR="0" wp14:anchorId="763D4977" wp14:editId="2C9F1B59">
            <wp:extent cx="2611646" cy="3171825"/>
            <wp:effectExtent l="0" t="0" r="0" b="0"/>
            <wp:docPr id="4690147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14764" name=""/>
                    <pic:cNvPicPr/>
                  </pic:nvPicPr>
                  <pic:blipFill>
                    <a:blip r:embed="rId9"/>
                    <a:stretch>
                      <a:fillRect/>
                    </a:stretch>
                  </pic:blipFill>
                  <pic:spPr>
                    <a:xfrm>
                      <a:off x="0" y="0"/>
                      <a:ext cx="2615358" cy="3176333"/>
                    </a:xfrm>
                    <a:prstGeom prst="rect">
                      <a:avLst/>
                    </a:prstGeom>
                  </pic:spPr>
                </pic:pic>
              </a:graphicData>
            </a:graphic>
          </wp:inline>
        </w:drawing>
      </w:r>
      <w:r w:rsidRPr="007329CE">
        <w:rPr>
          <w:rFonts w:eastAsia="Calibri" w:cs="Tahoma"/>
          <w:bCs/>
          <w:noProof/>
          <w:lang w:eastAsia="es-MX"/>
        </w:rPr>
        <w:drawing>
          <wp:inline distT="0" distB="0" distL="0" distR="0" wp14:anchorId="2DDD1637" wp14:editId="75617FC0">
            <wp:extent cx="2590800" cy="1769878"/>
            <wp:effectExtent l="0" t="0" r="0" b="1905"/>
            <wp:docPr id="522505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05354" name=""/>
                    <pic:cNvPicPr/>
                  </pic:nvPicPr>
                  <pic:blipFill>
                    <a:blip r:embed="rId10"/>
                    <a:stretch>
                      <a:fillRect/>
                    </a:stretch>
                  </pic:blipFill>
                  <pic:spPr>
                    <a:xfrm>
                      <a:off x="0" y="0"/>
                      <a:ext cx="2599636" cy="1775914"/>
                    </a:xfrm>
                    <a:prstGeom prst="rect">
                      <a:avLst/>
                    </a:prstGeom>
                  </pic:spPr>
                </pic:pic>
              </a:graphicData>
            </a:graphic>
          </wp:inline>
        </w:drawing>
      </w:r>
    </w:p>
    <w:p w14:paraId="472D22A8" w14:textId="77777777" w:rsidR="007329CE" w:rsidRDefault="007329CE" w:rsidP="00C03631">
      <w:pPr>
        <w:spacing w:after="0" w:line="360" w:lineRule="auto"/>
        <w:contextualSpacing/>
        <w:rPr>
          <w:rFonts w:eastAsia="Calibri" w:cs="Tahoma"/>
          <w:bCs/>
        </w:rPr>
      </w:pPr>
    </w:p>
    <w:p w14:paraId="0CA469A7" w14:textId="77777777" w:rsidR="007329CE" w:rsidRPr="007329CE" w:rsidRDefault="007329CE" w:rsidP="00C03631">
      <w:pPr>
        <w:spacing w:after="0" w:line="360" w:lineRule="auto"/>
        <w:contextualSpacing/>
        <w:rPr>
          <w:rFonts w:eastAsia="Calibri" w:cs="Tahoma"/>
          <w:bCs/>
          <w:lang w:val="es-ES"/>
        </w:rPr>
      </w:pPr>
      <w:r w:rsidRPr="007329CE">
        <w:rPr>
          <w:rFonts w:eastAsia="Calibri" w:cs="Tahoma"/>
          <w:bCs/>
          <w:lang w:val="es-ES"/>
        </w:rPr>
        <w:t>Ahora bien, es necesario señalar que el Particular no precisó de que temporalidad requería los viáticos,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w:t>
      </w:r>
    </w:p>
    <w:p w14:paraId="2F74BC4C" w14:textId="18BEDA62" w:rsidR="007329CE" w:rsidRPr="007329CE" w:rsidRDefault="00B20890" w:rsidP="00C03631">
      <w:pPr>
        <w:spacing w:after="0" w:line="360" w:lineRule="auto"/>
        <w:contextualSpacing/>
        <w:rPr>
          <w:rFonts w:eastAsia="Calibri" w:cs="Tahoma"/>
          <w:bCs/>
          <w:lang w:val="es-ES"/>
        </w:rPr>
      </w:pPr>
      <w:r>
        <w:rPr>
          <w:rFonts w:eastAsia="Calibri" w:cs="Tahoma"/>
          <w:bCs/>
          <w:lang w:val="es-ES"/>
        </w:rPr>
        <w:lastRenderedPageBreak/>
        <w:t>Así, se considera que la pretensión de la parte Recurrente, es obtener los documentos que conformaba los expedientes de los procedimientos adjudicación (licitación, invitación o adjudicación directa) por medio de los cuales se adquirieron luminarias, del primero de abril de dos mil veintitrés al primero de abril de dos mil veinticuatro.</w:t>
      </w:r>
    </w:p>
    <w:p w14:paraId="3F824890" w14:textId="77777777" w:rsidR="007329CE" w:rsidRDefault="007329CE" w:rsidP="00C03631">
      <w:pPr>
        <w:spacing w:after="0" w:line="360" w:lineRule="auto"/>
        <w:contextualSpacing/>
        <w:rPr>
          <w:rFonts w:eastAsia="Calibri" w:cs="Tahoma"/>
          <w:bCs/>
        </w:rPr>
      </w:pPr>
    </w:p>
    <w:p w14:paraId="23004EE6" w14:textId="40ECAB1A" w:rsidR="00B20890" w:rsidRDefault="00B20890" w:rsidP="00C03631">
      <w:pPr>
        <w:spacing w:after="0" w:line="360" w:lineRule="auto"/>
        <w:contextualSpacing/>
        <w:rPr>
          <w:rFonts w:eastAsia="Calibri" w:cs="Tahoma"/>
          <w:bCs/>
        </w:rPr>
      </w:pPr>
      <w:r>
        <w:rPr>
          <w:rFonts w:eastAsia="Calibri" w:cs="Tahoma"/>
          <w:bCs/>
        </w:rPr>
        <w:t xml:space="preserve">Ahora bien, respecto al programa </w:t>
      </w:r>
      <w:r w:rsidR="00ED5224">
        <w:rPr>
          <w:rFonts w:eastAsia="Calibri" w:cs="Tahoma"/>
          <w:bCs/>
        </w:rPr>
        <w:t>denominado “Luces del Bicentenario”</w:t>
      </w:r>
      <w:r>
        <w:rPr>
          <w:rFonts w:eastAsia="Calibri" w:cs="Tahoma"/>
          <w:bCs/>
        </w:rPr>
        <w:t>, el Segundo Informe de Gobierno de Ecatepec de Morelos, de la administración 2019-2021, precisa que dicho proyecto es una de las trescientas acciones por la restauración de Ecatepec, por lo que, se creo una red de vigilancia ciudadana calle por calle, en el cual juega un papel muy importante la iluminación de las comunidades</w:t>
      </w:r>
      <w:r w:rsidR="00292F36">
        <w:rPr>
          <w:rFonts w:eastAsia="Calibri" w:cs="Tahoma"/>
          <w:bCs/>
        </w:rPr>
        <w:t>; por lo que, se llevó a cabo la reparación o cambio de luminarias antiguas por luminarias tipo LED, tal como se muestra a continuación:</w:t>
      </w:r>
    </w:p>
    <w:p w14:paraId="4195FE2A" w14:textId="77777777" w:rsidR="00292F36" w:rsidRDefault="00292F36" w:rsidP="00C03631">
      <w:pPr>
        <w:spacing w:after="0" w:line="360" w:lineRule="auto"/>
        <w:contextualSpacing/>
        <w:rPr>
          <w:rFonts w:eastAsia="Calibri" w:cs="Tahoma"/>
          <w:bCs/>
        </w:rPr>
      </w:pPr>
    </w:p>
    <w:p w14:paraId="06C4A4A3" w14:textId="375569C3" w:rsidR="00292F36" w:rsidRPr="00B20890" w:rsidRDefault="00292F36" w:rsidP="00C03631">
      <w:pPr>
        <w:spacing w:after="0" w:line="360" w:lineRule="auto"/>
        <w:contextualSpacing/>
        <w:jc w:val="center"/>
        <w:rPr>
          <w:rFonts w:eastAsia="Calibri" w:cs="Tahoma"/>
          <w:bCs/>
          <w:lang w:val="es-ES"/>
        </w:rPr>
      </w:pPr>
      <w:r w:rsidRPr="00292F36">
        <w:rPr>
          <w:rFonts w:eastAsia="Calibri" w:cs="Tahoma"/>
          <w:bCs/>
          <w:noProof/>
          <w:lang w:eastAsia="es-MX"/>
        </w:rPr>
        <w:drawing>
          <wp:inline distT="0" distB="0" distL="0" distR="0" wp14:anchorId="62C728C4" wp14:editId="0D73D99F">
            <wp:extent cx="3296110" cy="4153480"/>
            <wp:effectExtent l="0" t="0" r="0" b="0"/>
            <wp:docPr id="1010018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8183" name=""/>
                    <pic:cNvPicPr/>
                  </pic:nvPicPr>
                  <pic:blipFill>
                    <a:blip r:embed="rId11"/>
                    <a:stretch>
                      <a:fillRect/>
                    </a:stretch>
                  </pic:blipFill>
                  <pic:spPr>
                    <a:xfrm>
                      <a:off x="0" y="0"/>
                      <a:ext cx="3296110" cy="4153480"/>
                    </a:xfrm>
                    <a:prstGeom prst="rect">
                      <a:avLst/>
                    </a:prstGeom>
                  </pic:spPr>
                </pic:pic>
              </a:graphicData>
            </a:graphic>
          </wp:inline>
        </w:drawing>
      </w:r>
    </w:p>
    <w:p w14:paraId="650F77EA" w14:textId="3359471E" w:rsidR="00A22EDE" w:rsidRDefault="00AC778A" w:rsidP="00C03631">
      <w:pPr>
        <w:spacing w:after="0" w:line="360" w:lineRule="auto"/>
        <w:contextualSpacing/>
        <w:rPr>
          <w:rFonts w:eastAsia="Calibri" w:cs="Tahoma"/>
          <w:bCs/>
        </w:rPr>
      </w:pPr>
      <w:r>
        <w:rPr>
          <w:rFonts w:eastAsia="Calibri" w:cs="Tahoma"/>
          <w:bCs/>
        </w:rPr>
        <w:lastRenderedPageBreak/>
        <w:t xml:space="preserve">En ese orden de ideas, el Tercer Informe de Gobierno de Ecatepec de Morelos, de la administración 2019-2021, precisa </w:t>
      </w:r>
      <w:r w:rsidR="00A22EDE">
        <w:rPr>
          <w:rFonts w:eastAsia="Calibri" w:cs="Tahoma"/>
          <w:bCs/>
        </w:rPr>
        <w:t>que durante el año dos mil veintiuno, continuo con el programa “Luces Bicentenario”, mediante el cual llevó a cabo el cambio de mil cuatrocientas ochenta luminarias LED y trece mil rehabilitaciones y reconexiones, tal como se muestra a continuación:</w:t>
      </w:r>
    </w:p>
    <w:p w14:paraId="28DD1EA3" w14:textId="77777777" w:rsidR="00A22EDE" w:rsidRDefault="00A22EDE" w:rsidP="00C03631">
      <w:pPr>
        <w:spacing w:after="0" w:line="360" w:lineRule="auto"/>
        <w:contextualSpacing/>
        <w:rPr>
          <w:rFonts w:eastAsia="Calibri" w:cs="Tahoma"/>
          <w:bCs/>
        </w:rPr>
      </w:pPr>
    </w:p>
    <w:p w14:paraId="194C6F41" w14:textId="12EEC27E" w:rsidR="00A22EDE" w:rsidRDefault="00A22EDE" w:rsidP="00C03631">
      <w:pPr>
        <w:spacing w:after="0" w:line="360" w:lineRule="auto"/>
        <w:contextualSpacing/>
        <w:jc w:val="center"/>
        <w:rPr>
          <w:rFonts w:eastAsia="Calibri" w:cs="Tahoma"/>
          <w:bCs/>
        </w:rPr>
      </w:pPr>
      <w:r w:rsidRPr="00A22EDE">
        <w:rPr>
          <w:rFonts w:eastAsia="Calibri" w:cs="Tahoma"/>
          <w:bCs/>
          <w:noProof/>
          <w:lang w:eastAsia="es-MX"/>
        </w:rPr>
        <w:drawing>
          <wp:inline distT="0" distB="0" distL="0" distR="0" wp14:anchorId="35DCC673" wp14:editId="5F77D337">
            <wp:extent cx="2880000" cy="3332830"/>
            <wp:effectExtent l="0" t="0" r="0" b="1270"/>
            <wp:docPr id="8721646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64626" name=""/>
                    <pic:cNvPicPr/>
                  </pic:nvPicPr>
                  <pic:blipFill>
                    <a:blip r:embed="rId12"/>
                    <a:stretch>
                      <a:fillRect/>
                    </a:stretch>
                  </pic:blipFill>
                  <pic:spPr>
                    <a:xfrm>
                      <a:off x="0" y="0"/>
                      <a:ext cx="2880000" cy="3332830"/>
                    </a:xfrm>
                    <a:prstGeom prst="rect">
                      <a:avLst/>
                    </a:prstGeom>
                  </pic:spPr>
                </pic:pic>
              </a:graphicData>
            </a:graphic>
          </wp:inline>
        </w:drawing>
      </w:r>
    </w:p>
    <w:p w14:paraId="0A51AE67" w14:textId="58B96E55" w:rsidR="00A22EDE" w:rsidRDefault="00A22EDE" w:rsidP="00C03631">
      <w:pPr>
        <w:spacing w:after="0" w:line="360" w:lineRule="auto"/>
        <w:contextualSpacing/>
        <w:jc w:val="center"/>
        <w:rPr>
          <w:rFonts w:eastAsia="Calibri" w:cs="Tahoma"/>
          <w:bCs/>
        </w:rPr>
      </w:pPr>
      <w:r w:rsidRPr="00A22EDE">
        <w:rPr>
          <w:rFonts w:eastAsia="Calibri" w:cs="Tahoma"/>
          <w:bCs/>
          <w:noProof/>
          <w:lang w:eastAsia="es-MX"/>
        </w:rPr>
        <w:drawing>
          <wp:inline distT="0" distB="0" distL="0" distR="0" wp14:anchorId="5CCAA8E4" wp14:editId="4F8B8BA9">
            <wp:extent cx="2880000" cy="570479"/>
            <wp:effectExtent l="0" t="0" r="0" b="1270"/>
            <wp:docPr id="69036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6083" name=""/>
                    <pic:cNvPicPr/>
                  </pic:nvPicPr>
                  <pic:blipFill>
                    <a:blip r:embed="rId13"/>
                    <a:stretch>
                      <a:fillRect/>
                    </a:stretch>
                  </pic:blipFill>
                  <pic:spPr>
                    <a:xfrm>
                      <a:off x="0" y="0"/>
                      <a:ext cx="2880000" cy="570479"/>
                    </a:xfrm>
                    <a:prstGeom prst="rect">
                      <a:avLst/>
                    </a:prstGeom>
                  </pic:spPr>
                </pic:pic>
              </a:graphicData>
            </a:graphic>
          </wp:inline>
        </w:drawing>
      </w:r>
    </w:p>
    <w:p w14:paraId="109E0B07" w14:textId="1D783D87" w:rsidR="00AC778A" w:rsidRDefault="00A22EDE" w:rsidP="00C03631">
      <w:pPr>
        <w:spacing w:after="0" w:line="360" w:lineRule="auto"/>
        <w:contextualSpacing/>
        <w:rPr>
          <w:rFonts w:eastAsia="Calibri" w:cs="Tahoma"/>
          <w:bCs/>
        </w:rPr>
      </w:pPr>
      <w:r>
        <w:rPr>
          <w:rFonts w:eastAsia="Calibri" w:cs="Tahoma"/>
          <w:bCs/>
        </w:rPr>
        <w:t xml:space="preserve"> </w:t>
      </w:r>
    </w:p>
    <w:p w14:paraId="7CAE3446" w14:textId="275D440B" w:rsidR="00292F36" w:rsidRDefault="00A22EDE" w:rsidP="00C03631">
      <w:pPr>
        <w:spacing w:after="0" w:line="360" w:lineRule="auto"/>
        <w:contextualSpacing/>
      </w:pPr>
      <w:r>
        <w:rPr>
          <w:rFonts w:eastAsia="Calibri" w:cs="Tahoma"/>
          <w:bCs/>
        </w:rPr>
        <w:t>Además, este Instituto revisó el Primer de Informe Gobierno, de la administración 2022-2024, en el cual se logr</w:t>
      </w:r>
      <w:r w:rsidR="000A0890">
        <w:rPr>
          <w:rFonts w:eastAsia="Calibri" w:cs="Tahoma"/>
          <w:bCs/>
        </w:rPr>
        <w:t>ó</w:t>
      </w:r>
      <w:r>
        <w:rPr>
          <w:rFonts w:eastAsia="Calibri" w:cs="Tahoma"/>
          <w:bCs/>
        </w:rPr>
        <w:t xml:space="preserve"> advertir que en el año </w:t>
      </w:r>
      <w:r w:rsidR="007D096D">
        <w:rPr>
          <w:rFonts w:eastAsia="Calibri" w:cs="Tahoma"/>
          <w:bCs/>
        </w:rPr>
        <w:t xml:space="preserve">dos mil veintidós, no se realizó el programa “Luces Bicentenario”, pues el que se realizó en atención al cambio de administración, fue el denominado </w:t>
      </w:r>
      <w:r w:rsidR="007D096D">
        <w:t>“Tlahulli”, citado en párrafos anteriores y mediante el cual durante el dos mil veintidós se realizó la instalación de diez mil luminarias LED, así como, la rehabilitación y reconexión de trece mil ciento seis luminarias</w:t>
      </w:r>
      <w:r w:rsidR="00A664EF">
        <w:t>, tal como se muestra:</w:t>
      </w:r>
    </w:p>
    <w:p w14:paraId="34FD1A74" w14:textId="77777777" w:rsidR="00A664EF" w:rsidRDefault="00A664EF" w:rsidP="00C03631">
      <w:pPr>
        <w:spacing w:after="0" w:line="360" w:lineRule="auto"/>
        <w:contextualSpacing/>
      </w:pPr>
    </w:p>
    <w:p w14:paraId="4E656D28" w14:textId="46C97CE4" w:rsidR="00A664EF" w:rsidRDefault="00A664EF" w:rsidP="00C03631">
      <w:pPr>
        <w:spacing w:after="0" w:line="360" w:lineRule="auto"/>
        <w:contextualSpacing/>
        <w:jc w:val="center"/>
        <w:rPr>
          <w:rFonts w:eastAsia="Calibri" w:cs="Tahoma"/>
          <w:bCs/>
        </w:rPr>
      </w:pPr>
      <w:r w:rsidRPr="00A664EF">
        <w:rPr>
          <w:rFonts w:eastAsia="Calibri" w:cs="Tahoma"/>
          <w:bCs/>
          <w:noProof/>
          <w:lang w:eastAsia="es-MX"/>
        </w:rPr>
        <w:drawing>
          <wp:inline distT="0" distB="0" distL="0" distR="0" wp14:anchorId="3AC91B28" wp14:editId="5023AFB0">
            <wp:extent cx="2924583" cy="2457793"/>
            <wp:effectExtent l="0" t="0" r="9525" b="0"/>
            <wp:docPr id="797829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29995" name=""/>
                    <pic:cNvPicPr/>
                  </pic:nvPicPr>
                  <pic:blipFill>
                    <a:blip r:embed="rId14"/>
                    <a:stretch>
                      <a:fillRect/>
                    </a:stretch>
                  </pic:blipFill>
                  <pic:spPr>
                    <a:xfrm>
                      <a:off x="0" y="0"/>
                      <a:ext cx="2924583" cy="2457793"/>
                    </a:xfrm>
                    <a:prstGeom prst="rect">
                      <a:avLst/>
                    </a:prstGeom>
                  </pic:spPr>
                </pic:pic>
              </a:graphicData>
            </a:graphic>
          </wp:inline>
        </w:drawing>
      </w:r>
    </w:p>
    <w:p w14:paraId="380CD240" w14:textId="77777777" w:rsidR="00306B1A" w:rsidRPr="00854A8C" w:rsidRDefault="00306B1A" w:rsidP="00C03631">
      <w:pPr>
        <w:spacing w:after="0" w:line="360" w:lineRule="auto"/>
        <w:contextualSpacing/>
        <w:rPr>
          <w:rFonts w:eastAsia="Calibri" w:cs="Times New Roman"/>
          <w:bCs/>
        </w:rPr>
      </w:pPr>
    </w:p>
    <w:p w14:paraId="0EF44ECD" w14:textId="17FC02DB" w:rsidR="00A664EF" w:rsidRDefault="00306B1A" w:rsidP="00C03631">
      <w:pPr>
        <w:tabs>
          <w:tab w:val="left" w:pos="4962"/>
        </w:tabs>
        <w:spacing w:after="0" w:line="360" w:lineRule="auto"/>
        <w:contextualSpacing/>
        <w:rPr>
          <w:rFonts w:cs="Tahoma"/>
          <w:szCs w:val="24"/>
          <w:lang w:val="es-ES"/>
        </w:rPr>
      </w:pPr>
      <w:r w:rsidRPr="00854A8C">
        <w:rPr>
          <w:rFonts w:eastAsia="Calibri" w:cs="Times New Roman"/>
          <w:bCs/>
        </w:rPr>
        <w:t xml:space="preserve">Así, se considera que la pretensión del ahora Recurrente es obtener </w:t>
      </w:r>
      <w:r w:rsidRPr="00854A8C">
        <w:rPr>
          <w:rFonts w:cs="Tahoma"/>
          <w:szCs w:val="24"/>
          <w:lang w:val="es-ES"/>
        </w:rPr>
        <w:t>respecto de</w:t>
      </w:r>
      <w:r w:rsidR="00ED5224">
        <w:rPr>
          <w:rFonts w:cs="Tahoma"/>
          <w:szCs w:val="24"/>
          <w:lang w:val="es-ES"/>
        </w:rPr>
        <w:t>l “Programa Luces del Bicentenario”</w:t>
      </w:r>
      <w:r w:rsidR="00A664EF">
        <w:rPr>
          <w:rFonts w:cs="Tahoma"/>
          <w:szCs w:val="24"/>
          <w:lang w:val="es-ES"/>
        </w:rPr>
        <w:t>, realizado durante la administración 2019-2021</w:t>
      </w:r>
      <w:r w:rsidR="00C70D29">
        <w:rPr>
          <w:rFonts w:cs="Tahoma"/>
          <w:szCs w:val="24"/>
          <w:lang w:val="es-ES"/>
        </w:rPr>
        <w:t xml:space="preserve">, </w:t>
      </w:r>
      <w:r w:rsidR="00A664EF">
        <w:rPr>
          <w:rFonts w:cs="Tahoma"/>
          <w:szCs w:val="24"/>
          <w:lang w:val="es-ES"/>
        </w:rPr>
        <w:t>lo siguiente:</w:t>
      </w:r>
    </w:p>
    <w:p w14:paraId="1FEBC892" w14:textId="77777777" w:rsidR="00A664EF" w:rsidRDefault="00A664EF" w:rsidP="00C03631">
      <w:pPr>
        <w:tabs>
          <w:tab w:val="left" w:pos="4962"/>
        </w:tabs>
        <w:spacing w:after="0" w:line="360" w:lineRule="auto"/>
        <w:contextualSpacing/>
        <w:rPr>
          <w:rFonts w:cs="Tahoma"/>
          <w:szCs w:val="24"/>
          <w:lang w:val="es-ES"/>
        </w:rPr>
      </w:pPr>
    </w:p>
    <w:p w14:paraId="72F4C531" w14:textId="5083F1F8" w:rsidR="00A664EF" w:rsidRPr="00C008C2" w:rsidRDefault="00A664EF" w:rsidP="00C03631">
      <w:pPr>
        <w:pStyle w:val="Prrafodelista"/>
        <w:numPr>
          <w:ilvl w:val="0"/>
          <w:numId w:val="21"/>
        </w:numPr>
        <w:tabs>
          <w:tab w:val="left" w:pos="4962"/>
        </w:tabs>
        <w:spacing w:line="360" w:lineRule="auto"/>
        <w:jc w:val="both"/>
        <w:rPr>
          <w:rFonts w:ascii="Palatino Linotype" w:hAnsi="Palatino Linotype" w:cs="Tahoma"/>
          <w:lang w:val="es-ES"/>
        </w:rPr>
      </w:pPr>
      <w:r w:rsidRPr="00C008C2">
        <w:rPr>
          <w:rFonts w:ascii="Palatino Linotype" w:hAnsi="Palatino Linotype" w:cs="Tahoma"/>
          <w:lang w:val="es-ES"/>
        </w:rPr>
        <w:t>L</w:t>
      </w:r>
      <w:r w:rsidR="00BC344D" w:rsidRPr="00C008C2">
        <w:rPr>
          <w:rFonts w:ascii="Palatino Linotype" w:hAnsi="Palatino Linotype" w:cs="Tahoma"/>
          <w:lang w:val="es-ES"/>
        </w:rPr>
        <w:t xml:space="preserve">os </w:t>
      </w:r>
      <w:r w:rsidR="005C332A" w:rsidRPr="00C008C2">
        <w:rPr>
          <w:rFonts w:ascii="Palatino Linotype" w:hAnsi="Palatino Linotype" w:cs="Tahoma"/>
          <w:lang w:val="es-ES"/>
        </w:rPr>
        <w:t xml:space="preserve">contratos </w:t>
      </w:r>
      <w:r w:rsidRPr="00C008C2">
        <w:rPr>
          <w:rFonts w:ascii="Palatino Linotype" w:hAnsi="Palatino Linotype" w:cs="Tahoma"/>
          <w:lang w:val="es-ES"/>
        </w:rPr>
        <w:t>de adquisición de luminarias,</w:t>
      </w:r>
      <w:r w:rsidR="005C332A" w:rsidRPr="00C008C2">
        <w:rPr>
          <w:rFonts w:ascii="Palatino Linotype" w:hAnsi="Palatino Linotype" w:cs="Tahoma"/>
          <w:lang w:val="es-ES"/>
        </w:rPr>
        <w:t xml:space="preserve"> en los que </w:t>
      </w:r>
      <w:r w:rsidRPr="00C008C2">
        <w:rPr>
          <w:rFonts w:ascii="Palatino Linotype" w:hAnsi="Palatino Linotype" w:cs="Tahoma"/>
          <w:lang w:val="es-ES"/>
        </w:rPr>
        <w:t>se locali</w:t>
      </w:r>
      <w:r w:rsidR="005C332A" w:rsidRPr="00C008C2">
        <w:rPr>
          <w:rFonts w:ascii="Palatino Linotype" w:hAnsi="Palatino Linotype" w:cs="Tahoma"/>
          <w:lang w:val="es-ES"/>
        </w:rPr>
        <w:t>ce</w:t>
      </w:r>
      <w:r w:rsidRPr="00C008C2">
        <w:rPr>
          <w:rFonts w:ascii="Palatino Linotype" w:hAnsi="Palatino Linotype" w:cs="Tahoma"/>
          <w:lang w:val="es-ES"/>
        </w:rPr>
        <w:t>, el proveedor y cantidad de luminarias adquiridas;</w:t>
      </w:r>
    </w:p>
    <w:p w14:paraId="5584A2A0" w14:textId="41FD7A97" w:rsidR="00A664EF" w:rsidRPr="00A664EF" w:rsidRDefault="00A664EF" w:rsidP="00C03631">
      <w:pPr>
        <w:pStyle w:val="Prrafodelista"/>
        <w:numPr>
          <w:ilvl w:val="0"/>
          <w:numId w:val="21"/>
        </w:numPr>
        <w:tabs>
          <w:tab w:val="left" w:pos="4962"/>
        </w:tabs>
        <w:spacing w:line="360" w:lineRule="auto"/>
        <w:jc w:val="both"/>
        <w:rPr>
          <w:rFonts w:ascii="Palatino Linotype" w:hAnsi="Palatino Linotype" w:cs="Tahoma"/>
          <w:lang w:val="es-ES"/>
        </w:rPr>
      </w:pPr>
      <w:r>
        <w:rPr>
          <w:rFonts w:ascii="Palatino Linotype" w:hAnsi="Palatino Linotype" w:cs="Tahoma"/>
          <w:lang w:val="es-ES"/>
        </w:rPr>
        <w:t>Los documentos donde consten los lugares donde se instalaron.</w:t>
      </w:r>
    </w:p>
    <w:p w14:paraId="65076C63" w14:textId="77777777" w:rsidR="00A664EF" w:rsidRDefault="00A664EF" w:rsidP="00C03631">
      <w:pPr>
        <w:tabs>
          <w:tab w:val="left" w:pos="4962"/>
        </w:tabs>
        <w:spacing w:after="0" w:line="360" w:lineRule="auto"/>
        <w:contextualSpacing/>
        <w:rPr>
          <w:rFonts w:cs="Tahoma"/>
          <w:szCs w:val="24"/>
          <w:lang w:val="es-ES"/>
        </w:rPr>
      </w:pPr>
    </w:p>
    <w:p w14:paraId="6C8A15AA" w14:textId="77777777" w:rsidR="00306B1A" w:rsidRPr="00854A8C" w:rsidRDefault="00306B1A" w:rsidP="00C03631">
      <w:pPr>
        <w:spacing w:after="0" w:line="360" w:lineRule="auto"/>
        <w:contextualSpacing/>
        <w:rPr>
          <w:rFonts w:eastAsia="Calibri" w:cs="Times New Roman"/>
          <w:bCs/>
          <w:iCs/>
        </w:rPr>
      </w:pPr>
      <w:r w:rsidRPr="00854A8C">
        <w:rPr>
          <w:rFonts w:eastAsia="Calibri" w:cs="Times New Roman"/>
          <w:bCs/>
        </w:rPr>
        <w:t xml:space="preserve">Ahora bien, de las constancias que obran en el expediente se advierte que el </w:t>
      </w:r>
      <w:r w:rsidRPr="00854A8C">
        <w:rPr>
          <w:rFonts w:eastAsia="Calibri" w:cs="Times New Roman"/>
          <w:bCs/>
          <w:iCs/>
        </w:rPr>
        <w:t>Sujeto Obligado turno el requerimiento de información a</w:t>
      </w:r>
      <w:r>
        <w:rPr>
          <w:rFonts w:eastAsia="Calibri" w:cs="Times New Roman"/>
          <w:bCs/>
          <w:iCs/>
        </w:rPr>
        <w:t xml:space="preserve"> </w:t>
      </w:r>
      <w:r w:rsidRPr="00854A8C">
        <w:rPr>
          <w:rFonts w:eastAsia="Calibri" w:cs="Times New Roman"/>
          <w:bCs/>
          <w:iCs/>
        </w:rPr>
        <w:t>l</w:t>
      </w:r>
      <w:r>
        <w:rPr>
          <w:rFonts w:eastAsia="Calibri" w:cs="Times New Roman"/>
          <w:bCs/>
          <w:iCs/>
        </w:rPr>
        <w:t>a</w:t>
      </w:r>
      <w:r w:rsidRPr="00854A8C">
        <w:rPr>
          <w:rFonts w:eastAsia="Calibri" w:cs="Times New Roman"/>
          <w:bCs/>
          <w:iCs/>
        </w:rPr>
        <w:t xml:space="preserve"> </w:t>
      </w:r>
      <w:r w:rsidR="00F22BD5">
        <w:rPr>
          <w:rFonts w:eastAsia="Calibri" w:cs="Times New Roman"/>
          <w:iCs/>
        </w:rPr>
        <w:t>Dirección</w:t>
      </w:r>
      <w:r w:rsidRPr="00854A8C">
        <w:rPr>
          <w:rFonts w:eastAsia="Calibri" w:cs="Times New Roman"/>
          <w:iCs/>
        </w:rPr>
        <w:t xml:space="preserve"> de </w:t>
      </w:r>
      <w:r w:rsidR="00C70D29">
        <w:rPr>
          <w:rFonts w:eastAsia="Calibri" w:cs="Times New Roman"/>
          <w:iCs/>
        </w:rPr>
        <w:t>Administración y a la Dirección de Servicios Públicos</w:t>
      </w:r>
      <w:r w:rsidRPr="00854A8C">
        <w:rPr>
          <w:rFonts w:eastAsia="Calibri" w:cs="Times New Roman"/>
          <w:bCs/>
          <w:iCs/>
        </w:rPr>
        <w:t xml:space="preserve">, por lo que, </w:t>
      </w:r>
      <w:r w:rsidRPr="00854A8C">
        <w:rPr>
          <w:rFonts w:eastAsia="Calibri" w:cs="Times New Roman"/>
          <w:bCs/>
          <w:lang w:val="es-ES"/>
        </w:rPr>
        <w:t>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086E05FC" w14:textId="77777777" w:rsidR="00306B1A" w:rsidRPr="00854A8C" w:rsidRDefault="00306B1A" w:rsidP="00C03631">
      <w:pPr>
        <w:spacing w:after="0" w:line="360" w:lineRule="auto"/>
        <w:contextualSpacing/>
        <w:rPr>
          <w:rFonts w:eastAsia="Calibri" w:cs="Times New Roman"/>
          <w:bCs/>
          <w:lang w:val="es-ES"/>
        </w:rPr>
      </w:pPr>
    </w:p>
    <w:p w14:paraId="7FE84552" w14:textId="77777777" w:rsidR="00306B1A" w:rsidRPr="00854A8C" w:rsidRDefault="00306B1A" w:rsidP="00C03631">
      <w:pPr>
        <w:numPr>
          <w:ilvl w:val="0"/>
          <w:numId w:val="1"/>
        </w:numPr>
        <w:spacing w:after="0" w:line="360" w:lineRule="auto"/>
        <w:contextualSpacing/>
        <w:rPr>
          <w:rFonts w:eastAsia="Calibri" w:cs="Times New Roman"/>
          <w:bCs/>
          <w:lang w:val="es-ES"/>
        </w:rPr>
      </w:pPr>
      <w:r w:rsidRPr="00854A8C">
        <w:rPr>
          <w:rFonts w:eastAsia="Calibri" w:cs="Times New Roman"/>
          <w:bCs/>
          <w:lang w:val="es-ES"/>
        </w:rPr>
        <w:t xml:space="preserve">Las Unidades de Transparencia garantizarán que las solicitudes de acceso a la información se turnen a todas las áreas competentes que cuenten con la información o </w:t>
      </w:r>
      <w:r w:rsidRPr="00854A8C">
        <w:rPr>
          <w:rFonts w:eastAsia="Calibri" w:cs="Times New Roman"/>
          <w:bCs/>
          <w:lang w:val="es-ES"/>
        </w:rPr>
        <w:lastRenderedPageBreak/>
        <w:t>deban tenerla -de acuerdo a las facultades, competencias y funciones-, con el objeto de que dichas áreas realicen una búsqueda exhaustiva y razonable de la información requerida, y</w:t>
      </w:r>
    </w:p>
    <w:p w14:paraId="0CB86483" w14:textId="77777777" w:rsidR="00306B1A" w:rsidRPr="00854A8C" w:rsidRDefault="00306B1A" w:rsidP="00C03631">
      <w:pPr>
        <w:spacing w:after="0" w:line="360" w:lineRule="auto"/>
        <w:ind w:left="720"/>
        <w:contextualSpacing/>
        <w:rPr>
          <w:rFonts w:eastAsia="Calibri" w:cs="Times New Roman"/>
          <w:bCs/>
          <w:lang w:val="es-ES"/>
        </w:rPr>
      </w:pPr>
    </w:p>
    <w:p w14:paraId="18F4A3AC" w14:textId="77777777" w:rsidR="00306B1A" w:rsidRPr="00854A8C" w:rsidRDefault="00306B1A" w:rsidP="00C03631">
      <w:pPr>
        <w:numPr>
          <w:ilvl w:val="0"/>
          <w:numId w:val="1"/>
        </w:numPr>
        <w:spacing w:after="0" w:line="360" w:lineRule="auto"/>
        <w:contextualSpacing/>
        <w:rPr>
          <w:rFonts w:eastAsia="Calibri" w:cs="Times New Roman"/>
          <w:bCs/>
          <w:lang w:val="es-ES"/>
        </w:rPr>
      </w:pPr>
      <w:r w:rsidRPr="00854A8C">
        <w:rPr>
          <w:rFonts w:eastAsia="Calibri" w:cs="Times New Roman"/>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C37CC28" w14:textId="77777777" w:rsidR="00306B1A" w:rsidRPr="00854A8C" w:rsidRDefault="00306B1A" w:rsidP="00C03631">
      <w:pPr>
        <w:spacing w:after="0" w:line="360" w:lineRule="auto"/>
        <w:contextualSpacing/>
        <w:rPr>
          <w:rFonts w:eastAsia="Calibri" w:cs="Tahoma"/>
          <w:bCs/>
        </w:rPr>
      </w:pPr>
    </w:p>
    <w:p w14:paraId="03A01019" w14:textId="77777777" w:rsidR="00306B1A" w:rsidRDefault="00306B1A" w:rsidP="00C03631">
      <w:pPr>
        <w:spacing w:after="0" w:line="360" w:lineRule="auto"/>
        <w:contextualSpacing/>
        <w:rPr>
          <w:bCs/>
        </w:rPr>
      </w:pPr>
      <w:r w:rsidRPr="00854A8C">
        <w:rPr>
          <w:rFonts w:eastAsia="Calibri" w:cs="Times New Roman"/>
          <w:bCs/>
        </w:rPr>
        <w:t>Así, a efecto de verificar que el Sujeto Obligado cumplió con dicho procedimiento, es necesario traer a colación el artículo 4</w:t>
      </w:r>
      <w:r>
        <w:rPr>
          <w:rFonts w:eastAsia="Calibri" w:cs="Times New Roman"/>
          <w:bCs/>
        </w:rPr>
        <w:t>4 fracción I</w:t>
      </w:r>
      <w:r w:rsidR="00C70D29">
        <w:rPr>
          <w:rFonts w:eastAsia="Calibri" w:cs="Times New Roman"/>
          <w:bCs/>
        </w:rPr>
        <w:t>V letra a., y o.</w:t>
      </w:r>
      <w:r w:rsidRPr="00854A8C">
        <w:rPr>
          <w:rFonts w:eastAsia="Calibri" w:cs="Times New Roman"/>
          <w:bCs/>
        </w:rPr>
        <w:t>,</w:t>
      </w:r>
      <w:r>
        <w:rPr>
          <w:rFonts w:eastAsia="Calibri" w:cs="Times New Roman"/>
          <w:bCs/>
        </w:rPr>
        <w:t xml:space="preserve"> </w:t>
      </w:r>
      <w:r w:rsidRPr="00854A8C">
        <w:rPr>
          <w:rFonts w:eastAsia="Calibri" w:cs="Times New Roman"/>
          <w:bCs/>
        </w:rPr>
        <w:t>del Bando Municipal de Ecatepec</w:t>
      </w:r>
      <w:r w:rsidR="00C70D29">
        <w:rPr>
          <w:rFonts w:eastAsia="Calibri" w:cs="Times New Roman"/>
          <w:bCs/>
        </w:rPr>
        <w:t xml:space="preserve"> de Morelos, dos mil veinticuatro</w:t>
      </w:r>
      <w:r w:rsidRPr="00854A8C">
        <w:rPr>
          <w:rFonts w:eastAsia="Calibri" w:cs="Times New Roman"/>
          <w:bCs/>
        </w:rPr>
        <w:t xml:space="preserve">, </w:t>
      </w:r>
      <w:r>
        <w:rPr>
          <w:rFonts w:eastAsia="Calibri" w:cs="Times New Roman"/>
          <w:bCs/>
        </w:rPr>
        <w:t>en relación con los artículos 14 fracción I</w:t>
      </w:r>
      <w:r w:rsidR="00C70D29">
        <w:rPr>
          <w:rFonts w:eastAsia="Calibri" w:cs="Times New Roman"/>
          <w:bCs/>
        </w:rPr>
        <w:t>V letras a. y n.</w:t>
      </w:r>
      <w:r>
        <w:rPr>
          <w:rFonts w:eastAsia="Calibri" w:cs="Times New Roman"/>
          <w:bCs/>
        </w:rPr>
        <w:t xml:space="preserve">, </w:t>
      </w:r>
      <w:r w:rsidR="00C70D29">
        <w:rPr>
          <w:rFonts w:eastAsia="Calibri" w:cs="Times New Roman"/>
          <w:bCs/>
        </w:rPr>
        <w:t>33, 34 73 y 74</w:t>
      </w:r>
      <w:r>
        <w:rPr>
          <w:rFonts w:eastAsia="Calibri" w:cs="Times New Roman"/>
          <w:bCs/>
        </w:rPr>
        <w:t>, del Reglamento Interno de la Administración Municipal,</w:t>
      </w:r>
      <w:r w:rsidRPr="00854A8C">
        <w:rPr>
          <w:rFonts w:eastAsia="Calibri" w:cs="Times New Roman"/>
          <w:bCs/>
        </w:rPr>
        <w:t xml:space="preserve">  en los cuales se establece que el Sujeto Obligado, para el ejercicio de sus atribuciones cuenta con diversas unidades administrativas dependientes del presidente municipal, entre otras </w:t>
      </w:r>
      <w:r w:rsidR="00C70D29">
        <w:rPr>
          <w:rFonts w:eastAsia="Calibri" w:cs="Times New Roman"/>
          <w:bCs/>
        </w:rPr>
        <w:t>las</w:t>
      </w:r>
      <w:r>
        <w:rPr>
          <w:rFonts w:eastAsia="Calibri" w:cs="Times New Roman"/>
          <w:bCs/>
        </w:rPr>
        <w:t xml:space="preserve"> </w:t>
      </w:r>
      <w:r w:rsidR="00C70D29">
        <w:rPr>
          <w:bCs/>
        </w:rPr>
        <w:t>siguientes:</w:t>
      </w:r>
    </w:p>
    <w:p w14:paraId="2E964269" w14:textId="77777777" w:rsidR="00C70D29" w:rsidRPr="00A1189D" w:rsidRDefault="00C70D29" w:rsidP="00C03631">
      <w:pPr>
        <w:spacing w:after="0" w:line="360" w:lineRule="auto"/>
        <w:contextualSpacing/>
        <w:rPr>
          <w:b/>
          <w:bCs/>
        </w:rPr>
      </w:pPr>
    </w:p>
    <w:p w14:paraId="557E79E1" w14:textId="77777777" w:rsidR="00DC1094" w:rsidRPr="00DC1094" w:rsidRDefault="00C70D29" w:rsidP="00C03631">
      <w:pPr>
        <w:pStyle w:val="Prrafodelista"/>
        <w:numPr>
          <w:ilvl w:val="0"/>
          <w:numId w:val="12"/>
        </w:numPr>
        <w:spacing w:line="360" w:lineRule="auto"/>
        <w:jc w:val="both"/>
        <w:rPr>
          <w:rFonts w:ascii="Palatino Linotype" w:hAnsi="Palatino Linotype"/>
          <w:b/>
        </w:rPr>
      </w:pPr>
      <w:r w:rsidRPr="00DC1094">
        <w:rPr>
          <w:rFonts w:ascii="Palatino Linotype" w:hAnsi="Palatino Linotype"/>
          <w:b/>
        </w:rPr>
        <w:t xml:space="preserve">Dirección de Administración: </w:t>
      </w:r>
      <w:r w:rsidR="00DC1094" w:rsidRPr="00DC1094">
        <w:rPr>
          <w:rFonts w:ascii="Palatino Linotype" w:hAnsi="Palatino Linotype"/>
        </w:rPr>
        <w:t xml:space="preserve">Encargada de proveer y administrar los recursos humanos, materiales y servicios generales que requieran las diversas oficinas de la administración pública municipal, la cual además contará con el ejercicio de diversas atribuciones entre otras: </w:t>
      </w:r>
    </w:p>
    <w:p w14:paraId="70168E5E" w14:textId="77777777" w:rsidR="00DC1094" w:rsidRPr="00DC1094" w:rsidRDefault="00DC1094" w:rsidP="00C03631">
      <w:pPr>
        <w:pStyle w:val="Prrafodelista"/>
        <w:spacing w:line="360" w:lineRule="auto"/>
        <w:jc w:val="both"/>
        <w:rPr>
          <w:rFonts w:ascii="Palatino Linotype" w:hAnsi="Palatino Linotype"/>
          <w:b/>
        </w:rPr>
      </w:pPr>
    </w:p>
    <w:p w14:paraId="2C609FFD" w14:textId="77777777" w:rsidR="00DC1094" w:rsidRPr="00DC1094" w:rsidRDefault="00DC1094" w:rsidP="00C03631">
      <w:pPr>
        <w:pStyle w:val="Prrafodelista"/>
        <w:numPr>
          <w:ilvl w:val="0"/>
          <w:numId w:val="13"/>
        </w:numPr>
        <w:spacing w:line="360" w:lineRule="auto"/>
        <w:ind w:left="1134"/>
        <w:jc w:val="both"/>
        <w:rPr>
          <w:rFonts w:ascii="Palatino Linotype" w:hAnsi="Palatino Linotype"/>
          <w:b/>
        </w:rPr>
      </w:pPr>
      <w:r w:rsidRPr="00DC1094">
        <w:rPr>
          <w:rFonts w:ascii="Palatino Linotype" w:hAnsi="Palatino Linotype"/>
        </w:rPr>
        <w:t>Efectuar las compras que requieran las distintas dependencias, ajustándose a las disposiciones legales en la materia;</w:t>
      </w:r>
    </w:p>
    <w:p w14:paraId="11E67FDC" w14:textId="77777777" w:rsidR="00DC1094" w:rsidRPr="00DC1094" w:rsidRDefault="00DC1094" w:rsidP="00C03631">
      <w:pPr>
        <w:pStyle w:val="Prrafodelista"/>
        <w:numPr>
          <w:ilvl w:val="0"/>
          <w:numId w:val="13"/>
        </w:numPr>
        <w:spacing w:line="360" w:lineRule="auto"/>
        <w:ind w:left="1134"/>
        <w:jc w:val="both"/>
        <w:rPr>
          <w:rFonts w:ascii="Palatino Linotype" w:hAnsi="Palatino Linotype"/>
          <w:b/>
        </w:rPr>
      </w:pPr>
      <w:r w:rsidRPr="00DC1094">
        <w:rPr>
          <w:rFonts w:ascii="Palatino Linotype" w:hAnsi="Palatino Linotype"/>
        </w:rPr>
        <w:t>Integrar y actualizar el catálogo general de proveedores;</w:t>
      </w:r>
    </w:p>
    <w:p w14:paraId="52C3D152" w14:textId="77777777" w:rsidR="00DC1094" w:rsidRPr="00DC1094" w:rsidRDefault="00DC1094" w:rsidP="00C03631">
      <w:pPr>
        <w:pStyle w:val="Prrafodelista"/>
        <w:numPr>
          <w:ilvl w:val="0"/>
          <w:numId w:val="13"/>
        </w:numPr>
        <w:spacing w:line="360" w:lineRule="auto"/>
        <w:ind w:left="1134"/>
        <w:jc w:val="both"/>
        <w:rPr>
          <w:rFonts w:ascii="Palatino Linotype" w:hAnsi="Palatino Linotype"/>
          <w:b/>
        </w:rPr>
      </w:pPr>
      <w:r w:rsidRPr="00DC1094">
        <w:rPr>
          <w:rFonts w:ascii="Palatino Linotype" w:hAnsi="Palatino Linotype"/>
        </w:rPr>
        <w:t xml:space="preserve">Planear, organizar, integrar, dirigir, y controlar las licitaciones públicas, las restringidas y las adjudicaciones directas que se requieran para cubrir las necesidades de la Administración Pública Municipal, tanto las generales, como </w:t>
      </w:r>
      <w:r w:rsidRPr="00DC1094">
        <w:rPr>
          <w:rFonts w:ascii="Palatino Linotype" w:hAnsi="Palatino Linotype"/>
        </w:rPr>
        <w:lastRenderedPageBreak/>
        <w:t>aquellas que sean necesarias para la concesión de la prestación de algún servicio público que no se encuentre prohibido por norma jurídica alguna, de acuerdo a los requisitos establecidos en las diversas disposiciones legales aplicables;</w:t>
      </w:r>
    </w:p>
    <w:p w14:paraId="3D420BAF" w14:textId="77777777" w:rsidR="00DC1094" w:rsidRPr="00DC1094" w:rsidRDefault="00DC1094" w:rsidP="00C03631">
      <w:pPr>
        <w:pStyle w:val="Prrafodelista"/>
        <w:numPr>
          <w:ilvl w:val="0"/>
          <w:numId w:val="13"/>
        </w:numPr>
        <w:spacing w:line="360" w:lineRule="auto"/>
        <w:ind w:left="1134"/>
        <w:jc w:val="both"/>
        <w:rPr>
          <w:rFonts w:ascii="Palatino Linotype" w:hAnsi="Palatino Linotype"/>
          <w:b/>
        </w:rPr>
      </w:pPr>
      <w:r w:rsidRPr="00DC1094">
        <w:rPr>
          <w:rFonts w:ascii="Palatino Linotype" w:hAnsi="Palatino Linotype"/>
        </w:rPr>
        <w:t>Proveer al Gobierno Municipal y a las distintas áreas que conforman la Administración Pública Municipal, de los bienes y servicios que requieran para el desarrollo eficaz de sus funciones.</w:t>
      </w:r>
    </w:p>
    <w:p w14:paraId="29C70AB3" w14:textId="77777777" w:rsidR="00DC1094" w:rsidRPr="00DC1094" w:rsidRDefault="00DC1094" w:rsidP="00C03631">
      <w:pPr>
        <w:pStyle w:val="Prrafodelista"/>
        <w:spacing w:line="360" w:lineRule="auto"/>
        <w:rPr>
          <w:b/>
        </w:rPr>
      </w:pPr>
    </w:p>
    <w:p w14:paraId="53F22B80" w14:textId="77777777" w:rsidR="00C70D29" w:rsidRPr="00F22BD5" w:rsidRDefault="00DC1094" w:rsidP="00C03631">
      <w:pPr>
        <w:pStyle w:val="Prrafodelista"/>
        <w:numPr>
          <w:ilvl w:val="0"/>
          <w:numId w:val="12"/>
        </w:numPr>
        <w:spacing w:line="360" w:lineRule="auto"/>
        <w:jc w:val="both"/>
        <w:rPr>
          <w:rFonts w:ascii="Palatino Linotype" w:hAnsi="Palatino Linotype"/>
          <w:b/>
        </w:rPr>
      </w:pPr>
      <w:r w:rsidRPr="00F22BD5">
        <w:rPr>
          <w:rFonts w:ascii="Palatino Linotype" w:hAnsi="Palatino Linotype"/>
          <w:b/>
        </w:rPr>
        <w:t xml:space="preserve">Dirección de Servicios Públicos: </w:t>
      </w:r>
      <w:r w:rsidRPr="00F22BD5">
        <w:rPr>
          <w:rFonts w:ascii="Palatino Linotype" w:hAnsi="Palatino Linotype"/>
        </w:rPr>
        <w:t>Encargada de realizar, supervisar, controlar y mantener en condiciones de operación los servicios públicos municipales, para el embellecimiento y conservación del municipio, quien además contará con diversas atribuciones entre otras las siguientes:</w:t>
      </w:r>
    </w:p>
    <w:p w14:paraId="0C7BA95E" w14:textId="77777777" w:rsidR="00DC1094" w:rsidRPr="00F22BD5" w:rsidRDefault="00DC1094" w:rsidP="00C03631">
      <w:pPr>
        <w:pStyle w:val="Prrafodelista"/>
        <w:spacing w:line="360" w:lineRule="auto"/>
        <w:ind w:left="1416"/>
        <w:jc w:val="both"/>
        <w:rPr>
          <w:rFonts w:ascii="Palatino Linotype" w:hAnsi="Palatino Linotype"/>
          <w:b/>
        </w:rPr>
      </w:pPr>
    </w:p>
    <w:p w14:paraId="7F1D22C8" w14:textId="77777777" w:rsidR="00DC1094" w:rsidRPr="00F22BD5" w:rsidRDefault="00DC1094" w:rsidP="00C03631">
      <w:pPr>
        <w:pStyle w:val="Prrafodelista"/>
        <w:numPr>
          <w:ilvl w:val="0"/>
          <w:numId w:val="13"/>
        </w:numPr>
        <w:spacing w:line="360" w:lineRule="auto"/>
        <w:ind w:left="1134"/>
        <w:jc w:val="both"/>
        <w:rPr>
          <w:rFonts w:ascii="Palatino Linotype" w:hAnsi="Palatino Linotype"/>
          <w:b/>
        </w:rPr>
      </w:pPr>
      <w:r w:rsidRPr="00F22BD5">
        <w:rPr>
          <w:rFonts w:ascii="Palatino Linotype" w:hAnsi="Palatino Linotype"/>
        </w:rPr>
        <w:t>Planear, organizar, supervisar, controlar y mantener en condiciones de operación los servicios públicos Municipales de limpia y recolección, traslado, tratamiento y disposición final de residuos sólidos no peligrosos, alumbrado público, rastro, parques y jardines, áreas verdes municipales y recreativas, panteones municipales, bacheo y balizamiento de calles y avenidas, y otros que no estén asignados expresamente a otra dependencia, en los términos de la disposiciones contenidas en los reglamentos respectivos;</w:t>
      </w:r>
    </w:p>
    <w:p w14:paraId="1BCC563C" w14:textId="77777777" w:rsidR="00DC1094" w:rsidRPr="00F22BD5" w:rsidRDefault="00DC1094" w:rsidP="00C03631">
      <w:pPr>
        <w:pStyle w:val="Prrafodelista"/>
        <w:numPr>
          <w:ilvl w:val="0"/>
          <w:numId w:val="13"/>
        </w:numPr>
        <w:spacing w:line="360" w:lineRule="auto"/>
        <w:ind w:left="1134"/>
        <w:jc w:val="both"/>
        <w:rPr>
          <w:rFonts w:ascii="Palatino Linotype" w:hAnsi="Palatino Linotype"/>
          <w:b/>
        </w:rPr>
      </w:pPr>
      <w:r w:rsidRPr="00F22BD5">
        <w:rPr>
          <w:rFonts w:ascii="Palatino Linotype" w:hAnsi="Palatino Linotype"/>
        </w:rPr>
        <w:t>Coadyuvar en el embellecimiento y conservación de espacios públicos, centros urbanos y obras de interés social, en coordinación con las dependencias que tengan injerencia en tales aspectos, conforme a las disposiciones expresas que señale el H. Ayuntamiento o el Presidente Municipal;</w:t>
      </w:r>
    </w:p>
    <w:p w14:paraId="0914EDC7" w14:textId="77777777" w:rsidR="00DC1094" w:rsidRPr="00F22BD5" w:rsidRDefault="00DC1094" w:rsidP="00C03631">
      <w:pPr>
        <w:pStyle w:val="Prrafodelista"/>
        <w:numPr>
          <w:ilvl w:val="0"/>
          <w:numId w:val="13"/>
        </w:numPr>
        <w:spacing w:line="360" w:lineRule="auto"/>
        <w:ind w:left="1134"/>
        <w:jc w:val="both"/>
        <w:rPr>
          <w:rFonts w:ascii="Palatino Linotype" w:hAnsi="Palatino Linotype"/>
          <w:b/>
        </w:rPr>
      </w:pPr>
      <w:r w:rsidRPr="00F22BD5">
        <w:rPr>
          <w:rFonts w:ascii="Palatino Linotype" w:hAnsi="Palatino Linotype"/>
        </w:rPr>
        <w:t>Prestar los servicios públicos municipales de manera adecuada a las comunidades;</w:t>
      </w:r>
    </w:p>
    <w:p w14:paraId="02F2A4B1" w14:textId="77777777" w:rsidR="00DC1094" w:rsidRPr="00F22BD5" w:rsidRDefault="00DC1094" w:rsidP="00C03631">
      <w:pPr>
        <w:pStyle w:val="Prrafodelista"/>
        <w:numPr>
          <w:ilvl w:val="0"/>
          <w:numId w:val="13"/>
        </w:numPr>
        <w:spacing w:line="360" w:lineRule="auto"/>
        <w:ind w:left="1134"/>
        <w:jc w:val="both"/>
        <w:rPr>
          <w:rFonts w:ascii="Palatino Linotype" w:hAnsi="Palatino Linotype"/>
          <w:b/>
        </w:rPr>
      </w:pPr>
      <w:r w:rsidRPr="00F22BD5">
        <w:rPr>
          <w:rFonts w:ascii="Palatino Linotype" w:hAnsi="Palatino Linotype"/>
        </w:rPr>
        <w:t>Recibir, evaluar y atender en el ámbito de su competencia, en su caso, las peticiones de la ciudadanía, para la debida atención de sus necesidades respecto de servicios públicos municipales;</w:t>
      </w:r>
    </w:p>
    <w:p w14:paraId="31A4D306" w14:textId="77777777" w:rsidR="00DC1094" w:rsidRPr="00F22BD5" w:rsidRDefault="00DC1094" w:rsidP="00C03631">
      <w:pPr>
        <w:pStyle w:val="Prrafodelista"/>
        <w:numPr>
          <w:ilvl w:val="0"/>
          <w:numId w:val="13"/>
        </w:numPr>
        <w:spacing w:line="360" w:lineRule="auto"/>
        <w:ind w:left="1134"/>
        <w:jc w:val="both"/>
        <w:rPr>
          <w:rFonts w:ascii="Palatino Linotype" w:hAnsi="Palatino Linotype"/>
          <w:b/>
        </w:rPr>
      </w:pPr>
      <w:r w:rsidRPr="00F22BD5">
        <w:rPr>
          <w:rFonts w:ascii="Palatino Linotype" w:hAnsi="Palatino Linotype"/>
        </w:rPr>
        <w:lastRenderedPageBreak/>
        <w:t xml:space="preserve">Auxiliar a las distintas dependencias de la Administración Pública Municipal, </w:t>
      </w:r>
      <w:r w:rsidR="00F22BD5" w:rsidRPr="00F22BD5">
        <w:rPr>
          <w:rFonts w:ascii="Palatino Linotype" w:hAnsi="Palatino Linotype"/>
        </w:rPr>
        <w:t>en materia de servicio</w:t>
      </w:r>
      <w:r w:rsidR="00F22BD5">
        <w:rPr>
          <w:rFonts w:ascii="Palatino Linotype" w:hAnsi="Palatino Linotype"/>
        </w:rPr>
        <w:t>s</w:t>
      </w:r>
      <w:r w:rsidR="00F22BD5" w:rsidRPr="00F22BD5">
        <w:rPr>
          <w:rFonts w:ascii="Palatino Linotype" w:hAnsi="Palatino Linotype"/>
        </w:rPr>
        <w:t xml:space="preserve"> públicos.</w:t>
      </w:r>
    </w:p>
    <w:p w14:paraId="1B4053EB" w14:textId="77777777" w:rsidR="00DC1094" w:rsidRDefault="00DC1094" w:rsidP="00C03631">
      <w:pPr>
        <w:spacing w:after="0" w:line="360" w:lineRule="auto"/>
        <w:contextualSpacing/>
        <w:rPr>
          <w:rFonts w:eastAsia="Calibri" w:cs="Times New Roman"/>
        </w:rPr>
      </w:pPr>
    </w:p>
    <w:p w14:paraId="0DE01479" w14:textId="797144EF" w:rsidR="00306B1A" w:rsidRDefault="00306B1A" w:rsidP="00C03631">
      <w:pPr>
        <w:spacing w:after="0" w:line="360" w:lineRule="auto"/>
        <w:contextualSpacing/>
        <w:rPr>
          <w:rFonts w:eastAsia="Calibri" w:cs="Tahoma"/>
          <w:color w:val="000000"/>
          <w:szCs w:val="24"/>
          <w:lang w:val="es-ES" w:eastAsia="es-MX"/>
        </w:rPr>
      </w:pPr>
      <w:r w:rsidRPr="00854A8C">
        <w:rPr>
          <w:rFonts w:eastAsia="Calibri" w:cs="Times New Roman"/>
        </w:rPr>
        <w:t>De tal circunstancia</w:t>
      </w:r>
      <w:r w:rsidRPr="00854A8C">
        <w:rPr>
          <w:rFonts w:eastAsia="Calibri" w:cs="Tahoma"/>
          <w:bCs/>
          <w:iCs/>
        </w:rPr>
        <w:t xml:space="preserve">, se logra colegir que el Sujeto Obligado cumplió con el procedimiento de búsqueda </w:t>
      </w:r>
      <w:r w:rsidRPr="00854A8C">
        <w:rPr>
          <w:rFonts w:eastAsia="Calibri" w:cs="Tahoma"/>
          <w:color w:val="000000"/>
          <w:szCs w:val="24"/>
          <w:lang w:val="es-ES" w:eastAsia="es-MX"/>
        </w:rPr>
        <w:t>establecido en el artículo 162 de la Ley de Transparencia y Acceso a la Información Pública del Estado de México y Muni</w:t>
      </w:r>
      <w:r w:rsidR="00F22BD5">
        <w:rPr>
          <w:rFonts w:eastAsia="Calibri" w:cs="Tahoma"/>
          <w:color w:val="000000"/>
          <w:szCs w:val="24"/>
          <w:lang w:val="es-ES" w:eastAsia="es-MX"/>
        </w:rPr>
        <w:t>cipios, pues el Ayuntamiento turnó</w:t>
      </w:r>
      <w:r w:rsidRPr="00854A8C">
        <w:rPr>
          <w:rFonts w:eastAsia="Calibri" w:cs="Tahoma"/>
          <w:color w:val="000000"/>
          <w:szCs w:val="24"/>
          <w:lang w:val="es-ES" w:eastAsia="es-MX"/>
        </w:rPr>
        <w:t xml:space="preserve"> la</w:t>
      </w:r>
      <w:r w:rsidR="00F22BD5">
        <w:rPr>
          <w:rFonts w:eastAsia="Calibri" w:cs="Tahoma"/>
          <w:color w:val="000000"/>
          <w:szCs w:val="24"/>
          <w:lang w:val="es-ES" w:eastAsia="es-MX"/>
        </w:rPr>
        <w:t>s</w:t>
      </w:r>
      <w:r w:rsidRPr="00854A8C">
        <w:rPr>
          <w:rFonts w:eastAsia="Calibri" w:cs="Tahoma"/>
          <w:color w:val="000000"/>
          <w:szCs w:val="24"/>
          <w:lang w:val="es-ES" w:eastAsia="es-MX"/>
        </w:rPr>
        <w:t xml:space="preserve"> solicitud</w:t>
      </w:r>
      <w:r w:rsidR="00F22BD5">
        <w:rPr>
          <w:rFonts w:eastAsia="Calibri" w:cs="Tahoma"/>
          <w:color w:val="000000"/>
          <w:szCs w:val="24"/>
          <w:lang w:val="es-ES" w:eastAsia="es-MX"/>
        </w:rPr>
        <w:t xml:space="preserve">es </w:t>
      </w:r>
      <w:r>
        <w:rPr>
          <w:rFonts w:eastAsia="Calibri" w:cs="Tahoma"/>
          <w:color w:val="000000"/>
          <w:szCs w:val="24"/>
          <w:lang w:val="es-ES" w:eastAsia="es-MX"/>
        </w:rPr>
        <w:t xml:space="preserve">de información a </w:t>
      </w:r>
      <w:r w:rsidRPr="00854A8C">
        <w:rPr>
          <w:rFonts w:eastAsia="Calibri" w:cs="Tahoma"/>
          <w:color w:val="000000"/>
          <w:szCs w:val="24"/>
          <w:lang w:val="es-ES" w:eastAsia="es-MX"/>
        </w:rPr>
        <w:t xml:space="preserve">la </w:t>
      </w:r>
      <w:r w:rsidR="00F22BD5">
        <w:rPr>
          <w:rFonts w:eastAsia="Calibri" w:cs="Times New Roman"/>
          <w:iCs/>
        </w:rPr>
        <w:t>Dirección</w:t>
      </w:r>
      <w:r w:rsidR="00F22BD5" w:rsidRPr="00854A8C">
        <w:rPr>
          <w:rFonts w:eastAsia="Calibri" w:cs="Times New Roman"/>
          <w:iCs/>
        </w:rPr>
        <w:t xml:space="preserve"> de </w:t>
      </w:r>
      <w:r w:rsidR="00F22BD5">
        <w:rPr>
          <w:rFonts w:eastAsia="Calibri" w:cs="Times New Roman"/>
          <w:iCs/>
        </w:rPr>
        <w:t>Administración y a la Dirección de Servicios Públicos</w:t>
      </w:r>
      <w:r>
        <w:rPr>
          <w:rFonts w:eastAsia="Calibri" w:cs="Tahoma"/>
          <w:color w:val="000000"/>
          <w:szCs w:val="24"/>
          <w:lang w:val="es-ES" w:eastAsia="es-MX"/>
        </w:rPr>
        <w:t>, encargada</w:t>
      </w:r>
      <w:r w:rsidR="00F22BD5">
        <w:rPr>
          <w:rFonts w:eastAsia="Calibri" w:cs="Tahoma"/>
          <w:color w:val="000000"/>
          <w:szCs w:val="24"/>
          <w:lang w:val="es-ES" w:eastAsia="es-MX"/>
        </w:rPr>
        <w:t>s</w:t>
      </w:r>
      <w:r>
        <w:rPr>
          <w:rFonts w:eastAsia="Calibri" w:cs="Tahoma"/>
          <w:color w:val="000000"/>
          <w:szCs w:val="24"/>
          <w:lang w:val="es-ES" w:eastAsia="es-MX"/>
        </w:rPr>
        <w:t xml:space="preserve"> de </w:t>
      </w:r>
      <w:r w:rsidR="00F22BD5">
        <w:rPr>
          <w:rFonts w:eastAsia="Calibri" w:cs="Tahoma"/>
          <w:color w:val="000000"/>
          <w:szCs w:val="24"/>
          <w:lang w:val="es-ES" w:eastAsia="es-MX"/>
        </w:rPr>
        <w:t>llevar el control de los procesos adquisitivos y de la prestación de servicios públicos en el municipio</w:t>
      </w:r>
      <w:r w:rsidR="00180B63">
        <w:rPr>
          <w:rFonts w:eastAsia="Calibri" w:cs="Tahoma"/>
          <w:color w:val="000000"/>
          <w:szCs w:val="24"/>
          <w:lang w:val="es-ES" w:eastAsia="es-MX"/>
        </w:rPr>
        <w:t>; por lo que, se procede analizar la información proporcionada para cada punto solicitado.</w:t>
      </w:r>
    </w:p>
    <w:p w14:paraId="6F4B76CA" w14:textId="77777777" w:rsidR="00180B63" w:rsidRDefault="00180B63" w:rsidP="00C03631">
      <w:pPr>
        <w:spacing w:after="0" w:line="360" w:lineRule="auto"/>
        <w:contextualSpacing/>
        <w:rPr>
          <w:rFonts w:eastAsia="Calibri" w:cs="Tahoma"/>
          <w:color w:val="000000"/>
          <w:szCs w:val="24"/>
          <w:lang w:val="es-ES" w:eastAsia="es-MX"/>
        </w:rPr>
      </w:pPr>
    </w:p>
    <w:p w14:paraId="05048ADF" w14:textId="7DBE39C2" w:rsidR="00180B63" w:rsidRPr="00180B63" w:rsidRDefault="00180B63" w:rsidP="00C03631">
      <w:pPr>
        <w:spacing w:after="0" w:line="360" w:lineRule="auto"/>
        <w:contextualSpacing/>
        <w:rPr>
          <w:rFonts w:eastAsia="Calibri" w:cs="Tahoma"/>
          <w:b/>
          <w:bCs/>
          <w:color w:val="000000"/>
          <w:szCs w:val="24"/>
          <w:lang w:val="es-ES" w:eastAsia="es-MX"/>
        </w:rPr>
      </w:pPr>
      <w:r w:rsidRPr="00180B63">
        <w:rPr>
          <w:rFonts w:eastAsia="Calibri" w:cs="Tahoma"/>
          <w:b/>
          <w:bCs/>
          <w:color w:val="000000"/>
          <w:szCs w:val="24"/>
          <w:lang w:val="es-ES" w:eastAsia="es-MX"/>
        </w:rPr>
        <w:t>Adquisición de Luminarias</w:t>
      </w:r>
    </w:p>
    <w:p w14:paraId="687E1EFA" w14:textId="77777777" w:rsidR="00306B1A" w:rsidRPr="00854A8C" w:rsidRDefault="00306B1A" w:rsidP="00C03631">
      <w:pPr>
        <w:spacing w:after="0" w:line="360" w:lineRule="auto"/>
        <w:contextualSpacing/>
        <w:rPr>
          <w:rFonts w:eastAsia="Calibri" w:cs="Tahoma"/>
          <w:bCs/>
        </w:rPr>
      </w:pPr>
    </w:p>
    <w:p w14:paraId="258FB979" w14:textId="2632F60E" w:rsidR="00180B63" w:rsidRPr="000E4150" w:rsidRDefault="00180B63" w:rsidP="00C03631">
      <w:pPr>
        <w:spacing w:after="0" w:line="360" w:lineRule="auto"/>
        <w:contextualSpacing/>
        <w:rPr>
          <w:rFonts w:eastAsia="Calibri" w:cs="Tahoma"/>
          <w:bCs/>
          <w:iCs/>
          <w:color w:val="000000"/>
          <w:lang w:eastAsia="es-MX"/>
        </w:rPr>
      </w:pPr>
      <w:r>
        <w:rPr>
          <w:rFonts w:cs="Tahoma"/>
          <w:lang w:val="es-ES"/>
        </w:rPr>
        <w:t>Al respecto</w:t>
      </w:r>
      <w:r w:rsidR="002C129B">
        <w:rPr>
          <w:rFonts w:cs="Tahoma"/>
          <w:lang w:val="es-ES"/>
        </w:rPr>
        <w:t>, la Dirección de Administración</w:t>
      </w:r>
      <w:r>
        <w:rPr>
          <w:rFonts w:cs="Tahoma"/>
          <w:lang w:val="es-ES"/>
        </w:rPr>
        <w:t>, tanto en respuesta, como Informe Justificado,</w:t>
      </w:r>
      <w:r w:rsidR="002C129B">
        <w:rPr>
          <w:rFonts w:cs="Tahoma"/>
          <w:lang w:val="es-ES"/>
        </w:rPr>
        <w:t xml:space="preserve"> indicó que podía acceder a la información a través </w:t>
      </w:r>
      <w:r>
        <w:rPr>
          <w:rFonts w:cs="Tahoma"/>
          <w:lang w:val="es-ES"/>
        </w:rPr>
        <w:t>un enlace el cual se encuentra en formato cerrado</w:t>
      </w:r>
      <w:r w:rsidRPr="000E4150">
        <w:rPr>
          <w:rFonts w:cs="Tahoma"/>
          <w:bCs/>
          <w:iCs/>
        </w:rPr>
        <w:t>,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15CB153A" w14:textId="77777777" w:rsidR="00180B63" w:rsidRPr="000E4150" w:rsidRDefault="00180B63" w:rsidP="00C03631">
      <w:pPr>
        <w:spacing w:after="0" w:line="360" w:lineRule="auto"/>
        <w:contextualSpacing/>
        <w:rPr>
          <w:rFonts w:cs="Tahoma"/>
          <w:bCs/>
          <w:iCs/>
        </w:rPr>
      </w:pPr>
    </w:p>
    <w:p w14:paraId="2AFA0360" w14:textId="77777777" w:rsidR="00180B63" w:rsidRPr="000E4150" w:rsidRDefault="00180B63" w:rsidP="00C03631">
      <w:pPr>
        <w:spacing w:after="0" w:line="360" w:lineRule="auto"/>
        <w:contextualSpacing/>
        <w:rPr>
          <w:rFonts w:cs="Tahoma"/>
          <w:bCs/>
          <w:iCs/>
        </w:rPr>
      </w:pPr>
      <w:r w:rsidRPr="000E4150">
        <w:rPr>
          <w:rFonts w:cs="Tahoma"/>
          <w:bCs/>
          <w:iCs/>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4604148" w14:textId="77777777" w:rsidR="00180B63" w:rsidRPr="000E4150" w:rsidRDefault="00180B63" w:rsidP="00C03631">
      <w:pPr>
        <w:spacing w:after="0" w:line="360" w:lineRule="auto"/>
        <w:contextualSpacing/>
        <w:rPr>
          <w:rFonts w:cs="Tahoma"/>
          <w:bCs/>
          <w:iCs/>
        </w:rPr>
      </w:pPr>
    </w:p>
    <w:p w14:paraId="0BB544F8" w14:textId="77777777" w:rsidR="00180B63" w:rsidRPr="000E4150" w:rsidRDefault="00180B63" w:rsidP="00C03631">
      <w:pPr>
        <w:spacing w:after="0" w:line="360" w:lineRule="auto"/>
        <w:contextualSpacing/>
        <w:rPr>
          <w:rFonts w:cs="Tahoma"/>
          <w:bCs/>
          <w:iCs/>
        </w:rPr>
      </w:pPr>
      <w:r w:rsidRPr="000E4150">
        <w:rPr>
          <w:rFonts w:cs="Tahoma"/>
          <w:bCs/>
          <w:iCs/>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423A174" w14:textId="77777777" w:rsidR="00180B63" w:rsidRPr="000E4150" w:rsidRDefault="00180B63" w:rsidP="00C03631">
      <w:pPr>
        <w:spacing w:after="0" w:line="360" w:lineRule="auto"/>
        <w:contextualSpacing/>
        <w:rPr>
          <w:rFonts w:cs="Tahoma"/>
          <w:bCs/>
          <w:iCs/>
        </w:rPr>
      </w:pPr>
    </w:p>
    <w:p w14:paraId="25F5C44C" w14:textId="77777777" w:rsidR="00180B63" w:rsidRPr="00180B63" w:rsidRDefault="00180B63" w:rsidP="00C03631">
      <w:pPr>
        <w:pStyle w:val="Prrafodelista"/>
        <w:numPr>
          <w:ilvl w:val="0"/>
          <w:numId w:val="22"/>
        </w:numPr>
        <w:spacing w:line="360" w:lineRule="auto"/>
        <w:jc w:val="both"/>
        <w:rPr>
          <w:rFonts w:ascii="Palatino Linotype" w:hAnsi="Palatino Linotype" w:cs="Tahoma"/>
          <w:b/>
          <w:iCs/>
        </w:rPr>
      </w:pPr>
      <w:r w:rsidRPr="00180B63">
        <w:rPr>
          <w:rFonts w:ascii="Palatino Linotype" w:hAnsi="Palatino Linotype" w:cs="Tahoma"/>
          <w:b/>
          <w:iCs/>
        </w:rPr>
        <w:t xml:space="preserve">Dato abierto: </w:t>
      </w:r>
      <w:r w:rsidRPr="00180B63">
        <w:rPr>
          <w:rFonts w:ascii="Palatino Linotype" w:hAnsi="Palatino Linotype" w:cs="Tahoma"/>
          <w:bCs/>
          <w:iCs/>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0785353" w14:textId="77777777" w:rsidR="00180B63" w:rsidRPr="00180B63" w:rsidRDefault="00180B63" w:rsidP="00C03631">
      <w:pPr>
        <w:pStyle w:val="Prrafodelista"/>
        <w:spacing w:line="360" w:lineRule="auto"/>
        <w:rPr>
          <w:rFonts w:ascii="Palatino Linotype" w:hAnsi="Palatino Linotype" w:cs="Tahoma"/>
          <w:b/>
          <w:iCs/>
        </w:rPr>
      </w:pPr>
    </w:p>
    <w:p w14:paraId="03218E71" w14:textId="77777777" w:rsidR="00180B63" w:rsidRPr="00180B63" w:rsidRDefault="00180B63" w:rsidP="00C03631">
      <w:pPr>
        <w:pStyle w:val="Prrafodelista"/>
        <w:numPr>
          <w:ilvl w:val="0"/>
          <w:numId w:val="22"/>
        </w:numPr>
        <w:spacing w:line="360" w:lineRule="auto"/>
        <w:jc w:val="both"/>
        <w:rPr>
          <w:rFonts w:ascii="Palatino Linotype" w:hAnsi="Palatino Linotype" w:cs="Tahoma"/>
          <w:b/>
          <w:iCs/>
        </w:rPr>
      </w:pPr>
      <w:r w:rsidRPr="00180B63">
        <w:rPr>
          <w:rFonts w:ascii="Palatino Linotype" w:hAnsi="Palatino Linotype" w:cs="Tahoma"/>
          <w:b/>
          <w:iCs/>
        </w:rPr>
        <w:t xml:space="preserve">Formato accesible: </w:t>
      </w:r>
      <w:r w:rsidRPr="00180B63">
        <w:rPr>
          <w:rFonts w:ascii="Palatino Linotype" w:hAnsi="Palatino Linotype" w:cs="Tahoma"/>
          <w:bCs/>
          <w:iCs/>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9623F1F" w14:textId="77777777" w:rsidR="00180B63" w:rsidRPr="000E4150" w:rsidRDefault="00180B63" w:rsidP="00C03631">
      <w:pPr>
        <w:spacing w:after="0" w:line="360" w:lineRule="auto"/>
        <w:contextualSpacing/>
        <w:rPr>
          <w:rFonts w:cs="Tahoma"/>
          <w:bCs/>
          <w:iCs/>
        </w:rPr>
      </w:pPr>
    </w:p>
    <w:p w14:paraId="091C5957" w14:textId="77777777" w:rsidR="00180B63" w:rsidRPr="000E4150" w:rsidRDefault="00180B63" w:rsidP="00C03631">
      <w:pPr>
        <w:spacing w:after="0" w:line="360" w:lineRule="auto"/>
        <w:contextualSpacing/>
        <w:rPr>
          <w:rFonts w:cs="Tahoma"/>
          <w:bCs/>
          <w:iCs/>
        </w:rPr>
      </w:pPr>
      <w:r w:rsidRPr="000E4150">
        <w:rPr>
          <w:rFonts w:cs="Tahoma"/>
          <w:bCs/>
          <w:iCs/>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1F9C1741" w14:textId="77777777" w:rsidR="00180B63" w:rsidRPr="000E4150" w:rsidRDefault="00180B63" w:rsidP="00C03631">
      <w:pPr>
        <w:spacing w:after="0" w:line="360" w:lineRule="auto"/>
        <w:contextualSpacing/>
        <w:rPr>
          <w:rFonts w:cs="Tahoma"/>
          <w:bCs/>
          <w:iCs/>
        </w:rPr>
      </w:pPr>
    </w:p>
    <w:p w14:paraId="4234D861" w14:textId="77777777" w:rsidR="00180B63" w:rsidRPr="000E4150" w:rsidRDefault="00180B63" w:rsidP="00C03631">
      <w:pPr>
        <w:tabs>
          <w:tab w:val="left" w:pos="4962"/>
        </w:tabs>
        <w:spacing w:after="0" w:line="360" w:lineRule="auto"/>
        <w:contextualSpacing/>
        <w:rPr>
          <w:rFonts w:eastAsia="Calibri" w:cs="Tahoma"/>
          <w:bCs/>
        </w:rPr>
      </w:pPr>
      <w:r w:rsidRPr="000E4150">
        <w:rPr>
          <w:rFonts w:eastAsia="Calibri" w:cs="Tahoma"/>
          <w:bCs/>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93A9C01" w14:textId="1E467285" w:rsidR="00180B63" w:rsidRPr="000E4150" w:rsidRDefault="00180B63" w:rsidP="00C03631">
      <w:pPr>
        <w:widowControl w:val="0"/>
        <w:tabs>
          <w:tab w:val="center" w:pos="4522"/>
        </w:tabs>
        <w:spacing w:after="0" w:line="360" w:lineRule="auto"/>
        <w:contextualSpacing/>
        <w:rPr>
          <w:rFonts w:eastAsia="Calibri" w:cs="Tahoma"/>
          <w:b/>
          <w:lang w:val="es-ES"/>
        </w:rPr>
      </w:pPr>
      <w:r w:rsidRPr="000E4150">
        <w:rPr>
          <w:rFonts w:eastAsia="Calibri" w:cs="Tahoma"/>
          <w:bCs/>
          <w:lang w:val="es-ES"/>
        </w:rPr>
        <w:lastRenderedPageBreak/>
        <w:t xml:space="preserve">Como se logra observar, el Sujeto Obligado si bien señaló </w:t>
      </w:r>
      <w:r>
        <w:rPr>
          <w:rFonts w:eastAsia="Calibri" w:cs="Tahoma"/>
          <w:bCs/>
          <w:lang w:val="es-ES"/>
        </w:rPr>
        <w:t>una liga</w:t>
      </w:r>
      <w:r w:rsidRPr="000E4150">
        <w:rPr>
          <w:rFonts w:eastAsia="Calibri" w:cs="Tahoma"/>
          <w:bCs/>
          <w:lang w:val="es-ES"/>
        </w:rPr>
        <w:t xml:space="preserve">, omitió proporcionarla en formato abierto, lo cual implica la dificultad de acceder a la misma, pues se traduce </w:t>
      </w:r>
      <w:r w:rsidRPr="000E4150">
        <w:rPr>
          <w:rFonts w:cs="Tahoma"/>
          <w:bCs/>
          <w:iCs/>
        </w:rPr>
        <w:t xml:space="preserve">al hecho de que el Particular tendría que colocar cada dígito alfanumérico, y cuya equivocación implicaría no acceder a la información contenida en las mismas, por lo que, se considera que no se atendió </w:t>
      </w:r>
      <w:r w:rsidRPr="000E4150">
        <w:rPr>
          <w:rFonts w:eastAsia="Calibri" w:cs="Tahoma"/>
          <w:bCs/>
          <w:lang w:val="es-ES"/>
        </w:rPr>
        <w:t>lo establecido en el artículo 161 de la Ley de Transparencia y Acceso a la Información Pública del Estado de México y Municipios, por lo que, no se puede validar la respuesta.</w:t>
      </w:r>
    </w:p>
    <w:p w14:paraId="487F914E" w14:textId="77777777" w:rsidR="00180B63" w:rsidRPr="000E4150" w:rsidRDefault="00180B63" w:rsidP="00C03631">
      <w:pPr>
        <w:spacing w:after="0" w:line="360" w:lineRule="auto"/>
        <w:contextualSpacing/>
        <w:rPr>
          <w:rFonts w:eastAsia="Times New Roman" w:cs="Tahoma"/>
          <w:bCs/>
          <w:iCs/>
          <w:color w:val="auto"/>
          <w:lang w:val="es-ES" w:eastAsia="es-ES"/>
        </w:rPr>
      </w:pPr>
    </w:p>
    <w:p w14:paraId="60F63560" w14:textId="4234D401" w:rsidR="00180B63" w:rsidRDefault="00180B63" w:rsidP="00C03631">
      <w:pPr>
        <w:spacing w:after="0" w:line="360" w:lineRule="auto"/>
        <w:ind w:right="-93"/>
        <w:contextualSpacing/>
        <w:rPr>
          <w:rFonts w:eastAsia="Times New Roman" w:cs="Tahoma"/>
          <w:bCs/>
          <w:iCs/>
          <w:color w:val="auto"/>
          <w:lang w:val="es-ES" w:eastAsia="es-ES"/>
        </w:rPr>
      </w:pPr>
      <w:r w:rsidRPr="000E4150">
        <w:rPr>
          <w:rFonts w:eastAsia="Times New Roman" w:cs="Tahoma"/>
          <w:bCs/>
          <w:iCs/>
          <w:color w:val="auto"/>
          <w:lang w:val="es-ES" w:eastAsia="es-ES"/>
        </w:rPr>
        <w:t xml:space="preserve">Lo anterior, se robustece con la revisión </w:t>
      </w:r>
      <w:r>
        <w:rPr>
          <w:rFonts w:eastAsia="Times New Roman" w:cs="Tahoma"/>
          <w:bCs/>
          <w:iCs/>
          <w:color w:val="auto"/>
          <w:lang w:val="es-ES" w:eastAsia="es-ES"/>
        </w:rPr>
        <w:t>del procedimiento señalado por la Dirección de Administración</w:t>
      </w:r>
      <w:r w:rsidRPr="000E4150">
        <w:rPr>
          <w:rFonts w:eastAsia="Times New Roman" w:cs="Tahoma"/>
          <w:bCs/>
          <w:iCs/>
          <w:color w:val="auto"/>
          <w:lang w:val="es-ES" w:eastAsia="es-ES"/>
        </w:rPr>
        <w:t xml:space="preserve">, </w:t>
      </w:r>
      <w:r>
        <w:rPr>
          <w:rFonts w:eastAsia="Times New Roman" w:cs="Tahoma"/>
          <w:bCs/>
          <w:iCs/>
          <w:color w:val="auto"/>
          <w:lang w:val="es-ES" w:eastAsia="es-ES"/>
        </w:rPr>
        <w:t xml:space="preserve">pues de su realización se logra vislumbrar que remite al registro de los procedimientos de adjudicación, sin dar acceso específico </w:t>
      </w:r>
      <w:r w:rsidR="00423720">
        <w:rPr>
          <w:rFonts w:eastAsia="Times New Roman" w:cs="Tahoma"/>
          <w:bCs/>
          <w:iCs/>
          <w:color w:val="auto"/>
          <w:lang w:val="es-ES" w:eastAsia="es-ES"/>
        </w:rPr>
        <w:t>a los procedimientos específicos, tal como se muestra en el siguiente ejemplo:</w:t>
      </w:r>
    </w:p>
    <w:p w14:paraId="04DD4FCA" w14:textId="77777777" w:rsidR="00423720" w:rsidRDefault="00423720" w:rsidP="00C03631">
      <w:pPr>
        <w:spacing w:after="0" w:line="360" w:lineRule="auto"/>
        <w:ind w:right="-93"/>
        <w:contextualSpacing/>
        <w:rPr>
          <w:rFonts w:eastAsia="Times New Roman" w:cs="Tahoma"/>
          <w:bCs/>
          <w:iCs/>
          <w:color w:val="auto"/>
          <w:lang w:val="es-ES" w:eastAsia="es-ES"/>
        </w:rPr>
      </w:pPr>
    </w:p>
    <w:p w14:paraId="02A9D1D6" w14:textId="0F7701C6" w:rsidR="00423720" w:rsidRPr="000E4150" w:rsidRDefault="00423720" w:rsidP="00C03631">
      <w:pPr>
        <w:spacing w:after="0" w:line="360" w:lineRule="auto"/>
        <w:ind w:right="-93"/>
        <w:contextualSpacing/>
        <w:jc w:val="center"/>
        <w:rPr>
          <w:rFonts w:eastAsia="Times New Roman" w:cs="Tahoma"/>
          <w:bCs/>
          <w:iCs/>
          <w:color w:val="auto"/>
          <w:lang w:val="es-ES" w:eastAsia="es-ES"/>
        </w:rPr>
      </w:pPr>
      <w:r w:rsidRPr="00423720">
        <w:rPr>
          <w:rFonts w:eastAsia="Times New Roman" w:cs="Tahoma"/>
          <w:bCs/>
          <w:iCs/>
          <w:noProof/>
          <w:color w:val="auto"/>
          <w:lang w:eastAsia="es-MX"/>
        </w:rPr>
        <w:drawing>
          <wp:inline distT="0" distB="0" distL="0" distR="0" wp14:anchorId="638BBEE0" wp14:editId="4B657EFC">
            <wp:extent cx="3962400" cy="2244052"/>
            <wp:effectExtent l="0" t="0" r="0" b="4445"/>
            <wp:docPr id="6029423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42393" name=""/>
                    <pic:cNvPicPr/>
                  </pic:nvPicPr>
                  <pic:blipFill>
                    <a:blip r:embed="rId15"/>
                    <a:stretch>
                      <a:fillRect/>
                    </a:stretch>
                  </pic:blipFill>
                  <pic:spPr>
                    <a:xfrm>
                      <a:off x="0" y="0"/>
                      <a:ext cx="3966280" cy="2246250"/>
                    </a:xfrm>
                    <a:prstGeom prst="rect">
                      <a:avLst/>
                    </a:prstGeom>
                  </pic:spPr>
                </pic:pic>
              </a:graphicData>
            </a:graphic>
          </wp:inline>
        </w:drawing>
      </w:r>
    </w:p>
    <w:p w14:paraId="7B1AFBDB" w14:textId="77777777" w:rsidR="00180B63" w:rsidRDefault="00180B63" w:rsidP="00C03631">
      <w:pPr>
        <w:spacing w:after="0" w:line="360" w:lineRule="auto"/>
        <w:contextualSpacing/>
        <w:rPr>
          <w:rFonts w:cs="Tahoma"/>
          <w:lang w:val="es-ES"/>
        </w:rPr>
      </w:pPr>
    </w:p>
    <w:p w14:paraId="7EC913EF" w14:textId="3C9B0ADD" w:rsidR="002C129B" w:rsidRDefault="00423720" w:rsidP="00C03631">
      <w:pPr>
        <w:spacing w:after="0" w:line="360" w:lineRule="auto"/>
        <w:contextualSpacing/>
        <w:rPr>
          <w:rFonts w:cs="Tahoma"/>
          <w:lang w:val="es-ES"/>
        </w:rPr>
      </w:pPr>
      <w:r>
        <w:rPr>
          <w:rFonts w:cs="Tahoma"/>
          <w:lang w:val="es-ES"/>
        </w:rPr>
        <w:t xml:space="preserve">Ahora bien, la Dirección de Servicios Públicos refirió que no contaba con atribuciones para conocer de la información solicitada; sobre el tema, es necesario señalar que si bien la Dirección de Administración es la encarga de realizar los procedimientos de adjudicación, lo cierto es que la otra unidad administrativa, es el área usuaria, es decir, es el área que solicita y recibe las </w:t>
      </w:r>
      <w:r>
        <w:rPr>
          <w:rFonts w:cs="Tahoma"/>
          <w:lang w:val="es-ES"/>
        </w:rPr>
        <w:lastRenderedPageBreak/>
        <w:t>luminarias para su instalación, tan es así, que participa en la suscripción de los contratos, tal como se muestra a continuación:</w:t>
      </w:r>
    </w:p>
    <w:p w14:paraId="4E24E125" w14:textId="77777777" w:rsidR="00423720" w:rsidRDefault="00423720" w:rsidP="00C03631">
      <w:pPr>
        <w:spacing w:after="0" w:line="360" w:lineRule="auto"/>
        <w:contextualSpacing/>
        <w:rPr>
          <w:rFonts w:cs="Tahoma"/>
          <w:lang w:val="es-ES"/>
        </w:rPr>
      </w:pPr>
    </w:p>
    <w:p w14:paraId="1EC2023F" w14:textId="6D11DC4C" w:rsidR="00423720" w:rsidRDefault="00B14A3C" w:rsidP="00C03631">
      <w:pPr>
        <w:spacing w:after="0" w:line="360" w:lineRule="auto"/>
        <w:contextualSpacing/>
        <w:jc w:val="center"/>
        <w:rPr>
          <w:rFonts w:cs="Tahoma"/>
          <w:lang w:val="es-ES"/>
        </w:rPr>
      </w:pPr>
      <w:r w:rsidRPr="00B14A3C">
        <w:rPr>
          <w:rFonts w:cs="Tahoma"/>
          <w:noProof/>
          <w:lang w:eastAsia="es-MX"/>
        </w:rPr>
        <w:drawing>
          <wp:inline distT="0" distB="0" distL="0" distR="0" wp14:anchorId="613D3775" wp14:editId="0857D616">
            <wp:extent cx="4848225" cy="2436418"/>
            <wp:effectExtent l="0" t="0" r="0" b="2540"/>
            <wp:docPr id="688840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40925" name=""/>
                    <pic:cNvPicPr/>
                  </pic:nvPicPr>
                  <pic:blipFill>
                    <a:blip r:embed="rId16"/>
                    <a:stretch>
                      <a:fillRect/>
                    </a:stretch>
                  </pic:blipFill>
                  <pic:spPr>
                    <a:xfrm>
                      <a:off x="0" y="0"/>
                      <a:ext cx="4854735" cy="2439690"/>
                    </a:xfrm>
                    <a:prstGeom prst="rect">
                      <a:avLst/>
                    </a:prstGeom>
                  </pic:spPr>
                </pic:pic>
              </a:graphicData>
            </a:graphic>
          </wp:inline>
        </w:drawing>
      </w:r>
    </w:p>
    <w:p w14:paraId="030EA1C7" w14:textId="0FC555FA" w:rsidR="002C129B" w:rsidRPr="00854A8C" w:rsidRDefault="002C129B" w:rsidP="00C03631">
      <w:pPr>
        <w:spacing w:after="0" w:line="360" w:lineRule="auto"/>
        <w:contextualSpacing/>
        <w:rPr>
          <w:rFonts w:eastAsia="Times New Roman" w:cs="Tahoma"/>
          <w:lang w:eastAsia="es-MX"/>
        </w:rPr>
      </w:pPr>
    </w:p>
    <w:p w14:paraId="6360FCC6" w14:textId="11B458B7" w:rsidR="00306B1A" w:rsidRDefault="00B14A3C" w:rsidP="00C03631">
      <w:pPr>
        <w:spacing w:after="0" w:line="360" w:lineRule="auto"/>
        <w:contextualSpacing/>
        <w:rPr>
          <w:rFonts w:eastAsia="Times New Roman" w:cs="Tahoma"/>
          <w:lang w:eastAsia="es-MX"/>
        </w:rPr>
      </w:pPr>
      <w:r>
        <w:rPr>
          <w:rFonts w:eastAsia="Times New Roman" w:cs="Tahoma"/>
          <w:lang w:eastAsia="es-MX"/>
        </w:rPr>
        <w:t xml:space="preserve">Conforme a lo anterior, este Instituto considera que si bien la Dirección de Servicios Públicos carece de atribuciones para contar con la documentación, lo cierto es que conoce de los procedimientos de adjudicación relacionados con la adquisición de luminarias, por lo que, </w:t>
      </w:r>
      <w:r w:rsidR="000A0890">
        <w:rPr>
          <w:rFonts w:eastAsia="Times New Roman" w:cs="Tahoma"/>
          <w:lang w:eastAsia="es-MX"/>
        </w:rPr>
        <w:t>está</w:t>
      </w:r>
      <w:r>
        <w:rPr>
          <w:rFonts w:eastAsia="Times New Roman" w:cs="Tahoma"/>
          <w:lang w:eastAsia="es-MX"/>
        </w:rPr>
        <w:t xml:space="preserve"> en posibilidades de colaborar con la Dirección de Administración para localizar la información requerida, al identificar la nomenclatura de los procedimientos o contratos, por lo cual, tampoco se puede validad su respuesta.</w:t>
      </w:r>
    </w:p>
    <w:p w14:paraId="441EDBBF" w14:textId="77777777" w:rsidR="00B14A3C" w:rsidRDefault="00B14A3C" w:rsidP="00C03631">
      <w:pPr>
        <w:spacing w:after="0" w:line="360" w:lineRule="auto"/>
        <w:contextualSpacing/>
        <w:rPr>
          <w:rFonts w:eastAsia="Times New Roman" w:cs="Tahoma"/>
          <w:lang w:eastAsia="es-MX"/>
        </w:rPr>
      </w:pPr>
    </w:p>
    <w:p w14:paraId="25A87E2A" w14:textId="3E0FEA55" w:rsidR="00B14A3C" w:rsidRPr="00E40D4A" w:rsidRDefault="00B14A3C" w:rsidP="00C03631">
      <w:pPr>
        <w:spacing w:after="0" w:line="360" w:lineRule="auto"/>
        <w:contextualSpacing/>
      </w:pPr>
      <w:r>
        <w:rPr>
          <w:rFonts w:eastAsia="Times New Roman" w:cs="Tahoma"/>
          <w:lang w:eastAsia="es-MX"/>
        </w:rPr>
        <w:t xml:space="preserve">Así, se advierte que el agravio del Particular resulta </w:t>
      </w:r>
      <w:r>
        <w:rPr>
          <w:rFonts w:eastAsia="Times New Roman" w:cs="Tahoma"/>
          <w:b/>
          <w:bCs/>
          <w:lang w:eastAsia="es-MX"/>
        </w:rPr>
        <w:t>FUNDADO</w:t>
      </w:r>
      <w:r>
        <w:rPr>
          <w:rFonts w:eastAsia="Times New Roman" w:cs="Tahoma"/>
          <w:lang w:eastAsia="es-MX"/>
        </w:rPr>
        <w:t xml:space="preserve">, por lo que, para atender el requerimiento de información, el Sujeto Obligado deberá </w:t>
      </w:r>
      <w:r>
        <w:rPr>
          <w:rFonts w:cs="Tahoma"/>
          <w:bCs/>
          <w:iCs/>
        </w:rPr>
        <w:t xml:space="preserve">realizar una búsqueda exhaustiva y razonable a efecto de que proporcione </w:t>
      </w:r>
      <w:r>
        <w:rPr>
          <w:rFonts w:eastAsia="Calibri" w:cs="Tahoma"/>
          <w:bCs/>
          <w:lang w:val="es-ES"/>
        </w:rPr>
        <w:t>los expedientes de los procedimientos adjudicación (licitación, invitación o adjudicación directa) por medio de los cuales se adquirieron luminarias, del primero de abril de dos mil veintitrés al primero de abril de dos mil veinticuatro; dicha</w:t>
      </w:r>
      <w:r w:rsidRPr="001F5E0D">
        <w:rPr>
          <w:rFonts w:eastAsia="Calibri" w:cs="Tahoma"/>
          <w:bCs/>
        </w:rPr>
        <w:t xml:space="preserve"> </w:t>
      </w:r>
      <w:r w:rsidRPr="001F5E0D">
        <w:rPr>
          <w:rFonts w:eastAsia="Calibri" w:cs="Tahoma"/>
          <w:lang w:val="es-ES" w:eastAsia="es-ES"/>
        </w:rPr>
        <w:t xml:space="preserve">determinación toma sustento, en el artículo 12 de la Ley de Transparencia y Acceso a la Información Pública del Estado de México y Municipios, los sujetos obligados sólo están </w:t>
      </w:r>
      <w:r w:rsidRPr="001F5E0D">
        <w:rPr>
          <w:rFonts w:eastAsia="Calibri" w:cs="Tahoma"/>
          <w:lang w:val="es-ES" w:eastAsia="es-ES"/>
        </w:rPr>
        <w:lastRenderedPageBreak/>
        <w:t>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BFCE720" w14:textId="77777777" w:rsidR="00B14A3C" w:rsidRPr="001F5E0D" w:rsidRDefault="00B14A3C" w:rsidP="00C03631">
      <w:pPr>
        <w:spacing w:after="0" w:line="360" w:lineRule="auto"/>
        <w:contextualSpacing/>
        <w:rPr>
          <w:rFonts w:eastAsia="Calibri" w:cs="Tahoma"/>
          <w:lang w:val="es-ES" w:eastAsia="es-ES"/>
        </w:rPr>
      </w:pPr>
    </w:p>
    <w:p w14:paraId="403B969C" w14:textId="77777777" w:rsidR="00B14A3C" w:rsidRDefault="00B14A3C" w:rsidP="00C03631">
      <w:pPr>
        <w:spacing w:after="0" w:line="360" w:lineRule="auto"/>
        <w:contextualSpacing/>
        <w:rPr>
          <w:rFonts w:eastAsia="Calibri" w:cs="Tahoma"/>
          <w:lang w:val="es-ES" w:eastAsia="es-ES"/>
        </w:rPr>
      </w:pPr>
      <w:r w:rsidRPr="001F5E0D">
        <w:rPr>
          <w:rFonts w:eastAsia="Calibri" w:cs="Tahoma"/>
          <w:lang w:val="es-ES"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490DAC4C" w14:textId="77777777" w:rsidR="00B14A3C" w:rsidRDefault="00B14A3C" w:rsidP="00C03631">
      <w:pPr>
        <w:spacing w:after="0" w:line="360" w:lineRule="auto"/>
        <w:contextualSpacing/>
        <w:rPr>
          <w:rFonts w:eastAsia="Calibri" w:cs="Tahoma"/>
          <w:lang w:val="es-ES" w:eastAsia="es-ES"/>
        </w:rPr>
      </w:pPr>
    </w:p>
    <w:p w14:paraId="4BEE14C2" w14:textId="4826770A" w:rsidR="00B14A3C" w:rsidRDefault="00B14A3C" w:rsidP="00C03631">
      <w:pPr>
        <w:spacing w:after="0" w:line="360" w:lineRule="auto"/>
        <w:contextualSpacing/>
        <w:rPr>
          <w:rFonts w:eastAsia="Calibri" w:cs="Tahoma"/>
          <w:lang w:val="es-ES" w:eastAsia="es-ES"/>
        </w:rPr>
      </w:pPr>
      <w:r w:rsidRPr="001F5E0D">
        <w:rPr>
          <w:rFonts w:eastAsia="Calibri" w:cs="Tahoma"/>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w:t>
      </w:r>
      <w:r>
        <w:rPr>
          <w:rFonts w:eastAsia="Calibri" w:cs="Tahoma"/>
          <w:lang w:val="es-ES" w:eastAsia="es-ES"/>
        </w:rPr>
        <w:t xml:space="preserve"> por lo que, en el presente caso, deberá proporcionar la información de la adquisición de Luminarias.</w:t>
      </w:r>
    </w:p>
    <w:p w14:paraId="665A4EF6" w14:textId="77777777" w:rsidR="00B14A3C" w:rsidRDefault="00B14A3C" w:rsidP="00C03631">
      <w:pPr>
        <w:spacing w:after="0" w:line="360" w:lineRule="auto"/>
        <w:contextualSpacing/>
        <w:rPr>
          <w:rFonts w:eastAsia="Calibri" w:cs="Tahoma"/>
          <w:lang w:val="es-ES" w:eastAsia="es-ES"/>
        </w:rPr>
      </w:pPr>
    </w:p>
    <w:p w14:paraId="1C57A78D" w14:textId="6B23CAE5" w:rsidR="00B14A3C" w:rsidRPr="00B14A3C" w:rsidRDefault="00B14A3C" w:rsidP="00C03631">
      <w:pPr>
        <w:spacing w:after="0" w:line="360" w:lineRule="auto"/>
        <w:contextualSpacing/>
        <w:rPr>
          <w:rFonts w:eastAsia="Times New Roman" w:cs="Tahoma"/>
          <w:b/>
          <w:bCs/>
          <w:lang w:eastAsia="es-MX"/>
        </w:rPr>
      </w:pPr>
      <w:r>
        <w:rPr>
          <w:rFonts w:eastAsia="Calibri" w:cs="Tahoma"/>
          <w:b/>
          <w:bCs/>
          <w:lang w:val="es-ES" w:eastAsia="es-ES"/>
        </w:rPr>
        <w:t>Programa “Luces Bicentenario”</w:t>
      </w:r>
    </w:p>
    <w:p w14:paraId="0CA99C7F" w14:textId="77777777" w:rsidR="00B14A3C" w:rsidRDefault="00B14A3C" w:rsidP="00C03631">
      <w:pPr>
        <w:spacing w:after="0" w:line="360" w:lineRule="auto"/>
        <w:contextualSpacing/>
        <w:rPr>
          <w:rFonts w:eastAsia="Times New Roman" w:cs="Tahoma"/>
          <w:lang w:eastAsia="es-MX"/>
        </w:rPr>
      </w:pPr>
    </w:p>
    <w:p w14:paraId="396E5C14" w14:textId="613BB516" w:rsidR="00B14A3C" w:rsidRDefault="00B14A3C" w:rsidP="00C03631">
      <w:pPr>
        <w:spacing w:after="0" w:line="360" w:lineRule="auto"/>
        <w:contextualSpacing/>
        <w:rPr>
          <w:rFonts w:eastAsia="Times New Roman" w:cs="Tahoma"/>
          <w:lang w:eastAsia="es-MX"/>
        </w:rPr>
      </w:pPr>
      <w:r>
        <w:rPr>
          <w:rFonts w:eastAsia="Times New Roman" w:cs="Tahoma"/>
          <w:lang w:eastAsia="es-MX"/>
        </w:rPr>
        <w:t>Sobre dicha situación, la Dirección de Administración, tanto en respuesta, como Informe Justificado, refirió que carecía de competencia para conocer de la información requerida, al ser la Dirección de Servicios Públicos la que conocía del Programa solicitado; situación que este Instituto no puede validar, pues como ya se ha referido en párrafos anteriores, la Dirección de Administración es la que cuenta en sus archivos con la información de los procedimientos de adquisición de luminari</w:t>
      </w:r>
      <w:r w:rsidR="004C4ADB">
        <w:rPr>
          <w:rFonts w:eastAsia="Times New Roman" w:cs="Tahoma"/>
          <w:lang w:eastAsia="es-MX"/>
        </w:rPr>
        <w:t>as.</w:t>
      </w:r>
    </w:p>
    <w:p w14:paraId="0DB170F9" w14:textId="79318D51" w:rsidR="004C4ADB" w:rsidRDefault="004C4ADB" w:rsidP="00C03631">
      <w:pPr>
        <w:spacing w:after="0" w:line="360" w:lineRule="auto"/>
        <w:contextualSpacing/>
        <w:rPr>
          <w:rFonts w:eastAsia="Times New Roman" w:cs="Tahoma"/>
          <w:lang w:eastAsia="es-MX"/>
        </w:rPr>
      </w:pPr>
    </w:p>
    <w:p w14:paraId="1D656AA7" w14:textId="5DF1BF2D" w:rsidR="004C4ADB" w:rsidRDefault="004C4ADB" w:rsidP="00C03631">
      <w:pPr>
        <w:spacing w:after="0" w:line="360" w:lineRule="auto"/>
        <w:contextualSpacing/>
        <w:rPr>
          <w:rFonts w:eastAsia="Times New Roman" w:cs="Tahoma"/>
          <w:lang w:eastAsia="es-MX"/>
        </w:rPr>
      </w:pPr>
      <w:r>
        <w:rPr>
          <w:rFonts w:eastAsia="Times New Roman" w:cs="Tahoma"/>
          <w:lang w:eastAsia="es-MX"/>
        </w:rPr>
        <w:lastRenderedPageBreak/>
        <w:t>Lo anterior, se robustece con el hecho que el o la Titular del Área funge como Presidenta y Secretaria Ejecutiva del Comité de Adquisiciones y Servicios,</w:t>
      </w:r>
      <w:r w:rsidR="002C7BA0">
        <w:rPr>
          <w:rFonts w:eastAsia="Times New Roman" w:cs="Tahoma"/>
          <w:lang w:eastAsia="es-MX"/>
        </w:rPr>
        <w:t xml:space="preserve"> tal como se muestra a continuación:</w:t>
      </w:r>
    </w:p>
    <w:p w14:paraId="1CA1B7EA" w14:textId="77777777" w:rsidR="002C7BA0" w:rsidRDefault="002C7BA0" w:rsidP="00C03631">
      <w:pPr>
        <w:spacing w:after="0" w:line="360" w:lineRule="auto"/>
        <w:contextualSpacing/>
        <w:rPr>
          <w:rFonts w:eastAsia="Times New Roman" w:cs="Tahoma"/>
          <w:lang w:eastAsia="es-MX"/>
        </w:rPr>
      </w:pPr>
    </w:p>
    <w:p w14:paraId="7E5F9EC7" w14:textId="454C0205" w:rsidR="002C7BA0" w:rsidRDefault="002C7BA0" w:rsidP="00C03631">
      <w:pPr>
        <w:spacing w:after="0" w:line="360" w:lineRule="auto"/>
        <w:contextualSpacing/>
        <w:rPr>
          <w:rFonts w:eastAsia="Times New Roman" w:cs="Tahoma"/>
          <w:lang w:eastAsia="es-MX"/>
        </w:rPr>
      </w:pPr>
      <w:r w:rsidRPr="002C7BA0">
        <w:rPr>
          <w:rFonts w:eastAsia="Times New Roman" w:cs="Tahoma"/>
          <w:noProof/>
          <w:lang w:eastAsia="es-MX"/>
        </w:rPr>
        <w:drawing>
          <wp:inline distT="0" distB="0" distL="0" distR="0" wp14:anchorId="0FF6535C" wp14:editId="3296B540">
            <wp:extent cx="5791835" cy="1739900"/>
            <wp:effectExtent l="0" t="0" r="0" b="0"/>
            <wp:docPr id="954247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47271" name=""/>
                    <pic:cNvPicPr/>
                  </pic:nvPicPr>
                  <pic:blipFill>
                    <a:blip r:embed="rId17"/>
                    <a:stretch>
                      <a:fillRect/>
                    </a:stretch>
                  </pic:blipFill>
                  <pic:spPr>
                    <a:xfrm>
                      <a:off x="0" y="0"/>
                      <a:ext cx="5791835" cy="1739900"/>
                    </a:xfrm>
                    <a:prstGeom prst="rect">
                      <a:avLst/>
                    </a:prstGeom>
                  </pic:spPr>
                </pic:pic>
              </a:graphicData>
            </a:graphic>
          </wp:inline>
        </w:drawing>
      </w:r>
    </w:p>
    <w:p w14:paraId="7D9865A0" w14:textId="77777777" w:rsidR="00B14A3C" w:rsidRDefault="00B14A3C" w:rsidP="00C03631">
      <w:pPr>
        <w:spacing w:after="0" w:line="360" w:lineRule="auto"/>
        <w:contextualSpacing/>
        <w:rPr>
          <w:rFonts w:eastAsia="Times New Roman" w:cs="Tahoma"/>
          <w:lang w:eastAsia="es-MX"/>
        </w:rPr>
      </w:pPr>
    </w:p>
    <w:p w14:paraId="00A69406" w14:textId="6FC6BB97" w:rsidR="002C7BA0" w:rsidRDefault="002C7BA0" w:rsidP="00C03631">
      <w:pPr>
        <w:spacing w:after="0" w:line="360" w:lineRule="auto"/>
        <w:contextualSpacing/>
        <w:rPr>
          <w:rFonts w:eastAsia="Times New Roman" w:cs="Tahoma"/>
          <w:lang w:eastAsia="es-MX"/>
        </w:rPr>
      </w:pPr>
      <w:r>
        <w:rPr>
          <w:rFonts w:eastAsia="Times New Roman" w:cs="Tahoma"/>
          <w:lang w:eastAsia="es-MX"/>
        </w:rPr>
        <w:t xml:space="preserve">Además, que dicha área contaba con elementos para identificar los procedimientos de adquisición, pues este Instituto localizó el procedimiento </w:t>
      </w:r>
      <w:r w:rsidRPr="002C7BA0">
        <w:rPr>
          <w:rFonts w:eastAsia="Times New Roman" w:cs="Tahoma"/>
          <w:lang w:eastAsia="es-MX"/>
        </w:rPr>
        <w:t>MEM-DA-DSP-LPNP-RP-002-2020-11</w:t>
      </w:r>
      <w:r>
        <w:rPr>
          <w:rFonts w:eastAsia="Times New Roman" w:cs="Tahoma"/>
          <w:lang w:eastAsia="es-MX"/>
        </w:rPr>
        <w:t>, mediante el cual se adquirieron luminarias para el programa en cuestión, tal como se muestra a continuación:</w:t>
      </w:r>
    </w:p>
    <w:p w14:paraId="3DA8A7AE" w14:textId="77777777" w:rsidR="002C7BA0" w:rsidRDefault="002C7BA0" w:rsidP="00C03631">
      <w:pPr>
        <w:spacing w:after="0" w:line="360" w:lineRule="auto"/>
        <w:contextualSpacing/>
        <w:rPr>
          <w:rFonts w:eastAsia="Times New Roman" w:cs="Tahoma"/>
          <w:lang w:eastAsia="es-MX"/>
        </w:rPr>
      </w:pPr>
    </w:p>
    <w:p w14:paraId="468F8B74" w14:textId="4D59ED4D" w:rsidR="002C7BA0" w:rsidRDefault="002C7BA0" w:rsidP="00C03631">
      <w:pPr>
        <w:spacing w:after="0" w:line="360" w:lineRule="auto"/>
        <w:contextualSpacing/>
        <w:rPr>
          <w:rFonts w:eastAsia="Times New Roman" w:cs="Tahoma"/>
          <w:lang w:eastAsia="es-MX"/>
        </w:rPr>
      </w:pPr>
      <w:r w:rsidRPr="002C7BA0">
        <w:rPr>
          <w:rFonts w:eastAsia="Times New Roman" w:cs="Tahoma"/>
          <w:noProof/>
          <w:lang w:eastAsia="es-MX"/>
        </w:rPr>
        <w:drawing>
          <wp:inline distT="0" distB="0" distL="0" distR="0" wp14:anchorId="0DF18B0D" wp14:editId="45F7F611">
            <wp:extent cx="5334000" cy="865214"/>
            <wp:effectExtent l="0" t="0" r="0" b="0"/>
            <wp:docPr id="1213224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24676" name=""/>
                    <pic:cNvPicPr/>
                  </pic:nvPicPr>
                  <pic:blipFill>
                    <a:blip r:embed="rId18"/>
                    <a:stretch>
                      <a:fillRect/>
                    </a:stretch>
                  </pic:blipFill>
                  <pic:spPr>
                    <a:xfrm>
                      <a:off x="0" y="0"/>
                      <a:ext cx="5345280" cy="867044"/>
                    </a:xfrm>
                    <a:prstGeom prst="rect">
                      <a:avLst/>
                    </a:prstGeom>
                  </pic:spPr>
                </pic:pic>
              </a:graphicData>
            </a:graphic>
          </wp:inline>
        </w:drawing>
      </w:r>
    </w:p>
    <w:p w14:paraId="5E8FDF8E" w14:textId="77777777" w:rsidR="002C7BA0" w:rsidRDefault="002C7BA0" w:rsidP="00C03631">
      <w:pPr>
        <w:spacing w:after="0" w:line="360" w:lineRule="auto"/>
        <w:contextualSpacing/>
        <w:rPr>
          <w:rFonts w:eastAsia="Times New Roman" w:cs="Tahoma"/>
          <w:lang w:eastAsia="es-MX"/>
        </w:rPr>
      </w:pPr>
    </w:p>
    <w:p w14:paraId="3B59BC75" w14:textId="23E10FE4" w:rsidR="00B14A3C" w:rsidRDefault="002C7BA0" w:rsidP="00C03631">
      <w:pPr>
        <w:spacing w:after="0" w:line="360" w:lineRule="auto"/>
        <w:contextualSpacing/>
        <w:rPr>
          <w:rFonts w:eastAsia="Times New Roman" w:cs="Tahoma"/>
          <w:lang w:eastAsia="es-MX"/>
        </w:rPr>
      </w:pPr>
      <w:r>
        <w:rPr>
          <w:rFonts w:eastAsia="Times New Roman" w:cs="Tahoma"/>
          <w:lang w:eastAsia="es-MX"/>
        </w:rPr>
        <w:t xml:space="preserve">Por lo tanto, este Instituto considera que el área en cuestión tiene competencia para conocer de los </w:t>
      </w:r>
      <w:r w:rsidR="00B03DBD" w:rsidRPr="00C008C2">
        <w:rPr>
          <w:rFonts w:eastAsia="Times New Roman" w:cs="Tahoma"/>
          <w:lang w:eastAsia="es-MX"/>
        </w:rPr>
        <w:t>contratos</w:t>
      </w:r>
      <w:r w:rsidR="00B03DBD">
        <w:rPr>
          <w:rFonts w:eastAsia="Times New Roman" w:cs="Tahoma"/>
          <w:lang w:eastAsia="es-MX"/>
        </w:rPr>
        <w:t xml:space="preserve"> </w:t>
      </w:r>
      <w:r>
        <w:rPr>
          <w:rFonts w:eastAsia="Times New Roman" w:cs="Tahoma"/>
          <w:lang w:eastAsia="es-MX"/>
        </w:rPr>
        <w:t>de adquisición de luminarias para el Programa “Luces Bicentenario”, por lo que, no se puede validar su respuesta.</w:t>
      </w:r>
    </w:p>
    <w:p w14:paraId="3153C99C" w14:textId="77777777" w:rsidR="00A17E0F" w:rsidRPr="00B14A3C" w:rsidRDefault="00A17E0F" w:rsidP="00C03631">
      <w:pPr>
        <w:spacing w:after="0" w:line="360" w:lineRule="auto"/>
        <w:contextualSpacing/>
        <w:rPr>
          <w:rFonts w:eastAsia="Times New Roman" w:cs="Tahoma"/>
          <w:lang w:eastAsia="es-MX"/>
        </w:rPr>
      </w:pPr>
    </w:p>
    <w:p w14:paraId="24C32E0D" w14:textId="1B051D27" w:rsidR="00A17E0F" w:rsidRDefault="002C7BA0" w:rsidP="00C03631">
      <w:pPr>
        <w:spacing w:after="0" w:line="360" w:lineRule="auto"/>
        <w:contextualSpacing/>
        <w:rPr>
          <w:rFonts w:eastAsia="Times New Roman" w:cs="Tahoma"/>
          <w:lang w:eastAsia="es-MX"/>
        </w:rPr>
      </w:pPr>
      <w:r>
        <w:rPr>
          <w:rFonts w:eastAsia="Times New Roman" w:cs="Tahoma"/>
          <w:lang w:eastAsia="es-MX"/>
        </w:rPr>
        <w:t xml:space="preserve">Por otra parte, la Dirección de Servicios Públicos, tanto en respuesta, como Informe Justificado, refirió que el Programa solicitado había arrancado en el dos mil veinte y continuo en el dos mil </w:t>
      </w:r>
      <w:r>
        <w:rPr>
          <w:rFonts w:eastAsia="Times New Roman" w:cs="Tahoma"/>
          <w:lang w:eastAsia="es-MX"/>
        </w:rPr>
        <w:lastRenderedPageBreak/>
        <w:t xml:space="preserve">veintiuno, en una segunda etapa, en donde en total se habían remplazado </w:t>
      </w:r>
      <w:r w:rsidR="00A17E0F">
        <w:rPr>
          <w:rFonts w:eastAsia="Times New Roman" w:cs="Tahoma"/>
          <w:lang w:eastAsia="es-MX"/>
        </w:rPr>
        <w:t xml:space="preserve">un aproximado de </w:t>
      </w:r>
      <w:r>
        <w:rPr>
          <w:rFonts w:eastAsia="Times New Roman" w:cs="Tahoma"/>
          <w:lang w:eastAsia="es-MX"/>
        </w:rPr>
        <w:t>diecisiete mil</w:t>
      </w:r>
      <w:r w:rsidR="00A17E0F">
        <w:rPr>
          <w:rFonts w:eastAsia="Times New Roman" w:cs="Tahoma"/>
          <w:lang w:eastAsia="es-MX"/>
        </w:rPr>
        <w:t xml:space="preserve"> luminarias, es decir, no señaló el total; lo cual toma relevancia pue los Informes de Gobierno de la administración 2019-2021 no son claros en precisar la cantidad de luminarias adquiridas, pues hablan del remplazo de luminarias, así como, de la rehabilitación y reconexión, por lo que, no existe certeza del dato proporcionado, por lo que no se puede validar la respuesta.</w:t>
      </w:r>
    </w:p>
    <w:p w14:paraId="143366AA" w14:textId="77777777" w:rsidR="00A17E0F" w:rsidRDefault="00A17E0F" w:rsidP="00C03631">
      <w:pPr>
        <w:spacing w:after="0" w:line="360" w:lineRule="auto"/>
        <w:contextualSpacing/>
        <w:rPr>
          <w:rFonts w:eastAsia="Times New Roman" w:cs="Tahoma"/>
          <w:lang w:eastAsia="es-MX"/>
        </w:rPr>
      </w:pPr>
    </w:p>
    <w:p w14:paraId="0D538710" w14:textId="4DEDF876" w:rsidR="00A17E0F" w:rsidRPr="00A17E0F" w:rsidRDefault="00A17E0F" w:rsidP="00C03631">
      <w:pPr>
        <w:spacing w:after="0" w:line="360" w:lineRule="auto"/>
        <w:contextualSpacing/>
        <w:rPr>
          <w:rFonts w:eastAsia="Times New Roman" w:cs="Tahoma"/>
          <w:b/>
          <w:bCs/>
          <w:lang w:eastAsia="es-MX"/>
        </w:rPr>
      </w:pPr>
      <w:r>
        <w:rPr>
          <w:rFonts w:eastAsia="Times New Roman" w:cs="Tahoma"/>
          <w:lang w:eastAsia="es-MX"/>
        </w:rPr>
        <w:t xml:space="preserve">Además, es de señalar que como se estableció previamente, la Dirección de Servicios Públicos y la Dirección de Administración estaban en posibilidades de trabajar de manera conjunta para atender y entregar la información solicitada por el Particular, pues ambas participaron en el Programa Luces Bicentenario, la primera al realizar las acciones de instalación, reparación y sustitución, además de funcionar como área usuaria en los procedimientos adquisitivos y la segunda al ser la encarga de resguardar los documentos de los procedimientos de adjudicación, lo cual da como resultado que el agravio sea </w:t>
      </w:r>
      <w:r>
        <w:rPr>
          <w:rFonts w:eastAsia="Times New Roman" w:cs="Tahoma"/>
          <w:b/>
          <w:bCs/>
          <w:lang w:eastAsia="es-MX"/>
        </w:rPr>
        <w:t>FUNDADO.</w:t>
      </w:r>
    </w:p>
    <w:p w14:paraId="685ED2BC" w14:textId="77777777" w:rsidR="00A17E0F" w:rsidRDefault="00A17E0F" w:rsidP="00C03631">
      <w:pPr>
        <w:spacing w:after="0" w:line="360" w:lineRule="auto"/>
        <w:contextualSpacing/>
        <w:rPr>
          <w:rFonts w:eastAsia="Times New Roman" w:cs="Tahoma"/>
          <w:lang w:eastAsia="es-MX"/>
        </w:rPr>
      </w:pPr>
    </w:p>
    <w:p w14:paraId="35244359" w14:textId="7C92F16E" w:rsidR="00030613" w:rsidRDefault="00030613" w:rsidP="00C03631">
      <w:pPr>
        <w:tabs>
          <w:tab w:val="left" w:pos="4962"/>
        </w:tabs>
        <w:spacing w:after="0" w:line="360" w:lineRule="auto"/>
        <w:contextualSpacing/>
        <w:rPr>
          <w:rFonts w:cs="Tahoma"/>
          <w:szCs w:val="24"/>
          <w:lang w:val="es-ES"/>
        </w:rPr>
      </w:pPr>
      <w:r>
        <w:rPr>
          <w:rFonts w:cs="Tahoma"/>
          <w:szCs w:val="24"/>
          <w:lang w:val="es-ES"/>
        </w:rPr>
        <w:t xml:space="preserve">Así, se considera que para atender el Requerimiento de información y dar cumplimiento a los artículos 12, 160 y 162 de la Ley de la materia, la Dirección de Administración y de Servicios Públicos, en coordinación, deberán realizar una búsqueda exhaustiva y razonable en sus archivos, </w:t>
      </w:r>
      <w:r w:rsidRPr="00854A8C">
        <w:rPr>
          <w:rFonts w:cs="Tahoma"/>
          <w:szCs w:val="24"/>
          <w:lang w:val="es-ES"/>
        </w:rPr>
        <w:t>respecto de</w:t>
      </w:r>
      <w:r>
        <w:rPr>
          <w:rFonts w:cs="Tahoma"/>
          <w:szCs w:val="24"/>
          <w:lang w:val="es-ES"/>
        </w:rPr>
        <w:t>l Programa “Luces del Bicentenario” ejecutado durante el dos mil veinte y dos mil veintiuno, a efecto de proporcionar lo siguiente:</w:t>
      </w:r>
    </w:p>
    <w:p w14:paraId="4B3871E4" w14:textId="77777777" w:rsidR="00030613" w:rsidRDefault="00030613" w:rsidP="00C03631">
      <w:pPr>
        <w:tabs>
          <w:tab w:val="left" w:pos="4962"/>
        </w:tabs>
        <w:spacing w:after="0" w:line="360" w:lineRule="auto"/>
        <w:contextualSpacing/>
        <w:rPr>
          <w:rFonts w:cs="Tahoma"/>
          <w:szCs w:val="24"/>
          <w:lang w:val="es-ES"/>
        </w:rPr>
      </w:pPr>
    </w:p>
    <w:p w14:paraId="4F761962" w14:textId="39275D52" w:rsidR="00030613" w:rsidRDefault="00030613" w:rsidP="00C03631">
      <w:pPr>
        <w:pStyle w:val="Prrafodelista"/>
        <w:numPr>
          <w:ilvl w:val="0"/>
          <w:numId w:val="21"/>
        </w:numPr>
        <w:tabs>
          <w:tab w:val="left" w:pos="4962"/>
        </w:tabs>
        <w:spacing w:line="360" w:lineRule="auto"/>
        <w:jc w:val="both"/>
        <w:rPr>
          <w:rFonts w:ascii="Palatino Linotype" w:hAnsi="Palatino Linotype" w:cs="Tahoma"/>
          <w:lang w:val="es-ES"/>
        </w:rPr>
      </w:pPr>
      <w:r w:rsidRPr="00C008C2">
        <w:rPr>
          <w:rFonts w:ascii="Palatino Linotype" w:hAnsi="Palatino Linotype" w:cs="Tahoma"/>
          <w:lang w:val="es-ES"/>
        </w:rPr>
        <w:t xml:space="preserve">Los </w:t>
      </w:r>
      <w:r w:rsidR="00B03DBD" w:rsidRPr="00C008C2">
        <w:rPr>
          <w:rFonts w:ascii="Palatino Linotype" w:hAnsi="Palatino Linotype" w:cs="Tahoma"/>
          <w:lang w:val="es-ES"/>
        </w:rPr>
        <w:t xml:space="preserve">contratos </w:t>
      </w:r>
      <w:r w:rsidRPr="00C008C2">
        <w:rPr>
          <w:rFonts w:ascii="Palatino Linotype" w:hAnsi="Palatino Linotype" w:cs="Tahoma"/>
          <w:lang w:val="es-ES"/>
        </w:rPr>
        <w:t>de los procesos de adquisición de luminarias,</w:t>
      </w:r>
      <w:r>
        <w:rPr>
          <w:rFonts w:ascii="Palatino Linotype" w:hAnsi="Palatino Linotype" w:cs="Tahoma"/>
          <w:lang w:val="es-ES"/>
        </w:rPr>
        <w:t xml:space="preserve"> y</w:t>
      </w:r>
    </w:p>
    <w:p w14:paraId="00B8B17A" w14:textId="3FFA494D" w:rsidR="00030613" w:rsidRPr="00A664EF" w:rsidRDefault="00030613" w:rsidP="00C03631">
      <w:pPr>
        <w:pStyle w:val="Prrafodelista"/>
        <w:numPr>
          <w:ilvl w:val="0"/>
          <w:numId w:val="21"/>
        </w:numPr>
        <w:tabs>
          <w:tab w:val="left" w:pos="4962"/>
        </w:tabs>
        <w:spacing w:line="360" w:lineRule="auto"/>
        <w:jc w:val="both"/>
        <w:rPr>
          <w:rFonts w:ascii="Palatino Linotype" w:hAnsi="Palatino Linotype" w:cs="Tahoma"/>
          <w:lang w:val="es-ES"/>
        </w:rPr>
      </w:pPr>
      <w:r>
        <w:rPr>
          <w:rFonts w:ascii="Palatino Linotype" w:hAnsi="Palatino Linotype" w:cs="Tahoma"/>
          <w:lang w:val="es-ES"/>
        </w:rPr>
        <w:t>Los lugares donde se instalaron las luminarias referidas en el punto anterior.</w:t>
      </w:r>
    </w:p>
    <w:p w14:paraId="5E05AA0D" w14:textId="6ECA77B2" w:rsidR="00B14A3C" w:rsidRDefault="002C7BA0" w:rsidP="00C03631">
      <w:pPr>
        <w:spacing w:after="0" w:line="360" w:lineRule="auto"/>
        <w:contextualSpacing/>
        <w:rPr>
          <w:rFonts w:eastAsia="Times New Roman" w:cs="Tahoma"/>
          <w:lang w:eastAsia="es-MX"/>
        </w:rPr>
      </w:pPr>
      <w:r>
        <w:rPr>
          <w:rFonts w:eastAsia="Times New Roman" w:cs="Tahoma"/>
          <w:lang w:eastAsia="es-MX"/>
        </w:rPr>
        <w:t xml:space="preserve"> </w:t>
      </w:r>
    </w:p>
    <w:p w14:paraId="6FFF97AB" w14:textId="77777777" w:rsidR="007C268A" w:rsidRPr="00B2631D" w:rsidRDefault="004B5FDB" w:rsidP="00C03631">
      <w:pPr>
        <w:spacing w:after="0" w:line="360" w:lineRule="auto"/>
        <w:contextualSpacing/>
        <w:rPr>
          <w:rFonts w:eastAsia="Calibri" w:cs="Times New Roman"/>
          <w:bCs/>
          <w:iCs/>
          <w:lang w:val="es-ES"/>
        </w:rPr>
      </w:pPr>
      <w:r>
        <w:rPr>
          <w:rFonts w:eastAsia="Calibri"/>
          <w:bCs/>
          <w:iCs/>
        </w:rPr>
        <w:t>N</w:t>
      </w:r>
      <w:r w:rsidR="007C268A" w:rsidRPr="00B2631D">
        <w:rPr>
          <w:rFonts w:eastAsia="Calibri"/>
          <w:bCs/>
          <w:iCs/>
        </w:rPr>
        <w:t>o pasa desapercibido para este Instituto que los documentos, pudieran contener datos o información clasificada; por lo que, en el supuesto, deberá elaborar la versión pública respectiva; a</w:t>
      </w:r>
      <w:r w:rsidR="007C268A" w:rsidRPr="00B2631D">
        <w:rPr>
          <w:rFonts w:eastAsia="Calibri"/>
          <w:bCs/>
          <w:iCs/>
          <w:lang w:val="es-ES"/>
        </w:rPr>
        <w:t xml:space="preserve">l respecto, conforme al artículo 3°, fracción XLV, relacionado con el 137, ambos de </w:t>
      </w:r>
      <w:r w:rsidR="007C268A" w:rsidRPr="00B2631D">
        <w:rPr>
          <w:rFonts w:eastAsia="Calibri"/>
          <w:bCs/>
          <w:iCs/>
          <w:lang w:val="es-ES"/>
        </w:rPr>
        <w:lastRenderedPageBreak/>
        <w:t>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B6A7029" w14:textId="77777777" w:rsidR="007C268A" w:rsidRPr="00B2631D" w:rsidRDefault="007C268A" w:rsidP="00C03631">
      <w:pPr>
        <w:spacing w:after="0" w:line="360" w:lineRule="auto"/>
        <w:contextualSpacing/>
        <w:rPr>
          <w:rFonts w:eastAsia="Calibri"/>
          <w:bCs/>
          <w:iCs/>
          <w:lang w:val="es-ES"/>
        </w:rPr>
      </w:pPr>
    </w:p>
    <w:p w14:paraId="7D5DA43D" w14:textId="77777777" w:rsidR="007C268A" w:rsidRPr="00B2631D" w:rsidRDefault="007C268A" w:rsidP="00C03631">
      <w:pPr>
        <w:spacing w:after="0" w:line="360" w:lineRule="auto"/>
        <w:contextualSpacing/>
        <w:rPr>
          <w:rFonts w:eastAsia="Calibri"/>
          <w:bCs/>
          <w:iCs/>
          <w:lang w:val="es-ES"/>
        </w:rPr>
      </w:pPr>
      <w:r w:rsidRPr="00B2631D">
        <w:rPr>
          <w:rFonts w:eastAsia="Calibri"/>
          <w:bCs/>
          <w:iCs/>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C72C614" w14:textId="77777777" w:rsidR="00306B1A" w:rsidRDefault="00306B1A" w:rsidP="00C03631">
      <w:pPr>
        <w:spacing w:after="0" w:line="360" w:lineRule="auto"/>
        <w:contextualSpacing/>
      </w:pPr>
    </w:p>
    <w:p w14:paraId="2A25A1F1" w14:textId="237F4631" w:rsidR="003A239D" w:rsidRPr="00AE1D93" w:rsidRDefault="003A239D" w:rsidP="00C03631">
      <w:pPr>
        <w:tabs>
          <w:tab w:val="left" w:pos="4962"/>
        </w:tabs>
        <w:spacing w:after="0" w:line="360" w:lineRule="auto"/>
        <w:ind w:right="-28"/>
        <w:contextualSpacing/>
        <w:rPr>
          <w:rFonts w:cs="Tahoma"/>
          <w:b/>
        </w:rPr>
      </w:pPr>
      <w:r w:rsidRPr="00AE1D93">
        <w:rPr>
          <w:rFonts w:cs="Tahoma"/>
          <w:b/>
        </w:rPr>
        <w:t>SEXTO. Decisión</w:t>
      </w:r>
    </w:p>
    <w:p w14:paraId="00C268A1" w14:textId="77777777" w:rsidR="003A239D" w:rsidRPr="00AE1D93" w:rsidRDefault="003A239D" w:rsidP="00C03631">
      <w:pPr>
        <w:spacing w:after="0" w:line="360" w:lineRule="auto"/>
        <w:ind w:right="-28"/>
        <w:contextualSpacing/>
        <w:rPr>
          <w:rFonts w:cs="Tahoma"/>
          <w:b/>
        </w:rPr>
      </w:pPr>
    </w:p>
    <w:p w14:paraId="3D34A64E" w14:textId="063FD379" w:rsidR="003A239D" w:rsidRDefault="003A239D" w:rsidP="00C03631">
      <w:pPr>
        <w:spacing w:after="0" w:line="360" w:lineRule="auto"/>
        <w:contextualSpacing/>
        <w:rPr>
          <w:rFonts w:cs="Tahoma"/>
          <w:lang w:val="es-ES"/>
        </w:rPr>
      </w:pPr>
      <w:r w:rsidRPr="00AE1D93">
        <w:rPr>
          <w:rFonts w:cs="Arial"/>
        </w:rPr>
        <w:t>C</w:t>
      </w:r>
      <w:r w:rsidRPr="00AE1D93">
        <w:rPr>
          <w:rFonts w:cs="Tahoma"/>
        </w:rPr>
        <w:t xml:space="preserve">on fundamento en el artículo 186, fracción III, de la Ley de Transparencia y Acceso a la Información Pública del Estado de México y Municipios, este Instituto considera procedente </w:t>
      </w:r>
      <w:r w:rsidR="00030613">
        <w:rPr>
          <w:rFonts w:cs="Tahoma"/>
          <w:b/>
        </w:rPr>
        <w:t>REVO</w:t>
      </w:r>
      <w:r w:rsidRPr="00AE1D93">
        <w:rPr>
          <w:rFonts w:cs="Tahoma"/>
          <w:b/>
        </w:rPr>
        <w:t>CAR</w:t>
      </w:r>
      <w:r w:rsidRPr="00AE1D93">
        <w:rPr>
          <w:rFonts w:cs="Tahoma"/>
        </w:rPr>
        <w:t xml:space="preserve"> la respuesta otorgada a la solicitud de información </w:t>
      </w:r>
      <w:r w:rsidR="004B5FDB">
        <w:rPr>
          <w:bCs/>
        </w:rPr>
        <w:t>00189/ECATEPEC/IP/2024</w:t>
      </w:r>
      <w:r w:rsidR="00030613">
        <w:rPr>
          <w:bCs/>
        </w:rPr>
        <w:t xml:space="preserve">, así como </w:t>
      </w:r>
      <w:r w:rsidR="00030613">
        <w:rPr>
          <w:b/>
        </w:rPr>
        <w:t xml:space="preserve">MODIFICAR </w:t>
      </w:r>
      <w:r w:rsidR="00030613">
        <w:rPr>
          <w:bCs/>
        </w:rPr>
        <w:t xml:space="preserve">la contestación al requerimiento </w:t>
      </w:r>
      <w:r w:rsidR="004B5FDB">
        <w:rPr>
          <w:bCs/>
        </w:rPr>
        <w:t>00194/ECATEPEC/IP/2024</w:t>
      </w:r>
      <w:r w:rsidRPr="00AE1D93">
        <w:rPr>
          <w:rFonts w:cs="Tahoma"/>
        </w:rPr>
        <w:t xml:space="preserve">, </w:t>
      </w:r>
      <w:r w:rsidRPr="00AE1D93">
        <w:rPr>
          <w:rFonts w:cs="Tahoma"/>
          <w:bCs/>
        </w:rPr>
        <w:t xml:space="preserve">a efecto de que previa </w:t>
      </w:r>
      <w:r w:rsidRPr="00AE1D93">
        <w:rPr>
          <w:rFonts w:eastAsia="Calibri" w:cs="Tahoma"/>
          <w:iCs/>
          <w:lang w:eastAsia="es-ES_tradnl"/>
        </w:rPr>
        <w:t>búsqueda exhaustiva y razonable, en</w:t>
      </w:r>
      <w:r w:rsidR="004B5FDB">
        <w:rPr>
          <w:rFonts w:eastAsia="Calibri" w:cs="Tahoma"/>
          <w:iCs/>
          <w:lang w:eastAsia="es-ES_tradnl"/>
        </w:rPr>
        <w:t xml:space="preserve"> las unidades administrativas</w:t>
      </w:r>
      <w:r w:rsidR="00915BEA">
        <w:rPr>
          <w:rFonts w:eastAsia="Calibri" w:cs="Tahoma"/>
          <w:iCs/>
          <w:lang w:eastAsia="es-ES_tradnl"/>
        </w:rPr>
        <w:t xml:space="preserve"> competentes</w:t>
      </w:r>
      <w:r w:rsidRPr="00AE1D93">
        <w:rPr>
          <w:rFonts w:eastAsia="Calibri" w:cs="Tahoma"/>
          <w:iCs/>
          <w:lang w:eastAsia="es-ES_tradnl"/>
        </w:rPr>
        <w:t xml:space="preserve">, </w:t>
      </w:r>
      <w:r w:rsidR="004B5FDB">
        <w:rPr>
          <w:rFonts w:cs="Tahoma"/>
          <w:bCs/>
        </w:rPr>
        <w:t xml:space="preserve">entregue </w:t>
      </w:r>
      <w:r w:rsidR="00030613">
        <w:rPr>
          <w:rFonts w:cs="Tahoma"/>
          <w:bCs/>
        </w:rPr>
        <w:t>la información solicitada respecto  la adquisición de Luminarias.</w:t>
      </w:r>
    </w:p>
    <w:p w14:paraId="27DCD28F" w14:textId="77777777" w:rsidR="003A239D" w:rsidRPr="00AE1D93" w:rsidRDefault="003A239D" w:rsidP="00C03631">
      <w:pPr>
        <w:spacing w:after="0" w:line="360" w:lineRule="auto"/>
        <w:contextualSpacing/>
        <w:rPr>
          <w:rFonts w:cs="Tahoma"/>
        </w:rPr>
      </w:pPr>
    </w:p>
    <w:p w14:paraId="5D867D2E" w14:textId="64B48C4E" w:rsidR="003A239D" w:rsidRDefault="003A239D" w:rsidP="00C03631">
      <w:pPr>
        <w:autoSpaceDE w:val="0"/>
        <w:autoSpaceDN w:val="0"/>
        <w:adjustRightInd w:val="0"/>
        <w:spacing w:after="0" w:line="360" w:lineRule="auto"/>
        <w:contextualSpacing/>
        <w:rPr>
          <w:rFonts w:eastAsia="Calibri" w:cs="Tahoma"/>
          <w:b/>
          <w:bCs/>
          <w:iCs/>
          <w:lang w:val="es-ES"/>
        </w:rPr>
      </w:pPr>
      <w:r w:rsidRPr="00AE1D93">
        <w:rPr>
          <w:rFonts w:eastAsia="Calibri" w:cs="Tahoma"/>
          <w:b/>
          <w:bCs/>
          <w:iCs/>
          <w:lang w:val="es-ES"/>
        </w:rPr>
        <w:t>Términos de la Resolución para conocimiento del Particular</w:t>
      </w:r>
    </w:p>
    <w:p w14:paraId="7D7C185D" w14:textId="77777777" w:rsidR="00030613" w:rsidRPr="00AE1D93" w:rsidRDefault="00030613" w:rsidP="00C03631">
      <w:pPr>
        <w:autoSpaceDE w:val="0"/>
        <w:autoSpaceDN w:val="0"/>
        <w:adjustRightInd w:val="0"/>
        <w:spacing w:after="0" w:line="360" w:lineRule="auto"/>
        <w:contextualSpacing/>
        <w:rPr>
          <w:rFonts w:eastAsia="Calibri" w:cs="Tahoma"/>
          <w:b/>
          <w:bCs/>
          <w:iCs/>
          <w:lang w:val="es-ES"/>
        </w:rPr>
      </w:pPr>
    </w:p>
    <w:p w14:paraId="3F1BCA2B" w14:textId="61998B13" w:rsidR="00726B15" w:rsidRDefault="003A239D" w:rsidP="00C03631">
      <w:pPr>
        <w:autoSpaceDE w:val="0"/>
        <w:autoSpaceDN w:val="0"/>
        <w:adjustRightInd w:val="0"/>
        <w:spacing w:after="0" w:line="360" w:lineRule="auto"/>
        <w:contextualSpacing/>
        <w:rPr>
          <w:rFonts w:eastAsia="Calibri" w:cs="Tahoma"/>
          <w:bCs/>
        </w:rPr>
      </w:pPr>
      <w:r w:rsidRPr="00AE1D93">
        <w:rPr>
          <w:rFonts w:eastAsia="Calibri" w:cs="Tahoma"/>
          <w:bCs/>
          <w:iCs/>
          <w:lang w:val="es-ES"/>
        </w:rPr>
        <w:t xml:space="preserve">Se </w:t>
      </w:r>
      <w:r w:rsidRPr="00AE1D93">
        <w:rPr>
          <w:rFonts w:eastAsia="Calibri" w:cs="Tahoma"/>
          <w:bCs/>
        </w:rPr>
        <w:t>le hace del conocimiento al ahora Recurrente, que, en el presente caso, se le da</w:t>
      </w:r>
      <w:r w:rsidR="00AE5CCD">
        <w:rPr>
          <w:rFonts w:eastAsia="Calibri" w:cs="Tahoma"/>
          <w:bCs/>
        </w:rPr>
        <w:t xml:space="preserve"> </w:t>
      </w:r>
      <w:r w:rsidRPr="00AE1D93">
        <w:rPr>
          <w:rFonts w:eastAsia="Calibri" w:cs="Tahoma"/>
          <w:bCs/>
        </w:rPr>
        <w:t xml:space="preserve">la razón, pues el Ente Recurrido </w:t>
      </w:r>
      <w:r w:rsidR="00726B15">
        <w:rPr>
          <w:rFonts w:eastAsia="Calibri" w:cs="Tahoma"/>
          <w:bCs/>
        </w:rPr>
        <w:t xml:space="preserve">no </w:t>
      </w:r>
      <w:r w:rsidR="00AE5CCD">
        <w:rPr>
          <w:rFonts w:eastAsia="Calibri" w:cs="Tahoma"/>
          <w:bCs/>
        </w:rPr>
        <w:t>proporcionó la información</w:t>
      </w:r>
      <w:r w:rsidR="00030613">
        <w:rPr>
          <w:rFonts w:eastAsia="Calibri" w:cs="Tahoma"/>
          <w:bCs/>
        </w:rPr>
        <w:t xml:space="preserve"> solicitad</w:t>
      </w:r>
      <w:r w:rsidR="00726B15">
        <w:rPr>
          <w:rFonts w:eastAsia="Calibri" w:cs="Tahoma"/>
          <w:bCs/>
        </w:rPr>
        <w:t>a, cuando se trata de una obligación de transparencia, por lo que, deberá proporcionarle lo requerido, en versión pública, para el caso que tenga datos personales.</w:t>
      </w:r>
    </w:p>
    <w:p w14:paraId="7927F8A7" w14:textId="77777777" w:rsidR="00726B15" w:rsidRDefault="00726B15" w:rsidP="00C03631">
      <w:pPr>
        <w:autoSpaceDE w:val="0"/>
        <w:autoSpaceDN w:val="0"/>
        <w:adjustRightInd w:val="0"/>
        <w:spacing w:after="0" w:line="360" w:lineRule="auto"/>
        <w:contextualSpacing/>
        <w:rPr>
          <w:rFonts w:eastAsia="Calibri" w:cs="Tahoma"/>
          <w:bCs/>
          <w:iCs/>
          <w:lang w:val="es-ES"/>
        </w:rPr>
      </w:pPr>
    </w:p>
    <w:p w14:paraId="173BC243" w14:textId="77777777" w:rsidR="00726B15" w:rsidRDefault="00726B15" w:rsidP="00C03631">
      <w:pPr>
        <w:autoSpaceDE w:val="0"/>
        <w:autoSpaceDN w:val="0"/>
        <w:adjustRightInd w:val="0"/>
        <w:spacing w:after="0" w:line="360" w:lineRule="auto"/>
        <w:contextualSpacing/>
        <w:rPr>
          <w:rFonts w:eastAsia="Calibri" w:cs="Tahoma"/>
          <w:bCs/>
          <w:iCs/>
          <w:lang w:val="es-ES"/>
        </w:rPr>
      </w:pPr>
    </w:p>
    <w:p w14:paraId="0F524024" w14:textId="2827BAF3" w:rsidR="003A239D" w:rsidRPr="00AE5CCD" w:rsidRDefault="003A239D" w:rsidP="00C03631">
      <w:pPr>
        <w:autoSpaceDE w:val="0"/>
        <w:autoSpaceDN w:val="0"/>
        <w:adjustRightInd w:val="0"/>
        <w:spacing w:after="0" w:line="360" w:lineRule="auto"/>
        <w:contextualSpacing/>
        <w:rPr>
          <w:rFonts w:eastAsia="Calibri" w:cs="Tahoma"/>
          <w:bCs/>
          <w:iCs/>
          <w:lang w:val="es-ES"/>
        </w:rPr>
      </w:pPr>
      <w:r w:rsidRPr="00AE1D93">
        <w:rPr>
          <w:rFonts w:eastAsia="Calibri" w:cs="Tahoma"/>
          <w:bCs/>
          <w:iCs/>
          <w:lang w:val="es-ES_tradnl"/>
        </w:rPr>
        <w:t>Finalmente,</w:t>
      </w:r>
      <w:r>
        <w:rPr>
          <w:rFonts w:eastAsia="Calibri" w:cs="Tahoma"/>
          <w:bCs/>
          <w:iCs/>
          <w:lang w:val="es-ES_tradnl"/>
        </w:rPr>
        <w:t xml:space="preserve"> se le informa que la</w:t>
      </w:r>
      <w:r w:rsidRPr="00AE1D93">
        <w:rPr>
          <w:rFonts w:eastAsia="Calibri" w:cs="Tahoma"/>
          <w:bCs/>
          <w:iCs/>
          <w:lang w:val="es-ES_tradnl"/>
        </w:rPr>
        <w:t xml:space="preserve"> labor de</w:t>
      </w:r>
      <w:r>
        <w:rPr>
          <w:rFonts w:eastAsia="Calibri" w:cs="Tahoma"/>
          <w:bCs/>
          <w:iCs/>
          <w:lang w:val="es-ES_tradnl"/>
        </w:rPr>
        <w:t xml:space="preserve"> este</w:t>
      </w:r>
      <w:r w:rsidRPr="00AE1D93">
        <w:rPr>
          <w:rFonts w:eastAsia="Calibri" w:cs="Tahoma"/>
          <w:bCs/>
          <w:iCs/>
          <w:lang w:val="es-ES_tradnl"/>
        </w:rPr>
        <w:t xml:space="preserve"> Instituto</w:t>
      </w:r>
      <w:r>
        <w:rPr>
          <w:rFonts w:eastAsia="Calibri" w:cs="Tahoma"/>
          <w:bCs/>
          <w:iCs/>
          <w:lang w:val="es-ES_tradnl"/>
        </w:rPr>
        <w:t xml:space="preserve"> de Transparencia, Acceso a la Información Pública y Protección de Datos Personales del Estado de México y Municipios</w:t>
      </w:r>
      <w:r w:rsidRPr="00AE1D93">
        <w:rPr>
          <w:rFonts w:eastAsia="Calibri" w:cs="Tahoma"/>
          <w:bCs/>
          <w:iCs/>
          <w:lang w:val="es-ES_tradnl"/>
        </w:rPr>
        <w:t xml:space="preserve"> es apoyar a la población a acceder a la información pública y garantizar la protección de los datos personales.</w:t>
      </w:r>
    </w:p>
    <w:p w14:paraId="617365BD" w14:textId="77777777" w:rsidR="003A239D" w:rsidRPr="00AE1D93" w:rsidRDefault="003A239D" w:rsidP="00C03631">
      <w:pPr>
        <w:autoSpaceDE w:val="0"/>
        <w:autoSpaceDN w:val="0"/>
        <w:adjustRightInd w:val="0"/>
        <w:spacing w:after="0" w:line="360" w:lineRule="auto"/>
        <w:contextualSpacing/>
        <w:rPr>
          <w:rFonts w:eastAsia="Calibri" w:cs="Tahoma"/>
          <w:bCs/>
          <w:iCs/>
          <w:lang w:val="es-ES"/>
        </w:rPr>
      </w:pPr>
    </w:p>
    <w:p w14:paraId="2312FA80" w14:textId="77777777" w:rsidR="003A239D" w:rsidRPr="00AE1D93" w:rsidRDefault="003A239D" w:rsidP="00C03631">
      <w:pPr>
        <w:autoSpaceDE w:val="0"/>
        <w:autoSpaceDN w:val="0"/>
        <w:adjustRightInd w:val="0"/>
        <w:spacing w:after="0" w:line="360" w:lineRule="auto"/>
        <w:contextualSpacing/>
        <w:rPr>
          <w:rFonts w:eastAsia="Calibri" w:cs="Tahoma"/>
          <w:bCs/>
          <w:iCs/>
        </w:rPr>
      </w:pPr>
      <w:r w:rsidRPr="00AE1D93">
        <w:rPr>
          <w:rFonts w:eastAsia="Calibri" w:cs="Tahoma"/>
          <w:bCs/>
          <w:iCs/>
        </w:rPr>
        <w:t>Por lo expuesto y fundado, este Pleno:</w:t>
      </w:r>
    </w:p>
    <w:p w14:paraId="2A20B720" w14:textId="77777777" w:rsidR="003A239D" w:rsidRDefault="003A239D" w:rsidP="00C03631">
      <w:pPr>
        <w:autoSpaceDE w:val="0"/>
        <w:autoSpaceDN w:val="0"/>
        <w:adjustRightInd w:val="0"/>
        <w:spacing w:after="0" w:line="360" w:lineRule="auto"/>
        <w:contextualSpacing/>
        <w:rPr>
          <w:rFonts w:eastAsia="Calibri" w:cs="Tahoma"/>
          <w:bCs/>
          <w:iCs/>
        </w:rPr>
      </w:pPr>
    </w:p>
    <w:p w14:paraId="441E0A0F" w14:textId="77777777" w:rsidR="003A239D" w:rsidRPr="00AE1D93" w:rsidRDefault="003A239D" w:rsidP="00C03631">
      <w:pPr>
        <w:spacing w:after="0" w:line="360" w:lineRule="auto"/>
        <w:ind w:right="-28"/>
        <w:contextualSpacing/>
        <w:jc w:val="center"/>
        <w:rPr>
          <w:rFonts w:eastAsia="Calibri" w:cs="Tahoma"/>
          <w:b/>
          <w:bCs/>
        </w:rPr>
      </w:pPr>
      <w:r w:rsidRPr="00AE1D93">
        <w:rPr>
          <w:rFonts w:eastAsia="Calibri" w:cs="Tahoma"/>
          <w:b/>
          <w:bCs/>
        </w:rPr>
        <w:t>R E S U E L V E</w:t>
      </w:r>
    </w:p>
    <w:p w14:paraId="4F74CD92" w14:textId="77777777" w:rsidR="003A239D" w:rsidRPr="00AE1D93" w:rsidRDefault="003A239D" w:rsidP="00C03631">
      <w:pPr>
        <w:spacing w:after="0" w:line="360" w:lineRule="auto"/>
        <w:ind w:right="-28"/>
        <w:contextualSpacing/>
        <w:jc w:val="center"/>
        <w:rPr>
          <w:rFonts w:eastAsia="Calibri" w:cs="Tahoma"/>
          <w:b/>
          <w:bCs/>
        </w:rPr>
      </w:pPr>
    </w:p>
    <w:p w14:paraId="4EFF3800" w14:textId="47BE5F6F" w:rsidR="003A239D" w:rsidRPr="00AE1D93" w:rsidRDefault="003A239D" w:rsidP="00C03631">
      <w:pPr>
        <w:tabs>
          <w:tab w:val="left" w:pos="4962"/>
        </w:tabs>
        <w:spacing w:after="0" w:line="360" w:lineRule="auto"/>
        <w:contextualSpacing/>
        <w:rPr>
          <w:rFonts w:eastAsia="Calibri"/>
        </w:rPr>
      </w:pPr>
      <w:r w:rsidRPr="00AE1D93">
        <w:rPr>
          <w:rFonts w:eastAsia="Calibri"/>
          <w:b/>
          <w:bCs/>
        </w:rPr>
        <w:t xml:space="preserve">PRIMERO. </w:t>
      </w:r>
      <w:r w:rsidRPr="00AE1D93">
        <w:rPr>
          <w:rFonts w:eastAsia="Calibri"/>
        </w:rPr>
        <w:t xml:space="preserve">Se </w:t>
      </w:r>
      <w:r w:rsidR="00C03631">
        <w:rPr>
          <w:rFonts w:eastAsia="Calibri"/>
          <w:b/>
          <w:bCs/>
        </w:rPr>
        <w:t>REVOCA</w:t>
      </w:r>
      <w:r w:rsidRPr="00AE1D93">
        <w:rPr>
          <w:rFonts w:eastAsia="Calibri"/>
          <w:b/>
          <w:bCs/>
        </w:rPr>
        <w:t xml:space="preserve"> </w:t>
      </w:r>
      <w:r w:rsidR="00AE5CCD">
        <w:rPr>
          <w:rFonts w:eastAsia="Calibri"/>
        </w:rPr>
        <w:t>la</w:t>
      </w:r>
      <w:r w:rsidRPr="00AE1D93">
        <w:rPr>
          <w:rFonts w:eastAsia="Calibri"/>
          <w:b/>
          <w:bCs/>
        </w:rPr>
        <w:t xml:space="preserve"> </w:t>
      </w:r>
      <w:r w:rsidRPr="00AE1D93">
        <w:rPr>
          <w:rFonts w:eastAsia="Calibri"/>
        </w:rPr>
        <w:t xml:space="preserve">respuesta entregada por el Ayuntamiento de </w:t>
      </w:r>
      <w:r w:rsidR="00AE5CCD">
        <w:rPr>
          <w:rFonts w:eastAsia="Calibri"/>
        </w:rPr>
        <w:t xml:space="preserve">Ecatepec de Morelos </w:t>
      </w:r>
      <w:r w:rsidRPr="00AE1D93">
        <w:rPr>
          <w:rFonts w:eastAsia="Calibri"/>
        </w:rPr>
        <w:t>a la solicitud de información</w:t>
      </w:r>
      <w:r w:rsidRPr="00AE1D93">
        <w:rPr>
          <w:rFonts w:eastAsia="Calibri"/>
          <w:b/>
          <w:bCs/>
        </w:rPr>
        <w:t xml:space="preserve"> </w:t>
      </w:r>
      <w:r w:rsidR="00AE5CCD">
        <w:rPr>
          <w:bCs/>
        </w:rPr>
        <w:t>00189/ECATEPEC/IP/2024</w:t>
      </w:r>
      <w:r w:rsidRPr="00AE1D93">
        <w:rPr>
          <w:rFonts w:cs="Tahoma"/>
        </w:rPr>
        <w:t xml:space="preserve">, </w:t>
      </w:r>
      <w:r w:rsidRPr="00AE1D93">
        <w:rPr>
          <w:rFonts w:eastAsia="Calibri"/>
        </w:rPr>
        <w:t xml:space="preserve">por resultar </w:t>
      </w:r>
      <w:r w:rsidRPr="00AE1D93">
        <w:rPr>
          <w:rFonts w:eastAsia="Calibri"/>
          <w:b/>
          <w:bCs/>
        </w:rPr>
        <w:t>FUNDADAS</w:t>
      </w:r>
      <w:r w:rsidRPr="00AE1D93">
        <w:rPr>
          <w:rFonts w:eastAsia="Calibri"/>
        </w:rPr>
        <w:t xml:space="preserve"> las razones o motivos de inconformidad hechos valer por el Recurrente, en términos de los considerandos </w:t>
      </w:r>
      <w:r w:rsidRPr="00F12244">
        <w:rPr>
          <w:rFonts w:eastAsia="Calibri"/>
          <w:bCs/>
        </w:rPr>
        <w:t>QUINTO y SEXTO</w:t>
      </w:r>
      <w:r w:rsidRPr="00AE1D93">
        <w:rPr>
          <w:rFonts w:eastAsia="Calibri"/>
        </w:rPr>
        <w:t xml:space="preserve"> de la presente Resolución.</w:t>
      </w:r>
    </w:p>
    <w:p w14:paraId="3014294C" w14:textId="77777777" w:rsidR="003A239D" w:rsidRDefault="003A239D" w:rsidP="00C03631">
      <w:pPr>
        <w:widowControl w:val="0"/>
        <w:spacing w:after="0" w:line="360" w:lineRule="auto"/>
        <w:contextualSpacing/>
        <w:rPr>
          <w:rFonts w:eastAsia="Calibri"/>
          <w:b/>
          <w:bCs/>
        </w:rPr>
      </w:pPr>
    </w:p>
    <w:p w14:paraId="4D6776E8" w14:textId="4BD89AF5" w:rsidR="00030613" w:rsidRDefault="00030613" w:rsidP="00C03631">
      <w:pPr>
        <w:tabs>
          <w:tab w:val="left" w:pos="1845"/>
        </w:tabs>
        <w:spacing w:after="0" w:line="360" w:lineRule="auto"/>
        <w:contextualSpacing/>
        <w:rPr>
          <w:rFonts w:eastAsia="Calibri" w:cs="Tahoma"/>
          <w:iCs/>
          <w:lang w:val="es-ES" w:eastAsia="es-ES_tradnl"/>
        </w:rPr>
      </w:pPr>
      <w:r w:rsidRPr="00F437D3">
        <w:rPr>
          <w:rFonts w:cs="Tahoma"/>
        </w:rPr>
        <w:t xml:space="preserve">Se </w:t>
      </w:r>
      <w:r w:rsidRPr="00F437D3">
        <w:rPr>
          <w:rFonts w:cs="Tahoma"/>
          <w:b/>
        </w:rPr>
        <w:t xml:space="preserve">ORDENA </w:t>
      </w:r>
      <w:r w:rsidRPr="00F437D3">
        <w:rPr>
          <w:rFonts w:cs="Tahoma"/>
        </w:rPr>
        <w:t xml:space="preserve">al </w:t>
      </w:r>
      <w:r w:rsidRPr="00F437D3">
        <w:rPr>
          <w:rFonts w:cs="Tahoma"/>
          <w:color w:val="0D0D0D" w:themeColor="text1" w:themeTint="F2"/>
        </w:rPr>
        <w:t>Sujeto Obligado</w:t>
      </w:r>
      <w:r w:rsidRPr="00F437D3">
        <w:rPr>
          <w:rFonts w:cs="Tahoma"/>
        </w:rPr>
        <w:t xml:space="preserve">, a efecto de que, previa búsqueda exhaustiva y razonable en los archivos de sus unidades administrativas competentes, entregue, </w:t>
      </w:r>
      <w:r w:rsidRPr="00F437D3">
        <w:rPr>
          <w:rFonts w:cs="Tahoma"/>
          <w:bCs/>
          <w:iCs/>
        </w:rPr>
        <w:t>a través del Sistema de Acceso a la Información Mexiquense (SAIMEX), en su caso, en versión pública</w:t>
      </w:r>
      <w:r w:rsidRPr="00F437D3">
        <w:rPr>
          <w:rFonts w:eastAsia="Calibri" w:cs="Tahoma"/>
          <w:iCs/>
          <w:lang w:val="es-ES" w:eastAsia="es-ES_tradnl"/>
        </w:rPr>
        <w:t>,</w:t>
      </w:r>
      <w:r>
        <w:rPr>
          <w:rFonts w:eastAsia="Calibri" w:cs="Tahoma"/>
          <w:iCs/>
          <w:lang w:val="es-ES" w:eastAsia="es-ES_tradnl"/>
        </w:rPr>
        <w:t xml:space="preserve"> </w:t>
      </w:r>
      <w:r w:rsidR="00C03631">
        <w:rPr>
          <w:rFonts w:eastAsia="Calibri" w:cs="Tahoma"/>
          <w:bCs/>
          <w:color w:val="000000"/>
        </w:rPr>
        <w:t>lo siguiente:</w:t>
      </w:r>
    </w:p>
    <w:p w14:paraId="7A84A2D3" w14:textId="77777777" w:rsidR="00030613" w:rsidRDefault="00030613" w:rsidP="00C03631">
      <w:pPr>
        <w:widowControl w:val="0"/>
        <w:spacing w:after="0" w:line="360" w:lineRule="auto"/>
        <w:contextualSpacing/>
        <w:rPr>
          <w:rFonts w:eastAsia="Calibri"/>
          <w:b/>
          <w:bCs/>
        </w:rPr>
      </w:pPr>
    </w:p>
    <w:p w14:paraId="07A882F4" w14:textId="0E4A2427" w:rsidR="00C03631" w:rsidRDefault="00C03631" w:rsidP="00C03631">
      <w:pPr>
        <w:pStyle w:val="Prrafodelista"/>
        <w:numPr>
          <w:ilvl w:val="0"/>
          <w:numId w:val="23"/>
        </w:numPr>
        <w:spacing w:line="360" w:lineRule="auto"/>
        <w:jc w:val="both"/>
        <w:rPr>
          <w:rFonts w:ascii="Palatino Linotype" w:eastAsia="Calibri" w:hAnsi="Palatino Linotype" w:cs="Tahoma"/>
          <w:bCs/>
          <w:lang w:val="es-ES"/>
        </w:rPr>
      </w:pPr>
      <w:r w:rsidRPr="00C03631">
        <w:rPr>
          <w:rFonts w:ascii="Palatino Linotype" w:eastAsia="Calibri" w:hAnsi="Palatino Linotype" w:cs="Tahoma"/>
          <w:bCs/>
          <w:lang w:val="es-ES"/>
        </w:rPr>
        <w:t>Los documentos que conformaba los expedientes de los procedimientos adjudicación (licitación, invitación o adjudicación directa) por medio de los cuales se adquirieron luminarias, del primero de abril de dos mil veintitrés al primero de abril de dos mil veinticuatro.</w:t>
      </w:r>
    </w:p>
    <w:p w14:paraId="64A84602" w14:textId="77777777" w:rsidR="00C03631" w:rsidRPr="00C03631" w:rsidRDefault="00C03631" w:rsidP="00C03631">
      <w:pPr>
        <w:spacing w:after="0" w:line="360" w:lineRule="auto"/>
        <w:rPr>
          <w:rFonts w:eastAsia="Calibri" w:cs="Tahoma"/>
          <w:bCs/>
        </w:rPr>
      </w:pPr>
    </w:p>
    <w:p w14:paraId="534D7EB9" w14:textId="77777777" w:rsidR="00C03631" w:rsidRPr="00AE1D93" w:rsidRDefault="00C03631" w:rsidP="00C03631">
      <w:pPr>
        <w:autoSpaceDE w:val="0"/>
        <w:autoSpaceDN w:val="0"/>
        <w:adjustRightInd w:val="0"/>
        <w:spacing w:after="0" w:line="360" w:lineRule="auto"/>
        <w:contextualSpacing/>
        <w:rPr>
          <w:rFonts w:eastAsia="Calibri" w:cs="Tahoma"/>
          <w:bCs/>
          <w:iCs/>
          <w:color w:val="000000"/>
        </w:rPr>
      </w:pPr>
      <w:r w:rsidRPr="00AE1D93">
        <w:rPr>
          <w:rFonts w:eastAsia="Calibri" w:cs="Tahoma"/>
          <w:bCs/>
          <w:iCs/>
          <w:color w:val="000000"/>
        </w:rPr>
        <w:t xml:space="preserve">Además, de ser necesario, deberá proporcionar el Acuerdo de Clasificación donde el Comité de Transparencia, confirme la eliminación de los datos o información clasificada, en la versión </w:t>
      </w:r>
      <w:r w:rsidRPr="00AE1D93">
        <w:rPr>
          <w:rFonts w:eastAsia="Calibri" w:cs="Tahoma"/>
          <w:bCs/>
          <w:iCs/>
          <w:color w:val="000000"/>
        </w:rPr>
        <w:lastRenderedPageBreak/>
        <w:t>pública, de conformidad con los artículos 49, fracciones II y VIII y 132, fracción II de la Ley de Transparencia y Acceso a la Información Pública del Estado de México y Municipios.</w:t>
      </w:r>
    </w:p>
    <w:p w14:paraId="5E69C313" w14:textId="77777777" w:rsidR="00C03631" w:rsidRPr="00C03631" w:rsidRDefault="00C03631" w:rsidP="00C03631">
      <w:pPr>
        <w:spacing w:after="0" w:line="360" w:lineRule="auto"/>
        <w:rPr>
          <w:rFonts w:eastAsia="Calibri" w:cs="Tahoma"/>
          <w:bCs/>
        </w:rPr>
      </w:pPr>
    </w:p>
    <w:p w14:paraId="7DB5DC85" w14:textId="37C31DA2" w:rsidR="00030613" w:rsidRPr="00AE1D93" w:rsidRDefault="003A239D" w:rsidP="00C03631">
      <w:pPr>
        <w:tabs>
          <w:tab w:val="left" w:pos="4962"/>
        </w:tabs>
        <w:spacing w:after="0" w:line="360" w:lineRule="auto"/>
        <w:contextualSpacing/>
        <w:rPr>
          <w:rFonts w:eastAsia="Calibri"/>
        </w:rPr>
      </w:pPr>
      <w:r w:rsidRPr="00F437D3">
        <w:rPr>
          <w:rFonts w:cs="Tahoma"/>
          <w:b/>
          <w:bCs/>
        </w:rPr>
        <w:t xml:space="preserve">SEGUNDO. </w:t>
      </w:r>
      <w:r w:rsidR="00030613" w:rsidRPr="00AE1D93">
        <w:rPr>
          <w:rFonts w:eastAsia="Calibri"/>
        </w:rPr>
        <w:t xml:space="preserve">Se </w:t>
      </w:r>
      <w:r w:rsidR="00030613">
        <w:rPr>
          <w:rFonts w:eastAsia="Calibri"/>
          <w:b/>
          <w:bCs/>
        </w:rPr>
        <w:t>MODIF</w:t>
      </w:r>
      <w:r w:rsidR="00030613" w:rsidRPr="00AE1D93">
        <w:rPr>
          <w:rFonts w:eastAsia="Calibri"/>
          <w:b/>
          <w:bCs/>
        </w:rPr>
        <w:t xml:space="preserve">CA </w:t>
      </w:r>
      <w:r w:rsidR="00030613">
        <w:rPr>
          <w:rFonts w:eastAsia="Calibri"/>
        </w:rPr>
        <w:t>la</w:t>
      </w:r>
      <w:r w:rsidR="00030613" w:rsidRPr="00AE1D93">
        <w:rPr>
          <w:rFonts w:eastAsia="Calibri"/>
          <w:b/>
          <w:bCs/>
        </w:rPr>
        <w:t xml:space="preserve"> </w:t>
      </w:r>
      <w:r w:rsidR="00030613" w:rsidRPr="00AE1D93">
        <w:rPr>
          <w:rFonts w:eastAsia="Calibri"/>
        </w:rPr>
        <w:t xml:space="preserve">respuesta entregada por el Ayuntamiento de </w:t>
      </w:r>
      <w:r w:rsidR="00030613">
        <w:rPr>
          <w:rFonts w:eastAsia="Calibri"/>
        </w:rPr>
        <w:t xml:space="preserve">Ecatepec de Morelos </w:t>
      </w:r>
      <w:r w:rsidR="00030613" w:rsidRPr="00AE1D93">
        <w:rPr>
          <w:rFonts w:eastAsia="Calibri"/>
        </w:rPr>
        <w:t>a la solicitud de información</w:t>
      </w:r>
      <w:r w:rsidR="00030613" w:rsidRPr="00AE1D93">
        <w:rPr>
          <w:rFonts w:eastAsia="Calibri"/>
          <w:b/>
          <w:bCs/>
        </w:rPr>
        <w:t xml:space="preserve"> </w:t>
      </w:r>
      <w:r w:rsidR="00030613">
        <w:rPr>
          <w:bCs/>
        </w:rPr>
        <w:t>00194/ECATEPEC/IP/2024</w:t>
      </w:r>
      <w:r w:rsidR="00030613" w:rsidRPr="00AE1D93">
        <w:rPr>
          <w:rFonts w:cs="Tahoma"/>
        </w:rPr>
        <w:t xml:space="preserve">, </w:t>
      </w:r>
      <w:r w:rsidR="00030613" w:rsidRPr="00AE1D93">
        <w:rPr>
          <w:rFonts w:eastAsia="Calibri"/>
        </w:rPr>
        <w:t xml:space="preserve">por resultar </w:t>
      </w:r>
      <w:r w:rsidR="00030613" w:rsidRPr="00AE1D93">
        <w:rPr>
          <w:rFonts w:eastAsia="Calibri"/>
          <w:b/>
          <w:bCs/>
        </w:rPr>
        <w:t>FUNDADAS</w:t>
      </w:r>
      <w:r w:rsidR="00030613" w:rsidRPr="00AE1D93">
        <w:rPr>
          <w:rFonts w:eastAsia="Calibri"/>
        </w:rPr>
        <w:t xml:space="preserve"> las razones o motivos de inconformidad hechos valer por el Recurrente, en términos de los considerandos </w:t>
      </w:r>
      <w:r w:rsidR="00030613" w:rsidRPr="00F12244">
        <w:rPr>
          <w:rFonts w:eastAsia="Calibri"/>
          <w:bCs/>
        </w:rPr>
        <w:t>QUINTO y SEXTO</w:t>
      </w:r>
      <w:r w:rsidR="00030613" w:rsidRPr="00AE1D93">
        <w:rPr>
          <w:rFonts w:eastAsia="Calibri"/>
        </w:rPr>
        <w:t xml:space="preserve"> de la presente Resolución.</w:t>
      </w:r>
    </w:p>
    <w:p w14:paraId="63318485" w14:textId="77777777" w:rsidR="00030613" w:rsidRDefault="00030613" w:rsidP="00C03631">
      <w:pPr>
        <w:tabs>
          <w:tab w:val="left" w:pos="1845"/>
        </w:tabs>
        <w:spacing w:after="0" w:line="360" w:lineRule="auto"/>
        <w:contextualSpacing/>
        <w:rPr>
          <w:rFonts w:cs="Tahoma"/>
          <w:b/>
          <w:bCs/>
        </w:rPr>
      </w:pPr>
    </w:p>
    <w:p w14:paraId="2ABC974F" w14:textId="4AAF3918" w:rsidR="00C03631" w:rsidRDefault="003A239D" w:rsidP="00C03631">
      <w:pPr>
        <w:tabs>
          <w:tab w:val="left" w:pos="4962"/>
        </w:tabs>
        <w:spacing w:after="0" w:line="360" w:lineRule="auto"/>
        <w:contextualSpacing/>
        <w:rPr>
          <w:rFonts w:cs="Tahoma"/>
          <w:szCs w:val="24"/>
          <w:lang w:val="es-ES"/>
        </w:rPr>
      </w:pPr>
      <w:r w:rsidRPr="00F437D3">
        <w:rPr>
          <w:rFonts w:cs="Tahoma"/>
        </w:rPr>
        <w:t xml:space="preserve">Se </w:t>
      </w:r>
      <w:r w:rsidRPr="00F437D3">
        <w:rPr>
          <w:rFonts w:cs="Tahoma"/>
          <w:b/>
        </w:rPr>
        <w:t xml:space="preserve">ORDENA </w:t>
      </w:r>
      <w:r w:rsidRPr="00F437D3">
        <w:rPr>
          <w:rFonts w:cs="Tahoma"/>
        </w:rPr>
        <w:t xml:space="preserve">al </w:t>
      </w:r>
      <w:r w:rsidRPr="00F437D3">
        <w:rPr>
          <w:rFonts w:cs="Tahoma"/>
          <w:color w:val="0D0D0D" w:themeColor="text1" w:themeTint="F2"/>
        </w:rPr>
        <w:t>Sujeto Obligado</w:t>
      </w:r>
      <w:r w:rsidRPr="00F437D3">
        <w:rPr>
          <w:rFonts w:cs="Tahoma"/>
        </w:rPr>
        <w:t xml:space="preserve">, a efecto de que, previa búsqueda exhaustiva y razonable en los archivos de sus unidades administrativas competentes, entregue </w:t>
      </w:r>
      <w:r w:rsidRPr="00F437D3">
        <w:rPr>
          <w:rFonts w:cs="Tahoma"/>
          <w:bCs/>
          <w:iCs/>
        </w:rPr>
        <w:t>a través del Sistema de Acceso a la Información Mexiquense (SAIMEX), en su caso, en versión pública</w:t>
      </w:r>
      <w:r w:rsidRPr="00F437D3">
        <w:rPr>
          <w:rFonts w:eastAsia="Calibri" w:cs="Tahoma"/>
          <w:iCs/>
          <w:lang w:val="es-ES" w:eastAsia="es-ES_tradnl"/>
        </w:rPr>
        <w:t>,</w:t>
      </w:r>
      <w:r w:rsidR="00AE5CCD">
        <w:rPr>
          <w:rFonts w:eastAsia="Calibri" w:cs="Tahoma"/>
          <w:iCs/>
          <w:lang w:val="es-ES" w:eastAsia="es-ES_tradnl"/>
        </w:rPr>
        <w:t xml:space="preserve"> </w:t>
      </w:r>
      <w:r w:rsidR="00C03631" w:rsidRPr="00854A8C">
        <w:rPr>
          <w:rFonts w:cs="Tahoma"/>
          <w:szCs w:val="24"/>
          <w:lang w:val="es-ES"/>
        </w:rPr>
        <w:t>respecto de</w:t>
      </w:r>
      <w:r w:rsidR="00C03631">
        <w:rPr>
          <w:rFonts w:cs="Tahoma"/>
          <w:szCs w:val="24"/>
          <w:lang w:val="es-ES"/>
        </w:rPr>
        <w:t>l Programa “Luces del Bicentenario”, ejecutado durante el dos mil veinte y dos mil veintiuno, los documentos donde consten lo siguiente:</w:t>
      </w:r>
    </w:p>
    <w:p w14:paraId="20058D1D" w14:textId="77777777" w:rsidR="00C03631" w:rsidRDefault="00C03631" w:rsidP="00C03631">
      <w:pPr>
        <w:tabs>
          <w:tab w:val="left" w:pos="4962"/>
        </w:tabs>
        <w:spacing w:after="0" w:line="360" w:lineRule="auto"/>
        <w:contextualSpacing/>
        <w:rPr>
          <w:rFonts w:cs="Tahoma"/>
          <w:szCs w:val="24"/>
          <w:lang w:val="es-ES"/>
        </w:rPr>
      </w:pPr>
    </w:p>
    <w:p w14:paraId="10035C18" w14:textId="66A9822F" w:rsidR="00C03631" w:rsidRDefault="00C03631" w:rsidP="00C03631">
      <w:pPr>
        <w:pStyle w:val="Prrafodelista"/>
        <w:numPr>
          <w:ilvl w:val="0"/>
          <w:numId w:val="21"/>
        </w:numPr>
        <w:tabs>
          <w:tab w:val="left" w:pos="4962"/>
        </w:tabs>
        <w:spacing w:line="360" w:lineRule="auto"/>
        <w:jc w:val="both"/>
        <w:rPr>
          <w:rFonts w:ascii="Palatino Linotype" w:hAnsi="Palatino Linotype" w:cs="Tahoma"/>
          <w:lang w:val="es-ES"/>
        </w:rPr>
      </w:pPr>
      <w:r w:rsidRPr="00C008C2">
        <w:rPr>
          <w:rFonts w:ascii="Palatino Linotype" w:hAnsi="Palatino Linotype" w:cs="Tahoma"/>
          <w:lang w:val="es-ES"/>
        </w:rPr>
        <w:t xml:space="preserve">Los </w:t>
      </w:r>
      <w:r w:rsidR="00991086" w:rsidRPr="00C008C2">
        <w:rPr>
          <w:rFonts w:ascii="Palatino Linotype" w:hAnsi="Palatino Linotype" w:cs="Tahoma"/>
          <w:lang w:val="es-ES"/>
        </w:rPr>
        <w:t xml:space="preserve">contratos </w:t>
      </w:r>
      <w:r w:rsidRPr="00C008C2">
        <w:rPr>
          <w:rFonts w:ascii="Palatino Linotype" w:hAnsi="Palatino Linotype" w:cs="Tahoma"/>
          <w:lang w:val="es-ES"/>
        </w:rPr>
        <w:t>de adquisición de luminarias,</w:t>
      </w:r>
      <w:r>
        <w:rPr>
          <w:rFonts w:ascii="Palatino Linotype" w:hAnsi="Palatino Linotype" w:cs="Tahoma"/>
          <w:lang w:val="es-ES"/>
        </w:rPr>
        <w:t xml:space="preserve"> y</w:t>
      </w:r>
    </w:p>
    <w:p w14:paraId="0B4D598F" w14:textId="47ADACB6" w:rsidR="00C03631" w:rsidRPr="00A664EF" w:rsidRDefault="00C03631" w:rsidP="00C03631">
      <w:pPr>
        <w:pStyle w:val="Prrafodelista"/>
        <w:numPr>
          <w:ilvl w:val="0"/>
          <w:numId w:val="21"/>
        </w:numPr>
        <w:tabs>
          <w:tab w:val="left" w:pos="4962"/>
        </w:tabs>
        <w:spacing w:line="360" w:lineRule="auto"/>
        <w:jc w:val="both"/>
        <w:rPr>
          <w:rFonts w:ascii="Palatino Linotype" w:hAnsi="Palatino Linotype" w:cs="Tahoma"/>
          <w:lang w:val="es-ES"/>
        </w:rPr>
      </w:pPr>
      <w:r>
        <w:rPr>
          <w:rFonts w:ascii="Palatino Linotype" w:hAnsi="Palatino Linotype" w:cs="Tahoma"/>
          <w:lang w:val="es-ES"/>
        </w:rPr>
        <w:t xml:space="preserve">Los lugares donde se instalaron las luminarias adquiridas por medio de </w:t>
      </w:r>
      <w:r w:rsidRPr="00C008C2">
        <w:rPr>
          <w:rFonts w:ascii="Palatino Linotype" w:hAnsi="Palatino Linotype" w:cs="Tahoma"/>
          <w:lang w:val="es-ES"/>
        </w:rPr>
        <w:t xml:space="preserve">los </w:t>
      </w:r>
      <w:r w:rsidR="00991086" w:rsidRPr="00C008C2">
        <w:rPr>
          <w:rFonts w:ascii="Palatino Linotype" w:hAnsi="Palatino Linotype" w:cs="Tahoma"/>
          <w:lang w:val="es-ES"/>
        </w:rPr>
        <w:t>contratos</w:t>
      </w:r>
      <w:r w:rsidR="00991086">
        <w:rPr>
          <w:rFonts w:ascii="Palatino Linotype" w:hAnsi="Palatino Linotype" w:cs="Tahoma"/>
          <w:lang w:val="es-ES"/>
        </w:rPr>
        <w:t xml:space="preserve"> </w:t>
      </w:r>
      <w:r>
        <w:rPr>
          <w:rFonts w:ascii="Palatino Linotype" w:hAnsi="Palatino Linotype" w:cs="Tahoma"/>
          <w:lang w:val="es-ES"/>
        </w:rPr>
        <w:t>referidos en el punto anterior.</w:t>
      </w:r>
    </w:p>
    <w:p w14:paraId="48F6E477" w14:textId="31716B30" w:rsidR="004B54A2" w:rsidRPr="00E40D4A" w:rsidRDefault="004B54A2" w:rsidP="00C03631">
      <w:pPr>
        <w:tabs>
          <w:tab w:val="left" w:pos="1845"/>
        </w:tabs>
        <w:spacing w:after="0" w:line="360" w:lineRule="auto"/>
        <w:contextualSpacing/>
        <w:rPr>
          <w:rFonts w:eastAsia="Calibri" w:cs="Tahoma"/>
          <w:iCs/>
          <w:lang w:val="es-ES" w:eastAsia="es-ES_tradnl"/>
        </w:rPr>
      </w:pPr>
    </w:p>
    <w:p w14:paraId="747E9BE1" w14:textId="77777777" w:rsidR="003A239D" w:rsidRPr="00AE1D93" w:rsidRDefault="003A239D" w:rsidP="00C03631">
      <w:pPr>
        <w:autoSpaceDE w:val="0"/>
        <w:autoSpaceDN w:val="0"/>
        <w:adjustRightInd w:val="0"/>
        <w:spacing w:after="0" w:line="360" w:lineRule="auto"/>
        <w:contextualSpacing/>
        <w:rPr>
          <w:rFonts w:eastAsia="Calibri" w:cs="Tahoma"/>
          <w:bCs/>
          <w:iCs/>
          <w:color w:val="000000"/>
        </w:rPr>
      </w:pPr>
      <w:r w:rsidRPr="00AE1D93">
        <w:rPr>
          <w:rFonts w:eastAsia="Calibri" w:cs="Tahoma"/>
          <w:bCs/>
          <w:iCs/>
          <w:color w:val="000000"/>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382F0F8F" w14:textId="77777777" w:rsidR="003A239D" w:rsidRPr="00AE1D93" w:rsidRDefault="003A239D" w:rsidP="00C03631">
      <w:pPr>
        <w:autoSpaceDE w:val="0"/>
        <w:autoSpaceDN w:val="0"/>
        <w:adjustRightInd w:val="0"/>
        <w:spacing w:after="0" w:line="360" w:lineRule="auto"/>
        <w:contextualSpacing/>
        <w:rPr>
          <w:rFonts w:eastAsia="Calibri" w:cs="Tahoma"/>
          <w:bCs/>
          <w:iCs/>
          <w:color w:val="000000"/>
        </w:rPr>
      </w:pPr>
    </w:p>
    <w:p w14:paraId="0074AE81" w14:textId="77777777" w:rsidR="003A239D" w:rsidRPr="00AE1D93" w:rsidRDefault="003A239D" w:rsidP="00C03631">
      <w:pPr>
        <w:spacing w:after="0" w:line="360" w:lineRule="auto"/>
        <w:contextualSpacing/>
        <w:rPr>
          <w:rFonts w:eastAsia="Calibri" w:cs="Tahoma"/>
          <w:bCs/>
          <w:iCs/>
        </w:rPr>
      </w:pPr>
      <w:r w:rsidRPr="00AE1D93">
        <w:rPr>
          <w:rFonts w:eastAsia="Calibri" w:cs="Tahoma"/>
          <w:b/>
          <w:bCs/>
          <w:iCs/>
          <w:lang w:val="es-ES"/>
        </w:rPr>
        <w:t>TERCERO</w:t>
      </w:r>
      <w:r w:rsidRPr="00AE1D93">
        <w:rPr>
          <w:rFonts w:eastAsia="Calibri" w:cs="Tahoma"/>
          <w:b/>
          <w:bCs/>
        </w:rPr>
        <w:t xml:space="preserve">. </w:t>
      </w:r>
      <w:r w:rsidRPr="00AE1D93">
        <w:rPr>
          <w:rFonts w:cs="Tahoma"/>
          <w:b/>
        </w:rPr>
        <w:t>NOTIFÍQUESE</w:t>
      </w:r>
      <w:r>
        <w:rPr>
          <w:rFonts w:cs="Tahoma"/>
          <w:b/>
        </w:rPr>
        <w:t xml:space="preserve"> POR SAIMEX</w:t>
      </w:r>
      <w:r w:rsidRPr="00AE1D93">
        <w:rPr>
          <w:rFonts w:cs="Tahoma"/>
          <w:b/>
        </w:rPr>
        <w:t xml:space="preserve"> </w:t>
      </w:r>
      <w:r w:rsidRPr="00AE1D93">
        <w:rPr>
          <w:rFonts w:cs="Tahoma"/>
          <w:b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AE1D93">
        <w:rPr>
          <w:rFonts w:cs="Tahoma"/>
          <w:bCs/>
        </w:rPr>
        <w:lastRenderedPageBreak/>
        <w:t xml:space="preserve">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w:t>
      </w:r>
      <w:r w:rsidRPr="00AE1D93">
        <w:rPr>
          <w:rFonts w:eastAsia="Calibri" w:cs="Tahoma"/>
          <w:iCs/>
          <w:color w:val="000000"/>
        </w:rPr>
        <w:t>de Transparencia y Acceso a la Información Pública del Estado de México y Municipios</w:t>
      </w:r>
      <w:r w:rsidRPr="00AE1D93">
        <w:rPr>
          <w:rFonts w:cs="Tahoma"/>
          <w:bCs/>
        </w:rPr>
        <w:t>.</w:t>
      </w:r>
    </w:p>
    <w:p w14:paraId="17573E44" w14:textId="77777777" w:rsidR="003A239D" w:rsidRPr="00AE1D93" w:rsidRDefault="003A239D" w:rsidP="00C03631">
      <w:pPr>
        <w:spacing w:after="0" w:line="360" w:lineRule="auto"/>
        <w:contextualSpacing/>
        <w:rPr>
          <w:rFonts w:eastAsia="Calibri" w:cs="Tahoma"/>
          <w:lang w:eastAsia="es-MX"/>
        </w:rPr>
      </w:pPr>
    </w:p>
    <w:p w14:paraId="08FC8169" w14:textId="77777777" w:rsidR="003A239D" w:rsidRPr="00AE1D93" w:rsidRDefault="003A239D" w:rsidP="00C03631">
      <w:pPr>
        <w:spacing w:after="0" w:line="360" w:lineRule="auto"/>
        <w:contextualSpacing/>
        <w:rPr>
          <w:rFonts w:eastAsia="Calibri" w:cs="Tahoma"/>
          <w:iCs/>
          <w:color w:val="000000"/>
        </w:rPr>
      </w:pPr>
      <w:r w:rsidRPr="00AE1D93">
        <w:rPr>
          <w:rFonts w:eastAsia="Calibri" w:cs="Tahoma"/>
          <w:iCs/>
          <w:color w:val="000000"/>
        </w:rPr>
        <w:t xml:space="preserve">De conformidad con el artículo 198 de la Ley </w:t>
      </w:r>
      <w:r>
        <w:rPr>
          <w:rFonts w:eastAsia="Calibri" w:cs="Tahoma"/>
          <w:iCs/>
          <w:color w:val="000000"/>
        </w:rPr>
        <w:t>de la materia</w:t>
      </w:r>
      <w:r w:rsidRPr="00AE1D93">
        <w:rPr>
          <w:rFonts w:eastAsia="Calibri" w:cs="Tahoma"/>
          <w:iCs/>
          <w:color w:val="000000"/>
        </w:rPr>
        <w:t>, de considerarlo procedente, el Sujeto Obligado de manera fundada y motivada, podrá solicitar una ampliación de plazo para el cumplimiento de la presente Resolución.</w:t>
      </w:r>
    </w:p>
    <w:p w14:paraId="59FD5BCB" w14:textId="77777777" w:rsidR="003A239D" w:rsidRPr="00AE1D93" w:rsidRDefault="003A239D" w:rsidP="00C03631">
      <w:pPr>
        <w:spacing w:after="0" w:line="360" w:lineRule="auto"/>
        <w:ind w:right="-28"/>
        <w:contextualSpacing/>
        <w:rPr>
          <w:rFonts w:eastAsia="Calibri" w:cs="Tahoma"/>
          <w:color w:val="000000"/>
          <w:lang w:val="es-ES" w:eastAsia="es-MX"/>
        </w:rPr>
      </w:pPr>
    </w:p>
    <w:p w14:paraId="67B7573E" w14:textId="77777777" w:rsidR="003A239D" w:rsidRPr="00AE1D93" w:rsidRDefault="003A239D" w:rsidP="00C03631">
      <w:pPr>
        <w:spacing w:after="0" w:line="360" w:lineRule="auto"/>
        <w:contextualSpacing/>
      </w:pPr>
      <w:r w:rsidRPr="00AE1D93">
        <w:rPr>
          <w:b/>
        </w:rPr>
        <w:t>CUARTO. NOTIFÍQUESE</w:t>
      </w:r>
      <w:r>
        <w:rPr>
          <w:b/>
        </w:rPr>
        <w:t xml:space="preserve"> POR SAIMEX</w:t>
      </w:r>
      <w:r w:rsidRPr="00AE1D93">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F9ADB9B" w14:textId="77777777" w:rsidR="003A239D" w:rsidRPr="00AE1D93" w:rsidRDefault="003A239D" w:rsidP="00C03631">
      <w:pPr>
        <w:spacing w:after="0" w:line="360" w:lineRule="auto"/>
        <w:contextualSpacing/>
      </w:pPr>
    </w:p>
    <w:p w14:paraId="72E7D3B3" w14:textId="396BDFBC" w:rsidR="003A239D" w:rsidRDefault="003A239D" w:rsidP="00C03631">
      <w:pPr>
        <w:spacing w:after="0" w:line="360" w:lineRule="auto"/>
        <w:contextualSpacing/>
        <w:rPr>
          <w:rFonts w:eastAsia="Calibri" w:cs="Tahoma"/>
          <w:lang w:val="es-ES" w:eastAsia="es-ES_tradnl"/>
        </w:rPr>
      </w:pPr>
      <w:r w:rsidRPr="00AE1D93">
        <w:rPr>
          <w:rFonts w:eastAsia="Calibri" w:cs="Tahoma"/>
          <w:lang w:val="es-ES" w:eastAsia="es-ES_tradnl"/>
        </w:rPr>
        <w:t xml:space="preserve">ASÍ LO RESUELVE, </w:t>
      </w:r>
      <w:r w:rsidRPr="00AE1D93">
        <w:rPr>
          <w:rFonts w:eastAsia="Calibri" w:cs="Tahoma"/>
          <w:b/>
          <w:bCs/>
          <w:lang w:val="es-ES" w:eastAsia="es-ES_tradnl"/>
        </w:rPr>
        <w:t>POR UNANIMIDAD</w:t>
      </w:r>
      <w:r w:rsidRPr="00AE1D93">
        <w:rPr>
          <w:rFonts w:eastAsia="Calibri" w:cs="Tahoma"/>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D4484">
        <w:rPr>
          <w:rFonts w:eastAsia="Calibri" w:cs="Tahoma"/>
          <w:lang w:val="es-ES" w:eastAsia="es-ES_tradnl"/>
        </w:rPr>
        <w:t>TR</w:t>
      </w:r>
      <w:r>
        <w:rPr>
          <w:rFonts w:eastAsia="Calibri" w:cs="Tahoma"/>
          <w:lang w:val="es-ES" w:eastAsia="es-ES_tradnl"/>
        </w:rPr>
        <w:t>IG</w:t>
      </w:r>
      <w:r w:rsidRPr="00AE1D93">
        <w:rPr>
          <w:rFonts w:eastAsia="Calibri" w:cs="Tahoma"/>
          <w:lang w:val="es-ES" w:eastAsia="es-ES_tradnl"/>
        </w:rPr>
        <w:t>É</w:t>
      </w:r>
      <w:r w:rsidR="006D4484">
        <w:rPr>
          <w:rFonts w:eastAsia="Calibri" w:cs="Tahoma"/>
          <w:lang w:val="es-ES" w:eastAsia="es-ES_tradnl"/>
        </w:rPr>
        <w:t>S</w:t>
      </w:r>
      <w:r w:rsidRPr="00AE1D93">
        <w:rPr>
          <w:rFonts w:eastAsia="Calibri" w:cs="Tahoma"/>
          <w:lang w:val="es-ES" w:eastAsia="es-ES_tradnl"/>
        </w:rPr>
        <w:t xml:space="preserve">IMA </w:t>
      </w:r>
      <w:r w:rsidR="00CE522B">
        <w:rPr>
          <w:rFonts w:eastAsia="Calibri" w:cs="Tahoma"/>
          <w:lang w:val="es-ES" w:eastAsia="es-ES_tradnl"/>
        </w:rPr>
        <w:t>SÉPTIMA</w:t>
      </w:r>
      <w:r w:rsidR="00E40D4A">
        <w:rPr>
          <w:rFonts w:eastAsia="Calibri" w:cs="Tahoma"/>
          <w:lang w:val="es-ES" w:eastAsia="es-ES_tradnl"/>
        </w:rPr>
        <w:t xml:space="preserve"> SESIÓN</w:t>
      </w:r>
      <w:r w:rsidRPr="00AE1D93">
        <w:rPr>
          <w:rFonts w:eastAsia="Calibri" w:cs="Tahoma"/>
          <w:lang w:val="es-ES" w:eastAsia="es-ES_tradnl"/>
        </w:rPr>
        <w:t xml:space="preserve"> ORDINARIA, CELEBRADA EL </w:t>
      </w:r>
      <w:r w:rsidR="0047609B">
        <w:rPr>
          <w:rFonts w:eastAsia="Calibri" w:cs="Tahoma"/>
          <w:lang w:val="es-ES" w:eastAsia="es-ES_tradnl"/>
        </w:rPr>
        <w:t>DIECISÉIS</w:t>
      </w:r>
      <w:r w:rsidR="00E40D4A">
        <w:rPr>
          <w:rFonts w:eastAsia="Calibri" w:cs="Tahoma"/>
          <w:lang w:val="es-ES" w:eastAsia="es-ES_tradnl"/>
        </w:rPr>
        <w:t xml:space="preserve"> DE OCTUBRE</w:t>
      </w:r>
      <w:r>
        <w:rPr>
          <w:rFonts w:eastAsia="Calibri" w:cs="Tahoma"/>
          <w:lang w:val="es-ES" w:eastAsia="es-ES_tradnl"/>
        </w:rPr>
        <w:t xml:space="preserve"> </w:t>
      </w:r>
      <w:r w:rsidRPr="00AE1D93">
        <w:rPr>
          <w:rFonts w:eastAsia="Calibri" w:cs="Tahoma"/>
          <w:lang w:val="es-ES" w:eastAsia="es-ES_tradnl"/>
        </w:rPr>
        <w:t>DE DOS MIL VEINTICUATRO, ANTE EL SECRETARIO TÉCNICO DEL PLENO, ALEXIS TAPIA RAMÍREZ.</w:t>
      </w:r>
    </w:p>
    <w:p w14:paraId="42B166C0" w14:textId="77777777" w:rsidR="003A239D" w:rsidRPr="00854A8C" w:rsidRDefault="003A239D" w:rsidP="00C03631">
      <w:pPr>
        <w:spacing w:after="0" w:line="360" w:lineRule="auto"/>
        <w:contextualSpacing/>
      </w:pPr>
    </w:p>
    <w:p w14:paraId="2ABF9CCF" w14:textId="77777777" w:rsidR="00306B1A" w:rsidRPr="00854A8C" w:rsidRDefault="00306B1A" w:rsidP="00C03631">
      <w:pPr>
        <w:spacing w:after="0" w:line="360" w:lineRule="auto"/>
        <w:contextualSpacing/>
      </w:pPr>
    </w:p>
    <w:p w14:paraId="13EF6880" w14:textId="77777777" w:rsidR="00306B1A" w:rsidRPr="00854A8C" w:rsidRDefault="00306B1A" w:rsidP="00C03631">
      <w:pPr>
        <w:spacing w:after="0" w:line="360" w:lineRule="auto"/>
        <w:contextualSpacing/>
      </w:pPr>
    </w:p>
    <w:p w14:paraId="6288ABEC" w14:textId="77777777" w:rsidR="00306B1A" w:rsidRPr="00854A8C" w:rsidRDefault="00306B1A" w:rsidP="00C03631">
      <w:pPr>
        <w:spacing w:after="0" w:line="360" w:lineRule="auto"/>
        <w:contextualSpacing/>
      </w:pPr>
    </w:p>
    <w:p w14:paraId="30386A22" w14:textId="77777777" w:rsidR="00306B1A" w:rsidRPr="00854A8C" w:rsidRDefault="00306B1A" w:rsidP="00C03631">
      <w:pPr>
        <w:spacing w:after="0" w:line="360" w:lineRule="auto"/>
        <w:contextualSpacing/>
      </w:pPr>
    </w:p>
    <w:p w14:paraId="7F4C5551" w14:textId="77777777" w:rsidR="00306B1A" w:rsidRPr="00854A8C" w:rsidRDefault="00306B1A" w:rsidP="00C03631">
      <w:pPr>
        <w:spacing w:after="0" w:line="360" w:lineRule="auto"/>
        <w:contextualSpacing/>
      </w:pPr>
    </w:p>
    <w:p w14:paraId="2E7202C2" w14:textId="77777777" w:rsidR="00306B1A" w:rsidRPr="00854A8C" w:rsidRDefault="00306B1A" w:rsidP="00C03631">
      <w:pPr>
        <w:spacing w:after="0" w:line="360" w:lineRule="auto"/>
        <w:contextualSpacing/>
      </w:pPr>
    </w:p>
    <w:p w14:paraId="66E0898B" w14:textId="77777777" w:rsidR="00306B1A" w:rsidRPr="00854A8C" w:rsidRDefault="00306B1A" w:rsidP="00C03631">
      <w:pPr>
        <w:spacing w:after="0" w:line="360" w:lineRule="auto"/>
        <w:contextualSpacing/>
      </w:pPr>
    </w:p>
    <w:p w14:paraId="4F0974C2" w14:textId="77777777" w:rsidR="00306B1A" w:rsidRPr="00854A8C" w:rsidRDefault="00306B1A" w:rsidP="00C03631">
      <w:pPr>
        <w:spacing w:after="0" w:line="360" w:lineRule="auto"/>
        <w:contextualSpacing/>
      </w:pPr>
    </w:p>
    <w:p w14:paraId="38D11975" w14:textId="77777777" w:rsidR="00306B1A" w:rsidRPr="00854A8C" w:rsidRDefault="00306B1A" w:rsidP="00C03631">
      <w:pPr>
        <w:spacing w:after="0" w:line="360" w:lineRule="auto"/>
        <w:contextualSpacing/>
      </w:pPr>
    </w:p>
    <w:p w14:paraId="48CA7552" w14:textId="77777777" w:rsidR="00306B1A" w:rsidRPr="00854A8C" w:rsidRDefault="00306B1A" w:rsidP="00C03631">
      <w:pPr>
        <w:spacing w:after="0" w:line="360" w:lineRule="auto"/>
        <w:contextualSpacing/>
        <w:jc w:val="center"/>
      </w:pPr>
    </w:p>
    <w:p w14:paraId="1A03A023" w14:textId="77777777" w:rsidR="00306B1A" w:rsidRPr="00854A8C" w:rsidRDefault="00306B1A" w:rsidP="00C03631">
      <w:pPr>
        <w:spacing w:after="0" w:line="360" w:lineRule="auto"/>
        <w:contextualSpacing/>
      </w:pPr>
    </w:p>
    <w:p w14:paraId="18230DEC" w14:textId="77777777" w:rsidR="00306B1A" w:rsidRPr="00854A8C" w:rsidRDefault="00306B1A" w:rsidP="00C03631">
      <w:pPr>
        <w:spacing w:after="0" w:line="360" w:lineRule="auto"/>
        <w:contextualSpacing/>
      </w:pPr>
    </w:p>
    <w:p w14:paraId="13D9DAD9" w14:textId="77777777" w:rsidR="00306B1A" w:rsidRPr="00854A8C" w:rsidRDefault="00306B1A" w:rsidP="00C03631">
      <w:pPr>
        <w:spacing w:after="0" w:line="360" w:lineRule="auto"/>
        <w:contextualSpacing/>
      </w:pPr>
    </w:p>
    <w:p w14:paraId="27AD6E95" w14:textId="77777777" w:rsidR="00FF2D52" w:rsidRDefault="00FF2D52" w:rsidP="00C03631">
      <w:pPr>
        <w:spacing w:after="0" w:line="360" w:lineRule="auto"/>
        <w:contextualSpacing/>
      </w:pPr>
    </w:p>
    <w:p w14:paraId="1BC1D303" w14:textId="77777777" w:rsidR="006D4484" w:rsidRDefault="006D4484" w:rsidP="00C03631">
      <w:pPr>
        <w:spacing w:after="0" w:line="360" w:lineRule="auto"/>
        <w:contextualSpacing/>
      </w:pPr>
    </w:p>
    <w:p w14:paraId="365764C2" w14:textId="77777777" w:rsidR="006D4484" w:rsidRDefault="006D4484" w:rsidP="00C03631">
      <w:pPr>
        <w:spacing w:after="0" w:line="360" w:lineRule="auto"/>
        <w:contextualSpacing/>
      </w:pPr>
    </w:p>
    <w:p w14:paraId="7D5A3A44" w14:textId="77777777" w:rsidR="006D4484" w:rsidRDefault="006D4484" w:rsidP="00C03631">
      <w:pPr>
        <w:spacing w:after="0" w:line="360" w:lineRule="auto"/>
        <w:contextualSpacing/>
      </w:pPr>
    </w:p>
    <w:p w14:paraId="34093D26" w14:textId="77777777" w:rsidR="006D4484" w:rsidRDefault="006D4484" w:rsidP="00C03631">
      <w:pPr>
        <w:spacing w:after="0" w:line="360" w:lineRule="auto"/>
        <w:contextualSpacing/>
      </w:pPr>
    </w:p>
    <w:p w14:paraId="5ED9F1A0" w14:textId="77777777" w:rsidR="006D4484" w:rsidRDefault="006D4484" w:rsidP="00C03631">
      <w:pPr>
        <w:spacing w:after="0" w:line="360" w:lineRule="auto"/>
        <w:contextualSpacing/>
      </w:pPr>
    </w:p>
    <w:sectPr w:rsidR="006D4484" w:rsidSect="00C2038F">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30091" w14:textId="77777777" w:rsidR="005B4644" w:rsidRDefault="005B4644" w:rsidP="00306B1A">
      <w:pPr>
        <w:spacing w:after="0" w:line="240" w:lineRule="auto"/>
      </w:pPr>
      <w:r>
        <w:separator/>
      </w:r>
    </w:p>
  </w:endnote>
  <w:endnote w:type="continuationSeparator" w:id="0">
    <w:p w14:paraId="1DA12165" w14:textId="77777777" w:rsidR="005B4644" w:rsidRDefault="005B4644" w:rsidP="0030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04013"/>
      <w:docPartObj>
        <w:docPartGallery w:val="Page Numbers (Bottom of Page)"/>
        <w:docPartUnique/>
      </w:docPartObj>
    </w:sdtPr>
    <w:sdtEndPr/>
    <w:sdtContent>
      <w:sdt>
        <w:sdtPr>
          <w:id w:val="1114872018"/>
          <w:docPartObj>
            <w:docPartGallery w:val="Page Numbers (Top of Page)"/>
            <w:docPartUnique/>
          </w:docPartObj>
        </w:sdtPr>
        <w:sdtEndPr/>
        <w:sdtContent>
          <w:p w14:paraId="38C4C0FC" w14:textId="77777777" w:rsidR="00915BEA" w:rsidRDefault="00915BE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14:paraId="6F2C4E8C" w14:textId="77777777" w:rsidR="00915BEA" w:rsidRDefault="00915B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71782"/>
      <w:docPartObj>
        <w:docPartGallery w:val="Page Numbers (Bottom of Page)"/>
        <w:docPartUnique/>
      </w:docPartObj>
    </w:sdtPr>
    <w:sdtEndPr/>
    <w:sdtContent>
      <w:sdt>
        <w:sdtPr>
          <w:id w:val="1890534867"/>
          <w:docPartObj>
            <w:docPartGallery w:val="Page Numbers (Top of Page)"/>
            <w:docPartUnique/>
          </w:docPartObj>
        </w:sdtPr>
        <w:sdtEndPr/>
        <w:sdtContent>
          <w:p w14:paraId="32031041" w14:textId="77777777" w:rsidR="00915BEA" w:rsidRDefault="00915BE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7E17">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7E17">
              <w:rPr>
                <w:b/>
                <w:bCs/>
                <w:noProof/>
              </w:rPr>
              <w:t>39</w:t>
            </w:r>
            <w:r>
              <w:rPr>
                <w:b/>
                <w:bCs/>
                <w:sz w:val="24"/>
                <w:szCs w:val="24"/>
              </w:rPr>
              <w:fldChar w:fldCharType="end"/>
            </w:r>
          </w:p>
        </w:sdtContent>
      </w:sdt>
    </w:sdtContent>
  </w:sdt>
  <w:p w14:paraId="3A935E63" w14:textId="77777777" w:rsidR="00915BEA" w:rsidRDefault="00915BE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06442"/>
      <w:docPartObj>
        <w:docPartGallery w:val="Page Numbers (Bottom of Page)"/>
        <w:docPartUnique/>
      </w:docPartObj>
    </w:sdtPr>
    <w:sdtEndPr/>
    <w:sdtContent>
      <w:sdt>
        <w:sdtPr>
          <w:id w:val="-1769616900"/>
          <w:docPartObj>
            <w:docPartGallery w:val="Page Numbers (Top of Page)"/>
            <w:docPartUnique/>
          </w:docPartObj>
        </w:sdtPr>
        <w:sdtEndPr/>
        <w:sdtContent>
          <w:p w14:paraId="6C99A121" w14:textId="77777777" w:rsidR="00915BEA" w:rsidRDefault="00915BE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7E1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7E17">
              <w:rPr>
                <w:b/>
                <w:bCs/>
                <w:noProof/>
              </w:rPr>
              <w:t>39</w:t>
            </w:r>
            <w:r>
              <w:rPr>
                <w:b/>
                <w:bCs/>
                <w:sz w:val="24"/>
                <w:szCs w:val="24"/>
              </w:rPr>
              <w:fldChar w:fldCharType="end"/>
            </w:r>
          </w:p>
        </w:sdtContent>
      </w:sdt>
    </w:sdtContent>
  </w:sdt>
  <w:p w14:paraId="5CC756D6" w14:textId="77777777" w:rsidR="00915BEA" w:rsidRDefault="00915BEA" w:rsidP="00C2038F">
    <w:pPr>
      <w:pStyle w:val="Piedepgina"/>
      <w:tabs>
        <w:tab w:val="clear" w:pos="4419"/>
        <w:tab w:val="clear" w:pos="8838"/>
        <w:tab w:val="left" w:pos="39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09C5" w14:textId="77777777" w:rsidR="005B4644" w:rsidRDefault="005B4644" w:rsidP="00306B1A">
      <w:pPr>
        <w:spacing w:after="0" w:line="240" w:lineRule="auto"/>
      </w:pPr>
      <w:r>
        <w:separator/>
      </w:r>
    </w:p>
  </w:footnote>
  <w:footnote w:type="continuationSeparator" w:id="0">
    <w:p w14:paraId="0B96F33C" w14:textId="77777777" w:rsidR="005B4644" w:rsidRDefault="005B4644" w:rsidP="00306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Layout w:type="fixed"/>
      <w:tblLook w:val="04A0" w:firstRow="1" w:lastRow="0" w:firstColumn="1" w:lastColumn="0" w:noHBand="0" w:noVBand="1"/>
    </w:tblPr>
    <w:tblGrid>
      <w:gridCol w:w="3260"/>
      <w:gridCol w:w="6730"/>
    </w:tblGrid>
    <w:tr w:rsidR="00915BEA" w:rsidRPr="008C644E" w14:paraId="633FE70D" w14:textId="77777777" w:rsidTr="00C2038F">
      <w:trPr>
        <w:trHeight w:val="1435"/>
      </w:trPr>
      <w:tc>
        <w:tcPr>
          <w:tcW w:w="3261" w:type="dxa"/>
        </w:tcPr>
        <w:p w14:paraId="25F821DF" w14:textId="77777777" w:rsidR="00915BEA" w:rsidRPr="008C644E" w:rsidRDefault="00915BEA" w:rsidP="00C2038F">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915BEA" w:rsidRPr="008C644E" w14:paraId="3BF84304" w14:textId="77777777" w:rsidTr="00C2038F">
            <w:trPr>
              <w:trHeight w:val="144"/>
            </w:trPr>
            <w:tc>
              <w:tcPr>
                <w:tcW w:w="2559" w:type="dxa"/>
                <w:hideMark/>
              </w:tcPr>
              <w:p w14:paraId="3B382395" w14:textId="77777777" w:rsidR="00915BEA" w:rsidRPr="008C644E" w:rsidRDefault="00915BEA" w:rsidP="00C2038F">
                <w:pPr>
                  <w:pStyle w:val="Encabezado"/>
                  <w:rPr>
                    <w:b/>
                  </w:rPr>
                </w:pPr>
                <w:r w:rsidRPr="008C644E">
                  <w:rPr>
                    <w:b/>
                  </w:rPr>
                  <w:t>Recurso de Revisión:</w:t>
                </w:r>
              </w:p>
            </w:tc>
            <w:tc>
              <w:tcPr>
                <w:tcW w:w="3259" w:type="dxa"/>
                <w:hideMark/>
              </w:tcPr>
              <w:p w14:paraId="73B9CE1D" w14:textId="77777777" w:rsidR="00915BEA" w:rsidRPr="008C644E" w:rsidRDefault="00915BEA" w:rsidP="00C2038F">
                <w:pPr>
                  <w:pStyle w:val="Encabezado"/>
                </w:pPr>
                <w:r>
                  <w:t>01226/INFOEM/IP/RR/2022</w:t>
                </w:r>
              </w:p>
            </w:tc>
            <w:tc>
              <w:tcPr>
                <w:tcW w:w="3402" w:type="dxa"/>
              </w:tcPr>
              <w:p w14:paraId="3A251736" w14:textId="77777777" w:rsidR="00915BEA" w:rsidRPr="008C644E" w:rsidRDefault="00915BEA" w:rsidP="00C2038F">
                <w:pPr>
                  <w:pStyle w:val="Encabezado"/>
                  <w:rPr>
                    <w:bCs/>
                  </w:rPr>
                </w:pPr>
              </w:p>
            </w:tc>
          </w:tr>
          <w:tr w:rsidR="00915BEA" w:rsidRPr="008C644E" w14:paraId="7AC3CCB8" w14:textId="77777777" w:rsidTr="00C2038F">
            <w:trPr>
              <w:trHeight w:val="283"/>
            </w:trPr>
            <w:tc>
              <w:tcPr>
                <w:tcW w:w="2559" w:type="dxa"/>
                <w:hideMark/>
              </w:tcPr>
              <w:p w14:paraId="3E2FC679" w14:textId="77777777" w:rsidR="00915BEA" w:rsidRPr="008C644E" w:rsidRDefault="00915BEA" w:rsidP="00C2038F">
                <w:pPr>
                  <w:pStyle w:val="Encabezado"/>
                  <w:rPr>
                    <w:b/>
                  </w:rPr>
                </w:pPr>
                <w:r w:rsidRPr="008C644E">
                  <w:rPr>
                    <w:b/>
                  </w:rPr>
                  <w:t>Sujeto Obligado:</w:t>
                </w:r>
              </w:p>
            </w:tc>
            <w:tc>
              <w:tcPr>
                <w:tcW w:w="3259" w:type="dxa"/>
                <w:hideMark/>
              </w:tcPr>
              <w:p w14:paraId="49DDD783" w14:textId="77777777" w:rsidR="00915BEA" w:rsidRPr="008C644E" w:rsidRDefault="00915BEA" w:rsidP="00C2038F">
                <w:pPr>
                  <w:pStyle w:val="Encabezado"/>
                </w:pPr>
                <w:r w:rsidRPr="008C644E">
                  <w:rPr>
                    <w:lang w:val="es-MX"/>
                  </w:rPr>
                  <w:t>Ayuntamiento</w:t>
                </w:r>
                <w:r>
                  <w:rPr>
                    <w:lang w:val="es-MX"/>
                  </w:rPr>
                  <w:t xml:space="preserve"> de</w:t>
                </w:r>
                <w:r w:rsidRPr="008C644E">
                  <w:rPr>
                    <w:lang w:val="es-MX"/>
                  </w:rPr>
                  <w:t xml:space="preserve"> </w:t>
                </w:r>
                <w:r>
                  <w:rPr>
                    <w:lang w:val="es-MX"/>
                  </w:rPr>
                  <w:t>Temascalapa</w:t>
                </w:r>
              </w:p>
            </w:tc>
            <w:tc>
              <w:tcPr>
                <w:tcW w:w="3402" w:type="dxa"/>
              </w:tcPr>
              <w:p w14:paraId="5EA1A856" w14:textId="77777777" w:rsidR="00915BEA" w:rsidRPr="008C644E" w:rsidRDefault="00915BEA" w:rsidP="00C2038F">
                <w:pPr>
                  <w:pStyle w:val="Encabezado"/>
                </w:pPr>
              </w:p>
            </w:tc>
          </w:tr>
          <w:tr w:rsidR="00915BEA" w:rsidRPr="008C644E" w14:paraId="67A9777A" w14:textId="77777777" w:rsidTr="00C2038F">
            <w:trPr>
              <w:trHeight w:val="283"/>
            </w:trPr>
            <w:tc>
              <w:tcPr>
                <w:tcW w:w="2559" w:type="dxa"/>
                <w:hideMark/>
              </w:tcPr>
              <w:p w14:paraId="4491BB1C" w14:textId="77777777" w:rsidR="00915BEA" w:rsidRPr="008C644E" w:rsidRDefault="00915BEA" w:rsidP="00C2038F">
                <w:pPr>
                  <w:pStyle w:val="Encabezado"/>
                  <w:rPr>
                    <w:b/>
                  </w:rPr>
                </w:pPr>
                <w:r w:rsidRPr="008C644E">
                  <w:rPr>
                    <w:b/>
                  </w:rPr>
                  <w:t xml:space="preserve">Comisionado Ponente: </w:t>
                </w:r>
              </w:p>
            </w:tc>
            <w:tc>
              <w:tcPr>
                <w:tcW w:w="3259" w:type="dxa"/>
                <w:hideMark/>
              </w:tcPr>
              <w:p w14:paraId="25C3FC36" w14:textId="77777777" w:rsidR="00915BEA" w:rsidRPr="008C644E" w:rsidRDefault="00915BEA" w:rsidP="00C2038F">
                <w:pPr>
                  <w:pStyle w:val="Encabezado"/>
                  <w:rPr>
                    <w:b/>
                  </w:rPr>
                </w:pPr>
                <w:r w:rsidRPr="008C644E">
                  <w:t>Luis Gustavo Parra Noriega</w:t>
                </w:r>
              </w:p>
            </w:tc>
            <w:tc>
              <w:tcPr>
                <w:tcW w:w="3402" w:type="dxa"/>
              </w:tcPr>
              <w:p w14:paraId="6AAF71B1" w14:textId="77777777" w:rsidR="00915BEA" w:rsidRPr="008C644E" w:rsidRDefault="00915BEA" w:rsidP="00C2038F">
                <w:pPr>
                  <w:pStyle w:val="Encabezado"/>
                </w:pPr>
              </w:p>
            </w:tc>
          </w:tr>
        </w:tbl>
        <w:p w14:paraId="6B597DE7" w14:textId="77777777" w:rsidR="00915BEA" w:rsidRPr="008C644E" w:rsidRDefault="00915BEA" w:rsidP="00C2038F">
          <w:pPr>
            <w:pStyle w:val="Encabezado"/>
            <w:rPr>
              <w:b/>
            </w:rPr>
          </w:pPr>
        </w:p>
      </w:tc>
    </w:tr>
  </w:tbl>
  <w:p w14:paraId="258FB95D" w14:textId="77777777" w:rsidR="00915BEA" w:rsidRDefault="005B4644">
    <w:pPr>
      <w:pStyle w:val="Encabezado"/>
    </w:pPr>
    <w:r>
      <w:rPr>
        <w:noProof/>
      </w:rPr>
      <w:pict w14:anchorId="12FEB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2049" type="#_x0000_t75" style="position:absolute;left:0;text-align:left;margin-left:0;margin-top:0;width:663.5pt;height:12in;z-index:-251657216;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2552"/>
      <w:gridCol w:w="7796"/>
    </w:tblGrid>
    <w:tr w:rsidR="00915BEA" w14:paraId="221B6DC0" w14:textId="77777777" w:rsidTr="00C2038F">
      <w:trPr>
        <w:trHeight w:val="1435"/>
      </w:trPr>
      <w:tc>
        <w:tcPr>
          <w:tcW w:w="2552" w:type="dxa"/>
        </w:tcPr>
        <w:p w14:paraId="093AEA51" w14:textId="77777777" w:rsidR="00915BEA" w:rsidRDefault="00915BEA" w:rsidP="00C2038F">
          <w:pPr>
            <w:tabs>
              <w:tab w:val="right" w:pos="4273"/>
            </w:tabs>
            <w:spacing w:line="256" w:lineRule="auto"/>
            <w:rPr>
              <w:rFonts w:ascii="Garamond" w:eastAsia="Calibri" w:hAnsi="Garamond"/>
              <w:color w:val="auto"/>
            </w:rPr>
          </w:pPr>
        </w:p>
      </w:tc>
      <w:tc>
        <w:tcPr>
          <w:tcW w:w="7796" w:type="dxa"/>
          <w:hideMark/>
        </w:tcPr>
        <w:p w14:paraId="343BD648" w14:textId="77777777" w:rsidR="00915BEA" w:rsidRDefault="00915BEA"/>
        <w:tbl>
          <w:tblPr>
            <w:tblStyle w:val="Tablaconcuadrcula"/>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4110"/>
            <w:gridCol w:w="3091"/>
          </w:tblGrid>
          <w:tr w:rsidR="00915BEA" w14:paraId="29DDA21E" w14:textId="77777777" w:rsidTr="00C2038F">
            <w:trPr>
              <w:trHeight w:val="144"/>
            </w:trPr>
            <w:tc>
              <w:tcPr>
                <w:tcW w:w="2410" w:type="dxa"/>
                <w:hideMark/>
              </w:tcPr>
              <w:p w14:paraId="76984C1D" w14:textId="77777777" w:rsidR="00915BEA" w:rsidRDefault="00915BEA" w:rsidP="00C2038F">
                <w:pPr>
                  <w:tabs>
                    <w:tab w:val="right" w:pos="8838"/>
                  </w:tabs>
                  <w:ind w:left="-74" w:right="-105"/>
                  <w:rPr>
                    <w:rFonts w:eastAsia="Calibri" w:cs="Tahoma"/>
                    <w:b/>
                  </w:rPr>
                </w:pPr>
                <w:bookmarkStart w:id="2" w:name="_Hlk12526980"/>
                <w:r>
                  <w:rPr>
                    <w:rFonts w:eastAsia="Calibri" w:cs="Tahoma"/>
                    <w:b/>
                  </w:rPr>
                  <w:t>Recurso de Revisión:</w:t>
                </w:r>
              </w:p>
            </w:tc>
            <w:tc>
              <w:tcPr>
                <w:tcW w:w="4110" w:type="dxa"/>
                <w:hideMark/>
              </w:tcPr>
              <w:p w14:paraId="4BACEB12" w14:textId="77777777" w:rsidR="00915BEA" w:rsidRDefault="00915BEA" w:rsidP="00C2038F">
                <w:pPr>
                  <w:tabs>
                    <w:tab w:val="right" w:pos="8838"/>
                  </w:tabs>
                  <w:ind w:left="-74" w:right="-105"/>
                  <w:rPr>
                    <w:rFonts w:eastAsia="Calibri" w:cs="Tahoma"/>
                    <w:bCs/>
                  </w:rPr>
                </w:pPr>
                <w:r>
                  <w:t>01956/INFOEM/IP/RR/2024 y acumulado</w:t>
                </w:r>
              </w:p>
            </w:tc>
            <w:tc>
              <w:tcPr>
                <w:tcW w:w="3091" w:type="dxa"/>
              </w:tcPr>
              <w:p w14:paraId="43C2F92A" w14:textId="77777777" w:rsidR="00915BEA" w:rsidRDefault="00915BEA" w:rsidP="00C2038F">
                <w:pPr>
                  <w:tabs>
                    <w:tab w:val="right" w:pos="8838"/>
                  </w:tabs>
                  <w:ind w:left="-74" w:right="-105"/>
                  <w:rPr>
                    <w:rFonts w:eastAsia="Calibri" w:cs="Tahoma"/>
                    <w:bCs/>
                  </w:rPr>
                </w:pPr>
              </w:p>
            </w:tc>
            <w:bookmarkEnd w:id="2"/>
          </w:tr>
          <w:tr w:rsidR="00915BEA" w14:paraId="64193097" w14:textId="77777777" w:rsidTr="00C2038F">
            <w:trPr>
              <w:trHeight w:val="283"/>
            </w:trPr>
            <w:tc>
              <w:tcPr>
                <w:tcW w:w="2410" w:type="dxa"/>
                <w:hideMark/>
              </w:tcPr>
              <w:p w14:paraId="36A114EB" w14:textId="77777777" w:rsidR="00915BEA" w:rsidRDefault="00915BEA" w:rsidP="00C2038F">
                <w:pPr>
                  <w:tabs>
                    <w:tab w:val="right" w:pos="8838"/>
                  </w:tabs>
                  <w:ind w:left="-74" w:right="-105"/>
                  <w:rPr>
                    <w:rFonts w:eastAsia="Calibri" w:cs="Tahoma"/>
                    <w:b/>
                  </w:rPr>
                </w:pPr>
                <w:r>
                  <w:rPr>
                    <w:rFonts w:eastAsia="Calibri" w:cs="Tahoma"/>
                    <w:b/>
                  </w:rPr>
                  <w:t>Sujeto Obligado:</w:t>
                </w:r>
              </w:p>
            </w:tc>
            <w:tc>
              <w:tcPr>
                <w:tcW w:w="4110" w:type="dxa"/>
                <w:hideMark/>
              </w:tcPr>
              <w:p w14:paraId="5CAC41CD" w14:textId="77777777" w:rsidR="00915BEA" w:rsidRPr="008C644E" w:rsidRDefault="00915BEA" w:rsidP="00C2038F">
                <w:pPr>
                  <w:tabs>
                    <w:tab w:val="left" w:pos="2834"/>
                    <w:tab w:val="right" w:pos="8838"/>
                  </w:tabs>
                  <w:ind w:left="-74" w:right="-105"/>
                  <w:rPr>
                    <w:rFonts w:eastAsia="Calibri" w:cs="Tahoma"/>
                  </w:rPr>
                </w:pPr>
                <w:r>
                  <w:rPr>
                    <w:rFonts w:eastAsia="Calibri" w:cs="Tahoma"/>
                    <w:lang w:val="es-MX"/>
                  </w:rPr>
                  <w:t>Ayuntamiento de Ecatepec de Morelos</w:t>
                </w:r>
              </w:p>
            </w:tc>
            <w:tc>
              <w:tcPr>
                <w:tcW w:w="3091" w:type="dxa"/>
              </w:tcPr>
              <w:p w14:paraId="57654BC9" w14:textId="77777777" w:rsidR="00915BEA" w:rsidRDefault="00915BEA" w:rsidP="00C2038F">
                <w:pPr>
                  <w:tabs>
                    <w:tab w:val="left" w:pos="2834"/>
                    <w:tab w:val="right" w:pos="8838"/>
                  </w:tabs>
                  <w:ind w:left="-74" w:right="-105"/>
                  <w:rPr>
                    <w:rFonts w:eastAsia="Calibri" w:cs="Tahoma"/>
                  </w:rPr>
                </w:pPr>
              </w:p>
            </w:tc>
          </w:tr>
          <w:tr w:rsidR="00915BEA" w14:paraId="04F2D285" w14:textId="77777777" w:rsidTr="00C2038F">
            <w:trPr>
              <w:trHeight w:val="283"/>
            </w:trPr>
            <w:tc>
              <w:tcPr>
                <w:tcW w:w="2410" w:type="dxa"/>
                <w:hideMark/>
              </w:tcPr>
              <w:p w14:paraId="3569F124" w14:textId="77777777" w:rsidR="00915BEA" w:rsidRDefault="00915BEA" w:rsidP="00C2038F">
                <w:pPr>
                  <w:tabs>
                    <w:tab w:val="right" w:pos="8838"/>
                  </w:tabs>
                  <w:ind w:left="-74" w:right="-105"/>
                  <w:rPr>
                    <w:rFonts w:eastAsia="Calibri" w:cs="Tahoma"/>
                    <w:b/>
                  </w:rPr>
                </w:pPr>
                <w:r>
                  <w:rPr>
                    <w:rFonts w:eastAsia="Calibri" w:cs="Tahoma"/>
                    <w:b/>
                  </w:rPr>
                  <w:t xml:space="preserve">Comisionado Ponente: </w:t>
                </w:r>
              </w:p>
            </w:tc>
            <w:tc>
              <w:tcPr>
                <w:tcW w:w="4110" w:type="dxa"/>
                <w:hideMark/>
              </w:tcPr>
              <w:p w14:paraId="3C54B537" w14:textId="77777777" w:rsidR="00915BEA" w:rsidRDefault="00915BEA" w:rsidP="00C2038F">
                <w:pPr>
                  <w:tabs>
                    <w:tab w:val="right" w:pos="8838"/>
                  </w:tabs>
                  <w:ind w:left="-74" w:right="-105"/>
                  <w:rPr>
                    <w:rFonts w:eastAsia="Calibri" w:cs="Tahoma"/>
                    <w:b/>
                  </w:rPr>
                </w:pPr>
                <w:r>
                  <w:rPr>
                    <w:rFonts w:eastAsia="Calibri" w:cs="Tahoma"/>
                  </w:rPr>
                  <w:t>Luis Gustavo Parra Noriega</w:t>
                </w:r>
              </w:p>
            </w:tc>
            <w:tc>
              <w:tcPr>
                <w:tcW w:w="3091" w:type="dxa"/>
              </w:tcPr>
              <w:p w14:paraId="18B8CF3B" w14:textId="77777777" w:rsidR="00915BEA" w:rsidRDefault="00915BEA" w:rsidP="00C2038F">
                <w:pPr>
                  <w:tabs>
                    <w:tab w:val="right" w:pos="8838"/>
                  </w:tabs>
                  <w:ind w:left="-74" w:right="-105"/>
                  <w:rPr>
                    <w:rFonts w:eastAsia="Calibri" w:cs="Tahoma"/>
                  </w:rPr>
                </w:pPr>
              </w:p>
            </w:tc>
          </w:tr>
        </w:tbl>
        <w:p w14:paraId="7282E1C0" w14:textId="77777777" w:rsidR="00915BEA" w:rsidRDefault="00915BEA" w:rsidP="00C2038F">
          <w:pPr>
            <w:tabs>
              <w:tab w:val="right" w:pos="8838"/>
            </w:tabs>
            <w:spacing w:line="256" w:lineRule="auto"/>
            <w:ind w:left="-28"/>
            <w:rPr>
              <w:rFonts w:ascii="Arial" w:eastAsia="Calibri" w:hAnsi="Arial" w:cs="Arial"/>
              <w:b/>
            </w:rPr>
          </w:pPr>
        </w:p>
      </w:tc>
    </w:tr>
  </w:tbl>
  <w:p w14:paraId="114E20EA" w14:textId="77777777" w:rsidR="00915BEA" w:rsidRDefault="005B4644">
    <w:pPr>
      <w:pStyle w:val="Encabezado"/>
    </w:pPr>
    <w:r>
      <w:rPr>
        <w:noProof/>
      </w:rPr>
      <w:pict w14:anchorId="4FEA0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2050" type="#_x0000_t75" style="position:absolute;left:0;text-align:left;margin-left:-103.85pt;margin-top:-125.65pt;width:663.5pt;height:12in;z-index:-251656192;mso-wrap-edited:f;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2127"/>
      <w:gridCol w:w="7512"/>
    </w:tblGrid>
    <w:tr w:rsidR="00915BEA" w:rsidRPr="008C644E" w14:paraId="35A1D4BF" w14:textId="77777777" w:rsidTr="00C2038F">
      <w:trPr>
        <w:trHeight w:val="1435"/>
      </w:trPr>
      <w:tc>
        <w:tcPr>
          <w:tcW w:w="2127" w:type="dxa"/>
        </w:tcPr>
        <w:p w14:paraId="7B355E2E" w14:textId="77777777" w:rsidR="00915BEA" w:rsidRPr="008C644E" w:rsidRDefault="00915BEA" w:rsidP="00C2038F">
          <w:pPr>
            <w:pStyle w:val="Encabezado"/>
          </w:pPr>
        </w:p>
      </w:tc>
      <w:tc>
        <w:tcPr>
          <w:tcW w:w="7512" w:type="dxa"/>
          <w:hideMark/>
        </w:tcPr>
        <w:tbl>
          <w:tblPr>
            <w:tblStyle w:val="Tablaconcuadrcula"/>
            <w:tblW w:w="13748"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3"/>
            <w:gridCol w:w="4253"/>
            <w:gridCol w:w="3400"/>
            <w:gridCol w:w="3402"/>
          </w:tblGrid>
          <w:tr w:rsidR="00915BEA" w:rsidRPr="008C644E" w14:paraId="7BD80A6D" w14:textId="77777777" w:rsidTr="00C2038F">
            <w:trPr>
              <w:trHeight w:val="144"/>
            </w:trPr>
            <w:tc>
              <w:tcPr>
                <w:tcW w:w="2693" w:type="dxa"/>
                <w:hideMark/>
              </w:tcPr>
              <w:p w14:paraId="496AF855" w14:textId="77777777" w:rsidR="00915BEA" w:rsidRPr="008C644E" w:rsidRDefault="00915BEA" w:rsidP="00C2038F">
                <w:pPr>
                  <w:pStyle w:val="Encabezado"/>
                  <w:rPr>
                    <w:b/>
                  </w:rPr>
                </w:pPr>
                <w:r>
                  <w:rPr>
                    <w:b/>
                  </w:rPr>
                  <w:t xml:space="preserve">   </w:t>
                </w:r>
                <w:r w:rsidRPr="008C644E">
                  <w:rPr>
                    <w:b/>
                  </w:rPr>
                  <w:t>Recurso de Revisión:</w:t>
                </w:r>
              </w:p>
            </w:tc>
            <w:tc>
              <w:tcPr>
                <w:tcW w:w="4253" w:type="dxa"/>
                <w:hideMark/>
              </w:tcPr>
              <w:p w14:paraId="27C5A4D4" w14:textId="77777777" w:rsidR="00915BEA" w:rsidRPr="00AC018A" w:rsidRDefault="00915BEA" w:rsidP="00C2038F">
                <w:pPr>
                  <w:pStyle w:val="Encabezado"/>
                  <w:ind w:left="-113"/>
                </w:pPr>
                <w:r>
                  <w:rPr>
                    <w:color w:val="000000"/>
                  </w:rPr>
                  <w:t>01956</w:t>
                </w:r>
                <w:r w:rsidRPr="00AC018A">
                  <w:rPr>
                    <w:color w:val="000000"/>
                  </w:rPr>
                  <w:t>/INFOEM/IP/RR/202</w:t>
                </w:r>
                <w:r>
                  <w:rPr>
                    <w:color w:val="000000"/>
                  </w:rPr>
                  <w:t>4 y acumulado</w:t>
                </w:r>
              </w:p>
            </w:tc>
            <w:tc>
              <w:tcPr>
                <w:tcW w:w="3400" w:type="dxa"/>
              </w:tcPr>
              <w:p w14:paraId="64512B96" w14:textId="77777777" w:rsidR="00915BEA" w:rsidRPr="008C644E" w:rsidRDefault="00915BEA" w:rsidP="00C2038F">
                <w:pPr>
                  <w:pStyle w:val="Encabezado"/>
                  <w:rPr>
                    <w:bCs/>
                  </w:rPr>
                </w:pPr>
              </w:p>
            </w:tc>
            <w:tc>
              <w:tcPr>
                <w:tcW w:w="3402" w:type="dxa"/>
              </w:tcPr>
              <w:p w14:paraId="1901F9C7" w14:textId="77777777" w:rsidR="00915BEA" w:rsidRPr="008C644E" w:rsidRDefault="00915BEA" w:rsidP="00C2038F">
                <w:pPr>
                  <w:pStyle w:val="Encabezado"/>
                  <w:rPr>
                    <w:bCs/>
                  </w:rPr>
                </w:pPr>
              </w:p>
            </w:tc>
          </w:tr>
          <w:tr w:rsidR="00915BEA" w:rsidRPr="008C644E" w14:paraId="3626C6DC" w14:textId="77777777" w:rsidTr="00C2038F">
            <w:trPr>
              <w:trHeight w:val="144"/>
            </w:trPr>
            <w:tc>
              <w:tcPr>
                <w:tcW w:w="2693" w:type="dxa"/>
                <w:hideMark/>
              </w:tcPr>
              <w:p w14:paraId="2A14EE36" w14:textId="77777777" w:rsidR="00915BEA" w:rsidRPr="008C644E" w:rsidRDefault="00915BEA" w:rsidP="00C2038F">
                <w:pPr>
                  <w:pStyle w:val="Encabezado"/>
                  <w:rPr>
                    <w:b/>
                  </w:rPr>
                </w:pPr>
                <w:r>
                  <w:rPr>
                    <w:b/>
                  </w:rPr>
                  <w:t xml:space="preserve">   </w:t>
                </w:r>
                <w:r w:rsidRPr="008C644E">
                  <w:rPr>
                    <w:b/>
                  </w:rPr>
                  <w:t>Recurrente:</w:t>
                </w:r>
              </w:p>
            </w:tc>
            <w:tc>
              <w:tcPr>
                <w:tcW w:w="4253" w:type="dxa"/>
              </w:tcPr>
              <w:p w14:paraId="000355C7" w14:textId="77777777" w:rsidR="00915BEA" w:rsidRPr="008C644E" w:rsidRDefault="00915BEA" w:rsidP="00C2038F">
                <w:pPr>
                  <w:pStyle w:val="Encabezado"/>
                  <w:ind w:left="-102"/>
                </w:pPr>
              </w:p>
            </w:tc>
            <w:tc>
              <w:tcPr>
                <w:tcW w:w="3400" w:type="dxa"/>
              </w:tcPr>
              <w:p w14:paraId="1AFE63B3" w14:textId="77777777" w:rsidR="00915BEA" w:rsidRPr="008C644E" w:rsidRDefault="00915BEA" w:rsidP="00C2038F">
                <w:pPr>
                  <w:pStyle w:val="Encabezado"/>
                </w:pPr>
              </w:p>
            </w:tc>
            <w:tc>
              <w:tcPr>
                <w:tcW w:w="3402" w:type="dxa"/>
              </w:tcPr>
              <w:p w14:paraId="2C438A8B" w14:textId="77777777" w:rsidR="00915BEA" w:rsidRPr="008C644E" w:rsidRDefault="00915BEA" w:rsidP="00C2038F">
                <w:pPr>
                  <w:pStyle w:val="Encabezado"/>
                </w:pPr>
              </w:p>
            </w:tc>
          </w:tr>
          <w:tr w:rsidR="00915BEA" w:rsidRPr="008C644E" w14:paraId="688FC4DB" w14:textId="77777777" w:rsidTr="00C2038F">
            <w:trPr>
              <w:trHeight w:val="283"/>
            </w:trPr>
            <w:tc>
              <w:tcPr>
                <w:tcW w:w="2693" w:type="dxa"/>
                <w:hideMark/>
              </w:tcPr>
              <w:p w14:paraId="08A7A547" w14:textId="77777777" w:rsidR="00915BEA" w:rsidRPr="008C644E" w:rsidRDefault="00915BEA" w:rsidP="00C2038F">
                <w:pPr>
                  <w:pStyle w:val="Encabezado"/>
                  <w:rPr>
                    <w:b/>
                  </w:rPr>
                </w:pPr>
                <w:r>
                  <w:rPr>
                    <w:b/>
                  </w:rPr>
                  <w:t xml:space="preserve">   </w:t>
                </w:r>
                <w:r w:rsidRPr="008C644E">
                  <w:rPr>
                    <w:b/>
                  </w:rPr>
                  <w:t>Sujeto Obligado:</w:t>
                </w:r>
              </w:p>
            </w:tc>
            <w:tc>
              <w:tcPr>
                <w:tcW w:w="4253" w:type="dxa"/>
                <w:hideMark/>
              </w:tcPr>
              <w:p w14:paraId="227C4B31" w14:textId="77777777" w:rsidR="00915BEA" w:rsidRPr="008C644E" w:rsidRDefault="00915BEA" w:rsidP="00C2038F">
                <w:pPr>
                  <w:pStyle w:val="Encabezado"/>
                  <w:ind w:left="-113"/>
                </w:pPr>
                <w:r>
                  <w:rPr>
                    <w:lang w:val="es-MX"/>
                  </w:rPr>
                  <w:t>Ayuntamiento de Ecatepec de Morelos</w:t>
                </w:r>
              </w:p>
            </w:tc>
            <w:tc>
              <w:tcPr>
                <w:tcW w:w="3400" w:type="dxa"/>
              </w:tcPr>
              <w:p w14:paraId="155D6BB3" w14:textId="77777777" w:rsidR="00915BEA" w:rsidRPr="008C644E" w:rsidRDefault="00915BEA" w:rsidP="00C2038F">
                <w:pPr>
                  <w:pStyle w:val="Encabezado"/>
                </w:pPr>
              </w:p>
            </w:tc>
            <w:tc>
              <w:tcPr>
                <w:tcW w:w="3402" w:type="dxa"/>
              </w:tcPr>
              <w:p w14:paraId="3BF95DC9" w14:textId="77777777" w:rsidR="00915BEA" w:rsidRPr="008C644E" w:rsidRDefault="00915BEA" w:rsidP="00C2038F">
                <w:pPr>
                  <w:pStyle w:val="Encabezado"/>
                </w:pPr>
              </w:p>
            </w:tc>
          </w:tr>
          <w:tr w:rsidR="00915BEA" w:rsidRPr="008C644E" w14:paraId="1A98DBD4" w14:textId="77777777" w:rsidTr="00C2038F">
            <w:trPr>
              <w:trHeight w:val="283"/>
            </w:trPr>
            <w:tc>
              <w:tcPr>
                <w:tcW w:w="2693" w:type="dxa"/>
                <w:hideMark/>
              </w:tcPr>
              <w:p w14:paraId="6E7FE16B" w14:textId="77777777" w:rsidR="00915BEA" w:rsidRPr="008C644E" w:rsidRDefault="00915BEA" w:rsidP="00C2038F">
                <w:pPr>
                  <w:pStyle w:val="Encabezado"/>
                  <w:rPr>
                    <w:b/>
                  </w:rPr>
                </w:pPr>
                <w:r>
                  <w:rPr>
                    <w:b/>
                  </w:rPr>
                  <w:t xml:space="preserve">   </w:t>
                </w:r>
                <w:r w:rsidRPr="008C644E">
                  <w:rPr>
                    <w:b/>
                  </w:rPr>
                  <w:t xml:space="preserve">Comisionado Ponente: </w:t>
                </w:r>
              </w:p>
            </w:tc>
            <w:tc>
              <w:tcPr>
                <w:tcW w:w="4253" w:type="dxa"/>
                <w:hideMark/>
              </w:tcPr>
              <w:p w14:paraId="3AF7BA3C" w14:textId="77777777" w:rsidR="00915BEA" w:rsidRPr="008C644E" w:rsidRDefault="00915BEA" w:rsidP="00C2038F">
                <w:pPr>
                  <w:pStyle w:val="Encabezado"/>
                  <w:ind w:left="-113"/>
                  <w:rPr>
                    <w:b/>
                  </w:rPr>
                </w:pPr>
                <w:r w:rsidRPr="008C644E">
                  <w:t>Luis Gustavo Parra Noriega</w:t>
                </w:r>
              </w:p>
            </w:tc>
            <w:tc>
              <w:tcPr>
                <w:tcW w:w="3400" w:type="dxa"/>
              </w:tcPr>
              <w:p w14:paraId="4CB06D15" w14:textId="77777777" w:rsidR="00915BEA" w:rsidRPr="008C644E" w:rsidRDefault="00915BEA" w:rsidP="00C2038F">
                <w:pPr>
                  <w:pStyle w:val="Encabezado"/>
                </w:pPr>
              </w:p>
            </w:tc>
            <w:tc>
              <w:tcPr>
                <w:tcW w:w="3402" w:type="dxa"/>
              </w:tcPr>
              <w:p w14:paraId="27559DF1" w14:textId="77777777" w:rsidR="00915BEA" w:rsidRPr="008C644E" w:rsidRDefault="00915BEA" w:rsidP="00C2038F">
                <w:pPr>
                  <w:pStyle w:val="Encabezado"/>
                </w:pPr>
              </w:p>
            </w:tc>
          </w:tr>
        </w:tbl>
        <w:p w14:paraId="75360D1C" w14:textId="77777777" w:rsidR="00915BEA" w:rsidRPr="008C644E" w:rsidRDefault="00915BEA" w:rsidP="00C2038F">
          <w:pPr>
            <w:pStyle w:val="Encabezado"/>
            <w:rPr>
              <w:b/>
            </w:rPr>
          </w:pPr>
        </w:p>
      </w:tc>
    </w:tr>
  </w:tbl>
  <w:p w14:paraId="1C6B7AAE" w14:textId="77777777" w:rsidR="00915BEA" w:rsidRDefault="005B4644">
    <w:pPr>
      <w:pStyle w:val="Encabezado"/>
    </w:pPr>
    <w:r>
      <w:rPr>
        <w:noProof/>
      </w:rPr>
      <w:pict w14:anchorId="5F629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2051" type="#_x0000_t75" style="position:absolute;left:0;text-align:left;margin-left:-84.3pt;margin-top:-137.75pt;width:663.5pt;height:12in;z-index:-251655168;mso-wrap-edited:f;mso-position-horizontal-relative:margin;mso-position-vertical-relative:margin" o:allowincell="f" strokecolor="blue">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B23"/>
    <w:multiLevelType w:val="hybridMultilevel"/>
    <w:tmpl w:val="86E0D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700B3"/>
    <w:multiLevelType w:val="hybridMultilevel"/>
    <w:tmpl w:val="51B60CAC"/>
    <w:lvl w:ilvl="0" w:tplc="8AFE921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FF0F24"/>
    <w:multiLevelType w:val="hybridMultilevel"/>
    <w:tmpl w:val="F1A848A6"/>
    <w:lvl w:ilvl="0" w:tplc="7FEAC862">
      <w:start w:val="1"/>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24873"/>
    <w:multiLevelType w:val="hybridMultilevel"/>
    <w:tmpl w:val="71703522"/>
    <w:lvl w:ilvl="0" w:tplc="07268A9E">
      <w:start w:val="5"/>
      <w:numFmt w:val="bullet"/>
      <w:lvlText w:val="-"/>
      <w:lvlJc w:val="left"/>
      <w:pPr>
        <w:ind w:left="720" w:hanging="360"/>
      </w:pPr>
      <w:rPr>
        <w:rFonts w:ascii="Palatino Linotype" w:eastAsiaTheme="minorHAnsi" w:hAnsi="Palatino Linotype"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E4565A"/>
    <w:multiLevelType w:val="hybridMultilevel"/>
    <w:tmpl w:val="E5220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C3C2239"/>
    <w:multiLevelType w:val="hybridMultilevel"/>
    <w:tmpl w:val="48124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F87694"/>
    <w:multiLevelType w:val="hybridMultilevel"/>
    <w:tmpl w:val="DE84F2D4"/>
    <w:lvl w:ilvl="0" w:tplc="7FEAC862">
      <w:start w:val="1"/>
      <w:numFmt w:val="bullet"/>
      <w:lvlText w:val="-"/>
      <w:lvlJc w:val="left"/>
      <w:pPr>
        <w:ind w:left="1080" w:hanging="360"/>
      </w:pPr>
      <w:rPr>
        <w:rFonts w:ascii="Palatino Linotype" w:eastAsiaTheme="minorHAnsi"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A4D4F18"/>
    <w:multiLevelType w:val="hybridMultilevel"/>
    <w:tmpl w:val="06D4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B912C4"/>
    <w:multiLevelType w:val="hybridMultilevel"/>
    <w:tmpl w:val="1D7C8608"/>
    <w:lvl w:ilvl="0" w:tplc="080A000F">
      <w:start w:val="1"/>
      <w:numFmt w:val="decimal"/>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D27CF2"/>
    <w:multiLevelType w:val="hybridMultilevel"/>
    <w:tmpl w:val="55309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D51287"/>
    <w:multiLevelType w:val="hybridMultilevel"/>
    <w:tmpl w:val="EA8E00EE"/>
    <w:lvl w:ilvl="0" w:tplc="E648E618">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A531A"/>
    <w:multiLevelType w:val="hybridMultilevel"/>
    <w:tmpl w:val="D76E52F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B56A0B"/>
    <w:multiLevelType w:val="hybridMultilevel"/>
    <w:tmpl w:val="65AAB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3474862"/>
    <w:multiLevelType w:val="hybridMultilevel"/>
    <w:tmpl w:val="13B41EBE"/>
    <w:lvl w:ilvl="0" w:tplc="2F5EB1B4">
      <w:start w:val="7"/>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04004B"/>
    <w:multiLevelType w:val="hybridMultilevel"/>
    <w:tmpl w:val="70D4EFE2"/>
    <w:lvl w:ilvl="0" w:tplc="392CD440">
      <w:start w:val="1"/>
      <w:numFmt w:val="decimal"/>
      <w:lvlText w:val="%1."/>
      <w:lvlJc w:val="left"/>
      <w:pPr>
        <w:tabs>
          <w:tab w:val="num" w:pos="786"/>
        </w:tabs>
        <w:ind w:left="786"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B7222B8"/>
    <w:multiLevelType w:val="hybridMultilevel"/>
    <w:tmpl w:val="4BC67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C421B1"/>
    <w:multiLevelType w:val="hybridMultilevel"/>
    <w:tmpl w:val="6226C21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E0C5E71"/>
    <w:multiLevelType w:val="hybridMultilevel"/>
    <w:tmpl w:val="7306214A"/>
    <w:lvl w:ilvl="0" w:tplc="080A000F">
      <w:start w:val="1"/>
      <w:numFmt w:val="decimal"/>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num>
  <w:num w:numId="5">
    <w:abstractNumId w:val="12"/>
  </w:num>
  <w:num w:numId="6">
    <w:abstractNumId w:val="3"/>
  </w:num>
  <w:num w:numId="7">
    <w:abstractNumId w:val="1"/>
  </w:num>
  <w:num w:numId="8">
    <w:abstractNumId w:val="11"/>
  </w:num>
  <w:num w:numId="9">
    <w:abstractNumId w:val="2"/>
  </w:num>
  <w:num w:numId="10">
    <w:abstractNumId w:val="7"/>
  </w:num>
  <w:num w:numId="11">
    <w:abstractNumId w:val="20"/>
  </w:num>
  <w:num w:numId="12">
    <w:abstractNumId w:val="13"/>
  </w:num>
  <w:num w:numId="13">
    <w:abstractNumId w:val="15"/>
  </w:num>
  <w:num w:numId="14">
    <w:abstractNumId w:val="4"/>
  </w:num>
  <w:num w:numId="15">
    <w:abstractNumId w:val="21"/>
  </w:num>
  <w:num w:numId="16">
    <w:abstractNumId w:val="9"/>
  </w:num>
  <w:num w:numId="17">
    <w:abstractNumId w:val="14"/>
  </w:num>
  <w:num w:numId="18">
    <w:abstractNumId w:val="16"/>
  </w:num>
  <w:num w:numId="19">
    <w:abstractNumId w:val="0"/>
  </w:num>
  <w:num w:numId="20">
    <w:abstractNumId w:val="10"/>
  </w:num>
  <w:num w:numId="21">
    <w:abstractNumId w:val="6"/>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1A"/>
    <w:rsid w:val="00030613"/>
    <w:rsid w:val="00060A84"/>
    <w:rsid w:val="000A0890"/>
    <w:rsid w:val="00101DA9"/>
    <w:rsid w:val="00113580"/>
    <w:rsid w:val="00144030"/>
    <w:rsid w:val="00170615"/>
    <w:rsid w:val="00180B63"/>
    <w:rsid w:val="001C4641"/>
    <w:rsid w:val="001E0227"/>
    <w:rsid w:val="00292F36"/>
    <w:rsid w:val="002A01DD"/>
    <w:rsid w:val="002A7722"/>
    <w:rsid w:val="002C129B"/>
    <w:rsid w:val="002C7BA0"/>
    <w:rsid w:val="00306B1A"/>
    <w:rsid w:val="00375431"/>
    <w:rsid w:val="00394DFE"/>
    <w:rsid w:val="003A239D"/>
    <w:rsid w:val="003B6CD2"/>
    <w:rsid w:val="003D1CCF"/>
    <w:rsid w:val="00410D98"/>
    <w:rsid w:val="00423720"/>
    <w:rsid w:val="00457E17"/>
    <w:rsid w:val="00466B87"/>
    <w:rsid w:val="0047609B"/>
    <w:rsid w:val="004A773D"/>
    <w:rsid w:val="004B113A"/>
    <w:rsid w:val="004B54A2"/>
    <w:rsid w:val="004B5FDB"/>
    <w:rsid w:val="004C2550"/>
    <w:rsid w:val="004C4ADB"/>
    <w:rsid w:val="00543D44"/>
    <w:rsid w:val="0058434A"/>
    <w:rsid w:val="00592883"/>
    <w:rsid w:val="005B4644"/>
    <w:rsid w:val="005C332A"/>
    <w:rsid w:val="0061534C"/>
    <w:rsid w:val="00637D3C"/>
    <w:rsid w:val="006959D1"/>
    <w:rsid w:val="006A5F66"/>
    <w:rsid w:val="006D4484"/>
    <w:rsid w:val="006D4BAB"/>
    <w:rsid w:val="0070129C"/>
    <w:rsid w:val="00712021"/>
    <w:rsid w:val="0072274E"/>
    <w:rsid w:val="00726B15"/>
    <w:rsid w:val="007329CE"/>
    <w:rsid w:val="007437B2"/>
    <w:rsid w:val="007C268A"/>
    <w:rsid w:val="007C4D58"/>
    <w:rsid w:val="007D096D"/>
    <w:rsid w:val="00852F9C"/>
    <w:rsid w:val="00865ADF"/>
    <w:rsid w:val="00890E99"/>
    <w:rsid w:val="00915BEA"/>
    <w:rsid w:val="009458F3"/>
    <w:rsid w:val="00987300"/>
    <w:rsid w:val="00991086"/>
    <w:rsid w:val="009943DA"/>
    <w:rsid w:val="009A7901"/>
    <w:rsid w:val="00A17E0F"/>
    <w:rsid w:val="00A22EDE"/>
    <w:rsid w:val="00A664EF"/>
    <w:rsid w:val="00A8581C"/>
    <w:rsid w:val="00A91C7D"/>
    <w:rsid w:val="00AC778A"/>
    <w:rsid w:val="00AE5CCD"/>
    <w:rsid w:val="00B03DBD"/>
    <w:rsid w:val="00B14A3C"/>
    <w:rsid w:val="00B20890"/>
    <w:rsid w:val="00B4005A"/>
    <w:rsid w:val="00B4433D"/>
    <w:rsid w:val="00B61826"/>
    <w:rsid w:val="00BC344D"/>
    <w:rsid w:val="00C008C2"/>
    <w:rsid w:val="00C03631"/>
    <w:rsid w:val="00C048A2"/>
    <w:rsid w:val="00C12984"/>
    <w:rsid w:val="00C2038F"/>
    <w:rsid w:val="00C70D29"/>
    <w:rsid w:val="00C95546"/>
    <w:rsid w:val="00CE522B"/>
    <w:rsid w:val="00D046E9"/>
    <w:rsid w:val="00D338EB"/>
    <w:rsid w:val="00DC1094"/>
    <w:rsid w:val="00DF075A"/>
    <w:rsid w:val="00E254CB"/>
    <w:rsid w:val="00E3503E"/>
    <w:rsid w:val="00E40D4A"/>
    <w:rsid w:val="00E724DB"/>
    <w:rsid w:val="00ED5224"/>
    <w:rsid w:val="00EF30F8"/>
    <w:rsid w:val="00F1296A"/>
    <w:rsid w:val="00F22BD5"/>
    <w:rsid w:val="00F441FC"/>
    <w:rsid w:val="00F64F5A"/>
    <w:rsid w:val="00FF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5F63BA"/>
  <w15:chartTrackingRefBased/>
  <w15:docId w15:val="{7CE2FA34-C5FC-41E7-A7FA-A75C6ECD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B1A"/>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B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6B1A"/>
    <w:rPr>
      <w:rFonts w:ascii="Palatino Linotype" w:hAnsi="Palatino Linotype"/>
      <w:color w:val="000000" w:themeColor="text1"/>
    </w:rPr>
  </w:style>
  <w:style w:type="paragraph" w:styleId="Piedepgina">
    <w:name w:val="footer"/>
    <w:basedOn w:val="Normal"/>
    <w:link w:val="PiedepginaCar"/>
    <w:uiPriority w:val="99"/>
    <w:unhideWhenUsed/>
    <w:rsid w:val="00306B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6B1A"/>
    <w:rPr>
      <w:rFonts w:ascii="Palatino Linotype" w:hAnsi="Palatino Linotype"/>
      <w:color w:val="000000" w:themeColor="text1"/>
    </w:rPr>
  </w:style>
  <w:style w:type="table" w:styleId="Tablaconcuadrcula">
    <w:name w:val="Table Grid"/>
    <w:basedOn w:val="Tablanormal"/>
    <w:uiPriority w:val="59"/>
    <w:rsid w:val="00306B1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06B1A"/>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06B1A"/>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basedOn w:val="Fuentedeprrafopredeter"/>
    <w:uiPriority w:val="99"/>
    <w:unhideWhenUsed/>
    <w:rsid w:val="002A01DD"/>
    <w:rPr>
      <w:color w:val="0563C1" w:themeColor="hyperlink"/>
      <w:u w:val="single"/>
    </w:rPr>
  </w:style>
  <w:style w:type="table" w:customStyle="1" w:styleId="Tablaconcuadrcula3">
    <w:name w:val="Tabla con cuadrícula3"/>
    <w:basedOn w:val="Tablanormal"/>
    <w:uiPriority w:val="59"/>
    <w:rsid w:val="007C4D58"/>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365">
      <w:bodyDiv w:val="1"/>
      <w:marLeft w:val="0"/>
      <w:marRight w:val="0"/>
      <w:marTop w:val="0"/>
      <w:marBottom w:val="0"/>
      <w:divBdr>
        <w:top w:val="none" w:sz="0" w:space="0" w:color="auto"/>
        <w:left w:val="none" w:sz="0" w:space="0" w:color="auto"/>
        <w:bottom w:val="none" w:sz="0" w:space="0" w:color="auto"/>
        <w:right w:val="none" w:sz="0" w:space="0" w:color="auto"/>
      </w:divBdr>
    </w:div>
    <w:div w:id="52310763">
      <w:bodyDiv w:val="1"/>
      <w:marLeft w:val="0"/>
      <w:marRight w:val="0"/>
      <w:marTop w:val="0"/>
      <w:marBottom w:val="0"/>
      <w:divBdr>
        <w:top w:val="none" w:sz="0" w:space="0" w:color="auto"/>
        <w:left w:val="none" w:sz="0" w:space="0" w:color="auto"/>
        <w:bottom w:val="none" w:sz="0" w:space="0" w:color="auto"/>
        <w:right w:val="none" w:sz="0" w:space="0" w:color="auto"/>
      </w:divBdr>
    </w:div>
    <w:div w:id="1548373584">
      <w:bodyDiv w:val="1"/>
      <w:marLeft w:val="0"/>
      <w:marRight w:val="0"/>
      <w:marTop w:val="0"/>
      <w:marBottom w:val="0"/>
      <w:divBdr>
        <w:top w:val="none" w:sz="0" w:space="0" w:color="auto"/>
        <w:left w:val="none" w:sz="0" w:space="0" w:color="auto"/>
        <w:bottom w:val="none" w:sz="0" w:space="0" w:color="auto"/>
        <w:right w:val="none" w:sz="0" w:space="0" w:color="auto"/>
      </w:divBdr>
    </w:div>
    <w:div w:id="20803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tepec.gob.mx/transparencia"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B564-B35E-43F7-B6E1-87340D37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8869</Words>
  <Characters>48780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USUARIO</cp:lastModifiedBy>
  <cp:revision>2</cp:revision>
  <dcterms:created xsi:type="dcterms:W3CDTF">2024-10-18T00:04:00Z</dcterms:created>
  <dcterms:modified xsi:type="dcterms:W3CDTF">2024-10-18T00:04:00Z</dcterms:modified>
</cp:coreProperties>
</file>