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F159B" w14:textId="77777777" w:rsidR="001B3EF9" w:rsidRPr="002963F8" w:rsidRDefault="005E621C">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2963F8">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2963F8">
        <w:rPr>
          <w:rFonts w:ascii="Palatino Linotype" w:eastAsia="Palatino Linotype" w:hAnsi="Palatino Linotype" w:cs="Palatino Linotype"/>
          <w:b/>
          <w:sz w:val="22"/>
          <w:szCs w:val="22"/>
        </w:rPr>
        <w:t>veinticinco de septiembre de dos mil veinticuatro</w:t>
      </w:r>
      <w:r w:rsidRPr="002963F8">
        <w:rPr>
          <w:rFonts w:ascii="Palatino Linotype" w:eastAsia="Palatino Linotype" w:hAnsi="Palatino Linotype" w:cs="Palatino Linotype"/>
          <w:sz w:val="22"/>
          <w:szCs w:val="22"/>
        </w:rPr>
        <w:t xml:space="preserve">. </w:t>
      </w:r>
    </w:p>
    <w:p w14:paraId="042CCC9B" w14:textId="57D43AFD" w:rsidR="001B3EF9" w:rsidRPr="002963F8" w:rsidRDefault="005E621C">
      <w:pPr>
        <w:spacing w:before="240" w:after="240"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Visto</w:t>
      </w:r>
      <w:r w:rsidRPr="002963F8">
        <w:rPr>
          <w:rFonts w:ascii="Palatino Linotype" w:eastAsia="Palatino Linotype" w:hAnsi="Palatino Linotype" w:cs="Palatino Linotype"/>
          <w:sz w:val="22"/>
          <w:szCs w:val="22"/>
        </w:rPr>
        <w:t xml:space="preserve"> el expediente formado con motivo del recurso de revisión </w:t>
      </w:r>
      <w:r w:rsidRPr="002963F8">
        <w:rPr>
          <w:rFonts w:ascii="Palatino Linotype" w:eastAsia="Palatino Linotype" w:hAnsi="Palatino Linotype" w:cs="Palatino Linotype"/>
          <w:b/>
          <w:sz w:val="22"/>
          <w:szCs w:val="22"/>
        </w:rPr>
        <w:t>03634/INFOEM/IP/RR/2024</w:t>
      </w:r>
      <w:r w:rsidRPr="002963F8">
        <w:rPr>
          <w:rFonts w:ascii="Palatino Linotype" w:eastAsia="Palatino Linotype" w:hAnsi="Palatino Linotype" w:cs="Palatino Linotype"/>
          <w:sz w:val="22"/>
          <w:szCs w:val="22"/>
        </w:rPr>
        <w:t xml:space="preserve">, interpuesto por </w:t>
      </w:r>
      <w:r w:rsidR="004B25D7" w:rsidRPr="004B25D7">
        <w:rPr>
          <w:rFonts w:ascii="Palatino Linotype" w:eastAsia="Palatino Linotype" w:hAnsi="Palatino Linotype" w:cs="Palatino Linotype"/>
          <w:b/>
          <w:sz w:val="22"/>
          <w:szCs w:val="22"/>
        </w:rPr>
        <w:t>XXXXX XXXXXX XX</w:t>
      </w:r>
      <w:r w:rsidRPr="002963F8">
        <w:rPr>
          <w:rFonts w:ascii="Palatino Linotype" w:eastAsia="Palatino Linotype" w:hAnsi="Palatino Linotype" w:cs="Palatino Linotype"/>
          <w:b/>
          <w:sz w:val="22"/>
          <w:szCs w:val="22"/>
        </w:rPr>
        <w:t>,</w:t>
      </w:r>
      <w:r w:rsidRPr="002963F8">
        <w:rPr>
          <w:rFonts w:ascii="Palatino Linotype" w:eastAsia="Palatino Linotype" w:hAnsi="Palatino Linotype" w:cs="Palatino Linotype"/>
          <w:sz w:val="22"/>
          <w:szCs w:val="22"/>
        </w:rPr>
        <w:t xml:space="preserve"> en lo sucesivo</w:t>
      </w:r>
      <w:r w:rsidRPr="002963F8">
        <w:rPr>
          <w:rFonts w:ascii="Palatino Linotype" w:eastAsia="Palatino Linotype" w:hAnsi="Palatino Linotype" w:cs="Palatino Linotype"/>
          <w:b/>
          <w:sz w:val="22"/>
          <w:szCs w:val="22"/>
        </w:rPr>
        <w:t xml:space="preserve"> la parte</w:t>
      </w:r>
      <w:r w:rsidRPr="002963F8">
        <w:rPr>
          <w:rFonts w:ascii="Palatino Linotype" w:eastAsia="Palatino Linotype" w:hAnsi="Palatino Linotype" w:cs="Palatino Linotype"/>
          <w:sz w:val="22"/>
          <w:szCs w:val="22"/>
        </w:rPr>
        <w:t xml:space="preserve"> </w:t>
      </w:r>
      <w:r w:rsidRPr="002963F8">
        <w:rPr>
          <w:rFonts w:ascii="Palatino Linotype" w:eastAsia="Palatino Linotype" w:hAnsi="Palatino Linotype" w:cs="Palatino Linotype"/>
          <w:b/>
          <w:sz w:val="22"/>
          <w:szCs w:val="22"/>
        </w:rPr>
        <w:t>Recurrente,</w:t>
      </w:r>
      <w:r w:rsidRPr="002963F8">
        <w:rPr>
          <w:rFonts w:ascii="Palatino Linotype" w:eastAsia="Palatino Linotype" w:hAnsi="Palatino Linotype" w:cs="Palatino Linotype"/>
          <w:sz w:val="22"/>
          <w:szCs w:val="22"/>
        </w:rPr>
        <w:t xml:space="preserve"> en contra de la respuesta a su solicitud por parte del </w:t>
      </w:r>
      <w:r w:rsidRPr="002963F8">
        <w:rPr>
          <w:rFonts w:ascii="Palatino Linotype" w:eastAsia="Palatino Linotype" w:hAnsi="Palatino Linotype" w:cs="Palatino Linotype"/>
          <w:b/>
          <w:sz w:val="22"/>
          <w:szCs w:val="22"/>
        </w:rPr>
        <w:t xml:space="preserve">Ayuntamiento de Almoloya del Rio, </w:t>
      </w:r>
      <w:r w:rsidRPr="002963F8">
        <w:rPr>
          <w:rFonts w:ascii="Palatino Linotype" w:eastAsia="Palatino Linotype" w:hAnsi="Palatino Linotype" w:cs="Palatino Linotype"/>
          <w:sz w:val="22"/>
          <w:szCs w:val="22"/>
        </w:rPr>
        <w:t xml:space="preserve">en lo sucesivo el </w:t>
      </w:r>
      <w:r w:rsidRPr="002963F8">
        <w:rPr>
          <w:rFonts w:ascii="Palatino Linotype" w:eastAsia="Palatino Linotype" w:hAnsi="Palatino Linotype" w:cs="Palatino Linotype"/>
          <w:b/>
          <w:sz w:val="22"/>
          <w:szCs w:val="22"/>
        </w:rPr>
        <w:t xml:space="preserve">Sujeto Obligado, </w:t>
      </w:r>
      <w:r w:rsidRPr="002963F8">
        <w:rPr>
          <w:rFonts w:ascii="Palatino Linotype" w:eastAsia="Palatino Linotype" w:hAnsi="Palatino Linotype" w:cs="Palatino Linotype"/>
          <w:sz w:val="22"/>
          <w:szCs w:val="22"/>
        </w:rPr>
        <w:t xml:space="preserve">se procede a dictar la presente resolución con base en los siguientes: </w:t>
      </w:r>
    </w:p>
    <w:p w14:paraId="45B1FBFF" w14:textId="77777777" w:rsidR="001B3EF9" w:rsidRPr="002963F8" w:rsidRDefault="005E621C">
      <w:pPr>
        <w:spacing w:before="240" w:after="240" w:line="360" w:lineRule="auto"/>
        <w:jc w:val="center"/>
        <w:rPr>
          <w:rFonts w:ascii="Palatino Linotype" w:eastAsia="Palatino Linotype" w:hAnsi="Palatino Linotype" w:cs="Palatino Linotype"/>
          <w:b/>
          <w:sz w:val="22"/>
          <w:szCs w:val="22"/>
        </w:rPr>
      </w:pPr>
      <w:r w:rsidRPr="002963F8">
        <w:rPr>
          <w:rFonts w:ascii="Palatino Linotype" w:eastAsia="Palatino Linotype" w:hAnsi="Palatino Linotype" w:cs="Palatino Linotype"/>
          <w:b/>
          <w:sz w:val="22"/>
          <w:szCs w:val="22"/>
        </w:rPr>
        <w:t>I. A N T E C E D E N T E S</w:t>
      </w:r>
    </w:p>
    <w:p w14:paraId="581D4D7C" w14:textId="77777777" w:rsidR="001B3EF9" w:rsidRPr="002963F8" w:rsidRDefault="005E621C">
      <w:pPr>
        <w:spacing w:before="240" w:after="240"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1. Solicitud de acceso a la información.</w:t>
      </w:r>
      <w:r w:rsidRPr="002963F8">
        <w:rPr>
          <w:rFonts w:ascii="Palatino Linotype" w:eastAsia="Palatino Linotype" w:hAnsi="Palatino Linotype" w:cs="Palatino Linotype"/>
          <w:sz w:val="22"/>
          <w:szCs w:val="22"/>
        </w:rPr>
        <w:t xml:space="preserve"> El </w:t>
      </w:r>
      <w:r w:rsidRPr="002963F8">
        <w:rPr>
          <w:rFonts w:ascii="Palatino Linotype" w:eastAsia="Palatino Linotype" w:hAnsi="Palatino Linotype" w:cs="Palatino Linotype"/>
          <w:b/>
          <w:sz w:val="22"/>
          <w:szCs w:val="22"/>
        </w:rPr>
        <w:t>veintitrés de mayo de dos mil veinticuatro,</w:t>
      </w:r>
      <w:r w:rsidRPr="002963F8">
        <w:rPr>
          <w:rFonts w:ascii="Palatino Linotype" w:eastAsia="Palatino Linotype" w:hAnsi="Palatino Linotype" w:cs="Palatino Linotype"/>
          <w:sz w:val="22"/>
          <w:szCs w:val="22"/>
        </w:rPr>
        <w:t xml:space="preserve"> la parte </w:t>
      </w:r>
      <w:r w:rsidRPr="002963F8">
        <w:rPr>
          <w:rFonts w:ascii="Palatino Linotype" w:eastAsia="Palatino Linotype" w:hAnsi="Palatino Linotype" w:cs="Palatino Linotype"/>
          <w:b/>
          <w:sz w:val="22"/>
          <w:szCs w:val="22"/>
        </w:rPr>
        <w:t>Recurrente</w:t>
      </w:r>
      <w:r w:rsidRPr="002963F8">
        <w:rPr>
          <w:rFonts w:ascii="Palatino Linotype" w:eastAsia="Palatino Linotype" w:hAnsi="Palatino Linotype" w:cs="Palatino Linotype"/>
          <w:sz w:val="22"/>
          <w:szCs w:val="22"/>
        </w:rPr>
        <w:t xml:space="preserve"> a través del Sistema de Acceso a la Información Mexiquense, en lo subsecuente el SAIMEX, formuló ante el </w:t>
      </w:r>
      <w:r w:rsidRPr="002963F8">
        <w:rPr>
          <w:rFonts w:ascii="Palatino Linotype" w:eastAsia="Palatino Linotype" w:hAnsi="Palatino Linotype" w:cs="Palatino Linotype"/>
          <w:b/>
          <w:sz w:val="22"/>
          <w:szCs w:val="22"/>
        </w:rPr>
        <w:t>Sujeto Obligado</w:t>
      </w:r>
      <w:r w:rsidRPr="002963F8">
        <w:rPr>
          <w:rFonts w:ascii="Palatino Linotype" w:eastAsia="Palatino Linotype" w:hAnsi="Palatino Linotype" w:cs="Palatino Linotype"/>
          <w:sz w:val="22"/>
          <w:szCs w:val="22"/>
        </w:rPr>
        <w:t xml:space="preserve">, la solicitud de acceso a la información pública a la que se le asignó el número </w:t>
      </w:r>
      <w:r w:rsidRPr="002963F8">
        <w:rPr>
          <w:rFonts w:ascii="Palatino Linotype" w:eastAsia="Palatino Linotype" w:hAnsi="Palatino Linotype" w:cs="Palatino Linotype"/>
          <w:b/>
          <w:sz w:val="22"/>
          <w:szCs w:val="22"/>
        </w:rPr>
        <w:t>00088/ALMORI/IP/2024,</w:t>
      </w:r>
      <w:r w:rsidRPr="002963F8">
        <w:rPr>
          <w:rFonts w:ascii="Palatino Linotype" w:eastAsia="Palatino Linotype" w:hAnsi="Palatino Linotype" w:cs="Palatino Linotype"/>
          <w:sz w:val="22"/>
          <w:szCs w:val="22"/>
        </w:rPr>
        <w:t xml:space="preserve"> mediante la cual requirió la información siguiente:</w:t>
      </w:r>
    </w:p>
    <w:p w14:paraId="773284CE" w14:textId="77777777" w:rsidR="001B3EF9" w:rsidRPr="002963F8" w:rsidRDefault="005E621C">
      <w:pPr>
        <w:spacing w:before="240" w:after="240"/>
        <w:ind w:left="567" w:right="902"/>
        <w:jc w:val="both"/>
        <w:rPr>
          <w:rFonts w:ascii="Palatino Linotype" w:eastAsia="Palatino Linotype" w:hAnsi="Palatino Linotype" w:cs="Palatino Linotype"/>
          <w:i/>
          <w:sz w:val="22"/>
          <w:szCs w:val="22"/>
        </w:rPr>
      </w:pPr>
      <w:bookmarkStart w:id="1" w:name="_heading=h.gjdgxs" w:colFirst="0" w:colLast="0"/>
      <w:bookmarkEnd w:id="1"/>
      <w:r w:rsidRPr="002963F8">
        <w:rPr>
          <w:rFonts w:ascii="Palatino Linotype" w:eastAsia="Palatino Linotype" w:hAnsi="Palatino Linotype" w:cs="Palatino Linotype"/>
          <w:i/>
          <w:sz w:val="22"/>
          <w:szCs w:val="22"/>
        </w:rPr>
        <w:t xml:space="preserve">“PERIODO EN QUE FUNGIO EN EL CARGO COMO TESORERA MUNICIPAL LA C ILEANA GABRIELA MARTINEZ MORALES DURANTE LA ADMINISTRACION 2013-2015 Y 2022-2024 RELACION DE PROCEDIMIENTOS ADMINISTRATIVOS VENTILADOS POR LA CONTRALORIA MUNICIPAN EN CONTRA DE LA C. ILEANA GABRIELA MARTINEZ MORALES” (Sic) </w:t>
      </w:r>
    </w:p>
    <w:p w14:paraId="681DCF37" w14:textId="77777777" w:rsidR="001B3EF9" w:rsidRPr="002963F8" w:rsidRDefault="005E621C">
      <w:pPr>
        <w:spacing w:before="240" w:after="240" w:line="360" w:lineRule="auto"/>
        <w:ind w:right="49"/>
        <w:jc w:val="both"/>
        <w:rPr>
          <w:rFonts w:ascii="Palatino Linotype" w:eastAsia="Palatino Linotype" w:hAnsi="Palatino Linotype" w:cs="Palatino Linotype"/>
          <w:sz w:val="22"/>
          <w:szCs w:val="22"/>
        </w:rPr>
      </w:pPr>
      <w:bookmarkStart w:id="2" w:name="_heading=h.3dy6vkm" w:colFirst="0" w:colLast="0"/>
      <w:bookmarkEnd w:id="2"/>
      <w:r w:rsidRPr="002963F8">
        <w:rPr>
          <w:rFonts w:ascii="Palatino Linotype" w:eastAsia="Palatino Linotype" w:hAnsi="Palatino Linotype" w:cs="Palatino Linotype"/>
          <w:b/>
          <w:sz w:val="22"/>
          <w:szCs w:val="22"/>
        </w:rPr>
        <w:t xml:space="preserve">Modalidad elegida para la entrega de la información: </w:t>
      </w:r>
      <w:r w:rsidRPr="002963F8">
        <w:rPr>
          <w:rFonts w:ascii="Palatino Linotype" w:eastAsia="Palatino Linotype" w:hAnsi="Palatino Linotype" w:cs="Palatino Linotype"/>
          <w:sz w:val="22"/>
          <w:szCs w:val="22"/>
        </w:rPr>
        <w:t>a través del Sistema de Acceso a la Información Mexiquense (SAIMEX).</w:t>
      </w:r>
    </w:p>
    <w:p w14:paraId="5AA35EE6" w14:textId="77777777" w:rsidR="001B3EF9" w:rsidRPr="002963F8" w:rsidRDefault="005E621C">
      <w:pPr>
        <w:pBdr>
          <w:top w:val="nil"/>
          <w:left w:val="nil"/>
          <w:bottom w:val="nil"/>
          <w:right w:val="nil"/>
          <w:between w:val="nil"/>
        </w:pBdr>
        <w:tabs>
          <w:tab w:val="left" w:pos="142"/>
          <w:tab w:val="left" w:pos="284"/>
        </w:tabs>
        <w:spacing w:line="360" w:lineRule="auto"/>
        <w:jc w:val="both"/>
        <w:rPr>
          <w:rFonts w:ascii="Palatino Linotype" w:eastAsia="Palatino Linotype" w:hAnsi="Palatino Linotype" w:cs="Palatino Linotype"/>
          <w:b/>
          <w:sz w:val="22"/>
          <w:szCs w:val="22"/>
        </w:rPr>
      </w:pPr>
      <w:r w:rsidRPr="002963F8">
        <w:rPr>
          <w:rFonts w:ascii="Palatino Linotype" w:eastAsia="Palatino Linotype" w:hAnsi="Palatino Linotype" w:cs="Palatino Linotype"/>
          <w:b/>
          <w:sz w:val="22"/>
          <w:szCs w:val="22"/>
        </w:rPr>
        <w:lastRenderedPageBreak/>
        <w:t xml:space="preserve">2. Respuesta. </w:t>
      </w:r>
      <w:r w:rsidRPr="002963F8">
        <w:rPr>
          <w:rFonts w:ascii="Palatino Linotype" w:eastAsia="Palatino Linotype" w:hAnsi="Palatino Linotype" w:cs="Palatino Linotype"/>
          <w:sz w:val="22"/>
          <w:szCs w:val="22"/>
        </w:rPr>
        <w:t xml:space="preserve">El </w:t>
      </w:r>
      <w:r w:rsidRPr="002963F8">
        <w:rPr>
          <w:rFonts w:ascii="Palatino Linotype" w:eastAsia="Palatino Linotype" w:hAnsi="Palatino Linotype" w:cs="Palatino Linotype"/>
          <w:b/>
          <w:sz w:val="22"/>
          <w:szCs w:val="22"/>
        </w:rPr>
        <w:t>trece de junio de dos mil veinticuatro</w:t>
      </w:r>
      <w:r w:rsidRPr="002963F8">
        <w:rPr>
          <w:rFonts w:ascii="Palatino Linotype" w:eastAsia="Palatino Linotype" w:hAnsi="Palatino Linotype" w:cs="Palatino Linotype"/>
          <w:sz w:val="22"/>
          <w:szCs w:val="22"/>
        </w:rPr>
        <w:t xml:space="preserve">, el </w:t>
      </w:r>
      <w:r w:rsidRPr="002963F8">
        <w:rPr>
          <w:rFonts w:ascii="Palatino Linotype" w:eastAsia="Palatino Linotype" w:hAnsi="Palatino Linotype" w:cs="Palatino Linotype"/>
          <w:b/>
          <w:sz w:val="22"/>
          <w:szCs w:val="22"/>
        </w:rPr>
        <w:t xml:space="preserve">Sujeto Obligado </w:t>
      </w:r>
      <w:r w:rsidRPr="002963F8">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487C894D" w14:textId="77777777" w:rsidR="001B3EF9" w:rsidRPr="002963F8" w:rsidRDefault="005E621C">
      <w:pPr>
        <w:spacing w:before="240" w:after="240"/>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“…Por medio del presente ocurso reciba un cordial saludo, y al mismo tiempo se da contestación a la SOLICITUD DE INFORMACIÓN con número de folio 00088/ALMORI/IP/2024, Periodo en que fungió en el cargo como tesorera municipal la c. Ileana Gabriela Martínez Morales durante la administración 2013-2015 y 2022-2024 relación de procedimientos administrativos ventilados por la contraloría municipal en contra de la C. Ileana Gabriela Martínez Morales. Hago mención que la solicitud que emite se encuentran en los archivos adjuntos a esta respuesta mencionando que se testearon los datos personales, y que se hizo reservada dicha información. </w:t>
      </w:r>
      <w:r w:rsidRPr="002963F8">
        <w:rPr>
          <w:rFonts w:ascii="Palatino Linotype" w:eastAsia="Palatino Linotype" w:hAnsi="Palatino Linotype" w:cs="Palatino Linotype"/>
          <w:b/>
          <w:i/>
          <w:sz w:val="22"/>
          <w:szCs w:val="22"/>
          <w:u w:val="single"/>
        </w:rPr>
        <w:t>La C. Ileana Gabriela fungió como Tesorera en enero de 2022 hasta agosto de 2022</w:t>
      </w:r>
      <w:r w:rsidRPr="002963F8">
        <w:rPr>
          <w:rFonts w:ascii="Palatino Linotype" w:eastAsia="Palatino Linotype" w:hAnsi="Palatino Linotype" w:cs="Palatino Linotype"/>
          <w:i/>
          <w:sz w:val="22"/>
          <w:szCs w:val="22"/>
        </w:rPr>
        <w:t>…” (Sic)</w:t>
      </w:r>
    </w:p>
    <w:p w14:paraId="6CAC3074" w14:textId="77777777" w:rsidR="001B3EF9" w:rsidRPr="002963F8" w:rsidRDefault="005E621C">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Adjunto a la respuesta, el </w:t>
      </w:r>
      <w:r w:rsidRPr="002963F8">
        <w:rPr>
          <w:rFonts w:ascii="Palatino Linotype" w:eastAsia="Palatino Linotype" w:hAnsi="Palatino Linotype" w:cs="Palatino Linotype"/>
          <w:b/>
          <w:sz w:val="22"/>
          <w:szCs w:val="22"/>
        </w:rPr>
        <w:t xml:space="preserve">Sujeto Obligado </w:t>
      </w:r>
      <w:r w:rsidRPr="002963F8">
        <w:rPr>
          <w:rFonts w:ascii="Palatino Linotype" w:eastAsia="Palatino Linotype" w:hAnsi="Palatino Linotype" w:cs="Palatino Linotype"/>
          <w:sz w:val="22"/>
          <w:szCs w:val="22"/>
        </w:rPr>
        <w:t>entregó el siguiente documento:</w:t>
      </w:r>
    </w:p>
    <w:p w14:paraId="24CBB80C" w14:textId="77777777" w:rsidR="001B3EF9" w:rsidRPr="002963F8" w:rsidRDefault="001B3EF9">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36605909" w14:textId="77777777" w:rsidR="001B3EF9" w:rsidRPr="002963F8" w:rsidRDefault="005E621C">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Oficio TPM-AR/CIM-100/2024 del siete de junio de dos mil veinticuatro, el Contralor Interno Municipal, con relación a la solicitud hizo del conocimiento al Titular de la Unidad de Transparencia que, en dicha área lo requerido está en proceso de investigación, y solicita que la información se clasifique como confidencial y reservada, con fundamento en el artículo 143 de la Ley de Transparencia y Acceso a la Información Pública del Estado de México y Municipios.</w:t>
      </w:r>
    </w:p>
    <w:p w14:paraId="29447C59" w14:textId="77777777" w:rsidR="001B3EF9" w:rsidRPr="002963F8" w:rsidRDefault="001B3EF9">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43632026" w14:textId="77777777" w:rsidR="001B3EF9" w:rsidRPr="002963F8" w:rsidRDefault="005E621C">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-Oficio TAIP/0399/2024 del siete de junio de dos mil veinticuatro, a través del cual el Titular de la Unidad de Transparencia hace del conocimiento al Contralor Interno Municipal, la convocatoria a la sesión ordinaria del Comité de Transparencia el diez de junio de dos mil veinticuatro, en la que en el punto cuatro del orden del día se llevaría a cabo la aprobación para dar contestación a la solicitud que dio origen al presente medio de impugnación.</w:t>
      </w:r>
    </w:p>
    <w:p w14:paraId="4CD52606" w14:textId="77777777" w:rsidR="001B3EF9" w:rsidRPr="002963F8" w:rsidRDefault="001B3EF9">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28209451" w14:textId="77777777" w:rsidR="001B3EF9" w:rsidRPr="002963F8" w:rsidRDefault="005E621C">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-Acta de la Segunda Sesión del Comité de Transparencia celebrada el diez de junio de dos mil veinticuatro, en la que se llevó a cabo la aprobación como confidencial la información relativa a la contestación de la solicitud de información que nos ocupa, presentada por el servidor público habilitado de la Contraloría Interna, conforme lo dispuesto en los artículos </w:t>
      </w:r>
      <w:r w:rsidRPr="002963F8">
        <w:rPr>
          <w:rFonts w:ascii="Palatino Linotype" w:eastAsia="Palatino Linotype" w:hAnsi="Palatino Linotype" w:cs="Palatino Linotype"/>
          <w:sz w:val="22"/>
          <w:szCs w:val="22"/>
        </w:rPr>
        <w:lastRenderedPageBreak/>
        <w:t>140 y 143 de la Ley de Transparencia y Acceso a la Información Pública del Estado de México y Municipios.</w:t>
      </w:r>
    </w:p>
    <w:p w14:paraId="04E69CA1" w14:textId="77777777" w:rsidR="001B3EF9" w:rsidRPr="002963F8" w:rsidRDefault="001B3EF9">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1E137E9E" w14:textId="77777777" w:rsidR="001B3EF9" w:rsidRPr="002963F8" w:rsidRDefault="005E621C">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2963F8">
        <w:rPr>
          <w:rFonts w:ascii="Palatino Linotype" w:eastAsia="Palatino Linotype" w:hAnsi="Palatino Linotype" w:cs="Palatino Linotype"/>
          <w:b/>
          <w:sz w:val="22"/>
          <w:szCs w:val="22"/>
        </w:rPr>
        <w:t xml:space="preserve">3. Interposición del recurso de revisión. </w:t>
      </w:r>
      <w:r w:rsidRPr="002963F8">
        <w:rPr>
          <w:rFonts w:ascii="Palatino Linotype" w:eastAsia="Palatino Linotype" w:hAnsi="Palatino Linotype" w:cs="Palatino Linotype"/>
          <w:sz w:val="22"/>
          <w:szCs w:val="22"/>
        </w:rPr>
        <w:t xml:space="preserve">Inconforme con los términos de la respuesta emitida por parte del </w:t>
      </w:r>
      <w:r w:rsidRPr="002963F8">
        <w:rPr>
          <w:rFonts w:ascii="Palatino Linotype" w:eastAsia="Palatino Linotype" w:hAnsi="Palatino Linotype" w:cs="Palatino Linotype"/>
          <w:b/>
          <w:sz w:val="22"/>
          <w:szCs w:val="22"/>
        </w:rPr>
        <w:t>Sujeto Obligado</w:t>
      </w:r>
      <w:r w:rsidRPr="002963F8">
        <w:rPr>
          <w:rFonts w:ascii="Palatino Linotype" w:eastAsia="Palatino Linotype" w:hAnsi="Palatino Linotype" w:cs="Palatino Linotype"/>
          <w:sz w:val="22"/>
          <w:szCs w:val="22"/>
        </w:rPr>
        <w:t>, el</w:t>
      </w:r>
      <w:r w:rsidRPr="002963F8">
        <w:rPr>
          <w:rFonts w:ascii="Palatino Linotype" w:eastAsia="Palatino Linotype" w:hAnsi="Palatino Linotype" w:cs="Palatino Linotype"/>
          <w:b/>
          <w:sz w:val="22"/>
          <w:szCs w:val="22"/>
        </w:rPr>
        <w:t xml:space="preserve"> trece de junio de dos mil veinticuatro,</w:t>
      </w:r>
      <w:r w:rsidRPr="002963F8">
        <w:rPr>
          <w:rFonts w:ascii="Palatino Linotype" w:eastAsia="Palatino Linotype" w:hAnsi="Palatino Linotype" w:cs="Palatino Linotype"/>
          <w:sz w:val="22"/>
          <w:szCs w:val="22"/>
        </w:rPr>
        <w:t xml:space="preserve"> </w:t>
      </w:r>
      <w:r w:rsidRPr="002963F8">
        <w:rPr>
          <w:rFonts w:ascii="Palatino Linotype" w:eastAsia="Palatino Linotype" w:hAnsi="Palatino Linotype" w:cs="Palatino Linotype"/>
          <w:b/>
          <w:sz w:val="22"/>
          <w:szCs w:val="22"/>
        </w:rPr>
        <w:t>la parte</w:t>
      </w:r>
      <w:r w:rsidRPr="002963F8">
        <w:rPr>
          <w:rFonts w:ascii="Palatino Linotype" w:eastAsia="Palatino Linotype" w:hAnsi="Palatino Linotype" w:cs="Palatino Linotype"/>
          <w:sz w:val="22"/>
          <w:szCs w:val="22"/>
        </w:rPr>
        <w:t xml:space="preserve"> </w:t>
      </w:r>
      <w:r w:rsidRPr="002963F8">
        <w:rPr>
          <w:rFonts w:ascii="Palatino Linotype" w:eastAsia="Palatino Linotype" w:hAnsi="Palatino Linotype" w:cs="Palatino Linotype"/>
          <w:b/>
          <w:sz w:val="22"/>
          <w:szCs w:val="22"/>
        </w:rPr>
        <w:t>Recurrente</w:t>
      </w:r>
      <w:r w:rsidRPr="002963F8">
        <w:rPr>
          <w:rFonts w:ascii="Palatino Linotype" w:eastAsia="Palatino Linotype" w:hAnsi="Palatino Linotype" w:cs="Palatino Linotype"/>
          <w:sz w:val="22"/>
          <w:szCs w:val="22"/>
        </w:rPr>
        <w:t xml:space="preserve"> interpuso el recurso de revisión a través de </w:t>
      </w:r>
      <w:r w:rsidRPr="002963F8">
        <w:rPr>
          <w:rFonts w:ascii="Palatino Linotype" w:eastAsia="Palatino Linotype" w:hAnsi="Palatino Linotype" w:cs="Palatino Linotype"/>
          <w:b/>
          <w:sz w:val="22"/>
          <w:szCs w:val="22"/>
        </w:rPr>
        <w:t xml:space="preserve">SAIMEX, </w:t>
      </w:r>
      <w:r w:rsidRPr="002963F8">
        <w:rPr>
          <w:rFonts w:ascii="Palatino Linotype" w:eastAsia="Palatino Linotype" w:hAnsi="Palatino Linotype" w:cs="Palatino Linotype"/>
          <w:sz w:val="22"/>
          <w:szCs w:val="22"/>
        </w:rPr>
        <w:t>en donde se manifestó de la siguiente manera:</w:t>
      </w:r>
    </w:p>
    <w:p w14:paraId="6CED3ABA" w14:textId="77777777" w:rsidR="001B3EF9" w:rsidRPr="002963F8" w:rsidRDefault="005E621C">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2963F8">
        <w:rPr>
          <w:rFonts w:ascii="Palatino Linotype" w:eastAsia="Palatino Linotype" w:hAnsi="Palatino Linotype" w:cs="Palatino Linotype"/>
          <w:b/>
          <w:sz w:val="22"/>
          <w:szCs w:val="22"/>
        </w:rPr>
        <w:t xml:space="preserve">a) Acto impugnado: </w:t>
      </w:r>
      <w:r w:rsidRPr="002963F8">
        <w:rPr>
          <w:rFonts w:ascii="Palatino Linotype" w:eastAsia="Palatino Linotype" w:hAnsi="Palatino Linotype" w:cs="Palatino Linotype"/>
          <w:i/>
          <w:sz w:val="22"/>
          <w:szCs w:val="22"/>
        </w:rPr>
        <w:t>“LA RESPUESTA A LA SOLICITUD DE INFORMACION PUBLICA 00088/ALMORI/IP/2024.” (Sic)</w:t>
      </w:r>
    </w:p>
    <w:p w14:paraId="63F2EEC6" w14:textId="77777777" w:rsidR="001B3EF9" w:rsidRPr="002963F8" w:rsidRDefault="005E621C">
      <w:pPr>
        <w:spacing w:line="276" w:lineRule="auto"/>
        <w:ind w:left="567" w:right="900"/>
        <w:jc w:val="both"/>
        <w:rPr>
          <w:rFonts w:ascii="Palatino Linotype" w:eastAsia="Palatino Linotype" w:hAnsi="Palatino Linotype" w:cs="Palatino Linotype"/>
          <w:sz w:val="22"/>
          <w:szCs w:val="22"/>
        </w:rPr>
      </w:pPr>
      <w:bookmarkStart w:id="3" w:name="_heading=h.30j0zll" w:colFirst="0" w:colLast="0"/>
      <w:bookmarkEnd w:id="3"/>
      <w:r w:rsidRPr="002963F8">
        <w:rPr>
          <w:rFonts w:ascii="Palatino Linotype" w:eastAsia="Palatino Linotype" w:hAnsi="Palatino Linotype" w:cs="Palatino Linotype"/>
          <w:b/>
          <w:sz w:val="22"/>
          <w:szCs w:val="22"/>
        </w:rPr>
        <w:t>b) Razones o motivos de inconformidad</w:t>
      </w:r>
      <w:r w:rsidRPr="002963F8">
        <w:rPr>
          <w:rFonts w:ascii="Palatino Linotype" w:eastAsia="Palatino Linotype" w:hAnsi="Palatino Linotype" w:cs="Palatino Linotype"/>
          <w:sz w:val="22"/>
          <w:szCs w:val="22"/>
        </w:rPr>
        <w:t xml:space="preserve">: </w:t>
      </w:r>
      <w:r w:rsidRPr="002963F8">
        <w:rPr>
          <w:rFonts w:ascii="Palatino Linotype" w:eastAsia="Palatino Linotype" w:hAnsi="Palatino Linotype" w:cs="Palatino Linotype"/>
          <w:i/>
          <w:sz w:val="22"/>
          <w:szCs w:val="22"/>
        </w:rPr>
        <w:t>“LA RESPUESTA A LA SOLICITUD DE INFORMACION PUBLICA 00088/ALMORI/IP/2024, QUE EMITEN NO ES CLARA POR LO SIGUIENTE: SE SOLICITO INFORMARAN EL Periodo en que fungió en el cargo como tesorera municipal la c. Ileana Gabriela Martínez Morales durante la administración 2013-2015 y 2022-2024, Y SU RESPUESTA FUE " La C. Ileana Gabriela fungió como Tesorera en enero de 2022 hasta agosto de 2022" SIN QUE LA MISMA RESULTE CLARA, YA QUE NO SEÑALAN FECHA DE INICIO Y FECHA FINAL, ASIMISMO NO HACEN PRONUNCIAMIENTO ALGUNO EN CUANTO AL PERIODO 2013-2015, DESCONOCIENDO PORQUE LA CONTRALORIA MUNICIPAL DEBA ATENDER EN PARTICULAR ESTE PUNTO, PUESTO QUE LA ADMINISTRACION DEBE CONTAR CON SU SECRETARIA DE AYUNTAMIENTO EN DONDE EN SU CASO CUENTA CON LAS ACTAS DE CABILDO QUE PUEDAN DETERMINAR CON EXACTITUD LOS PERIODOS EN QUE LA CIUDADANA DESEMPEÑO EL CARGO DE TESORERA MUNICIPAL POR OTRO LADO, SI BIEN SE ENTIENDE QUE LOS PROCEDIMIENTOS ADMINISTRATIVOS QUE SE ENCUENTRE VENTILANDO LA CONTRALORIA MUNICIPAL ESTEN VENTILANDOSE LO CIERTO ES QUE LA SOLICITUD DE INFORMACION SE ENFOCO EN SOLICITAR LA RELACION DE LOS PROCEDIMIENTOS, NO ASI EL CONTENIDO DE CADA UNO.” (Sic)</w:t>
      </w:r>
    </w:p>
    <w:p w14:paraId="79BF0FD9" w14:textId="77777777" w:rsidR="001B3EF9" w:rsidRPr="002963F8" w:rsidRDefault="001B3EF9">
      <w:pPr>
        <w:spacing w:line="276" w:lineRule="auto"/>
        <w:ind w:right="900"/>
        <w:jc w:val="both"/>
        <w:rPr>
          <w:rFonts w:ascii="Palatino Linotype" w:eastAsia="Palatino Linotype" w:hAnsi="Palatino Linotype" w:cs="Palatino Linotype"/>
          <w:i/>
          <w:sz w:val="22"/>
          <w:szCs w:val="22"/>
        </w:rPr>
      </w:pPr>
    </w:p>
    <w:p w14:paraId="31CFE395" w14:textId="77777777" w:rsidR="001B3EF9" w:rsidRPr="002963F8" w:rsidRDefault="005E621C">
      <w:pPr>
        <w:spacing w:line="360" w:lineRule="auto"/>
        <w:ind w:right="51"/>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lastRenderedPageBreak/>
        <w:t xml:space="preserve">4. Turno. </w:t>
      </w:r>
      <w:r w:rsidRPr="002963F8">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2963F8">
        <w:rPr>
          <w:rFonts w:ascii="Palatino Linotype" w:eastAsia="Palatino Linotype" w:hAnsi="Palatino Linotype" w:cs="Palatino Linotype"/>
          <w:b/>
          <w:sz w:val="22"/>
          <w:szCs w:val="22"/>
        </w:rPr>
        <w:t xml:space="preserve">Guadalupe Ramírez Peña, </w:t>
      </w:r>
      <w:r w:rsidRPr="002963F8">
        <w:rPr>
          <w:rFonts w:ascii="Palatino Linotype" w:eastAsia="Palatino Linotype" w:hAnsi="Palatino Linotype" w:cs="Palatino Linotype"/>
          <w:sz w:val="22"/>
          <w:szCs w:val="22"/>
        </w:rPr>
        <w:t>a efecto de que analizara sobre su admisión o su desechamiento.</w:t>
      </w:r>
    </w:p>
    <w:p w14:paraId="0F5A8640" w14:textId="77777777" w:rsidR="001B3EF9" w:rsidRPr="002963F8" w:rsidRDefault="001B3EF9">
      <w:pPr>
        <w:spacing w:line="360" w:lineRule="auto"/>
        <w:ind w:right="51"/>
        <w:jc w:val="both"/>
        <w:rPr>
          <w:rFonts w:ascii="Palatino Linotype" w:eastAsia="Palatino Linotype" w:hAnsi="Palatino Linotype" w:cs="Palatino Linotype"/>
          <w:sz w:val="22"/>
          <w:szCs w:val="22"/>
        </w:rPr>
      </w:pPr>
    </w:p>
    <w:p w14:paraId="1EDD04CB"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5. Admisión del Recurso de revisión.</w:t>
      </w:r>
      <w:r w:rsidRPr="002963F8">
        <w:rPr>
          <w:rFonts w:ascii="Palatino Linotype" w:eastAsia="Palatino Linotype" w:hAnsi="Palatino Linotype" w:cs="Palatino Linotype"/>
          <w:sz w:val="22"/>
          <w:szCs w:val="22"/>
        </w:rPr>
        <w:t xml:space="preserve"> Mediante acuerdo del </w:t>
      </w:r>
      <w:r w:rsidRPr="002963F8">
        <w:rPr>
          <w:rFonts w:ascii="Palatino Linotype" w:eastAsia="Palatino Linotype" w:hAnsi="Palatino Linotype" w:cs="Palatino Linotype"/>
          <w:b/>
          <w:sz w:val="22"/>
          <w:szCs w:val="22"/>
        </w:rPr>
        <w:t xml:space="preserve">dieciocho de junio de dos mil veinticuatro, </w:t>
      </w:r>
      <w:r w:rsidRPr="002963F8">
        <w:rPr>
          <w:rFonts w:ascii="Palatino Linotype" w:eastAsia="Palatino Linotype" w:hAnsi="Palatino Linotype" w:cs="Palatino Linotype"/>
          <w:sz w:val="22"/>
          <w:szCs w:val="22"/>
        </w:rPr>
        <w:t>notificado en esa misma fecha,</w:t>
      </w:r>
      <w:r w:rsidRPr="002963F8">
        <w:rPr>
          <w:rFonts w:ascii="Palatino Linotype" w:eastAsia="Palatino Linotype" w:hAnsi="Palatino Linotype" w:cs="Palatino Linotype"/>
          <w:b/>
          <w:sz w:val="22"/>
          <w:szCs w:val="22"/>
        </w:rPr>
        <w:t xml:space="preserve"> </w:t>
      </w:r>
      <w:r w:rsidRPr="002963F8">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2963F8">
        <w:rPr>
          <w:rFonts w:ascii="Palatino Linotype" w:eastAsia="Palatino Linotype" w:hAnsi="Palatino Linotype" w:cs="Palatino Linotype"/>
          <w:b/>
          <w:sz w:val="22"/>
          <w:szCs w:val="22"/>
        </w:rPr>
        <w:t xml:space="preserve">Sujeto Obligado </w:t>
      </w:r>
      <w:r w:rsidRPr="002963F8">
        <w:rPr>
          <w:rFonts w:ascii="Palatino Linotype" w:eastAsia="Palatino Linotype" w:hAnsi="Palatino Linotype" w:cs="Palatino Linotype"/>
          <w:sz w:val="22"/>
          <w:szCs w:val="22"/>
        </w:rPr>
        <w:t>presentara su informe justificado.</w:t>
      </w:r>
    </w:p>
    <w:p w14:paraId="200D946C"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4403C14F" w14:textId="77777777" w:rsidR="001B3EF9" w:rsidRPr="002963F8" w:rsidRDefault="005E621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2963F8">
        <w:rPr>
          <w:rFonts w:ascii="Palatino Linotype" w:eastAsia="Palatino Linotype" w:hAnsi="Palatino Linotype" w:cs="Palatino Linotype"/>
          <w:b/>
          <w:sz w:val="22"/>
          <w:szCs w:val="22"/>
        </w:rPr>
        <w:t>6. Manifestaciones</w:t>
      </w:r>
      <w:r w:rsidRPr="002963F8">
        <w:rPr>
          <w:rFonts w:ascii="Palatino Linotype" w:eastAsia="Palatino Linotype" w:hAnsi="Palatino Linotype" w:cs="Palatino Linotype"/>
          <w:sz w:val="22"/>
          <w:szCs w:val="22"/>
        </w:rPr>
        <w:t xml:space="preserve">. De las constancias que obran en el expediente electrónico aperturado con motivo del presente medio de impugnación, se advierte el </w:t>
      </w:r>
      <w:r w:rsidRPr="002963F8">
        <w:rPr>
          <w:rFonts w:ascii="Palatino Linotype" w:eastAsia="Palatino Linotype" w:hAnsi="Palatino Linotype" w:cs="Palatino Linotype"/>
          <w:b/>
          <w:sz w:val="22"/>
          <w:szCs w:val="22"/>
        </w:rPr>
        <w:t xml:space="preserve">Sujeto Obligado </w:t>
      </w:r>
      <w:r w:rsidRPr="002963F8">
        <w:rPr>
          <w:rFonts w:ascii="Palatino Linotype" w:eastAsia="Palatino Linotype" w:hAnsi="Palatino Linotype" w:cs="Palatino Linotype"/>
          <w:sz w:val="22"/>
          <w:szCs w:val="22"/>
        </w:rPr>
        <w:t xml:space="preserve">fue omiso en rendir su informe justificado; y, la parte </w:t>
      </w:r>
      <w:r w:rsidRPr="002963F8">
        <w:rPr>
          <w:rFonts w:ascii="Palatino Linotype" w:eastAsia="Palatino Linotype" w:hAnsi="Palatino Linotype" w:cs="Palatino Linotype"/>
          <w:b/>
          <w:sz w:val="22"/>
          <w:szCs w:val="22"/>
        </w:rPr>
        <w:t xml:space="preserve">Recurrente, </w:t>
      </w:r>
      <w:r w:rsidRPr="002963F8">
        <w:rPr>
          <w:rFonts w:ascii="Palatino Linotype" w:eastAsia="Palatino Linotype" w:hAnsi="Palatino Linotype" w:cs="Palatino Linotype"/>
          <w:sz w:val="22"/>
          <w:szCs w:val="22"/>
        </w:rPr>
        <w:t>fue omisa en realizar manifestaciones o rendir alegatos que conforme a derecho resultaran procedentes, como se advierte de la siguiente digitalización:</w:t>
      </w:r>
    </w:p>
    <w:p w14:paraId="5F1BD7E0" w14:textId="77777777" w:rsidR="001B3EF9" w:rsidRPr="002963F8" w:rsidRDefault="001B3EF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A35A6F5" w14:textId="77777777" w:rsidR="001B3EF9" w:rsidRPr="002963F8" w:rsidRDefault="005E621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noProof/>
          <w:sz w:val="22"/>
          <w:szCs w:val="22"/>
        </w:rPr>
        <w:drawing>
          <wp:inline distT="0" distB="0" distL="0" distR="0" wp14:anchorId="650E0A19" wp14:editId="66A64808">
            <wp:extent cx="5612130" cy="1335405"/>
            <wp:effectExtent l="3175" t="3175" r="3175" b="3175"/>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335405"/>
                    </a:xfrm>
                    <a:prstGeom prst="rect">
                      <a:avLst/>
                    </a:prstGeom>
                    <a:ln w="3175">
                      <a:solidFill>
                        <a:srgbClr val="000000"/>
                      </a:solidFill>
                      <a:prstDash val="solid"/>
                    </a:ln>
                  </pic:spPr>
                </pic:pic>
              </a:graphicData>
            </a:graphic>
          </wp:inline>
        </w:drawing>
      </w:r>
    </w:p>
    <w:p w14:paraId="0752E524" w14:textId="77777777" w:rsidR="001B3EF9" w:rsidRPr="002963F8" w:rsidRDefault="001B3EF9">
      <w:pPr>
        <w:pBdr>
          <w:top w:val="nil"/>
          <w:left w:val="nil"/>
          <w:bottom w:val="nil"/>
          <w:right w:val="nil"/>
          <w:between w:val="nil"/>
        </w:pBdr>
        <w:tabs>
          <w:tab w:val="left" w:pos="567"/>
        </w:tabs>
        <w:spacing w:line="276" w:lineRule="auto"/>
        <w:ind w:left="567" w:right="49"/>
        <w:jc w:val="both"/>
        <w:rPr>
          <w:rFonts w:ascii="Palatino Linotype" w:eastAsia="Palatino Linotype" w:hAnsi="Palatino Linotype" w:cs="Palatino Linotype"/>
          <w:sz w:val="22"/>
          <w:szCs w:val="22"/>
        </w:rPr>
      </w:pPr>
    </w:p>
    <w:p w14:paraId="122D4B48" w14:textId="77777777" w:rsidR="001B3EF9" w:rsidRPr="002963F8" w:rsidRDefault="005E621C">
      <w:pPr>
        <w:tabs>
          <w:tab w:val="left" w:pos="360"/>
        </w:tabs>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 xml:space="preserve">7. Ampliación del plazo. </w:t>
      </w:r>
      <w:r w:rsidRPr="002963F8">
        <w:rPr>
          <w:rFonts w:ascii="Palatino Linotype" w:eastAsia="Palatino Linotype" w:hAnsi="Palatino Linotype" w:cs="Palatino Linotype"/>
          <w:sz w:val="22"/>
          <w:szCs w:val="22"/>
        </w:rPr>
        <w:t>El</w:t>
      </w:r>
      <w:r w:rsidRPr="002963F8">
        <w:rPr>
          <w:rFonts w:ascii="Palatino Linotype" w:eastAsia="Palatino Linotype" w:hAnsi="Palatino Linotype" w:cs="Palatino Linotype"/>
          <w:b/>
          <w:sz w:val="22"/>
          <w:szCs w:val="22"/>
        </w:rPr>
        <w:t xml:space="preserve"> once de septiembre de dos mil veinticuatro</w:t>
      </w:r>
      <w:r w:rsidRPr="002963F8">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EADBB48" w14:textId="77777777" w:rsidR="001B3EF9" w:rsidRPr="002963F8" w:rsidRDefault="001B3EF9">
      <w:pPr>
        <w:tabs>
          <w:tab w:val="left" w:pos="360"/>
        </w:tabs>
        <w:spacing w:line="360" w:lineRule="auto"/>
        <w:ind w:right="49"/>
        <w:jc w:val="both"/>
        <w:rPr>
          <w:rFonts w:ascii="Palatino Linotype" w:eastAsia="Palatino Linotype" w:hAnsi="Palatino Linotype" w:cs="Palatino Linotype"/>
          <w:sz w:val="22"/>
          <w:szCs w:val="22"/>
        </w:rPr>
      </w:pPr>
    </w:p>
    <w:p w14:paraId="19F6A6DB"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66BD00A" w14:textId="77777777" w:rsidR="001B3EF9" w:rsidRPr="002963F8" w:rsidRDefault="005E621C">
      <w:pPr>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 </w:t>
      </w:r>
    </w:p>
    <w:p w14:paraId="1118D71E" w14:textId="77777777" w:rsidR="001B3EF9" w:rsidRPr="002963F8" w:rsidRDefault="005E621C">
      <w:pPr>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1015851" w14:textId="77777777" w:rsidR="001B3EF9" w:rsidRPr="002963F8" w:rsidRDefault="005E621C">
      <w:pPr>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 </w:t>
      </w:r>
    </w:p>
    <w:p w14:paraId="2BA5DAAB" w14:textId="77777777" w:rsidR="001B3EF9" w:rsidRPr="002963F8" w:rsidRDefault="005E621C">
      <w:pPr>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C2914A" w14:textId="77777777" w:rsidR="001B3EF9" w:rsidRPr="002963F8" w:rsidRDefault="001B3EF9">
      <w:pPr>
        <w:spacing w:line="360" w:lineRule="auto"/>
        <w:ind w:right="49"/>
        <w:jc w:val="both"/>
        <w:rPr>
          <w:rFonts w:ascii="Palatino Linotype" w:eastAsia="Palatino Linotype" w:hAnsi="Palatino Linotype" w:cs="Palatino Linotype"/>
          <w:sz w:val="22"/>
          <w:szCs w:val="22"/>
        </w:rPr>
      </w:pPr>
    </w:p>
    <w:p w14:paraId="074C8796" w14:textId="77777777" w:rsidR="001B3EF9" w:rsidRPr="002963F8" w:rsidRDefault="005E621C">
      <w:pPr>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DFA2A19" w14:textId="77777777" w:rsidR="001B3EF9" w:rsidRPr="002963F8" w:rsidRDefault="001B3EF9">
      <w:pPr>
        <w:spacing w:line="360" w:lineRule="auto"/>
        <w:ind w:right="49"/>
        <w:jc w:val="both"/>
        <w:rPr>
          <w:rFonts w:ascii="Palatino Linotype" w:eastAsia="Palatino Linotype" w:hAnsi="Palatino Linotype" w:cs="Palatino Linotype"/>
          <w:sz w:val="22"/>
          <w:szCs w:val="22"/>
        </w:rPr>
      </w:pPr>
    </w:p>
    <w:p w14:paraId="212DBD70" w14:textId="77777777" w:rsidR="001B3EF9" w:rsidRPr="002963F8" w:rsidRDefault="005E621C">
      <w:pPr>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2C9444B" w14:textId="77777777" w:rsidR="001B3EF9" w:rsidRPr="002963F8" w:rsidRDefault="001B3EF9">
      <w:pPr>
        <w:spacing w:line="360" w:lineRule="auto"/>
        <w:ind w:right="49"/>
        <w:jc w:val="both"/>
        <w:rPr>
          <w:rFonts w:ascii="Palatino Linotype" w:eastAsia="Palatino Linotype" w:hAnsi="Palatino Linotype" w:cs="Palatino Linotype"/>
          <w:sz w:val="22"/>
          <w:szCs w:val="22"/>
        </w:rPr>
      </w:pPr>
    </w:p>
    <w:p w14:paraId="2E4DE832" w14:textId="77777777" w:rsidR="001B3EF9" w:rsidRPr="002963F8" w:rsidRDefault="005E621C">
      <w:pPr>
        <w:tabs>
          <w:tab w:val="left" w:pos="709"/>
        </w:tabs>
        <w:spacing w:line="360" w:lineRule="auto"/>
        <w:ind w:left="567" w:right="560"/>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a)    Complejidad del asunto:</w:t>
      </w:r>
      <w:r w:rsidRPr="002963F8">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7DD19A74" w14:textId="77777777" w:rsidR="001B3EF9" w:rsidRPr="002963F8" w:rsidRDefault="005E621C">
      <w:pPr>
        <w:tabs>
          <w:tab w:val="left" w:pos="709"/>
        </w:tabs>
        <w:spacing w:line="360" w:lineRule="auto"/>
        <w:ind w:left="567" w:right="560"/>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b)   Actividad Procesal del interesado</w:t>
      </w:r>
      <w:r w:rsidRPr="002963F8">
        <w:rPr>
          <w:rFonts w:ascii="Palatino Linotype" w:eastAsia="Palatino Linotype" w:hAnsi="Palatino Linotype" w:cs="Palatino Linotype"/>
          <w:sz w:val="22"/>
          <w:szCs w:val="22"/>
        </w:rPr>
        <w:t>: Acciones u omisiones del interesado.</w:t>
      </w:r>
    </w:p>
    <w:p w14:paraId="6D1F619A" w14:textId="77777777" w:rsidR="001B3EF9" w:rsidRPr="002963F8" w:rsidRDefault="005E621C">
      <w:pPr>
        <w:tabs>
          <w:tab w:val="left" w:pos="851"/>
        </w:tabs>
        <w:spacing w:line="360" w:lineRule="auto"/>
        <w:ind w:left="567" w:right="560"/>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c)  Conducta de la Autoridad:</w:t>
      </w:r>
      <w:r w:rsidRPr="002963F8">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67F04EBF" w14:textId="77777777" w:rsidR="001B3EF9" w:rsidRPr="002963F8" w:rsidRDefault="005E621C">
      <w:pPr>
        <w:tabs>
          <w:tab w:val="left" w:pos="851"/>
        </w:tabs>
        <w:spacing w:line="360" w:lineRule="auto"/>
        <w:ind w:left="567" w:right="560"/>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d) La afectación generada en la situación jurídica de la persona involucrada en el proceso:</w:t>
      </w:r>
      <w:r w:rsidRPr="002963F8">
        <w:rPr>
          <w:rFonts w:ascii="Palatino Linotype" w:eastAsia="Palatino Linotype" w:hAnsi="Palatino Linotype" w:cs="Palatino Linotype"/>
          <w:sz w:val="22"/>
          <w:szCs w:val="22"/>
        </w:rPr>
        <w:t xml:space="preserve"> Violación a sus derechos humanos.</w:t>
      </w:r>
    </w:p>
    <w:p w14:paraId="0909F4B2" w14:textId="77777777" w:rsidR="001B3EF9" w:rsidRPr="002963F8" w:rsidRDefault="001B3EF9">
      <w:pPr>
        <w:tabs>
          <w:tab w:val="left" w:pos="851"/>
        </w:tabs>
        <w:spacing w:line="360" w:lineRule="auto"/>
        <w:ind w:left="567" w:right="560"/>
        <w:jc w:val="both"/>
        <w:rPr>
          <w:rFonts w:ascii="Palatino Linotype" w:eastAsia="Palatino Linotype" w:hAnsi="Palatino Linotype" w:cs="Palatino Linotype"/>
          <w:sz w:val="22"/>
          <w:szCs w:val="22"/>
        </w:rPr>
      </w:pPr>
    </w:p>
    <w:p w14:paraId="5DFCF514" w14:textId="77777777" w:rsidR="001B3EF9" w:rsidRPr="002963F8" w:rsidRDefault="005E621C">
      <w:pPr>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C52E4BE" w14:textId="77777777" w:rsidR="001B3EF9" w:rsidRPr="002963F8" w:rsidRDefault="005E621C">
      <w:pPr>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 </w:t>
      </w:r>
    </w:p>
    <w:p w14:paraId="231E3D1E" w14:textId="77777777" w:rsidR="001B3EF9" w:rsidRPr="002963F8" w:rsidRDefault="005E621C">
      <w:pPr>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2963F8">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2963F8">
        <w:rPr>
          <w:rFonts w:ascii="Palatino Linotype" w:eastAsia="Palatino Linotype" w:hAnsi="Palatino Linotype" w:cs="Palatino Linotype"/>
          <w:sz w:val="22"/>
          <w:szCs w:val="22"/>
        </w:rPr>
        <w:t>, visible en la Gaceta del Seminario Judicial de la Federación con el registro digital 205635.</w:t>
      </w:r>
    </w:p>
    <w:p w14:paraId="5A1B778C" w14:textId="77777777" w:rsidR="001B3EF9" w:rsidRPr="002963F8" w:rsidRDefault="005E621C">
      <w:pPr>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lastRenderedPageBreak/>
        <w:t xml:space="preserve"> </w:t>
      </w:r>
    </w:p>
    <w:p w14:paraId="6AC612EB" w14:textId="77777777" w:rsidR="001B3EF9" w:rsidRPr="002963F8" w:rsidRDefault="005E621C">
      <w:pPr>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BD0B223" w14:textId="77777777" w:rsidR="001B3EF9" w:rsidRPr="002963F8" w:rsidRDefault="001B3EF9">
      <w:pPr>
        <w:spacing w:line="360" w:lineRule="auto"/>
        <w:ind w:right="49"/>
        <w:jc w:val="both"/>
        <w:rPr>
          <w:rFonts w:ascii="Palatino Linotype" w:eastAsia="Palatino Linotype" w:hAnsi="Palatino Linotype" w:cs="Palatino Linotype"/>
          <w:sz w:val="22"/>
          <w:szCs w:val="22"/>
        </w:rPr>
      </w:pPr>
    </w:p>
    <w:p w14:paraId="204ED0CB" w14:textId="77777777" w:rsidR="001B3EF9" w:rsidRPr="002963F8" w:rsidRDefault="005E621C">
      <w:pPr>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AACBAB0" w14:textId="77777777" w:rsidR="001B3EF9" w:rsidRPr="002963F8" w:rsidRDefault="005E621C">
      <w:pPr>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 </w:t>
      </w:r>
    </w:p>
    <w:p w14:paraId="1F82BB98" w14:textId="77777777" w:rsidR="001B3EF9" w:rsidRPr="002963F8" w:rsidRDefault="005E621C">
      <w:pPr>
        <w:spacing w:line="276" w:lineRule="auto"/>
        <w:ind w:left="567" w:right="560"/>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 xml:space="preserve"> “PLAZO RAZONABLE PARA RESOLVER. DIMENSIÓN Y EFECTOS DE ESTE CONCEPTO CUANDO SE ADUCE EXCESIVA CARGA DE TRABAJO.”</w:t>
      </w:r>
      <w:r w:rsidRPr="002963F8">
        <w:rPr>
          <w:rFonts w:ascii="Palatino Linotype" w:eastAsia="Palatino Linotype" w:hAnsi="Palatino Linotype" w:cs="Palatino Linotype"/>
          <w:sz w:val="22"/>
          <w:szCs w:val="22"/>
        </w:rPr>
        <w:t xml:space="preserve"> consultable en el Seminario Judicial de la Federación y su gaceta, con el registro digital 2002351.</w:t>
      </w:r>
    </w:p>
    <w:p w14:paraId="75637EE5" w14:textId="77777777" w:rsidR="001B3EF9" w:rsidRPr="002963F8" w:rsidRDefault="005E621C">
      <w:pPr>
        <w:spacing w:line="276" w:lineRule="auto"/>
        <w:ind w:left="567" w:right="560"/>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 </w:t>
      </w:r>
    </w:p>
    <w:p w14:paraId="05081EBE" w14:textId="77777777" w:rsidR="001B3EF9" w:rsidRPr="002963F8" w:rsidRDefault="005E621C">
      <w:pPr>
        <w:spacing w:line="276" w:lineRule="auto"/>
        <w:ind w:left="567" w:right="560"/>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2963F8">
        <w:rPr>
          <w:rFonts w:ascii="Palatino Linotype" w:eastAsia="Palatino Linotype" w:hAnsi="Palatino Linotype" w:cs="Palatino Linotype"/>
          <w:sz w:val="22"/>
          <w:szCs w:val="22"/>
        </w:rPr>
        <w:t xml:space="preserve"> visible en el Seminario Judicial de la Federación y su gaceta, con el registro digital 2002350.</w:t>
      </w:r>
    </w:p>
    <w:p w14:paraId="239002C4" w14:textId="77777777" w:rsidR="001B3EF9" w:rsidRPr="002963F8" w:rsidRDefault="001B3EF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6C6E554" w14:textId="77777777" w:rsidR="001B3EF9" w:rsidRPr="002963F8" w:rsidRDefault="005E621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7758B655" w14:textId="77777777" w:rsidR="001B3EF9" w:rsidRPr="002963F8" w:rsidRDefault="001B3EF9">
      <w:pPr>
        <w:tabs>
          <w:tab w:val="left" w:pos="360"/>
        </w:tabs>
        <w:spacing w:line="360" w:lineRule="auto"/>
        <w:ind w:right="49"/>
        <w:jc w:val="both"/>
        <w:rPr>
          <w:rFonts w:ascii="Palatino Linotype" w:eastAsia="Palatino Linotype" w:hAnsi="Palatino Linotype" w:cs="Palatino Linotype"/>
          <w:sz w:val="22"/>
          <w:szCs w:val="22"/>
        </w:rPr>
      </w:pPr>
    </w:p>
    <w:p w14:paraId="2157CD85" w14:textId="77777777" w:rsidR="001B3EF9" w:rsidRPr="002963F8" w:rsidRDefault="005E621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 xml:space="preserve">8. Cierre de instrucción. </w:t>
      </w:r>
      <w:r w:rsidRPr="002963F8">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2963F8">
        <w:rPr>
          <w:rFonts w:ascii="Palatino Linotype" w:eastAsia="Palatino Linotype" w:hAnsi="Palatino Linotype" w:cs="Palatino Linotype"/>
          <w:b/>
          <w:sz w:val="22"/>
          <w:szCs w:val="22"/>
        </w:rPr>
        <w:t>once de septiembre de dos mil veinticuatro,</w:t>
      </w:r>
      <w:r w:rsidRPr="002963F8">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40743DB6" w14:textId="77777777" w:rsidR="001B3EF9" w:rsidRPr="002963F8" w:rsidRDefault="001B3EF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6703327" w14:textId="77777777" w:rsidR="001B3EF9" w:rsidRPr="002963F8" w:rsidRDefault="005E621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967364F" w14:textId="77777777" w:rsidR="001B3EF9" w:rsidRPr="002963F8" w:rsidRDefault="005E621C">
      <w:pPr>
        <w:widowControl w:val="0"/>
        <w:spacing w:before="240" w:after="240" w:line="360" w:lineRule="auto"/>
        <w:jc w:val="center"/>
        <w:rPr>
          <w:rFonts w:ascii="Palatino Linotype" w:eastAsia="Palatino Linotype" w:hAnsi="Palatino Linotype" w:cs="Palatino Linotype"/>
          <w:b/>
          <w:sz w:val="22"/>
          <w:szCs w:val="22"/>
        </w:rPr>
      </w:pPr>
      <w:r w:rsidRPr="002963F8">
        <w:rPr>
          <w:rFonts w:ascii="Palatino Linotype" w:eastAsia="Palatino Linotype" w:hAnsi="Palatino Linotype" w:cs="Palatino Linotype"/>
          <w:b/>
          <w:sz w:val="22"/>
          <w:szCs w:val="22"/>
        </w:rPr>
        <w:t>II. C O N S I D E R A N D O S</w:t>
      </w:r>
    </w:p>
    <w:p w14:paraId="679B580D" w14:textId="77777777" w:rsidR="001B3EF9" w:rsidRPr="002963F8" w:rsidRDefault="005E621C">
      <w:pPr>
        <w:spacing w:line="360" w:lineRule="auto"/>
        <w:jc w:val="both"/>
        <w:rPr>
          <w:rFonts w:ascii="Palatino Linotype" w:eastAsia="Palatino Linotype" w:hAnsi="Palatino Linotype" w:cs="Palatino Linotype"/>
          <w:sz w:val="22"/>
          <w:szCs w:val="22"/>
        </w:rPr>
      </w:pPr>
      <w:bookmarkStart w:id="5" w:name="_heading=h.17dp8vu" w:colFirst="0" w:colLast="0"/>
      <w:bookmarkEnd w:id="5"/>
      <w:r w:rsidRPr="002963F8">
        <w:rPr>
          <w:rFonts w:ascii="Palatino Linotype" w:eastAsia="Palatino Linotype" w:hAnsi="Palatino Linotype" w:cs="Palatino Linotype"/>
          <w:b/>
          <w:sz w:val="22"/>
          <w:szCs w:val="22"/>
        </w:rPr>
        <w:t>Primero. Competencia.</w:t>
      </w:r>
      <w:r w:rsidRPr="002963F8">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D8DE561"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57A5A157" w14:textId="77777777" w:rsidR="001B3EF9" w:rsidRPr="002963F8" w:rsidRDefault="005E621C">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2963F8">
        <w:rPr>
          <w:rFonts w:ascii="Palatino Linotype" w:eastAsia="Palatino Linotype" w:hAnsi="Palatino Linotype" w:cs="Palatino Linotype"/>
          <w:b/>
          <w:sz w:val="22"/>
          <w:szCs w:val="22"/>
        </w:rPr>
        <w:t>Segundo. Oportunidad y Procedibilidad del Recurso de Revisión</w:t>
      </w:r>
      <w:r w:rsidRPr="002963F8">
        <w:rPr>
          <w:rFonts w:ascii="Palatino Linotype" w:eastAsia="Palatino Linotype" w:hAnsi="Palatino Linotype" w:cs="Palatino Linotype"/>
          <w:sz w:val="22"/>
          <w:szCs w:val="22"/>
        </w:rPr>
        <w:t xml:space="preserve">. Previo al estudio del fondo del asunto, se procede a analizar los requisitos de oportunidad y procedibilidad que </w:t>
      </w:r>
      <w:r w:rsidRPr="002963F8">
        <w:rPr>
          <w:rFonts w:ascii="Palatino Linotype" w:eastAsia="Palatino Linotype" w:hAnsi="Palatino Linotype" w:cs="Palatino Linotype"/>
          <w:sz w:val="22"/>
          <w:szCs w:val="22"/>
        </w:rPr>
        <w:lastRenderedPageBreak/>
        <w:t>debe reunir el recurso de revisión interpuesto, previstos en los artículos 178 y 180 de la Ley de Transparencia y Acceso a la Información Pública del Estado de México y Municipios.</w:t>
      </w:r>
    </w:p>
    <w:p w14:paraId="082B5E0D"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02C3CB3A"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2963F8">
        <w:rPr>
          <w:rFonts w:ascii="Palatino Linotype" w:eastAsia="Palatino Linotype" w:hAnsi="Palatino Linotype" w:cs="Palatino Linotype"/>
          <w:b/>
          <w:sz w:val="22"/>
          <w:szCs w:val="22"/>
        </w:rPr>
        <w:t xml:space="preserve">Sujeto Obligado </w:t>
      </w:r>
      <w:r w:rsidRPr="002963F8">
        <w:rPr>
          <w:rFonts w:ascii="Palatino Linotype" w:eastAsia="Palatino Linotype" w:hAnsi="Palatino Linotype" w:cs="Palatino Linotype"/>
          <w:sz w:val="22"/>
          <w:szCs w:val="22"/>
        </w:rPr>
        <w:t xml:space="preserve">remitió la respuesta a la solicitud de información el </w:t>
      </w:r>
      <w:r w:rsidRPr="002963F8">
        <w:rPr>
          <w:rFonts w:ascii="Palatino Linotype" w:eastAsia="Palatino Linotype" w:hAnsi="Palatino Linotype" w:cs="Palatino Linotype"/>
          <w:b/>
          <w:sz w:val="22"/>
          <w:szCs w:val="22"/>
        </w:rPr>
        <w:t xml:space="preserve">trece de junio de dos mil veinticuatro, </w:t>
      </w:r>
      <w:r w:rsidRPr="002963F8">
        <w:rPr>
          <w:rFonts w:ascii="Palatino Linotype" w:eastAsia="Palatino Linotype" w:hAnsi="Palatino Linotype" w:cs="Palatino Linotype"/>
          <w:sz w:val="22"/>
          <w:szCs w:val="22"/>
        </w:rPr>
        <w:t xml:space="preserve">mientras que el recurso de revisión interpuesto por </w:t>
      </w:r>
      <w:r w:rsidRPr="002963F8">
        <w:rPr>
          <w:rFonts w:ascii="Palatino Linotype" w:eastAsia="Palatino Linotype" w:hAnsi="Palatino Linotype" w:cs="Palatino Linotype"/>
          <w:b/>
          <w:sz w:val="22"/>
          <w:szCs w:val="22"/>
        </w:rPr>
        <w:t>la parte</w:t>
      </w:r>
      <w:r w:rsidRPr="002963F8">
        <w:rPr>
          <w:rFonts w:ascii="Palatino Linotype" w:eastAsia="Palatino Linotype" w:hAnsi="Palatino Linotype" w:cs="Palatino Linotype"/>
          <w:sz w:val="22"/>
          <w:szCs w:val="22"/>
        </w:rPr>
        <w:t xml:space="preserve"> </w:t>
      </w:r>
      <w:r w:rsidRPr="002963F8">
        <w:rPr>
          <w:rFonts w:ascii="Palatino Linotype" w:eastAsia="Palatino Linotype" w:hAnsi="Palatino Linotype" w:cs="Palatino Linotype"/>
          <w:b/>
          <w:sz w:val="22"/>
          <w:szCs w:val="22"/>
        </w:rPr>
        <w:t>Recurrente</w:t>
      </w:r>
      <w:r w:rsidRPr="002963F8">
        <w:rPr>
          <w:rFonts w:ascii="Palatino Linotype" w:eastAsia="Palatino Linotype" w:hAnsi="Palatino Linotype" w:cs="Palatino Linotype"/>
          <w:sz w:val="22"/>
          <w:szCs w:val="22"/>
        </w:rPr>
        <w:t xml:space="preserve">, se tuvo por presentado el </w:t>
      </w:r>
      <w:r w:rsidRPr="002963F8">
        <w:rPr>
          <w:rFonts w:ascii="Palatino Linotype" w:eastAsia="Palatino Linotype" w:hAnsi="Palatino Linotype" w:cs="Palatino Linotype"/>
          <w:b/>
          <w:sz w:val="22"/>
          <w:szCs w:val="22"/>
        </w:rPr>
        <w:t xml:space="preserve">trece de junio de dos mil veinticuatro, </w:t>
      </w:r>
      <w:r w:rsidRPr="002963F8">
        <w:rPr>
          <w:rFonts w:ascii="Palatino Linotype" w:eastAsia="Palatino Linotype" w:hAnsi="Palatino Linotype" w:cs="Palatino Linotype"/>
          <w:sz w:val="22"/>
          <w:szCs w:val="22"/>
        </w:rPr>
        <w:t xml:space="preserve">esto es, el mismo día hábil en </w:t>
      </w:r>
      <w:r w:rsidRPr="002963F8">
        <w:rPr>
          <w:rFonts w:ascii="Palatino Linotype" w:eastAsia="Palatino Linotype" w:hAnsi="Palatino Linotype" w:cs="Palatino Linotype"/>
          <w:b/>
          <w:sz w:val="22"/>
          <w:szCs w:val="22"/>
        </w:rPr>
        <w:t>que se tuvo conocimiento de la respuesta impugnada</w:t>
      </w:r>
      <w:r w:rsidRPr="002963F8">
        <w:rPr>
          <w:rFonts w:ascii="Palatino Linotype" w:eastAsia="Palatino Linotype" w:hAnsi="Palatino Linotype" w:cs="Palatino Linotype"/>
          <w:sz w:val="22"/>
          <w:szCs w:val="22"/>
        </w:rPr>
        <w:t xml:space="preserve">. </w:t>
      </w:r>
    </w:p>
    <w:p w14:paraId="2C5833E2"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4ECB2757" w14:textId="77777777" w:rsidR="001B3EF9" w:rsidRPr="002963F8" w:rsidRDefault="005E621C">
      <w:pPr>
        <w:pBdr>
          <w:top w:val="nil"/>
          <w:left w:val="nil"/>
          <w:bottom w:val="nil"/>
          <w:right w:val="nil"/>
          <w:between w:val="nil"/>
        </w:pBdr>
        <w:spacing w:line="360" w:lineRule="auto"/>
        <w:jc w:val="both"/>
        <w:rPr>
          <w:sz w:val="22"/>
          <w:szCs w:val="22"/>
        </w:rPr>
      </w:pPr>
      <w:r w:rsidRPr="002963F8">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2B114F6" w14:textId="77777777" w:rsidR="001B3EF9" w:rsidRPr="002963F8" w:rsidRDefault="005E621C">
      <w:pPr>
        <w:pBdr>
          <w:top w:val="nil"/>
          <w:left w:val="nil"/>
          <w:bottom w:val="nil"/>
          <w:right w:val="nil"/>
          <w:between w:val="nil"/>
        </w:pBdr>
        <w:spacing w:before="120" w:after="120"/>
        <w:ind w:left="851" w:right="902"/>
        <w:jc w:val="both"/>
        <w:rPr>
          <w:sz w:val="22"/>
          <w:szCs w:val="22"/>
        </w:rPr>
      </w:pPr>
      <w:r w:rsidRPr="002963F8">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2963F8">
        <w:rPr>
          <w:rFonts w:ascii="Palatino Linotype" w:eastAsia="Palatino Linotype" w:hAnsi="Palatino Linotype" w:cs="Palatino Linotype"/>
          <w:i/>
          <w:sz w:val="22"/>
          <w:szCs w:val="22"/>
        </w:rPr>
        <w:t>.</w:t>
      </w:r>
    </w:p>
    <w:p w14:paraId="3E7E11D6" w14:textId="77777777" w:rsidR="001B3EF9" w:rsidRPr="002963F8" w:rsidRDefault="005E621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w:t>
      </w:r>
      <w:r w:rsidRPr="002963F8">
        <w:rPr>
          <w:rFonts w:ascii="Palatino Linotype" w:eastAsia="Palatino Linotype" w:hAnsi="Palatino Linotype" w:cs="Palatino Linotype"/>
          <w:i/>
          <w:sz w:val="22"/>
          <w:szCs w:val="22"/>
        </w:rPr>
        <w:lastRenderedPageBreak/>
        <w:t>que el escrito correspondiente se presente antes de iniciado ese término. De ahí que si dicho recurso se interpone antes de que inicie el plazo para hacerlo, su presentación no es extemporánea.”</w:t>
      </w:r>
    </w:p>
    <w:p w14:paraId="057F0AE0" w14:textId="77777777" w:rsidR="001B3EF9" w:rsidRPr="002963F8" w:rsidRDefault="001B3EF9">
      <w:pPr>
        <w:pBdr>
          <w:top w:val="nil"/>
          <w:left w:val="nil"/>
          <w:bottom w:val="nil"/>
          <w:right w:val="nil"/>
          <w:between w:val="nil"/>
        </w:pBdr>
        <w:spacing w:before="120" w:after="120"/>
        <w:ind w:left="851" w:right="902"/>
        <w:jc w:val="both"/>
        <w:rPr>
          <w:sz w:val="22"/>
          <w:szCs w:val="22"/>
        </w:rPr>
      </w:pPr>
    </w:p>
    <w:p w14:paraId="75D0D577" w14:textId="77777777" w:rsidR="001B3EF9" w:rsidRPr="002963F8" w:rsidRDefault="005E621C">
      <w:pPr>
        <w:pBdr>
          <w:top w:val="nil"/>
          <w:left w:val="nil"/>
          <w:bottom w:val="nil"/>
          <w:right w:val="nil"/>
          <w:between w:val="nil"/>
        </w:pBdr>
        <w:spacing w:line="360" w:lineRule="auto"/>
        <w:jc w:val="both"/>
        <w:rPr>
          <w:sz w:val="22"/>
          <w:szCs w:val="22"/>
        </w:rPr>
      </w:pPr>
      <w:r w:rsidRPr="002963F8">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79A28DE"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201EC968" w14:textId="77777777" w:rsidR="001B3EF9" w:rsidRPr="002963F8" w:rsidRDefault="005E621C">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2963F8">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8215ED1" w14:textId="77777777" w:rsidR="001B3EF9" w:rsidRPr="002963F8" w:rsidRDefault="001B3EF9">
      <w:pPr>
        <w:tabs>
          <w:tab w:val="left" w:pos="7938"/>
        </w:tabs>
        <w:spacing w:line="360" w:lineRule="auto"/>
        <w:jc w:val="both"/>
        <w:rPr>
          <w:rFonts w:ascii="Palatino Linotype" w:eastAsia="Palatino Linotype" w:hAnsi="Palatino Linotype" w:cs="Palatino Linotype"/>
          <w:sz w:val="22"/>
          <w:szCs w:val="22"/>
        </w:rPr>
      </w:pPr>
    </w:p>
    <w:p w14:paraId="133F4F12"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Por otro lado, es de suma importancia mencionar que, si bien la parte</w:t>
      </w:r>
      <w:r w:rsidRPr="002963F8">
        <w:rPr>
          <w:rFonts w:ascii="Palatino Linotype" w:eastAsia="Palatino Linotype" w:hAnsi="Palatino Linotype" w:cs="Palatino Linotype"/>
          <w:b/>
          <w:sz w:val="22"/>
          <w:szCs w:val="22"/>
        </w:rPr>
        <w:t xml:space="preserve"> Recurrente</w:t>
      </w:r>
      <w:r w:rsidRPr="002963F8">
        <w:rPr>
          <w:rFonts w:ascii="Palatino Linotype" w:eastAsia="Palatino Linotype" w:hAnsi="Palatino Linotype" w:cs="Palatino Linotype"/>
          <w:sz w:val="22"/>
          <w:szCs w:val="22"/>
        </w:rPr>
        <w:t xml:space="preserve"> </w:t>
      </w:r>
      <w:r w:rsidRPr="002963F8">
        <w:rPr>
          <w:rFonts w:ascii="Palatino Linotype" w:eastAsia="Palatino Linotype" w:hAnsi="Palatino Linotype" w:cs="Palatino Linotype"/>
          <w:b/>
          <w:sz w:val="22"/>
          <w:szCs w:val="22"/>
        </w:rPr>
        <w:t>proporcionó un seudónimo</w:t>
      </w:r>
      <w:r w:rsidRPr="002963F8">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EC92287"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053E8FB4" w14:textId="77777777" w:rsidR="001B3EF9" w:rsidRPr="002963F8" w:rsidRDefault="005E621C">
      <w:pPr>
        <w:spacing w:line="276" w:lineRule="auto"/>
        <w:ind w:left="851" w:right="902"/>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Las solicitudes anónimas</w:t>
      </w:r>
      <w:r w:rsidRPr="002963F8">
        <w:rPr>
          <w:rFonts w:ascii="Palatino Linotype" w:eastAsia="Palatino Linotype" w:hAnsi="Palatino Linotype" w:cs="Palatino Linotype"/>
          <w:i/>
          <w:sz w:val="22"/>
          <w:szCs w:val="22"/>
        </w:rPr>
        <w:t>, con nombre incompleto o seudónimo</w:t>
      </w:r>
      <w:r w:rsidRPr="002963F8">
        <w:rPr>
          <w:rFonts w:ascii="Palatino Linotype" w:eastAsia="Palatino Linotype" w:hAnsi="Palatino Linotype" w:cs="Palatino Linotype"/>
          <w:b/>
          <w:i/>
          <w:sz w:val="22"/>
          <w:szCs w:val="22"/>
        </w:rPr>
        <w:t> serán procedentes para su trámite por parte del sujeto obligado ante quien se presente</w:t>
      </w:r>
      <w:r w:rsidRPr="002963F8">
        <w:rPr>
          <w:rFonts w:ascii="Palatino Linotype" w:eastAsia="Palatino Linotype" w:hAnsi="Palatino Linotype" w:cs="Palatino Linotype"/>
          <w:i/>
          <w:sz w:val="22"/>
          <w:szCs w:val="22"/>
        </w:rPr>
        <w:t>. No podrá requerirse información adicional con motivo del nombre proporcionado por el solicitante."</w:t>
      </w:r>
    </w:p>
    <w:p w14:paraId="4C1BAD34" w14:textId="77777777" w:rsidR="001B3EF9" w:rsidRPr="002963F8" w:rsidRDefault="001B3EF9">
      <w:pPr>
        <w:tabs>
          <w:tab w:val="left" w:pos="7938"/>
        </w:tabs>
        <w:spacing w:line="360" w:lineRule="auto"/>
        <w:jc w:val="both"/>
        <w:rPr>
          <w:rFonts w:ascii="Palatino Linotype" w:eastAsia="Palatino Linotype" w:hAnsi="Palatino Linotype" w:cs="Palatino Linotype"/>
          <w:sz w:val="22"/>
          <w:szCs w:val="22"/>
        </w:rPr>
      </w:pPr>
    </w:p>
    <w:p w14:paraId="5CD0824D"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Finalmente, se advierte que resulta procedente la interposición del recurso, según lo manifestado por </w:t>
      </w:r>
      <w:r w:rsidRPr="002963F8">
        <w:rPr>
          <w:rFonts w:ascii="Palatino Linotype" w:eastAsia="Palatino Linotype" w:hAnsi="Palatino Linotype" w:cs="Palatino Linotype"/>
          <w:b/>
          <w:sz w:val="22"/>
          <w:szCs w:val="22"/>
        </w:rPr>
        <w:t>la parte</w:t>
      </w:r>
      <w:r w:rsidRPr="002963F8">
        <w:rPr>
          <w:rFonts w:ascii="Palatino Linotype" w:eastAsia="Palatino Linotype" w:hAnsi="Palatino Linotype" w:cs="Palatino Linotype"/>
          <w:sz w:val="22"/>
          <w:szCs w:val="22"/>
        </w:rPr>
        <w:t xml:space="preserve"> </w:t>
      </w:r>
      <w:r w:rsidRPr="002963F8">
        <w:rPr>
          <w:rFonts w:ascii="Palatino Linotype" w:eastAsia="Palatino Linotype" w:hAnsi="Palatino Linotype" w:cs="Palatino Linotype"/>
          <w:b/>
          <w:sz w:val="22"/>
          <w:szCs w:val="22"/>
        </w:rPr>
        <w:t>Recurrente</w:t>
      </w:r>
      <w:r w:rsidRPr="002963F8">
        <w:rPr>
          <w:rFonts w:ascii="Palatino Linotype" w:eastAsia="Palatino Linotype" w:hAnsi="Palatino Linotype" w:cs="Palatino Linotype"/>
          <w:sz w:val="22"/>
          <w:szCs w:val="22"/>
        </w:rPr>
        <w:t xml:space="preserve"> en sus motivos de inconformidad, de acuerdo al artículo 179, fracción VI y XIII del ordenamiento legal citado, que a la letra dice: </w:t>
      </w:r>
    </w:p>
    <w:p w14:paraId="462398B7"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5EA68F07" w14:textId="77777777" w:rsidR="001B3EF9" w:rsidRPr="002963F8" w:rsidRDefault="005E621C">
      <w:pPr>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Artículo 179.</w:t>
      </w:r>
      <w:r w:rsidRPr="002963F8">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6C9E49F" w14:textId="77777777" w:rsidR="001B3EF9" w:rsidRPr="002963F8" w:rsidRDefault="005E621C">
      <w:pPr>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p>
    <w:p w14:paraId="7A5482DF" w14:textId="77777777" w:rsidR="001B3EF9" w:rsidRPr="002963F8" w:rsidRDefault="005E621C">
      <w:pPr>
        <w:ind w:left="567" w:right="902"/>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VI. La entrega de información que no corresponda con lo solicitado;</w:t>
      </w:r>
    </w:p>
    <w:p w14:paraId="172DA06C" w14:textId="77777777" w:rsidR="001B3EF9" w:rsidRPr="002963F8" w:rsidRDefault="005E621C">
      <w:pPr>
        <w:ind w:left="567" w:right="902"/>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p>
    <w:p w14:paraId="4C700901" w14:textId="77777777" w:rsidR="001B3EF9" w:rsidRPr="002963F8" w:rsidRDefault="005E621C">
      <w:pPr>
        <w:ind w:left="567" w:right="902"/>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XIII. La falta, deficiencia o insuficiencia de la fundamentación y/o motivación en la respuesta; y”</w:t>
      </w:r>
    </w:p>
    <w:p w14:paraId="011646EE" w14:textId="77777777" w:rsidR="001B3EF9" w:rsidRPr="002963F8" w:rsidRDefault="001B3EF9">
      <w:pPr>
        <w:ind w:left="567" w:right="902"/>
        <w:rPr>
          <w:rFonts w:ascii="Palatino Linotype" w:eastAsia="Palatino Linotype" w:hAnsi="Palatino Linotype" w:cs="Palatino Linotype"/>
          <w:b/>
          <w:i/>
          <w:sz w:val="22"/>
          <w:szCs w:val="22"/>
        </w:rPr>
      </w:pPr>
    </w:p>
    <w:p w14:paraId="4EABCA96" w14:textId="77777777" w:rsidR="001B3EF9" w:rsidRPr="002963F8" w:rsidRDefault="005E621C">
      <w:pPr>
        <w:ind w:left="567" w:right="902"/>
        <w:jc w:val="right"/>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 xml:space="preserve"> </w:t>
      </w:r>
      <w:r w:rsidRPr="002963F8">
        <w:rPr>
          <w:rFonts w:ascii="Palatino Linotype" w:eastAsia="Palatino Linotype" w:hAnsi="Palatino Linotype" w:cs="Palatino Linotype"/>
          <w:i/>
          <w:sz w:val="22"/>
          <w:szCs w:val="22"/>
        </w:rPr>
        <w:t>(Énfasis añadido)</w:t>
      </w:r>
    </w:p>
    <w:p w14:paraId="2F87CA31" w14:textId="77777777" w:rsidR="001B3EF9" w:rsidRPr="002963F8" w:rsidRDefault="001B3EF9">
      <w:pPr>
        <w:spacing w:line="360" w:lineRule="auto"/>
        <w:jc w:val="both"/>
        <w:rPr>
          <w:rFonts w:ascii="Palatino Linotype" w:eastAsia="Palatino Linotype" w:hAnsi="Palatino Linotype" w:cs="Palatino Linotype"/>
          <w:b/>
          <w:sz w:val="22"/>
          <w:szCs w:val="22"/>
        </w:rPr>
      </w:pPr>
    </w:p>
    <w:p w14:paraId="076475BF" w14:textId="77777777" w:rsidR="001B3EF9" w:rsidRPr="002963F8" w:rsidRDefault="005E621C">
      <w:pPr>
        <w:spacing w:line="360" w:lineRule="auto"/>
        <w:jc w:val="both"/>
        <w:rPr>
          <w:rFonts w:ascii="Palatino Linotype" w:eastAsia="Palatino Linotype" w:hAnsi="Palatino Linotype" w:cs="Palatino Linotype"/>
          <w:b/>
          <w:sz w:val="22"/>
          <w:szCs w:val="22"/>
        </w:rPr>
      </w:pPr>
      <w:r w:rsidRPr="002963F8">
        <w:rPr>
          <w:rFonts w:ascii="Palatino Linotype" w:eastAsia="Palatino Linotype" w:hAnsi="Palatino Linotype" w:cs="Palatino Linotype"/>
          <w:b/>
          <w:sz w:val="22"/>
          <w:szCs w:val="22"/>
        </w:rPr>
        <w:t xml:space="preserve">Tercero. Materia de la revisión. </w:t>
      </w:r>
      <w:r w:rsidRPr="002963F8">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2963F8">
        <w:rPr>
          <w:rFonts w:ascii="Palatino Linotype" w:eastAsia="Palatino Linotype" w:hAnsi="Palatino Linotype" w:cs="Palatino Linotype"/>
          <w:b/>
          <w:sz w:val="22"/>
          <w:szCs w:val="22"/>
        </w:rPr>
        <w:t>verificar si la respuesta otorgada por el Sujeto Obligado es adecuada y suficiente para satisfacer el derecho de acceso a la información pública de la parte Recurrente,</w:t>
      </w:r>
      <w:r w:rsidRPr="002963F8">
        <w:rPr>
          <w:rFonts w:ascii="Palatino Linotype" w:eastAsia="Palatino Linotype" w:hAnsi="Palatino Linotype" w:cs="Palatino Linotype"/>
          <w:sz w:val="22"/>
          <w:szCs w:val="22"/>
        </w:rPr>
        <w:t xml:space="preserve"> o en su defecto, en caso de ser procedente, ordenar la entrega de información oportuna.</w:t>
      </w:r>
    </w:p>
    <w:p w14:paraId="3405DFDA"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60698243"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 xml:space="preserve">Cuarto. Estudio del asunto. </w:t>
      </w:r>
      <w:r w:rsidRPr="002963F8">
        <w:rPr>
          <w:rFonts w:ascii="Palatino Linotype" w:eastAsia="Palatino Linotype" w:hAnsi="Palatino Linotype" w:cs="Palatino Linotype"/>
          <w:sz w:val="22"/>
          <w:szCs w:val="22"/>
        </w:rPr>
        <w:t xml:space="preserve">Antes de entrar al análisis de los pronunciamientos del </w:t>
      </w:r>
      <w:r w:rsidRPr="002963F8">
        <w:rPr>
          <w:rFonts w:ascii="Palatino Linotype" w:eastAsia="Palatino Linotype" w:hAnsi="Palatino Linotype" w:cs="Palatino Linotype"/>
          <w:b/>
          <w:sz w:val="22"/>
          <w:szCs w:val="22"/>
        </w:rPr>
        <w:t>Sujeto Obligado</w:t>
      </w:r>
      <w:r w:rsidRPr="002963F8">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AB73CE6"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2A8275B" w14:textId="77777777" w:rsidR="001B3EF9" w:rsidRPr="002963F8" w:rsidRDefault="005E621C">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963F8">
        <w:rPr>
          <w:rFonts w:ascii="Palatino Linotype" w:eastAsia="Palatino Linotype" w:hAnsi="Palatino Linotype" w:cs="Palatino Linotype"/>
          <w:i/>
          <w:sz w:val="22"/>
          <w:szCs w:val="22"/>
        </w:rPr>
        <w:t xml:space="preserve">, así como </w:t>
      </w:r>
      <w:r w:rsidRPr="002963F8">
        <w:rPr>
          <w:rFonts w:ascii="Palatino Linotype" w:eastAsia="Palatino Linotype" w:hAnsi="Palatino Linotype" w:cs="Palatino Linotype"/>
          <w:i/>
          <w:sz w:val="22"/>
          <w:szCs w:val="22"/>
        </w:rPr>
        <w:lastRenderedPageBreak/>
        <w:t>de las garantías para su protección, cuyo ejercicio no podrá restringirse ni suspenderse, salvo en los casos y bajo las condiciones que esta Constitución establece.</w:t>
      </w:r>
    </w:p>
    <w:p w14:paraId="37FACC2A" w14:textId="77777777" w:rsidR="001B3EF9" w:rsidRPr="002963F8" w:rsidRDefault="005E621C">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B7735B6" w14:textId="77777777" w:rsidR="001B3EF9" w:rsidRPr="002963F8" w:rsidRDefault="005E621C">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963F8">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1754416A" w14:textId="77777777" w:rsidR="001B3EF9" w:rsidRPr="002963F8" w:rsidRDefault="005E621C">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i/>
          <w:sz w:val="22"/>
          <w:szCs w:val="22"/>
        </w:rPr>
        <w:t>[…]</w:t>
      </w:r>
    </w:p>
    <w:p w14:paraId="165E3F20" w14:textId="77777777" w:rsidR="001B3EF9" w:rsidRPr="002963F8" w:rsidRDefault="005E621C">
      <w:pPr>
        <w:pBdr>
          <w:top w:val="nil"/>
          <w:left w:val="nil"/>
          <w:bottom w:val="nil"/>
          <w:right w:val="nil"/>
          <w:between w:val="nil"/>
        </w:pBdr>
        <w:spacing w:line="276" w:lineRule="auto"/>
        <w:ind w:left="851" w:right="901"/>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i/>
          <w:sz w:val="22"/>
          <w:szCs w:val="22"/>
        </w:rPr>
        <w:t>“Artículo 6o.</w:t>
      </w:r>
    </w:p>
    <w:p w14:paraId="38A86A45" w14:textId="77777777" w:rsidR="001B3EF9" w:rsidRPr="002963F8" w:rsidRDefault="005E621C">
      <w:pPr>
        <w:pBdr>
          <w:top w:val="nil"/>
          <w:left w:val="nil"/>
          <w:bottom w:val="nil"/>
          <w:right w:val="nil"/>
          <w:between w:val="nil"/>
        </w:pBdr>
        <w:spacing w:line="276" w:lineRule="auto"/>
        <w:ind w:left="851" w:right="901"/>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i/>
          <w:sz w:val="22"/>
          <w:szCs w:val="22"/>
        </w:rPr>
        <w:t>[...]</w:t>
      </w:r>
    </w:p>
    <w:p w14:paraId="3001A306" w14:textId="77777777" w:rsidR="001B3EF9" w:rsidRPr="002963F8" w:rsidRDefault="005E621C">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i/>
          <w:sz w:val="22"/>
          <w:szCs w:val="22"/>
        </w:rPr>
        <w:t xml:space="preserve">A. Para el ejercicio del derecho de acceso a la información, la Federación y </w:t>
      </w:r>
      <w:r w:rsidRPr="002963F8">
        <w:rPr>
          <w:rFonts w:ascii="Palatino Linotype" w:eastAsia="Palatino Linotype" w:hAnsi="Palatino Linotype" w:cs="Palatino Linotype"/>
          <w:b/>
          <w:i/>
          <w:sz w:val="22"/>
          <w:szCs w:val="22"/>
          <w:u w:val="single"/>
        </w:rPr>
        <w:t>las entidades federativas</w:t>
      </w:r>
      <w:r w:rsidRPr="002963F8">
        <w:rPr>
          <w:rFonts w:ascii="Palatino Linotype" w:eastAsia="Palatino Linotype" w:hAnsi="Palatino Linotype" w:cs="Palatino Linotype"/>
          <w:b/>
          <w:i/>
          <w:sz w:val="22"/>
          <w:szCs w:val="22"/>
        </w:rPr>
        <w:t>,</w:t>
      </w:r>
      <w:r w:rsidRPr="002963F8">
        <w:rPr>
          <w:rFonts w:ascii="Palatino Linotype" w:eastAsia="Palatino Linotype" w:hAnsi="Palatino Linotype" w:cs="Palatino Linotype"/>
          <w:i/>
          <w:sz w:val="22"/>
          <w:szCs w:val="22"/>
        </w:rPr>
        <w:t xml:space="preserve"> en el ámbito de sus respectivas competencias, se regirán por los siguientes principios y bases:</w:t>
      </w:r>
    </w:p>
    <w:p w14:paraId="49D7DB5F" w14:textId="77777777" w:rsidR="001B3EF9" w:rsidRPr="002963F8" w:rsidRDefault="005E621C">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i/>
          <w:sz w:val="22"/>
          <w:szCs w:val="22"/>
        </w:rPr>
        <w:t> </w:t>
      </w:r>
      <w:r w:rsidRPr="002963F8">
        <w:rPr>
          <w:rFonts w:ascii="Palatino Linotype" w:eastAsia="Palatino Linotype" w:hAnsi="Palatino Linotype" w:cs="Palatino Linotype"/>
          <w:b/>
          <w:i/>
          <w:sz w:val="22"/>
          <w:szCs w:val="22"/>
        </w:rPr>
        <w:t xml:space="preserve">I. </w:t>
      </w:r>
      <w:r w:rsidRPr="002963F8">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963F8">
        <w:rPr>
          <w:rFonts w:ascii="Palatino Linotype" w:eastAsia="Palatino Linotype" w:hAnsi="Palatino Linotype" w:cs="Palatino Linotype"/>
          <w:i/>
          <w:sz w:val="22"/>
          <w:szCs w:val="22"/>
        </w:rPr>
        <w:t xml:space="preserve"> Ejecutivo, Legislativo </w:t>
      </w:r>
      <w:r w:rsidRPr="002963F8">
        <w:rPr>
          <w:rFonts w:ascii="Palatino Linotype" w:eastAsia="Palatino Linotype" w:hAnsi="Palatino Linotype" w:cs="Palatino Linotype"/>
          <w:b/>
          <w:i/>
          <w:sz w:val="22"/>
          <w:szCs w:val="22"/>
          <w:u w:val="single"/>
        </w:rPr>
        <w:t>y Judicial</w:t>
      </w:r>
      <w:r w:rsidRPr="002963F8">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963F8">
        <w:rPr>
          <w:rFonts w:ascii="Palatino Linotype" w:eastAsia="Palatino Linotype" w:hAnsi="Palatino Linotype" w:cs="Palatino Linotype"/>
          <w:b/>
          <w:i/>
          <w:sz w:val="22"/>
          <w:szCs w:val="22"/>
        </w:rPr>
        <w:t>es pública y sólo podrá ser reservada temporalmente por razones de interés público y seguridad nacional,</w:t>
      </w:r>
      <w:r w:rsidRPr="002963F8">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9079C35" w14:textId="77777777" w:rsidR="001B3EF9" w:rsidRPr="002963F8" w:rsidRDefault="005E621C">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i/>
          <w:sz w:val="22"/>
          <w:szCs w:val="22"/>
        </w:rPr>
        <w:t> </w:t>
      </w:r>
      <w:r w:rsidRPr="002963F8">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4008F25" w14:textId="77777777" w:rsidR="001B3EF9" w:rsidRPr="002963F8" w:rsidRDefault="005E621C">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i/>
          <w:sz w:val="22"/>
          <w:szCs w:val="22"/>
        </w:rPr>
        <w:lastRenderedPageBreak/>
        <w:t> </w:t>
      </w:r>
      <w:r w:rsidRPr="002963F8">
        <w:rPr>
          <w:rFonts w:ascii="Palatino Linotype" w:eastAsia="Palatino Linotype" w:hAnsi="Palatino Linotype" w:cs="Palatino Linotype"/>
          <w:b/>
          <w:i/>
          <w:sz w:val="22"/>
          <w:szCs w:val="22"/>
        </w:rPr>
        <w:t xml:space="preserve">III. </w:t>
      </w:r>
      <w:r w:rsidRPr="002963F8">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963F8">
        <w:rPr>
          <w:rFonts w:ascii="Palatino Linotype" w:eastAsia="Palatino Linotype" w:hAnsi="Palatino Linotype" w:cs="Palatino Linotype"/>
          <w:i/>
          <w:sz w:val="22"/>
          <w:szCs w:val="22"/>
        </w:rPr>
        <w:t xml:space="preserve"> a sus datos personales o a la rectificación de éstos.</w:t>
      </w:r>
    </w:p>
    <w:p w14:paraId="14805BE1" w14:textId="77777777" w:rsidR="001B3EF9" w:rsidRPr="002963F8" w:rsidRDefault="005E621C">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i/>
          <w:sz w:val="22"/>
          <w:szCs w:val="22"/>
        </w:rPr>
        <w:t> </w:t>
      </w:r>
      <w:r w:rsidRPr="002963F8">
        <w:rPr>
          <w:rFonts w:ascii="Palatino Linotype" w:eastAsia="Palatino Linotype" w:hAnsi="Palatino Linotype" w:cs="Palatino Linotype"/>
          <w:b/>
          <w:i/>
          <w:sz w:val="22"/>
          <w:szCs w:val="22"/>
        </w:rPr>
        <w:t xml:space="preserve">IV. </w:t>
      </w:r>
      <w:r w:rsidRPr="002963F8">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B518D9F" w14:textId="77777777" w:rsidR="001B3EF9" w:rsidRPr="002963F8" w:rsidRDefault="005E621C">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i/>
          <w:sz w:val="22"/>
          <w:szCs w:val="22"/>
        </w:rPr>
        <w:t xml:space="preserve">V. </w:t>
      </w:r>
      <w:r w:rsidRPr="002963F8">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2B2E029" w14:textId="77777777" w:rsidR="001B3EF9" w:rsidRPr="002963F8" w:rsidRDefault="005E621C">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i/>
          <w:sz w:val="22"/>
          <w:szCs w:val="22"/>
        </w:rPr>
        <w:t> </w:t>
      </w:r>
      <w:r w:rsidRPr="002963F8">
        <w:rPr>
          <w:rFonts w:ascii="Palatino Linotype" w:eastAsia="Palatino Linotype" w:hAnsi="Palatino Linotype" w:cs="Palatino Linotype"/>
          <w:b/>
          <w:i/>
          <w:sz w:val="22"/>
          <w:szCs w:val="22"/>
        </w:rPr>
        <w:t xml:space="preserve">VI. </w:t>
      </w:r>
      <w:r w:rsidRPr="002963F8">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34E3EBD" w14:textId="77777777" w:rsidR="001B3EF9" w:rsidRPr="002963F8" w:rsidRDefault="005E621C">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w:t>
      </w:r>
      <w:r w:rsidRPr="002963F8">
        <w:rPr>
          <w:rFonts w:ascii="Palatino Linotype" w:eastAsia="Palatino Linotype" w:hAnsi="Palatino Linotype" w:cs="Palatino Linotype"/>
          <w:b/>
          <w:i/>
          <w:sz w:val="22"/>
          <w:szCs w:val="22"/>
        </w:rPr>
        <w:t xml:space="preserve">VII. </w:t>
      </w:r>
      <w:r w:rsidRPr="002963F8">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BC9BB31" w14:textId="77777777" w:rsidR="001B3EF9" w:rsidRPr="002963F8" w:rsidRDefault="001B3EF9">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p>
    <w:p w14:paraId="751F1B2B"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5622EB1"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2A60FB2" w14:textId="77777777" w:rsidR="001B3EF9" w:rsidRPr="002963F8" w:rsidRDefault="005E621C">
      <w:pPr>
        <w:spacing w:line="276" w:lineRule="auto"/>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Artículo 4</w:t>
      </w:r>
      <w:r w:rsidRPr="002963F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7B4FFE0" w14:textId="77777777" w:rsidR="001B3EF9" w:rsidRPr="002963F8" w:rsidRDefault="001B3EF9">
      <w:pPr>
        <w:spacing w:line="276" w:lineRule="auto"/>
        <w:ind w:left="567" w:right="616"/>
        <w:jc w:val="both"/>
        <w:rPr>
          <w:rFonts w:ascii="Palatino Linotype" w:eastAsia="Palatino Linotype" w:hAnsi="Palatino Linotype" w:cs="Palatino Linotype"/>
          <w:i/>
          <w:sz w:val="22"/>
          <w:szCs w:val="22"/>
        </w:rPr>
      </w:pPr>
    </w:p>
    <w:p w14:paraId="15C8F08C" w14:textId="77777777" w:rsidR="001B3EF9" w:rsidRPr="002963F8" w:rsidRDefault="005E621C">
      <w:pPr>
        <w:spacing w:line="276" w:lineRule="auto"/>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w:t>
      </w:r>
      <w:r w:rsidRPr="002963F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8C0D8DD" w14:textId="77777777" w:rsidR="001B3EF9" w:rsidRPr="002963F8" w:rsidRDefault="001B3EF9">
      <w:pPr>
        <w:spacing w:line="276" w:lineRule="auto"/>
        <w:ind w:left="567" w:right="616"/>
        <w:jc w:val="both"/>
        <w:rPr>
          <w:rFonts w:ascii="Palatino Linotype" w:eastAsia="Palatino Linotype" w:hAnsi="Palatino Linotype" w:cs="Palatino Linotype"/>
          <w:i/>
          <w:sz w:val="22"/>
          <w:szCs w:val="22"/>
        </w:rPr>
      </w:pPr>
    </w:p>
    <w:p w14:paraId="794C845A" w14:textId="77777777" w:rsidR="001B3EF9" w:rsidRPr="002963F8" w:rsidRDefault="005E621C">
      <w:pPr>
        <w:spacing w:line="276" w:lineRule="auto"/>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963F8">
        <w:rPr>
          <w:rFonts w:ascii="Palatino Linotype" w:eastAsia="Palatino Linotype" w:hAnsi="Palatino Linotype" w:cs="Palatino Linotype"/>
          <w:i/>
          <w:sz w:val="22"/>
          <w:szCs w:val="22"/>
        </w:rPr>
        <w:t>.”</w:t>
      </w:r>
    </w:p>
    <w:p w14:paraId="077E6A62"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17C3E47B"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12102F9"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7A7BDE73" w14:textId="77777777" w:rsidR="001B3EF9" w:rsidRPr="002963F8" w:rsidRDefault="005E621C">
      <w:pPr>
        <w:spacing w:line="276" w:lineRule="auto"/>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“Artículo 12.-</w:t>
      </w:r>
      <w:r w:rsidRPr="002963F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D11D35D" w14:textId="77777777" w:rsidR="001B3EF9" w:rsidRPr="002963F8" w:rsidRDefault="001B3EF9">
      <w:pPr>
        <w:spacing w:line="276" w:lineRule="auto"/>
        <w:ind w:left="567" w:right="616"/>
        <w:jc w:val="both"/>
        <w:rPr>
          <w:rFonts w:ascii="Palatino Linotype" w:eastAsia="Palatino Linotype" w:hAnsi="Palatino Linotype" w:cs="Palatino Linotype"/>
          <w:i/>
          <w:sz w:val="22"/>
          <w:szCs w:val="22"/>
        </w:rPr>
      </w:pPr>
    </w:p>
    <w:p w14:paraId="2FE6A513" w14:textId="77777777" w:rsidR="001B3EF9" w:rsidRPr="002963F8" w:rsidRDefault="005E621C">
      <w:pPr>
        <w:spacing w:line="276" w:lineRule="auto"/>
        <w:ind w:left="567" w:right="616"/>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963F8">
        <w:rPr>
          <w:rFonts w:ascii="Palatino Linotype" w:eastAsia="Palatino Linotype" w:hAnsi="Palatino Linotype" w:cs="Palatino Linotype"/>
          <w:i/>
          <w:sz w:val="22"/>
          <w:szCs w:val="22"/>
        </w:rPr>
        <w:t xml:space="preserve">. </w:t>
      </w:r>
      <w:r w:rsidRPr="002963F8">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sidRPr="002963F8">
        <w:rPr>
          <w:rFonts w:ascii="Palatino Linotype" w:eastAsia="Palatino Linotype" w:hAnsi="Palatino Linotype" w:cs="Palatino Linotype"/>
          <w:b/>
          <w:i/>
          <w:sz w:val="22"/>
          <w:szCs w:val="22"/>
        </w:rPr>
        <w:lastRenderedPageBreak/>
        <w:t xml:space="preserve">obligados a generarla, resumirla, efectuar cálculos o practicar investigaciones”. </w:t>
      </w:r>
    </w:p>
    <w:p w14:paraId="3E57A158" w14:textId="77777777" w:rsidR="001B3EF9" w:rsidRPr="002963F8" w:rsidRDefault="001B3EF9">
      <w:pPr>
        <w:spacing w:line="360" w:lineRule="auto"/>
        <w:ind w:left="567" w:right="616"/>
        <w:jc w:val="both"/>
        <w:rPr>
          <w:rFonts w:ascii="Palatino Linotype" w:eastAsia="Palatino Linotype" w:hAnsi="Palatino Linotype" w:cs="Palatino Linotype"/>
          <w:i/>
          <w:sz w:val="22"/>
          <w:szCs w:val="22"/>
        </w:rPr>
      </w:pPr>
    </w:p>
    <w:p w14:paraId="42D585D5" w14:textId="77777777" w:rsidR="001B3EF9" w:rsidRPr="002963F8" w:rsidRDefault="005E621C">
      <w:pPr>
        <w:spacing w:line="360" w:lineRule="auto"/>
        <w:ind w:right="-93"/>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47C268E" w14:textId="77777777" w:rsidR="001B3EF9" w:rsidRPr="002963F8" w:rsidRDefault="001B3EF9">
      <w:pPr>
        <w:spacing w:line="360" w:lineRule="auto"/>
        <w:ind w:right="-93"/>
        <w:jc w:val="both"/>
        <w:rPr>
          <w:rFonts w:ascii="Palatino Linotype" w:eastAsia="Palatino Linotype" w:hAnsi="Palatino Linotype" w:cs="Palatino Linotype"/>
          <w:sz w:val="22"/>
          <w:szCs w:val="22"/>
        </w:rPr>
      </w:pPr>
    </w:p>
    <w:p w14:paraId="79DFD7D2" w14:textId="77777777" w:rsidR="001B3EF9" w:rsidRPr="002963F8" w:rsidRDefault="005E621C">
      <w:pPr>
        <w:spacing w:line="360" w:lineRule="auto"/>
        <w:jc w:val="both"/>
        <w:rPr>
          <w:rFonts w:ascii="Palatino Linotype" w:eastAsia="Palatino Linotype" w:hAnsi="Palatino Linotype" w:cs="Palatino Linotype"/>
          <w:b/>
          <w:sz w:val="22"/>
          <w:szCs w:val="22"/>
        </w:rPr>
      </w:pPr>
      <w:r w:rsidRPr="002963F8">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2963F8">
        <w:rPr>
          <w:rFonts w:ascii="Palatino Linotype" w:eastAsia="Palatino Linotype" w:hAnsi="Palatino Linotype" w:cs="Palatino Linotype"/>
          <w:b/>
          <w:sz w:val="22"/>
          <w:szCs w:val="22"/>
        </w:rPr>
        <w:t xml:space="preserve"> </w:t>
      </w:r>
    </w:p>
    <w:p w14:paraId="1B678302" w14:textId="77777777" w:rsidR="001B3EF9" w:rsidRPr="002963F8" w:rsidRDefault="001B3EF9">
      <w:pPr>
        <w:spacing w:line="360" w:lineRule="auto"/>
        <w:jc w:val="both"/>
        <w:rPr>
          <w:rFonts w:ascii="Palatino Linotype" w:eastAsia="Palatino Linotype" w:hAnsi="Palatino Linotype" w:cs="Palatino Linotype"/>
          <w:b/>
          <w:sz w:val="22"/>
          <w:szCs w:val="22"/>
        </w:rPr>
      </w:pPr>
    </w:p>
    <w:p w14:paraId="6D19B6F8" w14:textId="77777777" w:rsidR="001B3EF9" w:rsidRPr="002963F8" w:rsidRDefault="005E621C">
      <w:pPr>
        <w:spacing w:line="276" w:lineRule="auto"/>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No existe obligación de elaborar documentos ad hoc para atender las solicitudes de acceso a la información.</w:t>
      </w:r>
      <w:r w:rsidRPr="002963F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E8D40BB" w14:textId="77777777" w:rsidR="001B3EF9" w:rsidRPr="002963F8" w:rsidRDefault="001B3EF9">
      <w:pPr>
        <w:spacing w:line="360" w:lineRule="auto"/>
        <w:ind w:right="-93"/>
        <w:jc w:val="both"/>
        <w:rPr>
          <w:rFonts w:ascii="Palatino Linotype" w:eastAsia="Palatino Linotype" w:hAnsi="Palatino Linotype" w:cs="Palatino Linotype"/>
          <w:sz w:val="22"/>
          <w:szCs w:val="22"/>
        </w:rPr>
      </w:pPr>
    </w:p>
    <w:p w14:paraId="5BF90A57"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w:t>
      </w:r>
      <w:r w:rsidRPr="002963F8">
        <w:rPr>
          <w:rFonts w:ascii="Palatino Linotype" w:eastAsia="Palatino Linotype" w:hAnsi="Palatino Linotype" w:cs="Palatino Linotype"/>
          <w:sz w:val="22"/>
          <w:szCs w:val="22"/>
        </w:rPr>
        <w:lastRenderedPageBreak/>
        <w:t>encuentra a disposición de cualquier persona, lo que implica que es deber de los Sujetos Obligados, garantizar el Derecho de Acceso a la Información Pública.</w:t>
      </w:r>
    </w:p>
    <w:p w14:paraId="7C0EA596"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58F3609B" w14:textId="77777777" w:rsidR="001B3EF9" w:rsidRPr="002963F8" w:rsidRDefault="005E621C">
      <w:pPr>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BCDF08E" w14:textId="77777777" w:rsidR="001B3EF9" w:rsidRPr="002963F8" w:rsidRDefault="001B3EF9">
      <w:pPr>
        <w:spacing w:line="360" w:lineRule="auto"/>
        <w:ind w:right="49"/>
        <w:jc w:val="both"/>
        <w:rPr>
          <w:rFonts w:ascii="Palatino Linotype" w:eastAsia="Palatino Linotype" w:hAnsi="Palatino Linotype" w:cs="Palatino Linotype"/>
          <w:sz w:val="22"/>
          <w:szCs w:val="22"/>
        </w:rPr>
      </w:pPr>
    </w:p>
    <w:p w14:paraId="76922DAE"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0EF71F5" w14:textId="77777777" w:rsidR="001B3EF9" w:rsidRPr="002963F8" w:rsidRDefault="001B3EF9">
      <w:pPr>
        <w:spacing w:line="360" w:lineRule="auto"/>
        <w:ind w:left="851" w:right="899"/>
        <w:jc w:val="both"/>
        <w:rPr>
          <w:rFonts w:ascii="Palatino Linotype" w:eastAsia="Palatino Linotype" w:hAnsi="Palatino Linotype" w:cs="Palatino Linotype"/>
          <w:i/>
          <w:sz w:val="22"/>
          <w:szCs w:val="22"/>
        </w:rPr>
      </w:pPr>
    </w:p>
    <w:p w14:paraId="5CF3A6AF" w14:textId="77777777" w:rsidR="001B3EF9" w:rsidRPr="002963F8" w:rsidRDefault="005E621C">
      <w:pPr>
        <w:spacing w:line="276" w:lineRule="auto"/>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 xml:space="preserve">Artículo 3. </w:t>
      </w:r>
      <w:r w:rsidRPr="002963F8">
        <w:rPr>
          <w:rFonts w:ascii="Palatino Linotype" w:eastAsia="Palatino Linotype" w:hAnsi="Palatino Linotype" w:cs="Palatino Linotype"/>
          <w:i/>
          <w:sz w:val="22"/>
          <w:szCs w:val="22"/>
        </w:rPr>
        <w:t>Para los efectos de la presente Ley se entenderá por:</w:t>
      </w:r>
    </w:p>
    <w:p w14:paraId="0A4E69E2" w14:textId="77777777" w:rsidR="001B3EF9" w:rsidRPr="002963F8" w:rsidRDefault="005E621C">
      <w:pPr>
        <w:spacing w:line="276" w:lineRule="auto"/>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p>
    <w:p w14:paraId="7D40C290" w14:textId="77777777" w:rsidR="001B3EF9" w:rsidRPr="002963F8" w:rsidRDefault="005E621C">
      <w:pPr>
        <w:spacing w:line="276" w:lineRule="auto"/>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XI. Documento:</w:t>
      </w:r>
      <w:r w:rsidRPr="002963F8">
        <w:rPr>
          <w:rFonts w:ascii="Palatino Linotype" w:eastAsia="Palatino Linotype" w:hAnsi="Palatino Linotype" w:cs="Palatino Linotype"/>
          <w:i/>
          <w:sz w:val="22"/>
          <w:szCs w:val="22"/>
        </w:rPr>
        <w:t xml:space="preserve"> Los expedientes, reportes, estudios, actas</w:t>
      </w:r>
      <w:r w:rsidRPr="002963F8">
        <w:rPr>
          <w:rFonts w:ascii="Palatino Linotype" w:eastAsia="Palatino Linotype" w:hAnsi="Palatino Linotype" w:cs="Palatino Linotype"/>
          <w:b/>
          <w:i/>
          <w:sz w:val="22"/>
          <w:szCs w:val="22"/>
        </w:rPr>
        <w:t>,</w:t>
      </w:r>
      <w:r w:rsidRPr="002963F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87508BF" w14:textId="77777777" w:rsidR="001B3EF9" w:rsidRPr="002963F8" w:rsidRDefault="001B3EF9">
      <w:pPr>
        <w:spacing w:line="360" w:lineRule="auto"/>
        <w:ind w:left="851" w:right="899"/>
        <w:jc w:val="both"/>
        <w:rPr>
          <w:rFonts w:ascii="Palatino Linotype" w:eastAsia="Palatino Linotype" w:hAnsi="Palatino Linotype" w:cs="Palatino Linotype"/>
          <w:sz w:val="22"/>
          <w:szCs w:val="22"/>
        </w:rPr>
      </w:pPr>
    </w:p>
    <w:p w14:paraId="7CDD5994"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2C28CEF"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0CA58492" w14:textId="77777777" w:rsidR="001B3EF9" w:rsidRPr="002963F8" w:rsidRDefault="005E621C">
      <w:pPr>
        <w:spacing w:line="276" w:lineRule="auto"/>
        <w:ind w:left="567" w:right="616"/>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sz w:val="22"/>
          <w:szCs w:val="22"/>
        </w:rPr>
        <w:t>“</w:t>
      </w:r>
      <w:r w:rsidRPr="002963F8">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2963F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4DB7D0D" w14:textId="77777777" w:rsidR="001B3EF9" w:rsidRPr="002963F8" w:rsidRDefault="005E621C">
      <w:pPr>
        <w:spacing w:line="276" w:lineRule="auto"/>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359356A" w14:textId="77777777" w:rsidR="001B3EF9" w:rsidRPr="002963F8" w:rsidRDefault="005E621C">
      <w:pPr>
        <w:spacing w:line="276" w:lineRule="auto"/>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062E73F" w14:textId="77777777" w:rsidR="001B3EF9" w:rsidRPr="002963F8" w:rsidRDefault="005E621C">
      <w:pPr>
        <w:spacing w:line="276" w:lineRule="auto"/>
        <w:ind w:left="567" w:right="616"/>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D4E1727" w14:textId="77777777" w:rsidR="001B3EF9" w:rsidRPr="002963F8" w:rsidRDefault="005E621C">
      <w:pPr>
        <w:spacing w:line="276" w:lineRule="auto"/>
        <w:ind w:left="567" w:right="616"/>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67DB2702" w14:textId="77777777" w:rsidR="001B3EF9" w:rsidRPr="002963F8" w:rsidRDefault="001B3EF9">
      <w:pPr>
        <w:spacing w:line="276" w:lineRule="auto"/>
        <w:ind w:left="567" w:right="616"/>
        <w:jc w:val="both"/>
        <w:rPr>
          <w:rFonts w:ascii="Palatino Linotype" w:eastAsia="Palatino Linotype" w:hAnsi="Palatino Linotype" w:cs="Palatino Linotype"/>
          <w:b/>
          <w:i/>
          <w:sz w:val="22"/>
          <w:szCs w:val="22"/>
        </w:rPr>
      </w:pPr>
    </w:p>
    <w:p w14:paraId="5D7458E8"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De ahí que el </w:t>
      </w:r>
      <w:r w:rsidRPr="002963F8">
        <w:rPr>
          <w:rFonts w:ascii="Palatino Linotype" w:eastAsia="Palatino Linotype" w:hAnsi="Palatino Linotype" w:cs="Palatino Linotype"/>
          <w:b/>
          <w:sz w:val="22"/>
          <w:szCs w:val="22"/>
        </w:rPr>
        <w:t>Sujeto Obligado</w:t>
      </w:r>
      <w:r w:rsidRPr="002963F8">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w:t>
      </w:r>
      <w:r w:rsidRPr="002963F8">
        <w:rPr>
          <w:rFonts w:ascii="Palatino Linotype" w:eastAsia="Palatino Linotype" w:hAnsi="Palatino Linotype" w:cs="Palatino Linotype"/>
          <w:sz w:val="22"/>
          <w:szCs w:val="22"/>
        </w:rPr>
        <w:lastRenderedPageBreak/>
        <w:t>acuerdo con sus facultades, atribuciones y obligaciones señaladas por la Ley en la materia</w:t>
      </w:r>
      <w:r w:rsidRPr="002963F8">
        <w:rPr>
          <w:rFonts w:ascii="Palatino Linotype" w:eastAsia="Palatino Linotype" w:hAnsi="Palatino Linotype" w:cs="Palatino Linotype"/>
          <w:sz w:val="22"/>
          <w:szCs w:val="22"/>
          <w:vertAlign w:val="superscript"/>
        </w:rPr>
        <w:footnoteReference w:id="1"/>
      </w:r>
      <w:r w:rsidRPr="002963F8">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2963F8">
        <w:rPr>
          <w:rFonts w:ascii="Palatino Linotype" w:eastAsia="Palatino Linotype" w:hAnsi="Palatino Linotype" w:cs="Palatino Linotype"/>
          <w:sz w:val="22"/>
          <w:szCs w:val="22"/>
          <w:vertAlign w:val="superscript"/>
        </w:rPr>
        <w:footnoteReference w:id="2"/>
      </w:r>
      <w:r w:rsidRPr="002963F8">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5383ACAC" w14:textId="77777777" w:rsidR="001B3EF9" w:rsidRPr="002963F8" w:rsidRDefault="001B3EF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D842E01" w14:textId="77777777" w:rsidR="001B3EF9" w:rsidRPr="002963F8" w:rsidRDefault="005E621C">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bookmarkStart w:id="8" w:name="_heading=h.1y810tw" w:colFirst="0" w:colLast="0"/>
      <w:bookmarkEnd w:id="8"/>
      <w:r w:rsidRPr="002963F8">
        <w:rPr>
          <w:rFonts w:ascii="Palatino Linotype" w:eastAsia="Palatino Linotype" w:hAnsi="Palatino Linotype" w:cs="Palatino Linotype"/>
          <w:sz w:val="22"/>
          <w:szCs w:val="22"/>
        </w:rPr>
        <w:t xml:space="preserve">Del análisis a la solicitud de información, se advierte que la persona solicitante requirió del </w:t>
      </w:r>
      <w:r w:rsidRPr="002963F8">
        <w:rPr>
          <w:rFonts w:ascii="Palatino Linotype" w:eastAsia="Palatino Linotype" w:hAnsi="Palatino Linotype" w:cs="Palatino Linotype"/>
          <w:b/>
          <w:sz w:val="22"/>
          <w:szCs w:val="22"/>
        </w:rPr>
        <w:t>Sujeto Obligado, sobre la persona referida en la solicitud de información, lo siguiente:</w:t>
      </w:r>
    </w:p>
    <w:p w14:paraId="52E5CF4D" w14:textId="77777777" w:rsidR="001B3EF9" w:rsidRPr="002963F8" w:rsidRDefault="001B3EF9">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554EAF3D" w14:textId="77777777" w:rsidR="001B3EF9" w:rsidRPr="002963F8" w:rsidRDefault="005E621C">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2963F8">
        <w:rPr>
          <w:rFonts w:ascii="Palatino Linotype" w:eastAsia="Palatino Linotype" w:hAnsi="Palatino Linotype" w:cs="Palatino Linotype"/>
          <w:sz w:val="22"/>
          <w:szCs w:val="22"/>
        </w:rPr>
        <w:t>Periodo en el que fungió como Tesorera Municipal en las administraciones públicas municipales 2013-2015 y 2022-2024.</w:t>
      </w:r>
    </w:p>
    <w:p w14:paraId="46A59113" w14:textId="77777777" w:rsidR="001B3EF9" w:rsidRPr="002963F8" w:rsidRDefault="005E621C">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2963F8">
        <w:rPr>
          <w:rFonts w:ascii="Palatino Linotype" w:eastAsia="Palatino Linotype" w:hAnsi="Palatino Linotype" w:cs="Palatino Linotype"/>
          <w:sz w:val="22"/>
          <w:szCs w:val="22"/>
        </w:rPr>
        <w:t>Relación de procedimientos administrativos que tiene ante la Contraloría Interna Municipal en su contra.</w:t>
      </w:r>
    </w:p>
    <w:p w14:paraId="58BB5E8B"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p>
    <w:p w14:paraId="2726CFC4" w14:textId="77777777" w:rsidR="001B3EF9" w:rsidRPr="002963F8" w:rsidRDefault="005E621C">
      <w:pPr>
        <w:pBdr>
          <w:top w:val="nil"/>
          <w:left w:val="nil"/>
          <w:bottom w:val="nil"/>
          <w:right w:val="nil"/>
          <w:between w:val="nil"/>
        </w:pBdr>
        <w:spacing w:after="240" w:line="360" w:lineRule="auto"/>
        <w:ind w:right="96"/>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Por lo que corresponde al requerimiento marcado bajo el </w:t>
      </w:r>
      <w:r w:rsidRPr="002963F8">
        <w:rPr>
          <w:rFonts w:ascii="Palatino Linotype" w:eastAsia="Palatino Linotype" w:hAnsi="Palatino Linotype" w:cs="Palatino Linotype"/>
          <w:b/>
          <w:sz w:val="22"/>
          <w:szCs w:val="22"/>
        </w:rPr>
        <w:t>número 1</w:t>
      </w:r>
      <w:r w:rsidRPr="002963F8">
        <w:rPr>
          <w:rFonts w:ascii="Palatino Linotype" w:eastAsia="Palatino Linotype" w:hAnsi="Palatino Linotype" w:cs="Palatino Linotype"/>
          <w:sz w:val="22"/>
          <w:szCs w:val="22"/>
        </w:rPr>
        <w:t>, es de señalar que atendiendo la naturaleza de la información, conviene traer a contexto el contenido de los artículos 48, 49, 50 y 51 de la Ley del Trabajo Para los Servidores Públicos del Estado de México y Municipios, que disponen lo siguiente:</w:t>
      </w:r>
    </w:p>
    <w:p w14:paraId="16FD60CE" w14:textId="77777777" w:rsidR="001B3EF9" w:rsidRPr="002963F8" w:rsidRDefault="005E621C">
      <w:pPr>
        <w:tabs>
          <w:tab w:val="left" w:pos="4962"/>
        </w:tabs>
        <w:spacing w:line="360" w:lineRule="auto"/>
        <w:ind w:left="567" w:right="985"/>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“ARTÍCULO 48. Para iniciar la prestación de los servicios se requiere: </w:t>
      </w:r>
    </w:p>
    <w:p w14:paraId="11778712" w14:textId="77777777" w:rsidR="001B3EF9" w:rsidRPr="002963F8" w:rsidRDefault="005E621C">
      <w:pPr>
        <w:tabs>
          <w:tab w:val="left" w:pos="4962"/>
        </w:tabs>
        <w:spacing w:line="360" w:lineRule="auto"/>
        <w:ind w:left="567" w:right="985"/>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lastRenderedPageBreak/>
        <w:t xml:space="preserve">I. Tener conferido el nombramiento, contrato respectivo o formato único de Movimientos de Personal; </w:t>
      </w:r>
    </w:p>
    <w:p w14:paraId="318574EA" w14:textId="77777777" w:rsidR="001B3EF9" w:rsidRPr="002963F8" w:rsidRDefault="005E621C">
      <w:pPr>
        <w:tabs>
          <w:tab w:val="left" w:pos="4962"/>
        </w:tabs>
        <w:spacing w:line="360" w:lineRule="auto"/>
        <w:ind w:left="567" w:right="985"/>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II. Rendir la protesta de ley en caso de nombramiento; y </w:t>
      </w:r>
    </w:p>
    <w:p w14:paraId="67E2F166" w14:textId="77777777" w:rsidR="001B3EF9" w:rsidRPr="002963F8" w:rsidRDefault="005E621C">
      <w:pPr>
        <w:tabs>
          <w:tab w:val="left" w:pos="4962"/>
        </w:tabs>
        <w:spacing w:line="360" w:lineRule="auto"/>
        <w:ind w:left="567" w:right="985"/>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III. Tomar posesión del cargo.”</w:t>
      </w:r>
    </w:p>
    <w:p w14:paraId="0853BF55" w14:textId="77777777" w:rsidR="001B3EF9" w:rsidRPr="002963F8" w:rsidRDefault="001B3EF9">
      <w:pPr>
        <w:tabs>
          <w:tab w:val="left" w:pos="4962"/>
        </w:tabs>
        <w:spacing w:line="360" w:lineRule="auto"/>
        <w:ind w:left="567" w:right="985"/>
        <w:jc w:val="both"/>
        <w:rPr>
          <w:rFonts w:ascii="Palatino Linotype" w:eastAsia="Palatino Linotype" w:hAnsi="Palatino Linotype" w:cs="Palatino Linotype"/>
          <w:i/>
          <w:sz w:val="22"/>
          <w:szCs w:val="22"/>
        </w:rPr>
      </w:pPr>
    </w:p>
    <w:p w14:paraId="0FDFDB3A" w14:textId="77777777" w:rsidR="001B3EF9" w:rsidRPr="002963F8" w:rsidRDefault="005E621C">
      <w:pPr>
        <w:tabs>
          <w:tab w:val="left" w:pos="4962"/>
        </w:tabs>
        <w:spacing w:line="360" w:lineRule="auto"/>
        <w:ind w:left="567" w:right="985"/>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i/>
          <w:sz w:val="22"/>
          <w:szCs w:val="22"/>
        </w:rPr>
        <w:t xml:space="preserve">“ARTÍCULO 49.- Los nombramientos, contratos o </w:t>
      </w:r>
      <w:r w:rsidRPr="002963F8">
        <w:rPr>
          <w:rFonts w:ascii="Palatino Linotype" w:eastAsia="Palatino Linotype" w:hAnsi="Palatino Linotype" w:cs="Palatino Linotype"/>
          <w:b/>
          <w:i/>
          <w:sz w:val="22"/>
          <w:szCs w:val="22"/>
        </w:rPr>
        <w:t>formato único de Movimientos de Personal de los servidores públicos deberán contener:</w:t>
      </w:r>
    </w:p>
    <w:p w14:paraId="19E9EE27" w14:textId="77777777" w:rsidR="001B3EF9" w:rsidRPr="002963F8" w:rsidRDefault="005E621C">
      <w:pPr>
        <w:tabs>
          <w:tab w:val="left" w:pos="4962"/>
        </w:tabs>
        <w:spacing w:line="360" w:lineRule="auto"/>
        <w:ind w:left="567" w:right="985"/>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I. Nombre completo del servidor público; </w:t>
      </w:r>
    </w:p>
    <w:p w14:paraId="3E621CD8" w14:textId="77777777" w:rsidR="001B3EF9" w:rsidRPr="002963F8" w:rsidRDefault="005E621C">
      <w:pPr>
        <w:tabs>
          <w:tab w:val="left" w:pos="4962"/>
        </w:tabs>
        <w:spacing w:line="360" w:lineRule="auto"/>
        <w:ind w:left="567" w:right="985"/>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 xml:space="preserve">II. Cargo para el que es designado, fecha de inicio de sus servicios y lugar de adscripción; </w:t>
      </w:r>
    </w:p>
    <w:p w14:paraId="54F959AB" w14:textId="77777777" w:rsidR="001B3EF9" w:rsidRPr="002963F8" w:rsidRDefault="005E621C">
      <w:pPr>
        <w:tabs>
          <w:tab w:val="left" w:pos="4962"/>
        </w:tabs>
        <w:spacing w:line="360" w:lineRule="auto"/>
        <w:ind w:left="567" w:right="985"/>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III. Carácter del nombramiento, ya sea de servidores públicos generales o de confianza, así como la temporalidad del mismo; </w:t>
      </w:r>
    </w:p>
    <w:p w14:paraId="7CF1CEBB" w14:textId="77777777" w:rsidR="001B3EF9" w:rsidRPr="002963F8" w:rsidRDefault="005E621C">
      <w:pPr>
        <w:tabs>
          <w:tab w:val="left" w:pos="4962"/>
        </w:tabs>
        <w:spacing w:line="360" w:lineRule="auto"/>
        <w:ind w:left="567" w:right="985"/>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IV. Remuneración correspondiente al puesto; </w:t>
      </w:r>
    </w:p>
    <w:p w14:paraId="6394E56D" w14:textId="77777777" w:rsidR="001B3EF9" w:rsidRPr="002963F8" w:rsidRDefault="005E621C">
      <w:pPr>
        <w:tabs>
          <w:tab w:val="left" w:pos="4962"/>
        </w:tabs>
        <w:spacing w:line="360" w:lineRule="auto"/>
        <w:ind w:left="567" w:right="985"/>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V. Jornada de trabajo; </w:t>
      </w:r>
    </w:p>
    <w:p w14:paraId="62326C6C" w14:textId="77777777" w:rsidR="001B3EF9" w:rsidRPr="002963F8" w:rsidRDefault="005E621C">
      <w:pPr>
        <w:tabs>
          <w:tab w:val="left" w:pos="4962"/>
        </w:tabs>
        <w:spacing w:line="360" w:lineRule="auto"/>
        <w:ind w:left="567" w:right="985"/>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VI. Derogada; </w:t>
      </w:r>
    </w:p>
    <w:p w14:paraId="437665AB" w14:textId="77777777" w:rsidR="001B3EF9" w:rsidRPr="002963F8" w:rsidRDefault="005E621C">
      <w:pPr>
        <w:tabs>
          <w:tab w:val="left" w:pos="4962"/>
        </w:tabs>
        <w:spacing w:line="360" w:lineRule="auto"/>
        <w:ind w:left="567" w:right="985"/>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VII. Firma del servidor público autorizado para emitir el nombramiento, contrato o formato único de Movimientos de Personal, así como el fundamento legal de esa atribución. </w:t>
      </w:r>
    </w:p>
    <w:p w14:paraId="30272352" w14:textId="77777777" w:rsidR="001B3EF9" w:rsidRPr="002963F8" w:rsidRDefault="001B3EF9">
      <w:pPr>
        <w:tabs>
          <w:tab w:val="left" w:pos="4962"/>
        </w:tabs>
        <w:spacing w:line="360" w:lineRule="auto"/>
        <w:ind w:left="567" w:right="985"/>
        <w:jc w:val="both"/>
        <w:rPr>
          <w:rFonts w:ascii="Palatino Linotype" w:eastAsia="Palatino Linotype" w:hAnsi="Palatino Linotype" w:cs="Palatino Linotype"/>
          <w:i/>
          <w:sz w:val="22"/>
          <w:szCs w:val="22"/>
        </w:rPr>
      </w:pPr>
    </w:p>
    <w:p w14:paraId="6882BE3A" w14:textId="77777777" w:rsidR="001B3EF9" w:rsidRPr="002963F8" w:rsidRDefault="005E621C">
      <w:pPr>
        <w:tabs>
          <w:tab w:val="left" w:pos="4962"/>
        </w:tabs>
        <w:spacing w:line="360" w:lineRule="auto"/>
        <w:ind w:left="567" w:right="985"/>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i/>
          <w:sz w:val="22"/>
          <w:szCs w:val="22"/>
        </w:rPr>
        <w:t xml:space="preserve">“ARTÍCULO 50.- El nombramiento, contrato o </w:t>
      </w:r>
      <w:r w:rsidRPr="002963F8">
        <w:rPr>
          <w:rFonts w:ascii="Palatino Linotype" w:eastAsia="Palatino Linotype" w:hAnsi="Palatino Linotype" w:cs="Palatino Linotype"/>
          <w:b/>
          <w:i/>
          <w:sz w:val="22"/>
          <w:szCs w:val="22"/>
        </w:rPr>
        <w:t xml:space="preserve">formato único de Movimientos de Personal aceptado obliga al servidor público a cumplir con los deberes inherentes al puesto especificado en el mismo y a las consecuencias que sean conforme a la ley, al uso y a la buena fe. </w:t>
      </w:r>
    </w:p>
    <w:p w14:paraId="7AC8B52C" w14:textId="77777777" w:rsidR="001B3EF9" w:rsidRPr="002963F8" w:rsidRDefault="005E621C">
      <w:pPr>
        <w:tabs>
          <w:tab w:val="left" w:pos="4962"/>
        </w:tabs>
        <w:spacing w:line="360" w:lineRule="auto"/>
        <w:ind w:left="567" w:right="985"/>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Iguales consecuencias se generarán para todos los servidores públicos, cuando la relación de trabajo se formalice mediante un contrato o por encontrarse en lista de raya. “</w:t>
      </w:r>
    </w:p>
    <w:p w14:paraId="00DB4DBA" w14:textId="77777777" w:rsidR="001B3EF9" w:rsidRPr="002963F8" w:rsidRDefault="005E621C">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lastRenderedPageBreak/>
        <w:t>De un análisis armónico al cuerpo normativo inserto, se desprende; que, la manera en la que un servidor público puede acreditar la relación laboral con el ente público, es a través de</w:t>
      </w:r>
      <w:r w:rsidRPr="002963F8">
        <w:rPr>
          <w:sz w:val="22"/>
          <w:szCs w:val="22"/>
        </w:rPr>
        <w:t xml:space="preserve"> </w:t>
      </w:r>
      <w:r w:rsidRPr="002963F8">
        <w:rPr>
          <w:rFonts w:ascii="Palatino Linotype" w:eastAsia="Palatino Linotype" w:hAnsi="Palatino Linotype" w:cs="Palatino Linotype"/>
          <w:sz w:val="22"/>
          <w:szCs w:val="22"/>
        </w:rPr>
        <w:t>nombramientos, contratos o formato único de Movimientos de Personal, los cuales contienen, entre otra información, el cargo para el que es designado, la fecha de inicio de sus servicios y el lugar de adscripción.</w:t>
      </w:r>
    </w:p>
    <w:p w14:paraId="78418BE5" w14:textId="77777777" w:rsidR="001B3EF9" w:rsidRPr="002963F8" w:rsidRDefault="001B3EF9">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05A0BA4C" w14:textId="77777777" w:rsidR="001B3EF9" w:rsidRPr="002963F8" w:rsidRDefault="005E621C">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Por tanto, los documentos donde pudiera constar la fecha en que inició a laborar la persona señalada en la solicitud, respecto del periodo requerido, serían el nombramiento, contratos o formato único de Movimientos de Personal.</w:t>
      </w:r>
    </w:p>
    <w:p w14:paraId="0217960F" w14:textId="77777777" w:rsidR="001B3EF9" w:rsidRPr="002963F8" w:rsidRDefault="001B3EF9">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5DE46383" w14:textId="77777777" w:rsidR="001B3EF9" w:rsidRPr="002963F8" w:rsidRDefault="005E621C">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Acotado lo anterior, en el caso es de recordar que quien se pronunció sobre la información requerida bajo el numeral indicado, fue el Titular de la Unidad de Transparencia </w:t>
      </w:r>
      <w:r w:rsidRPr="002963F8">
        <w:rPr>
          <w:rFonts w:ascii="Palatino Linotype" w:eastAsia="Palatino Linotype" w:hAnsi="Palatino Linotype" w:cs="Palatino Linotype"/>
          <w:b/>
          <w:sz w:val="22"/>
          <w:szCs w:val="22"/>
          <w:u w:val="single"/>
        </w:rPr>
        <w:t>quien en el apartado de respuesta del SAIMEX indicó que la persona señalada en la solicitud laboró del mes de enero a agosto del ejercicio 2022.</w:t>
      </w:r>
    </w:p>
    <w:p w14:paraId="1DCA7CEC" w14:textId="77777777" w:rsidR="001B3EF9" w:rsidRPr="002963F8" w:rsidRDefault="001B3EF9">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7C273C87" w14:textId="77777777" w:rsidR="001B3EF9" w:rsidRPr="002963F8" w:rsidRDefault="005E621C">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Sin embargo, el pronunciamiento del Titular de la Unidad de Transparencia no resulta suficiente para tener por colmado el requerimiento en análisis, ya que no se cumplió con el procedimiento de búsqueda de la información en todas las áreas competentes.</w:t>
      </w:r>
    </w:p>
    <w:p w14:paraId="0849FC3C" w14:textId="77777777" w:rsidR="001B3EF9" w:rsidRPr="002963F8" w:rsidRDefault="001B3EF9">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195E4092" w14:textId="77777777" w:rsidR="001B3EF9" w:rsidRPr="002963F8" w:rsidRDefault="005E621C">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Se afirma lo anterior, en virtud de que, conforme el Bando Municipal del Ayuntamiento de Almoloya del Río vigente, existe la </w:t>
      </w:r>
      <w:r w:rsidRPr="002963F8">
        <w:rPr>
          <w:rFonts w:ascii="Palatino Linotype" w:eastAsia="Palatino Linotype" w:hAnsi="Palatino Linotype" w:cs="Palatino Linotype"/>
          <w:b/>
          <w:sz w:val="22"/>
          <w:szCs w:val="22"/>
          <w:u w:val="single"/>
        </w:rPr>
        <w:t>Coordinación de Recursos Humanos</w:t>
      </w:r>
      <w:r w:rsidRPr="002963F8">
        <w:rPr>
          <w:rFonts w:ascii="Palatino Linotype" w:eastAsia="Palatino Linotype" w:hAnsi="Palatino Linotype" w:cs="Palatino Linotype"/>
          <w:sz w:val="22"/>
          <w:szCs w:val="22"/>
        </w:rPr>
        <w:t xml:space="preserve"> que puede contar con la información, pues dentro de sus atribuciones se encuentra “</w:t>
      </w:r>
      <w:r w:rsidRPr="002963F8">
        <w:rPr>
          <w:rFonts w:ascii="Palatino Linotype" w:eastAsia="Palatino Linotype" w:hAnsi="Palatino Linotype" w:cs="Palatino Linotype"/>
          <w:b/>
          <w:i/>
          <w:sz w:val="22"/>
          <w:szCs w:val="22"/>
        </w:rPr>
        <w:t>Elaborar los expedientes de cada servidor público municipal</w:t>
      </w:r>
      <w:r w:rsidRPr="002963F8">
        <w:rPr>
          <w:rFonts w:ascii="Palatino Linotype" w:eastAsia="Palatino Linotype" w:hAnsi="Palatino Linotype" w:cs="Palatino Linotype"/>
          <w:sz w:val="22"/>
          <w:szCs w:val="22"/>
        </w:rPr>
        <w:t>”, a saber:</w:t>
      </w:r>
    </w:p>
    <w:p w14:paraId="4FDFF269" w14:textId="77777777" w:rsidR="001B3EF9" w:rsidRPr="002963F8" w:rsidRDefault="001B3EF9">
      <w:pPr>
        <w:spacing w:line="360" w:lineRule="auto"/>
        <w:ind w:left="567" w:right="616"/>
        <w:jc w:val="both"/>
        <w:rPr>
          <w:rFonts w:ascii="Palatino Linotype" w:eastAsia="Palatino Linotype" w:hAnsi="Palatino Linotype" w:cs="Palatino Linotype"/>
          <w:i/>
          <w:sz w:val="22"/>
          <w:szCs w:val="22"/>
        </w:rPr>
      </w:pPr>
    </w:p>
    <w:p w14:paraId="5D638A06" w14:textId="77777777" w:rsidR="001B3EF9" w:rsidRPr="002963F8" w:rsidRDefault="005E621C">
      <w:pPr>
        <w:spacing w:line="360" w:lineRule="auto"/>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“Artículo 82.- Atribuciones de la Coordinación de Recursos Humanos: </w:t>
      </w:r>
    </w:p>
    <w:p w14:paraId="4EB2E6E3" w14:textId="77777777" w:rsidR="001B3EF9" w:rsidRPr="002963F8" w:rsidRDefault="005E621C">
      <w:pPr>
        <w:spacing w:line="360" w:lineRule="auto"/>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p>
    <w:p w14:paraId="40508315" w14:textId="77777777" w:rsidR="001B3EF9" w:rsidRPr="002963F8" w:rsidRDefault="005E621C">
      <w:pPr>
        <w:spacing w:line="360" w:lineRule="auto"/>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lastRenderedPageBreak/>
        <w:t>VI. Elaborar expediente de cada servidor Público Municipal.”</w:t>
      </w:r>
    </w:p>
    <w:p w14:paraId="6BC196B1" w14:textId="77777777" w:rsidR="001B3EF9" w:rsidRPr="002963F8" w:rsidRDefault="001B3EF9">
      <w:pPr>
        <w:spacing w:line="360" w:lineRule="auto"/>
        <w:ind w:right="141"/>
        <w:jc w:val="both"/>
        <w:rPr>
          <w:rFonts w:ascii="Palatino Linotype" w:eastAsia="Palatino Linotype" w:hAnsi="Palatino Linotype" w:cs="Palatino Linotype"/>
          <w:sz w:val="22"/>
          <w:szCs w:val="22"/>
        </w:rPr>
      </w:pPr>
    </w:p>
    <w:p w14:paraId="7CBEEAE0" w14:textId="77777777" w:rsidR="001B3EF9" w:rsidRPr="002963F8" w:rsidRDefault="005E621C">
      <w:pPr>
        <w:widowControl w:val="0"/>
        <w:tabs>
          <w:tab w:val="left" w:pos="1701"/>
          <w:tab w:val="left" w:pos="1843"/>
        </w:tabs>
        <w:spacing w:line="360" w:lineRule="auto"/>
        <w:ind w:right="49"/>
        <w:jc w:val="both"/>
        <w:rPr>
          <w:sz w:val="22"/>
          <w:szCs w:val="22"/>
        </w:rPr>
      </w:pPr>
      <w:r w:rsidRPr="002963F8">
        <w:rPr>
          <w:rFonts w:ascii="Palatino Linotype" w:eastAsia="Palatino Linotype" w:hAnsi="Palatino Linotype" w:cs="Palatino Linotype"/>
          <w:sz w:val="22"/>
          <w:szCs w:val="22"/>
        </w:rPr>
        <w:t>De ahí que en el caso en particular no se cumplió con el procedimiento para la atención a las solicitudes de acceso a la información, establecido en los artículos 151, 159, 160, 162, 163, 164, 165 y 166, de la Ley de Transparencia y Acceso a la Información Pública del Estado de México y Municipios, es el siguiente:</w:t>
      </w:r>
    </w:p>
    <w:p w14:paraId="434586D7" w14:textId="77777777" w:rsidR="001B3EF9" w:rsidRPr="002963F8" w:rsidRDefault="001B3EF9">
      <w:pPr>
        <w:spacing w:line="360" w:lineRule="auto"/>
        <w:rPr>
          <w:sz w:val="22"/>
          <w:szCs w:val="22"/>
        </w:rPr>
      </w:pPr>
    </w:p>
    <w:p w14:paraId="5D52BC7F" w14:textId="77777777" w:rsidR="001B3EF9" w:rsidRPr="002963F8" w:rsidRDefault="005E621C">
      <w:pPr>
        <w:numPr>
          <w:ilvl w:val="0"/>
          <w:numId w:val="9"/>
        </w:numPr>
        <w:spacing w:line="276"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4A163E89" w14:textId="77777777" w:rsidR="001B3EF9" w:rsidRPr="002963F8" w:rsidRDefault="001B3EF9">
      <w:pPr>
        <w:spacing w:line="276" w:lineRule="auto"/>
        <w:ind w:left="360"/>
        <w:jc w:val="both"/>
        <w:rPr>
          <w:rFonts w:ascii="Palatino Linotype" w:eastAsia="Palatino Linotype" w:hAnsi="Palatino Linotype" w:cs="Palatino Linotype"/>
          <w:sz w:val="22"/>
          <w:szCs w:val="22"/>
        </w:rPr>
      </w:pPr>
    </w:p>
    <w:p w14:paraId="5269E4E9" w14:textId="77777777" w:rsidR="001B3EF9" w:rsidRPr="002963F8" w:rsidRDefault="005E621C">
      <w:pPr>
        <w:numPr>
          <w:ilvl w:val="0"/>
          <w:numId w:val="9"/>
        </w:numPr>
        <w:spacing w:line="276"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437FA200" w14:textId="77777777" w:rsidR="001B3EF9" w:rsidRPr="002963F8" w:rsidRDefault="001B3EF9">
      <w:pPr>
        <w:spacing w:line="276" w:lineRule="auto"/>
        <w:ind w:left="720"/>
        <w:rPr>
          <w:rFonts w:ascii="Palatino Linotype" w:eastAsia="Palatino Linotype" w:hAnsi="Palatino Linotype" w:cs="Palatino Linotype"/>
          <w:sz w:val="22"/>
          <w:szCs w:val="22"/>
        </w:rPr>
      </w:pPr>
    </w:p>
    <w:p w14:paraId="1276AE4C" w14:textId="77777777" w:rsidR="001B3EF9" w:rsidRPr="002963F8" w:rsidRDefault="005E621C">
      <w:pPr>
        <w:numPr>
          <w:ilvl w:val="0"/>
          <w:numId w:val="9"/>
        </w:numPr>
        <w:spacing w:line="276"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2963F8">
        <w:rPr>
          <w:rFonts w:ascii="Palatino Linotype" w:eastAsia="Palatino Linotype" w:hAnsi="Palatino Linotype" w:cs="Palatino Linotype"/>
          <w:b/>
          <w:sz w:val="22"/>
          <w:szCs w:val="22"/>
        </w:rPr>
        <w:t>quince días, contados a partir del día siguiente a la presentación de ésta.</w:t>
      </w:r>
      <w:r w:rsidRPr="002963F8">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6E095A58" w14:textId="77777777" w:rsidR="001B3EF9" w:rsidRPr="002963F8" w:rsidRDefault="001B3EF9">
      <w:pPr>
        <w:spacing w:line="276" w:lineRule="auto"/>
        <w:ind w:left="720"/>
        <w:rPr>
          <w:rFonts w:ascii="Palatino Linotype" w:eastAsia="Palatino Linotype" w:hAnsi="Palatino Linotype" w:cs="Palatino Linotype"/>
          <w:sz w:val="22"/>
          <w:szCs w:val="22"/>
        </w:rPr>
      </w:pPr>
    </w:p>
    <w:p w14:paraId="77DBDFC5" w14:textId="77777777" w:rsidR="001B3EF9" w:rsidRPr="002963F8" w:rsidRDefault="005E621C">
      <w:pPr>
        <w:numPr>
          <w:ilvl w:val="0"/>
          <w:numId w:val="9"/>
        </w:numPr>
        <w:spacing w:line="276" w:lineRule="auto"/>
        <w:jc w:val="both"/>
        <w:rPr>
          <w:rFonts w:ascii="Palatino Linotype" w:eastAsia="Palatino Linotype" w:hAnsi="Palatino Linotype" w:cs="Palatino Linotype"/>
          <w:b/>
          <w:sz w:val="22"/>
          <w:szCs w:val="22"/>
          <w:u w:val="single"/>
        </w:rPr>
      </w:pPr>
      <w:r w:rsidRPr="002963F8">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92487DF" w14:textId="77777777" w:rsidR="001B3EF9" w:rsidRPr="002963F8" w:rsidRDefault="001B3EF9">
      <w:pPr>
        <w:spacing w:line="276" w:lineRule="auto"/>
        <w:ind w:left="720"/>
        <w:rPr>
          <w:rFonts w:ascii="Palatino Linotype" w:eastAsia="Palatino Linotype" w:hAnsi="Palatino Linotype" w:cs="Palatino Linotype"/>
          <w:b/>
          <w:sz w:val="22"/>
          <w:szCs w:val="22"/>
          <w:u w:val="single"/>
        </w:rPr>
      </w:pPr>
    </w:p>
    <w:p w14:paraId="197D40DE" w14:textId="77777777" w:rsidR="001B3EF9" w:rsidRPr="002963F8" w:rsidRDefault="005E621C">
      <w:pPr>
        <w:numPr>
          <w:ilvl w:val="0"/>
          <w:numId w:val="9"/>
        </w:numPr>
        <w:spacing w:line="276" w:lineRule="auto"/>
        <w:jc w:val="both"/>
        <w:rPr>
          <w:rFonts w:ascii="Palatino Linotype" w:eastAsia="Palatino Linotype" w:hAnsi="Palatino Linotype" w:cs="Palatino Linotype"/>
          <w:b/>
          <w:sz w:val="22"/>
          <w:szCs w:val="22"/>
        </w:rPr>
      </w:pPr>
      <w:r w:rsidRPr="002963F8">
        <w:rPr>
          <w:rFonts w:ascii="Palatino Linotype" w:eastAsia="Palatino Linotype" w:hAnsi="Palatino Linotype" w:cs="Palatino Linotype"/>
          <w:sz w:val="22"/>
          <w:szCs w:val="22"/>
        </w:rPr>
        <w:lastRenderedPageBreak/>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752E49BB" w14:textId="77777777" w:rsidR="001B3EF9" w:rsidRPr="002963F8" w:rsidRDefault="001B3EF9">
      <w:pPr>
        <w:spacing w:line="276" w:lineRule="auto"/>
        <w:ind w:left="360"/>
        <w:jc w:val="both"/>
        <w:rPr>
          <w:rFonts w:ascii="Palatino Linotype" w:eastAsia="Palatino Linotype" w:hAnsi="Palatino Linotype" w:cs="Palatino Linotype"/>
          <w:b/>
          <w:sz w:val="22"/>
          <w:szCs w:val="22"/>
        </w:rPr>
      </w:pPr>
    </w:p>
    <w:p w14:paraId="0BCF76E9" w14:textId="77777777" w:rsidR="001B3EF9" w:rsidRPr="002963F8" w:rsidRDefault="005E621C">
      <w:pPr>
        <w:numPr>
          <w:ilvl w:val="0"/>
          <w:numId w:val="9"/>
        </w:numPr>
        <w:spacing w:line="276" w:lineRule="auto"/>
        <w:jc w:val="both"/>
        <w:rPr>
          <w:rFonts w:ascii="Palatino Linotype" w:eastAsia="Palatino Linotype" w:hAnsi="Palatino Linotype" w:cs="Palatino Linotype"/>
          <w:b/>
          <w:sz w:val="22"/>
          <w:szCs w:val="22"/>
        </w:rPr>
      </w:pPr>
      <w:r w:rsidRPr="002963F8">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31117261" w14:textId="77777777" w:rsidR="001B3EF9" w:rsidRPr="002963F8" w:rsidRDefault="001B3EF9">
      <w:pPr>
        <w:spacing w:line="360" w:lineRule="auto"/>
        <w:rPr>
          <w:sz w:val="22"/>
          <w:szCs w:val="22"/>
        </w:rPr>
      </w:pPr>
    </w:p>
    <w:p w14:paraId="055DD3C0" w14:textId="77777777" w:rsidR="001B3EF9" w:rsidRPr="002963F8" w:rsidRDefault="005E621C">
      <w:pPr>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En ese sentido, se tiene que, </w:t>
      </w:r>
      <w:r w:rsidRPr="002963F8">
        <w:rPr>
          <w:rFonts w:ascii="Palatino Linotype" w:eastAsia="Palatino Linotype" w:hAnsi="Palatino Linotype" w:cs="Palatino Linotype"/>
          <w:b/>
          <w:sz w:val="22"/>
          <w:szCs w:val="22"/>
          <w:u w:val="single"/>
        </w:rPr>
        <w:t xml:space="preserve">el procedimiento de búsqueda de la información NO se tiene por atendido; </w:t>
      </w:r>
      <w:r w:rsidRPr="002963F8">
        <w:rPr>
          <w:rFonts w:ascii="Palatino Linotype" w:eastAsia="Palatino Linotype" w:hAnsi="Palatino Linotype" w:cs="Palatino Linotype"/>
          <w:sz w:val="22"/>
          <w:szCs w:val="22"/>
        </w:rPr>
        <w:t>en virtud de que en el caso no se turnó la solicitud de información a la unidad administrativa competente que conforme sus atribuciones posee y/o administra el tipo de información a la que se pretende acceder.</w:t>
      </w:r>
    </w:p>
    <w:p w14:paraId="7B911E6D" w14:textId="77777777" w:rsidR="001B3EF9" w:rsidRPr="002963F8" w:rsidRDefault="001B3EF9">
      <w:pPr>
        <w:spacing w:line="360" w:lineRule="auto"/>
        <w:ind w:right="49"/>
        <w:jc w:val="both"/>
        <w:rPr>
          <w:rFonts w:ascii="Palatino Linotype" w:eastAsia="Palatino Linotype" w:hAnsi="Palatino Linotype" w:cs="Palatino Linotype"/>
          <w:sz w:val="22"/>
          <w:szCs w:val="22"/>
        </w:rPr>
      </w:pPr>
    </w:p>
    <w:p w14:paraId="094925DA" w14:textId="77777777" w:rsidR="001B3EF9" w:rsidRPr="002963F8" w:rsidRDefault="005E621C">
      <w:pPr>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De ahí que a fin de restituir al particular en el ejercicio de su derecho de acceso a la información pública, resulta dable ordenar que en cumplimiento a la presente resolución entregue, previa búsqueda exhaustiva y razonable, respecto de la persona señalada en la solicitud de información, lo siguiente:</w:t>
      </w:r>
    </w:p>
    <w:p w14:paraId="563DBF09" w14:textId="77777777" w:rsidR="001B3EF9" w:rsidRPr="002963F8" w:rsidRDefault="001B3EF9">
      <w:pPr>
        <w:spacing w:line="360" w:lineRule="auto"/>
        <w:ind w:right="49"/>
        <w:jc w:val="both"/>
        <w:rPr>
          <w:rFonts w:ascii="Palatino Linotype" w:eastAsia="Palatino Linotype" w:hAnsi="Palatino Linotype" w:cs="Palatino Linotype"/>
          <w:sz w:val="22"/>
          <w:szCs w:val="22"/>
        </w:rPr>
      </w:pPr>
    </w:p>
    <w:p w14:paraId="19D6A7DF" w14:textId="77777777" w:rsidR="001B3EF9" w:rsidRPr="002963F8" w:rsidRDefault="005E621C">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sidRPr="002963F8">
        <w:rPr>
          <w:rFonts w:ascii="Palatino Linotype" w:eastAsia="Palatino Linotype" w:hAnsi="Palatino Linotype" w:cs="Palatino Linotype"/>
          <w:b/>
          <w:sz w:val="22"/>
          <w:szCs w:val="22"/>
          <w:u w:val="single"/>
        </w:rPr>
        <w:t>Los documentos que den cuenta de los periodos laborados como Tesorera Municipal en las Administraciones Públicas Municipales 2013-2015 y 2022-2024.</w:t>
      </w:r>
    </w:p>
    <w:p w14:paraId="5AF2C331" w14:textId="77777777" w:rsidR="001B3EF9" w:rsidRPr="002963F8" w:rsidRDefault="001B3EF9">
      <w:pPr>
        <w:spacing w:line="360" w:lineRule="auto"/>
        <w:ind w:right="141"/>
        <w:jc w:val="both"/>
        <w:rPr>
          <w:rFonts w:ascii="Palatino Linotype" w:eastAsia="Palatino Linotype" w:hAnsi="Palatino Linotype" w:cs="Palatino Linotype"/>
          <w:sz w:val="22"/>
          <w:szCs w:val="22"/>
        </w:rPr>
      </w:pPr>
    </w:p>
    <w:p w14:paraId="2E371CF2"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Ahora, no pasa por desapercibido que dentro de la temporalidad de entrega de la información, se encuentran los ejercicios 2013, 2014 y 2015;</w:t>
      </w:r>
      <w:r w:rsidRPr="002963F8">
        <w:rPr>
          <w:rFonts w:ascii="Palatino Linotype" w:eastAsia="Palatino Linotype" w:hAnsi="Palatino Linotype" w:cs="Palatino Linotype"/>
          <w:sz w:val="22"/>
          <w:szCs w:val="22"/>
        </w:rPr>
        <w:t xml:space="preserve"> por lo que, resulta necesario señalar los siguientes conceptos de acuerdo a los Lineamientos para la Organización y Conservación de Archivos, emitidos por el Sistema Nacional de Transparencia, Acceso a la </w:t>
      </w:r>
      <w:r w:rsidRPr="002963F8">
        <w:rPr>
          <w:rFonts w:ascii="Palatino Linotype" w:eastAsia="Palatino Linotype" w:hAnsi="Palatino Linotype" w:cs="Palatino Linotype"/>
          <w:sz w:val="22"/>
          <w:szCs w:val="22"/>
        </w:rPr>
        <w:lastRenderedPageBreak/>
        <w:t xml:space="preserve">Información Pública y Protección de Datos Personales, cuyo objeto es “establecer las políticas y criterios para la sistematización y digitalización, así como para </w:t>
      </w:r>
      <w:r w:rsidRPr="002963F8">
        <w:rPr>
          <w:rFonts w:ascii="Palatino Linotype" w:eastAsia="Palatino Linotype" w:hAnsi="Palatino Linotype" w:cs="Palatino Linotype"/>
          <w:b/>
          <w:sz w:val="22"/>
          <w:szCs w:val="22"/>
        </w:rPr>
        <w:t>la custodia y conservación de los archivos</w:t>
      </w:r>
      <w:r w:rsidRPr="002963F8">
        <w:rPr>
          <w:rFonts w:ascii="Palatino Linotype" w:eastAsia="Palatino Linotype" w:hAnsi="Palatino Linotype" w:cs="Palatino Linotype"/>
          <w:sz w:val="22"/>
          <w:szCs w:val="22"/>
        </w:rPr>
        <w:t xml:space="preserve"> en posesión de los sujetos obligados, con la finalidad de garantizar la disponibilidad, la localización eficiente de la información generada, obtenida, adquirida, transformada y contar con sistemas de información, ágiles y eficientes”, al tenor de lo siguiente:</w:t>
      </w:r>
    </w:p>
    <w:p w14:paraId="135E4A35"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3518203"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Cuarto.</w:t>
      </w:r>
    </w:p>
    <w:p w14:paraId="08F56DC2"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p>
    <w:p w14:paraId="4A805596"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II. Archivo</w:t>
      </w:r>
      <w:r w:rsidRPr="002963F8">
        <w:rPr>
          <w:rFonts w:ascii="Palatino Linotype" w:eastAsia="Palatino Linotype" w:hAnsi="Palatino Linotype" w:cs="Palatino Linotype"/>
          <w:i/>
          <w:sz w:val="22"/>
          <w:szCs w:val="22"/>
        </w:rPr>
        <w:t>: El conjunto orgánico de documentos en cualquier soporte, que son producidos o recibidos por los sujetos obligados o los particulares en el ejercicio de sus atribuciones o en el desarrollo de sus actividades;</w:t>
      </w:r>
    </w:p>
    <w:p w14:paraId="3860387B"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III. Archivo de concentración</w:t>
      </w:r>
      <w:r w:rsidRPr="002963F8">
        <w:rPr>
          <w:rFonts w:ascii="Palatino Linotype" w:eastAsia="Palatino Linotype" w:hAnsi="Palatino Linotype" w:cs="Palatino Linotype"/>
          <w:i/>
          <w:sz w:val="22"/>
          <w:szCs w:val="22"/>
        </w:rPr>
        <w:t>: La unidad de la administración de documentos cuya consulta es esporádica y que permanecen en ella hasta su transferencia secundaria o baja documental;</w:t>
      </w:r>
    </w:p>
    <w:p w14:paraId="5E638A1E"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IV. Archivo histórico</w:t>
      </w:r>
      <w:r w:rsidRPr="002963F8">
        <w:rPr>
          <w:rFonts w:ascii="Palatino Linotype" w:eastAsia="Palatino Linotype" w:hAnsi="Palatino Linotype" w:cs="Palatino Linotype"/>
          <w:i/>
          <w:sz w:val="22"/>
          <w:szCs w:val="22"/>
        </w:rPr>
        <w:t>. La unidad responsable de la administración de los documentos de conservación permanente y que son fuente de acceso público;</w:t>
      </w:r>
    </w:p>
    <w:p w14:paraId="2BB68D06"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V. Archivo de trámite</w:t>
      </w:r>
      <w:r w:rsidRPr="002963F8">
        <w:rPr>
          <w:rFonts w:ascii="Palatino Linotype" w:eastAsia="Palatino Linotype" w:hAnsi="Palatino Linotype" w:cs="Palatino Linotype"/>
          <w:i/>
          <w:sz w:val="22"/>
          <w:szCs w:val="22"/>
        </w:rPr>
        <w:t>: La unidad responsable de la administración de documentos de uso cotidiano y necesario para el ejercicio de las atribuciones de una unidad administrativa, los cuales permanecen en ella hasta su transferencia primaria;</w:t>
      </w:r>
    </w:p>
    <w:p w14:paraId="154CD6C8"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VIII. Baja documental</w:t>
      </w:r>
      <w:r w:rsidRPr="002963F8">
        <w:rPr>
          <w:rFonts w:ascii="Palatino Linotype" w:eastAsia="Palatino Linotype" w:hAnsi="Palatino Linotype" w:cs="Palatino Linotype"/>
          <w:i/>
          <w:sz w:val="22"/>
          <w:szCs w:val="22"/>
        </w:rPr>
        <w:t>. La eliminación de aquella documentación que haya prescrito en sus valores administrativos, legales, fiscales, contables, y que no contenga valores históricos;</w:t>
      </w:r>
    </w:p>
    <w:p w14:paraId="3FD86197"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p>
    <w:p w14:paraId="6B24BAC4"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X. Ciclo vital del documento</w:t>
      </w:r>
      <w:r w:rsidRPr="002963F8">
        <w:rPr>
          <w:rFonts w:ascii="Palatino Linotype" w:eastAsia="Palatino Linotype" w:hAnsi="Palatino Linotype" w:cs="Palatino Linotype"/>
          <w:i/>
          <w:sz w:val="22"/>
          <w:szCs w:val="22"/>
        </w:rPr>
        <w:t>: La etapas de los documentos desde su producción o recepción hasta su baja o transferencia a un archivo histórico;</w:t>
      </w:r>
    </w:p>
    <w:p w14:paraId="7B1DD408"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p>
    <w:p w14:paraId="425C2739"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XLVIII. Transferencia documental</w:t>
      </w:r>
      <w:r w:rsidRPr="002963F8">
        <w:rPr>
          <w:rFonts w:ascii="Palatino Linotype" w:eastAsia="Palatino Linotype" w:hAnsi="Palatino Linotype" w:cs="Palatino Linotype"/>
          <w:i/>
          <w:sz w:val="22"/>
          <w:szCs w:val="22"/>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64599A55"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5C82ACE8"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De lo anterior, se tiene que los documentos cuentan con un ciclo vital, entendiéndose como las etapas a las que se someten desde su producción o recepción hasta su baja o transferencia </w:t>
      </w:r>
      <w:r w:rsidRPr="002963F8">
        <w:rPr>
          <w:rFonts w:ascii="Palatino Linotype" w:eastAsia="Palatino Linotype" w:hAnsi="Palatino Linotype" w:cs="Palatino Linotype"/>
          <w:sz w:val="22"/>
          <w:szCs w:val="22"/>
        </w:rPr>
        <w:lastRenderedPageBreak/>
        <w:t>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1C302E0E"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F638688"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Por su parte, los Lineamientos para la Valoración, Selección y Baja de los Documentos, Expedientes y Series de Trámite Concluido en los Archivos del Estado de México, emitidos por la Comisión Dictaminadora de Depuración de Documentos, establecen lo siguiente en su parte conducente:</w:t>
      </w:r>
    </w:p>
    <w:p w14:paraId="282CF922"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05E4C37"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Artículo 20.</w:t>
      </w:r>
      <w:r w:rsidRPr="002963F8">
        <w:rPr>
          <w:rFonts w:ascii="Palatino Linotype" w:eastAsia="Palatino Linotype" w:hAnsi="Palatino Linotype" w:cs="Palatino Linotype"/>
          <w:i/>
          <w:sz w:val="22"/>
          <w:szCs w:val="22"/>
        </w:rPr>
        <w:t xml:space="preserve"> </w:t>
      </w:r>
      <w:r w:rsidRPr="002963F8">
        <w:rPr>
          <w:rFonts w:ascii="Palatino Linotype" w:eastAsia="Palatino Linotype" w:hAnsi="Palatino Linotype" w:cs="Palatino Linotype"/>
          <w:b/>
          <w:i/>
          <w:sz w:val="22"/>
          <w:szCs w:val="22"/>
        </w:rPr>
        <w:t>Los expedientes de trámite concluido y los desclasificados se mantendrán íntegros por un periodo de dos años en los Archivos de Trámite</w:t>
      </w:r>
      <w:r w:rsidRPr="002963F8">
        <w:rPr>
          <w:rFonts w:ascii="Palatino Linotype" w:eastAsia="Palatino Linotype" w:hAnsi="Palatino Linotype" w:cs="Palatino Linotype"/>
          <w:i/>
          <w:sz w:val="22"/>
          <w:szCs w:val="22"/>
        </w:rPr>
        <w:t xml:space="preserve"> de las Unidades Administrativas. Cumplido este plazo se podrá proceder a su selección preliminar y transferencia al Archivo de Concentración.”</w:t>
      </w:r>
    </w:p>
    <w:p w14:paraId="1C9EC308"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14:paraId="11ACD6B6"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p>
    <w:p w14:paraId="2EB5BE90"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Artículo 27</w:t>
      </w:r>
      <w:r w:rsidRPr="002963F8">
        <w:rPr>
          <w:rFonts w:ascii="Palatino Linotype" w:eastAsia="Palatino Linotype" w:hAnsi="Palatino Linotype" w:cs="Palatino Linotype"/>
          <w:i/>
          <w:sz w:val="22"/>
          <w:szCs w:val="22"/>
        </w:rPr>
        <w:t>.- Las Unidades Administrativas al realizar la transferencia de los expedientes de trámite concluido, señalarán en el Inventario correspondiente los plazos de conservación precaucional de éstos en el Archivo de Concentración.</w:t>
      </w:r>
    </w:p>
    <w:p w14:paraId="0D5C67DE"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Para determinar el plazo de conservación precaucional deberán considerar el marco legal o administrativo bajo el cual se produjeron o recibieron los documentos y los siguientes períodos:</w:t>
      </w:r>
    </w:p>
    <w:p w14:paraId="2D09630D"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w:t>
      </w:r>
      <w:r w:rsidRPr="002963F8">
        <w:rPr>
          <w:rFonts w:ascii="Palatino Linotype" w:eastAsia="Palatino Linotype" w:hAnsi="Palatino Linotype" w:cs="Palatino Linotype"/>
          <w:i/>
          <w:sz w:val="22"/>
          <w:szCs w:val="22"/>
        </w:rPr>
        <w:t>. 6 años para expedientes con información administrativa;</w:t>
      </w:r>
    </w:p>
    <w:p w14:paraId="5C29B46D"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II.</w:t>
      </w:r>
      <w:r w:rsidRPr="002963F8">
        <w:rPr>
          <w:rFonts w:ascii="Palatino Linotype" w:eastAsia="Palatino Linotype" w:hAnsi="Palatino Linotype" w:cs="Palatino Linotype"/>
          <w:i/>
          <w:sz w:val="22"/>
          <w:szCs w:val="22"/>
        </w:rPr>
        <w:t xml:space="preserve"> 6 años como mínimo para expedientes con información fiscal y presupuestal contable;</w:t>
      </w:r>
    </w:p>
    <w:p w14:paraId="46FB971C"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III</w:t>
      </w:r>
      <w:r w:rsidRPr="002963F8">
        <w:rPr>
          <w:rFonts w:ascii="Palatino Linotype" w:eastAsia="Palatino Linotype" w:hAnsi="Palatino Linotype" w:cs="Palatino Linotype"/>
          <w:i/>
          <w:sz w:val="22"/>
          <w:szCs w:val="22"/>
        </w:rPr>
        <w:t>. 12 años como mínimo para expedientes con información jurídico-legal, obra pública y activo fijo; y</w:t>
      </w:r>
    </w:p>
    <w:p w14:paraId="3CE0DB06"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IV.</w:t>
      </w:r>
      <w:r w:rsidRPr="002963F8">
        <w:rPr>
          <w:rFonts w:ascii="Palatino Linotype" w:eastAsia="Palatino Linotype" w:hAnsi="Palatino Linotype" w:cs="Palatino Linotype"/>
          <w:i/>
          <w:sz w:val="22"/>
          <w:szCs w:val="22"/>
        </w:rPr>
        <w:t xml:space="preserve"> Cuando en la legislación se establezcan períodos de conservación mayores a los señalados en las fracciones I, II y III, se considerarán los estipulados en dicha legislación para efectos de realización del proceso de selección final.</w:t>
      </w:r>
    </w:p>
    <w:p w14:paraId="193F4475"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lastRenderedPageBreak/>
        <w:t>V</w:t>
      </w:r>
      <w:r w:rsidRPr="002963F8">
        <w:rPr>
          <w:rFonts w:ascii="Palatino Linotype" w:eastAsia="Palatino Linotype" w:hAnsi="Palatino Linotype" w:cs="Palatino Linotype"/>
          <w:i/>
          <w:sz w:val="22"/>
          <w:szCs w:val="22"/>
        </w:rPr>
        <w:t>. Cuando las Unidades Administrativas no indique el plazo de conservación precaucional de sus expedientes en el Inventario correspondiente, los Archivos de Concentración podrán rechazar la transferencia de los expedientes.”</w:t>
      </w:r>
    </w:p>
    <w:p w14:paraId="2B31F6BA"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36D2F638"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En apego de lo anterior, se tiene que una vez que los documentos generados se consideran como trámite concluido, pasan a formar parte del Archivo de Trámite por dos años; concluido el plazo, se transfieren al Archivo de Concentración para mantenerse </w:t>
      </w:r>
      <w:r w:rsidRPr="002963F8">
        <w:rPr>
          <w:rFonts w:ascii="Palatino Linotype" w:eastAsia="Palatino Linotype" w:hAnsi="Palatino Linotype" w:cs="Palatino Linotype"/>
          <w:b/>
          <w:sz w:val="22"/>
          <w:szCs w:val="22"/>
        </w:rPr>
        <w:t>allí por seis años cuando los expedientes contengan información administrativa; y una vez que concluye dicho periodo, los documentos pueden causar baja documental</w:t>
      </w:r>
      <w:r w:rsidRPr="002963F8">
        <w:rPr>
          <w:rFonts w:ascii="Palatino Linotype" w:eastAsia="Palatino Linotype" w:hAnsi="Palatino Linotype" w:cs="Palatino Linotype"/>
          <w:sz w:val="22"/>
          <w:szCs w:val="22"/>
        </w:rPr>
        <w:t xml:space="preserve"> o bien, formar parte del Archivo Histórico.</w:t>
      </w:r>
    </w:p>
    <w:p w14:paraId="563C821B"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A5835C0"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Es de señalar que para efectuar la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5512EED3"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260F9F4"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En ese sentido, atendiendo que dentro de la temporalidad de la que se requiere la información se contempla </w:t>
      </w:r>
      <w:r w:rsidRPr="002963F8">
        <w:rPr>
          <w:rFonts w:ascii="Palatino Linotype" w:eastAsia="Palatino Linotype" w:hAnsi="Palatino Linotype" w:cs="Palatino Linotype"/>
          <w:b/>
          <w:sz w:val="22"/>
          <w:szCs w:val="22"/>
          <w:u w:val="single"/>
        </w:rPr>
        <w:t>de los ejercicios 2013, 2014 y 2015;</w:t>
      </w:r>
      <w:r w:rsidRPr="002963F8">
        <w:rPr>
          <w:rFonts w:ascii="Palatino Linotype" w:eastAsia="Palatino Linotype" w:hAnsi="Palatino Linotype" w:cs="Palatino Linotype"/>
          <w:sz w:val="22"/>
          <w:szCs w:val="22"/>
        </w:rPr>
        <w:t xml:space="preserve"> esta pudiera encontrarse en el supuesto de que agotó su vida útil y/o no se consideró de importancia para formar parte del Archivo Histórico, </w:t>
      </w:r>
      <w:r w:rsidRPr="002963F8">
        <w:rPr>
          <w:rFonts w:ascii="Palatino Linotype" w:eastAsia="Palatino Linotype" w:hAnsi="Palatino Linotype" w:cs="Palatino Linotype"/>
          <w:b/>
          <w:sz w:val="22"/>
          <w:szCs w:val="22"/>
          <w:u w:val="single"/>
        </w:rPr>
        <w:t>pudiendo haber causado baja.</w:t>
      </w:r>
      <w:r w:rsidRPr="002963F8">
        <w:rPr>
          <w:rFonts w:ascii="Palatino Linotype" w:eastAsia="Palatino Linotype" w:hAnsi="Palatino Linotype" w:cs="Palatino Linotype"/>
          <w:sz w:val="22"/>
          <w:szCs w:val="22"/>
        </w:rPr>
        <w:t> </w:t>
      </w:r>
    </w:p>
    <w:p w14:paraId="6D61F5A8"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21A1D13"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Sin embargo, cabe mencionar que el referir esto, no colma el derecho de acceso a la información de los ciudadanos; es decir, el simple pronunciamiento de las autoridades respecto a la baja documental o el hacer entrega al ciudadano del acta de baja como </w:t>
      </w:r>
      <w:r w:rsidRPr="002963F8">
        <w:rPr>
          <w:rFonts w:ascii="Palatino Linotype" w:eastAsia="Palatino Linotype" w:hAnsi="Palatino Linotype" w:cs="Palatino Linotype"/>
          <w:sz w:val="22"/>
          <w:szCs w:val="22"/>
        </w:rPr>
        <w:lastRenderedPageBreak/>
        <w:t>justificación de la negativa de la información, no es suficiente para satisfacer el ejercicio del derecho de acceso.</w:t>
      </w:r>
    </w:p>
    <w:p w14:paraId="1EDA4316"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64C6D06"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Atento a lo anterior, en el caso de la información que se ordena entregar del periodo antes indicado, el </w:t>
      </w:r>
      <w:r w:rsidRPr="002963F8">
        <w:rPr>
          <w:rFonts w:ascii="Palatino Linotype" w:eastAsia="Palatino Linotype" w:hAnsi="Palatino Linotype" w:cs="Palatino Linotype"/>
          <w:b/>
          <w:sz w:val="22"/>
          <w:szCs w:val="22"/>
        </w:rPr>
        <w:t xml:space="preserve">Sujeto Obligado </w:t>
      </w:r>
      <w:r w:rsidRPr="002963F8">
        <w:rPr>
          <w:rFonts w:ascii="Palatino Linotype" w:eastAsia="Palatino Linotype" w:hAnsi="Palatino Linotype" w:cs="Palatino Linotype"/>
          <w:sz w:val="22"/>
          <w:szCs w:val="22"/>
        </w:rPr>
        <w:t>deberá considerar los siguientes supuestos bajo los cuales debe proceder posterior a realizar la búsqueda exhaustiva y razonable en sus archivos:</w:t>
      </w:r>
    </w:p>
    <w:p w14:paraId="2CFF4457"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7ED8A2E"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u w:val="single"/>
        </w:rPr>
        <w:t>En el primer supuesto</w:t>
      </w:r>
      <w:r w:rsidRPr="002963F8">
        <w:rPr>
          <w:rFonts w:ascii="Palatino Linotype" w:eastAsia="Palatino Linotype" w:hAnsi="Palatino Linotype" w:cs="Palatino Linotype"/>
          <w:sz w:val="22"/>
          <w:szCs w:val="22"/>
        </w:rPr>
        <w:t xml:space="preserve">, si derivado de la búsqueda exhaustiva y razonable que el </w:t>
      </w:r>
      <w:r w:rsidRPr="002963F8">
        <w:rPr>
          <w:rFonts w:ascii="Palatino Linotype" w:eastAsia="Palatino Linotype" w:hAnsi="Palatino Linotype" w:cs="Palatino Linotype"/>
          <w:b/>
          <w:sz w:val="22"/>
          <w:szCs w:val="22"/>
        </w:rPr>
        <w:t>Sujeto Obligado</w:t>
      </w:r>
      <w:r w:rsidRPr="002963F8">
        <w:rPr>
          <w:rFonts w:ascii="Palatino Linotype" w:eastAsia="Palatino Linotype" w:hAnsi="Palatino Linotype" w:cs="Palatino Linotype"/>
          <w:sz w:val="22"/>
          <w:szCs w:val="22"/>
        </w:rPr>
        <w:t xml:space="preserve"> efectué en las unidades administrativas competentes que pudieran contar con la información, </w:t>
      </w:r>
      <w:r w:rsidRPr="002963F8">
        <w:rPr>
          <w:rFonts w:ascii="Palatino Linotype" w:eastAsia="Palatino Linotype" w:hAnsi="Palatino Linotype" w:cs="Palatino Linotype"/>
          <w:b/>
          <w:sz w:val="22"/>
          <w:szCs w:val="22"/>
        </w:rPr>
        <w:t>no llegara a localizar la misma por no haberse generado, poseído o administrado, en virtud de que la persona señalada en la solicitud no laboró como Tesorera Municipal en la administración pública municipal que contempla los ejercicios 2013, 2014 y 2015, bastará con que así se haga del conocimiento de la persona solicitante para tener por colmado su derecho de acceso a la información, en términos de lo dispuesto por el artículo 19, párrafo segundo</w:t>
      </w:r>
      <w:r w:rsidRPr="002963F8">
        <w:rPr>
          <w:rFonts w:ascii="Palatino Linotype" w:eastAsia="Palatino Linotype" w:hAnsi="Palatino Linotype" w:cs="Palatino Linotype"/>
          <w:sz w:val="22"/>
          <w:szCs w:val="22"/>
        </w:rPr>
        <w:t xml:space="preserve"> de la Ley de Transparencia y Acceso a la Información Pública del Estado de México y Municipios, a saber:</w:t>
      </w:r>
    </w:p>
    <w:p w14:paraId="4EDAF8FA"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18E68BC" w14:textId="77777777" w:rsidR="001B3EF9" w:rsidRPr="002963F8" w:rsidRDefault="005E621C">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Artículo 19</w:t>
      </w:r>
      <w:r w:rsidRPr="002963F8">
        <w:rPr>
          <w:rFonts w:ascii="Palatino Linotype" w:eastAsia="Palatino Linotype" w:hAnsi="Palatino Linotype" w:cs="Palatino Linotype"/>
          <w:i/>
          <w:sz w:val="22"/>
          <w:szCs w:val="22"/>
        </w:rPr>
        <w:t>…</w:t>
      </w:r>
    </w:p>
    <w:p w14:paraId="0F54CCF1" w14:textId="77777777" w:rsidR="001B3EF9" w:rsidRPr="002963F8" w:rsidRDefault="005E621C">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4346E875" w14:textId="77777777" w:rsidR="001B3EF9" w:rsidRPr="002963F8" w:rsidRDefault="001B3EF9">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p>
    <w:p w14:paraId="12509F1B"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Siendo improcedente, en tal supuesto, la entrega de documento alguno, o en su caso, el Acuerdo de Inexistencia, toda vez que el pronunciamiento del </w:t>
      </w:r>
      <w:r w:rsidRPr="002963F8">
        <w:rPr>
          <w:rFonts w:ascii="Palatino Linotype" w:eastAsia="Palatino Linotype" w:hAnsi="Palatino Linotype" w:cs="Palatino Linotype"/>
          <w:b/>
          <w:sz w:val="22"/>
          <w:szCs w:val="22"/>
        </w:rPr>
        <w:t>Sujeto Obligado</w:t>
      </w:r>
      <w:r w:rsidRPr="002963F8">
        <w:rPr>
          <w:rFonts w:ascii="Palatino Linotype" w:eastAsia="Palatino Linotype" w:hAnsi="Palatino Linotype" w:cs="Palatino Linotype"/>
          <w:sz w:val="22"/>
          <w:szCs w:val="22"/>
        </w:rPr>
        <w:t xml:space="preserve"> declararía en automática la inexistencia de la información solicitada de modo que no existe obligación de justificar o allegar pruebas, y por ende no tiene aplicación lo estatuido en el artículo 49, </w:t>
      </w:r>
      <w:r w:rsidRPr="002963F8">
        <w:rPr>
          <w:rFonts w:ascii="Palatino Linotype" w:eastAsia="Palatino Linotype" w:hAnsi="Palatino Linotype" w:cs="Palatino Linotype"/>
          <w:sz w:val="22"/>
          <w:szCs w:val="22"/>
        </w:rPr>
        <w:lastRenderedPageBreak/>
        <w:t>fracción XIII de la Ley de Transparencia y Acceso a la Información Pública del Estado de México y Municipios.</w:t>
      </w:r>
    </w:p>
    <w:p w14:paraId="39F4970A"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753385D"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u w:val="single"/>
        </w:rPr>
        <w:t>En el segundo supuesto</w:t>
      </w:r>
      <w:r w:rsidRPr="002963F8">
        <w:rPr>
          <w:rFonts w:ascii="Palatino Linotype" w:eastAsia="Palatino Linotype" w:hAnsi="Palatino Linotype" w:cs="Palatino Linotype"/>
          <w:sz w:val="22"/>
          <w:szCs w:val="22"/>
        </w:rPr>
        <w:t>, si derivado de la búsqueda que se ordena se determina que la información se generó, poseyó y/o administró, pero por alguna circunstancia no se llegara a localizar, y atendiendo a la temporalidad en la que se pudo haber generado, deberá ajustarse a lo siguiente:</w:t>
      </w:r>
    </w:p>
    <w:p w14:paraId="4EA650E7"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D7A9731"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Se deberá acreditar el destino de la misma, es decir; se deberá precisar si la información se envió a su archivo histórico o se procedió a su baja permanente, asimismo, deberá señalar las circunstancias de modo, tiempo y lugar que precedieron a la inexistencia de la información, con la finalidad de otorgar certeza jurídica a la persona solicitante.</w:t>
      </w:r>
    </w:p>
    <w:p w14:paraId="43071482"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1AA93AD"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Sirve de apoyo a lo anterior por analogía el Criterio 14-09 que emitió el Instituto Nacional de Transparencia, Acceso a la Información y Protección de Datos Personales que a la letra dice:</w:t>
      </w:r>
    </w:p>
    <w:p w14:paraId="07EFFC2A"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CA98019"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i/>
          <w:sz w:val="22"/>
          <w:szCs w:val="22"/>
        </w:rPr>
        <w:t>“Baja documental</w:t>
      </w:r>
      <w:r w:rsidRPr="002963F8">
        <w:rPr>
          <w:rFonts w:ascii="Palatino Linotype" w:eastAsia="Palatino Linotype" w:hAnsi="Palatino Linotype" w:cs="Palatino Linotype"/>
          <w:i/>
          <w:sz w:val="22"/>
          <w:szCs w:val="22"/>
        </w:rPr>
        <w:t xml:space="preserve">.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w:t>
      </w:r>
      <w:r w:rsidRPr="002963F8">
        <w:rPr>
          <w:rFonts w:ascii="Palatino Linotype" w:eastAsia="Palatino Linotype" w:hAnsi="Palatino Linotype" w:cs="Palatino Linotype"/>
          <w:b/>
          <w:i/>
          <w:sz w:val="22"/>
          <w:szCs w:val="22"/>
          <w:u w:val="single"/>
        </w:rPr>
        <w:t>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w:t>
      </w:r>
      <w:r w:rsidRPr="002963F8">
        <w:rPr>
          <w:rFonts w:ascii="Palatino Linotype" w:eastAsia="Palatino Linotype" w:hAnsi="Palatino Linotype" w:cs="Palatino Linotype"/>
          <w:i/>
          <w:sz w:val="22"/>
          <w:szCs w:val="22"/>
        </w:rPr>
        <w:t xml:space="preserve"> en todos aquellos casos en los que la normatividad en materia archivística prevea que la misma debe existir.”(Sic)</w:t>
      </w:r>
    </w:p>
    <w:p w14:paraId="2DA40954"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906A656"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lastRenderedPageBreak/>
        <w:t>En tal caso la declaratoria formal de la inexistencia a la que se hace referencia deberá realizarse en términos de lo que señala el artículo 19, tercer párrafo, 49, fracciones II y XIII; 169 y 170 de la Ley de Transparencia y Acceso a la Información Pública del Estado de México y Municipios, que se leen como sigue:</w:t>
      </w:r>
    </w:p>
    <w:p w14:paraId="5F27DFA9"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7BC313F" w14:textId="77777777" w:rsidR="001B3EF9" w:rsidRPr="002963F8" w:rsidRDefault="005E621C">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Artículo 19.</w:t>
      </w:r>
      <w:r w:rsidRPr="002963F8">
        <w:rPr>
          <w:rFonts w:ascii="Palatino Linotype" w:eastAsia="Palatino Linotype" w:hAnsi="Palatino Linotype" w:cs="Palatino Linotype"/>
          <w:i/>
          <w:sz w:val="22"/>
          <w:szCs w:val="22"/>
        </w:rPr>
        <w:t xml:space="preserve"> (…)</w:t>
      </w:r>
    </w:p>
    <w:p w14:paraId="29BA0DC3" w14:textId="77777777" w:rsidR="001B3EF9" w:rsidRPr="002963F8" w:rsidRDefault="005E621C">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2963F8">
        <w:rPr>
          <w:rFonts w:ascii="Palatino Linotype" w:eastAsia="Palatino Linotype" w:hAnsi="Palatino Linotype" w:cs="Palatino Linotype"/>
          <w:i/>
          <w:sz w:val="22"/>
          <w:szCs w:val="22"/>
        </w:rPr>
        <w:t>, debidamente fundado y motivado, en el que detalle las razones del por qué no obra en sus archivos.”</w:t>
      </w:r>
    </w:p>
    <w:p w14:paraId="61AEBD71" w14:textId="77777777" w:rsidR="001B3EF9" w:rsidRPr="002963F8" w:rsidRDefault="005E621C">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Artículo 49.</w:t>
      </w:r>
      <w:r w:rsidRPr="002963F8">
        <w:rPr>
          <w:rFonts w:ascii="Palatino Linotype" w:eastAsia="Palatino Linotype" w:hAnsi="Palatino Linotype" w:cs="Palatino Linotype"/>
          <w:i/>
          <w:sz w:val="22"/>
          <w:szCs w:val="22"/>
        </w:rPr>
        <w:t xml:space="preserve"> </w:t>
      </w:r>
      <w:r w:rsidRPr="002963F8">
        <w:rPr>
          <w:rFonts w:ascii="Palatino Linotype" w:eastAsia="Palatino Linotype" w:hAnsi="Palatino Linotype" w:cs="Palatino Linotype"/>
          <w:b/>
          <w:i/>
          <w:sz w:val="22"/>
          <w:szCs w:val="22"/>
        </w:rPr>
        <w:t>Los Comités de Transparencia</w:t>
      </w:r>
      <w:r w:rsidRPr="002963F8">
        <w:rPr>
          <w:rFonts w:ascii="Palatino Linotype" w:eastAsia="Palatino Linotype" w:hAnsi="Palatino Linotype" w:cs="Palatino Linotype"/>
          <w:i/>
          <w:sz w:val="22"/>
          <w:szCs w:val="22"/>
        </w:rPr>
        <w:t xml:space="preserve"> tendrán las siguientes </w:t>
      </w:r>
      <w:r w:rsidRPr="002963F8">
        <w:rPr>
          <w:rFonts w:ascii="Palatino Linotype" w:eastAsia="Palatino Linotype" w:hAnsi="Palatino Linotype" w:cs="Palatino Linotype"/>
          <w:b/>
          <w:i/>
          <w:sz w:val="22"/>
          <w:szCs w:val="22"/>
        </w:rPr>
        <w:t>atribuciones</w:t>
      </w:r>
      <w:r w:rsidRPr="002963F8">
        <w:rPr>
          <w:rFonts w:ascii="Palatino Linotype" w:eastAsia="Palatino Linotype" w:hAnsi="Palatino Linotype" w:cs="Palatino Linotype"/>
          <w:i/>
          <w:sz w:val="22"/>
          <w:szCs w:val="22"/>
        </w:rPr>
        <w:t>:</w:t>
      </w:r>
    </w:p>
    <w:p w14:paraId="07A67C75" w14:textId="77777777" w:rsidR="001B3EF9" w:rsidRPr="002963F8" w:rsidRDefault="005E621C">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II.</w:t>
      </w:r>
      <w:r w:rsidRPr="002963F8">
        <w:rPr>
          <w:rFonts w:ascii="Palatino Linotype" w:eastAsia="Palatino Linotype" w:hAnsi="Palatino Linotype" w:cs="Palatino Linotype"/>
          <w:i/>
          <w:sz w:val="22"/>
          <w:szCs w:val="22"/>
        </w:rPr>
        <w:t xml:space="preserve"> </w:t>
      </w:r>
      <w:r w:rsidRPr="002963F8">
        <w:rPr>
          <w:rFonts w:ascii="Palatino Linotype" w:eastAsia="Palatino Linotype" w:hAnsi="Palatino Linotype" w:cs="Palatino Linotype"/>
          <w:b/>
          <w:i/>
          <w:sz w:val="22"/>
          <w:szCs w:val="22"/>
        </w:rPr>
        <w:t>Confirmar, modificar o revocar las determinaciones que en materia de</w:t>
      </w:r>
      <w:r w:rsidRPr="002963F8">
        <w:rPr>
          <w:rFonts w:ascii="Palatino Linotype" w:eastAsia="Palatino Linotype" w:hAnsi="Palatino Linotype" w:cs="Palatino Linotype"/>
          <w:i/>
          <w:sz w:val="22"/>
          <w:szCs w:val="22"/>
        </w:rPr>
        <w:t xml:space="preserve"> ampliación del plazo de respuesta, clasificación de la información y </w:t>
      </w:r>
      <w:r w:rsidRPr="002963F8">
        <w:rPr>
          <w:rFonts w:ascii="Palatino Linotype" w:eastAsia="Palatino Linotype" w:hAnsi="Palatino Linotype" w:cs="Palatino Linotype"/>
          <w:b/>
          <w:i/>
          <w:sz w:val="22"/>
          <w:szCs w:val="22"/>
        </w:rPr>
        <w:t>declaración de inexistencia</w:t>
      </w:r>
      <w:r w:rsidRPr="002963F8">
        <w:rPr>
          <w:rFonts w:ascii="Palatino Linotype" w:eastAsia="Palatino Linotype" w:hAnsi="Palatino Linotype" w:cs="Palatino Linotype"/>
          <w:i/>
          <w:sz w:val="22"/>
          <w:szCs w:val="22"/>
        </w:rPr>
        <w:t xml:space="preserve"> o de incompetencia realicen los titulares de las áreas de los sujetos obligados;</w:t>
      </w:r>
    </w:p>
    <w:p w14:paraId="19015745" w14:textId="77777777" w:rsidR="001B3EF9" w:rsidRPr="002963F8" w:rsidRDefault="005E621C">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XIII.</w:t>
      </w:r>
      <w:r w:rsidRPr="002963F8">
        <w:rPr>
          <w:rFonts w:ascii="Palatino Linotype" w:eastAsia="Palatino Linotype" w:hAnsi="Palatino Linotype" w:cs="Palatino Linotype"/>
          <w:i/>
          <w:sz w:val="22"/>
          <w:szCs w:val="22"/>
        </w:rPr>
        <w:t xml:space="preserve"> </w:t>
      </w:r>
      <w:r w:rsidRPr="002963F8">
        <w:rPr>
          <w:rFonts w:ascii="Palatino Linotype" w:eastAsia="Palatino Linotype" w:hAnsi="Palatino Linotype" w:cs="Palatino Linotype"/>
          <w:b/>
          <w:i/>
          <w:sz w:val="22"/>
          <w:szCs w:val="22"/>
        </w:rPr>
        <w:t>Dictaminar las declaratorias de inexistencia de la información</w:t>
      </w:r>
      <w:r w:rsidRPr="002963F8">
        <w:rPr>
          <w:rFonts w:ascii="Palatino Linotype" w:eastAsia="Palatino Linotype" w:hAnsi="Palatino Linotype" w:cs="Palatino Linotype"/>
          <w:i/>
          <w:sz w:val="22"/>
          <w:szCs w:val="22"/>
        </w:rPr>
        <w:t xml:space="preserve"> que les remitan las unidades administrativas y resolver en consecuencia…”</w:t>
      </w:r>
    </w:p>
    <w:p w14:paraId="637D9F79" w14:textId="77777777" w:rsidR="001B3EF9" w:rsidRPr="002963F8" w:rsidRDefault="005E621C">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Artículo 169</w:t>
      </w:r>
      <w:r w:rsidRPr="002963F8">
        <w:rPr>
          <w:rFonts w:ascii="Palatino Linotype" w:eastAsia="Palatino Linotype" w:hAnsi="Palatino Linotype" w:cs="Palatino Linotype"/>
          <w:i/>
          <w:sz w:val="22"/>
          <w:szCs w:val="22"/>
        </w:rPr>
        <w:t xml:space="preserve">. </w:t>
      </w:r>
      <w:r w:rsidRPr="002963F8">
        <w:rPr>
          <w:rFonts w:ascii="Palatino Linotype" w:eastAsia="Palatino Linotype" w:hAnsi="Palatino Linotype" w:cs="Palatino Linotype"/>
          <w:b/>
          <w:i/>
          <w:sz w:val="22"/>
          <w:szCs w:val="22"/>
        </w:rPr>
        <w:t>Cuando la información no se encuentre en los archivos del sujeto obligado, el Comité de Transparencia</w:t>
      </w:r>
      <w:r w:rsidRPr="002963F8">
        <w:rPr>
          <w:rFonts w:ascii="Palatino Linotype" w:eastAsia="Palatino Linotype" w:hAnsi="Palatino Linotype" w:cs="Palatino Linotype"/>
          <w:i/>
          <w:sz w:val="22"/>
          <w:szCs w:val="22"/>
        </w:rPr>
        <w:t xml:space="preserve">: </w:t>
      </w:r>
    </w:p>
    <w:p w14:paraId="655BC1A4" w14:textId="77777777" w:rsidR="001B3EF9" w:rsidRPr="002963F8" w:rsidRDefault="005E621C">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w:t>
      </w:r>
      <w:r w:rsidRPr="002963F8">
        <w:rPr>
          <w:rFonts w:ascii="Palatino Linotype" w:eastAsia="Palatino Linotype" w:hAnsi="Palatino Linotype" w:cs="Palatino Linotype"/>
          <w:i/>
          <w:sz w:val="22"/>
          <w:szCs w:val="22"/>
        </w:rPr>
        <w:t xml:space="preserve"> Analizará el caso y tomará las medidas necesarias para localizar la información; </w:t>
      </w:r>
    </w:p>
    <w:p w14:paraId="0C20A4DF" w14:textId="77777777" w:rsidR="001B3EF9" w:rsidRPr="002963F8" w:rsidRDefault="005E621C">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II.</w:t>
      </w:r>
      <w:r w:rsidRPr="002963F8">
        <w:rPr>
          <w:rFonts w:ascii="Palatino Linotype" w:eastAsia="Palatino Linotype" w:hAnsi="Palatino Linotype" w:cs="Palatino Linotype"/>
          <w:i/>
          <w:sz w:val="22"/>
          <w:szCs w:val="22"/>
        </w:rPr>
        <w:t xml:space="preserve"> </w:t>
      </w:r>
      <w:r w:rsidRPr="002963F8">
        <w:rPr>
          <w:rFonts w:ascii="Palatino Linotype" w:eastAsia="Palatino Linotype" w:hAnsi="Palatino Linotype" w:cs="Palatino Linotype"/>
          <w:b/>
          <w:i/>
          <w:sz w:val="22"/>
          <w:szCs w:val="22"/>
        </w:rPr>
        <w:t>Expedirá una resolución que confirme la inexistencia del documento</w:t>
      </w:r>
      <w:r w:rsidRPr="002963F8">
        <w:rPr>
          <w:rFonts w:ascii="Palatino Linotype" w:eastAsia="Palatino Linotype" w:hAnsi="Palatino Linotype" w:cs="Palatino Linotype"/>
          <w:i/>
          <w:sz w:val="22"/>
          <w:szCs w:val="22"/>
        </w:rPr>
        <w:t xml:space="preserve">; </w:t>
      </w:r>
    </w:p>
    <w:p w14:paraId="5B61AEE4" w14:textId="77777777" w:rsidR="001B3EF9" w:rsidRPr="002963F8" w:rsidRDefault="005E621C">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III</w:t>
      </w:r>
      <w:r w:rsidRPr="002963F8">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4D7F3D4A" w14:textId="77777777" w:rsidR="001B3EF9" w:rsidRPr="002963F8" w:rsidRDefault="005E621C">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 xml:space="preserve">IV. </w:t>
      </w:r>
      <w:r w:rsidRPr="002963F8">
        <w:rPr>
          <w:rFonts w:ascii="Palatino Linotype" w:eastAsia="Palatino Linotype" w:hAnsi="Palatino Linotype" w:cs="Palatino Linotype"/>
          <w:i/>
          <w:sz w:val="22"/>
          <w:szCs w:val="22"/>
        </w:rPr>
        <w:t xml:space="preserve">Notificará al órgano interno de control o equivalente del sujeto obligado quien, en su caso, deberá iniciar el procedimiento de responsabilidad administrativa que corresponda. </w:t>
      </w:r>
    </w:p>
    <w:p w14:paraId="255F1F45" w14:textId="77777777" w:rsidR="001B3EF9" w:rsidRPr="002963F8" w:rsidRDefault="005E621C">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4D3F564F" w14:textId="77777777" w:rsidR="001B3EF9" w:rsidRPr="002963F8" w:rsidRDefault="005E621C">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11DEF00A" w14:textId="77777777" w:rsidR="001B3EF9" w:rsidRPr="002963F8" w:rsidRDefault="005E621C">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lastRenderedPageBreak/>
        <w:t>“</w:t>
      </w:r>
      <w:r w:rsidRPr="002963F8">
        <w:rPr>
          <w:rFonts w:ascii="Palatino Linotype" w:eastAsia="Palatino Linotype" w:hAnsi="Palatino Linotype" w:cs="Palatino Linotype"/>
          <w:b/>
          <w:i/>
          <w:sz w:val="22"/>
          <w:szCs w:val="22"/>
        </w:rPr>
        <w:t>Artículo 170.</w:t>
      </w:r>
      <w:r w:rsidRPr="002963F8">
        <w:rPr>
          <w:rFonts w:ascii="Palatino Linotype" w:eastAsia="Palatino Linotype" w:hAnsi="Palatino Linotype" w:cs="Palatino Linotype"/>
          <w:i/>
          <w:sz w:val="22"/>
          <w:szCs w:val="22"/>
        </w:rPr>
        <w:t xml:space="preserve"> </w:t>
      </w:r>
      <w:r w:rsidRPr="002963F8">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2963F8">
        <w:rPr>
          <w:rFonts w:ascii="Palatino Linotype" w:eastAsia="Palatino Linotype" w:hAnsi="Palatino Linotype" w:cs="Palatino Linotype"/>
          <w:i/>
          <w:sz w:val="22"/>
          <w:szCs w:val="22"/>
        </w:rPr>
        <w:t xml:space="preserve"> </w:t>
      </w:r>
      <w:r w:rsidRPr="002963F8">
        <w:rPr>
          <w:rFonts w:ascii="Palatino Linotype" w:eastAsia="Palatino Linotype" w:hAnsi="Palatino Linotype" w:cs="Palatino Linotype"/>
          <w:b/>
          <w:i/>
          <w:sz w:val="22"/>
          <w:szCs w:val="22"/>
        </w:rPr>
        <w:t>que permitan al solicitante tener la certeza de que se utilizó un criterio de búsqueda exhaustivo</w:t>
      </w:r>
      <w:r w:rsidRPr="002963F8">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30AB7338"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3C6FFF0A"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Lo anterior, como se precisa, resulta necesario ya que el Acuerdo de Inexistencia emitido por el Comité de Transparencia, da certeza de las razones o motivos por las cuales no se localizó la información y del proceso realizado para localizar la misma, acreditando en un primer momento la búsqueda exhaustiva y razonable de la información en las áreas administrativas, lo cual constará mediante los oficios emitidos y las respuestas por parte de los servidores públicos de las áreas correspondientes, ello con la finalidad de que se informe si los documentos solicitados habían causado baja documental.</w:t>
      </w:r>
    </w:p>
    <w:p w14:paraId="2F97F85A"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41F66BD"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Asimismo, resulta aplicable el Criterio reiterado número 08/19 emitido por Acuerdo del Pleno del Instituto de Transparencia y Acceso a la Información Pública del Estado de México y Municipios, que precisa:</w:t>
      </w:r>
    </w:p>
    <w:p w14:paraId="73B55CE3" w14:textId="77777777" w:rsidR="001B3EF9" w:rsidRPr="002963F8" w:rsidRDefault="005E621C">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INEXISTENCIA DE LA INFORMACIÓN. SUPUESTOS PARA EMITIR LA RESOLUCIÓN DE LA</w:t>
      </w:r>
      <w:r w:rsidRPr="002963F8">
        <w:rPr>
          <w:rFonts w:ascii="Palatino Linotype" w:eastAsia="Palatino Linotype" w:hAnsi="Palatino Linotype" w:cs="Palatino Linotype"/>
          <w:i/>
          <w:sz w:val="22"/>
          <w:szCs w:val="22"/>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w:t>
      </w:r>
      <w:r w:rsidRPr="002963F8">
        <w:rPr>
          <w:rFonts w:ascii="Palatino Linotype" w:eastAsia="Palatino Linotype" w:hAnsi="Palatino Linotype" w:cs="Palatino Linotype"/>
          <w:i/>
          <w:sz w:val="22"/>
          <w:szCs w:val="22"/>
        </w:rPr>
        <w:lastRenderedPageBreak/>
        <w:t>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0FB976D1" w14:textId="77777777" w:rsidR="001B3EF9" w:rsidRPr="002963F8" w:rsidRDefault="001B3EF9">
      <w:pPr>
        <w:pBdr>
          <w:top w:val="nil"/>
          <w:left w:val="nil"/>
          <w:bottom w:val="nil"/>
          <w:right w:val="nil"/>
          <w:between w:val="nil"/>
        </w:pBdr>
        <w:ind w:left="567" w:right="560"/>
        <w:jc w:val="both"/>
        <w:rPr>
          <w:rFonts w:ascii="Palatino Linotype" w:eastAsia="Palatino Linotype" w:hAnsi="Palatino Linotype" w:cs="Palatino Linotype"/>
          <w:i/>
          <w:sz w:val="22"/>
          <w:szCs w:val="22"/>
        </w:rPr>
      </w:pPr>
    </w:p>
    <w:p w14:paraId="590FD743"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Lo anterior, obedece a lo establecido por el artículo 12 de la Ley de Transparencia y Acceso a la Información Pública del Estado de México y Municipios, el cual destaca que quienes generen, recopilen, administren, manejen, procesen, archiven o conserven información pública serán responsables de esta; vinculando inminentemente al servidor público con los documentos que por el ejercicio de sus funciones obra en su poder, lo que impone un compromiso en su cuidado y resguardo.</w:t>
      </w:r>
    </w:p>
    <w:p w14:paraId="4FC20D0A" w14:textId="77777777" w:rsidR="001B3EF9" w:rsidRPr="002963F8" w:rsidRDefault="001B3EF9">
      <w:pPr>
        <w:spacing w:line="360" w:lineRule="auto"/>
        <w:ind w:right="141"/>
        <w:jc w:val="both"/>
        <w:rPr>
          <w:rFonts w:ascii="Palatino Linotype" w:eastAsia="Palatino Linotype" w:hAnsi="Palatino Linotype" w:cs="Palatino Linotype"/>
          <w:sz w:val="22"/>
          <w:szCs w:val="22"/>
        </w:rPr>
      </w:pPr>
    </w:p>
    <w:p w14:paraId="627B2175" w14:textId="77777777" w:rsidR="001B3EF9" w:rsidRPr="002963F8" w:rsidRDefault="005E621C">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Ahora, con relación al requerimiento marcado en el </w:t>
      </w:r>
      <w:r w:rsidRPr="002963F8">
        <w:rPr>
          <w:rFonts w:ascii="Palatino Linotype" w:eastAsia="Palatino Linotype" w:hAnsi="Palatino Linotype" w:cs="Palatino Linotype"/>
          <w:b/>
          <w:sz w:val="22"/>
          <w:szCs w:val="22"/>
        </w:rPr>
        <w:t>numeral 2</w:t>
      </w:r>
      <w:r w:rsidRPr="002963F8">
        <w:rPr>
          <w:rFonts w:ascii="Palatino Linotype" w:eastAsia="Palatino Linotype" w:hAnsi="Palatino Linotype" w:cs="Palatino Linotype"/>
          <w:sz w:val="22"/>
          <w:szCs w:val="22"/>
        </w:rPr>
        <w:t xml:space="preserve">, a fin de contextualizar la naturaleza de la información requerida y el ámbito competencial del </w:t>
      </w:r>
      <w:r w:rsidRPr="002963F8">
        <w:rPr>
          <w:rFonts w:ascii="Palatino Linotype" w:eastAsia="Palatino Linotype" w:hAnsi="Palatino Linotype" w:cs="Palatino Linotype"/>
          <w:b/>
          <w:sz w:val="22"/>
          <w:szCs w:val="22"/>
        </w:rPr>
        <w:t>Sujeto Obligado</w:t>
      </w:r>
      <w:r w:rsidRPr="002963F8">
        <w:rPr>
          <w:rFonts w:ascii="Palatino Linotype" w:eastAsia="Palatino Linotype" w:hAnsi="Palatino Linotype" w:cs="Palatino Linotype"/>
          <w:sz w:val="22"/>
          <w:szCs w:val="22"/>
        </w:rPr>
        <w:t xml:space="preserve">, es necesario precisar lo siguiente: </w:t>
      </w:r>
    </w:p>
    <w:p w14:paraId="28BF63C4" w14:textId="77777777" w:rsidR="001B3EF9" w:rsidRPr="002963F8" w:rsidRDefault="001B3EF9">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51631D02" w14:textId="77777777" w:rsidR="001B3EF9" w:rsidRPr="002963F8" w:rsidRDefault="005E621C">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Conforme los artículos 74 y 75 del Bando Municipal de Almoloya del Rio vigente, la Contraloría Municipal, es la unidad administrativa encargada de conocer de las responsabilidades administrativas a través de las autoridades siguientes: investigadora, substanciadora y resolutora; como se sigue:</w:t>
      </w:r>
    </w:p>
    <w:p w14:paraId="625CC884" w14:textId="77777777" w:rsidR="001B3EF9" w:rsidRPr="002963F8" w:rsidRDefault="001B3EF9">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1C855449" w14:textId="77777777" w:rsidR="001B3EF9" w:rsidRPr="002963F8" w:rsidRDefault="005E621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“Artículo 74.- La Contraloría Interna Municipal es el Órgano establecido por el Ayuntamiento, cuyo titular se le denomina Contralor Interno, nombrado a propuesta de la presidenta municipal y mismo que tendrá las funciones determinadas en el artículo 112 de la Ley Orgánica Municipal del Estado de México y demás disposiciones vigentes aplicables. </w:t>
      </w:r>
    </w:p>
    <w:p w14:paraId="41FF3050" w14:textId="77777777" w:rsidR="001B3EF9" w:rsidRPr="002963F8" w:rsidRDefault="001B3EF9">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75ED44F3" w14:textId="77777777" w:rsidR="001B3EF9" w:rsidRPr="002963F8" w:rsidRDefault="005E621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Artículo 75.- Las responsabilidades administrativas de los Servidores Públicos Municipales, se determinan a través de las autoridades siguientes: </w:t>
      </w:r>
    </w:p>
    <w:p w14:paraId="2A7B20F4" w14:textId="77777777" w:rsidR="001B3EF9" w:rsidRPr="002963F8" w:rsidRDefault="001B3EF9">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50AC0216" w14:textId="77777777" w:rsidR="001B3EF9" w:rsidRPr="002963F8" w:rsidRDefault="005E621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a) Autoridad Investigadora: que será la encargada de la investigación de las faltas administrativas; </w:t>
      </w:r>
    </w:p>
    <w:p w14:paraId="71D8F0D6" w14:textId="77777777" w:rsidR="001B3EF9" w:rsidRPr="002963F8" w:rsidRDefault="001B3EF9">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2A9C42B2" w14:textId="77777777" w:rsidR="001B3EF9" w:rsidRPr="002963F8" w:rsidRDefault="005E621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b) Autoridad Sustanciadora: que será en el ámbito de su competencia, la que dirija y conduzca el procedimiento de responsabilidades administrativas desde la admisión del informe de presunta responsabilidad administrativa y hasta la conclusión de la audiencia inicial. Su función en ningún caso podrá ser ejercida por una autoridad investigadora;</w:t>
      </w:r>
    </w:p>
    <w:p w14:paraId="47B7715E" w14:textId="77777777" w:rsidR="001B3EF9" w:rsidRPr="002963F8" w:rsidRDefault="001B3EF9">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638500A8" w14:textId="77777777" w:rsidR="001B3EF9" w:rsidRPr="002963F8" w:rsidRDefault="005E621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c) Autoridad Resolutoria: unidad de responsabilidades administrativas adscrita a la Secretaría de la Contraloría y a los órganos internos de control o al servidor público que éstos últimos asignen, así como la de las empresas de participación estatal y municipal, tratándose de faltas administrativas no graves. En el supuesto de faltas administrativas graves, así como para las faltas de particulares lo será el Tribunal de Justicia Administrativa.”</w:t>
      </w:r>
    </w:p>
    <w:p w14:paraId="00772140" w14:textId="77777777" w:rsidR="001B3EF9" w:rsidRPr="002963F8" w:rsidRDefault="001B3EF9">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75433D28" w14:textId="77777777" w:rsidR="001B3EF9" w:rsidRPr="002963F8" w:rsidRDefault="005E621C">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Ahora, en el caso es de recordar que quien se pronunció fue la Contraloría Interna Municipal, unidad administrativa que conforme lo indicado cuenta con atribuciones para conocer de lo requerido; por tanto, sobre el requerimiento en análisis se advierte que quien se pronunció fue el área competente, y por ende se tiene por atendido el procedimiento para la atención a las solicitudes de acceso a la información, establecido en los artículos 151, 159, 160, 162, 163, 164, 165 y 166, de la Ley de Transparencia y Acceso a la Información Pública del Estado de México y Municipios, antes citados.</w:t>
      </w:r>
    </w:p>
    <w:p w14:paraId="2F8E2E7B" w14:textId="77777777" w:rsidR="001B3EF9" w:rsidRPr="002963F8" w:rsidRDefault="001B3EF9">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7C99E8CA" w14:textId="77777777" w:rsidR="001B3EF9" w:rsidRPr="002963F8" w:rsidRDefault="005E621C">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Establecido lo anterior, se procede al análisis de la respuesta proporcionada por el </w:t>
      </w:r>
      <w:r w:rsidRPr="002963F8">
        <w:rPr>
          <w:rFonts w:ascii="Palatino Linotype" w:eastAsia="Palatino Linotype" w:hAnsi="Palatino Linotype" w:cs="Palatino Linotype"/>
          <w:b/>
          <w:sz w:val="22"/>
          <w:szCs w:val="22"/>
        </w:rPr>
        <w:t>Sujeto Obligado</w:t>
      </w:r>
      <w:r w:rsidRPr="002963F8">
        <w:rPr>
          <w:rFonts w:ascii="Palatino Linotype" w:eastAsia="Palatino Linotype" w:hAnsi="Palatino Linotype" w:cs="Palatino Linotype"/>
          <w:sz w:val="22"/>
          <w:szCs w:val="22"/>
        </w:rPr>
        <w:t>, teniendo así que en un primer momento, la Contraloría Interna Municipal indicó que con relación a la información requerida, la misma estaba en proceso de investigación y solicitó al Titular de la Unidad de Transparencia que la información se clasificara como confidencial y reservada.</w:t>
      </w:r>
    </w:p>
    <w:p w14:paraId="378491DB" w14:textId="77777777" w:rsidR="001B3EF9" w:rsidRPr="002963F8" w:rsidRDefault="001B3EF9">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73DC5DCA" w14:textId="77777777" w:rsidR="001B3EF9" w:rsidRPr="002963F8" w:rsidRDefault="005E621C">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lastRenderedPageBreak/>
        <w:t xml:space="preserve">Asimismo, no escapa de la óptica de este Instituto que en respuesta el </w:t>
      </w:r>
      <w:r w:rsidRPr="002963F8">
        <w:rPr>
          <w:rFonts w:ascii="Palatino Linotype" w:eastAsia="Palatino Linotype" w:hAnsi="Palatino Linotype" w:cs="Palatino Linotype"/>
          <w:b/>
          <w:sz w:val="22"/>
          <w:szCs w:val="22"/>
        </w:rPr>
        <w:t xml:space="preserve">Sujeto Obligado </w:t>
      </w:r>
      <w:r w:rsidRPr="002963F8">
        <w:rPr>
          <w:rFonts w:ascii="Palatino Linotype" w:eastAsia="Palatino Linotype" w:hAnsi="Palatino Linotype" w:cs="Palatino Linotype"/>
          <w:sz w:val="22"/>
          <w:szCs w:val="22"/>
        </w:rPr>
        <w:t>aportó el Acta de la Segunda Sesión del Comité de Transparencia celebrada el diez de junio de dos mil veinticuatro, a través de la cual pretendió clasificar la información requerida en la solicitud de información de nuestra atención como confidencial; por lo que, a fin de verificar si el mismo cumplió cabalmente con las formalidades exigidas por la Ley de Transparencia y Acceso a la Información Pública del Estado de México y Municipios, es necesario realizar su análisis, y para ello se inserta el siguiente cuadro:</w:t>
      </w:r>
    </w:p>
    <w:p w14:paraId="6807096A" w14:textId="77777777" w:rsidR="001B3EF9" w:rsidRPr="002963F8" w:rsidRDefault="001B3EF9">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tbl>
      <w:tblPr>
        <w:tblStyle w:val="af"/>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4"/>
        <w:gridCol w:w="4830"/>
        <w:gridCol w:w="2681"/>
      </w:tblGrid>
      <w:tr w:rsidR="002963F8" w:rsidRPr="002963F8" w14:paraId="7FB38A3C" w14:textId="77777777">
        <w:tc>
          <w:tcPr>
            <w:tcW w:w="1544" w:type="dxa"/>
            <w:shd w:val="clear" w:color="auto" w:fill="D9D9D9"/>
          </w:tcPr>
          <w:p w14:paraId="71010B16" w14:textId="77777777" w:rsidR="001B3EF9" w:rsidRPr="002963F8" w:rsidRDefault="005E621C">
            <w:pPr>
              <w:jc w:val="center"/>
              <w:rPr>
                <w:rFonts w:ascii="Palatino Linotype" w:eastAsia="Palatino Linotype" w:hAnsi="Palatino Linotype" w:cs="Palatino Linotype"/>
                <w:b/>
                <w:sz w:val="20"/>
                <w:szCs w:val="20"/>
              </w:rPr>
            </w:pPr>
            <w:r w:rsidRPr="002963F8">
              <w:rPr>
                <w:rFonts w:ascii="Palatino Linotype" w:eastAsia="Palatino Linotype" w:hAnsi="Palatino Linotype" w:cs="Palatino Linotype"/>
                <w:b/>
                <w:sz w:val="20"/>
                <w:szCs w:val="20"/>
              </w:rPr>
              <w:t>Elementos del cuadro de clasificación</w:t>
            </w:r>
          </w:p>
        </w:tc>
        <w:tc>
          <w:tcPr>
            <w:tcW w:w="4830" w:type="dxa"/>
            <w:shd w:val="clear" w:color="auto" w:fill="D9D9D9"/>
          </w:tcPr>
          <w:p w14:paraId="50133431" w14:textId="77777777" w:rsidR="001B3EF9" w:rsidRPr="002963F8" w:rsidRDefault="001B3EF9">
            <w:pPr>
              <w:jc w:val="center"/>
              <w:rPr>
                <w:rFonts w:ascii="Palatino Linotype" w:eastAsia="Palatino Linotype" w:hAnsi="Palatino Linotype" w:cs="Palatino Linotype"/>
                <w:b/>
                <w:sz w:val="20"/>
                <w:szCs w:val="20"/>
              </w:rPr>
            </w:pPr>
          </w:p>
          <w:p w14:paraId="0BC6168B" w14:textId="77777777" w:rsidR="001B3EF9" w:rsidRPr="002963F8" w:rsidRDefault="005E621C">
            <w:pPr>
              <w:jc w:val="center"/>
              <w:rPr>
                <w:rFonts w:ascii="Palatino Linotype" w:eastAsia="Palatino Linotype" w:hAnsi="Palatino Linotype" w:cs="Palatino Linotype"/>
                <w:b/>
                <w:sz w:val="20"/>
                <w:szCs w:val="20"/>
              </w:rPr>
            </w:pPr>
            <w:r w:rsidRPr="002963F8">
              <w:rPr>
                <w:rFonts w:ascii="Palatino Linotype" w:eastAsia="Palatino Linotype" w:hAnsi="Palatino Linotype" w:cs="Palatino Linotype"/>
                <w:b/>
                <w:sz w:val="20"/>
                <w:szCs w:val="20"/>
              </w:rPr>
              <w:t>Contenido</w:t>
            </w:r>
          </w:p>
        </w:tc>
        <w:tc>
          <w:tcPr>
            <w:tcW w:w="2681" w:type="dxa"/>
            <w:shd w:val="clear" w:color="auto" w:fill="D9D9D9"/>
          </w:tcPr>
          <w:p w14:paraId="495B84B3" w14:textId="77777777" w:rsidR="001B3EF9" w:rsidRPr="002963F8" w:rsidRDefault="001B3EF9">
            <w:pPr>
              <w:jc w:val="center"/>
              <w:rPr>
                <w:rFonts w:ascii="Palatino Linotype" w:eastAsia="Palatino Linotype" w:hAnsi="Palatino Linotype" w:cs="Palatino Linotype"/>
                <w:b/>
                <w:sz w:val="20"/>
                <w:szCs w:val="20"/>
              </w:rPr>
            </w:pPr>
          </w:p>
          <w:p w14:paraId="56FE9554" w14:textId="77777777" w:rsidR="001B3EF9" w:rsidRPr="002963F8" w:rsidRDefault="005E621C">
            <w:pPr>
              <w:jc w:val="center"/>
              <w:rPr>
                <w:rFonts w:ascii="Palatino Linotype" w:eastAsia="Palatino Linotype" w:hAnsi="Palatino Linotype" w:cs="Palatino Linotype"/>
                <w:b/>
                <w:sz w:val="20"/>
                <w:szCs w:val="20"/>
              </w:rPr>
            </w:pPr>
            <w:r w:rsidRPr="002963F8">
              <w:rPr>
                <w:rFonts w:ascii="Palatino Linotype" w:eastAsia="Palatino Linotype" w:hAnsi="Palatino Linotype" w:cs="Palatino Linotype"/>
                <w:b/>
                <w:sz w:val="20"/>
                <w:szCs w:val="20"/>
              </w:rPr>
              <w:t>Cumplió</w:t>
            </w:r>
          </w:p>
        </w:tc>
      </w:tr>
      <w:tr w:rsidR="002963F8" w:rsidRPr="002963F8" w14:paraId="7AE014D3" w14:textId="77777777">
        <w:tc>
          <w:tcPr>
            <w:tcW w:w="1544" w:type="dxa"/>
          </w:tcPr>
          <w:p w14:paraId="25CB0E05" w14:textId="77777777" w:rsidR="001B3EF9" w:rsidRPr="002963F8" w:rsidRDefault="005E621C">
            <w:pPr>
              <w:spacing w:before="240"/>
              <w:jc w:val="both"/>
              <w:rPr>
                <w:rFonts w:ascii="Palatino Linotype" w:eastAsia="Palatino Linotype" w:hAnsi="Palatino Linotype" w:cs="Palatino Linotype"/>
                <w:b/>
                <w:sz w:val="20"/>
                <w:szCs w:val="20"/>
              </w:rPr>
            </w:pPr>
            <w:r w:rsidRPr="002963F8">
              <w:rPr>
                <w:rFonts w:ascii="Palatino Linotype" w:eastAsia="Palatino Linotype" w:hAnsi="Palatino Linotype" w:cs="Palatino Linotype"/>
                <w:b/>
                <w:sz w:val="20"/>
                <w:szCs w:val="20"/>
              </w:rPr>
              <w:t>Número de folio de la solicitud</w:t>
            </w:r>
          </w:p>
        </w:tc>
        <w:tc>
          <w:tcPr>
            <w:tcW w:w="4830" w:type="dxa"/>
          </w:tcPr>
          <w:p w14:paraId="79E590C8" w14:textId="77777777" w:rsidR="001B3EF9" w:rsidRPr="002963F8" w:rsidRDefault="005E621C">
            <w:pPr>
              <w:spacing w:before="240" w:line="360" w:lineRule="auto"/>
              <w:jc w:val="center"/>
              <w:rPr>
                <w:rFonts w:ascii="Palatino Linotype" w:eastAsia="Palatino Linotype" w:hAnsi="Palatino Linotype" w:cs="Palatino Linotype"/>
              </w:rPr>
            </w:pPr>
            <w:r w:rsidRPr="002963F8">
              <w:rPr>
                <w:rFonts w:ascii="Palatino Linotype" w:eastAsia="Palatino Linotype" w:hAnsi="Palatino Linotype" w:cs="Palatino Linotype"/>
                <w:noProof/>
              </w:rPr>
              <w:drawing>
                <wp:inline distT="0" distB="0" distL="0" distR="0" wp14:anchorId="14264AC7" wp14:editId="1C0F6F0A">
                  <wp:extent cx="1629002" cy="209579"/>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629002" cy="209579"/>
                          </a:xfrm>
                          <a:prstGeom prst="rect">
                            <a:avLst/>
                          </a:prstGeom>
                          <a:ln/>
                        </pic:spPr>
                      </pic:pic>
                    </a:graphicData>
                  </a:graphic>
                </wp:inline>
              </w:drawing>
            </w:r>
          </w:p>
        </w:tc>
        <w:tc>
          <w:tcPr>
            <w:tcW w:w="2681" w:type="dxa"/>
          </w:tcPr>
          <w:p w14:paraId="76F046FB" w14:textId="77777777" w:rsidR="001B3EF9" w:rsidRPr="002963F8" w:rsidRDefault="005E621C">
            <w:pPr>
              <w:spacing w:before="240"/>
              <w:jc w:val="center"/>
              <w:rPr>
                <w:rFonts w:ascii="Palatino Linotype" w:eastAsia="Palatino Linotype" w:hAnsi="Palatino Linotype" w:cs="Palatino Linotype"/>
                <w:sz w:val="20"/>
                <w:szCs w:val="20"/>
              </w:rPr>
            </w:pPr>
            <w:r w:rsidRPr="002963F8">
              <w:rPr>
                <w:rFonts w:ascii="Palatino Linotype" w:eastAsia="Palatino Linotype" w:hAnsi="Palatino Linotype" w:cs="Palatino Linotype"/>
                <w:sz w:val="20"/>
                <w:szCs w:val="20"/>
              </w:rPr>
              <w:t>si</w:t>
            </w:r>
          </w:p>
        </w:tc>
      </w:tr>
      <w:tr w:rsidR="002963F8" w:rsidRPr="002963F8" w14:paraId="306F35A6" w14:textId="77777777">
        <w:tc>
          <w:tcPr>
            <w:tcW w:w="1544" w:type="dxa"/>
          </w:tcPr>
          <w:p w14:paraId="018BD66C" w14:textId="77777777" w:rsidR="001B3EF9" w:rsidRPr="002963F8" w:rsidRDefault="005E621C">
            <w:pPr>
              <w:spacing w:before="240"/>
              <w:jc w:val="both"/>
              <w:rPr>
                <w:rFonts w:ascii="Palatino Linotype" w:eastAsia="Palatino Linotype" w:hAnsi="Palatino Linotype" w:cs="Palatino Linotype"/>
                <w:b/>
                <w:sz w:val="20"/>
                <w:szCs w:val="20"/>
              </w:rPr>
            </w:pPr>
            <w:r w:rsidRPr="002963F8">
              <w:rPr>
                <w:rFonts w:ascii="Palatino Linotype" w:eastAsia="Palatino Linotype" w:hAnsi="Palatino Linotype" w:cs="Palatino Linotype"/>
                <w:b/>
                <w:sz w:val="20"/>
                <w:szCs w:val="20"/>
              </w:rPr>
              <w:t>Referencia de la información solicitada</w:t>
            </w:r>
          </w:p>
        </w:tc>
        <w:tc>
          <w:tcPr>
            <w:tcW w:w="4830" w:type="dxa"/>
          </w:tcPr>
          <w:p w14:paraId="6CAD92C5" w14:textId="77777777" w:rsidR="001B3EF9" w:rsidRPr="002963F8" w:rsidRDefault="005E621C">
            <w:pPr>
              <w:spacing w:before="240" w:line="360" w:lineRule="auto"/>
              <w:jc w:val="both"/>
              <w:rPr>
                <w:rFonts w:ascii="Palatino Linotype" w:eastAsia="Palatino Linotype" w:hAnsi="Palatino Linotype" w:cs="Palatino Linotype"/>
              </w:rPr>
            </w:pPr>
            <w:r w:rsidRPr="002963F8">
              <w:rPr>
                <w:rFonts w:ascii="Palatino Linotype" w:eastAsia="Palatino Linotype" w:hAnsi="Palatino Linotype" w:cs="Palatino Linotype"/>
                <w:noProof/>
              </w:rPr>
              <w:drawing>
                <wp:inline distT="0" distB="0" distL="0" distR="0" wp14:anchorId="172395B2" wp14:editId="4B3296F2">
                  <wp:extent cx="2895600" cy="61658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895600" cy="616585"/>
                          </a:xfrm>
                          <a:prstGeom prst="rect">
                            <a:avLst/>
                          </a:prstGeom>
                          <a:ln/>
                        </pic:spPr>
                      </pic:pic>
                    </a:graphicData>
                  </a:graphic>
                </wp:inline>
              </w:drawing>
            </w:r>
          </w:p>
        </w:tc>
        <w:tc>
          <w:tcPr>
            <w:tcW w:w="2681" w:type="dxa"/>
          </w:tcPr>
          <w:p w14:paraId="59E48FD8" w14:textId="77777777" w:rsidR="001B3EF9" w:rsidRPr="002963F8" w:rsidRDefault="005E621C">
            <w:pPr>
              <w:jc w:val="center"/>
              <w:rPr>
                <w:rFonts w:ascii="Palatino Linotype" w:eastAsia="Palatino Linotype" w:hAnsi="Palatino Linotype" w:cs="Palatino Linotype"/>
                <w:sz w:val="20"/>
                <w:szCs w:val="20"/>
              </w:rPr>
            </w:pPr>
            <w:r w:rsidRPr="002963F8">
              <w:rPr>
                <w:rFonts w:ascii="Palatino Linotype" w:eastAsia="Palatino Linotype" w:hAnsi="Palatino Linotype" w:cs="Palatino Linotype"/>
                <w:sz w:val="20"/>
                <w:szCs w:val="20"/>
              </w:rPr>
              <w:t>No, ya que en la solicitud se hicieron dos requerimientos, y no se precisa respecto de cual se está realizando la clasificación.</w:t>
            </w:r>
          </w:p>
        </w:tc>
      </w:tr>
      <w:tr w:rsidR="002963F8" w:rsidRPr="002963F8" w14:paraId="07190847" w14:textId="77777777">
        <w:tc>
          <w:tcPr>
            <w:tcW w:w="1544" w:type="dxa"/>
          </w:tcPr>
          <w:p w14:paraId="3569F586" w14:textId="77777777" w:rsidR="001B3EF9" w:rsidRPr="002963F8" w:rsidRDefault="005E621C">
            <w:pPr>
              <w:spacing w:before="240"/>
              <w:jc w:val="both"/>
              <w:rPr>
                <w:rFonts w:ascii="Palatino Linotype" w:eastAsia="Palatino Linotype" w:hAnsi="Palatino Linotype" w:cs="Palatino Linotype"/>
                <w:b/>
                <w:sz w:val="20"/>
                <w:szCs w:val="20"/>
              </w:rPr>
            </w:pPr>
            <w:r w:rsidRPr="002963F8">
              <w:rPr>
                <w:rFonts w:ascii="Palatino Linotype" w:eastAsia="Palatino Linotype" w:hAnsi="Palatino Linotype" w:cs="Palatino Linotype"/>
                <w:b/>
                <w:sz w:val="20"/>
                <w:szCs w:val="20"/>
              </w:rPr>
              <w:t>Fundamento y Motivación Legal</w:t>
            </w:r>
          </w:p>
        </w:tc>
        <w:tc>
          <w:tcPr>
            <w:tcW w:w="4830" w:type="dxa"/>
          </w:tcPr>
          <w:p w14:paraId="3CFCF5D0" w14:textId="77777777" w:rsidR="001B3EF9" w:rsidRPr="002963F8" w:rsidRDefault="005E621C">
            <w:pPr>
              <w:spacing w:before="240" w:line="360" w:lineRule="auto"/>
              <w:jc w:val="both"/>
              <w:rPr>
                <w:rFonts w:ascii="Palatino Linotype" w:eastAsia="Palatino Linotype" w:hAnsi="Palatino Linotype" w:cs="Palatino Linotype"/>
              </w:rPr>
            </w:pPr>
            <w:r w:rsidRPr="002963F8">
              <w:rPr>
                <w:rFonts w:ascii="Palatino Linotype" w:eastAsia="Palatino Linotype" w:hAnsi="Palatino Linotype" w:cs="Palatino Linotype"/>
                <w:noProof/>
              </w:rPr>
              <w:drawing>
                <wp:inline distT="0" distB="0" distL="0" distR="0" wp14:anchorId="6ED58E1D" wp14:editId="11B9E453">
                  <wp:extent cx="2929890" cy="1837055"/>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929890" cy="1837055"/>
                          </a:xfrm>
                          <a:prstGeom prst="rect">
                            <a:avLst/>
                          </a:prstGeom>
                          <a:ln/>
                        </pic:spPr>
                      </pic:pic>
                    </a:graphicData>
                  </a:graphic>
                </wp:inline>
              </w:drawing>
            </w:r>
          </w:p>
          <w:p w14:paraId="4F6F0820" w14:textId="77777777" w:rsidR="001B3EF9" w:rsidRPr="002963F8" w:rsidRDefault="005E621C">
            <w:pPr>
              <w:jc w:val="center"/>
              <w:rPr>
                <w:rFonts w:ascii="Palatino Linotype" w:eastAsia="Palatino Linotype" w:hAnsi="Palatino Linotype" w:cs="Palatino Linotype"/>
              </w:rPr>
            </w:pPr>
            <w:r w:rsidRPr="002963F8">
              <w:rPr>
                <w:rFonts w:ascii="Palatino Linotype" w:eastAsia="Palatino Linotype" w:hAnsi="Palatino Linotype" w:cs="Palatino Linotype"/>
                <w:noProof/>
              </w:rPr>
              <w:lastRenderedPageBreak/>
              <w:drawing>
                <wp:inline distT="0" distB="0" distL="0" distR="0" wp14:anchorId="23790C4F" wp14:editId="75DA0977">
                  <wp:extent cx="2929890" cy="291973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929890" cy="2919730"/>
                          </a:xfrm>
                          <a:prstGeom prst="rect">
                            <a:avLst/>
                          </a:prstGeom>
                          <a:ln/>
                        </pic:spPr>
                      </pic:pic>
                    </a:graphicData>
                  </a:graphic>
                </wp:inline>
              </w:drawing>
            </w:r>
          </w:p>
          <w:p w14:paraId="71978C1D" w14:textId="77777777" w:rsidR="001B3EF9" w:rsidRPr="002963F8" w:rsidRDefault="005E621C">
            <w:pPr>
              <w:jc w:val="center"/>
              <w:rPr>
                <w:rFonts w:ascii="Palatino Linotype" w:eastAsia="Palatino Linotype" w:hAnsi="Palatino Linotype" w:cs="Palatino Linotype"/>
              </w:rPr>
            </w:pPr>
            <w:r w:rsidRPr="002963F8">
              <w:rPr>
                <w:rFonts w:ascii="Palatino Linotype" w:eastAsia="Palatino Linotype" w:hAnsi="Palatino Linotype" w:cs="Palatino Linotype"/>
                <w:noProof/>
              </w:rPr>
              <w:drawing>
                <wp:inline distT="0" distB="0" distL="0" distR="0" wp14:anchorId="48AA011B" wp14:editId="3CF951C9">
                  <wp:extent cx="2905540" cy="1533744"/>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905540" cy="1533744"/>
                          </a:xfrm>
                          <a:prstGeom prst="rect">
                            <a:avLst/>
                          </a:prstGeom>
                          <a:ln/>
                        </pic:spPr>
                      </pic:pic>
                    </a:graphicData>
                  </a:graphic>
                </wp:inline>
              </w:drawing>
            </w:r>
          </w:p>
        </w:tc>
        <w:tc>
          <w:tcPr>
            <w:tcW w:w="2681" w:type="dxa"/>
          </w:tcPr>
          <w:p w14:paraId="5DE7223B" w14:textId="77777777" w:rsidR="001B3EF9" w:rsidRPr="002963F8" w:rsidRDefault="005E621C">
            <w:pPr>
              <w:spacing w:before="240"/>
              <w:jc w:val="center"/>
              <w:rPr>
                <w:rFonts w:ascii="Palatino Linotype" w:eastAsia="Palatino Linotype" w:hAnsi="Palatino Linotype" w:cs="Palatino Linotype"/>
                <w:sz w:val="20"/>
                <w:szCs w:val="20"/>
              </w:rPr>
            </w:pPr>
            <w:r w:rsidRPr="002963F8">
              <w:rPr>
                <w:rFonts w:ascii="Palatino Linotype" w:eastAsia="Palatino Linotype" w:hAnsi="Palatino Linotype" w:cs="Palatino Linotype"/>
                <w:sz w:val="20"/>
                <w:szCs w:val="20"/>
              </w:rPr>
              <w:lastRenderedPageBreak/>
              <w:t>No, en virtud de que no hay motivación y no se precisa el supuesto legal de clasificación como información confidencial o reservada que se actualiza, además de que sólo se citan los numerales 140 y 143 de la Ley de Transparencia Local de manera general.</w:t>
            </w:r>
          </w:p>
        </w:tc>
      </w:tr>
      <w:tr w:rsidR="001B3EF9" w:rsidRPr="002963F8" w14:paraId="11EE0617" w14:textId="77777777">
        <w:tc>
          <w:tcPr>
            <w:tcW w:w="1544" w:type="dxa"/>
          </w:tcPr>
          <w:p w14:paraId="665F5346" w14:textId="77777777" w:rsidR="001B3EF9" w:rsidRPr="002963F8" w:rsidRDefault="005E621C">
            <w:pPr>
              <w:spacing w:before="240"/>
              <w:jc w:val="both"/>
              <w:rPr>
                <w:rFonts w:ascii="Palatino Linotype" w:eastAsia="Palatino Linotype" w:hAnsi="Palatino Linotype" w:cs="Palatino Linotype"/>
                <w:b/>
                <w:sz w:val="20"/>
                <w:szCs w:val="20"/>
              </w:rPr>
            </w:pPr>
            <w:r w:rsidRPr="002963F8">
              <w:rPr>
                <w:rFonts w:ascii="Palatino Linotype" w:eastAsia="Palatino Linotype" w:hAnsi="Palatino Linotype" w:cs="Palatino Linotype"/>
                <w:b/>
                <w:sz w:val="20"/>
                <w:szCs w:val="20"/>
              </w:rPr>
              <w:t>Autoridades competentes.</w:t>
            </w:r>
          </w:p>
        </w:tc>
        <w:tc>
          <w:tcPr>
            <w:tcW w:w="4830" w:type="dxa"/>
          </w:tcPr>
          <w:p w14:paraId="720A8935" w14:textId="77777777" w:rsidR="001B3EF9" w:rsidRPr="002963F8" w:rsidRDefault="005E621C">
            <w:pPr>
              <w:spacing w:before="240" w:line="360" w:lineRule="auto"/>
              <w:jc w:val="both"/>
              <w:rPr>
                <w:rFonts w:ascii="Palatino Linotype" w:eastAsia="Palatino Linotype" w:hAnsi="Palatino Linotype" w:cs="Palatino Linotype"/>
              </w:rPr>
            </w:pPr>
            <w:r w:rsidRPr="002963F8">
              <w:rPr>
                <w:rFonts w:ascii="Palatino Linotype" w:eastAsia="Palatino Linotype" w:hAnsi="Palatino Linotype" w:cs="Palatino Linotype"/>
                <w:noProof/>
              </w:rPr>
              <w:drawing>
                <wp:inline distT="0" distB="0" distL="0" distR="0" wp14:anchorId="43C351DA" wp14:editId="3727FD20">
                  <wp:extent cx="2929890" cy="2668905"/>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929890" cy="2668905"/>
                          </a:xfrm>
                          <a:prstGeom prst="rect">
                            <a:avLst/>
                          </a:prstGeom>
                          <a:ln/>
                        </pic:spPr>
                      </pic:pic>
                    </a:graphicData>
                  </a:graphic>
                </wp:inline>
              </w:drawing>
            </w:r>
          </w:p>
        </w:tc>
        <w:tc>
          <w:tcPr>
            <w:tcW w:w="2681" w:type="dxa"/>
          </w:tcPr>
          <w:p w14:paraId="193E9BDC" w14:textId="77777777" w:rsidR="001B3EF9" w:rsidRPr="002963F8" w:rsidRDefault="005E621C">
            <w:pPr>
              <w:spacing w:before="240"/>
              <w:jc w:val="center"/>
              <w:rPr>
                <w:rFonts w:ascii="Palatino Linotype" w:eastAsia="Palatino Linotype" w:hAnsi="Palatino Linotype" w:cs="Palatino Linotype"/>
                <w:sz w:val="20"/>
                <w:szCs w:val="20"/>
              </w:rPr>
            </w:pPr>
            <w:r w:rsidRPr="002963F8">
              <w:rPr>
                <w:rFonts w:ascii="Palatino Linotype" w:eastAsia="Palatino Linotype" w:hAnsi="Palatino Linotype" w:cs="Palatino Linotype"/>
                <w:sz w:val="20"/>
                <w:szCs w:val="20"/>
              </w:rPr>
              <w:t>si</w:t>
            </w:r>
          </w:p>
        </w:tc>
      </w:tr>
    </w:tbl>
    <w:p w14:paraId="736C588D" w14:textId="77777777" w:rsidR="001B3EF9" w:rsidRPr="002963F8" w:rsidRDefault="001B3EF9">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1E8DFBE8" w14:textId="77777777" w:rsidR="001B3EF9" w:rsidRPr="002963F8" w:rsidRDefault="005E621C">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Es por lo anteriormente analizado que se concluye que el acuerdo de clasificación remitido en respuesta </w:t>
      </w:r>
      <w:r w:rsidRPr="002963F8">
        <w:rPr>
          <w:rFonts w:ascii="Palatino Linotype" w:eastAsia="Palatino Linotype" w:hAnsi="Palatino Linotype" w:cs="Palatino Linotype"/>
          <w:b/>
          <w:sz w:val="22"/>
          <w:szCs w:val="22"/>
        </w:rPr>
        <w:t>NO</w:t>
      </w:r>
      <w:r w:rsidRPr="002963F8">
        <w:rPr>
          <w:rFonts w:ascii="Palatino Linotype" w:eastAsia="Palatino Linotype" w:hAnsi="Palatino Linotype" w:cs="Palatino Linotype"/>
          <w:sz w:val="22"/>
          <w:szCs w:val="22"/>
        </w:rPr>
        <w:t xml:space="preserve"> cumple con todas las formalidades previstas por la normatividad, además de que no se logra advertir si la información requerida en el </w:t>
      </w:r>
      <w:r w:rsidRPr="002963F8">
        <w:rPr>
          <w:rFonts w:ascii="Palatino Linotype" w:eastAsia="Palatino Linotype" w:hAnsi="Palatino Linotype" w:cs="Palatino Linotype"/>
          <w:b/>
          <w:sz w:val="22"/>
          <w:szCs w:val="22"/>
        </w:rPr>
        <w:t>numeral 2</w:t>
      </w:r>
      <w:r w:rsidRPr="002963F8">
        <w:rPr>
          <w:rFonts w:ascii="Palatino Linotype" w:eastAsia="Palatino Linotype" w:hAnsi="Palatino Linotype" w:cs="Palatino Linotype"/>
          <w:sz w:val="22"/>
          <w:szCs w:val="22"/>
        </w:rPr>
        <w:t xml:space="preserve"> en análisis fue clasificada bajo el supuesto de reserva o confidencialidad, y las razones que motivaron dicha clasificación; lo cual a todas luces deja en estado de incertidumbre al particular por no ser clara la respuesta y no agotar los principios de congruencia y exhaustividad. </w:t>
      </w:r>
    </w:p>
    <w:p w14:paraId="4805AF4C" w14:textId="77777777" w:rsidR="001B3EF9" w:rsidRPr="002963F8" w:rsidRDefault="001B3EF9">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1D22E368"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En tal sentido, resulta aplicable el Criterio 02/17 emitido por el Pleno del Instituto Nacional de Transparencia y Acceso a la Información y Protección de Datos Personales, de título y texto siguientes:</w:t>
      </w:r>
    </w:p>
    <w:p w14:paraId="5E7ADCBA" w14:textId="77777777" w:rsidR="001B3EF9" w:rsidRPr="002963F8" w:rsidRDefault="001B3EF9">
      <w:pPr>
        <w:pBdr>
          <w:top w:val="nil"/>
          <w:left w:val="nil"/>
          <w:bottom w:val="nil"/>
          <w:right w:val="nil"/>
          <w:between w:val="nil"/>
        </w:pBdr>
        <w:spacing w:line="360" w:lineRule="auto"/>
        <w:jc w:val="both"/>
        <w:rPr>
          <w:sz w:val="22"/>
          <w:szCs w:val="22"/>
        </w:rPr>
      </w:pPr>
    </w:p>
    <w:p w14:paraId="2A72C482" w14:textId="77777777" w:rsidR="001B3EF9" w:rsidRPr="002963F8" w:rsidRDefault="005E621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 xml:space="preserve">“Congruencia y exhaustividad. Sus alcances para garantizar el derecho de acceso a la información. </w:t>
      </w:r>
      <w:r w:rsidRPr="002963F8">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2963F8">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2963F8">
        <w:rPr>
          <w:rFonts w:ascii="Palatino Linotype" w:eastAsia="Palatino Linotype" w:hAnsi="Palatino Linotype" w:cs="Palatino Linotype"/>
          <w:i/>
          <w:sz w:val="22"/>
          <w:szCs w:val="22"/>
        </w:rPr>
        <w:t xml:space="preserve">; mientras que </w:t>
      </w:r>
      <w:r w:rsidRPr="002963F8">
        <w:rPr>
          <w:rFonts w:ascii="Palatino Linotype" w:eastAsia="Palatino Linotype" w:hAnsi="Palatino Linotype" w:cs="Palatino Linotype"/>
          <w:b/>
          <w:i/>
          <w:sz w:val="22"/>
          <w:szCs w:val="22"/>
        </w:rPr>
        <w:t>la exhaustividad significa que dicha respuesta se refiera expresamente a cada uno de los puntos solicitados</w:t>
      </w:r>
      <w:r w:rsidRPr="002963F8">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FE96926" w14:textId="77777777" w:rsidR="001B3EF9" w:rsidRPr="002963F8" w:rsidRDefault="001B3EF9">
      <w:pPr>
        <w:spacing w:line="360" w:lineRule="auto"/>
        <w:ind w:right="-7"/>
        <w:jc w:val="both"/>
        <w:rPr>
          <w:rFonts w:ascii="Palatino Linotype" w:eastAsia="Palatino Linotype" w:hAnsi="Palatino Linotype" w:cs="Palatino Linotype"/>
        </w:rPr>
      </w:pPr>
    </w:p>
    <w:p w14:paraId="087399F2" w14:textId="77777777" w:rsidR="001B3EF9" w:rsidRPr="002963F8" w:rsidRDefault="005E621C">
      <w:pPr>
        <w:tabs>
          <w:tab w:val="left" w:pos="3962"/>
        </w:tabs>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Por lo tanto, dicha respuesta al requerimiento de nuestra atención no se puede tener por válida en razón de no haberse cumplido con las formalidades previstas en la normatividad de la materia, pues no se indicó de manera específica la fracción del artículo respectivo de la Ley de Transparencia Local, que en el caso actualizaba causal de confidencialidad o </w:t>
      </w:r>
      <w:r w:rsidRPr="002963F8">
        <w:rPr>
          <w:rFonts w:ascii="Palatino Linotype" w:eastAsia="Palatino Linotype" w:hAnsi="Palatino Linotype" w:cs="Palatino Linotype"/>
          <w:sz w:val="22"/>
          <w:szCs w:val="22"/>
        </w:rPr>
        <w:lastRenderedPageBreak/>
        <w:t xml:space="preserve">reserva; máxime que al acuerdo a que llegó el Comité de Transparencia del </w:t>
      </w:r>
      <w:r w:rsidRPr="002963F8">
        <w:rPr>
          <w:rFonts w:ascii="Palatino Linotype" w:eastAsia="Palatino Linotype" w:hAnsi="Palatino Linotype" w:cs="Palatino Linotype"/>
          <w:b/>
          <w:sz w:val="22"/>
          <w:szCs w:val="22"/>
        </w:rPr>
        <w:t xml:space="preserve">Sujeto Obligado </w:t>
      </w:r>
      <w:r w:rsidRPr="002963F8">
        <w:rPr>
          <w:rFonts w:ascii="Palatino Linotype" w:eastAsia="Palatino Linotype" w:hAnsi="Palatino Linotype" w:cs="Palatino Linotype"/>
          <w:sz w:val="22"/>
          <w:szCs w:val="22"/>
        </w:rPr>
        <w:t>en dicha acta es en clasificar como confidencial la información requerida, como quedó advertido del cuadro de análisis inserto.</w:t>
      </w:r>
    </w:p>
    <w:p w14:paraId="55E582CC" w14:textId="77777777" w:rsidR="001B3EF9" w:rsidRPr="002963F8" w:rsidRDefault="001B3EF9">
      <w:pPr>
        <w:tabs>
          <w:tab w:val="left" w:pos="3962"/>
        </w:tabs>
        <w:spacing w:line="360" w:lineRule="auto"/>
        <w:jc w:val="both"/>
        <w:rPr>
          <w:rFonts w:ascii="Palatino Linotype" w:eastAsia="Palatino Linotype" w:hAnsi="Palatino Linotype" w:cs="Palatino Linotype"/>
          <w:sz w:val="22"/>
          <w:szCs w:val="22"/>
        </w:rPr>
      </w:pPr>
    </w:p>
    <w:p w14:paraId="60D7BA8D" w14:textId="77777777" w:rsidR="001B3EF9" w:rsidRPr="002963F8" w:rsidRDefault="005E621C">
      <w:pPr>
        <w:tabs>
          <w:tab w:val="left" w:pos="3962"/>
        </w:tabs>
        <w:spacing w:line="360" w:lineRule="auto"/>
        <w:jc w:val="both"/>
        <w:rPr>
          <w:rFonts w:ascii="Palatino Linotype" w:eastAsia="Palatino Linotype" w:hAnsi="Palatino Linotype" w:cs="Palatino Linotype"/>
          <w:b/>
          <w:sz w:val="22"/>
          <w:szCs w:val="22"/>
        </w:rPr>
      </w:pPr>
      <w:r w:rsidRPr="002963F8">
        <w:rPr>
          <w:rFonts w:ascii="Palatino Linotype" w:eastAsia="Palatino Linotype" w:hAnsi="Palatino Linotype" w:cs="Palatino Linotype"/>
          <w:sz w:val="22"/>
          <w:szCs w:val="22"/>
        </w:rPr>
        <w:t xml:space="preserve">En este sentido, si bien es cierto, existió un pronunciamiento por parte de la unidad administrativa competente, también lo es que </w:t>
      </w:r>
      <w:r w:rsidRPr="002963F8">
        <w:rPr>
          <w:rFonts w:ascii="Palatino Linotype" w:eastAsia="Palatino Linotype" w:hAnsi="Palatino Linotype" w:cs="Palatino Linotype"/>
          <w:b/>
          <w:sz w:val="22"/>
          <w:szCs w:val="22"/>
        </w:rPr>
        <w:t>a todas luces dicho pronunciamiento es contradictorio</w:t>
      </w:r>
      <w:r w:rsidRPr="002963F8">
        <w:rPr>
          <w:rFonts w:ascii="Palatino Linotype" w:eastAsia="Palatino Linotype" w:hAnsi="Palatino Linotype" w:cs="Palatino Linotype"/>
          <w:sz w:val="22"/>
          <w:szCs w:val="22"/>
        </w:rPr>
        <w:t xml:space="preserve"> pues el mismo </w:t>
      </w:r>
      <w:r w:rsidRPr="002963F8">
        <w:rPr>
          <w:rFonts w:ascii="Palatino Linotype" w:eastAsia="Palatino Linotype" w:hAnsi="Palatino Linotype" w:cs="Palatino Linotype"/>
          <w:b/>
          <w:sz w:val="22"/>
          <w:szCs w:val="22"/>
        </w:rPr>
        <w:t>no da certeza respecto de la existencia de procedimientos administrativos ante la Contraloría Interna Municipal en contra de la persona referida en la solicitud de información bajo el cargo que pudo ostentar como Tesorera Municipal a la fecha de la solicitud de información, esto es, al veintitrés de mayo de dos mil veinticuatro.</w:t>
      </w:r>
    </w:p>
    <w:p w14:paraId="4F1CA962" w14:textId="77777777" w:rsidR="001B3EF9" w:rsidRPr="002963F8" w:rsidRDefault="001B3EF9">
      <w:pPr>
        <w:tabs>
          <w:tab w:val="left" w:pos="3962"/>
        </w:tabs>
        <w:spacing w:line="360" w:lineRule="auto"/>
        <w:jc w:val="both"/>
        <w:rPr>
          <w:rFonts w:ascii="Palatino Linotype" w:eastAsia="Palatino Linotype" w:hAnsi="Palatino Linotype" w:cs="Palatino Linotype"/>
          <w:b/>
          <w:sz w:val="22"/>
          <w:szCs w:val="22"/>
        </w:rPr>
      </w:pPr>
    </w:p>
    <w:p w14:paraId="199AFF9A" w14:textId="77777777" w:rsidR="001B3EF9" w:rsidRPr="002963F8" w:rsidRDefault="005E621C">
      <w:pPr>
        <w:tabs>
          <w:tab w:val="left" w:pos="3962"/>
        </w:tabs>
        <w:spacing w:line="360" w:lineRule="auto"/>
        <w:jc w:val="both"/>
        <w:rPr>
          <w:rFonts w:ascii="Palatino Linotype" w:eastAsia="Palatino Linotype" w:hAnsi="Palatino Linotype" w:cs="Palatino Linotype"/>
          <w:b/>
          <w:sz w:val="22"/>
          <w:szCs w:val="22"/>
        </w:rPr>
      </w:pPr>
      <w:r w:rsidRPr="002963F8">
        <w:rPr>
          <w:rFonts w:ascii="Palatino Linotype" w:eastAsia="Palatino Linotype" w:hAnsi="Palatino Linotype" w:cs="Palatino Linotype"/>
          <w:b/>
          <w:sz w:val="22"/>
          <w:szCs w:val="22"/>
        </w:rPr>
        <w:t>Por lo anterior, resulta procedente analizar los supuestos bajo los cuales resultaría procedente la entrega de la información a la que pretende acceder el particular, en el caso la relativa al número de los expedientes de procedimientos administrativos que se tienen ante la Contraloría Interna Municipal en contra de  la persona referida en la solicitud de información bajo el cargo que pudo ostentar como Tesorera Municipal a la fecha de la solicitud de información.</w:t>
      </w:r>
    </w:p>
    <w:p w14:paraId="6A4C791B" w14:textId="77777777" w:rsidR="001B3EF9" w:rsidRPr="002963F8" w:rsidRDefault="005E621C">
      <w:pPr>
        <w:spacing w:before="240" w:after="240"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Precisado lo anterior, es de referir que la información solicitada se encuentra relacionada con la obligación de transparencia prevista en el artículo 92, fracción XXII de la Ley de Transparencia y Acceso a la Información Pública del Estado de México y Municipios, a saber:</w:t>
      </w:r>
    </w:p>
    <w:p w14:paraId="12CEE990" w14:textId="77777777" w:rsidR="001B3EF9" w:rsidRPr="002963F8" w:rsidRDefault="005E621C">
      <w:pPr>
        <w:tabs>
          <w:tab w:val="left" w:pos="8222"/>
        </w:tabs>
        <w:spacing w:before="240" w:after="240" w:line="276" w:lineRule="auto"/>
        <w:ind w:left="851"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2963F8">
        <w:rPr>
          <w:rFonts w:ascii="Palatino Linotype" w:eastAsia="Palatino Linotype" w:hAnsi="Palatino Linotype" w:cs="Palatino Linotype"/>
          <w:i/>
          <w:sz w:val="22"/>
          <w:szCs w:val="22"/>
        </w:rPr>
        <w:lastRenderedPageBreak/>
        <w:t>social, según corresponda, la información, por lo menos, de los temas, documentos y políticas que a continuación se señalan:</w:t>
      </w:r>
    </w:p>
    <w:p w14:paraId="26E2EA3E" w14:textId="77777777" w:rsidR="001B3EF9" w:rsidRPr="002963F8" w:rsidRDefault="005E621C">
      <w:pPr>
        <w:tabs>
          <w:tab w:val="left" w:pos="8222"/>
        </w:tabs>
        <w:spacing w:before="240" w:after="240" w:line="276" w:lineRule="auto"/>
        <w:ind w:left="851"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p>
    <w:p w14:paraId="6A411773" w14:textId="77777777" w:rsidR="001B3EF9" w:rsidRPr="002963F8" w:rsidRDefault="005E621C">
      <w:pPr>
        <w:tabs>
          <w:tab w:val="left" w:pos="8222"/>
        </w:tabs>
        <w:spacing w:before="240" w:after="240" w:line="276" w:lineRule="auto"/>
        <w:ind w:left="851"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XXII. El listado de Servidores Públicos con sanciones administrativas definitivas, especificando la causa de sanción y la disposición</w:t>
      </w:r>
      <w:r w:rsidRPr="002963F8">
        <w:rPr>
          <w:rFonts w:ascii="Palatino Linotype" w:eastAsia="Palatino Linotype" w:hAnsi="Palatino Linotype" w:cs="Palatino Linotype"/>
          <w:i/>
          <w:sz w:val="22"/>
          <w:szCs w:val="22"/>
        </w:rPr>
        <w:t>; (Énfasis añadido)</w:t>
      </w:r>
    </w:p>
    <w:p w14:paraId="5E2D8931" w14:textId="77777777" w:rsidR="001B3EF9" w:rsidRPr="002963F8" w:rsidRDefault="005E621C">
      <w:pPr>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No obstante, </w:t>
      </w:r>
      <w:r w:rsidRPr="002963F8">
        <w:rPr>
          <w:rFonts w:ascii="Palatino Linotype" w:eastAsia="Palatino Linotype" w:hAnsi="Palatino Linotype" w:cs="Palatino Linotype"/>
          <w:b/>
          <w:sz w:val="22"/>
          <w:szCs w:val="22"/>
          <w:u w:val="single"/>
        </w:rPr>
        <w:t>sólo pueden ser dadas a conocer las responsabilidades administrativas</w:t>
      </w:r>
      <w:r w:rsidRPr="002963F8">
        <w:rPr>
          <w:rFonts w:ascii="Palatino Linotype" w:eastAsia="Palatino Linotype" w:hAnsi="Palatino Linotype" w:cs="Palatino Linotype"/>
          <w:sz w:val="22"/>
          <w:szCs w:val="22"/>
        </w:rPr>
        <w:t xml:space="preserve"> </w:t>
      </w:r>
      <w:r w:rsidRPr="002963F8">
        <w:rPr>
          <w:rFonts w:ascii="Palatino Linotype" w:eastAsia="Palatino Linotype" w:hAnsi="Palatino Linotype" w:cs="Palatino Linotype"/>
          <w:b/>
          <w:sz w:val="22"/>
          <w:szCs w:val="22"/>
          <w:u w:val="single"/>
        </w:rPr>
        <w:t>por faltas graves condenatorias</w:t>
      </w:r>
      <w:r w:rsidRPr="002963F8">
        <w:rPr>
          <w:rFonts w:ascii="Palatino Linotype" w:eastAsia="Palatino Linotype" w:hAnsi="Palatino Linotype" w:cs="Palatino Linotype"/>
          <w:sz w:val="22"/>
          <w:szCs w:val="22"/>
        </w:rPr>
        <w:t xml:space="preserve">. Lo anterior, con motivo de la entrada en vigor de la Ley del Sistema Anticorrupción del Estado de México y Municipios publicada en el periódico oficial "Gaceta del Gobierno" el treinta de mayo de 2017, que establece que </w:t>
      </w:r>
      <w:r w:rsidRPr="002963F8">
        <w:rPr>
          <w:rFonts w:ascii="Palatino Linotype" w:eastAsia="Palatino Linotype" w:hAnsi="Palatino Linotype" w:cs="Palatino Linotype"/>
          <w:b/>
          <w:sz w:val="22"/>
          <w:szCs w:val="22"/>
          <w:u w:val="single"/>
        </w:rPr>
        <w:t>las sanciones no graves no serán públicas</w:t>
      </w:r>
      <w:r w:rsidRPr="002963F8">
        <w:rPr>
          <w:rFonts w:ascii="Palatino Linotype" w:eastAsia="Palatino Linotype" w:hAnsi="Palatino Linotype" w:cs="Palatino Linotype"/>
          <w:sz w:val="22"/>
          <w:szCs w:val="22"/>
        </w:rPr>
        <w:t>, toda vez que dicha información únicamente es de interés para los Poderes Ejecutivo, Legislativo y Judicial, los Ayuntamiento, Organismos Auxiliares,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14:paraId="13F504A8" w14:textId="77777777" w:rsidR="001B3EF9" w:rsidRPr="002963F8" w:rsidRDefault="005E621C">
      <w:pPr>
        <w:spacing w:before="120" w:after="120"/>
        <w:ind w:left="851"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 xml:space="preserve">“Artículo 53. Las sanciones impuestas por faltas administrativas graves serán del conocimiento público </w:t>
      </w:r>
      <w:r w:rsidRPr="002963F8">
        <w:rPr>
          <w:rFonts w:ascii="Palatino Linotype" w:eastAsia="Palatino Linotype" w:hAnsi="Palatino Linotype" w:cs="Palatino Linotype"/>
          <w:b/>
          <w:i/>
          <w:sz w:val="22"/>
          <w:szCs w:val="22"/>
          <w:u w:val="single"/>
        </w:rPr>
        <w:t>cuando éstas contengan impedimentos o inhabilitaciones</w:t>
      </w:r>
      <w:r w:rsidRPr="002963F8">
        <w:rPr>
          <w:rFonts w:ascii="Palatino Linotype" w:eastAsia="Palatino Linotype" w:hAnsi="Palatino Linotype" w:cs="Palatino Linotype"/>
          <w:i/>
          <w:sz w:val="22"/>
          <w:szCs w:val="22"/>
        </w:rPr>
        <w:t xml:space="preserve"> para ser contratados como servidores públicos o como prestadores de servicios o contratistas del sector público, en términos de la Ley de Responsabilidades Administrativas del Estado de México y Municipios.</w:t>
      </w:r>
    </w:p>
    <w:p w14:paraId="39C04B11" w14:textId="77777777" w:rsidR="001B3EF9" w:rsidRPr="002963F8" w:rsidRDefault="005E621C">
      <w:pPr>
        <w:spacing w:before="120" w:after="120"/>
        <w:ind w:left="851"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Los registros de </w:t>
      </w:r>
      <w:r w:rsidRPr="002963F8">
        <w:rPr>
          <w:rFonts w:ascii="Palatino Linotype" w:eastAsia="Palatino Linotype" w:hAnsi="Palatino Linotype" w:cs="Palatino Linotype"/>
          <w:b/>
          <w:i/>
          <w:sz w:val="22"/>
          <w:szCs w:val="22"/>
          <w:u w:val="single"/>
        </w:rPr>
        <w:t>las sanciones relativas a responsabilidades administrativas no graves, quedarán registradas para efectos de eventual reincidencia, pero no serán públicas.</w:t>
      </w:r>
      <w:r w:rsidRPr="002963F8">
        <w:rPr>
          <w:rFonts w:ascii="Palatino Linotype" w:eastAsia="Palatino Linotype" w:hAnsi="Palatino Linotype" w:cs="Palatino Linotype"/>
          <w:i/>
          <w:sz w:val="22"/>
          <w:szCs w:val="22"/>
        </w:rPr>
        <w:t>”</w:t>
      </w:r>
    </w:p>
    <w:p w14:paraId="210CA132" w14:textId="77777777" w:rsidR="001B3EF9" w:rsidRPr="002963F8" w:rsidRDefault="005E621C">
      <w:pPr>
        <w:spacing w:before="240" w:after="240" w:line="360" w:lineRule="auto"/>
        <w:ind w:right="51"/>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En ese sentido es importante, referir que la Ley de Responsabilidades Administrativas del Estado de México y Municipios, vigente, señala como faltas administrativas graves y no graves, lo siguiente:</w:t>
      </w:r>
    </w:p>
    <w:p w14:paraId="7C90C2B8" w14:textId="77777777" w:rsidR="001B3EF9" w:rsidRPr="002963F8" w:rsidRDefault="005E621C">
      <w:pPr>
        <w:ind w:left="567"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lastRenderedPageBreak/>
        <w:t xml:space="preserve"> “Artículo 3. Para los efectos de la presente Ley, se entenderá por:</w:t>
      </w:r>
      <w:r w:rsidRPr="002963F8">
        <w:rPr>
          <w:rFonts w:ascii="Palatino Linotype" w:eastAsia="Palatino Linotype" w:hAnsi="Palatino Linotype" w:cs="Palatino Linotype"/>
          <w:i/>
          <w:sz w:val="22"/>
          <w:szCs w:val="22"/>
        </w:rPr>
        <w:br/>
        <w:t>...</w:t>
      </w:r>
    </w:p>
    <w:p w14:paraId="588AF897" w14:textId="77777777" w:rsidR="001B3EF9" w:rsidRPr="002963F8" w:rsidRDefault="005E621C">
      <w:pPr>
        <w:ind w:left="567"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XIII. </w:t>
      </w:r>
      <w:r w:rsidRPr="002963F8">
        <w:rPr>
          <w:rFonts w:ascii="Palatino Linotype" w:eastAsia="Palatino Linotype" w:hAnsi="Palatino Linotype" w:cs="Palatino Linotype"/>
          <w:b/>
          <w:i/>
          <w:sz w:val="22"/>
          <w:szCs w:val="22"/>
        </w:rPr>
        <w:t>Falta administrativa no grave</w:t>
      </w:r>
      <w:r w:rsidRPr="002963F8">
        <w:rPr>
          <w:rFonts w:ascii="Palatino Linotype" w:eastAsia="Palatino Linotype" w:hAnsi="Palatino Linotype" w:cs="Palatino Linotype"/>
          <w:i/>
          <w:sz w:val="22"/>
          <w:szCs w:val="22"/>
        </w:rPr>
        <w:t>: A las faltas administrativas de los servidores públicos en los términos de la presente Ley, cuya imposición de la sanción corresponde a la Secretaría de la Contraloría del Estado de México y a los órganos internos de control.</w:t>
      </w:r>
    </w:p>
    <w:p w14:paraId="666F9A56" w14:textId="77777777" w:rsidR="001B3EF9" w:rsidRPr="002963F8" w:rsidRDefault="005E621C">
      <w:pPr>
        <w:ind w:left="567"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XIV. </w:t>
      </w:r>
      <w:r w:rsidRPr="002963F8">
        <w:rPr>
          <w:rFonts w:ascii="Palatino Linotype" w:eastAsia="Palatino Linotype" w:hAnsi="Palatino Linotype" w:cs="Palatino Linotype"/>
          <w:b/>
          <w:i/>
          <w:sz w:val="22"/>
          <w:szCs w:val="22"/>
        </w:rPr>
        <w:t>Falta administrativa grave</w:t>
      </w:r>
      <w:r w:rsidRPr="002963F8">
        <w:rPr>
          <w:rFonts w:ascii="Palatino Linotype" w:eastAsia="Palatino Linotype" w:hAnsi="Palatino Linotype" w:cs="Palatino Linotype"/>
          <w:i/>
          <w:sz w:val="22"/>
          <w:szCs w:val="22"/>
        </w:rPr>
        <w:t>: A las faltas administrativas de los servidores públicos catalogadas como graves en los términos de la presente Ley, cuya sanción corresponde al Tribunal de Justicia Administrativa del Estado de México</w:t>
      </w:r>
    </w:p>
    <w:p w14:paraId="6280BB25" w14:textId="77777777" w:rsidR="001B3EF9" w:rsidRPr="002963F8" w:rsidRDefault="005E621C">
      <w:pPr>
        <w:ind w:left="567"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w:t>
      </w:r>
      <w:r w:rsidRPr="002963F8">
        <w:rPr>
          <w:rFonts w:ascii="Palatino Linotype" w:eastAsia="Palatino Linotype" w:hAnsi="Palatino Linotype" w:cs="Palatino Linotype"/>
          <w:i/>
          <w:sz w:val="22"/>
          <w:szCs w:val="22"/>
        </w:rPr>
        <w:t>" (Énfasis añadido)</w:t>
      </w:r>
    </w:p>
    <w:p w14:paraId="7F98557A"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12141DC3" w14:textId="77777777" w:rsidR="001B3EF9" w:rsidRPr="002963F8" w:rsidRDefault="005E621C">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La Ley de Responsabilidades Administrativas vigente, contempla como faltas administrativas no graves, las cometidas por el servidor público que con sus actos u omisiones, incumpla o transgreda sus obligaciones, entre las que se pueden englobar las establecidas en el artículo 50 de la Ley de responsabilidades en mérito:</w:t>
      </w:r>
    </w:p>
    <w:p w14:paraId="28C67FA8" w14:textId="77777777" w:rsidR="001B3EF9" w:rsidRPr="002963F8" w:rsidRDefault="005E621C">
      <w:pPr>
        <w:pBdr>
          <w:top w:val="nil"/>
          <w:left w:val="nil"/>
          <w:bottom w:val="nil"/>
          <w:right w:val="nil"/>
          <w:between w:val="nil"/>
        </w:pBdr>
        <w:spacing w:before="120" w:after="120"/>
        <w:ind w:left="567" w:right="900"/>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 xml:space="preserve">“Artículo 50. Incurre en </w:t>
      </w:r>
      <w:r w:rsidRPr="002963F8">
        <w:rPr>
          <w:rFonts w:ascii="Palatino Linotype" w:eastAsia="Palatino Linotype" w:hAnsi="Palatino Linotype" w:cs="Palatino Linotype"/>
          <w:b/>
          <w:i/>
          <w:sz w:val="22"/>
          <w:szCs w:val="22"/>
          <w:u w:val="single"/>
        </w:rPr>
        <w:t>falta administrativa no grave</w:t>
      </w:r>
      <w:r w:rsidRPr="002963F8">
        <w:rPr>
          <w:rFonts w:ascii="Palatino Linotype" w:eastAsia="Palatino Linotype" w:hAnsi="Palatino Linotype" w:cs="Palatino Linotype"/>
          <w:b/>
          <w:i/>
          <w:sz w:val="22"/>
          <w:szCs w:val="22"/>
        </w:rPr>
        <w:t>, el servidor público que con sus actos u omisiones, incumpla o transgreda las obligaciones siguientes:</w:t>
      </w:r>
    </w:p>
    <w:p w14:paraId="621C2440" w14:textId="77777777" w:rsidR="001B3EF9" w:rsidRPr="002963F8" w:rsidRDefault="005E621C">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w:t>
      </w:r>
      <w:r w:rsidRPr="002963F8">
        <w:rPr>
          <w:rFonts w:ascii="Palatino Linotype" w:eastAsia="Palatino Linotype" w:hAnsi="Palatino Linotype" w:cs="Palatino Linotype"/>
          <w:i/>
          <w:sz w:val="22"/>
          <w:szCs w:val="22"/>
        </w:rPr>
        <w:t xml:space="preserve">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 </w:t>
      </w:r>
    </w:p>
    <w:p w14:paraId="6CA78B61" w14:textId="77777777" w:rsidR="001B3EF9" w:rsidRPr="002963F8" w:rsidRDefault="005E621C">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II.</w:t>
      </w:r>
      <w:r w:rsidRPr="002963F8">
        <w:rPr>
          <w:rFonts w:ascii="Palatino Linotype" w:eastAsia="Palatino Linotype" w:hAnsi="Palatino Linotype" w:cs="Palatino Linotype"/>
          <w:i/>
          <w:sz w:val="22"/>
          <w:szCs w:val="22"/>
        </w:rPr>
        <w:t xml:space="preserve"> Denunciar los actos u omisiones que en ejercicio de sus funciones llegare a advertir, que puedan constituir faltas administrativas en términos del artículo 95 de la presente Ley. </w:t>
      </w:r>
    </w:p>
    <w:p w14:paraId="729B0A29" w14:textId="77777777" w:rsidR="001B3EF9" w:rsidRPr="002963F8" w:rsidRDefault="005E621C">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III.</w:t>
      </w:r>
      <w:r w:rsidRPr="002963F8">
        <w:rPr>
          <w:rFonts w:ascii="Palatino Linotype" w:eastAsia="Palatino Linotype" w:hAnsi="Palatino Linotype" w:cs="Palatino Linotype"/>
          <w:i/>
          <w:sz w:val="22"/>
          <w:szCs w:val="22"/>
        </w:rPr>
        <w:t xml:space="preserve"> Atender las instrucciones de sus superiores, siempre que éstas sean acordes con las disposiciones relacionadas con el servicio público. En caso de recibir instrucción o encomienda contraria a dichas disposiciones, deberá denunciar esta circunstancia en términos del artículo 95 de la presente Ley. </w:t>
      </w:r>
    </w:p>
    <w:p w14:paraId="40E1C5C0" w14:textId="77777777" w:rsidR="001B3EF9" w:rsidRPr="002963F8" w:rsidRDefault="005E621C">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IV</w:t>
      </w:r>
      <w:r w:rsidRPr="002963F8">
        <w:rPr>
          <w:rFonts w:ascii="Palatino Linotype" w:eastAsia="Palatino Linotype" w:hAnsi="Palatino Linotype" w:cs="Palatino Linotype"/>
          <w:i/>
          <w:sz w:val="22"/>
          <w:szCs w:val="22"/>
        </w:rPr>
        <w:t xml:space="preserve">. Presentar en tiempo y forma la declaración de situación patrimonial y la de intereses que, en su caso, considere se actualice, en los términos establecidos por esta Ley. </w:t>
      </w:r>
    </w:p>
    <w:p w14:paraId="306C1E28" w14:textId="77777777" w:rsidR="001B3EF9" w:rsidRPr="002963F8" w:rsidRDefault="005E621C">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V</w:t>
      </w:r>
      <w:r w:rsidRPr="002963F8">
        <w:rPr>
          <w:rFonts w:ascii="Palatino Linotype" w:eastAsia="Palatino Linotype" w:hAnsi="Palatino Linotype" w:cs="Palatino Linotype"/>
          <w:i/>
          <w:sz w:val="22"/>
          <w:szCs w:val="22"/>
        </w:rPr>
        <w:t xml:space="preserve">. Rendir cuentas sobre el ejercicio de las funciones, en términos de las normas aplicables. </w:t>
      </w:r>
    </w:p>
    <w:p w14:paraId="3ECDC258" w14:textId="77777777" w:rsidR="001B3EF9" w:rsidRPr="002963F8" w:rsidRDefault="005E621C">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lastRenderedPageBreak/>
        <w:t>VI</w:t>
      </w:r>
      <w:r w:rsidRPr="002963F8">
        <w:rPr>
          <w:rFonts w:ascii="Palatino Linotype" w:eastAsia="Palatino Linotype" w:hAnsi="Palatino Linotype" w:cs="Palatino Linotype"/>
          <w:i/>
          <w:sz w:val="22"/>
          <w:szCs w:val="22"/>
        </w:rPr>
        <w:t xml:space="preserve">. Colaborar en los procedimientos judiciales y administrativos en los que sea parte. </w:t>
      </w:r>
    </w:p>
    <w:p w14:paraId="76A56D54" w14:textId="77777777" w:rsidR="001B3EF9" w:rsidRPr="002963F8" w:rsidRDefault="005E621C">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VII</w:t>
      </w:r>
      <w:r w:rsidRPr="002963F8">
        <w:rPr>
          <w:rFonts w:ascii="Palatino Linotype" w:eastAsia="Palatino Linotype" w:hAnsi="Palatino Linotype" w:cs="Palatino Linotype"/>
          <w:i/>
          <w:sz w:val="22"/>
          <w:szCs w:val="22"/>
        </w:rPr>
        <w:t xml:space="preserve">.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jurídicas colectivas. </w:t>
      </w:r>
    </w:p>
    <w:p w14:paraId="436014AB" w14:textId="77777777" w:rsidR="001B3EF9" w:rsidRPr="002963F8" w:rsidRDefault="005E621C">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VIII</w:t>
      </w:r>
      <w:r w:rsidRPr="002963F8">
        <w:rPr>
          <w:rFonts w:ascii="Palatino Linotype" w:eastAsia="Palatino Linotype" w:hAnsi="Palatino Linotype" w:cs="Palatino Linotype"/>
          <w:i/>
          <w:sz w:val="22"/>
          <w:szCs w:val="22"/>
        </w:rPr>
        <w:t xml:space="preserve">. Actuar y ejecutar legalmente con la máxima diligencia, los planes, programas, presupuestos y demás normas a fin de alcanzar las metas institucionales según sus responsabilidades, conforme a una cultura de servicio orientada al logro de resultados. </w:t>
      </w:r>
    </w:p>
    <w:p w14:paraId="5805C633" w14:textId="77777777" w:rsidR="001B3EF9" w:rsidRPr="002963F8" w:rsidRDefault="005E621C">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IX</w:t>
      </w:r>
      <w:r w:rsidRPr="002963F8">
        <w:rPr>
          <w:rFonts w:ascii="Palatino Linotype" w:eastAsia="Palatino Linotype" w:hAnsi="Palatino Linotype" w:cs="Palatino Linotype"/>
          <w:i/>
          <w:sz w:val="22"/>
          <w:szCs w:val="22"/>
        </w:rPr>
        <w:t xml:space="preserve">.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14:paraId="709189CF" w14:textId="77777777" w:rsidR="001B3EF9" w:rsidRPr="002963F8" w:rsidRDefault="005E621C">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X.</w:t>
      </w:r>
      <w:r w:rsidRPr="002963F8">
        <w:rPr>
          <w:rFonts w:ascii="Palatino Linotype" w:eastAsia="Palatino Linotype" w:hAnsi="Palatino Linotype" w:cs="Palatino Linotype"/>
          <w:i/>
          <w:sz w:val="22"/>
          <w:szCs w:val="22"/>
        </w:rPr>
        <w:t xml:space="preserve"> Observar buena conducta en su empleo, cargo o comisión tratando con respeto, diligencia, imparcialidad y rectitud a las personas y servidores públicos con los que tenga relación con motivo de éste. </w:t>
      </w:r>
    </w:p>
    <w:p w14:paraId="1A60D0FF" w14:textId="77777777" w:rsidR="001B3EF9" w:rsidRPr="002963F8" w:rsidRDefault="005E621C">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 xml:space="preserve">XI. </w:t>
      </w:r>
      <w:r w:rsidRPr="002963F8">
        <w:rPr>
          <w:rFonts w:ascii="Palatino Linotype" w:eastAsia="Palatino Linotype" w:hAnsi="Palatino Linotype" w:cs="Palatino Linotype"/>
          <w:i/>
          <w:sz w:val="22"/>
          <w:szCs w:val="22"/>
        </w:rPr>
        <w:t xml:space="preserve">Observar un trato respetuoso con sus subalternos. </w:t>
      </w:r>
    </w:p>
    <w:p w14:paraId="0F3E97CA" w14:textId="77777777" w:rsidR="001B3EF9" w:rsidRPr="002963F8" w:rsidRDefault="005E621C">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XII. Supervisar que los servidores públicos sujetos a su dirección, cumplan con las disposiciones de esta Ley. </w:t>
      </w:r>
    </w:p>
    <w:p w14:paraId="6F51C8FE" w14:textId="77777777" w:rsidR="001B3EF9" w:rsidRPr="002963F8" w:rsidRDefault="005E621C">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lastRenderedPageBreak/>
        <w:t>XIII.</w:t>
      </w:r>
      <w:r w:rsidRPr="002963F8">
        <w:rPr>
          <w:rFonts w:ascii="Palatino Linotype" w:eastAsia="Palatino Linotype" w:hAnsi="Palatino Linotype" w:cs="Palatino Linotype"/>
          <w:i/>
          <w:sz w:val="22"/>
          <w:szCs w:val="22"/>
        </w:rPr>
        <w:t xml:space="preserve"> Cumplir con la entrega de índole administrativo del despacho y de toda aquella documentación inherente a su cargo, en los términos que establezcan las disposiciones legales o administrativas que al efecto se señalen. </w:t>
      </w:r>
    </w:p>
    <w:p w14:paraId="2F98A359" w14:textId="77777777" w:rsidR="001B3EF9" w:rsidRPr="002963F8" w:rsidRDefault="005E621C">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XIV.</w:t>
      </w:r>
      <w:r w:rsidRPr="002963F8">
        <w:rPr>
          <w:rFonts w:ascii="Palatino Linotype" w:eastAsia="Palatino Linotype" w:hAnsi="Palatino Linotype" w:cs="Palatino Linotype"/>
          <w:i/>
          <w:sz w:val="22"/>
          <w:szCs w:val="22"/>
        </w:rPr>
        <w:t xml:space="preserve"> Proporcionar, en su caso, en tiempo y forma ante las dependencias competentes, la documentación comprobatoria de la aplicación de recursos económicos federales, estatales o municipales, asignados a través de los programas respectivos. </w:t>
      </w:r>
    </w:p>
    <w:p w14:paraId="0DBF568A" w14:textId="77777777" w:rsidR="001B3EF9" w:rsidRPr="002963F8" w:rsidRDefault="005E621C">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XV.</w:t>
      </w:r>
      <w:r w:rsidRPr="002963F8">
        <w:rPr>
          <w:rFonts w:ascii="Palatino Linotype" w:eastAsia="Palatino Linotype" w:hAnsi="Palatino Linotype" w:cs="Palatino Linotype"/>
          <w:i/>
          <w:sz w:val="22"/>
          <w:szCs w:val="22"/>
        </w:rPr>
        <w:t xml:space="preserve"> Abstenerse de solicitar requisitos, cargas tributarias o cualquier otro concepto adicional no previsto en la legislación aplicable, que tengan por objeto condicionar la expedición de licencias de funcionamiento para unidades económicas o negocios.</w:t>
      </w:r>
    </w:p>
    <w:p w14:paraId="0067B15F" w14:textId="77777777" w:rsidR="001B3EF9" w:rsidRPr="002963F8" w:rsidRDefault="005E621C">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XVI.</w:t>
      </w:r>
      <w:r w:rsidRPr="002963F8">
        <w:rPr>
          <w:rFonts w:ascii="Palatino Linotype" w:eastAsia="Palatino Linotype" w:hAnsi="Palatino Linotype" w:cs="Palatino Linotype"/>
          <w:i/>
          <w:sz w:val="22"/>
          <w:szCs w:val="22"/>
        </w:rPr>
        <w:t xml:space="preserve"> Cumplir con las disposiciones en materia de Gobierno Digital que impongan la Ley de la materia, su reglamento y demás disposiciones aplicables.</w:t>
      </w:r>
    </w:p>
    <w:p w14:paraId="250C36B2" w14:textId="77777777" w:rsidR="001B3EF9" w:rsidRPr="002963F8" w:rsidRDefault="005E621C">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XVII.</w:t>
      </w:r>
      <w:r w:rsidRPr="002963F8">
        <w:rPr>
          <w:rFonts w:ascii="Palatino Linotype" w:eastAsia="Palatino Linotype" w:hAnsi="Palatino Linotype" w:cs="Palatino Linotype"/>
          <w:i/>
          <w:sz w:val="22"/>
          <w:szCs w:val="22"/>
        </w:rPr>
        <w:t xml:space="preserve"> Utilizar las medidas de seguridad informática y protección de datos e información personal recomendada por las instancias competentes. </w:t>
      </w:r>
    </w:p>
    <w:p w14:paraId="609B1272" w14:textId="77777777" w:rsidR="001B3EF9" w:rsidRPr="002963F8" w:rsidRDefault="005E621C">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 xml:space="preserve">XVIII. </w:t>
      </w:r>
      <w:r w:rsidRPr="002963F8">
        <w:rPr>
          <w:rFonts w:ascii="Palatino Linotype" w:eastAsia="Palatino Linotype" w:hAnsi="Palatino Linotype" w:cs="Palatino Linotype"/>
          <w:i/>
          <w:sz w:val="22"/>
          <w:szCs w:val="22"/>
        </w:rPr>
        <w:t xml:space="preserve">Cumplir oportunamente con los laudos que dicte el Tribunal Estatal de Conciliación y Arbitraje o cualquier de las Salas Auxiliares del mismo, así como pagar el monto de las indemnizaciones y demás prestaciones a que tenga derecho el servidor público, y </w:t>
      </w:r>
    </w:p>
    <w:p w14:paraId="381F8817" w14:textId="77777777" w:rsidR="001B3EF9" w:rsidRPr="002963F8" w:rsidRDefault="005E621C">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XIX.</w:t>
      </w:r>
      <w:r w:rsidRPr="002963F8">
        <w:rPr>
          <w:rFonts w:ascii="Palatino Linotype" w:eastAsia="Palatino Linotype" w:hAnsi="Palatino Linotype" w:cs="Palatino Linotype"/>
          <w:i/>
          <w:sz w:val="22"/>
          <w:szCs w:val="22"/>
        </w:rPr>
        <w:t xml:space="preserve"> Las demás que le impongan las leyes, reglamentos o disposiciones administrativas aplicables.”</w:t>
      </w:r>
    </w:p>
    <w:p w14:paraId="2CB4AAAE" w14:textId="77777777" w:rsidR="001B3EF9" w:rsidRPr="002963F8" w:rsidRDefault="001B3EF9">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p>
    <w:p w14:paraId="2A04A443" w14:textId="77777777" w:rsidR="001B3EF9" w:rsidRPr="002963F8" w:rsidRDefault="005E621C">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En cuanto a las faltas administrativas graves, la Ley de Responsabilidades determina que serán consideradas las siguientes:</w:t>
      </w:r>
    </w:p>
    <w:p w14:paraId="0F1E6A05" w14:textId="77777777" w:rsidR="001B3EF9" w:rsidRPr="002963F8" w:rsidRDefault="005E621C">
      <w:pPr>
        <w:pBdr>
          <w:top w:val="nil"/>
          <w:left w:val="nil"/>
          <w:bottom w:val="nil"/>
          <w:right w:val="nil"/>
          <w:between w:val="nil"/>
        </w:pBdr>
        <w:ind w:left="851" w:right="900"/>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 xml:space="preserve">“Artículo 52. Para efectos de la presente Ley, se consideran </w:t>
      </w:r>
      <w:r w:rsidRPr="002963F8">
        <w:rPr>
          <w:rFonts w:ascii="Palatino Linotype" w:eastAsia="Palatino Linotype" w:hAnsi="Palatino Linotype" w:cs="Palatino Linotype"/>
          <w:b/>
          <w:i/>
          <w:sz w:val="22"/>
          <w:szCs w:val="22"/>
          <w:u w:val="single"/>
        </w:rPr>
        <w:t>faltas administrativas graves</w:t>
      </w:r>
      <w:r w:rsidRPr="002963F8">
        <w:rPr>
          <w:rFonts w:ascii="Palatino Linotype" w:eastAsia="Palatino Linotype" w:hAnsi="Palatino Linotype" w:cs="Palatino Linotype"/>
          <w:b/>
          <w:i/>
          <w:sz w:val="22"/>
          <w:szCs w:val="22"/>
        </w:rPr>
        <w:t xml:space="preserve"> de los servidores públicos, mediante cualquier acto u omisión, las siguientes: </w:t>
      </w:r>
    </w:p>
    <w:p w14:paraId="1CD606D4" w14:textId="77777777" w:rsidR="001B3EF9" w:rsidRPr="002963F8" w:rsidRDefault="005E621C">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w:t>
      </w:r>
      <w:r w:rsidRPr="002963F8">
        <w:rPr>
          <w:rFonts w:ascii="Palatino Linotype" w:eastAsia="Palatino Linotype" w:hAnsi="Palatino Linotype" w:cs="Palatino Linotype"/>
          <w:i/>
          <w:sz w:val="22"/>
          <w:szCs w:val="22"/>
        </w:rPr>
        <w:t xml:space="preserve"> El cohecho.</w:t>
      </w:r>
    </w:p>
    <w:p w14:paraId="59D0B1A8" w14:textId="77777777" w:rsidR="001B3EF9" w:rsidRPr="002963F8" w:rsidRDefault="005E621C">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II.</w:t>
      </w:r>
      <w:r w:rsidRPr="002963F8">
        <w:rPr>
          <w:rFonts w:ascii="Palatino Linotype" w:eastAsia="Palatino Linotype" w:hAnsi="Palatino Linotype" w:cs="Palatino Linotype"/>
          <w:i/>
          <w:sz w:val="22"/>
          <w:szCs w:val="22"/>
        </w:rPr>
        <w:t xml:space="preserve"> El peculado. </w:t>
      </w:r>
    </w:p>
    <w:p w14:paraId="363C4E2D" w14:textId="77777777" w:rsidR="001B3EF9" w:rsidRPr="002963F8" w:rsidRDefault="005E621C">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III</w:t>
      </w:r>
      <w:r w:rsidRPr="002963F8">
        <w:rPr>
          <w:rFonts w:ascii="Palatino Linotype" w:eastAsia="Palatino Linotype" w:hAnsi="Palatino Linotype" w:cs="Palatino Linotype"/>
          <w:i/>
          <w:sz w:val="22"/>
          <w:szCs w:val="22"/>
        </w:rPr>
        <w:t xml:space="preserve">. El desvío de recursos públicos. </w:t>
      </w:r>
    </w:p>
    <w:p w14:paraId="428FED83" w14:textId="77777777" w:rsidR="001B3EF9" w:rsidRPr="002963F8" w:rsidRDefault="005E621C">
      <w:pPr>
        <w:pBdr>
          <w:top w:val="nil"/>
          <w:left w:val="nil"/>
          <w:bottom w:val="nil"/>
          <w:right w:val="nil"/>
          <w:between w:val="nil"/>
        </w:pBdr>
        <w:ind w:left="993" w:right="900"/>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IV</w:t>
      </w:r>
      <w:r w:rsidRPr="002963F8">
        <w:rPr>
          <w:rFonts w:ascii="Palatino Linotype" w:eastAsia="Palatino Linotype" w:hAnsi="Palatino Linotype" w:cs="Palatino Linotype"/>
          <w:i/>
          <w:sz w:val="22"/>
          <w:szCs w:val="22"/>
        </w:rPr>
        <w:t>. La utilización indebida de información</w:t>
      </w:r>
      <w:r w:rsidRPr="002963F8">
        <w:rPr>
          <w:rFonts w:ascii="Palatino Linotype" w:eastAsia="Palatino Linotype" w:hAnsi="Palatino Linotype" w:cs="Palatino Linotype"/>
          <w:b/>
          <w:i/>
          <w:sz w:val="22"/>
          <w:szCs w:val="22"/>
        </w:rPr>
        <w:t xml:space="preserve">. </w:t>
      </w:r>
    </w:p>
    <w:p w14:paraId="26979A46" w14:textId="77777777" w:rsidR="001B3EF9" w:rsidRPr="002963F8" w:rsidRDefault="005E621C">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V</w:t>
      </w:r>
      <w:r w:rsidRPr="002963F8">
        <w:rPr>
          <w:rFonts w:ascii="Palatino Linotype" w:eastAsia="Palatino Linotype" w:hAnsi="Palatino Linotype" w:cs="Palatino Linotype"/>
          <w:i/>
          <w:sz w:val="22"/>
          <w:szCs w:val="22"/>
        </w:rPr>
        <w:t xml:space="preserve">. El abuso de funciones. </w:t>
      </w:r>
    </w:p>
    <w:p w14:paraId="2106478C" w14:textId="77777777" w:rsidR="001B3EF9" w:rsidRPr="002963F8" w:rsidRDefault="005E621C">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VI</w:t>
      </w:r>
      <w:r w:rsidRPr="002963F8">
        <w:rPr>
          <w:rFonts w:ascii="Palatino Linotype" w:eastAsia="Palatino Linotype" w:hAnsi="Palatino Linotype" w:cs="Palatino Linotype"/>
          <w:i/>
          <w:sz w:val="22"/>
          <w:szCs w:val="22"/>
        </w:rPr>
        <w:t xml:space="preserve">. Cometer o tolerar conductas de hostigamiento y acoso sexual. </w:t>
      </w:r>
    </w:p>
    <w:p w14:paraId="08F390B7" w14:textId="77777777" w:rsidR="001B3EF9" w:rsidRPr="002963F8" w:rsidRDefault="005E621C">
      <w:pPr>
        <w:pBdr>
          <w:top w:val="nil"/>
          <w:left w:val="nil"/>
          <w:bottom w:val="nil"/>
          <w:right w:val="nil"/>
          <w:between w:val="nil"/>
        </w:pBdr>
        <w:ind w:left="993" w:right="900"/>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VII.</w:t>
      </w:r>
      <w:r w:rsidRPr="002963F8">
        <w:rPr>
          <w:rFonts w:ascii="Palatino Linotype" w:eastAsia="Palatino Linotype" w:hAnsi="Palatino Linotype" w:cs="Palatino Linotype"/>
          <w:i/>
          <w:sz w:val="22"/>
          <w:szCs w:val="22"/>
        </w:rPr>
        <w:t xml:space="preserve"> El actuar bajo conflicto de interés</w:t>
      </w:r>
      <w:r w:rsidRPr="002963F8">
        <w:rPr>
          <w:rFonts w:ascii="Palatino Linotype" w:eastAsia="Palatino Linotype" w:hAnsi="Palatino Linotype" w:cs="Palatino Linotype"/>
          <w:b/>
          <w:i/>
          <w:sz w:val="22"/>
          <w:szCs w:val="22"/>
        </w:rPr>
        <w:t xml:space="preserve">. </w:t>
      </w:r>
    </w:p>
    <w:p w14:paraId="03038192" w14:textId="77777777" w:rsidR="001B3EF9" w:rsidRPr="002963F8" w:rsidRDefault="005E621C">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lastRenderedPageBreak/>
        <w:t>VIII</w:t>
      </w:r>
      <w:r w:rsidRPr="002963F8">
        <w:rPr>
          <w:rFonts w:ascii="Palatino Linotype" w:eastAsia="Palatino Linotype" w:hAnsi="Palatino Linotype" w:cs="Palatino Linotype"/>
          <w:i/>
          <w:sz w:val="22"/>
          <w:szCs w:val="22"/>
        </w:rPr>
        <w:t xml:space="preserve">. La contratación indebida. </w:t>
      </w:r>
    </w:p>
    <w:p w14:paraId="388E5D49" w14:textId="77777777" w:rsidR="001B3EF9" w:rsidRPr="002963F8" w:rsidRDefault="005E621C">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IX.</w:t>
      </w:r>
      <w:r w:rsidRPr="002963F8">
        <w:rPr>
          <w:rFonts w:ascii="Palatino Linotype" w:eastAsia="Palatino Linotype" w:hAnsi="Palatino Linotype" w:cs="Palatino Linotype"/>
          <w:i/>
          <w:sz w:val="22"/>
          <w:szCs w:val="22"/>
        </w:rPr>
        <w:t xml:space="preserve"> El enriquecimiento oculto u ocultamiento de conflicto de interés. </w:t>
      </w:r>
    </w:p>
    <w:p w14:paraId="489D898C" w14:textId="77777777" w:rsidR="001B3EF9" w:rsidRPr="002963F8" w:rsidRDefault="005E621C">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X</w:t>
      </w:r>
      <w:r w:rsidRPr="002963F8">
        <w:rPr>
          <w:rFonts w:ascii="Palatino Linotype" w:eastAsia="Palatino Linotype" w:hAnsi="Palatino Linotype" w:cs="Palatino Linotype"/>
          <w:i/>
          <w:sz w:val="22"/>
          <w:szCs w:val="22"/>
        </w:rPr>
        <w:t xml:space="preserve">. El tráfico de influencias. </w:t>
      </w:r>
    </w:p>
    <w:p w14:paraId="5EB28A09" w14:textId="77777777" w:rsidR="001B3EF9" w:rsidRPr="002963F8" w:rsidRDefault="005E621C">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XI.</w:t>
      </w:r>
      <w:r w:rsidRPr="002963F8">
        <w:rPr>
          <w:rFonts w:ascii="Palatino Linotype" w:eastAsia="Palatino Linotype" w:hAnsi="Palatino Linotype" w:cs="Palatino Linotype"/>
          <w:i/>
          <w:sz w:val="22"/>
          <w:szCs w:val="22"/>
        </w:rPr>
        <w:t xml:space="preserve"> El encubrimiento. </w:t>
      </w:r>
    </w:p>
    <w:p w14:paraId="026674BB" w14:textId="77777777" w:rsidR="001B3EF9" w:rsidRPr="002963F8" w:rsidRDefault="005E621C">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XII.</w:t>
      </w:r>
      <w:r w:rsidRPr="002963F8">
        <w:rPr>
          <w:rFonts w:ascii="Palatino Linotype" w:eastAsia="Palatino Linotype" w:hAnsi="Palatino Linotype" w:cs="Palatino Linotype"/>
          <w:i/>
          <w:sz w:val="22"/>
          <w:szCs w:val="22"/>
        </w:rPr>
        <w:t xml:space="preserve"> El desacato. </w:t>
      </w:r>
    </w:p>
    <w:p w14:paraId="2F98EE45" w14:textId="77777777" w:rsidR="001B3EF9" w:rsidRPr="002963F8" w:rsidRDefault="005E621C">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XIII.</w:t>
      </w:r>
      <w:r w:rsidRPr="002963F8">
        <w:rPr>
          <w:rFonts w:ascii="Palatino Linotype" w:eastAsia="Palatino Linotype" w:hAnsi="Palatino Linotype" w:cs="Palatino Linotype"/>
          <w:i/>
          <w:sz w:val="22"/>
          <w:szCs w:val="22"/>
        </w:rPr>
        <w:t xml:space="preserve"> La obstrucción de la Justicia.”</w:t>
      </w:r>
    </w:p>
    <w:p w14:paraId="18F999B9"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3A8B11B8"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Consecuentemente, de conformidad con el artículo 10 de la Ley de Responsabilidades de la Entidad, la investigación, substanciación y calificación de las faltas administrativas es competencia de la </w:t>
      </w:r>
      <w:r w:rsidRPr="002963F8">
        <w:rPr>
          <w:rFonts w:ascii="Palatino Linotype" w:eastAsia="Palatino Linotype" w:hAnsi="Palatino Linotype" w:cs="Palatino Linotype"/>
          <w:b/>
          <w:sz w:val="22"/>
          <w:szCs w:val="22"/>
        </w:rPr>
        <w:t>Secretaría de la Contraloría y los Órganos Internos de Control</w:t>
      </w:r>
      <w:r w:rsidRPr="002963F8">
        <w:rPr>
          <w:rFonts w:ascii="Palatino Linotype" w:eastAsia="Palatino Linotype" w:hAnsi="Palatino Linotype" w:cs="Palatino Linotype"/>
          <w:sz w:val="22"/>
          <w:szCs w:val="22"/>
        </w:rPr>
        <w:t>, siendo que, para el caso de la existencia de faltas administrativas no graves, estos podrán substanciar y resolver los procedimientos de responsabilidad correspondientes, tal como se advierte a continuación:</w:t>
      </w:r>
    </w:p>
    <w:p w14:paraId="04338C93" w14:textId="77777777" w:rsidR="001B3EF9" w:rsidRPr="002963F8" w:rsidRDefault="001B3EF9">
      <w:pPr>
        <w:spacing w:line="360" w:lineRule="auto"/>
        <w:jc w:val="center"/>
        <w:rPr>
          <w:rFonts w:ascii="Palatino Linotype" w:eastAsia="Palatino Linotype" w:hAnsi="Palatino Linotype" w:cs="Palatino Linotype"/>
          <w:sz w:val="22"/>
          <w:szCs w:val="22"/>
        </w:rPr>
      </w:pPr>
    </w:p>
    <w:p w14:paraId="48A496E1" w14:textId="77777777" w:rsidR="001B3EF9" w:rsidRPr="002963F8" w:rsidRDefault="005E621C">
      <w:pPr>
        <w:ind w:left="567"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“Artículo 10.</w:t>
      </w:r>
      <w:r w:rsidRPr="002963F8">
        <w:rPr>
          <w:rFonts w:ascii="Palatino Linotype" w:eastAsia="Palatino Linotype" w:hAnsi="Palatino Linotype" w:cs="Palatino Linotype"/>
          <w:i/>
          <w:sz w:val="22"/>
          <w:szCs w:val="22"/>
        </w:rPr>
        <w:t xml:space="preserve"> La </w:t>
      </w:r>
      <w:r w:rsidRPr="002963F8">
        <w:rPr>
          <w:rFonts w:ascii="Palatino Linotype" w:eastAsia="Palatino Linotype" w:hAnsi="Palatino Linotype" w:cs="Palatino Linotype"/>
          <w:b/>
          <w:i/>
          <w:sz w:val="22"/>
          <w:szCs w:val="22"/>
        </w:rPr>
        <w:t>Secretaría de la Contraloría y los órganos internos de control</w:t>
      </w:r>
      <w:r w:rsidRPr="002963F8">
        <w:rPr>
          <w:rFonts w:ascii="Palatino Linotype" w:eastAsia="Palatino Linotype" w:hAnsi="Palatino Linotype" w:cs="Palatino Linotype"/>
          <w:i/>
          <w:sz w:val="22"/>
          <w:szCs w:val="22"/>
        </w:rPr>
        <w:t xml:space="preserve"> tendrán a su cargo, en el ámbito de su competencia, la investigación, substanciación y calificación de las faltas administrativas.</w:t>
      </w:r>
    </w:p>
    <w:p w14:paraId="6D3D0768" w14:textId="77777777" w:rsidR="001B3EF9" w:rsidRPr="002963F8" w:rsidRDefault="005E621C">
      <w:pPr>
        <w:ind w:left="567"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En el caso de la Contraloría del Poder Legislativo, será competente respecto de los servidores públicos de elección popular municipal y de los mismos servidores públicos del Poder Legislativo.</w:t>
      </w:r>
    </w:p>
    <w:p w14:paraId="59522088" w14:textId="77777777" w:rsidR="001B3EF9" w:rsidRPr="002963F8" w:rsidRDefault="005E621C">
      <w:pPr>
        <w:ind w:left="567"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Tratándose de actos u omisiones que hayan sido calificados como faltas administrativas no graves, la Secretaría de la Contraloría y los órganos internos de control, serán competentes para iniciar, substanciar y resolver los procedimientos de responsabilidad administrativa en los términos previstos en esta Ley.</w:t>
      </w:r>
    </w:p>
    <w:p w14:paraId="3EB6F612" w14:textId="77777777" w:rsidR="001B3EF9" w:rsidRPr="002963F8" w:rsidRDefault="005E621C">
      <w:pPr>
        <w:ind w:left="567"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En el supuesto que las autoridades investigadoras determinen en su calificación la existencia de faltas administrativas, así como la presunta responsabilidad del infractor, deberán elaborar el Informe de Presunta Responsabilidad Administrativa y presentarlo a la autoridad substanciadora para que proceda en los términos previstos en esta Ley.”</w:t>
      </w:r>
    </w:p>
    <w:p w14:paraId="0C0AE343"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18BD4933"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Precepto legal del que podemos concluir los puntos siguientes:</w:t>
      </w:r>
    </w:p>
    <w:p w14:paraId="30ADE46C"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1A20D43C" w14:textId="77777777" w:rsidR="001B3EF9" w:rsidRPr="002963F8" w:rsidRDefault="005E621C">
      <w:pPr>
        <w:numPr>
          <w:ilvl w:val="0"/>
          <w:numId w:val="2"/>
        </w:numPr>
        <w:tabs>
          <w:tab w:val="left" w:pos="567"/>
        </w:tabs>
        <w:spacing w:after="160" w:line="360" w:lineRule="auto"/>
        <w:ind w:left="567" w:right="191" w:hanging="283"/>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lastRenderedPageBreak/>
        <w:t>La investigación, substanciación y calificación de las faltas administrativas, estará a cargo de la Secretaría de la Contraloría y los Órganos Internos de Control;</w:t>
      </w:r>
    </w:p>
    <w:p w14:paraId="787AC2D5" w14:textId="77777777" w:rsidR="001B3EF9" w:rsidRPr="002963F8" w:rsidRDefault="005E621C">
      <w:pPr>
        <w:numPr>
          <w:ilvl w:val="0"/>
          <w:numId w:val="2"/>
        </w:numPr>
        <w:spacing w:after="160" w:line="360" w:lineRule="auto"/>
        <w:ind w:left="567" w:right="191" w:hanging="283"/>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En el caso de que se determine que, si existen faltas administrativas, estas deberán elaborar un Informe de Presunta Responsabilidad Administrativa y presentarlo ante la autoridad sustanciadora, o resolutora de ser el caso;</w:t>
      </w:r>
    </w:p>
    <w:p w14:paraId="189158B2" w14:textId="77777777" w:rsidR="001B3EF9" w:rsidRPr="002963F8" w:rsidRDefault="005E621C">
      <w:pPr>
        <w:numPr>
          <w:ilvl w:val="0"/>
          <w:numId w:val="2"/>
        </w:numPr>
        <w:spacing w:after="160" w:line="360" w:lineRule="auto"/>
        <w:ind w:left="567" w:right="191" w:hanging="283"/>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Para el caso de faltas administrativas no graves la imposición de la sanción le corresponde a la Secretaría de la Contraloría y a los Órganos Internos de Control y;</w:t>
      </w:r>
    </w:p>
    <w:p w14:paraId="1B046D1F" w14:textId="77777777" w:rsidR="001B3EF9" w:rsidRPr="002963F8" w:rsidRDefault="005E621C">
      <w:pPr>
        <w:numPr>
          <w:ilvl w:val="0"/>
          <w:numId w:val="2"/>
        </w:numPr>
        <w:spacing w:after="160" w:line="360" w:lineRule="auto"/>
        <w:ind w:left="567" w:right="191" w:hanging="283"/>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Para el caso de faltas administrativas graves la imposición de la sanción le corresponde al Tribunal Superior de Justicia Administrativa del Estado de México.</w:t>
      </w:r>
    </w:p>
    <w:p w14:paraId="13DB0A8B"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Con lo anteriormente analizado queda de manifiesto que el </w:t>
      </w:r>
      <w:r w:rsidRPr="002963F8">
        <w:rPr>
          <w:rFonts w:ascii="Palatino Linotype" w:eastAsia="Palatino Linotype" w:hAnsi="Palatino Linotype" w:cs="Palatino Linotype"/>
          <w:b/>
          <w:sz w:val="22"/>
          <w:szCs w:val="22"/>
        </w:rPr>
        <w:t>Sujeto Obligado</w:t>
      </w:r>
      <w:r w:rsidRPr="002963F8">
        <w:rPr>
          <w:rFonts w:ascii="Palatino Linotype" w:eastAsia="Palatino Linotype" w:hAnsi="Palatino Linotype" w:cs="Palatino Linotype"/>
          <w:sz w:val="22"/>
          <w:szCs w:val="22"/>
        </w:rPr>
        <w:t xml:space="preserve"> a través de su Contraloría Interna Municipal, es competente para conocer la información requerida, sin embargo, este Instituto resalta que, si bien, por regla general, toda la información generada, obtenida, adquirida, transformada, administrada o en posesión de los sujetos obligados es pública, debemos considerar que también hay excepciones, es decir, que se trate de información clasificada (confidencial o reservada), en cuyo caso, se restringirá, excepcionalmente, el acceso conforme a lo señalado en la ley en la materia.</w:t>
      </w:r>
    </w:p>
    <w:p w14:paraId="55302686" w14:textId="77777777" w:rsidR="001B3EF9" w:rsidRPr="002963F8" w:rsidRDefault="001B3EF9">
      <w:pPr>
        <w:tabs>
          <w:tab w:val="left" w:pos="709"/>
        </w:tabs>
        <w:spacing w:line="360" w:lineRule="auto"/>
        <w:jc w:val="both"/>
        <w:rPr>
          <w:rFonts w:ascii="Palatino Linotype" w:eastAsia="Palatino Linotype" w:hAnsi="Palatino Linotype" w:cs="Palatino Linotype"/>
          <w:sz w:val="22"/>
          <w:szCs w:val="22"/>
        </w:rPr>
      </w:pPr>
    </w:p>
    <w:p w14:paraId="3342CD14"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Es así, que respecto a la información clasificada como confidencial la Ley de Transparencia vigente en nuestra entidad establece en su artículo 143 una serie de hipótesis en las cuales radica la posibilidad de tal clasificación de información, que son:</w:t>
      </w:r>
    </w:p>
    <w:p w14:paraId="24C24F69"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4D6D2C23" w14:textId="77777777" w:rsidR="001B3EF9" w:rsidRPr="002963F8" w:rsidRDefault="005E621C">
      <w:pPr>
        <w:ind w:left="567" w:right="851" w:hanging="141"/>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“Artículo 143. Para los efectos de esta Ley se considera información confidencial, la clasificada como tal, de manera permanente, por su naturaleza, cuando: </w:t>
      </w:r>
    </w:p>
    <w:p w14:paraId="70430F02" w14:textId="77777777" w:rsidR="001B3EF9" w:rsidRPr="002963F8" w:rsidRDefault="005E621C">
      <w:pPr>
        <w:numPr>
          <w:ilvl w:val="0"/>
          <w:numId w:val="3"/>
        </w:numPr>
        <w:spacing w:after="160" w:line="259" w:lineRule="auto"/>
        <w:ind w:left="567" w:right="851" w:hanging="141"/>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Se refiera a la información privada y los datos personales concernientes a una persona física o jurídico colectiva identificada o identificable;</w:t>
      </w:r>
    </w:p>
    <w:p w14:paraId="57A3A6D4" w14:textId="77777777" w:rsidR="001B3EF9" w:rsidRPr="002963F8" w:rsidRDefault="005E621C">
      <w:pPr>
        <w:numPr>
          <w:ilvl w:val="0"/>
          <w:numId w:val="3"/>
        </w:numPr>
        <w:spacing w:after="160" w:line="259" w:lineRule="auto"/>
        <w:ind w:left="567" w:right="851" w:hanging="141"/>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lastRenderedPageBreak/>
        <w:t xml:space="preserve">Los secretos bancario, fiduciario, industrial, comercial, fiscal, bursátil y postal, cuya titularidad corresponda a particulares, sujetos de derecho internacional o a sujetos obligados cuando no involucren el ejercicio de recursos públicos; y </w:t>
      </w:r>
    </w:p>
    <w:p w14:paraId="3C43EA75" w14:textId="77777777" w:rsidR="001B3EF9" w:rsidRPr="002963F8" w:rsidRDefault="005E621C">
      <w:pPr>
        <w:numPr>
          <w:ilvl w:val="0"/>
          <w:numId w:val="3"/>
        </w:numPr>
        <w:spacing w:after="160" w:line="259" w:lineRule="auto"/>
        <w:ind w:left="567" w:right="851" w:hanging="141"/>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La que presenten los particulares a los sujetos obligados, de conformidad con lo dispuesto por las leyes o los tratados internacionales. </w:t>
      </w:r>
    </w:p>
    <w:p w14:paraId="1486635F" w14:textId="77777777" w:rsidR="001B3EF9" w:rsidRPr="002963F8" w:rsidRDefault="005E621C">
      <w:pPr>
        <w:spacing w:after="160" w:line="259" w:lineRule="auto"/>
        <w:ind w:left="567" w:right="851"/>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29EF753" w14:textId="77777777" w:rsidR="001B3EF9" w:rsidRPr="002963F8" w:rsidRDefault="005E621C">
      <w:pPr>
        <w:spacing w:after="160" w:line="259" w:lineRule="auto"/>
        <w:ind w:left="567" w:right="851"/>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i/>
          <w:sz w:val="22"/>
          <w:szCs w:val="22"/>
        </w:rPr>
        <w:t xml:space="preserve">No se considerará confidencial la información que se encuentre en los registros públicos o en fuentes de acceso público, ni tampoco la que sea considerada por la presente ley como información pública.” </w:t>
      </w:r>
    </w:p>
    <w:p w14:paraId="2782ED64"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64D9DEAF"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De tal suerte que para la procedencia de la clasificación de la información, ya sea en su carácter de reservada o confidencial, es necesario determinar que la información que obra en poder del </w:t>
      </w:r>
      <w:r w:rsidRPr="002963F8">
        <w:rPr>
          <w:rFonts w:ascii="Palatino Linotype" w:eastAsia="Palatino Linotype" w:hAnsi="Palatino Linotype" w:cs="Palatino Linotype"/>
          <w:b/>
          <w:sz w:val="22"/>
          <w:szCs w:val="22"/>
        </w:rPr>
        <w:t>Sujeto Obligado</w:t>
      </w:r>
      <w:r w:rsidRPr="002963F8">
        <w:rPr>
          <w:rFonts w:ascii="Palatino Linotype" w:eastAsia="Palatino Linotype" w:hAnsi="Palatino Linotype" w:cs="Palatino Linotype"/>
          <w:sz w:val="22"/>
          <w:szCs w:val="22"/>
        </w:rPr>
        <w:t xml:space="preserve"> actualiza alguno de los supuestos de reserva o confidencialidad contemplados en la normatividad.</w:t>
      </w:r>
    </w:p>
    <w:p w14:paraId="1540C9C0"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71888CFC" w14:textId="77777777" w:rsidR="001B3EF9" w:rsidRPr="002963F8" w:rsidRDefault="005E621C">
      <w:pPr>
        <w:tabs>
          <w:tab w:val="left" w:pos="3962"/>
        </w:tabs>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Por ello, en primera instancia, no se pierde de vista que derivado del análisis a la solicitud de información, se advierte que versa</w:t>
      </w:r>
      <w:r w:rsidRPr="002963F8">
        <w:rPr>
          <w:rFonts w:ascii="Palatino Linotype" w:eastAsia="Palatino Linotype" w:hAnsi="Palatino Linotype" w:cs="Palatino Linotype"/>
          <w:b/>
          <w:sz w:val="22"/>
          <w:szCs w:val="22"/>
        </w:rPr>
        <w:t xml:space="preserve"> </w:t>
      </w:r>
      <w:r w:rsidRPr="002963F8">
        <w:rPr>
          <w:rFonts w:ascii="Palatino Linotype" w:eastAsia="Palatino Linotype" w:hAnsi="Palatino Linotype" w:cs="Palatino Linotype"/>
          <w:sz w:val="22"/>
          <w:szCs w:val="22"/>
        </w:rPr>
        <w:t xml:space="preserve">específicamente de una persona que pudo haber fungido como </w:t>
      </w:r>
      <w:r w:rsidRPr="002963F8">
        <w:rPr>
          <w:rFonts w:ascii="Palatino Linotype" w:eastAsia="Palatino Linotype" w:hAnsi="Palatino Linotype" w:cs="Palatino Linotype"/>
          <w:b/>
          <w:sz w:val="22"/>
          <w:szCs w:val="22"/>
        </w:rPr>
        <w:t>Tesorera Municipal</w:t>
      </w:r>
      <w:r w:rsidRPr="002963F8">
        <w:rPr>
          <w:rFonts w:ascii="Palatino Linotype" w:eastAsia="Palatino Linotype" w:hAnsi="Palatino Linotype" w:cs="Palatino Linotype"/>
          <w:sz w:val="22"/>
          <w:szCs w:val="22"/>
        </w:rPr>
        <w:t xml:space="preserve"> dentro del periodo señalado en la solicitud de información</w:t>
      </w:r>
      <w:r w:rsidRPr="002963F8">
        <w:rPr>
          <w:rFonts w:ascii="Palatino Linotype" w:eastAsia="Palatino Linotype" w:hAnsi="Palatino Linotype" w:cs="Palatino Linotype"/>
          <w:b/>
          <w:sz w:val="22"/>
          <w:szCs w:val="22"/>
        </w:rPr>
        <w:t xml:space="preserve">; </w:t>
      </w:r>
      <w:r w:rsidRPr="002963F8">
        <w:rPr>
          <w:rFonts w:ascii="Palatino Linotype" w:eastAsia="Palatino Linotype" w:hAnsi="Palatino Linotype" w:cs="Palatino Linotype"/>
          <w:sz w:val="22"/>
          <w:szCs w:val="22"/>
        </w:rPr>
        <w:t>unidad administrativa que es la encargada de la recaudación de los ingresos municipales y responsable de realizar las erogaciones que haga el ayuntamiento, conforme el artículo 93, de la Ley Orgánica Municipal del Estado de México.</w:t>
      </w:r>
    </w:p>
    <w:p w14:paraId="1E958F44" w14:textId="77777777" w:rsidR="001B3EF9" w:rsidRPr="002963F8" w:rsidRDefault="001B3EF9">
      <w:pPr>
        <w:tabs>
          <w:tab w:val="left" w:pos="3962"/>
        </w:tabs>
        <w:spacing w:line="360" w:lineRule="auto"/>
        <w:jc w:val="both"/>
        <w:rPr>
          <w:rFonts w:ascii="Palatino Linotype" w:eastAsia="Palatino Linotype" w:hAnsi="Palatino Linotype" w:cs="Palatino Linotype"/>
          <w:i/>
          <w:sz w:val="22"/>
          <w:szCs w:val="22"/>
        </w:rPr>
      </w:pPr>
    </w:p>
    <w:p w14:paraId="6AA5F6F2" w14:textId="77777777" w:rsidR="001B3EF9" w:rsidRPr="002963F8" w:rsidRDefault="005E621C">
      <w:pPr>
        <w:spacing w:line="360" w:lineRule="auto"/>
        <w:jc w:val="both"/>
        <w:rPr>
          <w:rFonts w:ascii="Palatino Linotype" w:eastAsia="Palatino Linotype" w:hAnsi="Palatino Linotype" w:cs="Palatino Linotype"/>
          <w:b/>
          <w:sz w:val="22"/>
          <w:szCs w:val="22"/>
        </w:rPr>
      </w:pPr>
      <w:r w:rsidRPr="002963F8">
        <w:rPr>
          <w:rFonts w:ascii="Palatino Linotype" w:eastAsia="Palatino Linotype" w:hAnsi="Palatino Linotype" w:cs="Palatino Linotype"/>
          <w:sz w:val="22"/>
          <w:szCs w:val="22"/>
        </w:rPr>
        <w:t xml:space="preserve">Por lo que resulta aplicable para el caso concreto, la confidencialidad pues el proporcionar un pronunciamiento en sentido afirmativo sobre la existencia de los documentos que den cuenta de la existencia de procedimientos administrativos ante la Contraloría Interna Municipal en contra de la persona señalada en la solicitud de información bajo el cargo de </w:t>
      </w:r>
      <w:r w:rsidRPr="002963F8">
        <w:rPr>
          <w:rFonts w:ascii="Palatino Linotype" w:eastAsia="Palatino Linotype" w:hAnsi="Palatino Linotype" w:cs="Palatino Linotype"/>
          <w:sz w:val="22"/>
          <w:szCs w:val="22"/>
        </w:rPr>
        <w:lastRenderedPageBreak/>
        <w:t>Tesorera Municipal a la fecha de la solicitud de información, daría cuenta de una</w:t>
      </w:r>
      <w:r w:rsidRPr="002963F8">
        <w:rPr>
          <w:sz w:val="22"/>
          <w:szCs w:val="22"/>
        </w:rPr>
        <w:t xml:space="preserve"> </w:t>
      </w:r>
      <w:r w:rsidRPr="002963F8">
        <w:rPr>
          <w:rFonts w:ascii="Palatino Linotype" w:eastAsia="Palatino Linotype" w:hAnsi="Palatino Linotype" w:cs="Palatino Linotype"/>
          <w:sz w:val="22"/>
          <w:szCs w:val="22"/>
        </w:rPr>
        <w:t>circunstancia en particular que inminentemente causará un perjuicio a un individuo determinado, pues se le estará haciendo identificable frente a la sociedad.</w:t>
      </w:r>
    </w:p>
    <w:p w14:paraId="7BFF9A8C" w14:textId="77777777" w:rsidR="001B3EF9" w:rsidRPr="002963F8" w:rsidRDefault="001B3EF9">
      <w:pPr>
        <w:tabs>
          <w:tab w:val="left" w:pos="426"/>
        </w:tabs>
        <w:spacing w:line="360" w:lineRule="auto"/>
        <w:ind w:right="49"/>
        <w:jc w:val="both"/>
        <w:rPr>
          <w:rFonts w:ascii="Palatino Linotype" w:eastAsia="Palatino Linotype" w:hAnsi="Palatino Linotype" w:cs="Palatino Linotype"/>
          <w:sz w:val="22"/>
          <w:szCs w:val="22"/>
        </w:rPr>
      </w:pPr>
    </w:p>
    <w:p w14:paraId="17D8D7A3" w14:textId="77777777" w:rsidR="001B3EF9" w:rsidRPr="002963F8" w:rsidRDefault="005E621C">
      <w:pPr>
        <w:tabs>
          <w:tab w:val="left" w:pos="3962"/>
        </w:tabs>
        <w:spacing w:line="360" w:lineRule="auto"/>
        <w:jc w:val="both"/>
        <w:rPr>
          <w:rFonts w:ascii="Palatino Linotype" w:eastAsia="Palatino Linotype" w:hAnsi="Palatino Linotype" w:cs="Palatino Linotype"/>
          <w:strike/>
          <w:sz w:val="22"/>
          <w:szCs w:val="22"/>
        </w:rPr>
      </w:pPr>
      <w:r w:rsidRPr="002963F8">
        <w:rPr>
          <w:rFonts w:ascii="Palatino Linotype" w:eastAsia="Palatino Linotype" w:hAnsi="Palatino Linotype" w:cs="Palatino Linotype"/>
          <w:sz w:val="22"/>
          <w:szCs w:val="22"/>
        </w:rPr>
        <w:t>En armonía con lo anteriormente señalado, realizar un pronunciamiento sobre la existencia o no de</w:t>
      </w:r>
      <w:r w:rsidRPr="002963F8">
        <w:rPr>
          <w:rFonts w:ascii="Palatino Linotype" w:eastAsia="Palatino Linotype" w:hAnsi="Palatino Linotype" w:cs="Palatino Linotype"/>
          <w:b/>
          <w:sz w:val="22"/>
          <w:szCs w:val="22"/>
          <w:u w:val="single"/>
        </w:rPr>
        <w:t xml:space="preserve"> procedimientos de posibles responsabilidades en trámite</w:t>
      </w:r>
      <w:r w:rsidRPr="002963F8">
        <w:rPr>
          <w:rFonts w:ascii="Palatino Linotype" w:eastAsia="Palatino Linotype" w:hAnsi="Palatino Linotype" w:cs="Palatino Linotype"/>
          <w:sz w:val="22"/>
          <w:szCs w:val="22"/>
        </w:rPr>
        <w:t xml:space="preserve">, para atender lo peticionado en el presente asunto, podría afectar a la posible responsable </w:t>
      </w:r>
      <w:r w:rsidRPr="002963F8">
        <w:rPr>
          <w:rFonts w:ascii="Palatino Linotype" w:eastAsia="Palatino Linotype" w:hAnsi="Palatino Linotype" w:cs="Palatino Linotype"/>
          <w:b/>
          <w:sz w:val="22"/>
          <w:szCs w:val="22"/>
          <w:u w:val="single"/>
        </w:rPr>
        <w:t xml:space="preserve">ya que se daría a conocer la existencia de una investigación en su contra, lo cual, generaría una percepción negativa de esta, sin que se hubiera probado su responsabilidad o culpabilidad, dañando su honor y su derecho a la presunción de inocencia e inclusive su actividad profesional. </w:t>
      </w:r>
    </w:p>
    <w:p w14:paraId="74D5358B" w14:textId="77777777" w:rsidR="001B3EF9" w:rsidRPr="002963F8" w:rsidRDefault="001B3EF9">
      <w:pPr>
        <w:tabs>
          <w:tab w:val="left" w:pos="3962"/>
        </w:tabs>
        <w:spacing w:line="360" w:lineRule="auto"/>
        <w:jc w:val="both"/>
        <w:rPr>
          <w:rFonts w:ascii="Palatino Linotype" w:eastAsia="Palatino Linotype" w:hAnsi="Palatino Linotype" w:cs="Palatino Linotype"/>
          <w:sz w:val="22"/>
          <w:szCs w:val="22"/>
        </w:rPr>
      </w:pPr>
    </w:p>
    <w:p w14:paraId="32741194" w14:textId="77777777" w:rsidR="001B3EF9" w:rsidRPr="002963F8" w:rsidRDefault="005E621C">
      <w:pPr>
        <w:tabs>
          <w:tab w:val="left" w:pos="3962"/>
        </w:tabs>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En otras palabras, dar a conocer la existencia de un procedimiento de posibles responsabilidades en trámite, vulneraría la protección de su privacidad, honor y presunción de inocencia, ya que podría generar un juicio a priori por parte de la sociedad, sin que se tenga una determinación firme, donde hubiera quedado acreditada su responsabilidad.</w:t>
      </w:r>
    </w:p>
    <w:p w14:paraId="29D32CD0"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256AFD6F" w14:textId="77777777" w:rsidR="001B3EF9" w:rsidRPr="002963F8" w:rsidRDefault="005E621C">
      <w:pPr>
        <w:tabs>
          <w:tab w:val="left" w:pos="3962"/>
        </w:tabs>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Respecto del </w:t>
      </w:r>
      <w:r w:rsidRPr="002963F8">
        <w:rPr>
          <w:rFonts w:ascii="Palatino Linotype" w:eastAsia="Palatino Linotype" w:hAnsi="Palatino Linotype" w:cs="Palatino Linotype"/>
          <w:b/>
          <w:sz w:val="22"/>
          <w:szCs w:val="22"/>
        </w:rPr>
        <w:t>derecho a la privacidad</w:t>
      </w:r>
      <w:r w:rsidRPr="002963F8">
        <w:rPr>
          <w:rFonts w:ascii="Palatino Linotype" w:eastAsia="Palatino Linotype" w:hAnsi="Palatino Linotype" w:cs="Palatino Linotype"/>
          <w:sz w:val="22"/>
          <w:szCs w:val="22"/>
        </w:rPr>
        <w:t xml:space="preserve">,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 </w:t>
      </w:r>
    </w:p>
    <w:p w14:paraId="148944F2" w14:textId="77777777" w:rsidR="001B3EF9" w:rsidRPr="002963F8" w:rsidRDefault="001B3EF9">
      <w:pPr>
        <w:tabs>
          <w:tab w:val="left" w:pos="3962"/>
        </w:tabs>
        <w:spacing w:line="360" w:lineRule="auto"/>
        <w:jc w:val="both"/>
        <w:rPr>
          <w:rFonts w:ascii="Palatino Linotype" w:eastAsia="Palatino Linotype" w:hAnsi="Palatino Linotype" w:cs="Palatino Linotype"/>
          <w:sz w:val="22"/>
          <w:szCs w:val="22"/>
        </w:rPr>
      </w:pPr>
    </w:p>
    <w:p w14:paraId="7126C589" w14:textId="77777777" w:rsidR="001B3EF9" w:rsidRPr="002963F8" w:rsidRDefault="005E621C">
      <w:pPr>
        <w:tabs>
          <w:tab w:val="left" w:pos="3962"/>
        </w:tabs>
        <w:spacing w:line="276" w:lineRule="auto"/>
        <w:ind w:left="851"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DERECHO A LA PRIVACIDAD O INTIMIDAD. ESTÁ PROTEGIDO POR EL ARTÍCULO 16, PRIMER PÁRRAFO, DE LA CONSTITUCIÓN POLÍTICA DE LOS ESTADOS UNIDOS MEXICANOS</w:t>
      </w:r>
      <w:r w:rsidRPr="002963F8">
        <w:rPr>
          <w:rFonts w:ascii="Palatino Linotype" w:eastAsia="Palatino Linotype" w:hAnsi="Palatino Linotype" w:cs="Palatino Linotype"/>
          <w:i/>
          <w:sz w:val="22"/>
          <w:szCs w:val="22"/>
        </w:rPr>
        <w:t xml:space="preserve">. Dicho numeral establece, en general, la garantía de seguridad jurídica de todo gobernado a no ser molestado en su persona, familia, papeles o posesiones, sino cuando medie mandato de autoridad competente debidamente fundado y motivado, de lo que </w:t>
      </w:r>
      <w:r w:rsidRPr="002963F8">
        <w:rPr>
          <w:rFonts w:ascii="Palatino Linotype" w:eastAsia="Palatino Linotype" w:hAnsi="Palatino Linotype" w:cs="Palatino Linotype"/>
          <w:i/>
          <w:sz w:val="22"/>
          <w:szCs w:val="22"/>
        </w:rPr>
        <w:lastRenderedPageBreak/>
        <w:t>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14:paraId="77751FDD" w14:textId="77777777" w:rsidR="001B3EF9" w:rsidRPr="002963F8" w:rsidRDefault="001B3EF9">
      <w:pPr>
        <w:tabs>
          <w:tab w:val="left" w:pos="3962"/>
        </w:tabs>
        <w:spacing w:line="276" w:lineRule="auto"/>
        <w:ind w:left="851" w:right="902"/>
        <w:jc w:val="both"/>
        <w:rPr>
          <w:rFonts w:ascii="Palatino Linotype" w:eastAsia="Palatino Linotype" w:hAnsi="Palatino Linotype" w:cs="Palatino Linotype"/>
          <w:i/>
          <w:sz w:val="22"/>
          <w:szCs w:val="22"/>
        </w:rPr>
      </w:pPr>
    </w:p>
    <w:p w14:paraId="63544E4E" w14:textId="77777777" w:rsidR="001B3EF9" w:rsidRPr="002963F8" w:rsidRDefault="005E621C">
      <w:pPr>
        <w:tabs>
          <w:tab w:val="left" w:pos="3962"/>
        </w:tabs>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Como se observa, la garantía de seguridad jurídica conlleva que los individuos no sean molestados en su persona, familia, papeles o posesiones, salvo cuando medie mandato de autoridad competente debidamente fundado y motivado, de lo que deriva el respeto a un ámbito de la vida privada personal y familiar y quedar excluido del conocimiento ajeno y de las intromisiones de los demás, con la limitante prevista en la Constitución Política de los Estados Unidos Mexicanos. </w:t>
      </w:r>
    </w:p>
    <w:p w14:paraId="344CEB44" w14:textId="77777777" w:rsidR="001B3EF9" w:rsidRPr="002963F8" w:rsidRDefault="001B3EF9">
      <w:pPr>
        <w:tabs>
          <w:tab w:val="left" w:pos="3962"/>
        </w:tabs>
        <w:spacing w:line="360" w:lineRule="auto"/>
        <w:jc w:val="both"/>
        <w:rPr>
          <w:rFonts w:ascii="Palatino Linotype" w:eastAsia="Palatino Linotype" w:hAnsi="Palatino Linotype" w:cs="Palatino Linotype"/>
          <w:sz w:val="22"/>
          <w:szCs w:val="22"/>
        </w:rPr>
      </w:pPr>
    </w:p>
    <w:p w14:paraId="05EA5CE2" w14:textId="77777777" w:rsidR="001B3EF9" w:rsidRPr="002963F8" w:rsidRDefault="005E621C">
      <w:pPr>
        <w:tabs>
          <w:tab w:val="left" w:pos="3962"/>
        </w:tabs>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Es decir, en el artículo 16, primer párrafo constitucional, se da el reconocimiento de un derecho a la privacidad de las personas que implica no ser sujeto de injerencias arbitrarias, intromisiones o molestias en el ámbito reservado de su vida o intimidad, ni de ataques a su honra o a su reputación, por lo que toda persona tiene derecho a la protección de la ley contra tales injerencias o ataques.</w:t>
      </w:r>
    </w:p>
    <w:p w14:paraId="0AFA0107" w14:textId="77777777" w:rsidR="001B3EF9" w:rsidRPr="002963F8" w:rsidRDefault="001B3EF9">
      <w:pPr>
        <w:tabs>
          <w:tab w:val="left" w:pos="3962"/>
        </w:tabs>
        <w:spacing w:line="360" w:lineRule="auto"/>
        <w:jc w:val="both"/>
        <w:rPr>
          <w:rFonts w:ascii="Palatino Linotype" w:eastAsia="Palatino Linotype" w:hAnsi="Palatino Linotype" w:cs="Palatino Linotype"/>
          <w:sz w:val="22"/>
          <w:szCs w:val="22"/>
        </w:rPr>
      </w:pPr>
    </w:p>
    <w:p w14:paraId="3406227D" w14:textId="77777777" w:rsidR="001B3EF9" w:rsidRPr="002963F8" w:rsidRDefault="005E621C">
      <w:pPr>
        <w:tabs>
          <w:tab w:val="left" w:pos="3962"/>
        </w:tabs>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Por lo que hace al </w:t>
      </w:r>
      <w:r w:rsidRPr="002963F8">
        <w:rPr>
          <w:rFonts w:ascii="Palatino Linotype" w:eastAsia="Palatino Linotype" w:hAnsi="Palatino Linotype" w:cs="Palatino Linotype"/>
          <w:b/>
          <w:sz w:val="22"/>
          <w:szCs w:val="22"/>
        </w:rPr>
        <w:t>derecho al honor</w:t>
      </w:r>
      <w:r w:rsidRPr="002963F8">
        <w:rPr>
          <w:rFonts w:ascii="Palatino Linotype" w:eastAsia="Palatino Linotype" w:hAnsi="Palatino Linotype" w:cs="Palatino Linotype"/>
          <w:sz w:val="22"/>
          <w:szCs w:val="22"/>
        </w:rPr>
        <w:t xml:space="preserve">, la jurisprudencia número 1a./J. 118/2013 (10a.), emitida por la Primera Sala de la Suprema Corte de Justicia de la Nación, publicada en la Gaceta del Semanario Judicial de la Federación, Tomo I, Libro 3, de febrero de 2014, página 470, de la Décima Época, materia constitucional, señala: </w:t>
      </w:r>
    </w:p>
    <w:p w14:paraId="6A65F10C" w14:textId="77777777" w:rsidR="001B3EF9" w:rsidRPr="002963F8" w:rsidRDefault="001B3EF9">
      <w:pPr>
        <w:tabs>
          <w:tab w:val="left" w:pos="3962"/>
        </w:tabs>
        <w:spacing w:line="360" w:lineRule="auto"/>
        <w:jc w:val="both"/>
        <w:rPr>
          <w:rFonts w:ascii="Palatino Linotype" w:eastAsia="Palatino Linotype" w:hAnsi="Palatino Linotype" w:cs="Palatino Linotype"/>
          <w:sz w:val="22"/>
          <w:szCs w:val="22"/>
        </w:rPr>
      </w:pPr>
    </w:p>
    <w:p w14:paraId="63DD38D1" w14:textId="77777777" w:rsidR="001B3EF9" w:rsidRPr="002963F8" w:rsidRDefault="005E621C">
      <w:pPr>
        <w:spacing w:line="276" w:lineRule="auto"/>
        <w:ind w:left="851"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 xml:space="preserve">“DERECHO FUNDAMENTAL AL HONOR. SU DIMENSIÓN SUBJETIVA Y OBJETIVA. </w:t>
      </w:r>
      <w:r w:rsidRPr="002963F8">
        <w:rPr>
          <w:rFonts w:ascii="Palatino Linotype" w:eastAsia="Palatino Linotype" w:hAnsi="Palatino Linotype" w:cs="Palatino Linotype"/>
          <w:i/>
          <w:sz w:val="22"/>
          <w:szCs w:val="22"/>
        </w:rPr>
        <w:t xml:space="preserve">A juicio de esta Primera Sala de la Suprema Corte de Justicia de la Nación, es posible definir al honor como el </w:t>
      </w:r>
      <w:r w:rsidRPr="002963F8">
        <w:rPr>
          <w:rFonts w:ascii="Palatino Linotype" w:eastAsia="Palatino Linotype" w:hAnsi="Palatino Linotype" w:cs="Palatino Linotype"/>
          <w:b/>
          <w:i/>
          <w:sz w:val="22"/>
          <w:szCs w:val="22"/>
        </w:rPr>
        <w:t>concepto que la persona tiene de sí misma o que los demás se han formado de ella, en virtud de su proceder o de la expresión de su calidad ética y social</w:t>
      </w:r>
      <w:r w:rsidRPr="002963F8">
        <w:rPr>
          <w:rFonts w:ascii="Palatino Linotype" w:eastAsia="Palatino Linotype" w:hAnsi="Palatino Linotype" w:cs="Palatino Linotype"/>
          <w:i/>
          <w:sz w:val="22"/>
          <w:szCs w:val="22"/>
        </w:rPr>
        <w:t>.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38D99380" w14:textId="77777777" w:rsidR="001B3EF9" w:rsidRPr="002963F8" w:rsidRDefault="001B3EF9">
      <w:pPr>
        <w:spacing w:line="276" w:lineRule="auto"/>
        <w:ind w:left="851" w:right="902"/>
        <w:jc w:val="both"/>
        <w:rPr>
          <w:rFonts w:ascii="Palatino Linotype" w:eastAsia="Palatino Linotype" w:hAnsi="Palatino Linotype" w:cs="Palatino Linotype"/>
          <w:sz w:val="22"/>
          <w:szCs w:val="22"/>
        </w:rPr>
      </w:pPr>
    </w:p>
    <w:p w14:paraId="0DFC6CB8"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Como se observa, el honor es el concepto que la persona tiene de sí misma o que los demás se han formado de ella, en virtud de su proceder o de la expresión de su calidad ética y social. </w:t>
      </w:r>
    </w:p>
    <w:p w14:paraId="27E392CE"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6083B902" w14:textId="77777777" w:rsidR="001B3EF9" w:rsidRPr="002963F8" w:rsidRDefault="005E621C">
      <w:pPr>
        <w:spacing w:line="360" w:lineRule="auto"/>
        <w:jc w:val="both"/>
        <w:rPr>
          <w:rFonts w:ascii="Palatino Linotype" w:eastAsia="Palatino Linotype" w:hAnsi="Palatino Linotype" w:cs="Palatino Linotype"/>
          <w:b/>
          <w:sz w:val="22"/>
          <w:szCs w:val="22"/>
        </w:rPr>
      </w:pPr>
      <w:r w:rsidRPr="002963F8">
        <w:rPr>
          <w:rFonts w:ascii="Palatino Linotype" w:eastAsia="Palatino Linotype" w:hAnsi="Palatino Linotype" w:cs="Palatino Linotype"/>
          <w:sz w:val="22"/>
          <w:szCs w:val="22"/>
        </w:rPr>
        <w:t xml:space="preserve">En el ámbito de lo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w:t>
      </w:r>
      <w:r w:rsidRPr="002963F8">
        <w:rPr>
          <w:rFonts w:ascii="Palatino Linotype" w:eastAsia="Palatino Linotype" w:hAnsi="Palatino Linotype" w:cs="Palatino Linotype"/>
          <w:sz w:val="22"/>
          <w:szCs w:val="22"/>
        </w:rPr>
        <w:lastRenderedPageBreak/>
        <w:t xml:space="preserve">propia dignidad. </w:t>
      </w:r>
      <w:r w:rsidRPr="002963F8">
        <w:rPr>
          <w:rFonts w:ascii="Palatino Linotype" w:eastAsia="Palatino Linotype" w:hAnsi="Palatino Linotype" w:cs="Palatino Linotype"/>
          <w:b/>
          <w:sz w:val="22"/>
          <w:szCs w:val="22"/>
        </w:rPr>
        <w:t>En el aspecto objetivo, el honor es lesionado por todo aquello que afecta a la reputación que la persona merece.</w:t>
      </w:r>
    </w:p>
    <w:p w14:paraId="385D6934"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7299C3CF"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Adicionalmente, en relación a este derecho [al honor], el máximo tribunal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0FF9C6D3"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7C4D5268" w14:textId="77777777" w:rsidR="001B3EF9" w:rsidRPr="002963F8" w:rsidRDefault="005E621C">
      <w:pPr>
        <w:tabs>
          <w:tab w:val="left" w:pos="7938"/>
        </w:tabs>
        <w:spacing w:line="276" w:lineRule="auto"/>
        <w:ind w:left="851"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 xml:space="preserve">DERECHOS AL HONOR, A LA INTIMIDAD Y A LA PROPIA IMAGEN. CONSTITUYEN DERECHOS HUMANOS QUE SE PROTEGEN A TRAVÉS DEL ACTUAL MARCO CONSTITUCIONAL. </w:t>
      </w:r>
      <w:r w:rsidRPr="002963F8">
        <w:rPr>
          <w:rFonts w:ascii="Palatino Linotype" w:eastAsia="Palatino Linotype" w:hAnsi="Palatino Linotype" w:cs="Palatino Linotype"/>
          <w:i/>
          <w:sz w:val="22"/>
          <w:szCs w:val="22"/>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personae, como rector de la interpretación y aplicación de las normas jurídicas, en aquellas que favorezcan y brinden mayor protección a las personas, aunado a que también </w:t>
      </w:r>
      <w:r w:rsidRPr="002963F8">
        <w:rPr>
          <w:rFonts w:ascii="Palatino Linotype" w:eastAsia="Palatino Linotype" w:hAnsi="Palatino Linotype" w:cs="Palatino Linotype"/>
          <w:i/>
          <w:sz w:val="22"/>
          <w:szCs w:val="22"/>
        </w:rPr>
        <w:lastRenderedPageBreak/>
        <w:t>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w:t>
      </w:r>
    </w:p>
    <w:p w14:paraId="3D5F641B" w14:textId="77777777" w:rsidR="001B3EF9" w:rsidRPr="002963F8" w:rsidRDefault="001B3EF9">
      <w:pPr>
        <w:tabs>
          <w:tab w:val="left" w:pos="7938"/>
        </w:tabs>
        <w:spacing w:line="276" w:lineRule="auto"/>
        <w:ind w:left="851" w:right="902"/>
        <w:jc w:val="both"/>
        <w:rPr>
          <w:rFonts w:ascii="Palatino Linotype" w:eastAsia="Palatino Linotype" w:hAnsi="Palatino Linotype" w:cs="Palatino Linotype"/>
          <w:b/>
          <w:sz w:val="22"/>
          <w:szCs w:val="22"/>
        </w:rPr>
      </w:pPr>
    </w:p>
    <w:p w14:paraId="0F90311C" w14:textId="77777777" w:rsidR="001B3EF9" w:rsidRPr="002963F8" w:rsidRDefault="005E621C">
      <w:pPr>
        <w:tabs>
          <w:tab w:val="left" w:pos="3962"/>
        </w:tabs>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Tocante a la </w:t>
      </w:r>
      <w:r w:rsidRPr="002963F8">
        <w:rPr>
          <w:rFonts w:ascii="Palatino Linotype" w:eastAsia="Palatino Linotype" w:hAnsi="Palatino Linotype" w:cs="Palatino Linotype"/>
          <w:b/>
          <w:sz w:val="22"/>
          <w:szCs w:val="22"/>
        </w:rPr>
        <w:t xml:space="preserve">presunción de inocencia, </w:t>
      </w:r>
      <w:r w:rsidRPr="002963F8">
        <w:rPr>
          <w:rFonts w:ascii="Palatino Linotype" w:eastAsia="Palatino Linotype" w:hAnsi="Palatino Linotype" w:cs="Palatino Linotype"/>
          <w:sz w:val="22"/>
          <w:szCs w:val="22"/>
        </w:rPr>
        <w:t>es de mencionar que toda persona imputada tiene, entre otros, el derecho a que se presuma su inocencia mientras no se declare su responsabilidad mediante sentencia emitida por el juez de la causa, donde compruebe su culpabilidad.  tal como lo prevé la fracción I del apartado B, del artículo 20, de la Constitución Política de los Estados Unidos Mexicanos.</w:t>
      </w:r>
    </w:p>
    <w:p w14:paraId="29B8B5B9" w14:textId="77777777" w:rsidR="001B3EF9" w:rsidRPr="002963F8" w:rsidRDefault="001B3EF9">
      <w:pPr>
        <w:tabs>
          <w:tab w:val="left" w:pos="3962"/>
        </w:tabs>
        <w:spacing w:line="360" w:lineRule="auto"/>
        <w:jc w:val="both"/>
        <w:rPr>
          <w:rFonts w:ascii="Palatino Linotype" w:eastAsia="Palatino Linotype" w:hAnsi="Palatino Linotype" w:cs="Palatino Linotype"/>
          <w:sz w:val="22"/>
          <w:szCs w:val="22"/>
        </w:rPr>
      </w:pPr>
    </w:p>
    <w:p w14:paraId="2E2036AD" w14:textId="77777777" w:rsidR="001B3EF9" w:rsidRPr="002963F8" w:rsidRDefault="005E621C">
      <w:pPr>
        <w:tabs>
          <w:tab w:val="left" w:pos="3962"/>
        </w:tabs>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Sostiene lo anterior, la jurisprudencia 1a./J. 24/2014 (10a.), emitida por la Primera Sala de la Suprema Corte de Justicia de la Nación, publicada en la Gaceta del Semanario Judicial de la Federación, Tomo I, Libro 5, página 497, de abril de 2014, Décima Época, materia constitucional, de rubro y texto siguiente:</w:t>
      </w:r>
    </w:p>
    <w:p w14:paraId="24DE54BB" w14:textId="77777777" w:rsidR="001B3EF9" w:rsidRPr="002963F8" w:rsidRDefault="001B3EF9">
      <w:pPr>
        <w:tabs>
          <w:tab w:val="left" w:pos="3962"/>
        </w:tabs>
        <w:spacing w:line="360" w:lineRule="auto"/>
        <w:jc w:val="both"/>
        <w:rPr>
          <w:rFonts w:ascii="Palatino Linotype" w:eastAsia="Palatino Linotype" w:hAnsi="Palatino Linotype" w:cs="Palatino Linotype"/>
          <w:sz w:val="22"/>
          <w:szCs w:val="22"/>
        </w:rPr>
      </w:pPr>
    </w:p>
    <w:p w14:paraId="00654129" w14:textId="77777777" w:rsidR="001B3EF9" w:rsidRPr="002963F8" w:rsidRDefault="005E621C">
      <w:pPr>
        <w:tabs>
          <w:tab w:val="left" w:pos="3962"/>
        </w:tabs>
        <w:spacing w:line="276" w:lineRule="auto"/>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PRESUNCIÓN DE INOCENCIA COMO REGLA DE TRATO PROCESAL</w:t>
      </w:r>
      <w:r w:rsidRPr="002963F8">
        <w:rPr>
          <w:rFonts w:ascii="Palatino Linotype" w:eastAsia="Palatino Linotype" w:hAnsi="Palatino Linotype" w:cs="Palatino Linotype"/>
          <w:i/>
          <w:sz w:val="22"/>
          <w:szCs w:val="22"/>
        </w:rPr>
        <w:t xml:space="preserve">. La presunción de inocencia es un derecho que puede calificarse de ‘poliédrico’, en el sentido de que tiene múltiples manifestaciones o vertientes relacionadas con garantías encaminadas a regular distintos aspectos del proceso penal. Una de sus vertientes se manifiesta como "regla de trato procesal" o "regla de tratamiento" del imputado, en la medida en que este derecho establece la forma en la que debe tratarse </w:t>
      </w:r>
      <w:r w:rsidRPr="002963F8">
        <w:rPr>
          <w:rFonts w:ascii="Palatino Linotype" w:eastAsia="Palatino Linotype" w:hAnsi="Palatino Linotype" w:cs="Palatino Linotype"/>
          <w:i/>
          <w:sz w:val="22"/>
          <w:szCs w:val="22"/>
        </w:rPr>
        <w:lastRenderedPageBreak/>
        <w:t>a una persona que está sometida a proceso penal. En este sentido, la presunción de inocencia comporta el derecho de toda persona a ser tratado como inocente en tanto no se declare su culpabilidad por virtud de una sentencia condenatoria. Dicha manifestación de la presunción de inocencia ordena a los jueces impedir en la mayor medida posible la aplicación de medidas que impliquen una equiparación de hecho entre imputado y culpable, es decir, conlleva la prohibición de cualquier tipo de resolución judicial que suponga la anticipación de la pena.”</w:t>
      </w:r>
    </w:p>
    <w:p w14:paraId="4781705A" w14:textId="77777777" w:rsidR="001B3EF9" w:rsidRPr="002963F8" w:rsidRDefault="001B3EF9">
      <w:pPr>
        <w:tabs>
          <w:tab w:val="left" w:pos="3962"/>
        </w:tabs>
        <w:spacing w:line="276" w:lineRule="auto"/>
        <w:ind w:left="992" w:right="902"/>
        <w:jc w:val="both"/>
        <w:rPr>
          <w:rFonts w:ascii="Palatino Linotype" w:eastAsia="Palatino Linotype" w:hAnsi="Palatino Linotype" w:cs="Palatino Linotype"/>
          <w:sz w:val="22"/>
          <w:szCs w:val="22"/>
        </w:rPr>
      </w:pPr>
    </w:p>
    <w:p w14:paraId="4BBFF7D9" w14:textId="77777777" w:rsidR="001B3EF9" w:rsidRPr="002963F8" w:rsidRDefault="005E621C">
      <w:pPr>
        <w:tabs>
          <w:tab w:val="left" w:pos="3962"/>
        </w:tabs>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De la jurisprudencia transcrita deviene que la presunción de inocencia se traduce en el derecho de toda persona a ser tratado como inocente en tanto no se declare su culpabilidad por virtud de una sentencia condenatoria. Dicha manifestación, conlleva la prohibición de cualquier tipo de resolución judicial que suponga la anticipación de la pena, siendo importante mencionar que dicho Derecho se encuentra regulado, de la misma manera, en Declaración Universal de los Derechos Humanos, así como, el Pacto Internacional de Derechos Civiles y Políticos y la Convención Americana sobre Derechos Humanos.</w:t>
      </w:r>
    </w:p>
    <w:p w14:paraId="1E942F2E" w14:textId="77777777" w:rsidR="001B3EF9" w:rsidRPr="002963F8" w:rsidRDefault="001B3EF9">
      <w:pPr>
        <w:tabs>
          <w:tab w:val="left" w:pos="3962"/>
        </w:tabs>
        <w:spacing w:line="360" w:lineRule="auto"/>
        <w:jc w:val="both"/>
        <w:rPr>
          <w:rFonts w:ascii="Palatino Linotype" w:eastAsia="Palatino Linotype" w:hAnsi="Palatino Linotype" w:cs="Palatino Linotype"/>
          <w:sz w:val="22"/>
          <w:szCs w:val="22"/>
        </w:rPr>
      </w:pPr>
    </w:p>
    <w:p w14:paraId="35E2A80A" w14:textId="77777777" w:rsidR="001B3EF9" w:rsidRPr="002963F8" w:rsidRDefault="005E621C">
      <w:pPr>
        <w:tabs>
          <w:tab w:val="left" w:pos="3962"/>
        </w:tabs>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En el mismo orden de ideas, la tesis aislada número 2a. XXXV/2007, emitida por la Segunda Sala de la Suprema Corte de Justicia de la Nación, publicada en la Gaceta del Semanario Judicial de la Federación, Tomo XXV, de mayo de dos mil siete, página 1186, de la Novena Época, materia constitucional y penal, establece:</w:t>
      </w:r>
    </w:p>
    <w:p w14:paraId="5355678A" w14:textId="77777777" w:rsidR="001B3EF9" w:rsidRPr="002963F8" w:rsidRDefault="001B3EF9">
      <w:pPr>
        <w:tabs>
          <w:tab w:val="left" w:pos="3962"/>
        </w:tabs>
        <w:spacing w:line="360" w:lineRule="auto"/>
        <w:jc w:val="both"/>
        <w:rPr>
          <w:rFonts w:ascii="Palatino Linotype" w:eastAsia="Palatino Linotype" w:hAnsi="Palatino Linotype" w:cs="Palatino Linotype"/>
          <w:sz w:val="22"/>
          <w:szCs w:val="22"/>
        </w:rPr>
      </w:pPr>
    </w:p>
    <w:p w14:paraId="0E720628" w14:textId="77777777" w:rsidR="001B3EF9" w:rsidRPr="002963F8" w:rsidRDefault="005E621C">
      <w:pPr>
        <w:spacing w:line="276" w:lineRule="auto"/>
        <w:ind w:left="567"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 xml:space="preserve">“PRESUNCIÓN DE INOCENCIA. ALCANCES DE ESE PRINCIPIO CONSTITUCIONAL. </w:t>
      </w:r>
      <w:r w:rsidRPr="002963F8">
        <w:rPr>
          <w:rFonts w:ascii="Palatino Linotype" w:eastAsia="Palatino Linotype" w:hAnsi="Palatino Linotype" w:cs="Palatino Linotype"/>
          <w:i/>
          <w:sz w:val="22"/>
          <w:szCs w:val="22"/>
        </w:rPr>
        <w:t xml:space="preserve">El principio de presunción de inocencia que en materia procesal penal impone la obligación de arrojar la carga de la prueba al acusador, es un derecho fundamental que la Constitución Política de los Estados Unidos Mexicanos reconoce y garantiza en general, cuyo alcance trasciende la órbita del debido proceso, pues con su aplicación se garantiza la protección de otros derechos fundamentales como son la dignidad humana, la libertad, la honra y el buen nombre, que podrían resultar vulnerados por actuaciones penales o disciplinarias irregulares. En consecuencia, este principio opera también en las situaciones extraprocesales y </w:t>
      </w:r>
      <w:r w:rsidRPr="002963F8">
        <w:rPr>
          <w:rFonts w:ascii="Palatino Linotype" w:eastAsia="Palatino Linotype" w:hAnsi="Palatino Linotype" w:cs="Palatino Linotype"/>
          <w:i/>
          <w:sz w:val="22"/>
          <w:szCs w:val="22"/>
        </w:rPr>
        <w:lastRenderedPageBreak/>
        <w:t>constituye el derecho a recibir la consideración y el trato de "no autor o no partícipe" en un hecho de carácter delictivo o en otro tipo de infracciones mientras no se demuestre la culpabilidad; por ende, otorga el derecho a que no se apliquen las consecuencias a los efectos jurídicos privativos vinculados a tales hechos, en cualquier materia.”</w:t>
      </w:r>
    </w:p>
    <w:p w14:paraId="4762EB05" w14:textId="77777777" w:rsidR="001B3EF9" w:rsidRPr="002963F8" w:rsidRDefault="001B3EF9">
      <w:pPr>
        <w:spacing w:after="120" w:line="259" w:lineRule="auto"/>
        <w:ind w:left="851" w:right="1134"/>
        <w:jc w:val="both"/>
        <w:rPr>
          <w:rFonts w:ascii="Palatino Linotype" w:eastAsia="Palatino Linotype" w:hAnsi="Palatino Linotype" w:cs="Palatino Linotype"/>
          <w:i/>
          <w:sz w:val="22"/>
          <w:szCs w:val="22"/>
        </w:rPr>
      </w:pPr>
    </w:p>
    <w:p w14:paraId="38DF0B63" w14:textId="77777777" w:rsidR="001B3EF9" w:rsidRPr="002963F8" w:rsidRDefault="005E621C">
      <w:pPr>
        <w:tabs>
          <w:tab w:val="left" w:pos="3962"/>
        </w:tabs>
        <w:spacing w:before="120"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Como se observa, el Alto Tribunal sostiene que el principio de presunción de inocencia va más allá del ámbito estrictamente procesal, en aras de proteger la esfera jurídica de las personas que se ve en peligro ante actuaciones arbitrarias por parte del poder público. Así, dicho principio guarda también una faceta “extraprocesal” que se materializa a través de un trato de inocente para el inculpado mientras no se demuestre su culpabilidad.</w:t>
      </w:r>
    </w:p>
    <w:p w14:paraId="5FC4B65F" w14:textId="77777777" w:rsidR="001B3EF9" w:rsidRPr="002963F8" w:rsidRDefault="001B3EF9">
      <w:pPr>
        <w:tabs>
          <w:tab w:val="left" w:pos="3962"/>
        </w:tabs>
        <w:spacing w:line="360" w:lineRule="auto"/>
        <w:jc w:val="both"/>
        <w:rPr>
          <w:rFonts w:ascii="Palatino Linotype" w:eastAsia="Palatino Linotype" w:hAnsi="Palatino Linotype" w:cs="Palatino Linotype"/>
          <w:sz w:val="22"/>
          <w:szCs w:val="22"/>
        </w:rPr>
      </w:pPr>
    </w:p>
    <w:p w14:paraId="18953973" w14:textId="77777777" w:rsidR="001B3EF9" w:rsidRPr="002963F8" w:rsidRDefault="005E621C">
      <w:pPr>
        <w:tabs>
          <w:tab w:val="left" w:pos="3962"/>
        </w:tabs>
        <w:spacing w:line="360" w:lineRule="auto"/>
        <w:jc w:val="both"/>
        <w:rPr>
          <w:rFonts w:ascii="Palatino Linotype" w:eastAsia="Palatino Linotype" w:hAnsi="Palatino Linotype" w:cs="Palatino Linotype"/>
          <w:b/>
          <w:sz w:val="22"/>
          <w:szCs w:val="22"/>
          <w:u w:val="single"/>
        </w:rPr>
      </w:pPr>
      <w:r w:rsidRPr="002963F8">
        <w:rPr>
          <w:rFonts w:ascii="Palatino Linotype" w:eastAsia="Palatino Linotype" w:hAnsi="Palatino Linotype" w:cs="Palatino Linotype"/>
          <w:sz w:val="22"/>
          <w:szCs w:val="22"/>
        </w:rPr>
        <w:t xml:space="preserve">Conforme a lo expuesto, </w:t>
      </w:r>
      <w:r w:rsidRPr="002963F8">
        <w:rPr>
          <w:rFonts w:ascii="Palatino Linotype" w:eastAsia="Palatino Linotype" w:hAnsi="Palatino Linotype" w:cs="Palatino Linotype"/>
          <w:b/>
          <w:sz w:val="22"/>
          <w:szCs w:val="22"/>
          <w:u w:val="single"/>
        </w:rPr>
        <w:t>pronunciarse sobre la existencia de un procedimiento en trámite de probable responsabilidad generaría un juicio a priori o un juicio negativo en contra de una persona que en su momento fungió como Tesorera Municipal, por parte de la sociedad, sin que se hubieran reunido los elementos para establecer si son o no responsables, vulnerando así la protección de su intimidad, su honor, la buena imagen y su Derecho a la presunción de inocencia.</w:t>
      </w:r>
    </w:p>
    <w:p w14:paraId="2FC9A993" w14:textId="77777777" w:rsidR="001B3EF9" w:rsidRPr="002963F8" w:rsidRDefault="001B3EF9">
      <w:pPr>
        <w:tabs>
          <w:tab w:val="left" w:pos="3962"/>
        </w:tabs>
        <w:spacing w:line="360" w:lineRule="auto"/>
        <w:jc w:val="both"/>
        <w:rPr>
          <w:rFonts w:ascii="Palatino Linotype" w:eastAsia="Palatino Linotype" w:hAnsi="Palatino Linotype" w:cs="Palatino Linotype"/>
          <w:b/>
          <w:sz w:val="22"/>
          <w:szCs w:val="22"/>
          <w:u w:val="single"/>
        </w:rPr>
      </w:pPr>
    </w:p>
    <w:p w14:paraId="667B3A1A" w14:textId="77777777" w:rsidR="001B3EF9" w:rsidRPr="002963F8" w:rsidRDefault="005E621C">
      <w:pPr>
        <w:tabs>
          <w:tab w:val="left" w:pos="3962"/>
        </w:tabs>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Bajo lo previo, se considera que</w:t>
      </w:r>
      <w:r w:rsidRPr="002963F8">
        <w:rPr>
          <w:rFonts w:ascii="Palatino Linotype" w:eastAsia="Palatino Linotype" w:hAnsi="Palatino Linotype" w:cs="Palatino Linotype"/>
          <w:b/>
          <w:sz w:val="22"/>
          <w:szCs w:val="22"/>
        </w:rPr>
        <w:t xml:space="preserve"> </w:t>
      </w:r>
      <w:r w:rsidRPr="002963F8">
        <w:rPr>
          <w:rFonts w:ascii="Palatino Linotype" w:eastAsia="Palatino Linotype" w:hAnsi="Palatino Linotype" w:cs="Palatino Linotype"/>
          <w:b/>
          <w:sz w:val="22"/>
          <w:szCs w:val="22"/>
          <w:u w:val="single"/>
        </w:rPr>
        <w:t xml:space="preserve">el pronunciamiento en sentido afirmativo o negativo, respecto de la existencia de procedimientos en trámite de responsabilidad por faltas graves o no graves; instaurados al veintitrés de mayo de dos mil veinticuatro ante la Contraloría Interna Municipal, en contra de la persona señalada en la solicitud de información que en su momento fungió como Tesorera Municipal; daría a conocer una circunstancia en particular de una persona determinada, lo cual, generaría una percepción negativa de estos, sin que se hubiera probado su responsabilidad o culpabilidad, por ende, procede la clasificación de dicha manifestación, en términos del artículo 143, </w:t>
      </w:r>
      <w:r w:rsidRPr="002963F8">
        <w:rPr>
          <w:rFonts w:ascii="Palatino Linotype" w:eastAsia="Palatino Linotype" w:hAnsi="Palatino Linotype" w:cs="Palatino Linotype"/>
          <w:b/>
          <w:sz w:val="22"/>
          <w:szCs w:val="22"/>
          <w:u w:val="single"/>
        </w:rPr>
        <w:lastRenderedPageBreak/>
        <w:t>fracción I, de la Ley de Transparencia y Acceso a la Información Pública del Estado de México y Municipios</w:t>
      </w:r>
      <w:r w:rsidRPr="002963F8">
        <w:rPr>
          <w:rFonts w:ascii="Palatino Linotype" w:eastAsia="Palatino Linotype" w:hAnsi="Palatino Linotype" w:cs="Palatino Linotype"/>
          <w:b/>
          <w:sz w:val="22"/>
          <w:szCs w:val="22"/>
        </w:rPr>
        <w:t xml:space="preserve">, </w:t>
      </w:r>
      <w:r w:rsidRPr="002963F8">
        <w:rPr>
          <w:rFonts w:ascii="Palatino Linotype" w:eastAsia="Palatino Linotype" w:hAnsi="Palatino Linotype" w:cs="Palatino Linotype"/>
          <w:sz w:val="22"/>
          <w:szCs w:val="22"/>
        </w:rPr>
        <w:t>que es del tenor literal siguiente:</w:t>
      </w:r>
    </w:p>
    <w:p w14:paraId="2070DF26" w14:textId="77777777" w:rsidR="001B3EF9" w:rsidRPr="002963F8" w:rsidRDefault="001B3EF9">
      <w:pPr>
        <w:tabs>
          <w:tab w:val="left" w:pos="3962"/>
        </w:tabs>
        <w:spacing w:line="360" w:lineRule="auto"/>
        <w:jc w:val="both"/>
        <w:rPr>
          <w:rFonts w:ascii="Palatino Linotype" w:eastAsia="Palatino Linotype" w:hAnsi="Palatino Linotype" w:cs="Palatino Linotype"/>
          <w:b/>
          <w:sz w:val="22"/>
          <w:szCs w:val="22"/>
          <w:u w:val="single"/>
        </w:rPr>
      </w:pPr>
    </w:p>
    <w:p w14:paraId="252D7745" w14:textId="77777777" w:rsidR="001B3EF9" w:rsidRPr="002963F8" w:rsidRDefault="005E621C">
      <w:pPr>
        <w:tabs>
          <w:tab w:val="left" w:pos="3962"/>
        </w:tabs>
        <w:spacing w:after="120" w:line="259" w:lineRule="auto"/>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Artículo 143</w:t>
      </w:r>
      <w:r w:rsidRPr="002963F8">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C4549F6" w14:textId="77777777" w:rsidR="001B3EF9" w:rsidRPr="002963F8" w:rsidRDefault="005E621C">
      <w:pPr>
        <w:tabs>
          <w:tab w:val="left" w:pos="3962"/>
        </w:tabs>
        <w:spacing w:before="120" w:after="120" w:line="259" w:lineRule="auto"/>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w:t>
      </w:r>
      <w:r w:rsidRPr="002963F8">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9334F89" w14:textId="77777777" w:rsidR="001B3EF9" w:rsidRPr="002963F8" w:rsidRDefault="001B3EF9">
      <w:pPr>
        <w:spacing w:line="360" w:lineRule="auto"/>
        <w:ind w:right="49"/>
        <w:jc w:val="both"/>
        <w:rPr>
          <w:rFonts w:ascii="Palatino Linotype" w:eastAsia="Palatino Linotype" w:hAnsi="Palatino Linotype" w:cs="Palatino Linotype"/>
          <w:sz w:val="22"/>
          <w:szCs w:val="22"/>
        </w:rPr>
      </w:pPr>
    </w:p>
    <w:p w14:paraId="707F2D8F"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Por otro lado, no podemos perder de vista que cuando se trata de actos de corrupción determinado por la autoridad responsable, no podrá invocarse la reserva del expediente, acorde a lo previsto en el artículo 142, fracción IV, de la Ley de Transparencia y Acceso a la Información Pública del Estado de México y Municipios, que dice:</w:t>
      </w:r>
    </w:p>
    <w:p w14:paraId="5A03AB47"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59CEA506" w14:textId="77777777" w:rsidR="001B3EF9" w:rsidRPr="002963F8" w:rsidRDefault="005E621C">
      <w:pPr>
        <w:ind w:left="850" w:right="901"/>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“Artículo 142. Bajo ninguna circunstancia podrá invocarse el carácter de reservado cuando: </w:t>
      </w:r>
    </w:p>
    <w:p w14:paraId="679DB609" w14:textId="77777777" w:rsidR="001B3EF9" w:rsidRPr="002963F8" w:rsidRDefault="005E621C">
      <w:pPr>
        <w:ind w:left="850" w:right="901"/>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p>
    <w:p w14:paraId="285D75D3" w14:textId="77777777" w:rsidR="001B3EF9" w:rsidRPr="002963F8" w:rsidRDefault="005E621C">
      <w:pPr>
        <w:ind w:left="850" w:right="901"/>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IV. Se trate de información relacionada con actos de corrupción de conformidad con las disposiciones jurídicas aplicables.</w:t>
      </w:r>
      <w:r w:rsidRPr="002963F8">
        <w:rPr>
          <w:rFonts w:ascii="Palatino Linotype" w:eastAsia="Palatino Linotype" w:hAnsi="Palatino Linotype" w:cs="Palatino Linotype"/>
          <w:i/>
          <w:sz w:val="22"/>
          <w:szCs w:val="22"/>
        </w:rPr>
        <w:t xml:space="preserve">” </w:t>
      </w:r>
    </w:p>
    <w:p w14:paraId="247DF17A" w14:textId="77777777" w:rsidR="001B3EF9" w:rsidRPr="002963F8" w:rsidRDefault="005E621C">
      <w:pPr>
        <w:ind w:left="850" w:right="901"/>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(Énfasis añadido)</w:t>
      </w:r>
    </w:p>
    <w:p w14:paraId="0EA59649" w14:textId="77777777" w:rsidR="001B3EF9" w:rsidRPr="002963F8" w:rsidRDefault="001B3EF9">
      <w:pPr>
        <w:jc w:val="both"/>
        <w:rPr>
          <w:rFonts w:ascii="Palatino Linotype" w:eastAsia="Palatino Linotype" w:hAnsi="Palatino Linotype" w:cs="Palatino Linotype"/>
          <w:sz w:val="22"/>
          <w:szCs w:val="22"/>
        </w:rPr>
      </w:pPr>
    </w:p>
    <w:p w14:paraId="01833482"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Sirve de analogía el criterio jurisprudencial, emitido por Suprema Corte de Justicia de la Nación, con encontrado en el libro 74, enero de 2020, Tomo I, página 562, en el Semanario Judicial de la Federación y su Gaceta, Decima Época, cuyo tenor literal es el siguiente:</w:t>
      </w:r>
    </w:p>
    <w:p w14:paraId="2182055E" w14:textId="77777777" w:rsidR="001B3EF9" w:rsidRPr="002963F8" w:rsidRDefault="001B3EF9">
      <w:pPr>
        <w:ind w:left="850" w:right="901"/>
        <w:jc w:val="both"/>
        <w:rPr>
          <w:rFonts w:ascii="Palatino Linotype" w:eastAsia="Palatino Linotype" w:hAnsi="Palatino Linotype" w:cs="Palatino Linotype"/>
          <w:i/>
          <w:sz w:val="22"/>
          <w:szCs w:val="22"/>
        </w:rPr>
      </w:pPr>
    </w:p>
    <w:p w14:paraId="1414AC16" w14:textId="77777777" w:rsidR="001B3EF9" w:rsidRPr="002963F8" w:rsidRDefault="005E621C">
      <w:pPr>
        <w:ind w:left="850" w:right="901"/>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DERECHO A LA INFORMACIÓN. NO PUEDE ALEGARSE EL CARÁCTER DE "RESERVADO" DE LAS AVERIGUACIONES PREVIAS CUANDO LA INVESTIGACIÓN VERSE SOBRE VIOLACIONES GRAVES DE DERECHOS FUNDAMENTALES O DELITOS DE LESA HUMANIDAD</w:t>
      </w:r>
      <w:r w:rsidRPr="002963F8">
        <w:rPr>
          <w:rFonts w:ascii="Palatino Linotype" w:eastAsia="Palatino Linotype" w:hAnsi="Palatino Linotype" w:cs="Palatino Linotype"/>
          <w:i/>
          <w:sz w:val="22"/>
          <w:szCs w:val="22"/>
        </w:rPr>
        <w:t xml:space="preserve">.  El artículo 14 de la abrogada Ley Federal de Transparencia y Acceso a la Información Pública Gubernamental, establece los supuestos en los cuales la información se considera reservada, entre ellos, las averiguaciones previas. Sin embargo, el último párrafo de dicho precepto señala que no puede </w:t>
      </w:r>
      <w:r w:rsidRPr="002963F8">
        <w:rPr>
          <w:rFonts w:ascii="Palatino Linotype" w:eastAsia="Palatino Linotype" w:hAnsi="Palatino Linotype" w:cs="Palatino Linotype"/>
          <w:i/>
          <w:sz w:val="22"/>
          <w:szCs w:val="22"/>
        </w:rPr>
        <w:lastRenderedPageBreak/>
        <w:t>invocarse el carácter de reservado cuando se trate de la investigación de violaciones graves de derechos fundamentales o delitos de lesa humanidad. Sobre esta excepción, es importante precisar que su justificación reside en la vertiente social del derecho a la información y en su carácter instrumental frente al goce de otros derechos humanos, en tanto que esta dimensión colectiva del derecho impacta directamente en el ejercicio y control democrático del poder, teniendo como su eje fundamental precisamente el interés general que reviste el conocimiento sobre determinada información. Desde esta perspectiva, tratándose de investigaciones sobre violaciones graves de derechos fundamentales o delitos de lesa humanidad, el derecho de acceso a la información debe prevalecer sobre la tutela que conlleva la reserva de las averiguaciones previas pues, por un lado, se afectan bienes de tal relevancia y con tal intensidad que el perjuicio trasciende de la esfera individual de la persona directamente afectada para constituirse como una afectación a la sociedad como un todo y, además, porque su conocimiento permite el ejercicio de un control y escrutinio por parte de la sociedad respecto al cumplimiento de las obligaciones a cargo del Estado ante este tipo de violaciones y delitos, estableciéndose así una relación instrumental frente a otros derechos humanos, al instituirse el derecho de acceso a la información como una garantía para su protección.”</w:t>
      </w:r>
    </w:p>
    <w:p w14:paraId="781A8B2A"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2D59B12C"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Por lo tanto, </w:t>
      </w:r>
      <w:r w:rsidRPr="002963F8">
        <w:rPr>
          <w:rFonts w:ascii="Palatino Linotype" w:eastAsia="Palatino Linotype" w:hAnsi="Palatino Linotype" w:cs="Palatino Linotype"/>
          <w:b/>
          <w:sz w:val="22"/>
          <w:szCs w:val="22"/>
        </w:rPr>
        <w:t>el Sujeto Obligado</w:t>
      </w:r>
      <w:r w:rsidRPr="002963F8">
        <w:rPr>
          <w:rFonts w:ascii="Palatino Linotype" w:eastAsia="Palatino Linotype" w:hAnsi="Palatino Linotype" w:cs="Palatino Linotype"/>
          <w:sz w:val="22"/>
          <w:szCs w:val="22"/>
        </w:rPr>
        <w:t xml:space="preserve"> deberá hacer entrega de la información que en su caso se haya generado al 23 de mayo de 2024 (fecha en que fue ingresada la solicitud de mérito), en versión pública, </w:t>
      </w:r>
      <w:r w:rsidRPr="002963F8">
        <w:rPr>
          <w:rFonts w:ascii="Palatino Linotype" w:eastAsia="Palatino Linotype" w:hAnsi="Palatino Linotype" w:cs="Palatino Linotype"/>
          <w:sz w:val="22"/>
          <w:szCs w:val="22"/>
          <w:u w:val="single"/>
        </w:rPr>
        <w:t xml:space="preserve">lo anterior </w:t>
      </w:r>
      <w:r w:rsidRPr="002963F8">
        <w:rPr>
          <w:rFonts w:ascii="Palatino Linotype" w:eastAsia="Palatino Linotype" w:hAnsi="Palatino Linotype" w:cs="Palatino Linotype"/>
          <w:b/>
          <w:sz w:val="22"/>
          <w:szCs w:val="22"/>
          <w:u w:val="single"/>
        </w:rPr>
        <w:t>únicamente para el caso de que la autoridad competente determine que  se actualiza alguno de los supuestos establecidos en el artículo 142 de la Ley de Transparencia y Acceso a la Información Pública del Estado de México y Municipios</w:t>
      </w:r>
      <w:r w:rsidRPr="002963F8">
        <w:rPr>
          <w:rFonts w:ascii="Palatino Linotype" w:eastAsia="Palatino Linotype" w:hAnsi="Palatino Linotype" w:cs="Palatino Linotype"/>
          <w:sz w:val="22"/>
          <w:szCs w:val="22"/>
        </w:rPr>
        <w:t xml:space="preserve">, que a la letra establecen: </w:t>
      </w:r>
    </w:p>
    <w:p w14:paraId="64EEBE39"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3604775C" w14:textId="77777777" w:rsidR="001B3EF9" w:rsidRPr="002963F8" w:rsidRDefault="005E621C">
      <w:pPr>
        <w:spacing w:line="276" w:lineRule="auto"/>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Artículo 142.</w:t>
      </w:r>
      <w:r w:rsidRPr="002963F8">
        <w:rPr>
          <w:rFonts w:ascii="Palatino Linotype" w:eastAsia="Palatino Linotype" w:hAnsi="Palatino Linotype" w:cs="Palatino Linotype"/>
          <w:i/>
          <w:sz w:val="22"/>
          <w:szCs w:val="22"/>
        </w:rPr>
        <w:t xml:space="preserve"> Bajo ninguna circunstancia podrá invocarse el carácter de reservado cuando: </w:t>
      </w:r>
    </w:p>
    <w:p w14:paraId="6463D86A" w14:textId="77777777" w:rsidR="001B3EF9" w:rsidRPr="002963F8" w:rsidRDefault="005E621C">
      <w:pPr>
        <w:spacing w:line="276" w:lineRule="auto"/>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I. </w:t>
      </w:r>
      <w:r w:rsidRPr="002963F8">
        <w:rPr>
          <w:rFonts w:ascii="Palatino Linotype" w:eastAsia="Palatino Linotype" w:hAnsi="Palatino Linotype" w:cs="Palatino Linotype"/>
          <w:b/>
          <w:i/>
          <w:sz w:val="22"/>
          <w:szCs w:val="22"/>
          <w:u w:val="single"/>
        </w:rPr>
        <w:t>Se trate de violaciones graves de derechos humanos</w:t>
      </w:r>
      <w:r w:rsidRPr="002963F8">
        <w:rPr>
          <w:rFonts w:ascii="Palatino Linotype" w:eastAsia="Palatino Linotype" w:hAnsi="Palatino Linotype" w:cs="Palatino Linotype"/>
          <w:i/>
          <w:sz w:val="22"/>
          <w:szCs w:val="22"/>
        </w:rPr>
        <w:t xml:space="preserve">, calificada así por autoridad competente; </w:t>
      </w:r>
    </w:p>
    <w:p w14:paraId="65724C19" w14:textId="77777777" w:rsidR="001B3EF9" w:rsidRPr="002963F8" w:rsidRDefault="005E621C">
      <w:pPr>
        <w:spacing w:line="276" w:lineRule="auto"/>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II. </w:t>
      </w:r>
      <w:r w:rsidRPr="002963F8">
        <w:rPr>
          <w:rFonts w:ascii="Palatino Linotype" w:eastAsia="Palatino Linotype" w:hAnsi="Palatino Linotype" w:cs="Palatino Linotype"/>
          <w:b/>
          <w:i/>
          <w:sz w:val="22"/>
          <w:szCs w:val="22"/>
          <w:u w:val="single"/>
        </w:rPr>
        <w:t xml:space="preserve">Se trate de la investigación de posibles violaciones graves de derechos humanos aun cuando no exista pronunciamiento previo de autoridad </w:t>
      </w:r>
      <w:r w:rsidRPr="002963F8">
        <w:rPr>
          <w:rFonts w:ascii="Palatino Linotype" w:eastAsia="Palatino Linotype" w:hAnsi="Palatino Linotype" w:cs="Palatino Linotype"/>
          <w:b/>
          <w:i/>
          <w:sz w:val="22"/>
          <w:szCs w:val="22"/>
          <w:u w:val="single"/>
        </w:rPr>
        <w:lastRenderedPageBreak/>
        <w:t>competente,</w:t>
      </w:r>
      <w:r w:rsidRPr="002963F8">
        <w:rPr>
          <w:rFonts w:ascii="Palatino Linotype" w:eastAsia="Palatino Linotype" w:hAnsi="Palatino Linotype" w:cs="Palatino Linotype"/>
          <w:i/>
          <w:sz w:val="22"/>
          <w:szCs w:val="22"/>
        </w:rPr>
        <w:t xml:space="preserve"> cuando se determine, a partir de criterios cuantitativos y cualitativos la trascendencia social de las violaciones; </w:t>
      </w:r>
    </w:p>
    <w:p w14:paraId="6CDE4301" w14:textId="77777777" w:rsidR="001B3EF9" w:rsidRPr="002963F8" w:rsidRDefault="005E621C">
      <w:pPr>
        <w:spacing w:line="276" w:lineRule="auto"/>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III. </w:t>
      </w:r>
      <w:r w:rsidRPr="002963F8">
        <w:rPr>
          <w:rFonts w:ascii="Palatino Linotype" w:eastAsia="Palatino Linotype" w:hAnsi="Palatino Linotype" w:cs="Palatino Linotype"/>
          <w:b/>
          <w:i/>
          <w:sz w:val="22"/>
          <w:szCs w:val="22"/>
          <w:u w:val="single"/>
        </w:rPr>
        <w:t>Se trate de delitos de lesa humanidad</w:t>
      </w:r>
      <w:r w:rsidRPr="002963F8">
        <w:rPr>
          <w:rFonts w:ascii="Palatino Linotype" w:eastAsia="Palatino Linotype" w:hAnsi="Palatino Linotype" w:cs="Palatino Linotype"/>
          <w:i/>
          <w:sz w:val="22"/>
          <w:szCs w:val="22"/>
        </w:rPr>
        <w:t xml:space="preserve"> conforme a los tratados ratificados por el Senado de la República, las resoluciones emitidas por organismos internacionales cuya competencia sea reconocida por el Estado Mexicano, así como en las disposiciones jurídicas aplicables; y </w:t>
      </w:r>
    </w:p>
    <w:p w14:paraId="25BD7B18" w14:textId="77777777" w:rsidR="001B3EF9" w:rsidRPr="002963F8" w:rsidRDefault="005E621C">
      <w:pPr>
        <w:spacing w:line="276" w:lineRule="auto"/>
        <w:ind w:left="567"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IV. </w:t>
      </w:r>
      <w:r w:rsidRPr="002963F8">
        <w:rPr>
          <w:rFonts w:ascii="Palatino Linotype" w:eastAsia="Palatino Linotype" w:hAnsi="Palatino Linotype" w:cs="Palatino Linotype"/>
          <w:b/>
          <w:i/>
          <w:sz w:val="22"/>
          <w:szCs w:val="22"/>
          <w:u w:val="single"/>
        </w:rPr>
        <w:t>Se trate de información relacionada con actos de corrupción</w:t>
      </w:r>
      <w:r w:rsidRPr="002963F8">
        <w:rPr>
          <w:rFonts w:ascii="Palatino Linotype" w:eastAsia="Palatino Linotype" w:hAnsi="Palatino Linotype" w:cs="Palatino Linotype"/>
          <w:i/>
          <w:sz w:val="22"/>
          <w:szCs w:val="22"/>
        </w:rPr>
        <w:t xml:space="preserve"> de conformidad con las disposiciones jurídicas aplicables.</w:t>
      </w:r>
    </w:p>
    <w:p w14:paraId="7128199D"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2A6B8A55" w14:textId="77777777" w:rsidR="001B3EF9" w:rsidRPr="002963F8" w:rsidRDefault="005E621C">
      <w:pPr>
        <w:pBdr>
          <w:top w:val="nil"/>
          <w:left w:val="nil"/>
          <w:bottom w:val="nil"/>
          <w:right w:val="nil"/>
          <w:between w:val="nil"/>
        </w:pBdr>
        <w:spacing w:line="360" w:lineRule="auto"/>
        <w:ind w:right="-91"/>
        <w:jc w:val="both"/>
        <w:rPr>
          <w:sz w:val="22"/>
          <w:szCs w:val="22"/>
        </w:rPr>
      </w:pPr>
      <w:r w:rsidRPr="002963F8">
        <w:rPr>
          <w:rFonts w:ascii="Palatino Linotype" w:eastAsia="Palatino Linotype" w:hAnsi="Palatino Linotype" w:cs="Palatino Linotype"/>
          <w:sz w:val="22"/>
          <w:szCs w:val="22"/>
        </w:rPr>
        <w:t>De no actualizarse este supuesto bastará con que así se lo haga del conocimiento del particular, en términos de lo dispuesto por el artículo 19, párrafo segundo de la Ley de Transparencia y Acceso a la Información Pública del Estado de México y Municipios, a saber:</w:t>
      </w:r>
    </w:p>
    <w:p w14:paraId="7AA6A0BD" w14:textId="77777777" w:rsidR="001B3EF9" w:rsidRPr="002963F8" w:rsidRDefault="001B3EF9">
      <w:pPr>
        <w:rPr>
          <w:sz w:val="22"/>
          <w:szCs w:val="22"/>
        </w:rPr>
      </w:pPr>
    </w:p>
    <w:p w14:paraId="657165E6" w14:textId="77777777" w:rsidR="001B3EF9" w:rsidRPr="002963F8" w:rsidRDefault="005E621C">
      <w:pPr>
        <w:pBdr>
          <w:top w:val="nil"/>
          <w:left w:val="nil"/>
          <w:bottom w:val="nil"/>
          <w:right w:val="nil"/>
          <w:between w:val="nil"/>
        </w:pBdr>
        <w:ind w:left="851" w:right="616"/>
        <w:jc w:val="both"/>
        <w:rPr>
          <w:sz w:val="22"/>
          <w:szCs w:val="22"/>
        </w:rPr>
      </w:pPr>
      <w:r w:rsidRPr="002963F8">
        <w:rPr>
          <w:rFonts w:ascii="Palatino Linotype" w:eastAsia="Palatino Linotype" w:hAnsi="Palatino Linotype" w:cs="Palatino Linotype"/>
          <w:i/>
          <w:sz w:val="22"/>
          <w:szCs w:val="22"/>
        </w:rPr>
        <w:t>“Artículo 19…</w:t>
      </w:r>
    </w:p>
    <w:p w14:paraId="4A5F1054" w14:textId="77777777" w:rsidR="001B3EF9" w:rsidRPr="002963F8" w:rsidRDefault="005E621C">
      <w:pPr>
        <w:pBdr>
          <w:top w:val="nil"/>
          <w:left w:val="nil"/>
          <w:bottom w:val="nil"/>
          <w:right w:val="nil"/>
          <w:between w:val="nil"/>
        </w:pBdr>
        <w:ind w:left="851" w:right="616"/>
        <w:jc w:val="both"/>
        <w:rPr>
          <w:sz w:val="22"/>
          <w:szCs w:val="22"/>
        </w:rPr>
      </w:pPr>
      <w:r w:rsidRPr="002963F8">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3C02564F" w14:textId="77777777" w:rsidR="001B3EF9" w:rsidRPr="002963F8" w:rsidRDefault="001B3EF9">
      <w:pPr>
        <w:rPr>
          <w:sz w:val="22"/>
          <w:szCs w:val="22"/>
        </w:rPr>
      </w:pPr>
    </w:p>
    <w:p w14:paraId="40B5EED7" w14:textId="77777777" w:rsidR="001B3EF9" w:rsidRPr="002963F8" w:rsidRDefault="005E621C">
      <w:pPr>
        <w:pBdr>
          <w:top w:val="nil"/>
          <w:left w:val="nil"/>
          <w:bottom w:val="nil"/>
          <w:right w:val="nil"/>
          <w:between w:val="nil"/>
        </w:pBdr>
        <w:spacing w:line="360" w:lineRule="auto"/>
        <w:ind w:right="-91"/>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Siendo improcedente, en tal supuesto, la entrega de documento alguno, o en su caso, el Acuerdo de Inexistencia, toda vez que el pronunciamiento del </w:t>
      </w:r>
      <w:r w:rsidRPr="002963F8">
        <w:rPr>
          <w:rFonts w:ascii="Palatino Linotype" w:eastAsia="Palatino Linotype" w:hAnsi="Palatino Linotype" w:cs="Palatino Linotype"/>
          <w:b/>
          <w:sz w:val="22"/>
          <w:szCs w:val="22"/>
        </w:rPr>
        <w:t>Sujeto Obligado</w:t>
      </w:r>
      <w:r w:rsidRPr="002963F8">
        <w:rPr>
          <w:rFonts w:ascii="Palatino Linotype" w:eastAsia="Palatino Linotype" w:hAnsi="Palatino Linotype" w:cs="Palatino Linotype"/>
          <w:sz w:val="22"/>
          <w:szCs w:val="22"/>
        </w:rPr>
        <w:t xml:space="preserve">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1E98754A" w14:textId="77777777" w:rsidR="001B3EF9" w:rsidRPr="002963F8" w:rsidRDefault="001B3EF9">
      <w:pPr>
        <w:pBdr>
          <w:top w:val="nil"/>
          <w:left w:val="nil"/>
          <w:bottom w:val="nil"/>
          <w:right w:val="nil"/>
          <w:between w:val="nil"/>
        </w:pBdr>
        <w:spacing w:line="360" w:lineRule="auto"/>
        <w:ind w:right="-91"/>
        <w:jc w:val="both"/>
        <w:rPr>
          <w:rFonts w:ascii="Palatino Linotype" w:eastAsia="Palatino Linotype" w:hAnsi="Palatino Linotype" w:cs="Palatino Linotype"/>
          <w:sz w:val="22"/>
          <w:szCs w:val="22"/>
        </w:rPr>
      </w:pPr>
    </w:p>
    <w:p w14:paraId="59D860C9" w14:textId="77777777" w:rsidR="001B3EF9" w:rsidRPr="002963F8" w:rsidRDefault="005E621C">
      <w:pPr>
        <w:numPr>
          <w:ilvl w:val="0"/>
          <w:numId w:val="5"/>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2963F8">
        <w:rPr>
          <w:rFonts w:ascii="Palatino Linotype" w:eastAsia="Palatino Linotype" w:hAnsi="Palatino Linotype" w:cs="Palatino Linotype"/>
          <w:b/>
          <w:sz w:val="22"/>
          <w:szCs w:val="22"/>
        </w:rPr>
        <w:t xml:space="preserve">De los procedimientos sobre faltas administrativas graves concluidos con sanción condenatoria. </w:t>
      </w:r>
    </w:p>
    <w:p w14:paraId="5D05F51B" w14:textId="77777777" w:rsidR="001B3EF9" w:rsidRPr="002963F8" w:rsidRDefault="001B3EF9">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4898F0D6" w14:textId="77777777" w:rsidR="001B3EF9" w:rsidRPr="002963F8" w:rsidRDefault="005E621C">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2963F8">
        <w:rPr>
          <w:rFonts w:ascii="Palatino Linotype" w:eastAsia="Palatino Linotype" w:hAnsi="Palatino Linotype" w:cs="Palatino Linotype"/>
          <w:sz w:val="22"/>
          <w:szCs w:val="22"/>
        </w:rPr>
        <w:t xml:space="preserve">En el supuesto de que los procedimientos de responsabilidades administrativas que se tuvieran instaurados ante la Contraloría Municipal instaurados en contra de la persona referida en la solicitud de información bajo el cargo de Tesorera Municipal, hubieran </w:t>
      </w:r>
      <w:r w:rsidRPr="002963F8">
        <w:rPr>
          <w:rFonts w:ascii="Palatino Linotype" w:eastAsia="Palatino Linotype" w:hAnsi="Palatino Linotype" w:cs="Palatino Linotype"/>
          <w:sz w:val="22"/>
          <w:szCs w:val="22"/>
        </w:rPr>
        <w:lastRenderedPageBreak/>
        <w:t>causado estado a la fecha de la solicitud, es decir, que ya no aceptan recurso o medio de defensa alguno, es procedente hacer entrega del soporte documental que dé cuenta del número de expediente de los procedimientos administrativos, dejando visible,</w:t>
      </w:r>
      <w:r w:rsidRPr="002963F8">
        <w:rPr>
          <w:rFonts w:ascii="Palatino Linotype" w:eastAsia="Palatino Linotype" w:hAnsi="Palatino Linotype" w:cs="Palatino Linotype"/>
          <w:b/>
          <w:sz w:val="22"/>
          <w:szCs w:val="22"/>
          <w:u w:val="single"/>
        </w:rPr>
        <w:t xml:space="preserve"> el nombre, cargo y sanción impuesta al Servidor Público condenado</w:t>
      </w:r>
      <w:r w:rsidRPr="002963F8">
        <w:rPr>
          <w:rFonts w:ascii="Palatino Linotype" w:eastAsia="Palatino Linotype" w:hAnsi="Palatino Linotype" w:cs="Palatino Linotype"/>
          <w:sz w:val="22"/>
          <w:szCs w:val="22"/>
        </w:rPr>
        <w:t>, no así todos los datos personales que en éste se encuentren, los que se deberán proteger, para lo cual el Sujeto Obligado deberá realizar y notificar el acuerdo de clasificación de la información relativa a los datos personales a efecto de que pueda emitir la versión pública de lo que se le solicitó, deberá clasificarla por la hipótesis análoga siendo aplicables los numerales de la Ley de la materia, que a la letra esgrimen:</w:t>
      </w:r>
    </w:p>
    <w:p w14:paraId="2E5C2E64" w14:textId="77777777" w:rsidR="001B3EF9" w:rsidRPr="002963F8" w:rsidRDefault="001B3EF9">
      <w:pPr>
        <w:spacing w:line="360" w:lineRule="auto"/>
        <w:ind w:right="49"/>
        <w:jc w:val="both"/>
        <w:rPr>
          <w:rFonts w:ascii="Palatino Linotype" w:eastAsia="Palatino Linotype" w:hAnsi="Palatino Linotype" w:cs="Palatino Linotype"/>
          <w:sz w:val="22"/>
          <w:szCs w:val="22"/>
        </w:rPr>
      </w:pPr>
    </w:p>
    <w:p w14:paraId="216C7458" w14:textId="77777777" w:rsidR="001B3EF9" w:rsidRPr="002963F8" w:rsidRDefault="005E621C">
      <w:pPr>
        <w:ind w:left="851" w:right="822"/>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“Artículo 3. Para los efectos de la presente Ley se entenderá por:</w:t>
      </w:r>
    </w:p>
    <w:p w14:paraId="58B8086B" w14:textId="77777777" w:rsidR="001B3EF9" w:rsidRPr="002963F8" w:rsidRDefault="005E621C">
      <w:pPr>
        <w:ind w:left="851" w:right="822"/>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w:t>
      </w:r>
    </w:p>
    <w:p w14:paraId="2727D068" w14:textId="77777777" w:rsidR="001B3EF9" w:rsidRPr="002963F8" w:rsidRDefault="005E621C">
      <w:pPr>
        <w:ind w:left="851" w:right="822"/>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IX. Datos personales: La información concerniente a una persona, identificada o identificable según lo dispuesto por la Ley de Protección de Datos Personales del Estado de México;</w:t>
      </w:r>
    </w:p>
    <w:p w14:paraId="3D72EFF6" w14:textId="77777777" w:rsidR="001B3EF9" w:rsidRPr="002963F8" w:rsidRDefault="005E621C">
      <w:pPr>
        <w:ind w:left="851" w:right="822"/>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w:t>
      </w:r>
    </w:p>
    <w:p w14:paraId="7D6C8376" w14:textId="77777777" w:rsidR="001B3EF9" w:rsidRPr="002963F8" w:rsidRDefault="005E621C">
      <w:pPr>
        <w:ind w:left="851" w:right="822"/>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XLV. Versión pública: Documento en el que se elimine, suprime o borra la información clasificada como reservada o confidencial para permitir su acceso.</w:t>
      </w:r>
    </w:p>
    <w:p w14:paraId="46FC3091" w14:textId="77777777" w:rsidR="001B3EF9" w:rsidRPr="002963F8" w:rsidRDefault="005E621C">
      <w:pPr>
        <w:ind w:left="851" w:right="82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Artículo 122. La clasificación es el proceso mediante el cual el Sujeto Obligado determina que la información en su poder actualiza alguno de los supuestos de reserva o confidencialidad, de conformidad con lo dispuesto en el presente título.</w:t>
      </w:r>
    </w:p>
    <w:p w14:paraId="53DFF754" w14:textId="77777777" w:rsidR="001B3EF9" w:rsidRPr="002963F8" w:rsidRDefault="005E621C">
      <w:pPr>
        <w:ind w:left="851" w:right="82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p>
    <w:p w14:paraId="52202463" w14:textId="77777777" w:rsidR="001B3EF9" w:rsidRPr="002963F8" w:rsidRDefault="005E621C">
      <w:pPr>
        <w:ind w:left="851" w:right="82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Artículo 132. La clasificación de la información se llevará a cabo en el momento en que:</w:t>
      </w:r>
    </w:p>
    <w:p w14:paraId="3620BFC2" w14:textId="77777777" w:rsidR="001B3EF9" w:rsidRPr="002963F8" w:rsidRDefault="005E621C">
      <w:pPr>
        <w:ind w:left="851" w:right="82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p>
    <w:p w14:paraId="21694E7E" w14:textId="77777777" w:rsidR="001B3EF9" w:rsidRPr="002963F8" w:rsidRDefault="005E621C">
      <w:pPr>
        <w:ind w:left="851" w:right="822"/>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III. Se generen versiones públicas para dar cumplimiento a las obligaciones de transparencia previstas en esta Ley.</w:t>
      </w:r>
    </w:p>
    <w:p w14:paraId="5FF50985" w14:textId="77777777" w:rsidR="001B3EF9" w:rsidRPr="002963F8" w:rsidRDefault="005E621C">
      <w:pPr>
        <w:ind w:left="851" w:right="822"/>
        <w:jc w:val="both"/>
        <w:rPr>
          <w:rFonts w:ascii="Palatino Linotype" w:eastAsia="Palatino Linotype" w:hAnsi="Palatino Linotype" w:cs="Palatino Linotype"/>
          <w:b/>
          <w:i/>
          <w:sz w:val="22"/>
          <w:szCs w:val="22"/>
          <w:u w:val="single"/>
        </w:rPr>
      </w:pPr>
      <w:r w:rsidRPr="002963F8">
        <w:rPr>
          <w:rFonts w:ascii="Palatino Linotype" w:eastAsia="Palatino Linotype" w:hAnsi="Palatino Linotype" w:cs="Palatino Linotype"/>
          <w:b/>
          <w:i/>
          <w:sz w:val="22"/>
          <w:szCs w:val="22"/>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2963F8">
        <w:rPr>
          <w:rFonts w:ascii="Palatino Linotype" w:eastAsia="Palatino Linotype" w:hAnsi="Palatino Linotype" w:cs="Palatino Linotype"/>
          <w:b/>
          <w:i/>
          <w:sz w:val="22"/>
          <w:szCs w:val="22"/>
          <w:u w:val="single"/>
        </w:rPr>
        <w:t>de manera genérica y fundando y motivando su clasificación.” (Sic)</w:t>
      </w:r>
    </w:p>
    <w:p w14:paraId="567B13AC" w14:textId="77777777" w:rsidR="001B3EF9" w:rsidRPr="002963F8" w:rsidRDefault="001B3EF9">
      <w:pPr>
        <w:spacing w:line="360" w:lineRule="auto"/>
        <w:ind w:right="49"/>
        <w:jc w:val="both"/>
        <w:rPr>
          <w:rFonts w:ascii="Palatino Linotype" w:eastAsia="Palatino Linotype" w:hAnsi="Palatino Linotype" w:cs="Palatino Linotype"/>
          <w:b/>
          <w:i/>
          <w:sz w:val="22"/>
          <w:szCs w:val="22"/>
          <w:u w:val="single"/>
        </w:rPr>
      </w:pPr>
    </w:p>
    <w:p w14:paraId="4AAE9DF4"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14:paraId="27EE65C5"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7FC2FF05"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6BE5574"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7EE13FE5"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Así, los LINEAMIENTOS GENERALES EN MATERIA DE CLASIFICACIÓN Y DESCLASIFICACIÓN DE LA INFORMACIÓN, ASÍ COMO PARA LA ELABORACIÓN DE VERSIONES PÚBLICAS, emitidos por Consejo Nacional del Sistema Nacional de Transparencia, vigentes señalan con claridad cuáles son aquellos datos personales que deben ser clasificados al momento de la elaboración de las versiones públicas. </w:t>
      </w:r>
    </w:p>
    <w:p w14:paraId="225D1EAB"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696E3DF1"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Efectivamente, cuando se clasifica información como confidencial o reservada </w:t>
      </w:r>
      <w:r w:rsidRPr="002963F8">
        <w:rPr>
          <w:rFonts w:ascii="Palatino Linotype" w:eastAsia="Palatino Linotype" w:hAnsi="Palatino Linotype" w:cs="Palatino Linotype"/>
          <w:b/>
          <w:sz w:val="22"/>
          <w:szCs w:val="22"/>
        </w:rPr>
        <w:t>es deber someterlo al Comité de Transparencia</w:t>
      </w:r>
      <w:r w:rsidRPr="002963F8">
        <w:rPr>
          <w:rFonts w:ascii="Palatino Linotype" w:eastAsia="Palatino Linotype" w:hAnsi="Palatino Linotype" w:cs="Palatino Linotype"/>
          <w:sz w:val="22"/>
          <w:szCs w:val="22"/>
        </w:rPr>
        <w:t xml:space="preserve">, quien debe confirmar, modificar o revocar las determinaciones en materia de clasificación de la información que realicen los titulares de las áreas de los sujetos obligados; por lo tanto, la entrega de documentos en su versión </w:t>
      </w:r>
      <w:r w:rsidRPr="002963F8">
        <w:rPr>
          <w:rFonts w:ascii="Palatino Linotype" w:eastAsia="Palatino Linotype" w:hAnsi="Palatino Linotype" w:cs="Palatino Linotype"/>
          <w:sz w:val="22"/>
          <w:szCs w:val="22"/>
        </w:rPr>
        <w:lastRenderedPageBreak/>
        <w:t>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54B2CC1"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7000B8A9" w14:textId="77777777" w:rsidR="001B3EF9" w:rsidRPr="002963F8" w:rsidRDefault="005E621C">
      <w:pPr>
        <w:spacing w:line="360" w:lineRule="auto"/>
        <w:jc w:val="both"/>
        <w:rPr>
          <w:rFonts w:ascii="Palatino Linotype" w:eastAsia="Palatino Linotype" w:hAnsi="Palatino Linotype" w:cs="Palatino Linotype"/>
          <w:b/>
          <w:sz w:val="22"/>
          <w:szCs w:val="22"/>
          <w:u w:val="single"/>
        </w:rPr>
      </w:pPr>
      <w:r w:rsidRPr="002963F8">
        <w:rPr>
          <w:rFonts w:ascii="Palatino Linotype" w:eastAsia="Palatino Linotype" w:hAnsi="Palatino Linotype" w:cs="Palatino Linotype"/>
          <w:sz w:val="22"/>
          <w:szCs w:val="22"/>
        </w:rPr>
        <w:t xml:space="preserve">Por otro lado, </w:t>
      </w:r>
      <w:r w:rsidRPr="002963F8">
        <w:rPr>
          <w:rFonts w:ascii="Palatino Linotype" w:eastAsia="Palatino Linotype" w:hAnsi="Palatino Linotype" w:cs="Palatino Linotype"/>
          <w:b/>
          <w:sz w:val="22"/>
          <w:szCs w:val="22"/>
        </w:rPr>
        <w:t>si bien es cierto, que entregar el nombre de los servidores públicos que obtuvieron alguna sanción, podría generar una percepción negativa de estos,</w:t>
      </w:r>
      <w:r w:rsidRPr="002963F8">
        <w:rPr>
          <w:rFonts w:ascii="Palatino Linotype" w:eastAsia="Palatino Linotype" w:hAnsi="Palatino Linotype" w:cs="Palatino Linotype"/>
          <w:sz w:val="22"/>
          <w:szCs w:val="22"/>
        </w:rPr>
        <w:t xml:space="preserve"> ocasionando un perjuicio en su honor, intimidad, buena imagen y nombre, así como a su vida privada, </w:t>
      </w:r>
      <w:r w:rsidRPr="002963F8">
        <w:rPr>
          <w:rFonts w:ascii="Palatino Linotype" w:eastAsia="Palatino Linotype" w:hAnsi="Palatino Linotype" w:cs="Palatino Linotype"/>
          <w:b/>
          <w:sz w:val="22"/>
          <w:szCs w:val="22"/>
          <w:u w:val="single"/>
        </w:rPr>
        <w:t>también lo es, que en el presente caso se trata de responsabilidades graves.</w:t>
      </w:r>
    </w:p>
    <w:p w14:paraId="66B90F59"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648EAF02"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Al respecto, se puede establecer responsabilidades graves, cuando un servidor público cometa actos de corrupción, desvío de recursos públicos, abuso de funciones, realizar hostigamiento y acoso sexual, enriquecimiento oculto, tráfico de influencias, entre otros, los cuales recaer en diversas sanciones, entre las que se encuentran la recisión, o en su caso, la sanción económica.</w:t>
      </w:r>
    </w:p>
    <w:p w14:paraId="50DCCC39"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41938125"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y enriquecimiento ilícito.</w:t>
      </w:r>
    </w:p>
    <w:p w14:paraId="52CE4B7F"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4F3325EC"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lastRenderedPageBreak/>
        <w:t>Conforme a lo anterior, se logra vislumbrar que las responsabilidades graves, causan un perjuicio de manera externa, esto es, a terceras personas o bien, a la hacienda o erario público; por lo que, se podría considerar que existe una trascendencia social, para dar a conocer dicha información, además que se relacionan dichas conductas con actos de corrupción, conforme a la normatividad citada en el párrafo previo.</w:t>
      </w:r>
    </w:p>
    <w:p w14:paraId="78429FF4"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2EFF4FF3"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En ese orden de ideas, si bien los procedimientos solicitados, podrían generar una percepción negativa de los servidores públicos que les acreditó una responsabilidad grave, ocasionaría un perjuicio en su honor, intimidad y buena imagen, </w:t>
      </w:r>
      <w:r w:rsidRPr="002963F8">
        <w:rPr>
          <w:rFonts w:ascii="Palatino Linotype" w:eastAsia="Palatino Linotype" w:hAnsi="Palatino Linotype" w:cs="Palatino Linotype"/>
          <w:b/>
          <w:sz w:val="22"/>
          <w:szCs w:val="22"/>
        </w:rPr>
        <w:t>también lo es que existe un interés público en darlas a conocer, pues establecen que el actuar de los Servidores Públicos, en ejercicio de sus atribuciones, fueron en contra de las disposiciones normativas aplicables y que causaron un perjuicio a otras personas o al erario público.</w:t>
      </w:r>
    </w:p>
    <w:p w14:paraId="13AADDF2"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1D113707"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Ante tales circunstancias, se desprende que, en el caso concreto, sobreviene una colisión de derechos fundamentales, esto es, por una parte, se tiene el derecho de acceso a la información de la Particular para conocer la información en análisis, y por la otra, el derecho a la protección de la vida privada de diversos servidores públicos, lo cual implica dar a conocer información confidencial, consistente en los procedimientos en donde se les acreditó una responsabilidad grave, de tal manera, en que los puedan reconocer. </w:t>
      </w:r>
    </w:p>
    <w:p w14:paraId="3878BE2B"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0B243B0F"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07FA7436"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2E48F337"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lastRenderedPageBreak/>
        <w:t>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3FA75647"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11A5BEB5"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En ese mismo sentido y atendiendo a la naturaleza del derecho a la protección de datos personales, por analogía, este debe ceder cuando exista un interés público mayor de acuerdo a las circunstancias del caso. Señalado lo anterior, resulta necesario realizar una ponderación de los dos intereses jurídicos tutelados que convergen en la controversia que se dirime;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 </w:t>
      </w:r>
    </w:p>
    <w:p w14:paraId="1E91E239"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5DA06E96" w14:textId="77777777" w:rsidR="001B3EF9" w:rsidRPr="002963F8" w:rsidRDefault="005E621C">
      <w:pPr>
        <w:numPr>
          <w:ilvl w:val="0"/>
          <w:numId w:val="4"/>
        </w:numPr>
        <w:spacing w:line="360" w:lineRule="auto"/>
        <w:ind w:left="851" w:hanging="426"/>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Idoneidad:</w:t>
      </w:r>
      <w:r w:rsidRPr="002963F8">
        <w:rPr>
          <w:rFonts w:ascii="Palatino Linotype" w:eastAsia="Palatino Linotype" w:hAnsi="Palatino Linotype" w:cs="Palatino Linotype"/>
          <w:sz w:val="22"/>
          <w:szCs w:val="22"/>
        </w:rPr>
        <w:t xml:space="preserve"> La legitimidad del derecho adoptado como preferente, que sea el adecuado para el logro de un fin constitucionalmente válido o apto para conseguir el fin pretendido;</w:t>
      </w:r>
    </w:p>
    <w:p w14:paraId="6EBF4E13" w14:textId="77777777" w:rsidR="001B3EF9" w:rsidRPr="002963F8" w:rsidRDefault="005E621C">
      <w:pPr>
        <w:numPr>
          <w:ilvl w:val="0"/>
          <w:numId w:val="4"/>
        </w:numPr>
        <w:spacing w:line="360" w:lineRule="auto"/>
        <w:ind w:left="851" w:hanging="426"/>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Necesidad:</w:t>
      </w:r>
      <w:r w:rsidRPr="002963F8">
        <w:rPr>
          <w:rFonts w:ascii="Palatino Linotype" w:eastAsia="Palatino Linotype" w:hAnsi="Palatino Linotype" w:cs="Palatino Linotype"/>
          <w:sz w:val="22"/>
          <w:szCs w:val="22"/>
        </w:rPr>
        <w:t xml:space="preserve"> La falta de un medio alternativo menos lesivo a la apertura de la información, para satisfacer el interés público, y</w:t>
      </w:r>
    </w:p>
    <w:p w14:paraId="3C232A16" w14:textId="77777777" w:rsidR="001B3EF9" w:rsidRPr="002963F8" w:rsidRDefault="005E621C">
      <w:pPr>
        <w:numPr>
          <w:ilvl w:val="0"/>
          <w:numId w:val="4"/>
        </w:numPr>
        <w:spacing w:line="360" w:lineRule="auto"/>
        <w:ind w:left="851" w:hanging="426"/>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lastRenderedPageBreak/>
        <w:t>Proporcionalidad:</w:t>
      </w:r>
      <w:r w:rsidRPr="002963F8">
        <w:rPr>
          <w:rFonts w:ascii="Palatino Linotype" w:eastAsia="Palatino Linotype" w:hAnsi="Palatino Linotype" w:cs="Palatino Linotype"/>
          <w:sz w:val="22"/>
          <w:szCs w:val="22"/>
        </w:rPr>
        <w:t xml:space="preserve"> El equilibrio entre perjuicio y beneficio a favor del interés público, a fin de que la decisión tomada represente un beneficio mayor al perjuicio que podría causar a la población.</w:t>
      </w:r>
    </w:p>
    <w:p w14:paraId="2C125926" w14:textId="77777777" w:rsidR="001B3EF9" w:rsidRPr="002963F8" w:rsidRDefault="001B3EF9">
      <w:pPr>
        <w:spacing w:line="360" w:lineRule="auto"/>
        <w:ind w:left="851"/>
        <w:jc w:val="both"/>
        <w:rPr>
          <w:rFonts w:ascii="Palatino Linotype" w:eastAsia="Palatino Linotype" w:hAnsi="Palatino Linotype" w:cs="Palatino Linotype"/>
          <w:sz w:val="22"/>
          <w:szCs w:val="22"/>
        </w:rPr>
      </w:pPr>
    </w:p>
    <w:p w14:paraId="56F2C166"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En ese orden de ideas, resulta procedente analizar cada uno de los elementos referidos, partiendo de que, en el caso concreto, se estima como preferente el derecho de acceso a la información, bajo las consideraciones que se verterán a continuación.</w:t>
      </w:r>
    </w:p>
    <w:p w14:paraId="39F2418B"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1DC94305"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a) Idoneidad</w:t>
      </w:r>
      <w:r w:rsidRPr="002963F8">
        <w:rPr>
          <w:rFonts w:ascii="Palatino Linotype" w:eastAsia="Palatino Linotype" w:hAnsi="Palatino Linotype" w:cs="Palatino Linotype"/>
          <w:sz w:val="22"/>
          <w:szCs w:val="22"/>
        </w:rPr>
        <w:t>. El presente asunto representa un caso en el que el ejercicio del derecho de acceso a la información se contrapone al derecho a la vida privada, los cuales se encuentran reconocidos en el plano constitucional, en igualdad de características para los gobernados.</w:t>
      </w:r>
    </w:p>
    <w:p w14:paraId="4D1CE245" w14:textId="77777777" w:rsidR="001B3EF9" w:rsidRPr="002963F8" w:rsidRDefault="001B3EF9">
      <w:pPr>
        <w:spacing w:line="360" w:lineRule="auto"/>
        <w:jc w:val="both"/>
        <w:rPr>
          <w:rFonts w:ascii="Palatino Linotype" w:eastAsia="Palatino Linotype" w:hAnsi="Palatino Linotype" w:cs="Palatino Linotype"/>
          <w:b/>
          <w:sz w:val="22"/>
          <w:szCs w:val="22"/>
        </w:rPr>
      </w:pPr>
    </w:p>
    <w:p w14:paraId="68214788"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Sin embargo, existen dos fines válidos para otorgar los acuerdos emitidos en los expedientes de procedimientos de responsabilidades graves; los cuales, consisten en transparentar, por un lado, el desempeño de dichos trabajadores en cuestión en el ejercicio de sus funciones, sobre todo, dado que se tratan de servidores públicos, con la finalidad de calificar su actuar, ello con independencia de que tal funcionario también revista el carácter de persona física identificada e identificable, y, por otro lado, la actividad desplegada por el Sujeto Obligado, en la investigación y determinación de los asuntos. Aunado, a que se relacionan con responsabilidades calificadas como graves.</w:t>
      </w:r>
    </w:p>
    <w:p w14:paraId="5FC21DC5"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34FD07F4"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Ahora bien, respecto al derecho al honor y a la privacidad, es establecido que cuando se hace referencia a servidores públicos, el umbral de protección del derecho a su honor debe permitir el más amplio control ciudadano sobre el ejercicio de sus funciones, porque el funcionario público se expone voluntariamente al escrutinio de la sociedad al asumir ciertas responsabilidades profesionales -lo que conlleva naturalmente mayores riesgos de sufrir </w:t>
      </w:r>
      <w:r w:rsidRPr="002963F8">
        <w:rPr>
          <w:rFonts w:ascii="Palatino Linotype" w:eastAsia="Palatino Linotype" w:hAnsi="Palatino Linotype" w:cs="Palatino Linotype"/>
          <w:sz w:val="22"/>
          <w:szCs w:val="22"/>
        </w:rPr>
        <w:lastRenderedPageBreak/>
        <w:t>afectaciones en su honor- y, porque su condición le permite tener mayor influencia social y acceder con facilidad a los medios de comunicación para dar explicaciones o reaccionar ante hechos que lo involucren.</w:t>
      </w:r>
    </w:p>
    <w:p w14:paraId="6A26D901"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6F5FF27F"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Así, se advierte que aquellas personas con responsabilidades públicas mantienen la protección derivada del derecho al honor incluso cuando no estén actuando en carácter de particulares, pero las implicaciones de esta protección deben ser ponderadas con las que derivan del interés en un debate abierto sobre los asuntos públicos.</w:t>
      </w:r>
    </w:p>
    <w:p w14:paraId="4EE6EAFF"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0BD21208"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En ese contexto, dado que la información se relaciona con el actuar de los servidores públicos de la Administración Pública Municipal, existe un interés público por conocer los procedimientos generados en análisis vinculados con el nombre del servidor público sancionado, y, por lo tanto, la información del interés del particular no es susceptible de protección en tanto que su vinculación con una persona determinada reviste un interés público mayor de ser dado a conocer. </w:t>
      </w:r>
    </w:p>
    <w:p w14:paraId="150A64C5"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4AC8A552"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Lo anterior, ya que como se precisó en párrafos anteriores, proporcionar la información de referencia, garantizaría la rendición de cuentas por parte de la Contraloría Interna Municipal del Sujeto Obligado, relativo a su actuación, teniendo como consecuencia que los ciudadanos tengan confianza en sus autoridades, al poder conocer todos los documentos derivados de los procedimientos administrativos disciplinarios y que hayan concluido con resolución en donde se determine que un servidor público tuvo responsabilidades graves, relacionadas al ejercicio de las funciones.</w:t>
      </w:r>
    </w:p>
    <w:p w14:paraId="0E7B06C5"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20BF6E16"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lastRenderedPageBreak/>
        <w:t>Además, que, con dicha información, se estaría revelando que el desempeño de los servidores públicos sancionados, no fue conforme a derecho, asimismo, de dar a conocer que los referidos acreditaron que había cometido alguna responsabilidad grave.</w:t>
      </w:r>
    </w:p>
    <w:p w14:paraId="6AEF1682"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713F753B"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los servidores públicos y autoridades.</w:t>
      </w:r>
    </w:p>
    <w:p w14:paraId="2A8149F4"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3CFED04F"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 xml:space="preserve">b) Necesidad: </w:t>
      </w:r>
      <w:r w:rsidRPr="002963F8">
        <w:rPr>
          <w:rFonts w:ascii="Palatino Linotype" w:eastAsia="Palatino Linotype" w:hAnsi="Palatino Linotype" w:cs="Palatino Linotype"/>
          <w:sz w:val="22"/>
          <w:szCs w:val="22"/>
        </w:rPr>
        <w:t>Por otra parte, este Instituto observa que también se actualiza el principio de necesidad, ya que no existe un medio menos oneroso para lograr el fin válido, pues se estima necesaria la difusión de la información requerida, es decir, de los procedimientos en análisis vinculándolos a los servidores públicos sancionados, pues se relacionan con el ejercicio de sus funciones de los cargos ocupados, a fin de que los ciudadanos identifiquen el tipo de desempeño efectuado por el trabajador, en el ejercicio de sus atribuciones y así, calificar su actuar, ello con independencia de que el funcionario también revista el carácter de persona física identificada e identificable, pues, tal como se hizo alusión en el análisis que precede, la protección de sus datos personales queda supeditada al interés mayor de conocer los motivos y circunstancias que dieron origen a las posibles responsabilidades instauradas en su contra, que en su caso obren en los archivos.</w:t>
      </w:r>
    </w:p>
    <w:p w14:paraId="168A4928"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522550EE"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Además, ello permite evaluar la actuación del </w:t>
      </w:r>
      <w:r w:rsidRPr="002963F8">
        <w:rPr>
          <w:rFonts w:ascii="Palatino Linotype" w:eastAsia="Palatino Linotype" w:hAnsi="Palatino Linotype" w:cs="Palatino Linotype"/>
          <w:b/>
          <w:sz w:val="22"/>
          <w:szCs w:val="22"/>
        </w:rPr>
        <w:t>Sujeto Obligado</w:t>
      </w:r>
      <w:r w:rsidRPr="002963F8">
        <w:rPr>
          <w:rFonts w:ascii="Palatino Linotype" w:eastAsia="Palatino Linotype" w:hAnsi="Palatino Linotype" w:cs="Palatino Linotype"/>
          <w:sz w:val="22"/>
          <w:szCs w:val="22"/>
        </w:rPr>
        <w:t>, pues se podrá advertir la forma en la que ejercieron las funciones que legalmente tienen conferidas.</w:t>
      </w:r>
    </w:p>
    <w:p w14:paraId="7C9EACA6"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6E52559C"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lastRenderedPageBreak/>
        <w:t>Lo anterior, considerando que sólo por esta vía se podría lograr el acceso a la información correspondiente a los documentos del interés de la Particular, para garantizar la rendición de cuentas sobre su actuación, así como, la de los servidores públicos sancionados.</w:t>
      </w:r>
    </w:p>
    <w:p w14:paraId="67AB44DF"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307DFAF3"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En tal virtud, por la trascendencia social de la materia del requerimiento, el derecho de acceso a la información deberá prevalecer sobre el derecho a la privacidad.</w:t>
      </w:r>
    </w:p>
    <w:p w14:paraId="6C11113E"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65CF76F9"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c) Proporcionalidad en sentido estricto:</w:t>
      </w:r>
      <w:r w:rsidRPr="002963F8">
        <w:rPr>
          <w:rFonts w:ascii="Palatino Linotype" w:eastAsia="Palatino Linotype" w:hAnsi="Palatino Linotype" w:cs="Palatino Linotype"/>
          <w:sz w:val="22"/>
          <w:szCs w:val="22"/>
        </w:rPr>
        <w:t xml:space="preserve"> El sacrificio de la protección del nombre de los servidores públicos, en caso de que hayan sido sujetos a proceso y cuente con una resolución sancionatoria por haber cometido responsabilidades graves, relacionadas con el desempeño de sus funciones, como medio para lograr el fin válido señalado, se justifica en razón de que se satisface el interés público en conocer el desempeño de sus funciones como trabajador gubernamental, esto es, que no operó conforme a derecho, así como, la actividad desplegada por las autoridades correspondientes, en el trámite de dichos asuntos. Además, que como se precisó en párrafos previos, dichas faltas recaen en una afectación, para terceras personas, o bien, al erario público.</w:t>
      </w:r>
    </w:p>
    <w:p w14:paraId="63142D9C"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18269CE1"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De esta manera, se logra un mayor beneficio en proporción del otro derecho que se verá restringido, logrando publicitar información que es de interés público, por lo que, se advierte que el daño que se causaría con su difusión es menor a aquél que se causaría con su resguardo.</w:t>
      </w:r>
    </w:p>
    <w:p w14:paraId="1C5D2A19"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3D24CA10"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En ese orden de ideas, es posible advertir un margen de beneficio mayor al favorecer el derecho de acceso a la información, respecto del derecho a la vida privada; por lo que, la intervención que subsume este ejercicio de ponderación apunta a la obtención de mayores </w:t>
      </w:r>
      <w:r w:rsidRPr="002963F8">
        <w:rPr>
          <w:rFonts w:ascii="Palatino Linotype" w:eastAsia="Palatino Linotype" w:hAnsi="Palatino Linotype" w:cs="Palatino Linotype"/>
          <w:sz w:val="22"/>
          <w:szCs w:val="22"/>
        </w:rPr>
        <w:lastRenderedPageBreak/>
        <w:t>efectos positivos y una afectación menor en la esfera de privacidad de los servidores públicos.</w:t>
      </w:r>
    </w:p>
    <w:p w14:paraId="47689E81"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13959AC6"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Lo anterior se robustece con el hecho de que la difusión de la información solicitada contribuiría a garantizar el ejercicio de acceso a la información, a favorecer la rendición de cuentas a los ciudadanos, de manera que puedan valorar el desempeño de los sujetos obligados y servidores públicos, además de fortalecer el escrutinio ciudadano sobre las actividades sustantivas de los sujetos obligados, en cumplimiento a los objetivos previstos en el artículo 2° de la Ley Federal de Transparencia y Acceso a la Información Pública.</w:t>
      </w:r>
    </w:p>
    <w:p w14:paraId="6D5F6496"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7FA2B358"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Por tanto, se concluye que, al tenor de la ponderación realizada, se cumple con los tres elementos para darle preminencia, en el caso concreto, al derecho de acceso a la información.</w:t>
      </w:r>
    </w:p>
    <w:p w14:paraId="1FC7238B"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35AB469E"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Por lo expuesto, se determina que los procedimientos de responsabilidades graves condenatorios vinculados con el nombre de los servidores públicos guardan la naturaleza pública, en razón de que, si bien la difusión de los mismos afectaría los derechos a la confidencialidad, a la privacidad, al honor y a la propia imagen, también lo es que tratándose de asuntos relacionados con actos de responsabilidad graves condenatorios, tales prerrogativas quedan supeditadas al interés mayor de conocer tales eventualidades y por lo tanto no precede su clasificación en términos del artículo 143, fracción I de la Ley de la materia.</w:t>
      </w:r>
    </w:p>
    <w:p w14:paraId="06C0DAF1"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2F9C043A"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Conforme a lo anterior, se concluye que el sujeto obligado únicamente se encuentra constreñido, a dejar visible en el soporte documental que dé cuenta de lo requerido por el particular,</w:t>
      </w:r>
      <w:r w:rsidRPr="002963F8">
        <w:rPr>
          <w:rFonts w:ascii="Palatino Linotype" w:eastAsia="Palatino Linotype" w:hAnsi="Palatino Linotype" w:cs="Palatino Linotype"/>
          <w:b/>
          <w:sz w:val="22"/>
          <w:szCs w:val="22"/>
          <w:u w:val="single"/>
        </w:rPr>
        <w:t xml:space="preserve"> el nombre, cargo y sanción impuesta al Servidor Público condenado mediante resolución en un procedimiento que ya causó estado, por faltas administrativas graves.</w:t>
      </w:r>
    </w:p>
    <w:p w14:paraId="0F5AF326"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2F2EB69F" w14:textId="77777777" w:rsidR="001B3EF9" w:rsidRPr="002963F8" w:rsidRDefault="005E621C">
      <w:pPr>
        <w:numPr>
          <w:ilvl w:val="0"/>
          <w:numId w:val="6"/>
        </w:numPr>
        <w:pBdr>
          <w:top w:val="nil"/>
          <w:left w:val="nil"/>
          <w:bottom w:val="nil"/>
          <w:right w:val="nil"/>
          <w:between w:val="nil"/>
        </w:pBdr>
        <w:spacing w:after="160" w:line="360" w:lineRule="auto"/>
        <w:ind w:right="49"/>
        <w:jc w:val="both"/>
        <w:rPr>
          <w:rFonts w:ascii="Palatino Linotype" w:eastAsia="Palatino Linotype" w:hAnsi="Palatino Linotype" w:cs="Palatino Linotype"/>
          <w:b/>
          <w:sz w:val="22"/>
          <w:szCs w:val="22"/>
        </w:rPr>
      </w:pPr>
      <w:r w:rsidRPr="002963F8">
        <w:rPr>
          <w:rFonts w:ascii="Palatino Linotype" w:eastAsia="Palatino Linotype" w:hAnsi="Palatino Linotype" w:cs="Palatino Linotype"/>
          <w:b/>
          <w:sz w:val="22"/>
          <w:szCs w:val="22"/>
        </w:rPr>
        <w:t xml:space="preserve">Procedimientos administrativos concluidos relacionados con faltas administrativas no graves ya sean condenatorios o absolutorios, así como de aquellos procedimientos administrativos concluidos relacionados con faltas administrativas graves absolutorios. </w:t>
      </w:r>
    </w:p>
    <w:p w14:paraId="2E20C5FC"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Si los procedimientos respecto de los que el particular pretende tener acceso encuadran en el supuesto relativo a procedimientos de sanciones graves y no graves absolutorias o condenatorias por sanciones no graves, concluidos, </w:t>
      </w:r>
      <w:r w:rsidRPr="002963F8">
        <w:rPr>
          <w:rFonts w:ascii="Palatino Linotype" w:eastAsia="Palatino Linotype" w:hAnsi="Palatino Linotype" w:cs="Palatino Linotype"/>
          <w:b/>
          <w:sz w:val="22"/>
          <w:szCs w:val="22"/>
        </w:rPr>
        <w:t>no procede la entrega del número de expediente de los procedimientos administrativos instaurados en la Contraloría Interna Municipal, en contra de la persona señalada en la solicitud de información que fungió como Tesorera Municipal, a la fecha de la solicitud.</w:t>
      </w:r>
    </w:p>
    <w:p w14:paraId="3A580E51"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5F2A14FD"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Se afirma lo anterior, ya que el simple pronunciamiento del ente público sobre entregar el número de expediente de los procedimientos de responsabilidades administrativas, en los que fue absuelto de responsabilidad el servidor público correspondiente y por tanto no se le impuso sanción alguna, así como los relativos a los procedimientos por faltas no graves condenatorias concluidos, vulneraría la protección de su privacidad y honor, ya que podría generar un juicio a priori por parte de la sociedad, independientemente que en el caso de los procedimientos de sanciones graves y no graves absolutorias, no se le acreditara responsabilidad alguna.</w:t>
      </w:r>
    </w:p>
    <w:p w14:paraId="6C740666" w14:textId="77777777" w:rsidR="001B3EF9" w:rsidRPr="002963F8" w:rsidRDefault="001B3EF9">
      <w:pPr>
        <w:tabs>
          <w:tab w:val="left" w:pos="1470"/>
        </w:tabs>
        <w:spacing w:line="360" w:lineRule="auto"/>
        <w:ind w:right="-28"/>
        <w:jc w:val="both"/>
        <w:rPr>
          <w:rFonts w:ascii="Palatino Linotype" w:eastAsia="Palatino Linotype" w:hAnsi="Palatino Linotype" w:cs="Palatino Linotype"/>
          <w:sz w:val="22"/>
          <w:szCs w:val="22"/>
        </w:rPr>
      </w:pPr>
    </w:p>
    <w:p w14:paraId="3A2664C0" w14:textId="77777777" w:rsidR="001B3EF9" w:rsidRPr="002963F8" w:rsidRDefault="005E621C">
      <w:pPr>
        <w:tabs>
          <w:tab w:val="left" w:pos="3962"/>
        </w:tabs>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Respecto del </w:t>
      </w:r>
      <w:r w:rsidRPr="002963F8">
        <w:rPr>
          <w:rFonts w:ascii="Palatino Linotype" w:eastAsia="Palatino Linotype" w:hAnsi="Palatino Linotype" w:cs="Palatino Linotype"/>
          <w:b/>
          <w:sz w:val="22"/>
          <w:szCs w:val="22"/>
        </w:rPr>
        <w:t>derecho a la privacidad</w:t>
      </w:r>
      <w:r w:rsidRPr="002963F8">
        <w:rPr>
          <w:rFonts w:ascii="Palatino Linotype" w:eastAsia="Palatino Linotype" w:hAnsi="Palatino Linotype" w:cs="Palatino Linotype"/>
          <w:sz w:val="22"/>
          <w:szCs w:val="22"/>
        </w:rPr>
        <w:t xml:space="preserve">,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 </w:t>
      </w:r>
    </w:p>
    <w:p w14:paraId="6DF3F097" w14:textId="77777777" w:rsidR="001B3EF9" w:rsidRPr="002963F8" w:rsidRDefault="001B3EF9">
      <w:pPr>
        <w:tabs>
          <w:tab w:val="left" w:pos="3962"/>
        </w:tabs>
        <w:spacing w:line="360" w:lineRule="auto"/>
        <w:jc w:val="both"/>
        <w:rPr>
          <w:rFonts w:ascii="Palatino Linotype" w:eastAsia="Palatino Linotype" w:hAnsi="Palatino Linotype" w:cs="Palatino Linotype"/>
          <w:sz w:val="22"/>
          <w:szCs w:val="22"/>
        </w:rPr>
      </w:pPr>
    </w:p>
    <w:p w14:paraId="4261BEB3" w14:textId="77777777" w:rsidR="001B3EF9" w:rsidRPr="002963F8" w:rsidRDefault="005E621C">
      <w:pPr>
        <w:tabs>
          <w:tab w:val="left" w:pos="3962"/>
        </w:tabs>
        <w:ind w:left="851"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lastRenderedPageBreak/>
        <w:t>“</w:t>
      </w:r>
      <w:r w:rsidRPr="002963F8">
        <w:rPr>
          <w:rFonts w:ascii="Palatino Linotype" w:eastAsia="Palatino Linotype" w:hAnsi="Palatino Linotype" w:cs="Palatino Linotype"/>
          <w:b/>
          <w:i/>
          <w:sz w:val="22"/>
          <w:szCs w:val="22"/>
        </w:rPr>
        <w:t>DERECHO A LA PRIVACIDAD O INTIMIDAD. ESTÁ PROTEGIDO POR EL ARTÍCULO 16, PRIMER PÁRRAFO, DE LA CONSTITUCIÓN POLÍTICA DE LOS ESTADOS UNIDOS MEXICANOS</w:t>
      </w:r>
      <w:r w:rsidRPr="002963F8">
        <w:rPr>
          <w:rFonts w:ascii="Palatino Linotype" w:eastAsia="Palatino Linotype" w:hAnsi="Palatino Linotype" w:cs="Palatino Linotype"/>
          <w:i/>
          <w:sz w:val="22"/>
          <w:szCs w:val="22"/>
        </w:rPr>
        <w:t>. 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14:paraId="3ADDBDCE" w14:textId="77777777" w:rsidR="001B3EF9" w:rsidRPr="002963F8" w:rsidRDefault="001B3EF9">
      <w:pPr>
        <w:tabs>
          <w:tab w:val="left" w:pos="3962"/>
        </w:tabs>
        <w:spacing w:line="276" w:lineRule="auto"/>
        <w:ind w:left="851" w:right="902"/>
        <w:jc w:val="both"/>
        <w:rPr>
          <w:rFonts w:ascii="Palatino Linotype" w:eastAsia="Palatino Linotype" w:hAnsi="Palatino Linotype" w:cs="Palatino Linotype"/>
          <w:i/>
          <w:sz w:val="22"/>
          <w:szCs w:val="22"/>
        </w:rPr>
      </w:pPr>
    </w:p>
    <w:p w14:paraId="67C76D70" w14:textId="77777777" w:rsidR="001B3EF9" w:rsidRPr="002963F8" w:rsidRDefault="005E621C">
      <w:pPr>
        <w:tabs>
          <w:tab w:val="left" w:pos="3962"/>
        </w:tabs>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Como se observa, de la garantía de seguridad jurídica de los individuos a no ser molestados en su persona, familia, papeles o posesiones, salvo cuando medie mandato de autoridad competente debidamente fundado y motivado, de lo que deriva el respeto a un ámbito de la vida privada personal y familiar que debe quedar excluido del conocimiento ajeno y de las intromisiones de los demás, con la limitante prevista en la Constitución Política de los Estados Unidos Mexicanos. </w:t>
      </w:r>
    </w:p>
    <w:p w14:paraId="68BE4737" w14:textId="77777777" w:rsidR="001B3EF9" w:rsidRPr="002963F8" w:rsidRDefault="001B3EF9">
      <w:pPr>
        <w:tabs>
          <w:tab w:val="left" w:pos="3962"/>
        </w:tabs>
        <w:spacing w:line="360" w:lineRule="auto"/>
        <w:jc w:val="both"/>
        <w:rPr>
          <w:rFonts w:ascii="Palatino Linotype" w:eastAsia="Palatino Linotype" w:hAnsi="Palatino Linotype" w:cs="Palatino Linotype"/>
          <w:sz w:val="22"/>
          <w:szCs w:val="22"/>
        </w:rPr>
      </w:pPr>
    </w:p>
    <w:p w14:paraId="66BEE78A" w14:textId="77777777" w:rsidR="001B3EF9" w:rsidRPr="002963F8" w:rsidRDefault="005E621C">
      <w:pPr>
        <w:tabs>
          <w:tab w:val="left" w:pos="3962"/>
        </w:tabs>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Es decir, en el artículo 16, primer párrafo constitucional, se da el reconocimiento de un derecho a la privacidad de las personas que implica no ser sujeto de injerencias arbitrarias, intromisiones o molestias en el ámbito reservado de su vida o intimidad, ni de ataques a su honra o a su reputación, por lo que toda persona tiene derecho a la protección de la ley contra tales injerencias o ataques.</w:t>
      </w:r>
    </w:p>
    <w:p w14:paraId="44C57BD0" w14:textId="77777777" w:rsidR="001B3EF9" w:rsidRPr="002963F8" w:rsidRDefault="001B3EF9">
      <w:pPr>
        <w:pBdr>
          <w:top w:val="nil"/>
          <w:left w:val="nil"/>
          <w:bottom w:val="nil"/>
          <w:right w:val="nil"/>
          <w:between w:val="nil"/>
        </w:pBdr>
        <w:spacing w:line="360" w:lineRule="auto"/>
        <w:ind w:right="-91"/>
        <w:jc w:val="both"/>
        <w:rPr>
          <w:sz w:val="22"/>
          <w:szCs w:val="22"/>
        </w:rPr>
      </w:pPr>
    </w:p>
    <w:p w14:paraId="672BBCDE" w14:textId="77777777" w:rsidR="001B3EF9" w:rsidRPr="002963F8" w:rsidRDefault="005E621C">
      <w:pPr>
        <w:tabs>
          <w:tab w:val="left" w:pos="709"/>
        </w:tabs>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lastRenderedPageBreak/>
        <w:t xml:space="preserve">Por lo anterior, es que a criterio de este Organismo Garante los motivos de inconformidad vertidos en el recurso de revisión citado al rubro resultan parcialmente fundados; siendo procedente </w:t>
      </w:r>
      <w:r w:rsidRPr="002963F8">
        <w:rPr>
          <w:rFonts w:ascii="Palatino Linotype" w:eastAsia="Palatino Linotype" w:hAnsi="Palatino Linotype" w:cs="Palatino Linotype"/>
          <w:b/>
          <w:sz w:val="22"/>
          <w:szCs w:val="22"/>
        </w:rPr>
        <w:t>Revocar</w:t>
      </w:r>
      <w:r w:rsidRPr="002963F8">
        <w:rPr>
          <w:rFonts w:ascii="Palatino Linotype" w:eastAsia="Palatino Linotype" w:hAnsi="Palatino Linotype" w:cs="Palatino Linotype"/>
          <w:sz w:val="22"/>
          <w:szCs w:val="22"/>
        </w:rPr>
        <w:t xml:space="preserve"> la respuesta del </w:t>
      </w:r>
      <w:r w:rsidRPr="002963F8">
        <w:rPr>
          <w:rFonts w:ascii="Palatino Linotype" w:eastAsia="Palatino Linotype" w:hAnsi="Palatino Linotype" w:cs="Palatino Linotype"/>
          <w:b/>
          <w:sz w:val="22"/>
          <w:szCs w:val="22"/>
        </w:rPr>
        <w:t xml:space="preserve">Sujeto Obligado, </w:t>
      </w:r>
      <w:r w:rsidRPr="002963F8">
        <w:rPr>
          <w:rFonts w:ascii="Palatino Linotype" w:eastAsia="Palatino Linotype" w:hAnsi="Palatino Linotype" w:cs="Palatino Linotype"/>
          <w:sz w:val="22"/>
          <w:szCs w:val="22"/>
        </w:rPr>
        <w:t>y ordenar, la entrega de lo siguiente:</w:t>
      </w:r>
    </w:p>
    <w:p w14:paraId="13F9767B" w14:textId="77777777" w:rsidR="001B3EF9" w:rsidRPr="002963F8" w:rsidRDefault="001B3EF9">
      <w:pPr>
        <w:tabs>
          <w:tab w:val="left" w:pos="709"/>
        </w:tabs>
        <w:spacing w:line="360" w:lineRule="auto"/>
        <w:jc w:val="both"/>
        <w:rPr>
          <w:rFonts w:ascii="Palatino Linotype" w:eastAsia="Palatino Linotype" w:hAnsi="Palatino Linotype" w:cs="Palatino Linotype"/>
          <w:sz w:val="22"/>
          <w:szCs w:val="22"/>
        </w:rPr>
      </w:pPr>
    </w:p>
    <w:p w14:paraId="6442FA63" w14:textId="77777777" w:rsidR="001B3EF9" w:rsidRPr="002963F8" w:rsidRDefault="005E621C">
      <w:pPr>
        <w:numPr>
          <w:ilvl w:val="0"/>
          <w:numId w:val="7"/>
        </w:numPr>
        <w:pBdr>
          <w:top w:val="nil"/>
          <w:left w:val="nil"/>
          <w:bottom w:val="nil"/>
          <w:right w:val="nil"/>
          <w:between w:val="nil"/>
        </w:pBdr>
        <w:spacing w:line="276" w:lineRule="auto"/>
        <w:ind w:left="360" w:right="333"/>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El Acuerdo emitido por el Comité de Transparencia, en el que se confirme la clasificación como confidencial del pronunciamiento en sentido afirmativo o negativo, en términos de los artículos 49, fracción II, 132, fracción II, 143, fracción I y 149 de la Ley de Transparencia y Acceso a la Información Pública del Estado de México y Municipios; </w:t>
      </w:r>
      <w:r w:rsidRPr="002963F8">
        <w:rPr>
          <w:rFonts w:ascii="Palatino Linotype" w:eastAsia="Palatino Linotype" w:hAnsi="Palatino Linotype" w:cs="Palatino Linotype"/>
          <w:b/>
          <w:sz w:val="22"/>
          <w:szCs w:val="22"/>
          <w:u w:val="single"/>
        </w:rPr>
        <w:t>respecto de la existencia de procedimientos en trámite de responsabilidad por faltas graves o no graves; así como de aquellos concluidos por faltas graves y no graves absolutorias; así como, los concluidos por faltas no graves condenatorias; instaurados al veintitrés de mayo de dos mil veinticuatro ante la Contraloría Interna Municipal, en contra de la persona señalada en la solicitud de información que en su momento fungió como Tesorera Municipal.</w:t>
      </w:r>
    </w:p>
    <w:p w14:paraId="788CA085" w14:textId="77777777" w:rsidR="001B3EF9" w:rsidRPr="002963F8" w:rsidRDefault="001B3EF9">
      <w:pPr>
        <w:tabs>
          <w:tab w:val="left" w:pos="709"/>
        </w:tabs>
        <w:spacing w:line="276" w:lineRule="auto"/>
        <w:ind w:right="333"/>
        <w:jc w:val="both"/>
        <w:rPr>
          <w:rFonts w:ascii="Palatino Linotype" w:eastAsia="Palatino Linotype" w:hAnsi="Palatino Linotype" w:cs="Palatino Linotype"/>
          <w:sz w:val="22"/>
          <w:szCs w:val="22"/>
        </w:rPr>
      </w:pPr>
    </w:p>
    <w:p w14:paraId="45F7187C" w14:textId="77777777" w:rsidR="001B3EF9" w:rsidRPr="002963F8" w:rsidRDefault="005E621C">
      <w:pPr>
        <w:numPr>
          <w:ilvl w:val="0"/>
          <w:numId w:val="7"/>
        </w:numPr>
        <w:pBdr>
          <w:top w:val="nil"/>
          <w:left w:val="nil"/>
          <w:bottom w:val="nil"/>
          <w:right w:val="nil"/>
          <w:between w:val="nil"/>
        </w:pBdr>
        <w:tabs>
          <w:tab w:val="left" w:pos="7655"/>
        </w:tabs>
        <w:spacing w:line="276" w:lineRule="auto"/>
        <w:ind w:left="360" w:right="333"/>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En el supuesto de que al 23 de mayo de 2024, </w:t>
      </w:r>
      <w:r w:rsidRPr="002963F8">
        <w:rPr>
          <w:rFonts w:ascii="Palatino Linotype" w:eastAsia="Palatino Linotype" w:hAnsi="Palatino Linotype" w:cs="Palatino Linotype"/>
          <w:b/>
          <w:sz w:val="22"/>
          <w:szCs w:val="22"/>
        </w:rPr>
        <w:t>la persona señalada en la solicitud de información que en su momento fungió como Tesorera Municipal, cuente con procedimientos administrativos concluidos por faltas graves condenatorios y/o sea parte de procedimientos sobre faltas administrativas en trámite que encuadre en los supuestos establecidos relacionados con actos de corrupción o violaciones graves a derechos humanos</w:t>
      </w:r>
      <w:r w:rsidRPr="002963F8">
        <w:rPr>
          <w:rFonts w:ascii="Palatino Linotype" w:eastAsia="Palatino Linotype" w:hAnsi="Palatino Linotype" w:cs="Palatino Linotype"/>
          <w:sz w:val="22"/>
          <w:szCs w:val="22"/>
        </w:rPr>
        <w:t xml:space="preserve">, en términos del artículo 142 de la Ley de Transparencia y Acceso a la Información Pública del Estado de México y Municipios, </w:t>
      </w:r>
      <w:r w:rsidRPr="002963F8">
        <w:rPr>
          <w:rFonts w:ascii="Palatino Linotype" w:eastAsia="Palatino Linotype" w:hAnsi="Palatino Linotype" w:cs="Palatino Linotype"/>
          <w:b/>
          <w:sz w:val="22"/>
          <w:szCs w:val="22"/>
        </w:rPr>
        <w:t xml:space="preserve">el Sujeto Obligado deberá hacer entrega de la información que dé cuenta del número de expediente de dichos procedimientos, en versión pública de ser necesario. </w:t>
      </w:r>
    </w:p>
    <w:p w14:paraId="337324CA" w14:textId="77777777" w:rsidR="001B3EF9" w:rsidRPr="002963F8" w:rsidRDefault="001B3EF9">
      <w:pPr>
        <w:pBdr>
          <w:top w:val="nil"/>
          <w:left w:val="nil"/>
          <w:bottom w:val="nil"/>
          <w:right w:val="nil"/>
          <w:between w:val="nil"/>
        </w:pBdr>
        <w:tabs>
          <w:tab w:val="left" w:pos="7655"/>
        </w:tabs>
        <w:spacing w:line="276" w:lineRule="auto"/>
        <w:ind w:right="333"/>
        <w:jc w:val="both"/>
        <w:rPr>
          <w:rFonts w:ascii="Palatino Linotype" w:eastAsia="Palatino Linotype" w:hAnsi="Palatino Linotype" w:cs="Palatino Linotype"/>
          <w:i/>
          <w:sz w:val="22"/>
          <w:szCs w:val="22"/>
        </w:rPr>
      </w:pPr>
    </w:p>
    <w:p w14:paraId="635727C2" w14:textId="77777777" w:rsidR="001B3EF9" w:rsidRPr="002963F8" w:rsidRDefault="005E621C">
      <w:pPr>
        <w:pBdr>
          <w:top w:val="nil"/>
          <w:left w:val="nil"/>
          <w:bottom w:val="nil"/>
          <w:right w:val="nil"/>
          <w:between w:val="nil"/>
        </w:pBdr>
        <w:tabs>
          <w:tab w:val="left" w:pos="7655"/>
        </w:tabs>
        <w:spacing w:line="276" w:lineRule="auto"/>
        <w:ind w:right="333"/>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No obstante, para el caso de que no se llegara a localizar información respecto de este último supuesto, derivado de la búsqueda que se ordena,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219D172B" w14:textId="77777777" w:rsidR="001B3EF9" w:rsidRPr="002963F8" w:rsidRDefault="005E621C">
      <w:pPr>
        <w:ind w:left="851"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Artículo 19</w:t>
      </w:r>
      <w:r w:rsidRPr="002963F8">
        <w:rPr>
          <w:rFonts w:ascii="Palatino Linotype" w:eastAsia="Palatino Linotype" w:hAnsi="Palatino Linotype" w:cs="Palatino Linotype"/>
          <w:i/>
          <w:sz w:val="22"/>
          <w:szCs w:val="22"/>
        </w:rPr>
        <w:t>…</w:t>
      </w:r>
    </w:p>
    <w:p w14:paraId="228E905C" w14:textId="77777777" w:rsidR="001B3EF9" w:rsidRPr="002963F8" w:rsidRDefault="005E621C">
      <w:pPr>
        <w:ind w:left="851"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lastRenderedPageBreak/>
        <w:t>En los casos en que ciertas facultades, competencias o funciones no se hayan ejercido, se debe motivar la respuesta en función de las causas que motiven tal circunstancia.”</w:t>
      </w:r>
    </w:p>
    <w:p w14:paraId="5244D4B0" w14:textId="77777777" w:rsidR="001B3EF9" w:rsidRPr="002963F8" w:rsidRDefault="001B3EF9">
      <w:pPr>
        <w:ind w:left="851" w:right="902"/>
        <w:jc w:val="both"/>
        <w:rPr>
          <w:rFonts w:ascii="Palatino Linotype" w:eastAsia="Palatino Linotype" w:hAnsi="Palatino Linotype" w:cs="Palatino Linotype"/>
          <w:i/>
          <w:sz w:val="22"/>
          <w:szCs w:val="22"/>
        </w:rPr>
      </w:pPr>
    </w:p>
    <w:p w14:paraId="35A057C7"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Siendo improcedente, en tal supuesto, la entrega de documento alguno, o en su caso, el Acuerdo de Inexistencia, toda vez que el pronunciamiento del </w:t>
      </w:r>
      <w:r w:rsidRPr="002963F8">
        <w:rPr>
          <w:rFonts w:ascii="Palatino Linotype" w:eastAsia="Palatino Linotype" w:hAnsi="Palatino Linotype" w:cs="Palatino Linotype"/>
          <w:b/>
          <w:sz w:val="22"/>
          <w:szCs w:val="22"/>
        </w:rPr>
        <w:t>Sujeto Obligado</w:t>
      </w:r>
      <w:r w:rsidRPr="002963F8">
        <w:rPr>
          <w:rFonts w:ascii="Palatino Linotype" w:eastAsia="Palatino Linotype" w:hAnsi="Palatino Linotype" w:cs="Palatino Linotype"/>
          <w:sz w:val="22"/>
          <w:szCs w:val="22"/>
        </w:rPr>
        <w:t xml:space="preserve"> declararía en automática la inexistencia de la información solicitada de modo que no existe obligación de justificar o allegar pruebas, y por ende no tiene aplicación lo estatuido en el artículo 49, fracción XIII</w:t>
      </w:r>
      <w:r w:rsidRPr="002963F8">
        <w:rPr>
          <w:rFonts w:ascii="Palatino Linotype" w:eastAsia="Palatino Linotype" w:hAnsi="Palatino Linotype" w:cs="Palatino Linotype"/>
          <w:sz w:val="22"/>
          <w:szCs w:val="22"/>
          <w:vertAlign w:val="superscript"/>
        </w:rPr>
        <w:footnoteReference w:id="3"/>
      </w:r>
      <w:r w:rsidRPr="002963F8">
        <w:rPr>
          <w:rFonts w:ascii="Palatino Linotype" w:eastAsia="Palatino Linotype" w:hAnsi="Palatino Linotype" w:cs="Palatino Linotype"/>
          <w:sz w:val="22"/>
          <w:szCs w:val="22"/>
        </w:rPr>
        <w:t xml:space="preserve"> de la Ley de Transparencia y Acceso a la Información Pública del Estado de México y Municipios.</w:t>
      </w:r>
    </w:p>
    <w:p w14:paraId="63544016" w14:textId="77777777" w:rsidR="001B3EF9" w:rsidRPr="002963F8" w:rsidRDefault="005E621C">
      <w:pPr>
        <w:spacing w:before="240" w:after="240"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 xml:space="preserve">Quinto. Versión Pública. </w:t>
      </w:r>
      <w:r w:rsidRPr="002963F8">
        <w:rPr>
          <w:rFonts w:ascii="Palatino Linotype" w:eastAsia="Palatino Linotype" w:hAnsi="Palatino Linotype" w:cs="Palatino Linotype"/>
          <w:sz w:val="22"/>
          <w:szCs w:val="22"/>
        </w:rPr>
        <w:t xml:space="preserve">Finalmente para la entrega del soporte documental que deberá proporcionar el sujeto obligado para dar satisfacción de la derecho humano de acceso a la información de la persona solicitante, deberá considerar que ello no es absoluto, sino que encuentra como excepciones que la información sobre la cual se peticiona el acceso, contenga datos que deban ser clasificados en los términos que la misma Ley de la Materia señala, el </w:t>
      </w:r>
      <w:r w:rsidRPr="002963F8">
        <w:rPr>
          <w:rFonts w:ascii="Palatino Linotype" w:eastAsia="Palatino Linotype" w:hAnsi="Palatino Linotype" w:cs="Palatino Linotype"/>
          <w:b/>
          <w:sz w:val="22"/>
          <w:szCs w:val="22"/>
        </w:rPr>
        <w:t>Sujeto Obligado</w:t>
      </w:r>
      <w:r w:rsidRPr="002963F8">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322B812E" w14:textId="77777777" w:rsidR="001B3EF9" w:rsidRPr="002963F8" w:rsidRDefault="005E621C">
      <w:pPr>
        <w:spacing w:before="240" w:after="240" w:line="360" w:lineRule="auto"/>
        <w:ind w:right="50"/>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Lo anterior, de conformidad a lo que señalan los artículos 3 fracciones IX, XX, XXI y XLV, 91, 132 fracciones II y III, y 143 fracción I de la Ley de Transparencia y Acceso a la Información Pública del Estado de México y Municipios que establecen:</w:t>
      </w:r>
    </w:p>
    <w:p w14:paraId="4A079ED9" w14:textId="77777777" w:rsidR="001B3EF9" w:rsidRPr="002963F8" w:rsidRDefault="005E621C">
      <w:pPr>
        <w:spacing w:before="120" w:after="120"/>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Artículo 3</w:t>
      </w:r>
      <w:r w:rsidRPr="002963F8">
        <w:rPr>
          <w:rFonts w:ascii="Palatino Linotype" w:eastAsia="Palatino Linotype" w:hAnsi="Palatino Linotype" w:cs="Palatino Linotype"/>
          <w:i/>
          <w:sz w:val="22"/>
          <w:szCs w:val="22"/>
        </w:rPr>
        <w:t>. Para los efectos de la presente Ley se entenderá por:</w:t>
      </w:r>
    </w:p>
    <w:p w14:paraId="2165BC35" w14:textId="77777777" w:rsidR="001B3EF9" w:rsidRPr="002963F8" w:rsidRDefault="005E621C">
      <w:pPr>
        <w:spacing w:before="120" w:after="120"/>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lastRenderedPageBreak/>
        <w:t>[…]</w:t>
      </w:r>
    </w:p>
    <w:p w14:paraId="56F1FAC5" w14:textId="77777777" w:rsidR="001B3EF9" w:rsidRPr="002963F8" w:rsidRDefault="005E621C">
      <w:pPr>
        <w:spacing w:before="120" w:after="120"/>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IX. Datos personales:</w:t>
      </w:r>
      <w:r w:rsidRPr="002963F8">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C2E3647" w14:textId="77777777" w:rsidR="001B3EF9" w:rsidRPr="002963F8" w:rsidRDefault="005E621C">
      <w:pPr>
        <w:spacing w:before="120" w:after="120"/>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XX. Información clasificada</w:t>
      </w:r>
      <w:r w:rsidRPr="002963F8">
        <w:rPr>
          <w:rFonts w:ascii="Palatino Linotype" w:eastAsia="Palatino Linotype" w:hAnsi="Palatino Linotype" w:cs="Palatino Linotype"/>
          <w:i/>
          <w:sz w:val="22"/>
          <w:szCs w:val="22"/>
        </w:rPr>
        <w:t>: Aquella considerada por la presente Ley como reservada o confidencial;</w:t>
      </w:r>
    </w:p>
    <w:p w14:paraId="33E50C0C" w14:textId="77777777" w:rsidR="001B3EF9" w:rsidRPr="002963F8" w:rsidRDefault="005E621C">
      <w:pPr>
        <w:spacing w:before="120" w:after="120"/>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XXI. Información confidencial:</w:t>
      </w:r>
      <w:r w:rsidRPr="002963F8">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50C026C" w14:textId="77777777" w:rsidR="001B3EF9" w:rsidRPr="002963F8" w:rsidRDefault="005E621C">
      <w:pPr>
        <w:spacing w:before="120" w:after="120"/>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XLV. Versión pública:</w:t>
      </w:r>
      <w:r w:rsidRPr="002963F8">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8C5CFCF" w14:textId="77777777" w:rsidR="001B3EF9" w:rsidRPr="002963F8" w:rsidRDefault="005E621C">
      <w:pPr>
        <w:spacing w:before="120" w:after="120"/>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p>
    <w:p w14:paraId="07C22BAB" w14:textId="77777777" w:rsidR="001B3EF9" w:rsidRPr="002963F8" w:rsidRDefault="005E621C">
      <w:pPr>
        <w:spacing w:before="120" w:after="120"/>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 xml:space="preserve">Artículo 91. </w:t>
      </w:r>
      <w:r w:rsidRPr="002963F8">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F11EF13" w14:textId="77777777" w:rsidR="001B3EF9" w:rsidRPr="002963F8" w:rsidRDefault="005E621C">
      <w:pPr>
        <w:spacing w:before="120" w:after="120"/>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 xml:space="preserve">Artículo 132. </w:t>
      </w:r>
      <w:r w:rsidRPr="002963F8">
        <w:rPr>
          <w:rFonts w:ascii="Palatino Linotype" w:eastAsia="Palatino Linotype" w:hAnsi="Palatino Linotype" w:cs="Palatino Linotype"/>
          <w:i/>
          <w:sz w:val="22"/>
          <w:szCs w:val="22"/>
        </w:rPr>
        <w:t>La clasificación de la información se llevará a cabo en el momento en que:</w:t>
      </w:r>
    </w:p>
    <w:p w14:paraId="2E0D8F55" w14:textId="77777777" w:rsidR="001B3EF9" w:rsidRPr="002963F8" w:rsidRDefault="005E621C">
      <w:pPr>
        <w:spacing w:before="120" w:after="120"/>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w:t>
      </w:r>
      <w:r w:rsidRPr="002963F8">
        <w:rPr>
          <w:rFonts w:ascii="Palatino Linotype" w:eastAsia="Palatino Linotype" w:hAnsi="Palatino Linotype" w:cs="Palatino Linotype"/>
          <w:i/>
          <w:sz w:val="22"/>
          <w:szCs w:val="22"/>
        </w:rPr>
        <w:t>. Se reciba una solicitud de acceso a la información;</w:t>
      </w:r>
    </w:p>
    <w:p w14:paraId="59408B24" w14:textId="77777777" w:rsidR="001B3EF9" w:rsidRPr="002963F8" w:rsidRDefault="005E621C">
      <w:pPr>
        <w:spacing w:before="120" w:after="120"/>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II</w:t>
      </w:r>
      <w:r w:rsidRPr="002963F8">
        <w:rPr>
          <w:rFonts w:ascii="Palatino Linotype" w:eastAsia="Palatino Linotype" w:hAnsi="Palatino Linotype" w:cs="Palatino Linotype"/>
          <w:i/>
          <w:sz w:val="22"/>
          <w:szCs w:val="22"/>
        </w:rPr>
        <w:t>. Se determine mediante resolución de autoridad competente; o</w:t>
      </w:r>
    </w:p>
    <w:p w14:paraId="1C26C710" w14:textId="77777777" w:rsidR="001B3EF9" w:rsidRPr="002963F8" w:rsidRDefault="005E621C">
      <w:pPr>
        <w:spacing w:before="120" w:after="120"/>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III</w:t>
      </w:r>
      <w:r w:rsidRPr="002963F8">
        <w:rPr>
          <w:rFonts w:ascii="Palatino Linotype" w:eastAsia="Palatino Linotype" w:hAnsi="Palatino Linotype" w:cs="Palatino Linotype"/>
          <w:i/>
          <w:sz w:val="22"/>
          <w:szCs w:val="22"/>
        </w:rPr>
        <w:t>. Se generen versiones públicas para dar cumplimiento a las obligaciones de transparencia previstas en esta Ley.</w:t>
      </w:r>
    </w:p>
    <w:p w14:paraId="16AF6245" w14:textId="77777777" w:rsidR="001B3EF9" w:rsidRPr="002963F8" w:rsidRDefault="005E621C">
      <w:pPr>
        <w:spacing w:before="120" w:after="120"/>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p>
    <w:p w14:paraId="6159A00B" w14:textId="77777777" w:rsidR="001B3EF9" w:rsidRPr="002963F8" w:rsidRDefault="005E621C">
      <w:pPr>
        <w:spacing w:before="120" w:after="120"/>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Artículo 143</w:t>
      </w:r>
      <w:r w:rsidRPr="002963F8">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65DC1ED" w14:textId="77777777" w:rsidR="001B3EF9" w:rsidRPr="002963F8" w:rsidRDefault="005E621C">
      <w:pPr>
        <w:spacing w:before="120" w:after="120"/>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w:t>
      </w:r>
      <w:r w:rsidRPr="002963F8">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5E58B93" w14:textId="77777777" w:rsidR="001B3EF9" w:rsidRPr="002963F8" w:rsidRDefault="005E621C">
      <w:pPr>
        <w:spacing w:before="120" w:after="120"/>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II.</w:t>
      </w:r>
      <w:r w:rsidRPr="002963F8">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2283E27" w14:textId="77777777" w:rsidR="001B3EF9" w:rsidRPr="002963F8" w:rsidRDefault="005E621C">
      <w:pPr>
        <w:spacing w:before="120" w:after="120"/>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III</w:t>
      </w:r>
      <w:r w:rsidRPr="002963F8">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7CE51709" w14:textId="77777777" w:rsidR="001B3EF9" w:rsidRPr="002963F8" w:rsidRDefault="005E621C">
      <w:pPr>
        <w:spacing w:before="120" w:after="120"/>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7BB1AF4C" w14:textId="77777777" w:rsidR="001B3EF9" w:rsidRPr="002963F8" w:rsidRDefault="005E621C">
      <w:pPr>
        <w:spacing w:before="120" w:after="120"/>
        <w:ind w:left="567"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A9F008D" w14:textId="77777777" w:rsidR="001B3EF9" w:rsidRPr="002963F8" w:rsidRDefault="005E621C">
      <w:pPr>
        <w:spacing w:before="240" w:after="240"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0E50A7F"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RFC, que sean exclusivamente de particulares, entre otros.</w:t>
      </w:r>
    </w:p>
    <w:p w14:paraId="1DD08BD8"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6491B1E9"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La </w:t>
      </w:r>
      <w:r w:rsidRPr="002963F8">
        <w:rPr>
          <w:rFonts w:ascii="Palatino Linotype" w:eastAsia="Palatino Linotype" w:hAnsi="Palatino Linotype" w:cs="Palatino Linotype"/>
          <w:b/>
          <w:sz w:val="22"/>
          <w:szCs w:val="22"/>
        </w:rPr>
        <w:t>clave de elector</w:t>
      </w:r>
      <w:r w:rsidRPr="002963F8">
        <w:rPr>
          <w:rFonts w:ascii="Palatino Linotype" w:eastAsia="Palatino Linotype" w:hAnsi="Palatino Linotype" w:cs="Palatino Linotype"/>
          <w:sz w:val="22"/>
          <w:szCs w:val="22"/>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r w:rsidRPr="002963F8">
        <w:rPr>
          <w:rFonts w:ascii="Palatino Linotype" w:eastAsia="Palatino Linotype" w:hAnsi="Palatino Linotype" w:cs="Palatino Linotype"/>
          <w:sz w:val="22"/>
          <w:szCs w:val="22"/>
        </w:rPr>
        <w:lastRenderedPageBreak/>
        <w:t>homoclave que distingue a su titular de cualquier otro homónimo, por lo tanto, se trata de un dato personal que debe ser protegido.</w:t>
      </w:r>
    </w:p>
    <w:p w14:paraId="44632CAF"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2BB604C6"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El </w:t>
      </w:r>
      <w:r w:rsidRPr="002963F8">
        <w:rPr>
          <w:rFonts w:ascii="Palatino Linotype" w:eastAsia="Palatino Linotype" w:hAnsi="Palatino Linotype" w:cs="Palatino Linotype"/>
          <w:b/>
          <w:sz w:val="22"/>
          <w:szCs w:val="22"/>
        </w:rPr>
        <w:t>número de OCR,</w:t>
      </w:r>
      <w:r w:rsidRPr="002963F8">
        <w:rPr>
          <w:rFonts w:ascii="Palatino Linotype" w:eastAsia="Palatino Linotype" w:hAnsi="Palatino Linotype" w:cs="Palatino Linotype"/>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00E1F98C"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782F2CA0"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La </w:t>
      </w:r>
      <w:r w:rsidRPr="002963F8">
        <w:rPr>
          <w:rFonts w:ascii="Palatino Linotype" w:eastAsia="Palatino Linotype" w:hAnsi="Palatino Linotype" w:cs="Palatino Linotype"/>
          <w:b/>
          <w:sz w:val="22"/>
          <w:szCs w:val="22"/>
        </w:rPr>
        <w:t>clave única del registro de población,</w:t>
      </w:r>
      <w:r w:rsidRPr="002963F8">
        <w:rPr>
          <w:rFonts w:ascii="Palatino Linotype" w:eastAsia="Palatino Linotype" w:hAnsi="Palatino Linotype" w:cs="Palatino Linotype"/>
          <w:i/>
          <w:sz w:val="22"/>
          <w:szCs w:val="22"/>
        </w:rPr>
        <w:t xml:space="preserve"> </w:t>
      </w:r>
      <w:r w:rsidRPr="002963F8">
        <w:rPr>
          <w:rFonts w:ascii="Palatino Linotype" w:eastAsia="Palatino Linotype" w:hAnsi="Palatino Linotype" w:cs="Palatino Linotype"/>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44CFDBE1"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75331F60"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Al respecto, el INAI a través del Criterio 18/17, señala literalmente lo siguiente:</w:t>
      </w:r>
    </w:p>
    <w:p w14:paraId="4547A182"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680BC6D3" w14:textId="77777777" w:rsidR="001B3EF9" w:rsidRPr="002963F8" w:rsidRDefault="005E621C">
      <w:pPr>
        <w:ind w:left="567" w:right="567"/>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Clave Única de Registro de Población (CURP).</w:t>
      </w:r>
      <w:r w:rsidRPr="002963F8">
        <w:rPr>
          <w:rFonts w:ascii="Palatino Linotype" w:eastAsia="Palatino Linotype" w:hAnsi="Palatino Linotype" w:cs="Palatino Linotype"/>
          <w:i/>
          <w:sz w:val="22"/>
          <w:szCs w:val="22"/>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6D77B40" w14:textId="77777777" w:rsidR="001B3EF9" w:rsidRPr="002963F8" w:rsidRDefault="005E621C">
      <w:pPr>
        <w:ind w:left="567" w:right="567"/>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Resoluciones:</w:t>
      </w:r>
    </w:p>
    <w:p w14:paraId="339FFDA0" w14:textId="77777777" w:rsidR="001B3EF9" w:rsidRPr="002963F8" w:rsidRDefault="005E621C">
      <w:pPr>
        <w:ind w:left="567" w:right="567"/>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RRA 3995/16. Secretaría de la Defensa Nacional. 1 de febrero de 2017. Por unanimidad. Comisionado Ponente Rosendoevgueni Monterrey Chepov.</w:t>
      </w:r>
    </w:p>
    <w:p w14:paraId="1BD19F85" w14:textId="77777777" w:rsidR="001B3EF9" w:rsidRPr="002963F8" w:rsidRDefault="005E621C">
      <w:pPr>
        <w:ind w:left="567" w:right="567"/>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RRA 0937/17. Senado de la República. 15 de marzo de 2017. Por unanimidad. Comisionada Ponente Ximena Puente de la Mora.</w:t>
      </w:r>
    </w:p>
    <w:p w14:paraId="53E1743A" w14:textId="77777777" w:rsidR="001B3EF9" w:rsidRPr="002963F8" w:rsidRDefault="005E621C">
      <w:pPr>
        <w:ind w:left="567" w:right="567"/>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RRA 0478/17. Secretaría de Relaciones Exteriores. 26 de abril de 2017. Por unanimidad. Comisionada Ponente Areli Cano Guadiana.”</w:t>
      </w:r>
    </w:p>
    <w:p w14:paraId="0B34B6C8"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0054C4BE"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Por cuanto hace al </w:t>
      </w:r>
      <w:r w:rsidRPr="002963F8">
        <w:rPr>
          <w:rFonts w:ascii="Palatino Linotype" w:eastAsia="Palatino Linotype" w:hAnsi="Palatino Linotype" w:cs="Palatino Linotype"/>
          <w:b/>
          <w:sz w:val="22"/>
          <w:szCs w:val="22"/>
        </w:rPr>
        <w:t>Registro Federal de Contribuyentes de las personas físicas</w:t>
      </w:r>
      <w:r w:rsidRPr="002963F8">
        <w:rPr>
          <w:rFonts w:ascii="Palatino Linotype" w:eastAsia="Palatino Linotype" w:hAnsi="Palatino Linotype" w:cs="Palatino Linotype"/>
          <w:sz w:val="22"/>
          <w:szCs w:val="22"/>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4F0C5556"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27329372"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Al respecto, el Instituto Nacional de Transparencia, Acceso a la Información y Protección de Datos Personales (INAI) a través del Criterio 19/17, señala literalmente lo siguiente:</w:t>
      </w:r>
    </w:p>
    <w:p w14:paraId="5A4F3E0D"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2D0C570F" w14:textId="77777777" w:rsidR="001B3EF9" w:rsidRPr="002963F8" w:rsidRDefault="005E621C">
      <w:pPr>
        <w:ind w:left="567" w:right="567"/>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Registro Federal de Contribuyentes (RFC) de personas físicas</w:t>
      </w:r>
      <w:r w:rsidRPr="002963F8">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4D74A839" w14:textId="77777777" w:rsidR="001B3EF9" w:rsidRPr="002963F8" w:rsidRDefault="005E621C">
      <w:pPr>
        <w:ind w:left="567" w:right="567"/>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Resoluciones:</w:t>
      </w:r>
    </w:p>
    <w:p w14:paraId="0F668161" w14:textId="77777777" w:rsidR="001B3EF9" w:rsidRPr="002963F8" w:rsidRDefault="005E621C">
      <w:pPr>
        <w:ind w:left="567" w:right="567"/>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RRA 0189/17. Morena. 08 de febrero de 2017. Por unanimidad.</w:t>
      </w:r>
    </w:p>
    <w:p w14:paraId="6A7E2494" w14:textId="77777777" w:rsidR="001B3EF9" w:rsidRPr="002963F8" w:rsidRDefault="005E621C">
      <w:pPr>
        <w:ind w:left="567" w:right="567"/>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Comisionado Ponente Joel Salas Suárez.</w:t>
      </w:r>
    </w:p>
    <w:p w14:paraId="044E2067" w14:textId="77777777" w:rsidR="001B3EF9" w:rsidRPr="002963F8" w:rsidRDefault="005E621C">
      <w:pPr>
        <w:ind w:left="567" w:right="567"/>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RRA 0677/17. Universidad Nacional Autónoma de México. 08 de marzo de</w:t>
      </w:r>
    </w:p>
    <w:p w14:paraId="443DD2B4" w14:textId="77777777" w:rsidR="001B3EF9" w:rsidRPr="002963F8" w:rsidRDefault="005E621C">
      <w:pPr>
        <w:ind w:left="567" w:right="567"/>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2017. Por unanimidad. Comisionado Ponente Rosendoevgueni Monterrey Chepov.</w:t>
      </w:r>
    </w:p>
    <w:p w14:paraId="12C92194" w14:textId="77777777" w:rsidR="001B3EF9" w:rsidRPr="002963F8" w:rsidRDefault="005E621C">
      <w:pPr>
        <w:ind w:left="567" w:right="567"/>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RRA 1564/17. Tribunal Electoral del Poder Judicial de la Federación. 26 de abril de 2017. Por unanimidad. Comisionado Ponente Oscar Mauricio Guerra Ford.”</w:t>
      </w:r>
    </w:p>
    <w:p w14:paraId="4919EA9B"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024A0CDC"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RPr="002963F8">
        <w:rPr>
          <w:rFonts w:ascii="Palatino Linotype" w:eastAsia="Palatino Linotype" w:hAnsi="Palatino Linotype" w:cs="Palatino Linotype"/>
          <w:b/>
          <w:sz w:val="22"/>
          <w:szCs w:val="22"/>
        </w:rPr>
        <w:t>Sujeto Obligado</w:t>
      </w:r>
      <w:r w:rsidRPr="002963F8">
        <w:rPr>
          <w:rFonts w:ascii="Palatino Linotype" w:eastAsia="Palatino Linotype" w:hAnsi="Palatino Linotype" w:cs="Palatino Linotype"/>
          <w:sz w:val="22"/>
          <w:szCs w:val="22"/>
        </w:rPr>
        <w:t>, siendo estas las siguientes:</w:t>
      </w:r>
    </w:p>
    <w:p w14:paraId="6DDC1183" w14:textId="77777777" w:rsidR="001B3EF9" w:rsidRPr="002963F8" w:rsidRDefault="005E621C">
      <w:pPr>
        <w:spacing w:line="276" w:lineRule="auto"/>
        <w:ind w:left="567"/>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“CAPÍTULO VIII </w:t>
      </w:r>
    </w:p>
    <w:p w14:paraId="2E98B445" w14:textId="77777777" w:rsidR="001B3EF9" w:rsidRPr="002963F8" w:rsidRDefault="005E621C">
      <w:pPr>
        <w:spacing w:line="276" w:lineRule="auto"/>
        <w:ind w:left="567"/>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DE LOS ELEMENTOS PARA LA CLASIFICACIÓN </w:t>
      </w:r>
    </w:p>
    <w:p w14:paraId="33489834" w14:textId="77777777" w:rsidR="001B3EF9" w:rsidRPr="002963F8" w:rsidRDefault="005E621C">
      <w:pPr>
        <w:spacing w:line="276" w:lineRule="auto"/>
        <w:ind w:left="567"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lastRenderedPageBreak/>
        <w:t xml:space="preserve">Quincuagésimo. </w:t>
      </w:r>
      <w:r w:rsidRPr="002963F8">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303D444" w14:textId="77777777" w:rsidR="001B3EF9" w:rsidRPr="002963F8" w:rsidRDefault="005E621C">
      <w:pPr>
        <w:spacing w:line="276" w:lineRule="auto"/>
        <w:ind w:left="567"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 xml:space="preserve">Quincuagésimo primero. </w:t>
      </w:r>
      <w:r w:rsidRPr="002963F8">
        <w:rPr>
          <w:rFonts w:ascii="Palatino Linotype" w:eastAsia="Palatino Linotype" w:hAnsi="Palatino Linotype" w:cs="Palatino Linotype"/>
          <w:i/>
          <w:sz w:val="22"/>
          <w:szCs w:val="22"/>
        </w:rPr>
        <w:t xml:space="preserve">Toda acta del Comité de Transparencia deberá contener: </w:t>
      </w:r>
    </w:p>
    <w:p w14:paraId="44F2F238" w14:textId="77777777" w:rsidR="001B3EF9" w:rsidRPr="002963F8" w:rsidRDefault="005E621C">
      <w:pPr>
        <w:spacing w:line="276" w:lineRule="auto"/>
        <w:ind w:left="567"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I. El número de sesión y fecha; </w:t>
      </w:r>
    </w:p>
    <w:p w14:paraId="37432D0E" w14:textId="77777777" w:rsidR="001B3EF9" w:rsidRPr="002963F8" w:rsidRDefault="005E621C">
      <w:pPr>
        <w:spacing w:line="276" w:lineRule="auto"/>
        <w:ind w:left="567"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II. El nombre del área que solicitó la clasificación de información; </w:t>
      </w:r>
    </w:p>
    <w:p w14:paraId="27245358" w14:textId="77777777" w:rsidR="001B3EF9" w:rsidRPr="002963F8" w:rsidRDefault="005E621C">
      <w:pPr>
        <w:spacing w:line="276" w:lineRule="auto"/>
        <w:ind w:left="567"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III. La fundamentación legal y motivación correspondiente; </w:t>
      </w:r>
    </w:p>
    <w:p w14:paraId="379E27F8" w14:textId="77777777" w:rsidR="001B3EF9" w:rsidRPr="002963F8" w:rsidRDefault="005E621C">
      <w:pPr>
        <w:spacing w:line="276" w:lineRule="auto"/>
        <w:ind w:left="567"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IV. La resolución o resoluciones aprobadas; y </w:t>
      </w:r>
    </w:p>
    <w:p w14:paraId="49701622" w14:textId="77777777" w:rsidR="001B3EF9" w:rsidRPr="002963F8" w:rsidRDefault="005E621C">
      <w:pPr>
        <w:spacing w:line="276" w:lineRule="auto"/>
        <w:ind w:left="567"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V. La rúbrica o firma digital de cada integrante del Comité de Transparencia. </w:t>
      </w:r>
    </w:p>
    <w:p w14:paraId="6C0DE34D" w14:textId="77777777" w:rsidR="001B3EF9" w:rsidRPr="002963F8" w:rsidRDefault="005E621C">
      <w:pPr>
        <w:spacing w:line="276" w:lineRule="auto"/>
        <w:ind w:left="567"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p>
    <w:p w14:paraId="6BD5EFB7" w14:textId="77777777" w:rsidR="001B3EF9" w:rsidRPr="002963F8" w:rsidRDefault="005E621C">
      <w:pPr>
        <w:spacing w:line="276" w:lineRule="auto"/>
        <w:ind w:left="567" w:right="900"/>
        <w:jc w:val="both"/>
        <w:rPr>
          <w:rFonts w:ascii="Palatino Linotype" w:eastAsia="Palatino Linotype" w:hAnsi="Palatino Linotype" w:cs="Palatino Linotype"/>
          <w:b/>
          <w:i/>
          <w:sz w:val="22"/>
          <w:szCs w:val="22"/>
          <w:u w:val="single"/>
        </w:rPr>
      </w:pPr>
      <w:r w:rsidRPr="002963F8">
        <w:rPr>
          <w:rFonts w:ascii="Palatino Linotype" w:eastAsia="Palatino Linotype" w:hAnsi="Palatino Linotype" w:cs="Palatino Linotype"/>
          <w:i/>
          <w:sz w:val="22"/>
          <w:szCs w:val="22"/>
        </w:rPr>
        <w:t xml:space="preserve">En los casos de resoluciones del Comité de Transparencia en las que se </w:t>
      </w:r>
      <w:r w:rsidRPr="002963F8">
        <w:rPr>
          <w:rFonts w:ascii="Palatino Linotype" w:eastAsia="Palatino Linotype" w:hAnsi="Palatino Linotype" w:cs="Palatino Linotype"/>
          <w:b/>
          <w:i/>
          <w:sz w:val="22"/>
          <w:szCs w:val="22"/>
          <w:u w:val="single"/>
        </w:rPr>
        <w:t>confirme la clasificación de información confidencial solo se deberán de identificar los tipos de datos protegidos, de conformidad con el lineamiento trigésimo octavo.</w:t>
      </w:r>
    </w:p>
    <w:p w14:paraId="095A2B28" w14:textId="77777777" w:rsidR="001B3EF9" w:rsidRPr="002963F8" w:rsidRDefault="005E621C">
      <w:pPr>
        <w:spacing w:line="276" w:lineRule="auto"/>
        <w:ind w:left="567" w:right="900"/>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 xml:space="preserve">Quincuagésimo segundo. </w:t>
      </w:r>
      <w:r w:rsidRPr="002963F8">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w:t>
      </w:r>
      <w:r w:rsidRPr="002963F8">
        <w:rPr>
          <w:rFonts w:ascii="Palatino Linotype" w:eastAsia="Palatino Linotype" w:hAnsi="Palatino Linotype" w:cs="Palatino Linotype"/>
          <w:b/>
          <w:i/>
          <w:sz w:val="22"/>
          <w:szCs w:val="22"/>
        </w:rPr>
        <w:t>confidencial,</w:t>
      </w:r>
      <w:r w:rsidRPr="002963F8">
        <w:rPr>
          <w:rFonts w:ascii="Palatino Linotype" w:eastAsia="Palatino Linotype" w:hAnsi="Palatino Linotype" w:cs="Palatino Linotype"/>
          <w:i/>
          <w:sz w:val="22"/>
          <w:szCs w:val="22"/>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633651C1" w14:textId="77777777" w:rsidR="001B3EF9" w:rsidRPr="002963F8" w:rsidRDefault="005E621C">
      <w:pPr>
        <w:spacing w:line="276" w:lineRule="auto"/>
        <w:ind w:left="567"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35EB4A1B" w14:textId="77777777" w:rsidR="001B3EF9" w:rsidRPr="002963F8" w:rsidRDefault="005E621C">
      <w:pPr>
        <w:spacing w:line="276" w:lineRule="auto"/>
        <w:ind w:left="567" w:right="900"/>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 xml:space="preserve">I. Fijar la fecha en que se elaboró la versión pública y la fecha en la cual el Comité de Transparencia confirmó dicha versión; </w:t>
      </w:r>
    </w:p>
    <w:p w14:paraId="1E86C45A" w14:textId="77777777" w:rsidR="001B3EF9" w:rsidRPr="002963F8" w:rsidRDefault="005E621C">
      <w:pPr>
        <w:spacing w:line="276" w:lineRule="auto"/>
        <w:ind w:left="567" w:right="900"/>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 xml:space="preserve">II. Señalar dentro del documento el tipo de información confidencial que fue testada en cada caso específico, de conformidad con el lineamiento trigésimo octavo; y </w:t>
      </w:r>
    </w:p>
    <w:p w14:paraId="332782AB" w14:textId="77777777" w:rsidR="001B3EF9" w:rsidRPr="002963F8" w:rsidRDefault="005E621C">
      <w:pPr>
        <w:spacing w:line="276" w:lineRule="auto"/>
        <w:ind w:left="567" w:right="900"/>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 xml:space="preserve">III. Señalar las personas o instancias autorizadas a acceder a la información clasificada. </w:t>
      </w:r>
    </w:p>
    <w:p w14:paraId="0DCCA906" w14:textId="77777777" w:rsidR="001B3EF9" w:rsidRPr="002963F8" w:rsidRDefault="005E621C">
      <w:pPr>
        <w:spacing w:line="276" w:lineRule="auto"/>
        <w:ind w:left="567"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w:t>
      </w:r>
      <w:r w:rsidRPr="002963F8">
        <w:rPr>
          <w:rFonts w:ascii="Palatino Linotype" w:eastAsia="Palatino Linotype" w:hAnsi="Palatino Linotype" w:cs="Palatino Linotype"/>
          <w:b/>
          <w:i/>
          <w:sz w:val="22"/>
          <w:szCs w:val="22"/>
          <w:u w:val="single"/>
        </w:rPr>
        <w:t>información confidencial.</w:t>
      </w:r>
      <w:r w:rsidRPr="002963F8">
        <w:rPr>
          <w:rFonts w:ascii="Palatino Linotype" w:eastAsia="Palatino Linotype" w:hAnsi="Palatino Linotype" w:cs="Palatino Linotype"/>
          <w:i/>
          <w:sz w:val="22"/>
          <w:szCs w:val="22"/>
        </w:rPr>
        <w:t xml:space="preserve"> </w:t>
      </w:r>
    </w:p>
    <w:p w14:paraId="7F7D08EB" w14:textId="77777777" w:rsidR="001B3EF9" w:rsidRPr="002963F8" w:rsidRDefault="005E621C">
      <w:pPr>
        <w:spacing w:line="276" w:lineRule="auto"/>
        <w:ind w:left="567" w:right="900"/>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lastRenderedPageBreak/>
        <w:t>[…]</w:t>
      </w:r>
    </w:p>
    <w:p w14:paraId="7ACC12FB" w14:textId="77777777" w:rsidR="001B3EF9" w:rsidRPr="002963F8" w:rsidRDefault="005E621C">
      <w:pPr>
        <w:spacing w:line="276" w:lineRule="auto"/>
        <w:ind w:left="567" w:right="900"/>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b/>
          <w:i/>
          <w:sz w:val="22"/>
          <w:szCs w:val="22"/>
        </w:rPr>
        <w:t xml:space="preserve">Quincuagésimo cuarto. </w:t>
      </w:r>
      <w:r w:rsidRPr="002963F8">
        <w:rPr>
          <w:rFonts w:ascii="Palatino Linotype" w:eastAsia="Palatino Linotype" w:hAnsi="Palatino Linotype" w:cs="Palatino Linotype"/>
          <w:i/>
          <w:sz w:val="22"/>
          <w:szCs w:val="22"/>
        </w:rPr>
        <w:t xml:space="preserve">Cuando el Comité de Transparencia confirme la clasificación de documentos reservados y/o </w:t>
      </w:r>
      <w:r w:rsidRPr="002963F8">
        <w:rPr>
          <w:rFonts w:ascii="Palatino Linotype" w:eastAsia="Palatino Linotype" w:hAnsi="Palatino Linotype" w:cs="Palatino Linotype"/>
          <w:b/>
          <w:i/>
          <w:sz w:val="22"/>
          <w:szCs w:val="22"/>
        </w:rPr>
        <w:t>confidenciales</w:t>
      </w:r>
      <w:r w:rsidRPr="002963F8">
        <w:rPr>
          <w:rFonts w:ascii="Palatino Linotype" w:eastAsia="Palatino Linotype" w:hAnsi="Palatino Linotype" w:cs="Palatino Linotype"/>
          <w:i/>
          <w:sz w:val="22"/>
          <w:szCs w:val="22"/>
        </w:rPr>
        <w:t>,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2963F8">
        <w:rPr>
          <w:rFonts w:ascii="Palatino Linotype" w:eastAsia="Palatino Linotype" w:hAnsi="Palatino Linotype" w:cs="Palatino Linotype"/>
          <w:b/>
          <w:i/>
          <w:sz w:val="22"/>
          <w:szCs w:val="22"/>
        </w:rPr>
        <w:t xml:space="preserve"> </w:t>
      </w:r>
    </w:p>
    <w:p w14:paraId="020131E1" w14:textId="77777777" w:rsidR="001B3EF9" w:rsidRPr="002963F8" w:rsidRDefault="005E621C">
      <w:pPr>
        <w:spacing w:line="276" w:lineRule="auto"/>
        <w:ind w:left="567" w:right="900"/>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 xml:space="preserve">Quincuagésimo quinto. </w:t>
      </w:r>
      <w:r w:rsidRPr="002963F8">
        <w:rPr>
          <w:rFonts w:ascii="Palatino Linotype" w:eastAsia="Palatino Linotype" w:hAnsi="Palatino Linotype" w:cs="Palatino Linotype"/>
          <w:i/>
          <w:sz w:val="22"/>
          <w:szCs w:val="22"/>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02E3409C" w14:textId="77777777" w:rsidR="001B3EF9" w:rsidRPr="002963F8" w:rsidRDefault="005E621C">
      <w:pPr>
        <w:spacing w:before="240" w:after="240"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Asimismo, deberá observar los Lineamientos Quincuagésimo sexto, Quincuagésimo séptimo y Quincuagésimo octavo, establecen lo siguiente:</w:t>
      </w:r>
    </w:p>
    <w:p w14:paraId="6332592B" w14:textId="77777777" w:rsidR="001B3EF9" w:rsidRPr="002963F8" w:rsidRDefault="005E621C">
      <w:pPr>
        <w:spacing w:before="120" w:after="120"/>
        <w:ind w:left="851"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w:t>
      </w:r>
      <w:r w:rsidRPr="002963F8">
        <w:rPr>
          <w:rFonts w:ascii="Palatino Linotype" w:eastAsia="Palatino Linotype" w:hAnsi="Palatino Linotype" w:cs="Palatino Linotype"/>
          <w:b/>
          <w:i/>
          <w:sz w:val="22"/>
          <w:szCs w:val="22"/>
        </w:rPr>
        <w:t>Quincuagésimo sexto</w:t>
      </w:r>
      <w:r w:rsidRPr="002963F8">
        <w:rPr>
          <w:rFonts w:ascii="Palatino Linotype" w:eastAsia="Palatino Linotype" w:hAnsi="Palatino Linotype" w:cs="Palatino Linotype"/>
          <w:i/>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1D93B5D0" w14:textId="77777777" w:rsidR="001B3EF9" w:rsidRPr="002963F8" w:rsidRDefault="005E621C">
      <w:pPr>
        <w:spacing w:before="120" w:after="120"/>
        <w:ind w:left="851"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Quincuagésimo séptimo</w:t>
      </w:r>
      <w:r w:rsidRPr="002963F8">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6B2ADAD" w14:textId="77777777" w:rsidR="001B3EF9" w:rsidRPr="002963F8" w:rsidRDefault="005E621C">
      <w:pPr>
        <w:spacing w:before="120" w:after="120"/>
        <w:ind w:left="1134"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w:t>
      </w:r>
      <w:r w:rsidRPr="002963F8">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FBD99C4" w14:textId="77777777" w:rsidR="001B3EF9" w:rsidRPr="002963F8" w:rsidRDefault="005E621C">
      <w:pPr>
        <w:spacing w:before="120" w:after="120"/>
        <w:ind w:left="1134"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II.</w:t>
      </w:r>
      <w:r w:rsidRPr="002963F8">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37C0DED4" w14:textId="77777777" w:rsidR="001B3EF9" w:rsidRPr="002963F8" w:rsidRDefault="005E621C">
      <w:pPr>
        <w:spacing w:before="120" w:after="120"/>
        <w:ind w:left="1134"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III</w:t>
      </w:r>
      <w:r w:rsidRPr="002963F8">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D3130B2" w14:textId="77777777" w:rsidR="001B3EF9" w:rsidRPr="002963F8" w:rsidRDefault="005E621C">
      <w:pPr>
        <w:spacing w:before="120" w:after="120"/>
        <w:ind w:left="851"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lastRenderedPageBreak/>
        <w:t xml:space="preserve">Lo anterior, siempre y cuando no se acredite alguna causal de clasificación, prevista en las leyes o en los tratados internacionales suscritas por el Estado mexicano.  </w:t>
      </w:r>
    </w:p>
    <w:p w14:paraId="63261A04" w14:textId="77777777" w:rsidR="001B3EF9" w:rsidRPr="002963F8" w:rsidRDefault="005E621C">
      <w:pPr>
        <w:spacing w:before="120" w:after="120"/>
        <w:ind w:left="851" w:right="902"/>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b/>
          <w:i/>
          <w:sz w:val="22"/>
          <w:szCs w:val="22"/>
        </w:rPr>
        <w:t>Quincuagésimo octavo</w:t>
      </w:r>
      <w:r w:rsidRPr="002963F8">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7C1074F"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53424534"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2963F8">
        <w:rPr>
          <w:rFonts w:ascii="Palatino Linotype" w:eastAsia="Palatino Linotype" w:hAnsi="Palatino Linotype" w:cs="Palatino Linotype"/>
          <w:b/>
          <w:sz w:val="22"/>
          <w:szCs w:val="22"/>
        </w:rPr>
        <w:t>Sujeto Obligado</w:t>
      </w:r>
      <w:r w:rsidRPr="002963F8">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065BE1F" w14:textId="77777777" w:rsidR="001B3EF9" w:rsidRPr="002963F8" w:rsidRDefault="001B3E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A3B8A1F" w14:textId="77777777" w:rsidR="001B3EF9" w:rsidRPr="002963F8" w:rsidRDefault="005E62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Así, con fundamento en lo prescrito en los artículos 5 párrafos trigésimo tercero, trigésimo cuarto y trigésimo quinto de la Constitución Política del Estado Libre y Soberano de México; 2, fracción II; 29, 36 fracciones I y II; 176, 178, 181, 185 y 186 fracción III de la Ley de Transparencia y Acceso a la Información Pública del Estado de México y Municipios, este Pleno:</w:t>
      </w:r>
    </w:p>
    <w:p w14:paraId="692E9F73" w14:textId="77777777" w:rsidR="001B3EF9" w:rsidRPr="002963F8" w:rsidRDefault="005E621C">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2963F8">
        <w:rPr>
          <w:rFonts w:ascii="Palatino Linotype" w:eastAsia="Palatino Linotype" w:hAnsi="Palatino Linotype" w:cs="Palatino Linotype"/>
          <w:b/>
          <w:sz w:val="22"/>
          <w:szCs w:val="22"/>
        </w:rPr>
        <w:t>III. R E S U E L V E</w:t>
      </w:r>
    </w:p>
    <w:p w14:paraId="3CA7F6F6" w14:textId="77777777" w:rsidR="001B3EF9" w:rsidRPr="002963F8" w:rsidRDefault="001B3EF9">
      <w:pPr>
        <w:spacing w:line="360" w:lineRule="auto"/>
        <w:jc w:val="both"/>
        <w:rPr>
          <w:rFonts w:ascii="Palatino Linotype" w:eastAsia="Palatino Linotype" w:hAnsi="Palatino Linotype" w:cs="Palatino Linotype"/>
          <w:b/>
          <w:sz w:val="22"/>
          <w:szCs w:val="22"/>
        </w:rPr>
      </w:pPr>
    </w:p>
    <w:p w14:paraId="12BA22B2" w14:textId="77777777" w:rsidR="001B3EF9" w:rsidRPr="002963F8" w:rsidRDefault="005E621C">
      <w:pPr>
        <w:spacing w:line="360" w:lineRule="auto"/>
        <w:jc w:val="both"/>
        <w:rPr>
          <w:rFonts w:ascii="Palatino Linotype" w:eastAsia="Palatino Linotype" w:hAnsi="Palatino Linotype" w:cs="Palatino Linotype"/>
          <w:b/>
          <w:sz w:val="22"/>
          <w:szCs w:val="22"/>
        </w:rPr>
      </w:pPr>
      <w:r w:rsidRPr="002963F8">
        <w:rPr>
          <w:rFonts w:ascii="Palatino Linotype" w:eastAsia="Palatino Linotype" w:hAnsi="Palatino Linotype" w:cs="Palatino Linotype"/>
          <w:b/>
          <w:sz w:val="22"/>
          <w:szCs w:val="22"/>
        </w:rPr>
        <w:t xml:space="preserve">Primero. </w:t>
      </w:r>
      <w:r w:rsidRPr="002963F8">
        <w:rPr>
          <w:rFonts w:ascii="Palatino Linotype" w:eastAsia="Palatino Linotype" w:hAnsi="Palatino Linotype" w:cs="Palatino Linotype"/>
          <w:sz w:val="22"/>
          <w:szCs w:val="22"/>
        </w:rPr>
        <w:t>Resultan</w:t>
      </w:r>
      <w:r w:rsidRPr="002963F8">
        <w:rPr>
          <w:rFonts w:ascii="Palatino Linotype" w:eastAsia="Palatino Linotype" w:hAnsi="Palatino Linotype" w:cs="Palatino Linotype"/>
          <w:b/>
          <w:sz w:val="22"/>
          <w:szCs w:val="22"/>
        </w:rPr>
        <w:t xml:space="preserve"> parcialmente</w:t>
      </w:r>
      <w:r w:rsidRPr="002963F8">
        <w:rPr>
          <w:rFonts w:ascii="Palatino Linotype" w:eastAsia="Palatino Linotype" w:hAnsi="Palatino Linotype" w:cs="Palatino Linotype"/>
          <w:sz w:val="22"/>
          <w:szCs w:val="22"/>
        </w:rPr>
        <w:t xml:space="preserve"> </w:t>
      </w:r>
      <w:r w:rsidRPr="002963F8">
        <w:rPr>
          <w:rFonts w:ascii="Palatino Linotype" w:eastAsia="Palatino Linotype" w:hAnsi="Palatino Linotype" w:cs="Palatino Linotype"/>
          <w:b/>
          <w:sz w:val="22"/>
          <w:szCs w:val="22"/>
        </w:rPr>
        <w:t>fundados</w:t>
      </w:r>
      <w:r w:rsidRPr="002963F8">
        <w:rPr>
          <w:rFonts w:ascii="Palatino Linotype" w:eastAsia="Palatino Linotype" w:hAnsi="Palatino Linotype" w:cs="Palatino Linotype"/>
          <w:sz w:val="22"/>
          <w:szCs w:val="22"/>
        </w:rPr>
        <w:t xml:space="preserve"> los motivos de inconformidad hechos valer por la parte </w:t>
      </w:r>
      <w:r w:rsidRPr="002963F8">
        <w:rPr>
          <w:rFonts w:ascii="Palatino Linotype" w:eastAsia="Palatino Linotype" w:hAnsi="Palatino Linotype" w:cs="Palatino Linotype"/>
          <w:b/>
          <w:sz w:val="22"/>
          <w:szCs w:val="22"/>
        </w:rPr>
        <w:t xml:space="preserve">Recurrente </w:t>
      </w:r>
      <w:r w:rsidRPr="002963F8">
        <w:rPr>
          <w:rFonts w:ascii="Palatino Linotype" w:eastAsia="Palatino Linotype" w:hAnsi="Palatino Linotype" w:cs="Palatino Linotype"/>
          <w:sz w:val="22"/>
          <w:szCs w:val="22"/>
        </w:rPr>
        <w:t xml:space="preserve">en el recurso de revisión </w:t>
      </w:r>
      <w:r w:rsidRPr="002963F8">
        <w:rPr>
          <w:rFonts w:ascii="Palatino Linotype" w:eastAsia="Palatino Linotype" w:hAnsi="Palatino Linotype" w:cs="Palatino Linotype"/>
          <w:b/>
          <w:sz w:val="22"/>
          <w:szCs w:val="22"/>
        </w:rPr>
        <w:t xml:space="preserve">03634/INFOEM/IP/RR/2024, </w:t>
      </w:r>
      <w:r w:rsidRPr="002963F8">
        <w:rPr>
          <w:rFonts w:ascii="Palatino Linotype" w:eastAsia="Palatino Linotype" w:hAnsi="Palatino Linotype" w:cs="Palatino Linotype"/>
          <w:sz w:val="22"/>
          <w:szCs w:val="22"/>
        </w:rPr>
        <w:t xml:space="preserve">por lo que, en </w:t>
      </w:r>
      <w:r w:rsidRPr="002963F8">
        <w:rPr>
          <w:rFonts w:ascii="Palatino Linotype" w:eastAsia="Palatino Linotype" w:hAnsi="Palatino Linotype" w:cs="Palatino Linotype"/>
          <w:sz w:val="22"/>
          <w:szCs w:val="22"/>
        </w:rPr>
        <w:lastRenderedPageBreak/>
        <w:t xml:space="preserve">términos del Considerando </w:t>
      </w:r>
      <w:r w:rsidRPr="002963F8">
        <w:rPr>
          <w:rFonts w:ascii="Palatino Linotype" w:eastAsia="Palatino Linotype" w:hAnsi="Palatino Linotype" w:cs="Palatino Linotype"/>
          <w:b/>
          <w:sz w:val="22"/>
          <w:szCs w:val="22"/>
        </w:rPr>
        <w:t>Cuarto</w:t>
      </w:r>
      <w:r w:rsidRPr="002963F8">
        <w:rPr>
          <w:rFonts w:ascii="Palatino Linotype" w:eastAsia="Palatino Linotype" w:hAnsi="Palatino Linotype" w:cs="Palatino Linotype"/>
          <w:sz w:val="22"/>
          <w:szCs w:val="22"/>
        </w:rPr>
        <w:t xml:space="preserve"> de la presente resolución, se</w:t>
      </w:r>
      <w:r w:rsidRPr="002963F8">
        <w:rPr>
          <w:rFonts w:ascii="Palatino Linotype" w:eastAsia="Palatino Linotype" w:hAnsi="Palatino Linotype" w:cs="Palatino Linotype"/>
          <w:b/>
          <w:sz w:val="22"/>
          <w:szCs w:val="22"/>
        </w:rPr>
        <w:t xml:space="preserve"> Revoca </w:t>
      </w:r>
      <w:r w:rsidRPr="002963F8">
        <w:rPr>
          <w:rFonts w:ascii="Palatino Linotype" w:eastAsia="Palatino Linotype" w:hAnsi="Palatino Linotype" w:cs="Palatino Linotype"/>
          <w:sz w:val="22"/>
          <w:szCs w:val="22"/>
        </w:rPr>
        <w:t>la respuesta</w:t>
      </w:r>
      <w:r w:rsidRPr="002963F8">
        <w:rPr>
          <w:rFonts w:ascii="Palatino Linotype" w:eastAsia="Palatino Linotype" w:hAnsi="Palatino Linotype" w:cs="Palatino Linotype"/>
          <w:b/>
          <w:sz w:val="22"/>
          <w:szCs w:val="22"/>
        </w:rPr>
        <w:t xml:space="preserve"> </w:t>
      </w:r>
      <w:r w:rsidRPr="002963F8">
        <w:rPr>
          <w:rFonts w:ascii="Palatino Linotype" w:eastAsia="Palatino Linotype" w:hAnsi="Palatino Linotype" w:cs="Palatino Linotype"/>
          <w:sz w:val="22"/>
          <w:szCs w:val="22"/>
        </w:rPr>
        <w:t xml:space="preserve">del </w:t>
      </w:r>
      <w:r w:rsidRPr="002963F8">
        <w:rPr>
          <w:rFonts w:ascii="Palatino Linotype" w:eastAsia="Palatino Linotype" w:hAnsi="Palatino Linotype" w:cs="Palatino Linotype"/>
          <w:b/>
          <w:sz w:val="22"/>
          <w:szCs w:val="22"/>
        </w:rPr>
        <w:t>Sujeto Obligado.</w:t>
      </w:r>
    </w:p>
    <w:p w14:paraId="09D1CCA7" w14:textId="77777777" w:rsidR="001B3EF9" w:rsidRPr="002963F8" w:rsidRDefault="001B3EF9">
      <w:pPr>
        <w:spacing w:line="360" w:lineRule="auto"/>
        <w:jc w:val="both"/>
        <w:rPr>
          <w:rFonts w:ascii="Palatino Linotype" w:eastAsia="Palatino Linotype" w:hAnsi="Palatino Linotype" w:cs="Palatino Linotype"/>
          <w:b/>
          <w:sz w:val="22"/>
          <w:szCs w:val="22"/>
        </w:rPr>
      </w:pPr>
    </w:p>
    <w:p w14:paraId="50A4C8CE" w14:textId="77777777" w:rsidR="001B3EF9" w:rsidRPr="002963F8" w:rsidRDefault="005E621C">
      <w:pPr>
        <w:spacing w:line="360" w:lineRule="auto"/>
        <w:ind w:right="-7"/>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 xml:space="preserve">Segundo. </w:t>
      </w:r>
      <w:r w:rsidRPr="002963F8">
        <w:rPr>
          <w:rFonts w:ascii="Palatino Linotype" w:eastAsia="Palatino Linotype" w:hAnsi="Palatino Linotype" w:cs="Palatino Linotype"/>
          <w:sz w:val="22"/>
          <w:szCs w:val="22"/>
        </w:rPr>
        <w:t xml:space="preserve">Se </w:t>
      </w:r>
      <w:r w:rsidRPr="002963F8">
        <w:rPr>
          <w:rFonts w:ascii="Palatino Linotype" w:eastAsia="Palatino Linotype" w:hAnsi="Palatino Linotype" w:cs="Palatino Linotype"/>
          <w:b/>
          <w:sz w:val="22"/>
          <w:szCs w:val="22"/>
        </w:rPr>
        <w:t>Ordena</w:t>
      </w:r>
      <w:r w:rsidRPr="002963F8">
        <w:rPr>
          <w:rFonts w:ascii="Palatino Linotype" w:eastAsia="Palatino Linotype" w:hAnsi="Palatino Linotype" w:cs="Palatino Linotype"/>
          <w:sz w:val="22"/>
          <w:szCs w:val="22"/>
        </w:rPr>
        <w:t xml:space="preserve"> al </w:t>
      </w:r>
      <w:r w:rsidRPr="002963F8">
        <w:rPr>
          <w:rFonts w:ascii="Palatino Linotype" w:eastAsia="Palatino Linotype" w:hAnsi="Palatino Linotype" w:cs="Palatino Linotype"/>
          <w:b/>
          <w:sz w:val="22"/>
          <w:szCs w:val="22"/>
        </w:rPr>
        <w:t>Sujeto Obligado</w:t>
      </w:r>
      <w:r w:rsidRPr="002963F8">
        <w:rPr>
          <w:rFonts w:ascii="Palatino Linotype" w:eastAsia="Palatino Linotype" w:hAnsi="Palatino Linotype" w:cs="Palatino Linotype"/>
          <w:sz w:val="22"/>
          <w:szCs w:val="22"/>
        </w:rPr>
        <w:t xml:space="preserve">, en términos de los Considerandos </w:t>
      </w:r>
      <w:r w:rsidRPr="002963F8">
        <w:rPr>
          <w:rFonts w:ascii="Palatino Linotype" w:eastAsia="Palatino Linotype" w:hAnsi="Palatino Linotype" w:cs="Palatino Linotype"/>
          <w:b/>
          <w:sz w:val="22"/>
          <w:szCs w:val="22"/>
        </w:rPr>
        <w:t xml:space="preserve">Cuarto y Quinto </w:t>
      </w:r>
      <w:r w:rsidRPr="002963F8">
        <w:rPr>
          <w:rFonts w:ascii="Palatino Linotype" w:eastAsia="Palatino Linotype" w:hAnsi="Palatino Linotype" w:cs="Palatino Linotype"/>
          <w:sz w:val="22"/>
          <w:szCs w:val="22"/>
        </w:rPr>
        <w:t xml:space="preserve">de esta resolución, </w:t>
      </w:r>
      <w:r w:rsidRPr="002963F8">
        <w:rPr>
          <w:rFonts w:ascii="Palatino Linotype" w:eastAsia="Palatino Linotype" w:hAnsi="Palatino Linotype" w:cs="Palatino Linotype"/>
          <w:b/>
          <w:sz w:val="22"/>
          <w:szCs w:val="22"/>
        </w:rPr>
        <w:t>haga entrega vía Sistema de Acceso a la Información Mexiquense (SAIMEX),</w:t>
      </w:r>
      <w:r w:rsidRPr="002963F8">
        <w:rPr>
          <w:rFonts w:ascii="Palatino Linotype" w:eastAsia="Palatino Linotype" w:hAnsi="Palatino Linotype" w:cs="Palatino Linotype"/>
          <w:sz w:val="22"/>
          <w:szCs w:val="22"/>
        </w:rPr>
        <w:t xml:space="preserve"> previa búsqueda exhaustiva y razonable, lo siguiente:</w:t>
      </w:r>
    </w:p>
    <w:p w14:paraId="5CB87222" w14:textId="77777777" w:rsidR="001B3EF9" w:rsidRPr="002963F8" w:rsidRDefault="001B3EF9">
      <w:pPr>
        <w:spacing w:line="360" w:lineRule="auto"/>
        <w:ind w:right="-7"/>
        <w:jc w:val="both"/>
        <w:rPr>
          <w:rFonts w:ascii="Palatino Linotype" w:eastAsia="Palatino Linotype" w:hAnsi="Palatino Linotype" w:cs="Palatino Linotype"/>
          <w:sz w:val="22"/>
          <w:szCs w:val="22"/>
        </w:rPr>
      </w:pPr>
    </w:p>
    <w:p w14:paraId="2AFF6063" w14:textId="77777777" w:rsidR="001B3EF9" w:rsidRPr="002963F8" w:rsidRDefault="005E621C">
      <w:pPr>
        <w:numPr>
          <w:ilvl w:val="0"/>
          <w:numId w:val="8"/>
        </w:numPr>
        <w:pBdr>
          <w:top w:val="nil"/>
          <w:left w:val="nil"/>
          <w:bottom w:val="nil"/>
          <w:right w:val="nil"/>
          <w:between w:val="nil"/>
        </w:pBdr>
        <w:spacing w:line="276" w:lineRule="auto"/>
        <w:ind w:left="426" w:right="474" w:hanging="284"/>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Los documentos que den cuenta de los periodos laborados como Tesorera Municipal en las Administraciones Públicas Municipales 2013-2015 y 2022-2024, de la persona señalada en la solicitud de información, en versión pública de ser procedente.</w:t>
      </w:r>
    </w:p>
    <w:p w14:paraId="22218E3C" w14:textId="77777777" w:rsidR="001B3EF9" w:rsidRPr="002963F8" w:rsidRDefault="001B3EF9">
      <w:pPr>
        <w:pBdr>
          <w:top w:val="nil"/>
          <w:left w:val="nil"/>
          <w:bottom w:val="nil"/>
          <w:right w:val="nil"/>
          <w:between w:val="nil"/>
        </w:pBdr>
        <w:spacing w:line="276" w:lineRule="auto"/>
        <w:ind w:left="426" w:right="616"/>
        <w:jc w:val="both"/>
        <w:rPr>
          <w:rFonts w:ascii="Palatino Linotype" w:eastAsia="Palatino Linotype" w:hAnsi="Palatino Linotype" w:cs="Palatino Linotype"/>
          <w:sz w:val="22"/>
          <w:szCs w:val="22"/>
        </w:rPr>
      </w:pPr>
    </w:p>
    <w:p w14:paraId="7C5A4638" w14:textId="77777777" w:rsidR="001B3EF9" w:rsidRPr="002963F8" w:rsidRDefault="005E621C">
      <w:pPr>
        <w:pBdr>
          <w:top w:val="nil"/>
          <w:left w:val="nil"/>
          <w:bottom w:val="nil"/>
          <w:right w:val="nil"/>
          <w:between w:val="nil"/>
        </w:pBdr>
        <w:spacing w:line="276" w:lineRule="auto"/>
        <w:ind w:left="426" w:right="616"/>
        <w:jc w:val="both"/>
        <w:rPr>
          <w:rFonts w:ascii="Palatino Linotype" w:eastAsia="Palatino Linotype" w:hAnsi="Palatino Linotype" w:cs="Palatino Linotype"/>
          <w:i/>
          <w:sz w:val="22"/>
          <w:szCs w:val="22"/>
        </w:rPr>
      </w:pPr>
      <w:r w:rsidRPr="002963F8">
        <w:rPr>
          <w:rFonts w:ascii="Palatino Linotype" w:eastAsia="Palatino Linotype" w:hAnsi="Palatino Linotype" w:cs="Palatino Linotype"/>
          <w:i/>
          <w:sz w:val="22"/>
          <w:szCs w:val="22"/>
        </w:rPr>
        <w:t>En el supuesto de que la persona referida en la solicitud no se hubiera desempeñado como Tesorera Municipal, en las Administraciones Públicas Municipales indicadas, para colmar dicho punto, bastará con que así se haga del conocimiento de la parte Recurrente, en términos del artículo 19, párrafo segundo de la Ley de Transparencia y Acceso a la Información Pública del Estado de México y Municipios.</w:t>
      </w:r>
    </w:p>
    <w:p w14:paraId="2E44DBEA" w14:textId="77777777" w:rsidR="001B3EF9" w:rsidRPr="002963F8" w:rsidRDefault="001B3EF9">
      <w:pPr>
        <w:pBdr>
          <w:top w:val="nil"/>
          <w:left w:val="nil"/>
          <w:bottom w:val="nil"/>
          <w:right w:val="nil"/>
          <w:between w:val="nil"/>
        </w:pBdr>
        <w:spacing w:line="276" w:lineRule="auto"/>
        <w:ind w:left="1440" w:right="616"/>
        <w:jc w:val="both"/>
        <w:rPr>
          <w:rFonts w:ascii="Palatino Linotype" w:eastAsia="Palatino Linotype" w:hAnsi="Palatino Linotype" w:cs="Palatino Linotype"/>
          <w:sz w:val="22"/>
          <w:szCs w:val="22"/>
        </w:rPr>
      </w:pPr>
    </w:p>
    <w:p w14:paraId="22B5665E" w14:textId="77777777" w:rsidR="001B3EF9" w:rsidRPr="002963F8" w:rsidRDefault="005E621C">
      <w:pPr>
        <w:numPr>
          <w:ilvl w:val="0"/>
          <w:numId w:val="8"/>
        </w:numPr>
        <w:pBdr>
          <w:top w:val="nil"/>
          <w:left w:val="nil"/>
          <w:bottom w:val="nil"/>
          <w:right w:val="nil"/>
          <w:between w:val="nil"/>
        </w:pBdr>
        <w:spacing w:line="276" w:lineRule="auto"/>
        <w:ind w:left="426" w:right="616" w:hanging="284"/>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 xml:space="preserve">El Acuerdo emitido por el Comité de Transparencia, en el que se confirme la clasificación como confidencial del pronunciamiento en sentido afirmativo o negativo, en términos de los artículos 49, fracción II, 132, fracción II, 143, fracción I y 149 de la Ley de Transparencia y Acceso a la Información Pública del Estado de México y Municipios; </w:t>
      </w:r>
      <w:r w:rsidRPr="002963F8">
        <w:rPr>
          <w:rFonts w:ascii="Palatino Linotype" w:eastAsia="Palatino Linotype" w:hAnsi="Palatino Linotype" w:cs="Palatino Linotype"/>
          <w:b/>
          <w:sz w:val="22"/>
          <w:szCs w:val="22"/>
          <w:u w:val="single"/>
        </w:rPr>
        <w:t>respecto de la existencia de procedimientos en trámite de responsabilidad por faltas graves o no graves; concluidos por faltas graves y no graves absolutorias; así como, aquellos concluidos por faltas no graves condenatorios; instaurados al veintitrés de mayo de dos mil veinticuatro ante la Contraloría Interna Municipal, en contra de la persona señalada en la solicitud de información que en su momento fungió como Tesorera Municipal.</w:t>
      </w:r>
    </w:p>
    <w:p w14:paraId="2424ED21" w14:textId="77777777" w:rsidR="001B3EF9" w:rsidRPr="002963F8" w:rsidRDefault="001B3EF9">
      <w:pPr>
        <w:tabs>
          <w:tab w:val="left" w:pos="709"/>
        </w:tabs>
        <w:spacing w:line="276" w:lineRule="auto"/>
        <w:ind w:left="426" w:right="616" w:hanging="284"/>
        <w:jc w:val="both"/>
        <w:rPr>
          <w:rFonts w:ascii="Palatino Linotype" w:eastAsia="Palatino Linotype" w:hAnsi="Palatino Linotype" w:cs="Palatino Linotype"/>
          <w:sz w:val="22"/>
          <w:szCs w:val="22"/>
        </w:rPr>
      </w:pPr>
    </w:p>
    <w:p w14:paraId="37A9E1AE" w14:textId="77777777" w:rsidR="001B3EF9" w:rsidRPr="002963F8" w:rsidRDefault="001B3EF9">
      <w:pPr>
        <w:tabs>
          <w:tab w:val="left" w:pos="709"/>
        </w:tabs>
        <w:spacing w:line="276" w:lineRule="auto"/>
        <w:ind w:left="426" w:right="616" w:hanging="284"/>
        <w:jc w:val="both"/>
        <w:rPr>
          <w:rFonts w:ascii="Palatino Linotype" w:eastAsia="Palatino Linotype" w:hAnsi="Palatino Linotype" w:cs="Palatino Linotype"/>
          <w:sz w:val="22"/>
          <w:szCs w:val="22"/>
        </w:rPr>
      </w:pPr>
    </w:p>
    <w:p w14:paraId="0B43B01F" w14:textId="77777777" w:rsidR="001B3EF9" w:rsidRPr="002963F8" w:rsidRDefault="005E621C">
      <w:pPr>
        <w:numPr>
          <w:ilvl w:val="0"/>
          <w:numId w:val="8"/>
        </w:numPr>
        <w:pBdr>
          <w:top w:val="nil"/>
          <w:left w:val="nil"/>
          <w:bottom w:val="nil"/>
          <w:right w:val="nil"/>
          <w:between w:val="nil"/>
        </w:pBdr>
        <w:tabs>
          <w:tab w:val="left" w:pos="7655"/>
        </w:tabs>
        <w:spacing w:line="276" w:lineRule="auto"/>
        <w:ind w:left="426" w:right="616" w:hanging="284"/>
        <w:jc w:val="both"/>
        <w:rPr>
          <w:rFonts w:ascii="Palatino Linotype" w:eastAsia="Palatino Linotype" w:hAnsi="Palatino Linotype" w:cs="Palatino Linotype"/>
          <w:sz w:val="22"/>
          <w:szCs w:val="22"/>
        </w:rPr>
      </w:pPr>
      <w:bookmarkStart w:id="9" w:name="_heading=h.2et92p0" w:colFirst="0" w:colLast="0"/>
      <w:bookmarkEnd w:id="9"/>
      <w:r w:rsidRPr="002963F8">
        <w:rPr>
          <w:rFonts w:ascii="Palatino Linotype" w:eastAsia="Palatino Linotype" w:hAnsi="Palatino Linotype" w:cs="Palatino Linotype"/>
          <w:sz w:val="22"/>
          <w:szCs w:val="22"/>
        </w:rPr>
        <w:t xml:space="preserve">En el supuesto de que al 23 de mayo de 2024, </w:t>
      </w:r>
      <w:r w:rsidRPr="002963F8">
        <w:rPr>
          <w:rFonts w:ascii="Palatino Linotype" w:eastAsia="Palatino Linotype" w:hAnsi="Palatino Linotype" w:cs="Palatino Linotype"/>
          <w:b/>
          <w:sz w:val="22"/>
          <w:szCs w:val="22"/>
        </w:rPr>
        <w:t xml:space="preserve">la persona señalada en la solicitud de información que en su momento fungió como Tesorera Municipal, cuente </w:t>
      </w:r>
      <w:r w:rsidRPr="002963F8">
        <w:rPr>
          <w:rFonts w:ascii="Palatino Linotype" w:eastAsia="Palatino Linotype" w:hAnsi="Palatino Linotype" w:cs="Palatino Linotype"/>
          <w:b/>
          <w:sz w:val="22"/>
          <w:szCs w:val="22"/>
        </w:rPr>
        <w:lastRenderedPageBreak/>
        <w:t>con procedimientos administrativos concluidos por faltas graves condenatorias y/o sea parte de procedimientos sobre faltas administrativas en trámite que encuadre en los supuestos establecidos relacionados con actos de corrupción o violaciones graves a derechos humanos</w:t>
      </w:r>
      <w:r w:rsidRPr="002963F8">
        <w:rPr>
          <w:rFonts w:ascii="Palatino Linotype" w:eastAsia="Palatino Linotype" w:hAnsi="Palatino Linotype" w:cs="Palatino Linotype"/>
          <w:sz w:val="22"/>
          <w:szCs w:val="22"/>
        </w:rPr>
        <w:t xml:space="preserve">, en términos del artículo 142 de la Ley de Transparencia y Acceso a la Información Pública del Estado de México y Municipios, </w:t>
      </w:r>
      <w:r w:rsidRPr="002963F8">
        <w:rPr>
          <w:rFonts w:ascii="Palatino Linotype" w:eastAsia="Palatino Linotype" w:hAnsi="Palatino Linotype" w:cs="Palatino Linotype"/>
          <w:b/>
          <w:sz w:val="22"/>
          <w:szCs w:val="22"/>
        </w:rPr>
        <w:t xml:space="preserve">el Sujeto Obligado deberá hacer entrega de la información que dé cuenta del número de expediente de dichos procedimientos en versión pública de ser necesario; </w:t>
      </w:r>
      <w:r w:rsidRPr="002963F8">
        <w:rPr>
          <w:rFonts w:ascii="Palatino Linotype" w:eastAsia="Palatino Linotype" w:hAnsi="Palatino Linotype" w:cs="Palatino Linotype"/>
          <w:i/>
          <w:sz w:val="22"/>
          <w:szCs w:val="22"/>
        </w:rPr>
        <w:t>en caso de no actualizarse este supuesto bastará con que así se lo haga del conocimiento del particular.</w:t>
      </w:r>
    </w:p>
    <w:p w14:paraId="3EC85BEB" w14:textId="77777777" w:rsidR="001B3EF9" w:rsidRPr="002963F8" w:rsidRDefault="001B3EF9">
      <w:pPr>
        <w:spacing w:line="360" w:lineRule="auto"/>
        <w:ind w:right="-7"/>
        <w:jc w:val="both"/>
        <w:rPr>
          <w:rFonts w:ascii="Palatino Linotype" w:eastAsia="Palatino Linotype" w:hAnsi="Palatino Linotype" w:cs="Palatino Linotype"/>
          <w:sz w:val="22"/>
          <w:szCs w:val="22"/>
        </w:rPr>
      </w:pPr>
    </w:p>
    <w:p w14:paraId="277B2B3A" w14:textId="77777777" w:rsidR="001B3EF9" w:rsidRPr="002963F8" w:rsidRDefault="005E621C">
      <w:pPr>
        <w:ind w:left="426" w:right="616"/>
        <w:jc w:val="both"/>
        <w:rPr>
          <w:rFonts w:ascii="Palatino Linotype" w:eastAsia="Palatino Linotype" w:hAnsi="Palatino Linotype" w:cs="Palatino Linotype"/>
          <w:b/>
          <w:i/>
          <w:sz w:val="22"/>
          <w:szCs w:val="22"/>
        </w:rPr>
      </w:pPr>
      <w:r w:rsidRPr="002963F8">
        <w:rPr>
          <w:rFonts w:ascii="Palatino Linotype" w:eastAsia="Palatino Linotype" w:hAnsi="Palatino Linotype" w:cs="Palatino Linotype"/>
          <w:i/>
          <w:sz w:val="22"/>
          <w:szCs w:val="22"/>
        </w:rPr>
        <w:t xml:space="preserve">Para la entrega en versión pública deberá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2963F8">
        <w:rPr>
          <w:rFonts w:ascii="Palatino Linotype" w:eastAsia="Palatino Linotype" w:hAnsi="Palatino Linotype" w:cs="Palatino Linotype"/>
          <w:b/>
          <w:i/>
          <w:sz w:val="22"/>
          <w:szCs w:val="22"/>
        </w:rPr>
        <w:t>Recurrente.</w:t>
      </w:r>
    </w:p>
    <w:p w14:paraId="3B361647"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25018334" w14:textId="77777777" w:rsidR="001B3EF9" w:rsidRPr="002963F8" w:rsidRDefault="005E621C">
      <w:pPr>
        <w:spacing w:line="360" w:lineRule="auto"/>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 xml:space="preserve">Tercero. Notifíquese, </w:t>
      </w:r>
      <w:r w:rsidRPr="002963F8">
        <w:rPr>
          <w:rFonts w:ascii="Palatino Linotype" w:eastAsia="Palatino Linotype" w:hAnsi="Palatino Linotype" w:cs="Palatino Linotype"/>
          <w:sz w:val="22"/>
          <w:szCs w:val="22"/>
        </w:rPr>
        <w:t xml:space="preserve">vía </w:t>
      </w:r>
      <w:r w:rsidRPr="002963F8">
        <w:rPr>
          <w:rFonts w:ascii="Palatino Linotype" w:eastAsia="Palatino Linotype" w:hAnsi="Palatino Linotype" w:cs="Palatino Linotype"/>
          <w:b/>
          <w:sz w:val="22"/>
          <w:szCs w:val="22"/>
        </w:rPr>
        <w:t>SAIMEX</w:t>
      </w:r>
      <w:r w:rsidRPr="002963F8">
        <w:rPr>
          <w:rFonts w:ascii="Palatino Linotype" w:eastAsia="Palatino Linotype" w:hAnsi="Palatino Linotype" w:cs="Palatino Linotype"/>
          <w:sz w:val="22"/>
          <w:szCs w:val="22"/>
        </w:rPr>
        <w:t xml:space="preserve">, al Titular de la Unidad de Transparencia del </w:t>
      </w:r>
      <w:r w:rsidRPr="002963F8">
        <w:rPr>
          <w:rFonts w:ascii="Palatino Linotype" w:eastAsia="Palatino Linotype" w:hAnsi="Palatino Linotype" w:cs="Palatino Linotype"/>
          <w:b/>
          <w:sz w:val="22"/>
          <w:szCs w:val="22"/>
        </w:rPr>
        <w:t>Sujeto Obligado,</w:t>
      </w:r>
      <w:r w:rsidRPr="002963F8">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6131A76"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65EB0006" w14:textId="77777777" w:rsidR="001B3EF9" w:rsidRPr="002963F8" w:rsidRDefault="005E621C">
      <w:pPr>
        <w:spacing w:line="360" w:lineRule="auto"/>
        <w:ind w:right="49"/>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Cuarto.</w:t>
      </w:r>
      <w:r w:rsidRPr="002963F8">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2963F8">
        <w:rPr>
          <w:rFonts w:ascii="Palatino Linotype" w:eastAsia="Palatino Linotype" w:hAnsi="Palatino Linotype" w:cs="Palatino Linotype"/>
          <w:b/>
          <w:sz w:val="22"/>
          <w:szCs w:val="22"/>
        </w:rPr>
        <w:t>Sujeto Obligado</w:t>
      </w:r>
      <w:r w:rsidRPr="002963F8">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036CDA3F" w14:textId="77777777" w:rsidR="001B3EF9" w:rsidRPr="002963F8" w:rsidRDefault="001B3EF9">
      <w:pPr>
        <w:spacing w:line="360" w:lineRule="auto"/>
        <w:ind w:right="49"/>
        <w:jc w:val="both"/>
        <w:rPr>
          <w:rFonts w:ascii="Palatino Linotype" w:eastAsia="Palatino Linotype" w:hAnsi="Palatino Linotype" w:cs="Palatino Linotype"/>
          <w:sz w:val="22"/>
          <w:szCs w:val="22"/>
        </w:rPr>
      </w:pPr>
    </w:p>
    <w:p w14:paraId="01FD643A" w14:textId="77777777" w:rsidR="001B3EF9" w:rsidRPr="002963F8" w:rsidRDefault="005E621C">
      <w:pPr>
        <w:spacing w:line="360" w:lineRule="auto"/>
        <w:ind w:right="40"/>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b/>
          <w:sz w:val="22"/>
          <w:szCs w:val="22"/>
        </w:rPr>
        <w:t>Quinto. Notifíquese vía SAIMEX</w:t>
      </w:r>
      <w:r w:rsidRPr="002963F8">
        <w:rPr>
          <w:rFonts w:ascii="Palatino Linotype" w:eastAsia="Palatino Linotype" w:hAnsi="Palatino Linotype" w:cs="Palatino Linotype"/>
          <w:sz w:val="22"/>
          <w:szCs w:val="22"/>
        </w:rPr>
        <w:t xml:space="preserve">  a la parte </w:t>
      </w:r>
      <w:r w:rsidRPr="002963F8">
        <w:rPr>
          <w:rFonts w:ascii="Palatino Linotype" w:eastAsia="Palatino Linotype" w:hAnsi="Palatino Linotype" w:cs="Palatino Linotype"/>
          <w:b/>
          <w:sz w:val="22"/>
          <w:szCs w:val="22"/>
        </w:rPr>
        <w:t>Recurrente</w:t>
      </w:r>
      <w:r w:rsidRPr="002963F8">
        <w:rPr>
          <w:rFonts w:ascii="Palatino Linotype" w:eastAsia="Palatino Linotype" w:hAnsi="Palatino Linotype" w:cs="Palatino Linotype"/>
          <w:sz w:val="22"/>
          <w:szCs w:val="22"/>
        </w:rPr>
        <w:t>,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70FAC787" w14:textId="77777777" w:rsidR="001B3EF9" w:rsidRPr="002963F8" w:rsidRDefault="001B3EF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FC58AAB" w14:textId="77777777" w:rsidR="001B3EF9" w:rsidRPr="002963F8" w:rsidRDefault="005E621C">
      <w:pPr>
        <w:spacing w:line="360" w:lineRule="auto"/>
        <w:ind w:right="-93"/>
        <w:jc w:val="both"/>
        <w:rPr>
          <w:rFonts w:ascii="Palatino Linotype" w:eastAsia="Palatino Linotype" w:hAnsi="Palatino Linotype" w:cs="Palatino Linotype"/>
          <w:sz w:val="22"/>
          <w:szCs w:val="22"/>
        </w:rPr>
      </w:pPr>
      <w:r w:rsidRPr="002963F8">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C15FEF" w:rsidRPr="002963F8">
        <w:rPr>
          <w:rFonts w:ascii="Palatino Linotype" w:eastAsia="Palatino Linotype" w:hAnsi="Palatino Linotype" w:cs="Palatino Linotype"/>
          <w:sz w:val="22"/>
          <w:szCs w:val="22"/>
        </w:rPr>
        <w:t xml:space="preserve"> (EMITIENDO VOTO PARTICULAR)</w:t>
      </w:r>
      <w:r w:rsidRPr="002963F8">
        <w:rPr>
          <w:rFonts w:ascii="Palatino Linotype" w:eastAsia="Palatino Linotype" w:hAnsi="Palatino Linotype" w:cs="Palatino Linotype"/>
          <w:sz w:val="22"/>
          <w:szCs w:val="22"/>
        </w:rPr>
        <w:t>, SHARON CRISTINA MORALES MARTÍNEZ, LUIS GUSTAVO PARRA NORIEGA</w:t>
      </w:r>
      <w:r w:rsidR="00E47965" w:rsidRPr="002963F8">
        <w:rPr>
          <w:rFonts w:ascii="Palatino Linotype" w:eastAsia="Palatino Linotype" w:hAnsi="Palatino Linotype" w:cs="Palatino Linotype"/>
          <w:sz w:val="22"/>
          <w:szCs w:val="22"/>
        </w:rPr>
        <w:t xml:space="preserve"> (EMITIENDO VOTO PARTICULAR),</w:t>
      </w:r>
      <w:r w:rsidRPr="002963F8">
        <w:rPr>
          <w:rFonts w:ascii="Palatino Linotype" w:eastAsia="Palatino Linotype" w:hAnsi="Palatino Linotype" w:cs="Palatino Linotype"/>
          <w:sz w:val="22"/>
          <w:szCs w:val="22"/>
        </w:rPr>
        <w:t xml:space="preserve"> Y GUADALUPE RAMÍREZ PEÑA; EN LA TRIGÉSIMA </w:t>
      </w:r>
      <w:r w:rsidR="00C15FEF" w:rsidRPr="002963F8">
        <w:rPr>
          <w:rFonts w:ascii="Palatino Linotype" w:eastAsia="Palatino Linotype" w:hAnsi="Palatino Linotype" w:cs="Palatino Linotype"/>
          <w:sz w:val="22"/>
          <w:szCs w:val="22"/>
        </w:rPr>
        <w:t>CUARTA</w:t>
      </w:r>
      <w:r w:rsidRPr="002963F8">
        <w:rPr>
          <w:rFonts w:ascii="Palatino Linotype" w:eastAsia="Palatino Linotype" w:hAnsi="Palatino Linotype" w:cs="Palatino Linotype"/>
          <w:sz w:val="22"/>
          <w:szCs w:val="22"/>
        </w:rPr>
        <w:t xml:space="preserve"> SESIÓN ORDINARIA CELEBRADA EL VEINTICINCO DE SEPTIEMBRE DE DOS MIL VEINTICUATRO, ANTE EL SECRETARIO TÉCNICO DEL PLENO ALEXIS TAPIA RAMÍREZ.</w:t>
      </w:r>
    </w:p>
    <w:p w14:paraId="38659FDB" w14:textId="77777777" w:rsidR="001B3EF9" w:rsidRPr="002963F8" w:rsidRDefault="001B3EF9">
      <w:pPr>
        <w:spacing w:line="360" w:lineRule="auto"/>
        <w:ind w:right="-7"/>
        <w:jc w:val="both"/>
        <w:rPr>
          <w:rFonts w:ascii="Palatino Linotype" w:eastAsia="Palatino Linotype" w:hAnsi="Palatino Linotype" w:cs="Palatino Linotype"/>
          <w:sz w:val="22"/>
          <w:szCs w:val="22"/>
        </w:rPr>
      </w:pPr>
    </w:p>
    <w:p w14:paraId="2DB27751" w14:textId="77777777" w:rsidR="001B3EF9" w:rsidRPr="002963F8" w:rsidRDefault="001B3EF9">
      <w:pPr>
        <w:spacing w:line="360" w:lineRule="auto"/>
        <w:jc w:val="both"/>
        <w:rPr>
          <w:rFonts w:ascii="Palatino Linotype" w:eastAsia="Palatino Linotype" w:hAnsi="Palatino Linotype" w:cs="Palatino Linotype"/>
          <w:sz w:val="22"/>
          <w:szCs w:val="22"/>
        </w:rPr>
      </w:pPr>
      <w:bookmarkStart w:id="10" w:name="_heading=h.3rdcrjn" w:colFirst="0" w:colLast="0"/>
      <w:bookmarkEnd w:id="10"/>
    </w:p>
    <w:p w14:paraId="32982157"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1143C1F4"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6F745BB8" w14:textId="77777777" w:rsidR="001B3EF9" w:rsidRPr="002963F8" w:rsidRDefault="001B3EF9">
      <w:pPr>
        <w:spacing w:line="360" w:lineRule="auto"/>
        <w:jc w:val="both"/>
        <w:rPr>
          <w:rFonts w:ascii="Palatino Linotype" w:eastAsia="Palatino Linotype" w:hAnsi="Palatino Linotype" w:cs="Palatino Linotype"/>
          <w:sz w:val="22"/>
          <w:szCs w:val="22"/>
        </w:rPr>
      </w:pPr>
      <w:bookmarkStart w:id="11" w:name="_heading=h.1t3h5sf" w:colFirst="0" w:colLast="0"/>
      <w:bookmarkEnd w:id="11"/>
    </w:p>
    <w:p w14:paraId="5DEF96E1"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4B7C2B4D"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75960295" w14:textId="77777777" w:rsidR="001B3EF9" w:rsidRPr="002963F8" w:rsidRDefault="001B3EF9" w:rsidP="002963F8">
      <w:pPr>
        <w:pStyle w:val="Sinespaciado"/>
        <w:rPr>
          <w:rFonts w:eastAsia="Palatino Linotype"/>
        </w:rPr>
      </w:pPr>
    </w:p>
    <w:p w14:paraId="16EE17A0"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470D1497"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5BDBB8EC"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17522E4C"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46C6D70D"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5534E576"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6953D49A"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501017FF"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14757BBD"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7A18BCED"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2214C3F0"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11ADA0FD"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4D05B25F"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6E98C3A5"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759688AD"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2B0638BB"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28BB165B" w14:textId="77777777" w:rsidR="001B3EF9" w:rsidRPr="002963F8" w:rsidRDefault="001B3EF9">
      <w:pPr>
        <w:spacing w:line="360" w:lineRule="auto"/>
        <w:jc w:val="both"/>
        <w:rPr>
          <w:rFonts w:ascii="Palatino Linotype" w:eastAsia="Palatino Linotype" w:hAnsi="Palatino Linotype" w:cs="Palatino Linotype"/>
          <w:sz w:val="22"/>
          <w:szCs w:val="22"/>
        </w:rPr>
      </w:pPr>
    </w:p>
    <w:p w14:paraId="2C557248" w14:textId="77777777" w:rsidR="001B3EF9" w:rsidRPr="002963F8" w:rsidRDefault="001B3EF9">
      <w:pPr>
        <w:spacing w:line="360" w:lineRule="auto"/>
        <w:jc w:val="both"/>
        <w:rPr>
          <w:rFonts w:ascii="Palatino Linotype" w:eastAsia="Palatino Linotype" w:hAnsi="Palatino Linotype" w:cs="Palatino Linotype"/>
          <w:sz w:val="22"/>
          <w:szCs w:val="22"/>
        </w:rPr>
      </w:pPr>
    </w:p>
    <w:sectPr w:rsidR="001B3EF9" w:rsidRPr="002963F8">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95CD8" w14:textId="77777777" w:rsidR="00B5187F" w:rsidRDefault="00B5187F">
      <w:r>
        <w:separator/>
      </w:r>
    </w:p>
  </w:endnote>
  <w:endnote w:type="continuationSeparator" w:id="0">
    <w:p w14:paraId="0DF71954" w14:textId="77777777" w:rsidR="00B5187F" w:rsidRDefault="00B51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04CB2" w14:textId="77777777" w:rsidR="001B3EF9" w:rsidRDefault="005E621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963F8">
      <w:rPr>
        <w:rFonts w:ascii="Palatino Linotype" w:eastAsia="Palatino Linotype" w:hAnsi="Palatino Linotype" w:cs="Palatino Linotype"/>
        <w:b/>
        <w:noProof/>
        <w:color w:val="000000"/>
        <w:sz w:val="20"/>
        <w:szCs w:val="20"/>
      </w:rPr>
      <w:t>75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963F8">
      <w:rPr>
        <w:rFonts w:ascii="Palatino Linotype" w:eastAsia="Palatino Linotype" w:hAnsi="Palatino Linotype" w:cs="Palatino Linotype"/>
        <w:b/>
        <w:noProof/>
        <w:color w:val="000000"/>
        <w:sz w:val="20"/>
        <w:szCs w:val="20"/>
      </w:rPr>
      <w:t>77</w:t>
    </w:r>
    <w:r>
      <w:rPr>
        <w:rFonts w:ascii="Palatino Linotype" w:eastAsia="Palatino Linotype" w:hAnsi="Palatino Linotype" w:cs="Palatino Linotype"/>
        <w:b/>
        <w:color w:val="000000"/>
        <w:sz w:val="20"/>
        <w:szCs w:val="20"/>
      </w:rPr>
      <w:fldChar w:fldCharType="end"/>
    </w:r>
  </w:p>
  <w:p w14:paraId="372B0834" w14:textId="77777777" w:rsidR="001B3EF9" w:rsidRDefault="001B3EF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3EFAC" w14:textId="77777777" w:rsidR="001B3EF9" w:rsidRDefault="005E621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963F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963F8">
      <w:rPr>
        <w:rFonts w:ascii="Palatino Linotype" w:eastAsia="Palatino Linotype" w:hAnsi="Palatino Linotype" w:cs="Palatino Linotype"/>
        <w:b/>
        <w:noProof/>
        <w:color w:val="000000"/>
        <w:sz w:val="20"/>
        <w:szCs w:val="20"/>
      </w:rPr>
      <w:t>77</w:t>
    </w:r>
    <w:r>
      <w:rPr>
        <w:rFonts w:ascii="Palatino Linotype" w:eastAsia="Palatino Linotype" w:hAnsi="Palatino Linotype" w:cs="Palatino Linotype"/>
        <w:b/>
        <w:color w:val="000000"/>
        <w:sz w:val="20"/>
        <w:szCs w:val="20"/>
      </w:rPr>
      <w:fldChar w:fldCharType="end"/>
    </w:r>
  </w:p>
  <w:p w14:paraId="292E6C0F" w14:textId="77777777" w:rsidR="001B3EF9" w:rsidRDefault="001B3EF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744F6" w14:textId="77777777" w:rsidR="00B5187F" w:rsidRDefault="00B5187F">
      <w:r>
        <w:separator/>
      </w:r>
    </w:p>
  </w:footnote>
  <w:footnote w:type="continuationSeparator" w:id="0">
    <w:p w14:paraId="57A2278F" w14:textId="77777777" w:rsidR="00B5187F" w:rsidRDefault="00B5187F">
      <w:r>
        <w:continuationSeparator/>
      </w:r>
    </w:p>
  </w:footnote>
  <w:footnote w:id="1">
    <w:p w14:paraId="13E5BAAD" w14:textId="77777777" w:rsidR="001B3EF9" w:rsidRDefault="005E621C">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F37413B" w14:textId="77777777" w:rsidR="001B3EF9" w:rsidRDefault="005E621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5CE7217" w14:textId="77777777" w:rsidR="001B3EF9" w:rsidRDefault="005E621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4BFBA75C" w14:textId="77777777" w:rsidR="001B3EF9" w:rsidRDefault="005E621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D357" w14:textId="77777777" w:rsidR="001B3EF9" w:rsidRDefault="005E621C">
    <w:pPr>
      <w:rPr>
        <w:rFonts w:ascii="Cambria" w:eastAsia="Cambria" w:hAnsi="Cambria" w:cs="Cambria"/>
        <w:color w:val="000000"/>
      </w:rPr>
    </w:pPr>
    <w:r>
      <w:rPr>
        <w:noProof/>
      </w:rPr>
      <w:drawing>
        <wp:anchor distT="0" distB="0" distL="0" distR="0" simplePos="0" relativeHeight="251658240" behindDoc="1" locked="0" layoutInCell="1" hidden="0" allowOverlap="1" wp14:anchorId="1FACF08E" wp14:editId="48953FAB">
          <wp:simplePos x="0" y="0"/>
          <wp:positionH relativeFrom="column">
            <wp:posOffset>-1080110</wp:posOffset>
          </wp:positionH>
          <wp:positionV relativeFrom="paragraph">
            <wp:posOffset>-488285</wp:posOffset>
          </wp:positionV>
          <wp:extent cx="7809865" cy="10165715"/>
          <wp:effectExtent l="0" t="0" r="0" b="0"/>
          <wp:wrapNone/>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0"/>
      <w:tblW w:w="7087" w:type="dxa"/>
      <w:tblInd w:w="3261" w:type="dxa"/>
      <w:tblLayout w:type="fixed"/>
      <w:tblLook w:val="0400" w:firstRow="0" w:lastRow="0" w:firstColumn="0" w:lastColumn="0" w:noHBand="0" w:noVBand="1"/>
    </w:tblPr>
    <w:tblGrid>
      <w:gridCol w:w="2489"/>
      <w:gridCol w:w="4598"/>
    </w:tblGrid>
    <w:tr w:rsidR="001B3EF9" w14:paraId="37EEBC40" w14:textId="77777777">
      <w:tc>
        <w:tcPr>
          <w:tcW w:w="2489" w:type="dxa"/>
          <w:shd w:val="clear" w:color="auto" w:fill="auto"/>
        </w:tcPr>
        <w:p w14:paraId="7B85ACC2" w14:textId="77777777" w:rsidR="001B3EF9" w:rsidRDefault="005E62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52418DEE" w14:textId="77777777" w:rsidR="001B3EF9" w:rsidRDefault="005E621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03634/INFOEM/IP/RR/2024</w:t>
          </w:r>
        </w:p>
      </w:tc>
    </w:tr>
    <w:tr w:rsidR="001B3EF9" w14:paraId="6605B343" w14:textId="77777777">
      <w:trPr>
        <w:trHeight w:val="228"/>
      </w:trPr>
      <w:tc>
        <w:tcPr>
          <w:tcW w:w="2489" w:type="dxa"/>
          <w:shd w:val="clear" w:color="auto" w:fill="auto"/>
          <w:vAlign w:val="center"/>
        </w:tcPr>
        <w:p w14:paraId="5CB8C674" w14:textId="77777777" w:rsidR="001B3EF9" w:rsidRDefault="005E62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37A23CDD" w14:textId="77777777" w:rsidR="001B3EF9" w:rsidRDefault="005E621C">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Almoloya del Rio</w:t>
          </w:r>
        </w:p>
      </w:tc>
    </w:tr>
    <w:tr w:rsidR="001B3EF9" w14:paraId="15D0929B" w14:textId="77777777">
      <w:tc>
        <w:tcPr>
          <w:tcW w:w="2489" w:type="dxa"/>
          <w:shd w:val="clear" w:color="auto" w:fill="auto"/>
          <w:vAlign w:val="center"/>
        </w:tcPr>
        <w:p w14:paraId="03BB0E66" w14:textId="77777777" w:rsidR="001B3EF9" w:rsidRDefault="005E621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3A24189A" w14:textId="77777777" w:rsidR="001B3EF9" w:rsidRDefault="005E621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D9502CC" w14:textId="77777777" w:rsidR="001B3EF9" w:rsidRDefault="005E621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FB18A" w14:textId="77777777" w:rsidR="001B3EF9" w:rsidRDefault="005E621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0B852EC" wp14:editId="5A51EC5E">
          <wp:simplePos x="0" y="0"/>
          <wp:positionH relativeFrom="column">
            <wp:posOffset>-1079488</wp:posOffset>
          </wp:positionH>
          <wp:positionV relativeFrom="paragraph">
            <wp:posOffset>-328917</wp:posOffset>
          </wp:positionV>
          <wp:extent cx="7809865" cy="10165715"/>
          <wp:effectExtent l="0" t="0" r="0" b="0"/>
          <wp:wrapNone/>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6945" w:type="dxa"/>
      <w:tblInd w:w="3261" w:type="dxa"/>
      <w:tblLayout w:type="fixed"/>
      <w:tblLook w:val="0400" w:firstRow="0" w:lastRow="0" w:firstColumn="0" w:lastColumn="0" w:noHBand="0" w:noVBand="1"/>
    </w:tblPr>
    <w:tblGrid>
      <w:gridCol w:w="2551"/>
      <w:gridCol w:w="4394"/>
    </w:tblGrid>
    <w:tr w:rsidR="001B3EF9" w14:paraId="0E19E646" w14:textId="77777777">
      <w:tc>
        <w:tcPr>
          <w:tcW w:w="2551" w:type="dxa"/>
          <w:shd w:val="clear" w:color="auto" w:fill="auto"/>
          <w:vAlign w:val="center"/>
        </w:tcPr>
        <w:p w14:paraId="13AAB8F4" w14:textId="77777777" w:rsidR="001B3EF9" w:rsidRDefault="005E62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17861680" w14:textId="77777777" w:rsidR="001B3EF9" w:rsidRDefault="005E621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03634/INFOEM/IP/RR/2024</w:t>
          </w:r>
        </w:p>
      </w:tc>
    </w:tr>
    <w:tr w:rsidR="001B3EF9" w14:paraId="3BC23C84" w14:textId="77777777">
      <w:trPr>
        <w:trHeight w:val="130"/>
      </w:trPr>
      <w:tc>
        <w:tcPr>
          <w:tcW w:w="2551" w:type="dxa"/>
          <w:shd w:val="clear" w:color="auto" w:fill="auto"/>
          <w:vAlign w:val="center"/>
        </w:tcPr>
        <w:p w14:paraId="12A3C0A2" w14:textId="77777777" w:rsidR="001B3EF9" w:rsidRDefault="005E62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2F21B8FB" w14:textId="5DA2D499" w:rsidR="001B3EF9" w:rsidRDefault="004B25D7">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XXXXXX XX </w:t>
          </w:r>
        </w:p>
      </w:tc>
    </w:tr>
    <w:tr w:rsidR="001B3EF9" w14:paraId="0A0614A3" w14:textId="77777777">
      <w:trPr>
        <w:trHeight w:val="228"/>
      </w:trPr>
      <w:tc>
        <w:tcPr>
          <w:tcW w:w="2551" w:type="dxa"/>
          <w:shd w:val="clear" w:color="auto" w:fill="auto"/>
          <w:vAlign w:val="center"/>
        </w:tcPr>
        <w:p w14:paraId="25986ACC" w14:textId="77777777" w:rsidR="001B3EF9" w:rsidRDefault="005E62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6345DB97" w14:textId="77777777" w:rsidR="001B3EF9" w:rsidRDefault="005E621C">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Almoloya del Río</w:t>
          </w:r>
        </w:p>
      </w:tc>
    </w:tr>
    <w:tr w:rsidR="001B3EF9" w14:paraId="771A39AD" w14:textId="77777777">
      <w:tc>
        <w:tcPr>
          <w:tcW w:w="2551" w:type="dxa"/>
          <w:shd w:val="clear" w:color="auto" w:fill="auto"/>
          <w:vAlign w:val="center"/>
        </w:tcPr>
        <w:p w14:paraId="26527075" w14:textId="77777777" w:rsidR="001B3EF9" w:rsidRDefault="005E62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43B0F7AB" w14:textId="77777777" w:rsidR="001B3EF9" w:rsidRDefault="005E621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423AAE4" w14:textId="77777777" w:rsidR="001B3EF9" w:rsidRDefault="001B3EF9">
    <w:pPr>
      <w:pBdr>
        <w:top w:val="nil"/>
        <w:left w:val="nil"/>
        <w:bottom w:val="nil"/>
        <w:right w:val="nil"/>
        <w:between w:val="nil"/>
      </w:pBdr>
      <w:tabs>
        <w:tab w:val="center" w:pos="4252"/>
        <w:tab w:val="right" w:pos="8504"/>
      </w:tabs>
      <w:rPr>
        <w:rFonts w:ascii="Cambria" w:eastAsia="Cambria" w:hAnsi="Cambria" w:cs="Cambria"/>
        <w:color w:val="000000"/>
      </w:rPr>
    </w:pPr>
  </w:p>
  <w:p w14:paraId="275FCF36" w14:textId="77777777" w:rsidR="001B3EF9" w:rsidRDefault="001B3E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6136"/>
    <w:multiLevelType w:val="multilevel"/>
    <w:tmpl w:val="316080F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01332906"/>
    <w:multiLevelType w:val="multilevel"/>
    <w:tmpl w:val="F90038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30F61CE"/>
    <w:multiLevelType w:val="multilevel"/>
    <w:tmpl w:val="C1242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0B39AF"/>
    <w:multiLevelType w:val="multilevel"/>
    <w:tmpl w:val="4322F434"/>
    <w:lvl w:ilvl="0">
      <w:start w:val="1"/>
      <w:numFmt w:val="decimal"/>
      <w:lvlText w:val="%1."/>
      <w:lvlJc w:val="left"/>
      <w:pPr>
        <w:ind w:left="1440" w:hanging="720"/>
      </w:pPr>
      <w:rPr>
        <w:rFonts w:ascii="Palatino Linotype" w:eastAsia="Palatino Linotype" w:hAnsi="Palatino Linotype" w:cs="Palatino Linotyp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2A3C7ECF"/>
    <w:multiLevelType w:val="multilevel"/>
    <w:tmpl w:val="24D69E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4182884"/>
    <w:multiLevelType w:val="multilevel"/>
    <w:tmpl w:val="38B49E8E"/>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1D76B0"/>
    <w:multiLevelType w:val="multilevel"/>
    <w:tmpl w:val="0E926B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0102E7B"/>
    <w:multiLevelType w:val="multilevel"/>
    <w:tmpl w:val="A9F80B06"/>
    <w:lvl w:ilvl="0">
      <w:start w:val="1"/>
      <w:numFmt w:val="upperRoman"/>
      <w:pStyle w:val="Listaconvietas2"/>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8" w15:restartNumberingAfterBreak="0">
    <w:nsid w:val="796C0869"/>
    <w:multiLevelType w:val="multilevel"/>
    <w:tmpl w:val="B05A0148"/>
    <w:lvl w:ilvl="0">
      <w:start w:val="6"/>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DE5073C"/>
    <w:multiLevelType w:val="multilevel"/>
    <w:tmpl w:val="7A3A7796"/>
    <w:lvl w:ilvl="0">
      <w:numFmt w:val="bullet"/>
      <w:lvlText w:val="•"/>
      <w:lvlJc w:val="left"/>
      <w:pPr>
        <w:ind w:left="928" w:hanging="360"/>
      </w:pPr>
      <w:rPr>
        <w:rFonts w:ascii="Palatino Linotype" w:eastAsia="Palatino Linotype" w:hAnsi="Palatino Linotype" w:cs="Palatino Linotype"/>
        <w:i/>
        <w:color w:val="000000"/>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abstractNumId w:val="8"/>
  </w:num>
  <w:num w:numId="2">
    <w:abstractNumId w:val="6"/>
  </w:num>
  <w:num w:numId="3">
    <w:abstractNumId w:val="7"/>
  </w:num>
  <w:num w:numId="4">
    <w:abstractNumId w:val="5"/>
  </w:num>
  <w:num w:numId="5">
    <w:abstractNumId w:val="4"/>
  </w:num>
  <w:num w:numId="6">
    <w:abstractNumId w:val="1"/>
  </w:num>
  <w:num w:numId="7">
    <w:abstractNumId w:val="9"/>
  </w:num>
  <w:num w:numId="8">
    <w:abstractNumId w:val="3"/>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EF9"/>
    <w:rsid w:val="00034D1E"/>
    <w:rsid w:val="001B3EF9"/>
    <w:rsid w:val="002963F8"/>
    <w:rsid w:val="004B25D7"/>
    <w:rsid w:val="005E621C"/>
    <w:rsid w:val="00885A5A"/>
    <w:rsid w:val="00B5187F"/>
    <w:rsid w:val="00C15FEF"/>
    <w:rsid w:val="00E479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ED26D"/>
  <w15:docId w15:val="{585F7495-CE0B-465B-8326-14FA6FC22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936"/>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7"/>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basedOn w:val="Normal"/>
    <w:link w:val="TextonotapieCar"/>
    <w:uiPriority w:val="99"/>
    <w:semiHidden/>
    <w:unhideWhenUsed/>
    <w:rsid w:val="00F759CF"/>
    <w:rPr>
      <w:sz w:val="20"/>
      <w:szCs w:val="20"/>
    </w:rPr>
  </w:style>
  <w:style w:type="character" w:customStyle="1" w:styleId="TextonotapieCar">
    <w:name w:val="Texto nota pie Car"/>
    <w:basedOn w:val="Fuentedeprrafopredeter"/>
    <w:link w:val="Textonotapie"/>
    <w:uiPriority w:val="99"/>
    <w:semiHidden/>
    <w:rsid w:val="00F759CF"/>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F759CF"/>
    <w:rPr>
      <w:vertAlign w:val="superscript"/>
    </w:r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5"/>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1C28F5"/>
    <w:pPr>
      <w:numPr>
        <w:numId w:val="3"/>
      </w:numPr>
      <w:contextualSpacing/>
    </w:pPr>
  </w:style>
  <w:style w:type="paragraph" w:styleId="Textodeglobo">
    <w:name w:val="Balloon Text"/>
    <w:basedOn w:val="Normal"/>
    <w:link w:val="TextodegloboCar"/>
    <w:uiPriority w:val="99"/>
    <w:semiHidden/>
    <w:unhideWhenUsed/>
    <w:rsid w:val="00B37A9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7A94"/>
    <w:rPr>
      <w:rFonts w:ascii="Segoe UI" w:hAnsi="Segoe UI" w:cs="Segoe UI"/>
      <w:sz w:val="18"/>
      <w:szCs w:val="18"/>
    </w:r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932E42"/>
    <w:rPr>
      <w:color w:val="800080" w:themeColor="followedHyperlink"/>
      <w:u w:val="single"/>
    </w:r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paragraph" w:styleId="Sinespaciado">
    <w:name w:val="No Spacing"/>
    <w:uiPriority w:val="1"/>
    <w:qFormat/>
    <w:rsid w:val="00296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2NS8srG7Q0Uo2gsk6yKCUYir2A==">CgMxLjAyCWguMWZvYjl0ZTIIaC5namRneHMyCWguM2R5NnZrbTIJaC4zMGowemxsMgloLjJzOGV5bzEyCWguMTdkcDh2dTIIaC50eWpjd3QyCWguM3pueXNoNzIJaC4xeTgxMHR3MgloLjJldDkycDAyCWguM3JkY3JqbjIJaC4xdDNoNXNmOAByITFEVzNuWUo1eWd4VVpLaUZRTVFrMFNwY0dLQW13VE9iXw==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77</Pages>
  <Words>21722</Words>
  <Characters>119472</Characters>
  <Application>Microsoft Office Word</Application>
  <DocSecurity>0</DocSecurity>
  <Lines>995</Lines>
  <Paragraphs>281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2024-09-27T16:22:00Z</cp:lastPrinted>
  <dcterms:created xsi:type="dcterms:W3CDTF">2024-10-04T18:17:00Z</dcterms:created>
  <dcterms:modified xsi:type="dcterms:W3CDTF">2024-10-04T18:17:00Z</dcterms:modified>
</cp:coreProperties>
</file>