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 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veintiséis de junio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01734/INFOEM/IP/RR/2024</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00061/OASATIZARA/IP/2024</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Organismo Público Descentralizado para la Prestación de Los Servicios de Agua Potable Alcantarillado y Saneamiento de Atizapán de Zaragoza por sus siglas S.A.P.A.S.A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r w:rsidDel="00000000" w:rsidR="00000000" w:rsidRPr="00000000">
        <w:rPr>
          <w:rtl w:val="0"/>
        </w:rPr>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seis de febrero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276" w:lineRule="auto"/>
        <w:ind w:left="567" w:right="843" w:firstLine="0"/>
        <w:jc w:val="both"/>
        <w:rPr>
          <w:rFonts w:ascii="Palatino Linotype" w:cs="Palatino Linotype" w:eastAsia="Palatino Linotype" w:hAnsi="Palatino Linotype"/>
          <w:i w:val="1"/>
        </w:rPr>
      </w:pPr>
      <w:bookmarkStart w:colFirst="0" w:colLast="0" w:name="_heading=h.1fob9te" w:id="2"/>
      <w:bookmarkEnd w:id="2"/>
      <w:r w:rsidDel="00000000" w:rsidR="00000000" w:rsidRPr="00000000">
        <w:rPr>
          <w:rFonts w:ascii="Palatino Linotype" w:cs="Palatino Linotype" w:eastAsia="Palatino Linotype" w:hAnsi="Palatino Linotype"/>
          <w:i w:val="1"/>
          <w:rtl w:val="0"/>
        </w:rPr>
        <w:t xml:space="preserve">“REQUIERO EL COSTO DE CADA UNO DE LOS NUEVOS 6 POZOS QUE REFIERE EL PRESIDENTE MUNICIPAL Y ELDIRECTOR GENERAL DEL ORGANISMO” (Sic)</w:t>
      </w:r>
    </w:p>
    <w:p w:rsidR="00000000" w:rsidDel="00000000" w:rsidP="00000000" w:rsidRDefault="00000000" w:rsidRPr="00000000" w14:paraId="0000000A">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 para emitir respuesta. </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veintiséis de febrero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la ampliación de plazo para emitir respuesta,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ACUERDO-CT-EXT-0053-2024</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un Acta de la Trigésima Séptima Sesión Extraordinaria, mediante la cual se aprueba la ampliación de plazo.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a la solicitud de información.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marzo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al tenor de lo siguiente: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anexa oficio SAPASA/DP/0232/2024 y SAPASA/DP/024/2024, como respuesta del Departamento de Presupuestos</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left="567"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proporcionó los documentos que se describen a continuación: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veintitrés de febrero de dos mil veinticuatro, signado por la Subdirectora de Administración y Finanzas, mediante el cual informa que se remite la respuesta emitida por el Departamento de Presupuestos. </w:t>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diecinueve de febrero de dos mil veinticuatro, signado por el Departamento de Presupuestos, mediante el cual informa que, se encuentra en proceso administrativo.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w:t>
      </w:r>
      <w:r w:rsidDel="00000000" w:rsidR="00000000" w:rsidRPr="00000000">
        <w:rPr>
          <w:rFonts w:ascii="Palatino Linotype" w:cs="Palatino Linotype" w:eastAsia="Palatino Linotype" w:hAnsi="Palatino Linotype"/>
          <w:rtl w:val="0"/>
        </w:rPr>
        <w:t xml:space="preserve"> El Particular,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tres de abril de dos mil veinticuatro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76"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LA NEGATIVA DE LA INFORMACION”.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851"/>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rtl w:val="0"/>
        </w:rPr>
        <w:t xml:space="preserve">“LA NEGATIVA DE LA INFORMACION”.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01734/INFOEM/IP/RR/2024</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ocho de abril de dos mil veinticuatro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w:t>
      </w:r>
      <w:r w:rsidDel="00000000" w:rsidR="00000000" w:rsidRPr="00000000">
        <w:rPr>
          <w:rFonts w:ascii="Palatino Linotype" w:cs="Palatino Linotype" w:eastAsia="Palatino Linotype" w:hAnsi="Palatino Linotype"/>
          <w:rtl w:val="0"/>
        </w:rPr>
        <w:t xml:space="preserve">. Las partes fueron omisas en rendir manifestaciones.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diecinueve de junio de dos mil veinticuatro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6">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7">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8">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2">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3">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4">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diecinueve de junio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B">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rtl w:val="0"/>
        </w:rPr>
        <w:t xml:space="preserve">ocho de marzo de dos mil veinticuatro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su Recurso de Revisión el </w:t>
      </w:r>
      <w:r w:rsidDel="00000000" w:rsidR="00000000" w:rsidRPr="00000000">
        <w:rPr>
          <w:rFonts w:ascii="Palatino Linotype" w:cs="Palatino Linotype" w:eastAsia="Palatino Linotype" w:hAnsi="Palatino Linotype"/>
          <w:b w:val="1"/>
          <w:rtl w:val="0"/>
        </w:rPr>
        <w:t xml:space="preserve">tres de abril de dos mil veinticuatro</w:t>
      </w:r>
      <w:r w:rsidDel="00000000" w:rsidR="00000000" w:rsidRPr="00000000">
        <w:rPr>
          <w:rFonts w:ascii="Palatino Linotype" w:cs="Palatino Linotype" w:eastAsia="Palatino Linotype" w:hAnsi="Palatino Linotype"/>
          <w:rtl w:val="0"/>
        </w:rPr>
        <w:t xml:space="preserve">, esto es, día siguiente en que se tuvo conocimiento de la respuesta.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actualizan las hipótesis previstas en el artículo 179, fracción I de la ley de la materia, que a la letra dice:</w:t>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6">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7">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de la información; </w:t>
      </w:r>
    </w:p>
    <w:p w:rsidR="00000000" w:rsidDel="00000000" w:rsidP="00000000" w:rsidRDefault="00000000" w:rsidRPr="00000000" w14:paraId="00000058">
      <w:pPr>
        <w:spacing w:after="0" w:line="360"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tl w:val="0"/>
        </w:rPr>
      </w:r>
    </w:p>
    <w:p w:rsidR="00000000" w:rsidDel="00000000" w:rsidP="00000000" w:rsidRDefault="00000000" w:rsidRPr="00000000" w14:paraId="00000059">
      <w:pPr>
        <w:spacing w:after="0" w:line="360"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En principio,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D">
      <w:pP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F">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0">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61">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2">
      <w:pPr>
        <w:spacing w:after="0" w:line="276"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63">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4">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65">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6">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67">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8">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9">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A">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B">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mismo modo, es de mencionar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w:t>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w:t>
      </w:r>
      <w:r w:rsidDel="00000000" w:rsidR="00000000" w:rsidRPr="00000000">
        <w:rPr>
          <w:rtl w:val="0"/>
        </w:rPr>
      </w:r>
    </w:p>
    <w:p w:rsidR="00000000" w:rsidDel="00000000" w:rsidP="00000000" w:rsidRDefault="00000000" w:rsidRPr="00000000" w14:paraId="00000072">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D">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la </w:t>
      </w:r>
      <w:r w:rsidDel="00000000" w:rsidR="00000000" w:rsidRPr="00000000">
        <w:rPr>
          <w:rFonts w:ascii="Palatino Linotype" w:cs="Palatino Linotype" w:eastAsia="Palatino Linotype" w:hAnsi="Palatino Linotype"/>
          <w:i w:val="1"/>
          <w:rtl w:val="0"/>
        </w:rPr>
        <w:t xml:space="preserve">litis</w:t>
      </w:r>
      <w:r w:rsidDel="00000000" w:rsidR="00000000" w:rsidRPr="00000000">
        <w:rPr>
          <w:rFonts w:ascii="Palatino Linotype" w:cs="Palatino Linotype" w:eastAsia="Palatino Linotype" w:hAnsi="Palatino Linotype"/>
          <w:rtl w:val="0"/>
        </w:rPr>
        <w:t xml:space="preserve"> en la que se circunscribe el presente asunto, relacionada con la negativa de entrega de la información, prevista en la fracción I del artículo 179 de la Ley de Transparencia y Acceso a la Información Pública del Estado de México y Municipios. </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es de recordar que la parte Recurrente, solicitó el </w:t>
      </w:r>
      <w:r w:rsidDel="00000000" w:rsidR="00000000" w:rsidRPr="00000000">
        <w:rPr>
          <w:rFonts w:ascii="Palatino Linotype" w:cs="Palatino Linotype" w:eastAsia="Palatino Linotype" w:hAnsi="Palatino Linotype"/>
          <w:b w:val="1"/>
          <w:u w:val="single"/>
          <w:rtl w:val="0"/>
        </w:rPr>
        <w:t xml:space="preserve">costo de cada uno de los nuevos 6 pozos que refiere el Presidente Municipal y el Director General del Organismo.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Departamento de Presupuestos informó que, se encuentra en proceso administrativo.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por la negativa de entrega de la información. </w:t>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 a contextualizar la información solicitada para ello, es de referir que de la búsqueda realizada en redes y páginas oficiales del Ayuntamiento y del Organismo Público Descentralizado (SAPASA), se encontró lo siguiente: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numPr>
          <w:ilvl w:val="0"/>
          <w:numId w:val="7"/>
        </w:numPr>
        <w:pBdr>
          <w:top w:space="0" w:sz="0" w:val="nil"/>
          <w:left w:space="0" w:sz="0" w:val="nil"/>
          <w:bottom w:space="0" w:sz="0" w:val="nil"/>
          <w:right w:space="0" w:sz="0" w:val="nil"/>
          <w:between w:space="0" w:sz="0" w:val="nil"/>
        </w:pBdr>
        <w:spacing w:after="0" w:line="360" w:lineRule="auto"/>
        <w:ind w:left="720" w:right="276"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oficial de Facebook. Se localizó una publicación de fecha veinticuatro de diciembre de dos mil veintitrés, en la que se menciona que el personal de SAPASA realizó trabajos de supervisión de los avances del Pozo Lázaro Cárdenas, como se logra observar: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ind w:left="720" w:right="276"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68010" cy="3494431"/>
            <wp:effectExtent b="0" l="0" r="0" t="0"/>
            <wp:docPr id="3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68010" cy="349443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numPr>
          <w:ilvl w:val="0"/>
          <w:numId w:val="7"/>
        </w:numPr>
        <w:pBdr>
          <w:top w:space="0" w:sz="0" w:val="nil"/>
          <w:left w:space="0" w:sz="0" w:val="nil"/>
          <w:bottom w:space="0" w:sz="0" w:val="nil"/>
          <w:right w:space="0" w:sz="0" w:val="nil"/>
          <w:between w:space="0" w:sz="0" w:val="nil"/>
        </w:pBdr>
        <w:spacing w:after="0" w:line="360" w:lineRule="auto"/>
        <w:ind w:left="567" w:right="276"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oficial de Twitter. Se localizó una publicación de fecha nueve de noviembre de dos mil veintitrés en la que se menciona que el personal de SAPASA continúa con las labores en la </w:t>
      </w:r>
      <w:r w:rsidDel="00000000" w:rsidR="00000000" w:rsidRPr="00000000">
        <w:rPr>
          <w:rFonts w:ascii="Palatino Linotype" w:cs="Palatino Linotype" w:eastAsia="Palatino Linotype" w:hAnsi="Palatino Linotype"/>
          <w:b w:val="1"/>
          <w:rtl w:val="0"/>
        </w:rPr>
        <w:t xml:space="preserve">construcción del pozo </w:t>
      </w:r>
      <w:r w:rsidDel="00000000" w:rsidR="00000000" w:rsidRPr="00000000">
        <w:rPr>
          <w:rFonts w:ascii="Palatino Linotype" w:cs="Palatino Linotype" w:eastAsia="Palatino Linotype" w:hAnsi="Palatino Linotype"/>
          <w:rtl w:val="0"/>
        </w:rPr>
        <w:t xml:space="preserve">de visita ubicado sobre la avenida Jiménez Cantú, como se logra observar:</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ind w:left="567" w:right="27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ind w:right="27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177185" cy="2438447"/>
            <wp:effectExtent b="0" l="0" r="0" t="0"/>
            <wp:docPr id="32" name="image3.png"/>
            <a:graphic>
              <a:graphicData uri="http://schemas.openxmlformats.org/drawingml/2006/picture">
                <pic:pic>
                  <pic:nvPicPr>
                    <pic:cNvPr id="0" name="image3.png"/>
                    <pic:cNvPicPr preferRelativeResize="0"/>
                  </pic:nvPicPr>
                  <pic:blipFill>
                    <a:blip r:embed="rId8"/>
                    <a:srcRect b="14110" l="0" r="2089" t="0"/>
                    <a:stretch>
                      <a:fillRect/>
                    </a:stretch>
                  </pic:blipFill>
                  <pic:spPr>
                    <a:xfrm>
                      <a:off x="0" y="0"/>
                      <a:ext cx="2177185" cy="2438447"/>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numPr>
          <w:ilvl w:val="0"/>
          <w:numId w:val="7"/>
        </w:numPr>
        <w:pBdr>
          <w:top w:space="0" w:sz="0" w:val="nil"/>
          <w:left w:space="0" w:sz="0" w:val="nil"/>
          <w:bottom w:space="0" w:sz="0" w:val="nil"/>
          <w:right w:space="0" w:sz="0" w:val="nil"/>
          <w:between w:space="0" w:sz="0" w:val="nil"/>
        </w:pBdr>
        <w:spacing w:after="0" w:line="360" w:lineRule="auto"/>
        <w:ind w:left="567" w:right="276"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oficial de Facebook. Se localizó una publicación de fecha uno de abril de dos mil veintitrés, en la que se menciona que el personal de SAPASA se encontraba trabajando en la relocalización del Pozo “Lázaro Cárdenas”, realizando su </w:t>
      </w:r>
      <w:r w:rsidDel="00000000" w:rsidR="00000000" w:rsidRPr="00000000">
        <w:rPr>
          <w:rFonts w:ascii="Palatino Linotype" w:cs="Palatino Linotype" w:eastAsia="Palatino Linotype" w:hAnsi="Palatino Linotype"/>
          <w:b w:val="1"/>
          <w:rtl w:val="0"/>
        </w:rPr>
        <w:t xml:space="preserve">perforación, desarrollo y aforo del mismo</w:t>
      </w:r>
      <w:r w:rsidDel="00000000" w:rsidR="00000000" w:rsidRPr="00000000">
        <w:rPr>
          <w:rFonts w:ascii="Palatino Linotype" w:cs="Palatino Linotype" w:eastAsia="Palatino Linotype" w:hAnsi="Palatino Linotype"/>
          <w:rtl w:val="0"/>
        </w:rPr>
        <w:t xml:space="preserve">, el cual se ubica en la cerrada Guerrero de la colonia El Potrero, como se logra observar:</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ind w:left="567" w:right="276"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103634" cy="4031921"/>
            <wp:effectExtent b="0" l="0" r="0" t="0"/>
            <wp:docPr id="3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103634" cy="403192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ind w:left="567" w:right="276"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pacing w:after="0" w:line="360" w:lineRule="auto"/>
        <w:ind w:left="720" w:right="276"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oficial de Twitter. Se localizó una publicación de fecha treinta y uno de enero de dos mil veintitrés, en la que se menciona que SAPASA realizó el mantenimiento de las instalaciones del Pozo del Campanario, como se observa a continuación: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left="720" w:right="276"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936175" cy="2198291"/>
            <wp:effectExtent b="0" l="0" r="0" t="0"/>
            <wp:docPr id="3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36175" cy="2198291"/>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pacing w:after="0" w:line="360" w:lineRule="auto"/>
        <w:ind w:left="720" w:right="276"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Página Oficial del Ayuntamiento de Atizapán de Zaragoza en el que se menciona que SAPASA se encuentra realizando la rehabilitación de 36 pozos y la </w:t>
      </w:r>
      <w:r w:rsidDel="00000000" w:rsidR="00000000" w:rsidRPr="00000000">
        <w:rPr>
          <w:rFonts w:ascii="Palatino Linotype" w:cs="Palatino Linotype" w:eastAsia="Palatino Linotype" w:hAnsi="Palatino Linotype"/>
          <w:b w:val="1"/>
          <w:rtl w:val="0"/>
        </w:rPr>
        <w:t xml:space="preserve">perforación de 6 nuevos.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ind w:left="720" w:right="27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95875" cy="2962275"/>
            <wp:effectExtent b="0" l="0" r="0" t="0"/>
            <wp:docPr id="3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095875" cy="2962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-12699</wp:posOffset>
                </wp:positionV>
                <wp:extent cx="5124450" cy="561975"/>
                <wp:effectExtent b="0" l="0" r="0" t="0"/>
                <wp:wrapNone/>
                <wp:docPr id="27" name=""/>
                <a:graphic>
                  <a:graphicData uri="http://schemas.microsoft.com/office/word/2010/wordprocessingShape">
                    <wps:wsp>
                      <wps:cNvSpPr/>
                      <wps:cNvPr id="2" name="Shape 2"/>
                      <wps:spPr>
                        <a:xfrm>
                          <a:off x="2821875" y="3537113"/>
                          <a:ext cx="5048250" cy="4857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-12699</wp:posOffset>
                </wp:positionV>
                <wp:extent cx="5124450" cy="561975"/>
                <wp:effectExtent b="0" l="0" r="0" t="0"/>
                <wp:wrapNone/>
                <wp:docPr id="27"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124450" cy="561975"/>
                        </a:xfrm>
                        <a:prstGeom prst="rect"/>
                        <a:ln/>
                      </pic:spPr>
                    </pic:pic>
                  </a:graphicData>
                </a:graphic>
              </wp:anchor>
            </w:drawing>
          </mc:Fallback>
        </mc:AlternateConten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logra advertir que el</w:t>
      </w:r>
      <w:r w:rsidDel="00000000" w:rsidR="00000000" w:rsidRPr="00000000">
        <w:rPr>
          <w:rFonts w:ascii="Palatino Linotype" w:cs="Palatino Linotype" w:eastAsia="Palatino Linotype" w:hAnsi="Palatino Linotype"/>
          <w:b w:val="1"/>
          <w:rtl w:val="0"/>
        </w:rPr>
        <w:t xml:space="preserve"> Organismo Público Descentralizado de Agua y Saneamiento del Municipio de Atizapán</w:t>
      </w:r>
      <w:r w:rsidDel="00000000" w:rsidR="00000000" w:rsidRPr="00000000">
        <w:rPr>
          <w:rFonts w:ascii="Palatino Linotype" w:cs="Palatino Linotype" w:eastAsia="Palatino Linotype" w:hAnsi="Palatino Linotype"/>
          <w:rtl w:val="0"/>
        </w:rPr>
        <w:t xml:space="preserve"> llevó a cabo la perforación y construcción de los pozos, situación por la que se determina la competencia para conocer, generar y administrar la información.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robustece lo anterior con lo que establece el Bando Municipal de Atizapán de Zaragoza, el cual precisa en sus artículos 75 y 76 que: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76"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Del Organismo Público </w:t>
      </w:r>
      <w:r w:rsidDel="00000000" w:rsidR="00000000" w:rsidRPr="00000000">
        <w:rPr>
          <w:rFonts w:ascii="Palatino Linotype" w:cs="Palatino Linotype" w:eastAsia="Palatino Linotype" w:hAnsi="Palatino Linotype"/>
          <w:b w:val="1"/>
          <w:i w:val="1"/>
          <w:u w:val="single"/>
          <w:rtl w:val="0"/>
        </w:rPr>
        <w:t xml:space="preserve">Descentralizado </w:t>
      </w:r>
      <w:r w:rsidDel="00000000" w:rsidR="00000000" w:rsidRPr="00000000">
        <w:rPr>
          <w:rFonts w:ascii="Palatino Linotype" w:cs="Palatino Linotype" w:eastAsia="Palatino Linotype" w:hAnsi="Palatino Linotype"/>
          <w:b w:val="1"/>
          <w:i w:val="1"/>
          <w:rtl w:val="0"/>
        </w:rPr>
        <w:t xml:space="preserve">para la Prestación de los Servicios de Agua Potable, Alcantarillado y Saneamiento del Municipio de Atizapán de Zaragoza, conocido como S.A.P.A.S.A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75.-</w:t>
      </w:r>
      <w:r w:rsidDel="00000000" w:rsidR="00000000" w:rsidRPr="00000000">
        <w:rPr>
          <w:rFonts w:ascii="Palatino Linotype" w:cs="Palatino Linotype" w:eastAsia="Palatino Linotype" w:hAnsi="Palatino Linotype"/>
          <w:i w:val="1"/>
          <w:rtl w:val="0"/>
        </w:rPr>
        <w:t xml:space="preserve"> El Organismo Público Descentralizado para la Prestación de los Servicios de Agua Potable, Alcantarillado y Saneamiento del municipio de Atizapán de Zaragoza, conocido como S.A.P.A.S.A. </w:t>
      </w:r>
      <w:r w:rsidDel="00000000" w:rsidR="00000000" w:rsidRPr="00000000">
        <w:rPr>
          <w:rFonts w:ascii="Palatino Linotype" w:cs="Palatino Linotype" w:eastAsia="Palatino Linotype" w:hAnsi="Palatino Linotype"/>
          <w:b w:val="1"/>
          <w:i w:val="1"/>
          <w:u w:val="single"/>
          <w:rtl w:val="0"/>
        </w:rPr>
        <w:t xml:space="preserve">cuenta con personalidad jurídica y patrimonio propios, así como de autonomía técnica y administrativa en el manejo de sus recursos</w:t>
      </w:r>
      <w:r w:rsidDel="00000000" w:rsidR="00000000" w:rsidRPr="00000000">
        <w:rPr>
          <w:rFonts w:ascii="Palatino Linotype" w:cs="Palatino Linotype" w:eastAsia="Palatino Linotype" w:hAnsi="Palatino Linotype"/>
          <w:i w:val="1"/>
          <w:rtl w:val="0"/>
        </w:rPr>
        <w:t xml:space="preserve">, para lo cual podrá hacerse de los bienes que constituyan la infraestructura municipal necesaria para la prestación del servicio público teniendo a su cargo y bajo su responsabilidad la prestación, control y vigilancia de los servicios de suministro de agua potable, drenaje, alcantarillado, tratamiento y disposición de aguas residuales dentro del territorio municipal, con carácter de autoridad que expresamente le señalen las leyes del Estado de México, su reglamentación y demás disposiciones legales aplicables que tiendan a regular su funcionamiento y el de los servidores públicos que lo integran.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Administración del Organismo Público Descentralizado, estará a cargo de un Consejo Directivo y su correcta dirección a través del Director General, quien ejercerá las atribuciones y facultades que les confieren la normatividad aplicable.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76.-</w:t>
      </w:r>
      <w:r w:rsidDel="00000000" w:rsidR="00000000" w:rsidRPr="00000000">
        <w:rPr>
          <w:rFonts w:ascii="Palatino Linotype" w:cs="Palatino Linotype" w:eastAsia="Palatino Linotype" w:hAnsi="Palatino Linotype"/>
          <w:i w:val="1"/>
          <w:rtl w:val="0"/>
        </w:rPr>
        <w:t xml:space="preserve"> Es atribución del Organismo Público Descentralizado para la Prestación de los Servicios de Agua Potable, Alcantarillado y Saneamiento del Municipio de Atizapán de Zaragoza, conocido como S.A.P.A.S.A., orientar y fomentar entre los usuarios del servicio, el valor sobre la cultura en el uso racional del agua, actividad que realizará a través de programas y campañas que generen en la ciudadanía una conciencia hacia el cuidado e importancia del vital líquido en el Municipio y su impacto a nivel mundial.</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artículos 73 y 103 del Reglamento Orgánico Interno del Organismo Público Descentralizado para la Prestación de los Servicios de Agua Potable, Alcantarillado y Saneamiento del Municipio de Atizapán de Zaragoza, conocido como S.A.P.A.S.A, establecen que: </w:t>
      </w:r>
    </w:p>
    <w:p w:rsidR="00000000" w:rsidDel="00000000" w:rsidP="00000000" w:rsidRDefault="00000000" w:rsidRPr="00000000" w14:paraId="000000A3">
      <w:pPr>
        <w:spacing w:after="0" w:line="276"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0" w:line="276"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Subdirección de Administración y Finanzas</w:t>
      </w:r>
    </w:p>
    <w:p w:rsidR="00000000" w:rsidDel="00000000" w:rsidP="00000000" w:rsidRDefault="00000000" w:rsidRPr="00000000" w14:paraId="000000A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73.-</w:t>
      </w:r>
      <w:r w:rsidDel="00000000" w:rsidR="00000000" w:rsidRPr="00000000">
        <w:rPr>
          <w:rFonts w:ascii="Palatino Linotype" w:cs="Palatino Linotype" w:eastAsia="Palatino Linotype" w:hAnsi="Palatino Linotype"/>
          <w:i w:val="1"/>
          <w:rtl w:val="0"/>
        </w:rPr>
        <w:t xml:space="preserve"> La Subdirección de Administración y Finanzas, estará a cargo de un Subdirector denominado “Subdirector de Administración y Finanzas”, quien responderá del desempeño de sus funciones directamente ante el Director General y tendrá las siguientes atribuciones:</w:t>
      </w:r>
    </w:p>
    <w:p w:rsidR="00000000" w:rsidDel="00000000" w:rsidP="00000000" w:rsidRDefault="00000000" w:rsidRPr="00000000" w14:paraId="000000A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Integrar y presentar en tiempo y forma los informes mensuales y la cuenta pública anual al Órgano Superior de Fiscalización del Estado de México;</w:t>
      </w:r>
    </w:p>
    <w:p w:rsidR="00000000" w:rsidDel="00000000" w:rsidP="00000000" w:rsidRDefault="00000000" w:rsidRPr="00000000" w14:paraId="000000A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E">
      <w:pPr>
        <w:spacing w:after="0" w:line="276" w:lineRule="auto"/>
        <w:ind w:left="567" w:right="56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Coordinación de Construcción</w:t>
      </w:r>
    </w:p>
    <w:p w:rsidR="00000000" w:rsidDel="00000000" w:rsidP="00000000" w:rsidRDefault="00000000" w:rsidRPr="00000000" w14:paraId="000000AF">
      <w:pPr>
        <w:spacing w:after="0" w:line="276" w:lineRule="auto"/>
        <w:ind w:left="567" w:right="560" w:firstLine="0"/>
        <w:jc w:val="center"/>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B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103.-</w:t>
      </w:r>
      <w:r w:rsidDel="00000000" w:rsidR="00000000" w:rsidRPr="00000000">
        <w:rPr>
          <w:rFonts w:ascii="Palatino Linotype" w:cs="Palatino Linotype" w:eastAsia="Palatino Linotype" w:hAnsi="Palatino Linotype"/>
          <w:i w:val="1"/>
          <w:rtl w:val="0"/>
        </w:rPr>
        <w:t xml:space="preserve"> La Coordinación de Construcción, estará a cargo de un Coordinador denominado “Coordinador de Construcción”, quien responderá del desempeño de sus funciones directamente ante el Subdirector de Operación Hidráulica, y tendrá las siguientes atribuciones:</w:t>
      </w:r>
    </w:p>
    <w:p w:rsidR="00000000" w:rsidDel="00000000" w:rsidP="00000000" w:rsidRDefault="00000000" w:rsidRPr="00000000" w14:paraId="000000B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Brindar apoyo para dar respuesta a diversos trámites ante la Comisión Nacional del Agua y Comisión del Agua del Estado de México, en relación a títulos, permisos de zona federal y obra de perforación de pozos;</w:t>
      </w:r>
    </w:p>
    <w:p w:rsidR="00000000" w:rsidDel="00000000" w:rsidP="00000000" w:rsidRDefault="00000000" w:rsidRPr="00000000" w14:paraId="000000B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advierte que el Organismo Público Descentralizado, a través de la Coordinación de Construcción y de la Subdirección de Administración y Finanzas conocen respecto de la realización de los pozos y sus costos, tan es así que, el Departamento de Presupuestos (dependiente de la Secretaría de Finanzas) señaló que la información se encontraba en proceso administrativo. </w:t>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Ahora bien, en cuanto hace a los agravios hechos valer por la parte Recurrente, es de recordar que el Sujeto Obligado precisó que la información se encontraba en proceso administrativo, sin proporcionar mayores elementos que permitieran conocer las razones por las cuales se negaría la información por este motivo. </w:t>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señalar que, la información requerida se relaciona con un monto ejercido de recurso público destinado para la ejecución de obras, situación que en ningún momento podría ser clasificada, pues es información de interés público, ya que da cuenta del ejercicio de recurso público y del actuar de los servidores públicos. </w:t>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artículo 20 de la Ley de Transparencia y Acceso a la Información Pública del Estado de México y Municipios, establece que, ante la negativa de acceso a la información o su inexistencia, el sujeto obligado deberá demostrar que encuentra en alguna de las excepciones establecidas en la normatividad aplicable.</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según Trujillo, Humberto (2019), en el “Diccionario de Transparencia y Acceso a la Información Pública” (p. 201), </w:t>
      </w:r>
      <w:r w:rsidDel="00000000" w:rsidR="00000000" w:rsidRPr="00000000">
        <w:rPr>
          <w:rFonts w:ascii="Palatino Linotype" w:cs="Palatino Linotype" w:eastAsia="Palatino Linotype" w:hAnsi="Palatino Linotype"/>
          <w:b w:val="1"/>
          <w:rtl w:val="0"/>
        </w:rPr>
        <w:t xml:space="preserve">la negativa de acceso a la información </w:t>
      </w:r>
      <w:r w:rsidDel="00000000" w:rsidR="00000000" w:rsidRPr="00000000">
        <w:rPr>
          <w:rFonts w:ascii="Palatino Linotype" w:cs="Palatino Linotype" w:eastAsia="Palatino Linotype" w:hAnsi="Palatino Linotype"/>
          <w:rtl w:val="0"/>
        </w:rPr>
        <w:t xml:space="preserve">ocurre cuanto de manera fundada y motivada, una autoridad la niega o la limita, por alguna de las siguientes razones: </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inexistencia de la información (p. 171): </w:t>
      </w:r>
      <w:r w:rsidDel="00000000" w:rsidR="00000000" w:rsidRPr="00000000">
        <w:rPr>
          <w:rFonts w:ascii="Palatino Linotype" w:cs="Palatino Linotype" w:eastAsia="Palatino Linotype" w:hAnsi="Palatino Linotype"/>
          <w:rtl w:val="0"/>
        </w:rPr>
        <w:t xml:space="preserve">Sucede cuando la información solicitada no se encuentra en los archivos públicos o clasificados de los entes sujetos a las Leyes de Transparencia.</w:t>
      </w:r>
      <w:r w:rsidDel="00000000" w:rsidR="00000000" w:rsidRPr="00000000">
        <w:rPr>
          <w:rtl w:val="0"/>
        </w:rPr>
      </w:r>
    </w:p>
    <w:p w:rsidR="00000000" w:rsidDel="00000000" w:rsidP="00000000" w:rsidRDefault="00000000" w:rsidRPr="00000000" w14:paraId="000000C0">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incompetencia del Sujeto Obligado (p. 171): </w:t>
      </w:r>
      <w:r w:rsidDel="00000000" w:rsidR="00000000" w:rsidRPr="00000000">
        <w:rPr>
          <w:rFonts w:ascii="Palatino Linotype" w:cs="Palatino Linotype" w:eastAsia="Palatino Linotype" w:hAnsi="Palatino Linotype"/>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0C1">
      <w:pPr>
        <w:numPr>
          <w:ilvl w:val="0"/>
          <w:numId w:val="2"/>
        </w:numPr>
        <w:spacing w:after="0" w:line="360" w:lineRule="auto"/>
        <w:ind w:left="72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 clasificación de la información (p. 70): Es el proceso o conjunto de acciones que realizan los sujetos obligados para establecer que determinada información se encuentra en alguno de los supuestos de reserva o confidencialidad establecidos en la legislación en materia de transparencia.</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es de señalar que las excepciones al derecho de acceso a la información, consisten en que </w:t>
      </w:r>
      <w:r w:rsidDel="00000000" w:rsidR="00000000" w:rsidRPr="00000000">
        <w:rPr>
          <w:rFonts w:ascii="Palatino Linotype" w:cs="Palatino Linotype" w:eastAsia="Palatino Linotype" w:hAnsi="Palatino Linotype"/>
          <w:b w:val="1"/>
          <w:rtl w:val="0"/>
        </w:rPr>
        <w:t xml:space="preserve">la documentación sea inexistente, obre en los archivos, pero se encuentre clasificada, o bien, el Sujeto Obligado sea incompetente</w:t>
      </w:r>
      <w:r w:rsidDel="00000000" w:rsidR="00000000" w:rsidRPr="00000000">
        <w:rPr>
          <w:rFonts w:ascii="Palatino Linotype" w:cs="Palatino Linotype" w:eastAsia="Palatino Linotype" w:hAnsi="Palatino Linotype"/>
          <w:rtl w:val="0"/>
        </w:rPr>
        <w:t xml:space="preserve"> para contar con esta; esto es, la negativa de acceso a la información, recae cuando la documentación no se encuentre en los archivos del sujeto obligado, o bien exista, pero no pueda proporcionarse por contener datos </w:t>
      </w:r>
      <w:r w:rsidDel="00000000" w:rsidR="00000000" w:rsidRPr="00000000">
        <w:rPr>
          <w:rFonts w:ascii="Palatino Linotype" w:cs="Palatino Linotype" w:eastAsia="Palatino Linotype" w:hAnsi="Palatino Linotype"/>
          <w:b w:val="1"/>
          <w:rtl w:val="0"/>
        </w:rPr>
        <w:t xml:space="preserve">confidenciales o reservados.</w:t>
      </w:r>
      <w:r w:rsidDel="00000000" w:rsidR="00000000" w:rsidRPr="00000000">
        <w:rPr>
          <w:rtl w:val="0"/>
        </w:rPr>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en lo que respecta al caso concreto; es necesario mencionar que, en los artículos 100, 103 y 105 de la Ley General de Transparencia y Acceso a la Información Pública y los diversos 122, 128 y 130 de la Ley Transparencia y Acceso a la Información Pública del Estado de México y Municipios, se prevé que </w:t>
      </w:r>
      <w:r w:rsidDel="00000000" w:rsidR="00000000" w:rsidRPr="00000000">
        <w:rPr>
          <w:rFonts w:ascii="Palatino Linotype" w:cs="Palatino Linotype" w:eastAsia="Palatino Linotype" w:hAnsi="Palatino Linotype"/>
          <w:b w:val="1"/>
          <w:rtl w:val="0"/>
        </w:rPr>
        <w:t xml:space="preserve">la clasificación </w:t>
      </w:r>
      <w:r w:rsidDel="00000000" w:rsidR="00000000" w:rsidRPr="00000000">
        <w:rPr>
          <w:rFonts w:ascii="Palatino Linotype" w:cs="Palatino Linotype" w:eastAsia="Palatino Linotype" w:hAnsi="Palatino Linotype"/>
          <w:rtl w:val="0"/>
        </w:rPr>
        <w:t xml:space="preserve">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000000" w:rsidDel="00000000" w:rsidP="00000000" w:rsidRDefault="00000000" w:rsidRPr="00000000" w14:paraId="000000C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en los casos en que se niegue el acceso a la información, por actualizarse alguno de los supuestos de clasificación, una de las formalidades a la cuales está sujeto el procedimiento de acceso a la información pública, es que </w:t>
      </w:r>
      <w:r w:rsidDel="00000000" w:rsidR="00000000" w:rsidRPr="00000000">
        <w:rPr>
          <w:rFonts w:ascii="Palatino Linotype" w:cs="Palatino Linotype" w:eastAsia="Palatino Linotype" w:hAnsi="Palatino Linotype"/>
          <w:b w:val="1"/>
          <w:rtl w:val="0"/>
        </w:rPr>
        <w:t xml:space="preserve">el Comité de Transparencia deberá confirmar, modificar o revocar la decisión; </w:t>
      </w:r>
      <w:r w:rsidDel="00000000" w:rsidR="00000000" w:rsidRPr="00000000">
        <w:rPr>
          <w:rFonts w:ascii="Palatino Linotype" w:cs="Palatino Linotype" w:eastAsia="Palatino Linotype" w:hAnsi="Palatino Linotype"/>
          <w:rtl w:val="0"/>
        </w:rPr>
        <w:t xml:space="preserve">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de la interpretación del artículo 108 de la Ley General de Transparencia y Acceso a la Información Pública, el 134 de la Ley de Transparencia y Acceso a la Información Pública del Estado de México y Municipios, se logra observar que la clasificación depende del contenido de los documentos, pues de su análisis se establece si corresponde a una clasificación total o parcial.</w:t>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r w:rsidDel="00000000" w:rsidR="00000000" w:rsidRPr="00000000">
        <w:rPr>
          <w:rtl w:val="0"/>
        </w:rPr>
      </w:r>
    </w:p>
    <w:p w:rsidR="00000000" w:rsidDel="00000000" w:rsidP="00000000" w:rsidRDefault="00000000" w:rsidRPr="00000000" w14:paraId="000000C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contexto, según Bonifaz, Leticia (2016), en la “</w:t>
      </w:r>
      <w:r w:rsidDel="00000000" w:rsidR="00000000" w:rsidRPr="00000000">
        <w:rPr>
          <w:rFonts w:ascii="Palatino Linotype" w:cs="Palatino Linotype" w:eastAsia="Palatino Linotype" w:hAnsi="Palatino Linotype"/>
          <w:i w:val="1"/>
          <w:rtl w:val="0"/>
        </w:rPr>
        <w:t xml:space="preserve">Ley General de Transparencia y Acceso a la Información Pública Comentada”</w:t>
      </w:r>
      <w:r w:rsidDel="00000000" w:rsidR="00000000" w:rsidRPr="00000000">
        <w:rPr>
          <w:rFonts w:ascii="Palatino Linotype" w:cs="Palatino Linotype" w:eastAsia="Palatino Linotype" w:hAnsi="Palatino Linotype"/>
          <w:rtl w:val="0"/>
        </w:rPr>
        <w:t xml:space="preserve"> (p. 342), la </w:t>
      </w:r>
      <w:r w:rsidDel="00000000" w:rsidR="00000000" w:rsidRPr="00000000">
        <w:rPr>
          <w:rFonts w:ascii="Palatino Linotype" w:cs="Palatino Linotype" w:eastAsia="Palatino Linotype" w:hAnsi="Palatino Linotype"/>
          <w:b w:val="1"/>
          <w:rtl w:val="0"/>
        </w:rPr>
        <w:t xml:space="preserve">clasificación de la información</w:t>
      </w:r>
      <w:r w:rsidDel="00000000" w:rsidR="00000000" w:rsidRPr="00000000">
        <w:rPr>
          <w:rFonts w:ascii="Palatino Linotype" w:cs="Palatino Linotype" w:eastAsia="Palatino Linotype" w:hAnsi="Palatino Linotype"/>
          <w:rtl w:val="0"/>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Del="00000000" w:rsidR="00000000" w:rsidRPr="00000000">
        <w:rPr>
          <w:rFonts w:ascii="Palatino Linotype" w:cs="Palatino Linotype" w:eastAsia="Palatino Linotype" w:hAnsi="Palatino Linotype"/>
          <w:b w:val="1"/>
          <w:rtl w:val="0"/>
        </w:rPr>
        <w:t xml:space="preserve">de manera adecuada la negativa de información.</w:t>
      </w:r>
    </w:p>
    <w:p w:rsidR="00000000" w:rsidDel="00000000" w:rsidP="00000000" w:rsidRDefault="00000000" w:rsidRPr="00000000" w14:paraId="000000CE">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Además,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Del="00000000" w:rsidR="00000000" w:rsidRPr="00000000">
        <w:rPr>
          <w:rFonts w:ascii="Palatino Linotype" w:cs="Palatino Linotype" w:eastAsia="Palatino Linotype" w:hAnsi="Palatino Linotype"/>
          <w:b w:val="1"/>
          <w:rtl w:val="0"/>
        </w:rPr>
        <w:t xml:space="preserve">análisis caso por caso.</w:t>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el artículo 131 de la Ley referida, así como el Quinto de los Lineamientos Generales, establecen que los sujetos obligados </w:t>
      </w:r>
      <w:r w:rsidDel="00000000" w:rsidR="00000000" w:rsidRPr="00000000">
        <w:rPr>
          <w:rFonts w:ascii="Palatino Linotype" w:cs="Palatino Linotype" w:eastAsia="Palatino Linotype" w:hAnsi="Palatino Linotype"/>
          <w:b w:val="1"/>
          <w:rtl w:val="0"/>
        </w:rPr>
        <w:t xml:space="preserve">deberán fundar y motivar</w:t>
      </w:r>
      <w:r w:rsidDel="00000000" w:rsidR="00000000" w:rsidRPr="00000000">
        <w:rPr>
          <w:rFonts w:ascii="Palatino Linotype" w:cs="Palatino Linotype" w:eastAsia="Palatino Linotype" w:hAnsi="Palatino Linotype"/>
          <w:rtl w:val="0"/>
        </w:rPr>
        <w:t xml:space="preserve"> debidamente la clasificación de la información.</w:t>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Octavo de los Lineamientos Generales, precisa lo siguiente:</w:t>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numPr>
          <w:ilvl w:val="0"/>
          <w:numId w:val="3"/>
        </w:numPr>
        <w:spacing w:after="0" w:line="360" w:lineRule="auto"/>
        <w:ind w:left="720" w:hanging="360"/>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b w:val="1"/>
          <w:rtl w:val="0"/>
        </w:rPr>
        <w:t xml:space="preserve">Para fundar la clasificación</w:t>
      </w:r>
      <w:r w:rsidDel="00000000" w:rsidR="00000000" w:rsidRPr="00000000">
        <w:rPr>
          <w:rFonts w:ascii="Palatino Linotype" w:cs="Palatino Linotype" w:eastAsia="Palatino Linotype" w:hAnsi="Palatino Linotype"/>
          <w:rtl w:val="0"/>
        </w:rPr>
        <w:t xml:space="preserve"> de la información se deberán </w:t>
      </w:r>
      <w:r w:rsidDel="00000000" w:rsidR="00000000" w:rsidRPr="00000000">
        <w:rPr>
          <w:rFonts w:ascii="Palatino Linotype" w:cs="Palatino Linotype" w:eastAsia="Palatino Linotype" w:hAnsi="Palatino Linotype"/>
          <w:u w:val="single"/>
          <w:rtl w:val="0"/>
        </w:rPr>
        <w:t xml:space="preserve">señalar el artículo, fracción, inciso, párrafo o numeral de la Ley aplicable;</w:t>
      </w:r>
    </w:p>
    <w:p w:rsidR="00000000" w:rsidDel="00000000" w:rsidP="00000000" w:rsidRDefault="00000000" w:rsidRPr="00000000" w14:paraId="000000D5">
      <w:pPr>
        <w:numPr>
          <w:ilvl w:val="0"/>
          <w:numId w:val="3"/>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motivar la clasificación</w:t>
      </w:r>
      <w:r w:rsidDel="00000000" w:rsidR="00000000" w:rsidRPr="00000000">
        <w:rPr>
          <w:rFonts w:ascii="Palatino Linotype" w:cs="Palatino Linotype" w:eastAsia="Palatino Linotype" w:hAnsi="Palatino Linotype"/>
          <w:rtl w:val="0"/>
        </w:rPr>
        <w:t xml:space="preserve"> se deberán </w:t>
      </w:r>
      <w:r w:rsidDel="00000000" w:rsidR="00000000" w:rsidRPr="00000000">
        <w:rPr>
          <w:rFonts w:ascii="Palatino Linotype" w:cs="Palatino Linotype" w:eastAsia="Palatino Linotype" w:hAnsi="Palatino Linotype"/>
          <w:u w:val="single"/>
          <w:rtl w:val="0"/>
        </w:rPr>
        <w:t xml:space="preserve">indicar las razones y circunstancias</w:t>
      </w:r>
      <w:r w:rsidDel="00000000" w:rsidR="00000000" w:rsidRPr="00000000">
        <w:rPr>
          <w:rFonts w:ascii="Palatino Linotype" w:cs="Palatino Linotype" w:eastAsia="Palatino Linotype" w:hAnsi="Palatino Linotype"/>
          <w:rtl w:val="0"/>
        </w:rPr>
        <w:t xml:space="preserve">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“FUNDAMENTACION Y MOTIVACION, CONCEPTO DE. </w:t>
      </w:r>
      <w:r w:rsidDel="00000000" w:rsidR="00000000" w:rsidRPr="00000000">
        <w:rPr>
          <w:rFonts w:ascii="Palatino Linotype" w:cs="Palatino Linotype" w:eastAsia="Palatino Linotype" w:hAnsi="Palatino Linotype"/>
          <w:i w:val="1"/>
          <w:rtl w:val="0"/>
        </w:rPr>
        <w:t xml:space="preserve">La </w:t>
      </w:r>
      <w:r w:rsidDel="00000000" w:rsidR="00000000" w:rsidRPr="00000000">
        <w:rPr>
          <w:rFonts w:ascii="Palatino Linotype" w:cs="Palatino Linotype" w:eastAsia="Palatino Linotype" w:hAnsi="Palatino Linotype"/>
          <w:i w:val="1"/>
          <w:u w:val="single"/>
          <w:rtl w:val="0"/>
        </w:rPr>
        <w:t xml:space="preserve">garantía de legalidad consagrada en el artículo 16 de nuestra Carta Magna</w:t>
      </w:r>
      <w:r w:rsidDel="00000000" w:rsidR="00000000" w:rsidRPr="00000000">
        <w:rPr>
          <w:rFonts w:ascii="Palatino Linotype" w:cs="Palatino Linotype" w:eastAsia="Palatino Linotype" w:hAnsi="Palatino Linotype"/>
          <w:i w:val="1"/>
          <w:rtl w:val="0"/>
        </w:rPr>
        <w:t xml:space="preserve">,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lo siguiente:</w:t>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numPr>
          <w:ilvl w:val="0"/>
          <w:numId w:val="4"/>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Fundamentación: </w:t>
      </w:r>
      <w:r w:rsidDel="00000000" w:rsidR="00000000" w:rsidRPr="00000000">
        <w:rPr>
          <w:rFonts w:ascii="Palatino Linotype" w:cs="Palatino Linotype" w:eastAsia="Palatino Linotype" w:hAnsi="Palatino Linotype"/>
          <w:rtl w:val="0"/>
        </w:rPr>
        <w:t xml:space="preserve">Obligación de la autoridad que emite un acto, para citar los preceptos legales, sustantivos y adjetivos, en que se apoye para la determinación tomada.</w:t>
      </w:r>
      <w:r w:rsidDel="00000000" w:rsidR="00000000" w:rsidRPr="00000000">
        <w:rPr>
          <w:rtl w:val="0"/>
        </w:rPr>
      </w:r>
    </w:p>
    <w:p w:rsidR="00000000" w:rsidDel="00000000" w:rsidP="00000000" w:rsidRDefault="00000000" w:rsidRPr="00000000" w14:paraId="000000DE">
      <w:pPr>
        <w:numPr>
          <w:ilvl w:val="0"/>
          <w:numId w:val="4"/>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Motivación: </w:t>
      </w:r>
      <w:r w:rsidDel="00000000" w:rsidR="00000000" w:rsidRPr="00000000">
        <w:rPr>
          <w:rFonts w:ascii="Palatino Linotype" w:cs="Palatino Linotype" w:eastAsia="Palatino Linotype" w:hAnsi="Palatino Linotype"/>
          <w:rtl w:val="0"/>
        </w:rPr>
        <w:t xml:space="preserve">Razonamientos lógico-jurídicos sobre porque se consideró en el caso en concreto, que se ajusta a la hipótesis normativa.</w:t>
      </w:r>
      <w:r w:rsidDel="00000000" w:rsidR="00000000" w:rsidRPr="00000000">
        <w:rPr>
          <w:rtl w:val="0"/>
        </w:rPr>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Situación que toma relevancia, pues en el presente caso, el hecho de que, el Sujeto Obligado haya referido que la información se encuentra en un procedimiento administrativo, no aporta elementos suficientes para sustentar que existen razones, motivos o circunstancias especiales que lleven al sujeto obligado a concluir que en el caso particular se deba negar la información, aunado a que tampoco remitió un Acuerdo de Clasificación, además de que, se advierte que </w:t>
      </w:r>
      <w:r w:rsidDel="00000000" w:rsidR="00000000" w:rsidRPr="00000000">
        <w:rPr>
          <w:rFonts w:ascii="Palatino Linotype" w:cs="Palatino Linotype" w:eastAsia="Palatino Linotype" w:hAnsi="Palatino Linotype"/>
          <w:b w:val="1"/>
          <w:rtl w:val="0"/>
        </w:rPr>
        <w:t xml:space="preserve">la parte Recurrente no solicitó algún expediente, simplemente requirió información relacionada con el ejercicio de recursos públicos. </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pasa desapercibido mencionar que, de manera enunciativa más no limitativa, el Avance del Programa Anual de Obras, es el documento que pudiera dar cuenta de la información solicitada, pues en este se establece el monto ejercido del trimestre y al trimestre por la ejecución de la obra, como se advierte a continuación:</w:t>
      </w:r>
    </w:p>
    <w:p w:rsidR="00000000" w:rsidDel="00000000" w:rsidP="00000000" w:rsidRDefault="00000000" w:rsidRPr="00000000" w14:paraId="000000E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49113" cy="724001"/>
            <wp:effectExtent b="0" l="0" r="0" t="0"/>
            <wp:docPr id="3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649113" cy="724001"/>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15798" cy="2419688"/>
            <wp:effectExtent b="0" l="0" r="0" t="0"/>
            <wp:docPr id="3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15798" cy="241968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anterior, debido a que el Sujeto Obligado, </w:t>
      </w:r>
      <w:r w:rsidDel="00000000" w:rsidR="00000000" w:rsidRPr="00000000">
        <w:rPr>
          <w:rFonts w:ascii="Palatino Linotype" w:cs="Palatino Linotype" w:eastAsia="Palatino Linotype" w:hAnsi="Palatino Linotype"/>
          <w:b w:val="1"/>
          <w:u w:val="single"/>
          <w:rtl w:val="0"/>
        </w:rPr>
        <w:t xml:space="preserve">no explicó claramente las razones por las cuales se negó la información</w:t>
      </w:r>
      <w:r w:rsidDel="00000000" w:rsidR="00000000" w:rsidRPr="00000000">
        <w:rPr>
          <w:rFonts w:ascii="Palatino Linotype" w:cs="Palatino Linotype" w:eastAsia="Palatino Linotype" w:hAnsi="Palatino Linotype"/>
          <w:rtl w:val="0"/>
        </w:rPr>
        <w:t xml:space="preserve">, se advierte que los agravios hechos valer por la parte recurrente, 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por lo tanto, resulta procedente ordenar de ser el caso en versión pública la entrega de la siguiente información:</w:t>
      </w:r>
    </w:p>
    <w:p w:rsidR="00000000" w:rsidDel="00000000" w:rsidP="00000000" w:rsidRDefault="00000000" w:rsidRPr="00000000" w14:paraId="000000E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de cuenta del costo de la ejecución de cada uno de los seis pozos referidos en la solicitud de información, al seis de febrero de dos mil veinticuatro.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360" w:lineRule="auto"/>
        <w:ind w:left="72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F0">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F2">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F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0F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6">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F7">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8">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F9">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0FA">
      <w:pPr>
        <w:tabs>
          <w:tab w:val="left" w:leader="none" w:pos="1134"/>
        </w:tabs>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0FB">
      <w:pPr>
        <w:tabs>
          <w:tab w:val="left" w:leader="none" w:pos="1134"/>
        </w:tabs>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0FC">
      <w:pPr>
        <w:tabs>
          <w:tab w:val="left" w:leader="none" w:pos="1134"/>
        </w:tabs>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0F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F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00">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1">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02">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6">
      <w:pPr>
        <w:spacing w:after="0"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17">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18">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19">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1A">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1B">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1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1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E">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deberá observar el Lineamiento Quincuagésimo tercero de los Lineamientos Generales en Materia de Clasificación y Desclasificación de la Información supraindicados el cual establece los formatos para la clasificación de los documentos, conforme a lo siguiente: </w:t>
      </w:r>
    </w:p>
    <w:p w:rsidR="00000000" w:rsidDel="00000000" w:rsidP="00000000" w:rsidRDefault="00000000" w:rsidRPr="00000000" w14:paraId="0000011F">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CAPÍTULO VIII</w:t>
      </w:r>
    </w:p>
    <w:p w:rsidR="00000000" w:rsidDel="00000000" w:rsidP="00000000" w:rsidRDefault="00000000" w:rsidRPr="00000000" w14:paraId="00000120">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 </w:t>
      </w:r>
    </w:p>
    <w:p w:rsidR="00000000" w:rsidDel="00000000" w:rsidP="00000000" w:rsidRDefault="00000000" w:rsidRPr="00000000" w14:paraId="00000121">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tercero. </w:t>
      </w:r>
      <w:r w:rsidDel="00000000" w:rsidR="00000000" w:rsidRPr="00000000">
        <w:rPr>
          <w:rFonts w:ascii="Palatino Linotype" w:cs="Palatino Linotype" w:eastAsia="Palatino Linotype" w:hAnsi="Palatino Linotype"/>
          <w:i w:val="1"/>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i w:val="1"/>
          <w:rtl w:val="0"/>
        </w:rPr>
        <w:t xml:space="preserve">, es el siguiente: </w:t>
      </w:r>
    </w:p>
    <w:p w:rsidR="00000000" w:rsidDel="00000000" w:rsidP="00000000" w:rsidRDefault="00000000" w:rsidRPr="00000000" w14:paraId="00000122">
      <w:pPr>
        <w:spacing w:after="0" w:lineRule="auto"/>
        <w:ind w:left="851" w:right="902" w:firstLine="0"/>
        <w:jc w:val="both"/>
        <w:rPr>
          <w:rFonts w:ascii="Palatino Linotype" w:cs="Palatino Linotype" w:eastAsia="Palatino Linotype" w:hAnsi="Palatino Linotype"/>
          <w:i w:val="1"/>
        </w:rPr>
      </w:pPr>
      <w:r w:rsidDel="00000000" w:rsidR="00000000" w:rsidRPr="00000000">
        <w:rPr>
          <w:rtl w:val="0"/>
        </w:rPr>
      </w:r>
    </w:p>
    <w:tbl>
      <w:tblPr>
        <w:tblStyle w:val="Table1"/>
        <w:tblW w:w="7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693"/>
        <w:gridCol w:w="3691"/>
        <w:tblGridChange w:id="0">
          <w:tblGrid>
            <w:gridCol w:w="1271"/>
            <w:gridCol w:w="2693"/>
            <w:gridCol w:w="3691"/>
          </w:tblGrid>
        </w:tblGridChange>
      </w:tblGrid>
      <w:tr>
        <w:trPr>
          <w:cantSplit w:val="0"/>
          <w:trHeight w:val="262" w:hRule="atLeast"/>
          <w:tblHeader w:val="0"/>
        </w:trPr>
        <w:tc>
          <w:tcPr>
            <w:tcBorders>
              <w:top w:color="000000" w:space="0" w:sz="0" w:val="nil"/>
              <w:left w:color="000000" w:space="0" w:sz="0" w:val="nil"/>
            </w:tcBorders>
          </w:tcPr>
          <w:p w:rsidR="00000000" w:rsidDel="00000000" w:rsidP="00000000" w:rsidRDefault="00000000" w:rsidRPr="00000000" w14:paraId="00000123">
            <w:pPr>
              <w:rPr>
                <w:rFonts w:ascii="Palatino Linotype" w:cs="Palatino Linotype" w:eastAsia="Palatino Linotype" w:hAnsi="Palatino Linotype"/>
                <w:sz w:val="20"/>
                <w:szCs w:val="20"/>
              </w:rPr>
            </w:pPr>
            <w:r w:rsidDel="00000000" w:rsidR="00000000" w:rsidRPr="00000000">
              <w:rPr>
                <w:rtl w:val="0"/>
              </w:rPr>
            </w:r>
          </w:p>
        </w:tc>
        <w:tc>
          <w:tcPr>
            <w:shd w:fill="d9d9d9" w:val="clear"/>
          </w:tcPr>
          <w:p w:rsidR="00000000" w:rsidDel="00000000" w:rsidP="00000000" w:rsidRDefault="00000000" w:rsidRPr="00000000" w14:paraId="00000124">
            <w:pPr>
              <w:tabs>
                <w:tab w:val="center" w:leader="none" w:pos="1238"/>
                <w:tab w:val="right" w:leader="none" w:pos="2477"/>
              </w:tabs>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ab/>
              <w:t xml:space="preserve">Concepto</w:t>
              <w:tab/>
            </w:r>
          </w:p>
        </w:tc>
        <w:tc>
          <w:tcPr>
            <w:shd w:fill="d9d9d9" w:val="clear"/>
          </w:tcPr>
          <w:p w:rsidR="00000000" w:rsidDel="00000000" w:rsidP="00000000" w:rsidRDefault="00000000" w:rsidRPr="00000000" w14:paraId="0000012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Dónde</w:t>
            </w:r>
          </w:p>
        </w:tc>
      </w:tr>
      <w:tr>
        <w:trPr>
          <w:cantSplit w:val="0"/>
          <w:tblHeader w:val="0"/>
        </w:trPr>
        <w:tc>
          <w:tcPr>
            <w:vMerge w:val="restart"/>
            <w:shd w:fill="d9d9d9" w:val="clear"/>
          </w:tcPr>
          <w:p w:rsidR="00000000" w:rsidDel="00000000" w:rsidP="00000000" w:rsidRDefault="00000000" w:rsidRPr="00000000" w14:paraId="00000126">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7">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8">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9">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A">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B">
            <w:pPr>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2C">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Sello oficial o logotipo del sujeto obligado </w:t>
            </w:r>
          </w:p>
        </w:tc>
        <w:tc>
          <w:tcPr/>
          <w:p w:rsidR="00000000" w:rsidDel="00000000" w:rsidP="00000000" w:rsidRDefault="00000000" w:rsidRPr="00000000" w14:paraId="0000012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clasificación</w:t>
            </w:r>
          </w:p>
        </w:tc>
        <w:tc>
          <w:tcPr/>
          <w:p w:rsidR="00000000" w:rsidDel="00000000" w:rsidP="00000000" w:rsidRDefault="00000000" w:rsidRPr="00000000" w14:paraId="0000012E">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la que el Comité de Transparencia confirmó la clasificación del documento o expediente, en su caso. </w:t>
            </w:r>
          </w:p>
        </w:tc>
      </w:tr>
      <w:tr>
        <w:trPr>
          <w:cantSplit w:val="0"/>
          <w:tblHeader w:val="0"/>
        </w:trPr>
        <w:tc>
          <w:tcPr>
            <w:vMerge w:val="continue"/>
            <w:shd w:fill="d9d9d9"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Área </w:t>
            </w:r>
          </w:p>
        </w:tc>
        <w:tc>
          <w:tcPr/>
          <w:p w:rsidR="00000000" w:rsidDel="00000000" w:rsidP="00000000" w:rsidRDefault="00000000" w:rsidRPr="00000000" w14:paraId="00000131">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área del cual es titular quien clasifica. </w:t>
            </w:r>
          </w:p>
        </w:tc>
      </w:tr>
      <w:tr>
        <w:trPr>
          <w:cantSplit w:val="0"/>
          <w:tblHeader w:val="0"/>
        </w:trPr>
        <w:tc>
          <w:tcPr>
            <w:vMerge w:val="continue"/>
            <w:shd w:fill="d9d9d9"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Información Reservada</w:t>
            </w:r>
          </w:p>
        </w:tc>
        <w:tc>
          <w:tcPr/>
          <w:p w:rsidR="00000000" w:rsidDel="00000000" w:rsidP="00000000" w:rsidRDefault="00000000" w:rsidRPr="00000000" w14:paraId="00000134">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indicarán las partes o páginas del documento que se clasifican como reservadas, o, en su caso, se precisará que se ha reservado el documento o expediente en su totalidad.</w:t>
            </w:r>
          </w:p>
        </w:tc>
      </w:tr>
      <w:tr>
        <w:trPr>
          <w:cantSplit w:val="0"/>
          <w:tblHeader w:val="0"/>
        </w:trPr>
        <w:tc>
          <w:tcPr>
            <w:vMerge w:val="continue"/>
            <w:shd w:fill="d9d9d9"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Periodo de Reserva </w:t>
            </w:r>
          </w:p>
        </w:tc>
        <w:tc>
          <w:tcPr/>
          <w:p w:rsidR="00000000" w:rsidDel="00000000" w:rsidP="00000000" w:rsidRDefault="00000000" w:rsidRPr="00000000" w14:paraId="00000137">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el número de años o meses por los que se mantendrá reservado el documento, el expediente o, en su caso, las partes o secciones reservadas. </w:t>
            </w:r>
          </w:p>
        </w:tc>
      </w:tr>
      <w:tr>
        <w:trPr>
          <w:cantSplit w:val="0"/>
          <w:tblHeader w:val="0"/>
        </w:trPr>
        <w:tc>
          <w:tcPr>
            <w:vMerge w:val="continue"/>
            <w:shd w:fill="d9d9d9"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Fundamento legal</w:t>
            </w:r>
          </w:p>
        </w:tc>
        <w:tc>
          <w:tcPr/>
          <w:p w:rsidR="00000000" w:rsidDel="00000000" w:rsidP="00000000" w:rsidRDefault="00000000" w:rsidRPr="00000000" w14:paraId="0000013A">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ordenamiento el o los artículos, fracciones, párrafos con base en los cuales se sustente la reserva. </w:t>
            </w:r>
          </w:p>
        </w:tc>
      </w:tr>
      <w:tr>
        <w:trPr>
          <w:cantSplit w:val="0"/>
          <w:tblHeader w:val="0"/>
        </w:trPr>
        <w:tc>
          <w:tcPr>
            <w:vMerge w:val="continue"/>
            <w:shd w:fill="d9d9d9"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3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Ampliación del periodo de reserva</w:t>
            </w:r>
          </w:p>
        </w:tc>
        <w:tc>
          <w:tcPr/>
          <w:p w:rsidR="00000000" w:rsidDel="00000000" w:rsidP="00000000" w:rsidRDefault="00000000" w:rsidRPr="00000000" w14:paraId="0000013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de haber solicitado la ampliación del periodo de reserva originalmente establecido, se deberá anotar el número de años o meses por los que se amplía la reserva. </w:t>
            </w:r>
          </w:p>
        </w:tc>
      </w:tr>
      <w:tr>
        <w:trPr>
          <w:cantSplit w:val="0"/>
          <w:tblHeader w:val="0"/>
        </w:trPr>
        <w:tc>
          <w:tcPr>
            <w:gridSpan w:val="2"/>
            <w:shd w:fill="d9d9d9" w:val="clear"/>
          </w:tcPr>
          <w:p w:rsidR="00000000" w:rsidDel="00000000" w:rsidP="00000000" w:rsidRDefault="00000000" w:rsidRPr="00000000" w14:paraId="0000013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del titular del área</w:t>
            </w:r>
          </w:p>
        </w:tc>
        <w:tc>
          <w:tcPr>
            <w:shd w:fill="d9d9d9" w:val="clear"/>
          </w:tcPr>
          <w:p w:rsidR="00000000" w:rsidDel="00000000" w:rsidP="00000000" w:rsidRDefault="00000000" w:rsidRPr="00000000" w14:paraId="0000014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clasifica. </w:t>
            </w:r>
          </w:p>
        </w:tc>
      </w:tr>
      <w:tr>
        <w:trPr>
          <w:cantSplit w:val="0"/>
          <w:tblHeader w:val="0"/>
        </w:trPr>
        <w:tc>
          <w:tcPr>
            <w:gridSpan w:val="2"/>
            <w:shd w:fill="d9d9d9" w:val="clear"/>
          </w:tcPr>
          <w:p w:rsidR="00000000" w:rsidDel="00000000" w:rsidP="00000000" w:rsidRDefault="00000000" w:rsidRPr="00000000" w14:paraId="0000014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desclasificación </w:t>
            </w:r>
          </w:p>
        </w:tc>
        <w:tc>
          <w:tcPr>
            <w:shd w:fill="d9d9d9" w:val="clear"/>
          </w:tcPr>
          <w:p w:rsidR="00000000" w:rsidDel="00000000" w:rsidP="00000000" w:rsidRDefault="00000000" w:rsidRPr="00000000" w14:paraId="0000014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que se desclasifica el documento. </w:t>
            </w:r>
          </w:p>
        </w:tc>
      </w:tr>
      <w:tr>
        <w:trPr>
          <w:cantSplit w:val="0"/>
          <w:tblHeader w:val="0"/>
        </w:trPr>
        <w:tc>
          <w:tcPr>
            <w:gridSpan w:val="2"/>
            <w:shd w:fill="d9d9d9" w:val="clear"/>
          </w:tcPr>
          <w:p w:rsidR="00000000" w:rsidDel="00000000" w:rsidP="00000000" w:rsidRDefault="00000000" w:rsidRPr="00000000" w14:paraId="0000014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y cargo del servidor público </w:t>
            </w:r>
          </w:p>
        </w:tc>
        <w:tc>
          <w:tcPr>
            <w:shd w:fill="d9d9d9" w:val="clear"/>
          </w:tcPr>
          <w:p w:rsidR="00000000" w:rsidDel="00000000" w:rsidP="00000000" w:rsidRDefault="00000000" w:rsidRPr="00000000" w14:paraId="0000014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desclasifica. </w:t>
            </w:r>
          </w:p>
        </w:tc>
      </w:tr>
    </w:tbl>
    <w:p w:rsidR="00000000" w:rsidDel="00000000" w:rsidP="00000000" w:rsidRDefault="00000000" w:rsidRPr="00000000" w14:paraId="00000147">
      <w:pPr>
        <w:spacing w:after="0" w:line="360" w:lineRule="auto"/>
        <w:ind w:right="902"/>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8">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documentos que integren un expediente reservado en su totalidad no deberán marcarse en lo individual.</w:t>
      </w:r>
    </w:p>
    <w:p w:rsidR="00000000" w:rsidDel="00000000" w:rsidP="00000000" w:rsidRDefault="00000000" w:rsidRPr="00000000" w14:paraId="00000149">
      <w:pP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4E">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4F">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0">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51">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52">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3">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4">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5">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01734/INFOEM/IP/RR/2024</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00061/OASATIZARA/IP/2024</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5A">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5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entregada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00061/OASATIZARA/IP/2024, </w:t>
      </w:r>
      <w:r w:rsidDel="00000000" w:rsidR="00000000" w:rsidRPr="00000000">
        <w:rPr>
          <w:rFonts w:ascii="Palatino Linotype" w:cs="Palatino Linotype" w:eastAsia="Palatino Linotype" w:hAnsi="Palatino Linotype"/>
          <w:rtl w:val="0"/>
        </w:rPr>
        <w:t xml:space="preserve">por resultar parcialmente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01734/INFOEM/IP/RR/2024,</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Cuarto y Quinto, haga entrega, vía Sistema de Acceso a la Información Mexiquense, de ser el caso, en versión pública, de lo siguiente:</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numPr>
          <w:ilvl w:val="0"/>
          <w:numId w:val="1"/>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dé cuenta del costo de la ejecución de cada uno de los seis pozos referidos en la solicitud de información, al seis de febrero de dos mil veinticuatro.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360" w:lineRule="auto"/>
        <w:ind w:left="72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360" w:lineRule="auto"/>
        <w:ind w:right="-93"/>
        <w:jc w:val="both"/>
        <w:rPr>
          <w:rFonts w:ascii="Palatino Linotype" w:cs="Palatino Linotype" w:eastAsia="Palatino Linotype" w:hAnsi="Palatino Linotype"/>
        </w:rPr>
      </w:pPr>
      <w:bookmarkStart w:colFirst="0" w:colLast="0" w:name="_heading=h.2et92p0" w:id="3"/>
      <w:bookmarkEnd w:id="3"/>
      <w:r w:rsidDel="00000000" w:rsidR="00000000" w:rsidRPr="00000000">
        <w:rPr>
          <w:rtl w:val="0"/>
        </w:rPr>
      </w:r>
    </w:p>
    <w:p w:rsidR="00000000" w:rsidDel="00000000" w:rsidP="00000000" w:rsidRDefault="00000000" w:rsidRPr="00000000" w14:paraId="0000016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o bien, vía Juicio de Amparo en los términos de las leyes aplicables.</w:t>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AUSENCIA JUSTIFICADA) Y GUADALUPE RAMÍREZ PEÑA; EN LA VIGÉSIMA TERCERA SESIÓN ORDINARIA CELEBRADA EL VEINTISÉIS DE JUNIO  DE DOS MIL VEINTICUATRO, ANTE EL SECRETARIO TÉCNICO DEL PLENO ALEXIS TAPIA RAMÍREZ.</w:t>
      </w:r>
    </w:p>
    <w:p w:rsidR="00000000" w:rsidDel="00000000" w:rsidP="00000000" w:rsidRDefault="00000000" w:rsidRPr="00000000" w14:paraId="0000016D">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right="-93"/>
        <w:jc w:val="both"/>
        <w:rPr>
          <w:rFonts w:ascii="Palatino Linotype" w:cs="Palatino Linotype" w:eastAsia="Palatino Linotype" w:hAnsi="Palatino Linotype"/>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-746121</wp:posOffset>
          </wp:positionH>
          <wp:positionV relativeFrom="paragraph">
            <wp:posOffset>-448306</wp:posOffset>
          </wp:positionV>
          <wp:extent cx="7809876" cy="10165823"/>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01734/INFOEM/IP/RR/2024</w:t>
          </w:r>
        </w:p>
      </w:tc>
    </w:tr>
    <w:tr>
      <w:trPr>
        <w:cantSplit w:val="0"/>
        <w:trHeight w:val="228" w:hRule="atLeast"/>
        <w:tblHeader w:val="0"/>
      </w:trPr>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Organismo Público Descentralizado para la Prestación de Los Servicios de Agua Potable Alcantarillado y Saneamiento de Atizapán de Zaragoza por sus siglas S.A.P.A.S.A.</w:t>
          </w:r>
        </w:p>
      </w:tc>
    </w:tr>
    <w:tr>
      <w:trPr>
        <w:cantSplit w:val="0"/>
        <w:tblHeader w:val="0"/>
      </w:trPr>
      <w:tc>
        <w:tcPr>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-636196</wp:posOffset>
          </wp:positionH>
          <wp:positionV relativeFrom="paragraph">
            <wp:posOffset>-220978</wp:posOffset>
          </wp:positionV>
          <wp:extent cx="7809876" cy="10165823"/>
          <wp:effectExtent b="0" l="0" r="0" t="0"/>
          <wp:wrapNone/>
          <wp:docPr id="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01734/INFOEM/IP/RR/2024</w:t>
          </w:r>
        </w:p>
      </w:tc>
    </w:tr>
    <w:tr>
      <w:trPr>
        <w:cantSplit w:val="0"/>
        <w:tblHeader w:val="0"/>
      </w:trPr>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3"/>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Organismo Público Descentralizado para la Prestación de Los Servicios de Agua Potable Alcantarillado y Saneamiento de Atizapán de Zaragoza por sus siglas S.A.P.A.S.A.</w:t>
          </w:r>
        </w:p>
      </w:tc>
    </w:tr>
    <w:tr>
      <w:trPr>
        <w:cantSplit w:val="0"/>
        <w:tblHeader w:val="0"/>
      </w:trPr>
      <w:tc>
        <w:tcPr>
          <w:vAlign w:val="center"/>
        </w:tcPr>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95">
    <w:pPr>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9" w:customStyle="1">
    <w:name w:val="9"/>
    <w:basedOn w:val="TableNormal1"/>
    <w:tblPr>
      <w:tblStyleRowBandSize w:val="1"/>
      <w:tblStyleColBandSize w:val="1"/>
      <w:tblCellMar>
        <w:top w:w="15.0" w:type="dxa"/>
        <w:left w:w="15.0" w:type="dxa"/>
        <w:bottom w:w="15.0" w:type="dxa"/>
        <w:right w:w="15.0" w:type="dxa"/>
      </w:tblCellMar>
    </w:tblPr>
  </w:style>
  <w:style w:type="table" w:styleId="8" w:customStyle="1">
    <w:name w:val="8"/>
    <w:basedOn w:val="TableNormal1"/>
    <w:tblPr>
      <w:tblStyleRowBandSize w:val="1"/>
      <w:tblStyleColBandSize w:val="1"/>
      <w:tblCellMar>
        <w:top w:w="0.0" w:type="dxa"/>
        <w:left w:w="115.0" w:type="dxa"/>
        <w:bottom w:w="0.0" w:type="dxa"/>
        <w:right w:w="115.0" w:type="dxa"/>
      </w:tblCellMar>
    </w:tblPr>
  </w:style>
  <w:style w:type="table" w:styleId="7" w:customStyle="1">
    <w:name w:val="7"/>
    <w:basedOn w:val="TableNormal1"/>
    <w:tblPr>
      <w:tblStyleRowBandSize w:val="1"/>
      <w:tblStyleColBandSize w:val="1"/>
      <w:tblCellMar>
        <w:top w:w="0.0" w:type="dxa"/>
        <w:left w:w="115.0" w:type="dxa"/>
        <w:bottom w:w="0.0" w:type="dxa"/>
        <w:right w:w="115.0" w:type="dxa"/>
      </w:tblCellMar>
    </w:tblPr>
  </w:style>
  <w:style w:type="character" w:styleId="Mencinsinresolver1" w:customStyle="1">
    <w:name w:val="Mención sin resolver1"/>
    <w:basedOn w:val="Fuentedeprrafopredeter"/>
    <w:uiPriority w:val="99"/>
    <w:semiHidden w:val="1"/>
    <w:unhideWhenUsed w:val="1"/>
    <w:rsid w:val="006A149A"/>
    <w:rPr>
      <w:color w:val="605e5c"/>
      <w:shd w:color="auto" w:fill="e1dfdd" w:val="clear"/>
    </w:rPr>
  </w:style>
  <w:style w:type="character" w:styleId="apple-converted-space" w:customStyle="1">
    <w:name w:val="apple-converted-space"/>
    <w:basedOn w:val="Fuentedeprrafopredeter"/>
    <w:rsid w:val="002E7E43"/>
  </w:style>
  <w:style w:type="table" w:styleId="6" w:customStyle="1">
    <w:name w:val="6"/>
    <w:basedOn w:val="TableNormal1"/>
    <w:tblPr>
      <w:tblStyleRowBandSize w:val="1"/>
      <w:tblStyleColBandSize w:val="1"/>
      <w:tblCellMar>
        <w:top w:w="15.0" w:type="dxa"/>
        <w:left w:w="15.0" w:type="dxa"/>
        <w:bottom w:w="15.0" w:type="dxa"/>
        <w:right w:w="15.0" w:type="dxa"/>
      </w:tblCellMar>
    </w:tblPr>
  </w:style>
  <w:style w:type="table" w:styleId="5" w:customStyle="1">
    <w:name w:val="5"/>
    <w:basedOn w:val="TableNormal1"/>
    <w:tblPr>
      <w:tblStyleRowBandSize w:val="1"/>
      <w:tblStyleColBandSize w:val="1"/>
      <w:tblCellMar>
        <w:top w:w="15.0" w:type="dxa"/>
        <w:left w:w="115.0" w:type="dxa"/>
        <w:bottom w:w="15.0" w:type="dxa"/>
        <w:right w:w="115.0" w:type="dxa"/>
      </w:tblCellMar>
    </w:tblPr>
  </w:style>
  <w:style w:type="table" w:styleId="4" w:customStyle="1">
    <w:name w:val="4"/>
    <w:basedOn w:val="TableNormal1"/>
    <w:tblPr>
      <w:tblStyleRowBandSize w:val="1"/>
      <w:tblStyleColBandSize w:val="1"/>
      <w:tblCellMar>
        <w:top w:w="15.0" w:type="dxa"/>
        <w:left w:w="115.0" w:type="dxa"/>
        <w:bottom w:w="15.0" w:type="dxa"/>
        <w:right w:w="115.0" w:type="dxa"/>
      </w:tblCellMar>
    </w:tblPr>
  </w:style>
  <w:style w:type="paragraph" w:styleId="Lista">
    <w:name w:val="List"/>
    <w:basedOn w:val="Normal"/>
    <w:uiPriority w:val="99"/>
    <w:unhideWhenUsed w:val="1"/>
    <w:rsid w:val="00406559"/>
    <w:pPr>
      <w:ind w:left="283" w:hanging="283"/>
      <w:contextualSpacing w:val="1"/>
    </w:pPr>
  </w:style>
  <w:style w:type="paragraph" w:styleId="Lista2">
    <w:name w:val="List 2"/>
    <w:basedOn w:val="Normal"/>
    <w:uiPriority w:val="99"/>
    <w:unhideWhenUsed w:val="1"/>
    <w:rsid w:val="00406559"/>
    <w:pPr>
      <w:ind w:left="566" w:hanging="283"/>
      <w:contextualSpacing w:val="1"/>
    </w:pPr>
  </w:style>
  <w:style w:type="paragraph" w:styleId="Lista3">
    <w:name w:val="List 3"/>
    <w:basedOn w:val="Normal"/>
    <w:uiPriority w:val="99"/>
    <w:unhideWhenUsed w:val="1"/>
    <w:rsid w:val="00406559"/>
    <w:pPr>
      <w:ind w:left="849" w:hanging="283"/>
      <w:contextualSpacing w:val="1"/>
    </w:pPr>
  </w:style>
  <w:style w:type="paragraph" w:styleId="Lista4">
    <w:name w:val="List 4"/>
    <w:basedOn w:val="Normal"/>
    <w:uiPriority w:val="99"/>
    <w:unhideWhenUsed w:val="1"/>
    <w:rsid w:val="00406559"/>
    <w:pPr>
      <w:ind w:left="1132" w:hanging="283"/>
      <w:contextualSpacing w:val="1"/>
    </w:pPr>
  </w:style>
  <w:style w:type="paragraph" w:styleId="Lista5">
    <w:name w:val="List 5"/>
    <w:basedOn w:val="Normal"/>
    <w:uiPriority w:val="99"/>
    <w:unhideWhenUsed w:val="1"/>
    <w:rsid w:val="00406559"/>
    <w:pPr>
      <w:ind w:left="1415" w:hanging="283"/>
      <w:contextualSpacing w:val="1"/>
    </w:pPr>
  </w:style>
  <w:style w:type="paragraph" w:styleId="Saludo">
    <w:name w:val="Salutation"/>
    <w:basedOn w:val="Normal"/>
    <w:next w:val="Normal"/>
    <w:link w:val="SaludoCar"/>
    <w:uiPriority w:val="99"/>
    <w:unhideWhenUsed w:val="1"/>
    <w:rsid w:val="00406559"/>
  </w:style>
  <w:style w:type="character" w:styleId="SaludoCar" w:customStyle="1">
    <w:name w:val="Saludo Car"/>
    <w:basedOn w:val="Fuentedeprrafopredeter"/>
    <w:link w:val="Saludo"/>
    <w:uiPriority w:val="99"/>
    <w:rsid w:val="00406559"/>
  </w:style>
  <w:style w:type="paragraph" w:styleId="Continuarlista">
    <w:name w:val="List Continue"/>
    <w:basedOn w:val="Normal"/>
    <w:uiPriority w:val="99"/>
    <w:unhideWhenUsed w:val="1"/>
    <w:rsid w:val="00406559"/>
    <w:pPr>
      <w:spacing w:after="120"/>
      <w:ind w:left="283"/>
      <w:contextualSpacing w:val="1"/>
    </w:pPr>
  </w:style>
  <w:style w:type="paragraph" w:styleId="Textoindependiente">
    <w:name w:val="Body Text"/>
    <w:basedOn w:val="Normal"/>
    <w:link w:val="TextoindependienteCar"/>
    <w:uiPriority w:val="99"/>
    <w:unhideWhenUsed w:val="1"/>
    <w:rsid w:val="00406559"/>
    <w:pPr>
      <w:spacing w:after="120"/>
    </w:pPr>
  </w:style>
  <w:style w:type="character" w:styleId="TextoindependienteCar" w:customStyle="1">
    <w:name w:val="Texto independiente Car"/>
    <w:basedOn w:val="Fuentedeprrafopredeter"/>
    <w:link w:val="Textoindependiente"/>
    <w:uiPriority w:val="99"/>
    <w:rsid w:val="00406559"/>
  </w:style>
  <w:style w:type="paragraph" w:styleId="Sangradetextonormal">
    <w:name w:val="Body Text Indent"/>
    <w:basedOn w:val="Normal"/>
    <w:link w:val="SangradetextonormalCar"/>
    <w:uiPriority w:val="99"/>
    <w:unhideWhenUsed w:val="1"/>
    <w:rsid w:val="00406559"/>
    <w:pPr>
      <w:spacing w:after="120"/>
      <w:ind w:left="283"/>
    </w:pPr>
  </w:style>
  <w:style w:type="character" w:styleId="SangradetextonormalCar" w:customStyle="1">
    <w:name w:val="Sangría de texto normal Car"/>
    <w:basedOn w:val="Fuentedeprrafopredeter"/>
    <w:link w:val="Sangradetextonormal"/>
    <w:uiPriority w:val="99"/>
    <w:rsid w:val="00406559"/>
  </w:style>
  <w:style w:type="paragraph" w:styleId="Textoindependienteprimerasangra2">
    <w:name w:val="Body Text First Indent 2"/>
    <w:basedOn w:val="Sangradetextonormal"/>
    <w:link w:val="Textoindependienteprimerasangra2Car"/>
    <w:uiPriority w:val="99"/>
    <w:unhideWhenUsed w:val="1"/>
    <w:rsid w:val="0040655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06559"/>
  </w:style>
  <w:style w:type="character" w:styleId="Mencinsinresolver2" w:customStyle="1">
    <w:name w:val="Mención sin resolver2"/>
    <w:basedOn w:val="Fuentedeprrafopredeter"/>
    <w:uiPriority w:val="99"/>
    <w:semiHidden w:val="1"/>
    <w:unhideWhenUsed w:val="1"/>
    <w:rsid w:val="004A78AA"/>
    <w:rPr>
      <w:color w:val="605e5c"/>
      <w:shd w:color="auto" w:fill="e1dfdd" w:val="clear"/>
    </w:rPr>
  </w:style>
  <w:style w:type="table" w:styleId="3" w:customStyle="1">
    <w:name w:val="3"/>
    <w:basedOn w:val="TableNormal2"/>
    <w:tblPr>
      <w:tblStyleRowBandSize w:val="1"/>
      <w:tblStyleColBandSize w:val="1"/>
      <w:tblCellMar>
        <w:top w:w="15.0" w:type="dxa"/>
        <w:left w:w="115.0" w:type="dxa"/>
        <w:bottom w:w="15.0" w:type="dxa"/>
        <w:right w:w="115.0" w:type="dxa"/>
      </w:tblCellMar>
    </w:tblPr>
  </w:style>
  <w:style w:type="table" w:styleId="2" w:customStyle="1">
    <w:name w:val="2"/>
    <w:basedOn w:val="TableNormal2"/>
    <w:tblPr>
      <w:tblStyleRowBandSize w:val="1"/>
      <w:tblStyleColBandSize w:val="1"/>
      <w:tblCellMar>
        <w:top w:w="15.0" w:type="dxa"/>
        <w:left w:w="115.0" w:type="dxa"/>
        <w:bottom w:w="15.0" w:type="dxa"/>
        <w:right w:w="115.0" w:type="dxa"/>
      </w:tblCellMar>
    </w:tblPr>
  </w:style>
  <w:style w:type="table" w:styleId="1" w:customStyle="1">
    <w:name w:val="1"/>
    <w:basedOn w:val="TableNormal2"/>
    <w:tblPr>
      <w:tblStyleRowBandSize w:val="1"/>
      <w:tblStyleColBandSize w:val="1"/>
      <w:tblCellMar>
        <w:top w:w="15.0" w:type="dxa"/>
        <w:left w:w="115.0" w:type="dxa"/>
        <w:bottom w:w="15.0" w:type="dxa"/>
        <w:right w:w="115.0" w:type="dxa"/>
      </w:tblCellMar>
    </w:tblPr>
  </w:style>
  <w:style w:type="paragraph" w:styleId="Sinespaciado">
    <w:name w:val="No Spacing"/>
    <w:aliases w:val="Francesa,INAI"/>
    <w:link w:val="SinespaciadoCar"/>
    <w:uiPriority w:val="1"/>
    <w:qFormat w:val="1"/>
    <w:rsid w:val="008D7FBD"/>
    <w:pPr>
      <w:spacing w:after="0" w:line="240" w:lineRule="auto"/>
    </w:pPr>
    <w:rPr>
      <w:rFonts w:ascii="Times New Roman" w:cs="Times New Roman" w:eastAsia="Times New Roman" w:hAnsi="Times New Roman"/>
      <w:sz w:val="24"/>
      <w:szCs w:val="24"/>
    </w:rPr>
  </w:style>
  <w:style w:type="character" w:styleId="SinespaciadoCar" w:customStyle="1">
    <w:name w:val="Sin espaciado Car"/>
    <w:aliases w:val="Francesa Car,INAI Car"/>
    <w:link w:val="Sinespaciado"/>
    <w:uiPriority w:val="1"/>
    <w:locked w:val="1"/>
    <w:rsid w:val="008D7FBD"/>
    <w:rPr>
      <w:rFonts w:ascii="Times New Roman" w:cs="Times New Roman" w:eastAsia="Times New Roman" w:hAnsi="Times New Roman"/>
      <w:sz w:val="24"/>
      <w:szCs w:val="24"/>
    </w:rPr>
  </w:style>
  <w:style w:type="character" w:styleId="normaltextrun" w:customStyle="1">
    <w:name w:val="normaltextrun"/>
    <w:basedOn w:val="Fuentedeprrafopredeter"/>
    <w:rsid w:val="002D2360"/>
  </w:style>
  <w:style w:type="table" w:styleId="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15.0" w:type="dxa"/>
        <w:left w:w="115.0" w:type="dxa"/>
        <w:bottom w:w="15.0" w:type="dxa"/>
        <w:right w:w="115.0" w:type="dxa"/>
      </w:tblCellMar>
    </w:tblPr>
  </w:style>
  <w:style w:type="table" w:styleId="a1"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5KJd8D0Sn+tzLrzYtgEvrFhXQ==">CgMxLjAyCGguZ2pkZ3hzMgloLjMwajB6bGwyCWguMWZvYjl0ZTIJaC4yZXQ5MnAwOAByITFHRFA0TkVzc3F5MEYyZ3dBWGFqSEhPQmhSTUZYTzB6Mw==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2024-07-07T23:07:00Z</dcterms:created>
  <dc:creator>Cuenta Microsoft</dc:creator>
</cp:coreProperties>
</file>