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DDA" w14:textId="77777777" w:rsidR="0059338D" w:rsidRDefault="0059338D">
      <w:pPr>
        <w:widowControl w:val="0"/>
        <w:pBdr>
          <w:top w:val="nil"/>
          <w:left w:val="nil"/>
          <w:bottom w:val="nil"/>
          <w:right w:val="nil"/>
          <w:between w:val="nil"/>
        </w:pBdr>
        <w:spacing w:line="276" w:lineRule="auto"/>
      </w:pPr>
    </w:p>
    <w:p w14:paraId="1196F783" w14:textId="77777777" w:rsidR="0059338D" w:rsidRDefault="00062E39">
      <w:pP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nueve (09) de octubre de dos mil veinticuatro. </w:t>
      </w:r>
    </w:p>
    <w:p w14:paraId="67A2250B" w14:textId="77777777" w:rsidR="0059338D" w:rsidRDefault="0059338D">
      <w:pPr>
        <w:spacing w:line="360" w:lineRule="auto"/>
        <w:ind w:right="-592"/>
        <w:jc w:val="both"/>
        <w:rPr>
          <w:rFonts w:ascii="Palatino Linotype" w:eastAsia="Palatino Linotype" w:hAnsi="Palatino Linotype" w:cs="Palatino Linotype"/>
        </w:rPr>
      </w:pPr>
    </w:p>
    <w:p w14:paraId="527409A3" w14:textId="61C59857" w:rsidR="0059338D" w:rsidRDefault="00062E39">
      <w:pP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00113/INFOEM/IP/RR/2024, </w:t>
      </w:r>
      <w:r>
        <w:rPr>
          <w:rFonts w:ascii="Palatino Linotype" w:eastAsia="Palatino Linotype" w:hAnsi="Palatino Linotype" w:cs="Palatino Linotype"/>
        </w:rPr>
        <w:t xml:space="preserve">promovido por </w:t>
      </w:r>
      <w:r w:rsidR="00635EEF">
        <w:rPr>
          <w:rFonts w:ascii="Palatino Linotype" w:eastAsia="Palatino Linotype" w:hAnsi="Palatino Linotype" w:cs="Palatino Linotype"/>
          <w:b/>
        </w:rPr>
        <w:t xml:space="preserve">XXX </w:t>
      </w:r>
      <w:proofErr w:type="spellStart"/>
      <w:r w:rsidR="00635EEF">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la </w:t>
      </w:r>
      <w:r>
        <w:rPr>
          <w:rFonts w:ascii="Palatino Linotype" w:eastAsia="Palatino Linotype" w:hAnsi="Palatino Linotype" w:cs="Palatino Linotype"/>
          <w:b/>
        </w:rPr>
        <w:t xml:space="preserve">Secretaría del Trabajo,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48A2889B" w14:textId="77777777" w:rsidR="0059338D" w:rsidRDefault="0059338D">
      <w:pPr>
        <w:spacing w:line="360" w:lineRule="auto"/>
        <w:ind w:right="-592"/>
        <w:jc w:val="both"/>
        <w:rPr>
          <w:rFonts w:ascii="Palatino Linotype" w:eastAsia="Palatino Linotype" w:hAnsi="Palatino Linotype" w:cs="Palatino Linotype"/>
          <w:b/>
        </w:rPr>
      </w:pPr>
    </w:p>
    <w:p w14:paraId="1E5F8CB6" w14:textId="77777777" w:rsidR="0059338D" w:rsidRDefault="00062E39">
      <w:pPr>
        <w:keepNext/>
        <w:keepLines/>
        <w:spacing w:line="360" w:lineRule="auto"/>
        <w:ind w:right="-592"/>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52A5D2E5" w14:textId="77777777" w:rsidR="0059338D" w:rsidRDefault="0059338D">
      <w:pPr>
        <w:spacing w:line="360" w:lineRule="auto"/>
        <w:ind w:right="-592"/>
        <w:rPr>
          <w:rFonts w:ascii="Palatino Linotype" w:eastAsia="Palatino Linotype" w:hAnsi="Palatino Linotype" w:cs="Palatino Linotype"/>
        </w:rPr>
      </w:pPr>
    </w:p>
    <w:p w14:paraId="3E987E8C"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primero (01) de diciembre de dos mil veintitrés,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Pr>
          <w:rFonts w:ascii="Palatino Linotype" w:eastAsia="Palatino Linotype" w:hAnsi="Palatino Linotype" w:cs="Palatino Linotype"/>
          <w:b/>
          <w:color w:val="000000"/>
        </w:rPr>
        <w:t xml:space="preserve"> 00166/ST/IP/2023, </w:t>
      </w:r>
      <w:r>
        <w:rPr>
          <w:rFonts w:ascii="Palatino Linotype" w:eastAsia="Palatino Linotype" w:hAnsi="Palatino Linotype" w:cs="Palatino Linotype"/>
        </w:rPr>
        <w:t xml:space="preserve">en la que se </w:t>
      </w:r>
      <w:r>
        <w:rPr>
          <w:rFonts w:ascii="Palatino Linotype" w:eastAsia="Palatino Linotype" w:hAnsi="Palatino Linotype" w:cs="Palatino Linotype"/>
          <w:color w:val="000000"/>
        </w:rPr>
        <w:t>solicitó lo siguiente:</w:t>
      </w:r>
    </w:p>
    <w:p w14:paraId="7B3B9527"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37D5E045" w14:textId="77777777" w:rsidR="0059338D" w:rsidRDefault="00062E39">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los 17 mil registros que informó el Secretario del Trabajo del Edomex que fueron rechazados del Programa de Apoyo al Desempleo Formal de las personas que se registraron en el periodo del 15 al 22 de noviembre de 2023. Información que el Secretario del Trabajo del Edomex mencionó a diversos medios de comunicación como Milenio, del cual se anexa la liga de la noticia https://www.milenio.com/politica/rechazan-17-mil-registros-de-apoyo-al-desempleo-en-edomex” (Sic) </w:t>
      </w:r>
    </w:p>
    <w:p w14:paraId="23098E83"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0ACEA18"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a través de SAIMEX.</w:t>
      </w:r>
    </w:p>
    <w:p w14:paraId="449D5E87"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644049A4"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cuatro (04) de diciembre de dos mil veintitrés, se realizó un requerimiento al servidor público habilitado. </w:t>
      </w:r>
    </w:p>
    <w:p w14:paraId="1156084D"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C891EC8"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doce (12) de enero de dos mil veinticuatro, El Sujeto Obligado dio respuesta a la solicitud de información en los siguientes términos:</w:t>
      </w:r>
    </w:p>
    <w:p w14:paraId="236EA9F6" w14:textId="77777777" w:rsidR="0059338D" w:rsidRDefault="0059338D">
      <w:pPr>
        <w:pBdr>
          <w:top w:val="nil"/>
          <w:left w:val="nil"/>
          <w:bottom w:val="nil"/>
          <w:right w:val="nil"/>
          <w:between w:val="nil"/>
        </w:pBdr>
        <w:ind w:left="720" w:right="-592"/>
        <w:rPr>
          <w:rFonts w:ascii="Palatino Linotype" w:eastAsia="Palatino Linotype" w:hAnsi="Palatino Linotype" w:cs="Palatino Linotype"/>
          <w:color w:val="000000"/>
        </w:rPr>
      </w:pPr>
    </w:p>
    <w:tbl>
      <w:tblPr>
        <w:tblStyle w:val="a"/>
        <w:tblW w:w="7646" w:type="dxa"/>
        <w:jc w:val="center"/>
        <w:tblInd w:w="0" w:type="dxa"/>
        <w:tblLayout w:type="fixed"/>
        <w:tblLook w:val="0400" w:firstRow="0" w:lastRow="0" w:firstColumn="0" w:lastColumn="0" w:noHBand="0" w:noVBand="1"/>
      </w:tblPr>
      <w:tblGrid>
        <w:gridCol w:w="7646"/>
      </w:tblGrid>
      <w:tr w:rsidR="0059338D" w14:paraId="765DECCC" w14:textId="77777777">
        <w:trPr>
          <w:trHeight w:val="279"/>
          <w:jc w:val="center"/>
        </w:trPr>
        <w:tc>
          <w:tcPr>
            <w:tcW w:w="7646" w:type="dxa"/>
            <w:vAlign w:val="center"/>
          </w:tcPr>
          <w:p w14:paraId="677B0AE5" w14:textId="77777777" w:rsidR="0059338D" w:rsidRDefault="00062E39">
            <w:pPr>
              <w:ind w:right="-59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br/>
              <w:t>“Metepec, México a 12 de Enero de 2024</w:t>
            </w:r>
          </w:p>
        </w:tc>
      </w:tr>
      <w:tr w:rsidR="0059338D" w14:paraId="4B70D1F2" w14:textId="77777777">
        <w:trPr>
          <w:trHeight w:val="279"/>
          <w:jc w:val="center"/>
        </w:trPr>
        <w:tc>
          <w:tcPr>
            <w:tcW w:w="7646" w:type="dxa"/>
            <w:vAlign w:val="center"/>
          </w:tcPr>
          <w:p w14:paraId="0C5246BF" w14:textId="77777777" w:rsidR="0059338D" w:rsidRDefault="00062E39">
            <w:pPr>
              <w:ind w:right="-59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59338D" w14:paraId="3C587277" w14:textId="77777777">
        <w:trPr>
          <w:trHeight w:val="279"/>
          <w:jc w:val="center"/>
        </w:trPr>
        <w:tc>
          <w:tcPr>
            <w:tcW w:w="7646" w:type="dxa"/>
            <w:vAlign w:val="center"/>
          </w:tcPr>
          <w:p w14:paraId="42331279" w14:textId="77777777" w:rsidR="0059338D" w:rsidRDefault="00062E39">
            <w:pPr>
              <w:ind w:right="-59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00166/ST/IP/2023</w:t>
            </w:r>
          </w:p>
        </w:tc>
      </w:tr>
      <w:tr w:rsidR="0059338D" w14:paraId="3E5A7E41" w14:textId="77777777">
        <w:trPr>
          <w:trHeight w:val="419"/>
          <w:jc w:val="center"/>
        </w:trPr>
        <w:tc>
          <w:tcPr>
            <w:tcW w:w="7646" w:type="dxa"/>
            <w:vAlign w:val="center"/>
          </w:tcPr>
          <w:p w14:paraId="282C1626" w14:textId="77777777" w:rsidR="0059338D" w:rsidRDefault="0059338D">
            <w:pPr>
              <w:ind w:right="-592"/>
              <w:jc w:val="right"/>
              <w:rPr>
                <w:rFonts w:ascii="Palatino Linotype" w:eastAsia="Palatino Linotype" w:hAnsi="Palatino Linotype" w:cs="Palatino Linotype"/>
                <w:i/>
                <w:sz w:val="22"/>
                <w:szCs w:val="22"/>
              </w:rPr>
            </w:pPr>
          </w:p>
        </w:tc>
      </w:tr>
      <w:tr w:rsidR="0059338D" w14:paraId="13D5910C" w14:textId="77777777">
        <w:trPr>
          <w:trHeight w:val="139"/>
          <w:jc w:val="center"/>
        </w:trPr>
        <w:tc>
          <w:tcPr>
            <w:tcW w:w="7646" w:type="dxa"/>
            <w:vAlign w:val="center"/>
          </w:tcPr>
          <w:p w14:paraId="30AA6446" w14:textId="77777777" w:rsidR="0059338D" w:rsidRDefault="00062E39">
            <w:pPr>
              <w:ind w:right="-592"/>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9338D" w14:paraId="05403152" w14:textId="77777777">
        <w:trPr>
          <w:trHeight w:val="349"/>
          <w:jc w:val="center"/>
        </w:trPr>
        <w:tc>
          <w:tcPr>
            <w:tcW w:w="7646" w:type="dxa"/>
            <w:vAlign w:val="center"/>
          </w:tcPr>
          <w:p w14:paraId="032A3502" w14:textId="77777777" w:rsidR="0059338D" w:rsidRDefault="0059338D">
            <w:pPr>
              <w:ind w:right="-592"/>
              <w:rPr>
                <w:rFonts w:ascii="Palatino Linotype" w:eastAsia="Palatino Linotype" w:hAnsi="Palatino Linotype" w:cs="Palatino Linotype"/>
                <w:i/>
                <w:sz w:val="22"/>
                <w:szCs w:val="22"/>
              </w:rPr>
            </w:pPr>
          </w:p>
        </w:tc>
      </w:tr>
      <w:tr w:rsidR="0059338D" w14:paraId="3CE788E0" w14:textId="77777777">
        <w:trPr>
          <w:trHeight w:val="139"/>
          <w:jc w:val="center"/>
        </w:trPr>
        <w:tc>
          <w:tcPr>
            <w:tcW w:w="7646" w:type="dxa"/>
            <w:vAlign w:val="center"/>
          </w:tcPr>
          <w:p w14:paraId="0AB0D4FC" w14:textId="77777777" w:rsidR="0059338D" w:rsidRDefault="00062E39">
            <w:pPr>
              <w:ind w:right="-592"/>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base en el Reglamento Interior y el Manual General de Organización ambos de esta Secretaría, correspondió a la Subdirección de Productividad y Política de Empleo de la Dirección General de Empleo y Productividad de esta Dependencia atender su solicitud, por lo que adjunto en archivo PDF copia del oficio de respuesta con la información proporcionada por la Servidora Pública Habilitada de la unidad administrativa antes mencionada.</w:t>
            </w:r>
          </w:p>
        </w:tc>
      </w:tr>
      <w:tr w:rsidR="0059338D" w14:paraId="17FB4B22" w14:textId="77777777">
        <w:trPr>
          <w:trHeight w:val="349"/>
          <w:jc w:val="center"/>
        </w:trPr>
        <w:tc>
          <w:tcPr>
            <w:tcW w:w="7646" w:type="dxa"/>
            <w:vAlign w:val="center"/>
          </w:tcPr>
          <w:p w14:paraId="197AD2F2" w14:textId="77777777" w:rsidR="0059338D" w:rsidRDefault="0059338D">
            <w:pPr>
              <w:ind w:right="-592"/>
              <w:rPr>
                <w:rFonts w:ascii="Palatino Linotype" w:eastAsia="Palatino Linotype" w:hAnsi="Palatino Linotype" w:cs="Palatino Linotype"/>
                <w:i/>
                <w:sz w:val="22"/>
                <w:szCs w:val="22"/>
              </w:rPr>
            </w:pPr>
          </w:p>
        </w:tc>
      </w:tr>
      <w:tr w:rsidR="0059338D" w14:paraId="66BF7E2C" w14:textId="77777777">
        <w:trPr>
          <w:trHeight w:val="139"/>
          <w:jc w:val="center"/>
        </w:trPr>
        <w:tc>
          <w:tcPr>
            <w:tcW w:w="7646" w:type="dxa"/>
            <w:vAlign w:val="center"/>
          </w:tcPr>
          <w:p w14:paraId="1E7E1A31" w14:textId="77777777" w:rsidR="0059338D" w:rsidRDefault="0059338D">
            <w:pPr>
              <w:ind w:right="-592"/>
              <w:jc w:val="center"/>
              <w:rPr>
                <w:rFonts w:ascii="Palatino Linotype" w:eastAsia="Palatino Linotype" w:hAnsi="Palatino Linotype" w:cs="Palatino Linotype"/>
                <w:i/>
                <w:sz w:val="22"/>
                <w:szCs w:val="22"/>
              </w:rPr>
            </w:pPr>
          </w:p>
        </w:tc>
      </w:tr>
      <w:tr w:rsidR="0059338D" w14:paraId="67F14B4E" w14:textId="77777777">
        <w:trPr>
          <w:trHeight w:val="139"/>
          <w:jc w:val="center"/>
        </w:trPr>
        <w:tc>
          <w:tcPr>
            <w:tcW w:w="7646" w:type="dxa"/>
            <w:vAlign w:val="center"/>
          </w:tcPr>
          <w:p w14:paraId="5B585CE9" w14:textId="77777777" w:rsidR="0059338D" w:rsidRDefault="0059338D">
            <w:pPr>
              <w:ind w:right="-592"/>
              <w:rPr>
                <w:rFonts w:ascii="Palatino Linotype" w:eastAsia="Palatino Linotype" w:hAnsi="Palatino Linotype" w:cs="Palatino Linotype"/>
                <w:i/>
                <w:sz w:val="22"/>
                <w:szCs w:val="22"/>
              </w:rPr>
            </w:pPr>
          </w:p>
        </w:tc>
      </w:tr>
      <w:tr w:rsidR="0059338D" w14:paraId="51FB3F17" w14:textId="77777777">
        <w:trPr>
          <w:trHeight w:val="139"/>
          <w:jc w:val="center"/>
        </w:trPr>
        <w:tc>
          <w:tcPr>
            <w:tcW w:w="7646" w:type="dxa"/>
            <w:vAlign w:val="center"/>
          </w:tcPr>
          <w:p w14:paraId="2EE2E86C" w14:textId="77777777" w:rsidR="0059338D" w:rsidRDefault="00062E39">
            <w:pPr>
              <w:ind w:right="-592"/>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59338D" w14:paraId="392BF609" w14:textId="77777777">
        <w:trPr>
          <w:trHeight w:val="209"/>
          <w:jc w:val="center"/>
        </w:trPr>
        <w:tc>
          <w:tcPr>
            <w:tcW w:w="7646" w:type="dxa"/>
            <w:vAlign w:val="center"/>
          </w:tcPr>
          <w:p w14:paraId="2EB0369D" w14:textId="77777777" w:rsidR="0059338D" w:rsidRDefault="0059338D">
            <w:pPr>
              <w:ind w:right="-592"/>
              <w:rPr>
                <w:rFonts w:ascii="Palatino Linotype" w:eastAsia="Palatino Linotype" w:hAnsi="Palatino Linotype" w:cs="Palatino Linotype"/>
                <w:i/>
                <w:sz w:val="22"/>
                <w:szCs w:val="22"/>
              </w:rPr>
            </w:pPr>
          </w:p>
        </w:tc>
      </w:tr>
      <w:tr w:rsidR="0059338D" w14:paraId="69363BA6" w14:textId="77777777">
        <w:trPr>
          <w:trHeight w:val="139"/>
          <w:jc w:val="center"/>
        </w:trPr>
        <w:tc>
          <w:tcPr>
            <w:tcW w:w="7646" w:type="dxa"/>
            <w:vAlign w:val="center"/>
          </w:tcPr>
          <w:p w14:paraId="668A784E" w14:textId="77777777" w:rsidR="0059338D" w:rsidRDefault="00062E39">
            <w:pPr>
              <w:ind w:right="-592"/>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 en D. Ángeles María del Carmen Sánchez Santana”</w:t>
            </w:r>
          </w:p>
        </w:tc>
      </w:tr>
    </w:tbl>
    <w:p w14:paraId="609B3E0C"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3EA83E08" w14:textId="77777777" w:rsidR="0059338D" w:rsidRDefault="0059338D">
      <w:pPr>
        <w:spacing w:line="360" w:lineRule="auto"/>
        <w:ind w:right="-592"/>
        <w:jc w:val="both"/>
        <w:rPr>
          <w:rFonts w:ascii="Palatino Linotype" w:eastAsia="Palatino Linotype" w:hAnsi="Palatino Linotype" w:cs="Palatino Linotype"/>
          <w:sz w:val="22"/>
          <w:szCs w:val="22"/>
        </w:rPr>
      </w:pPr>
    </w:p>
    <w:p w14:paraId="5760936B" w14:textId="77777777" w:rsidR="0059338D" w:rsidRDefault="00062E39">
      <w:pPr>
        <w:spacing w:line="360" w:lineRule="auto"/>
        <w:ind w:right="-59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adjuntaron los archivos que se describen enseguida:</w:t>
      </w:r>
    </w:p>
    <w:p w14:paraId="2F0459E5" w14:textId="77777777" w:rsidR="0059338D" w:rsidRDefault="0059338D">
      <w:pPr>
        <w:spacing w:line="360" w:lineRule="auto"/>
        <w:ind w:right="-592"/>
        <w:rPr>
          <w:rFonts w:ascii="Palatino Linotype" w:eastAsia="Palatino Linotype" w:hAnsi="Palatino Linotype" w:cs="Palatino Linotype"/>
          <w:b/>
          <w:sz w:val="22"/>
          <w:szCs w:val="22"/>
        </w:rPr>
      </w:pPr>
    </w:p>
    <w:p w14:paraId="54F980DB" w14:textId="77777777" w:rsidR="0059338D" w:rsidRDefault="00B05508">
      <w:pPr>
        <w:numPr>
          <w:ilvl w:val="0"/>
          <w:numId w:val="5"/>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hyperlink r:id="rId8">
        <w:r w:rsidR="00062E39">
          <w:rPr>
            <w:rFonts w:ascii="Palatino Linotype" w:eastAsia="Palatino Linotype" w:hAnsi="Palatino Linotype" w:cs="Palatino Linotype"/>
            <w:b/>
            <w:color w:val="0563C1"/>
            <w:sz w:val="22"/>
            <w:szCs w:val="22"/>
            <w:u w:val="single"/>
          </w:rPr>
          <w:t>Resp.00166yOfic.SPH.pdf</w:t>
        </w:r>
      </w:hyperlink>
      <w:r w:rsidR="00062E39">
        <w:rPr>
          <w:rFonts w:ascii="Palatino Linotype" w:eastAsia="Palatino Linotype" w:hAnsi="Palatino Linotype" w:cs="Palatino Linotype"/>
          <w:color w:val="000000"/>
          <w:sz w:val="22"/>
          <w:szCs w:val="22"/>
        </w:rPr>
        <w:t>: en este archivo, se adjuntaron dos oficios, el primero corresponde al oficio número 20900008000000S/031/2024 de fecha doce enero de dos mil veinticuatro, suscrito por la Titular de la Unidad de Transparencia, en el que se adjunta respuesta emitida por la servidora pública habilitada de la Subdirección de Productividad y Política de Empleo de la Dirección General de Empleo y Productividad.</w:t>
      </w:r>
    </w:p>
    <w:p w14:paraId="02D12329" w14:textId="77777777" w:rsidR="0059338D" w:rsidRDefault="0059338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p>
    <w:p w14:paraId="2C3E87F4" w14:textId="77777777" w:rsidR="0059338D" w:rsidRDefault="00B05508">
      <w:pPr>
        <w:numPr>
          <w:ilvl w:val="0"/>
          <w:numId w:val="5"/>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hyperlink r:id="rId9">
        <w:r w:rsidR="00062E39">
          <w:rPr>
            <w:rFonts w:ascii="Palatino Linotype" w:eastAsia="Palatino Linotype" w:hAnsi="Palatino Linotype" w:cs="Palatino Linotype"/>
            <w:b/>
            <w:color w:val="0563C1"/>
            <w:sz w:val="22"/>
            <w:szCs w:val="22"/>
            <w:u w:val="single"/>
          </w:rPr>
          <w:t>ReglasdeOperación.pdf</w:t>
        </w:r>
      </w:hyperlink>
      <w:r w:rsidR="00062E39">
        <w:rPr>
          <w:rFonts w:ascii="Palatino Linotype" w:eastAsia="Palatino Linotype" w:hAnsi="Palatino Linotype" w:cs="Palatino Linotype"/>
          <w:color w:val="000000"/>
          <w:sz w:val="22"/>
          <w:szCs w:val="22"/>
        </w:rPr>
        <w:t xml:space="preserve">: Reglas de Operación del Programa de Desarrollo Social “Apoyo al Desempleo Formal”. </w:t>
      </w:r>
    </w:p>
    <w:p w14:paraId="75F26DFC" w14:textId="77777777" w:rsidR="0059338D" w:rsidRDefault="0059338D">
      <w:pPr>
        <w:spacing w:line="360" w:lineRule="auto"/>
        <w:ind w:right="-592"/>
        <w:jc w:val="both"/>
        <w:rPr>
          <w:rFonts w:ascii="Palatino Linotype" w:eastAsia="Palatino Linotype" w:hAnsi="Palatino Linotype" w:cs="Palatino Linotype"/>
          <w:sz w:val="22"/>
          <w:szCs w:val="22"/>
        </w:rPr>
      </w:pPr>
    </w:p>
    <w:p w14:paraId="7072654A" w14:textId="77777777" w:rsidR="0059338D" w:rsidRDefault="00B05508">
      <w:pPr>
        <w:numPr>
          <w:ilvl w:val="0"/>
          <w:numId w:val="5"/>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hyperlink r:id="rId10">
        <w:r w:rsidR="00062E39">
          <w:rPr>
            <w:rFonts w:ascii="Palatino Linotype" w:eastAsia="Palatino Linotype" w:hAnsi="Palatino Linotype" w:cs="Palatino Linotype"/>
            <w:b/>
            <w:color w:val="0563C1"/>
            <w:sz w:val="22"/>
            <w:szCs w:val="22"/>
            <w:u w:val="single"/>
          </w:rPr>
          <w:t>CONVOCATORIA_ADF.pdf</w:t>
        </w:r>
      </w:hyperlink>
      <w:r w:rsidR="00062E39">
        <w:rPr>
          <w:rFonts w:ascii="Palatino Linotype" w:eastAsia="Palatino Linotype" w:hAnsi="Palatino Linotype" w:cs="Palatino Linotype"/>
          <w:color w:val="000000"/>
          <w:sz w:val="22"/>
          <w:szCs w:val="22"/>
        </w:rPr>
        <w:t xml:space="preserve">: Convocatoria del Programa “Apoyo al Desempleo Formal”. </w:t>
      </w:r>
    </w:p>
    <w:p w14:paraId="6FA4B4C0" w14:textId="77777777" w:rsidR="0059338D" w:rsidRDefault="0059338D">
      <w:pPr>
        <w:spacing w:line="360" w:lineRule="auto"/>
        <w:ind w:right="-592"/>
        <w:rPr>
          <w:rFonts w:ascii="Palatino Linotype" w:eastAsia="Palatino Linotype" w:hAnsi="Palatino Linotype" w:cs="Palatino Linotype"/>
          <w:b/>
        </w:rPr>
      </w:pPr>
    </w:p>
    <w:p w14:paraId="1CB7271C"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quince (15) de enero de dos mil veinticuatro,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el recurso de revisión, en contra de la respuesta, señalando como:</w:t>
      </w:r>
    </w:p>
    <w:p w14:paraId="39640C4D" w14:textId="77777777" w:rsidR="0059338D" w:rsidRDefault="00062E39">
      <w:pPr>
        <w:numPr>
          <w:ilvl w:val="0"/>
          <w:numId w:val="2"/>
        </w:numPr>
        <w:spacing w:line="360" w:lineRule="auto"/>
        <w:ind w:right="-592"/>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"No se entrega lo solicitado" (Sic)</w:t>
      </w:r>
    </w:p>
    <w:p w14:paraId="4E38C97A" w14:textId="77777777" w:rsidR="0059338D" w:rsidRDefault="00062E39">
      <w:pPr>
        <w:numPr>
          <w:ilvl w:val="0"/>
          <w:numId w:val="2"/>
        </w:numPr>
        <w:spacing w:line="360" w:lineRule="auto"/>
        <w:ind w:right="-592"/>
        <w:jc w:val="both"/>
        <w:rPr>
          <w:sz w:val="22"/>
          <w:szCs w:val="22"/>
        </w:rPr>
      </w:pPr>
      <w:r>
        <w:rPr>
          <w:rFonts w:ascii="Palatino Linotype" w:eastAsia="Palatino Linotype" w:hAnsi="Palatino Linotype" w:cs="Palatino Linotype"/>
          <w:b/>
          <w:sz w:val="22"/>
          <w:szCs w:val="22"/>
        </w:rPr>
        <w:t>Razones o Motivos de inconformidad:</w:t>
      </w:r>
      <w:r>
        <w:rPr>
          <w:rFonts w:ascii="Verdana" w:eastAsia="Verdana" w:hAnsi="Verdana" w:cs="Verdana"/>
          <w:color w:val="000000"/>
          <w:sz w:val="22"/>
          <w:szCs w:val="22"/>
        </w:rPr>
        <w:t xml:space="preserve"> </w:t>
      </w:r>
      <w:r>
        <w:rPr>
          <w:rFonts w:ascii="Palatino Linotype" w:eastAsia="Palatino Linotype" w:hAnsi="Palatino Linotype" w:cs="Palatino Linotype"/>
          <w:i/>
          <w:color w:val="000000"/>
          <w:sz w:val="22"/>
          <w:szCs w:val="22"/>
        </w:rPr>
        <w:t>“No me entregaron la información”</w:t>
      </w:r>
    </w:p>
    <w:p w14:paraId="73962F8C" w14:textId="77777777" w:rsidR="0059338D" w:rsidRDefault="0059338D">
      <w:pPr>
        <w:spacing w:line="360" w:lineRule="auto"/>
        <w:ind w:right="-592"/>
        <w:jc w:val="both"/>
        <w:rPr>
          <w:rFonts w:ascii="Palatino Linotype" w:eastAsia="Palatino Linotype" w:hAnsi="Palatino Linotype" w:cs="Palatino Linotype"/>
        </w:rPr>
      </w:pPr>
    </w:p>
    <w:p w14:paraId="63AB1314"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 xml:space="preserve">su análisis. </w:t>
      </w:r>
    </w:p>
    <w:p w14:paraId="3507E4F8"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0AE7DDDB"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La</w:t>
      </w:r>
      <w:r>
        <w:rPr>
          <w:rFonts w:ascii="Palatino Linotype" w:eastAsia="Palatino Linotype" w:hAnsi="Palatino Linotype" w:cs="Palatino Linotype"/>
          <w:color w:val="000000"/>
        </w:rPr>
        <w:t xml:space="preserve"> Comisionad</w:t>
      </w:r>
      <w:r>
        <w:rPr>
          <w:rFonts w:ascii="Palatino Linotype" w:eastAsia="Palatino Linotype" w:hAnsi="Palatino Linotype" w:cs="Palatino Linotype"/>
        </w:rPr>
        <w:t>a</w:t>
      </w:r>
      <w:r>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veintitrés (23) de enero de dos mil veinticuatro,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 </w:t>
      </w:r>
    </w:p>
    <w:p w14:paraId="7C36D347" w14:textId="77777777" w:rsidR="0059338D" w:rsidRDefault="0059338D">
      <w:pPr>
        <w:pBdr>
          <w:top w:val="nil"/>
          <w:left w:val="nil"/>
          <w:bottom w:val="nil"/>
          <w:right w:val="nil"/>
          <w:between w:val="nil"/>
        </w:pBdr>
        <w:ind w:left="720" w:right="-592"/>
        <w:rPr>
          <w:rFonts w:ascii="Palatino Linotype" w:eastAsia="Palatino Linotype" w:hAnsi="Palatino Linotype" w:cs="Palatino Linotype"/>
          <w:color w:val="000000"/>
        </w:rPr>
      </w:pPr>
    </w:p>
    <w:p w14:paraId="5E5437E3"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las constancias del expediente electrónico SAIMEX no se advierten manifestaciones del Recurrente; por su parte, el Sujeto Obligado entregó informe justificado el treinta y uno (31) de enero de dos mil veinticuatro y se puso a la vista del particular el veintiséis (26) de septiembre del mismo año,  a través de los archivos que se describen enseguida:</w:t>
      </w:r>
    </w:p>
    <w:p w14:paraId="5FF0EB49" w14:textId="77777777" w:rsidR="0059338D" w:rsidRDefault="0059338D">
      <w:pPr>
        <w:pBdr>
          <w:top w:val="nil"/>
          <w:left w:val="nil"/>
          <w:bottom w:val="nil"/>
          <w:right w:val="nil"/>
          <w:between w:val="nil"/>
        </w:pBdr>
        <w:ind w:left="720" w:right="-592"/>
        <w:rPr>
          <w:rFonts w:ascii="Palatino Linotype" w:eastAsia="Palatino Linotype" w:hAnsi="Palatino Linotype" w:cs="Palatino Linotype"/>
          <w:color w:val="000000"/>
        </w:rPr>
      </w:pPr>
    </w:p>
    <w:p w14:paraId="387F37F8" w14:textId="77777777" w:rsidR="0059338D" w:rsidRDefault="00B05508">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hyperlink r:id="rId11">
        <w:r w:rsidR="00062E39">
          <w:rPr>
            <w:rFonts w:ascii="Palatino Linotype" w:eastAsia="Palatino Linotype" w:hAnsi="Palatino Linotype" w:cs="Palatino Linotype"/>
            <w:b/>
            <w:color w:val="0563C1"/>
            <w:sz w:val="22"/>
            <w:szCs w:val="22"/>
            <w:u w:val="single"/>
          </w:rPr>
          <w:t>IJ.RR.00113-00166.pdf</w:t>
        </w:r>
      </w:hyperlink>
      <w:r w:rsidR="00062E39">
        <w:rPr>
          <w:rFonts w:ascii="Palatino Linotype" w:eastAsia="Palatino Linotype" w:hAnsi="Palatino Linotype" w:cs="Palatino Linotype"/>
          <w:color w:val="000000"/>
          <w:sz w:val="22"/>
          <w:szCs w:val="22"/>
        </w:rPr>
        <w:t>: informe justificado en el que se ratificó respuesta y se señaló que la respuesta fue emitida en tiempo y forma por el servidor público habilitado, asimismo, refirió:</w:t>
      </w:r>
    </w:p>
    <w:p w14:paraId="039306E1" w14:textId="77777777" w:rsidR="0059338D" w:rsidRDefault="00062E39">
      <w:pPr>
        <w:pBdr>
          <w:top w:val="nil"/>
          <w:left w:val="nil"/>
          <w:bottom w:val="nil"/>
          <w:right w:val="nil"/>
          <w:between w:val="nil"/>
        </w:pBdr>
        <w:spacing w:line="360" w:lineRule="auto"/>
        <w:ind w:left="720"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“Privilegiando el principio de máxima publicidad de la información y fomentando los principios de gobierno abierto, la </w:t>
      </w:r>
      <w:proofErr w:type="spellStart"/>
      <w:r>
        <w:rPr>
          <w:rFonts w:ascii="Palatino Linotype" w:eastAsia="Palatino Linotype" w:hAnsi="Palatino Linotype" w:cs="Palatino Linotype"/>
          <w:i/>
          <w:color w:val="000000"/>
          <w:sz w:val="22"/>
          <w:szCs w:val="22"/>
        </w:rPr>
        <w:t>trnasparencia</w:t>
      </w:r>
      <w:proofErr w:type="spellEnd"/>
      <w:r>
        <w:rPr>
          <w:rFonts w:ascii="Palatino Linotype" w:eastAsia="Palatino Linotype" w:hAnsi="Palatino Linotype" w:cs="Palatino Linotype"/>
          <w:i/>
          <w:color w:val="000000"/>
          <w:sz w:val="22"/>
          <w:szCs w:val="22"/>
        </w:rPr>
        <w:t xml:space="preserve">, la rendición de cuentas, la participación ciudadana, la accesibilidad y la innovación tecnológica que promueve el Instituto de Transparencia, Acceso a la Información Pública y Protección de Datos Personales del Estado de México y Municipios (INFOEM),  y que no es excepción para esta Secretaría del Trabajo del Gobierno del Estado de México; mediante oficio 20900008000000S/044/2024 de fecha 17 de enero de 2024, se hico del conocimiento al titular suplente de la Dirección General de Empleo y Productividad de esta Dependencia, sobre el recurso de revisión. Por lo que, con fundamento en los artículo 59, fracción III y 162 de la Ley de Transparencia y Acceso a la </w:t>
      </w:r>
      <w:r>
        <w:rPr>
          <w:rFonts w:ascii="Palatino Linotype" w:eastAsia="Palatino Linotype" w:hAnsi="Palatino Linotype" w:cs="Palatino Linotype"/>
          <w:i/>
          <w:color w:val="000000"/>
          <w:sz w:val="22"/>
          <w:szCs w:val="22"/>
        </w:rPr>
        <w:lastRenderedPageBreak/>
        <w:t>Información Pública del Estado de México y Municipios, personal del área administrativa responsable de generar, procesar y resguardar la información, a través del oficio número 20900005000300L/13/2024 de fecha 30 de enero de 2024, hace del conocimiento que, “el total de registros rechazados durante el periodo del 15 al 22 de noviembre de 2023 fue de 17,801 de los cuales no se generó ningún registro por incumplir lo establecido en el numeral de la convocatoria…”.</w:t>
      </w:r>
    </w:p>
    <w:p w14:paraId="3A7B9ACA" w14:textId="77777777" w:rsidR="0059338D" w:rsidRDefault="0059338D">
      <w:pPr>
        <w:pBdr>
          <w:top w:val="nil"/>
          <w:left w:val="nil"/>
          <w:bottom w:val="nil"/>
          <w:right w:val="nil"/>
          <w:between w:val="nil"/>
        </w:pBdr>
        <w:spacing w:line="360" w:lineRule="auto"/>
        <w:ind w:left="720" w:right="115"/>
        <w:rPr>
          <w:rFonts w:ascii="Palatino Linotype" w:eastAsia="Palatino Linotype" w:hAnsi="Palatino Linotype" w:cs="Palatino Linotype"/>
          <w:color w:val="000000"/>
          <w:sz w:val="22"/>
          <w:szCs w:val="22"/>
        </w:rPr>
      </w:pPr>
    </w:p>
    <w:p w14:paraId="32EE01F0" w14:textId="77777777" w:rsidR="0059338D" w:rsidRDefault="00B05508">
      <w:pPr>
        <w:numPr>
          <w:ilvl w:val="0"/>
          <w:numId w:val="1"/>
        </w:numPr>
        <w:pBdr>
          <w:top w:val="nil"/>
          <w:left w:val="nil"/>
          <w:bottom w:val="nil"/>
          <w:right w:val="nil"/>
          <w:between w:val="nil"/>
        </w:pBdr>
        <w:spacing w:line="360" w:lineRule="auto"/>
        <w:ind w:right="115"/>
        <w:rPr>
          <w:rFonts w:ascii="Palatino Linotype" w:eastAsia="Palatino Linotype" w:hAnsi="Palatino Linotype" w:cs="Palatino Linotype"/>
          <w:color w:val="000000"/>
          <w:sz w:val="22"/>
          <w:szCs w:val="22"/>
        </w:rPr>
      </w:pPr>
      <w:hyperlink r:id="rId12">
        <w:r w:rsidR="00062E39">
          <w:rPr>
            <w:rFonts w:ascii="Palatino Linotype" w:eastAsia="Palatino Linotype" w:hAnsi="Palatino Linotype" w:cs="Palatino Linotype"/>
            <w:b/>
            <w:color w:val="0563C1"/>
            <w:sz w:val="22"/>
            <w:szCs w:val="22"/>
            <w:u w:val="single"/>
          </w:rPr>
          <w:t>Resp.SPH.RR.00113-00166.pdf</w:t>
        </w:r>
      </w:hyperlink>
      <w:r w:rsidR="00062E39">
        <w:rPr>
          <w:rFonts w:ascii="Palatino Linotype" w:eastAsia="Palatino Linotype" w:hAnsi="Palatino Linotype" w:cs="Palatino Linotype"/>
          <w:color w:val="000000"/>
          <w:sz w:val="22"/>
          <w:szCs w:val="22"/>
        </w:rPr>
        <w:t xml:space="preserve">: oficio 20900005000300L/13/2024 de fecha treinta de enero de dos mil veinticuatro, suscrito por el Suplente del Titular de la Subdirección de Productividad y Política de Empleo, en el que señaló </w:t>
      </w:r>
      <w:r w:rsidR="00062E39">
        <w:rPr>
          <w:rFonts w:ascii="Palatino Linotype" w:eastAsia="Palatino Linotype" w:hAnsi="Palatino Linotype" w:cs="Palatino Linotype"/>
          <w:i/>
          <w:color w:val="000000"/>
          <w:sz w:val="22"/>
          <w:szCs w:val="22"/>
        </w:rPr>
        <w:t>“el total de registros rechazados durante el periodo del 15 al 22 de noviembre de 2023 fue de 17,801 de los cuales no se generó ningún registro por incumplir lo establecido en el numeral de la convocatoria…”.</w:t>
      </w:r>
    </w:p>
    <w:p w14:paraId="6FCD23C2" w14:textId="77777777" w:rsidR="0059338D" w:rsidRDefault="0059338D">
      <w:pPr>
        <w:ind w:right="-592"/>
      </w:pPr>
    </w:p>
    <w:p w14:paraId="2BE1C5EF" w14:textId="77777777" w:rsidR="0059338D" w:rsidRDefault="0059338D">
      <w:pPr>
        <w:ind w:right="-592"/>
        <w:rPr>
          <w:rFonts w:ascii="Palatino Linotype" w:eastAsia="Palatino Linotype" w:hAnsi="Palatino Linotype" w:cs="Palatino Linotype"/>
        </w:rPr>
      </w:pPr>
    </w:p>
    <w:p w14:paraId="0F73306D"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catorce (14) de marzo de dos mil veinticuatro, se notificó el acuerdo a través del cual se aprobó la ampliación de plazo para emitir resolución, por un periodo de quince días. </w:t>
      </w:r>
    </w:p>
    <w:p w14:paraId="51158DD4"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2EEDBC0"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0713781" w14:textId="77777777" w:rsidR="0059338D" w:rsidRDefault="0059338D">
      <w:pPr>
        <w:spacing w:line="360" w:lineRule="auto"/>
        <w:ind w:right="-592"/>
        <w:rPr>
          <w:rFonts w:ascii="Palatino Linotype" w:eastAsia="Palatino Linotype" w:hAnsi="Palatino Linotype" w:cs="Palatino Linotype"/>
        </w:rPr>
      </w:pPr>
    </w:p>
    <w:p w14:paraId="726B3923"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w:t>
      </w:r>
      <w:r>
        <w:rPr>
          <w:rFonts w:ascii="Palatino Linotype" w:eastAsia="Palatino Linotype" w:hAnsi="Palatino Linotype" w:cs="Palatino Linotype"/>
        </w:rPr>
        <w:lastRenderedPageBreak/>
        <w:t>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67BD56D" w14:textId="77777777" w:rsidR="0059338D" w:rsidRDefault="0059338D">
      <w:pPr>
        <w:spacing w:line="360" w:lineRule="auto"/>
        <w:ind w:right="-592"/>
        <w:rPr>
          <w:rFonts w:ascii="Palatino Linotype" w:eastAsia="Palatino Linotype" w:hAnsi="Palatino Linotype" w:cs="Palatino Linotype"/>
        </w:rPr>
      </w:pPr>
    </w:p>
    <w:p w14:paraId="27B764AE"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9E35E3" w14:textId="77777777" w:rsidR="0059338D" w:rsidRDefault="0059338D">
      <w:pPr>
        <w:spacing w:line="360" w:lineRule="auto"/>
        <w:ind w:right="-592"/>
        <w:rPr>
          <w:rFonts w:ascii="Palatino Linotype" w:eastAsia="Palatino Linotype" w:hAnsi="Palatino Linotype" w:cs="Palatino Linotype"/>
        </w:rPr>
      </w:pPr>
    </w:p>
    <w:p w14:paraId="6D8614A9"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BD3975F" w14:textId="77777777" w:rsidR="0059338D" w:rsidRDefault="0059338D">
      <w:pPr>
        <w:spacing w:line="360" w:lineRule="auto"/>
        <w:ind w:right="-592"/>
        <w:jc w:val="both"/>
        <w:rPr>
          <w:rFonts w:ascii="Palatino Linotype" w:eastAsia="Palatino Linotype" w:hAnsi="Palatino Linotype" w:cs="Palatino Linotype"/>
          <w:b/>
        </w:rPr>
      </w:pPr>
    </w:p>
    <w:p w14:paraId="0F62FAA5"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63364B54" w14:textId="77777777" w:rsidR="0059338D" w:rsidRDefault="00062E39">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4F4C8FB" w14:textId="77777777" w:rsidR="0059338D" w:rsidRDefault="00062E39">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2DCF1B81" w14:textId="77777777" w:rsidR="0059338D" w:rsidRDefault="00062E39">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7D5EE0ED" w14:textId="77777777" w:rsidR="0059338D" w:rsidRDefault="00062E39">
      <w:pPr>
        <w:spacing w:line="360" w:lineRule="auto"/>
        <w:ind w:left="567"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3BE7E5B9" w14:textId="77777777" w:rsidR="0059338D" w:rsidRDefault="0059338D">
      <w:pPr>
        <w:spacing w:line="360" w:lineRule="auto"/>
        <w:ind w:right="-592"/>
        <w:rPr>
          <w:rFonts w:ascii="Palatino Linotype" w:eastAsia="Palatino Linotype" w:hAnsi="Palatino Linotype" w:cs="Palatino Linotype"/>
        </w:rPr>
      </w:pPr>
    </w:p>
    <w:p w14:paraId="4A64CD56"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82641FF" w14:textId="77777777" w:rsidR="0059338D" w:rsidRDefault="0059338D">
      <w:pPr>
        <w:spacing w:line="360" w:lineRule="auto"/>
        <w:ind w:right="-592"/>
        <w:jc w:val="both"/>
        <w:rPr>
          <w:rFonts w:ascii="Palatino Linotype" w:eastAsia="Palatino Linotype" w:hAnsi="Palatino Linotype" w:cs="Palatino Linotype"/>
          <w:b/>
        </w:rPr>
      </w:pPr>
    </w:p>
    <w:p w14:paraId="0EBEA0BE"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422948FA" w14:textId="77777777" w:rsidR="0059338D" w:rsidRDefault="0059338D">
      <w:pPr>
        <w:spacing w:line="360" w:lineRule="auto"/>
        <w:ind w:right="-592"/>
        <w:rPr>
          <w:rFonts w:ascii="Palatino Linotype" w:eastAsia="Palatino Linotype" w:hAnsi="Palatino Linotype" w:cs="Palatino Linotype"/>
        </w:rPr>
      </w:pPr>
    </w:p>
    <w:p w14:paraId="44E18240"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A4EAC84" w14:textId="77777777" w:rsidR="0059338D" w:rsidRDefault="0059338D">
      <w:pPr>
        <w:spacing w:line="360" w:lineRule="auto"/>
        <w:ind w:right="-592"/>
        <w:rPr>
          <w:rFonts w:ascii="Palatino Linotype" w:eastAsia="Palatino Linotype" w:hAnsi="Palatino Linotype" w:cs="Palatino Linotype"/>
        </w:rPr>
      </w:pPr>
    </w:p>
    <w:p w14:paraId="573D0092"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5A4BB8DB" w14:textId="77777777" w:rsidR="0059338D" w:rsidRDefault="0059338D">
      <w:pPr>
        <w:spacing w:line="360" w:lineRule="auto"/>
        <w:ind w:right="-592"/>
        <w:rPr>
          <w:rFonts w:ascii="Palatino Linotype" w:eastAsia="Palatino Linotype" w:hAnsi="Palatino Linotype" w:cs="Palatino Linotype"/>
        </w:rPr>
      </w:pPr>
    </w:p>
    <w:p w14:paraId="25FF7EE7"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5B4397C" w14:textId="77777777" w:rsidR="0059338D" w:rsidRDefault="00062E39">
      <w:pPr>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7E0E3484" w14:textId="77777777" w:rsidR="0059338D" w:rsidRDefault="0059338D">
      <w:pPr>
        <w:spacing w:line="360" w:lineRule="auto"/>
        <w:ind w:left="851" w:right="115"/>
        <w:jc w:val="both"/>
        <w:rPr>
          <w:rFonts w:ascii="Palatino Linotype" w:eastAsia="Palatino Linotype" w:hAnsi="Palatino Linotype" w:cs="Palatino Linotype"/>
          <w:b/>
          <w:sz w:val="22"/>
          <w:szCs w:val="22"/>
        </w:rPr>
      </w:pPr>
    </w:p>
    <w:p w14:paraId="0201B06E" w14:textId="77777777" w:rsidR="0059338D" w:rsidRDefault="00062E39">
      <w:pPr>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15DA24D6" w14:textId="77777777" w:rsidR="0059338D" w:rsidRDefault="0059338D">
      <w:pPr>
        <w:spacing w:line="360" w:lineRule="auto"/>
        <w:ind w:right="-592"/>
        <w:jc w:val="both"/>
        <w:rPr>
          <w:rFonts w:ascii="Palatino Linotype" w:eastAsia="Palatino Linotype" w:hAnsi="Palatino Linotype" w:cs="Palatino Linotype"/>
          <w:i/>
        </w:rPr>
      </w:pPr>
    </w:p>
    <w:p w14:paraId="6CC3D40C"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2FAACAF2"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Comisionada Ponente decretó el cierre de instrucción mediante el acuerdo del tres (03) de octubre de dos mil veinticuatro.</w:t>
      </w:r>
    </w:p>
    <w:p w14:paraId="46385FAF" w14:textId="77777777" w:rsidR="0059338D" w:rsidRDefault="0059338D">
      <w:pPr>
        <w:spacing w:line="360" w:lineRule="auto"/>
        <w:ind w:right="-592"/>
        <w:rPr>
          <w:rFonts w:ascii="Palatino Linotype" w:eastAsia="Palatino Linotype" w:hAnsi="Palatino Linotype" w:cs="Palatino Linotype"/>
        </w:rPr>
      </w:pPr>
    </w:p>
    <w:p w14:paraId="7BBB9822" w14:textId="77777777" w:rsidR="0059338D" w:rsidRDefault="00062E39">
      <w:pPr>
        <w:spacing w:line="360" w:lineRule="auto"/>
        <w:ind w:right="-592"/>
        <w:jc w:val="center"/>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C O N S I D E R A N D O</w:t>
      </w:r>
    </w:p>
    <w:p w14:paraId="66C84F34" w14:textId="77777777" w:rsidR="0059338D" w:rsidRDefault="0059338D">
      <w:pPr>
        <w:spacing w:line="360" w:lineRule="auto"/>
        <w:ind w:right="-592"/>
        <w:jc w:val="center"/>
        <w:rPr>
          <w:rFonts w:ascii="Palatino Linotype" w:eastAsia="Palatino Linotype" w:hAnsi="Palatino Linotype" w:cs="Palatino Linotype"/>
        </w:rPr>
      </w:pPr>
    </w:p>
    <w:p w14:paraId="2D936BA9" w14:textId="77777777" w:rsidR="0059338D" w:rsidRDefault="00062E39">
      <w:pPr>
        <w:spacing w:line="360" w:lineRule="auto"/>
        <w:ind w:right="-592"/>
        <w:jc w:val="both"/>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PRIMERO. De la competencia</w:t>
      </w:r>
    </w:p>
    <w:p w14:paraId="0B961035" w14:textId="77777777" w:rsidR="0059338D" w:rsidRDefault="00062E39">
      <w:pPr>
        <w:numPr>
          <w:ilvl w:val="0"/>
          <w:numId w:val="3"/>
        </w:numPr>
        <w:pBdr>
          <w:top w:val="nil"/>
          <w:left w:val="nil"/>
          <w:bottom w:val="nil"/>
          <w:right w:val="nil"/>
          <w:between w:val="nil"/>
        </w:pBdr>
        <w:spacing w:before="240" w:after="240"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6F8849E" w14:textId="77777777" w:rsidR="0059338D" w:rsidRDefault="00062E39">
      <w:pPr>
        <w:keepNext/>
        <w:keepLines/>
        <w:spacing w:line="360" w:lineRule="auto"/>
        <w:ind w:right="-592"/>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SEGUNDO. De la oportunidad y procedencia.</w:t>
      </w:r>
    </w:p>
    <w:p w14:paraId="57046030"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a la solicitud el día doce (12) de enero de dos mil veinticuatro, de tal forma que el plazo para interponer el recurso de revisión transcurrió del quince (15) de enero al dos (02) de febrero de dos mil veinticuatro, de acuerdo al calendario oficial del Instituto de Transparencia, Acceso a la Información y Protección de Datos Personales del Estado de México y Municipios; en consecuencia, presentó su inconformidad el día quince (15) de enero de dos mil veinticuatro, por lo que se encuentra dentro de los márgenes temporales previstos en el artículo 178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vigente.</w:t>
      </w:r>
    </w:p>
    <w:p w14:paraId="5DEAF384" w14:textId="77777777" w:rsidR="0059338D" w:rsidRDefault="0059338D">
      <w:pPr>
        <w:spacing w:line="360" w:lineRule="auto"/>
        <w:ind w:right="-592"/>
        <w:rPr>
          <w:rFonts w:ascii="Palatino Linotype" w:eastAsia="Palatino Linotype" w:hAnsi="Palatino Linotype" w:cs="Palatino Linotype"/>
        </w:rPr>
      </w:pPr>
    </w:p>
    <w:p w14:paraId="198D063E"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2353298"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5DE2C24A" w14:textId="77777777" w:rsidR="0059338D" w:rsidRDefault="00062E39">
      <w:pPr>
        <w:spacing w:line="360" w:lineRule="auto"/>
        <w:ind w:right="-592"/>
        <w:jc w:val="both"/>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TERCERO. Planteamiento de la Litis.</w:t>
      </w:r>
    </w:p>
    <w:p w14:paraId="5F447F40"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solicitó los 17 mil registros de las personas que fueron rechazadas del programa Apoyo al Desempleo Formal, que señaló el Secretario del Trabajo del Estado de México en diversos medios de comunicación. </w:t>
      </w:r>
    </w:p>
    <w:p w14:paraId="61D2A971" w14:textId="77777777" w:rsidR="0059338D" w:rsidRDefault="0059338D">
      <w:pPr>
        <w:spacing w:line="360" w:lineRule="auto"/>
        <w:ind w:right="-592"/>
        <w:jc w:val="both"/>
        <w:rPr>
          <w:rFonts w:ascii="Palatino Linotype" w:eastAsia="Palatino Linotype" w:hAnsi="Palatino Linotype" w:cs="Palatino Linotype"/>
        </w:rPr>
      </w:pPr>
    </w:p>
    <w:p w14:paraId="69BB432B"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Servidor Público Habilitado de la Subdirección de Productividad y Política de Empleo señaló que los registros realizados por la personas interesadas en obtener apoyo económico están siendo revisados, analizados y validados motivo por el cual aún están en proceso para determinar quiénes serán beneficiarios, así como verificar en su totalidad aquellos folios que incumplen con  los requisitos. Posteriormente el particular interpuso recurso de revisión en el que señalo, de forma medular, su inconformidad por la negativa de la información. </w:t>
      </w:r>
    </w:p>
    <w:p w14:paraId="500CB0C5" w14:textId="77777777" w:rsidR="0059338D" w:rsidRDefault="0059338D">
      <w:pPr>
        <w:spacing w:line="360" w:lineRule="auto"/>
        <w:ind w:right="-592"/>
        <w:jc w:val="both"/>
        <w:rPr>
          <w:rFonts w:ascii="Palatino Linotype" w:eastAsia="Palatino Linotype" w:hAnsi="Palatino Linotype" w:cs="Palatino Linotype"/>
        </w:rPr>
      </w:pPr>
    </w:p>
    <w:p w14:paraId="11E661D7"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14:paraId="4E443AA3" w14:textId="77777777" w:rsidR="0059338D" w:rsidRDefault="0059338D">
      <w:pPr>
        <w:spacing w:line="360" w:lineRule="auto"/>
        <w:ind w:right="-592"/>
        <w:jc w:val="both"/>
        <w:rPr>
          <w:rFonts w:ascii="Palatino Linotype" w:eastAsia="Palatino Linotype" w:hAnsi="Palatino Linotype" w:cs="Palatino Linotype"/>
        </w:rPr>
      </w:pPr>
    </w:p>
    <w:p w14:paraId="2A8A6EA3" w14:textId="77777777" w:rsidR="0059338D" w:rsidRDefault="00062E39">
      <w:pPr>
        <w:keepNext/>
        <w:keepLines/>
        <w:spacing w:line="360" w:lineRule="auto"/>
        <w:ind w:right="-592"/>
        <w:rPr>
          <w:rFonts w:ascii="Palatino Linotype" w:eastAsia="Palatino Linotype" w:hAnsi="Palatino Linotype" w:cs="Palatino Linotype"/>
          <w:b/>
        </w:rPr>
      </w:pPr>
      <w:bookmarkStart w:id="5" w:name="_heading=h.tyjcwt" w:colFirst="0" w:colLast="0"/>
      <w:bookmarkEnd w:id="5"/>
      <w:r>
        <w:rPr>
          <w:rFonts w:ascii="Palatino Linotype" w:eastAsia="Palatino Linotype" w:hAnsi="Palatino Linotype" w:cs="Palatino Linotype"/>
          <w:b/>
        </w:rPr>
        <w:lastRenderedPageBreak/>
        <w:t>CUARTO. Del estudio y resolución del recurso de revisión.</w:t>
      </w:r>
    </w:p>
    <w:p w14:paraId="1BC31A84"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26DCEF61" w14:textId="77777777" w:rsidR="0059338D" w:rsidRDefault="0059338D">
      <w:pPr>
        <w:spacing w:line="360" w:lineRule="auto"/>
        <w:ind w:right="-592"/>
        <w:jc w:val="both"/>
        <w:rPr>
          <w:rFonts w:ascii="Palatino Linotype" w:eastAsia="Palatino Linotype" w:hAnsi="Palatino Linotype" w:cs="Palatino Linotype"/>
        </w:rPr>
      </w:pPr>
    </w:p>
    <w:p w14:paraId="04D82346"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este caso, el particular solicitó los 17 mil registros de las personas que fueron rechazadas del programa Apoyo al Desempleo Formal, que señaló el Secretario del Trabajo del Estado de México en diversos medios de comunicación. </w:t>
      </w:r>
    </w:p>
    <w:p w14:paraId="72CDEF65" w14:textId="77777777" w:rsidR="0059338D" w:rsidRDefault="0059338D">
      <w:pPr>
        <w:spacing w:line="360" w:lineRule="auto"/>
        <w:ind w:right="-592"/>
        <w:jc w:val="both"/>
        <w:rPr>
          <w:rFonts w:ascii="Palatino Linotype" w:eastAsia="Palatino Linotype" w:hAnsi="Palatino Linotype" w:cs="Palatino Linotype"/>
        </w:rPr>
      </w:pPr>
    </w:p>
    <w:p w14:paraId="6165F405" w14:textId="77777777" w:rsidR="0059338D" w:rsidRDefault="0059338D">
      <w:pPr>
        <w:spacing w:line="360" w:lineRule="auto"/>
        <w:ind w:right="-592"/>
        <w:jc w:val="both"/>
        <w:rPr>
          <w:rFonts w:ascii="Palatino Linotype" w:eastAsia="Palatino Linotype" w:hAnsi="Palatino Linotype" w:cs="Palatino Linotype"/>
        </w:rPr>
      </w:pPr>
    </w:p>
    <w:p w14:paraId="1F4F4740"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contexto, es necesario señalar que 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w:t>
      </w:r>
    </w:p>
    <w:p w14:paraId="3F6D1726"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571DEFC9"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no equivale a la práctica de una investigación, en los términos señalados por el artículo 12 del mismo ordenamiento jurídico ya que dicha hipótesis normativa </w:t>
      </w:r>
      <w:r>
        <w:rPr>
          <w:rFonts w:ascii="Palatino Linotype" w:eastAsia="Palatino Linotype" w:hAnsi="Palatino Linotype" w:cs="Palatino Linotype"/>
          <w:color w:val="000000"/>
        </w:rPr>
        <w:lastRenderedPageBreak/>
        <w:t>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3284C9D6"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B3FEC16"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w:t>
      </w:r>
      <w:r>
        <w:rPr>
          <w:rFonts w:ascii="Palatino Linotype" w:eastAsia="Palatino Linotype" w:hAnsi="Palatino Linotype" w:cs="Palatino Linotype"/>
          <w:i/>
          <w:color w:val="000000"/>
        </w:rPr>
        <w:t xml:space="preserve">a todas las áreas competentes que cuenten con la información o deban tenerla de acuerdo a sus facultades, competencias y funciones, </w:t>
      </w:r>
      <w:r>
        <w:rPr>
          <w:rFonts w:ascii="Palatino Linotype" w:eastAsia="Palatino Linotype" w:hAnsi="Palatino Linotype" w:cs="Palatino Linotype"/>
          <w:b/>
          <w:i/>
          <w:color w:val="000000"/>
          <w:u w:val="single"/>
        </w:rPr>
        <w:t>con el objeto de que realicen una búsqueda exhaustiva y razonable de la información solicitada</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según se asienta en el artículo 162 de la ley citada. </w:t>
      </w:r>
    </w:p>
    <w:p w14:paraId="4E50DD8F"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0F50A16D"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 </w:t>
      </w:r>
    </w:p>
    <w:p w14:paraId="234D8A59"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0C13133"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este caso, la respuesta fue emitida por el servidor público habilitado de la Subdirección de Productividad y Política del Empleo, quien de acuerdo al Manual General de Organización de la Secretaría del Trabajo, tiene como objetivo coordinar la formulación de estudios del mercado de trabajo, con la finalidad de coadyuvar en el incremento de la calidad y la productividad en el empleo, así como, impulsar acuerdos para la celebración de </w:t>
      </w:r>
      <w:r>
        <w:rPr>
          <w:rFonts w:ascii="Palatino Linotype" w:eastAsia="Palatino Linotype" w:hAnsi="Palatino Linotype" w:cs="Palatino Linotype"/>
          <w:color w:val="000000"/>
        </w:rPr>
        <w:lastRenderedPageBreak/>
        <w:t xml:space="preserve">eventos deportivos, culturales y recreativos en favor de la clase trabajadora; coadyuvar en la entrega de estímulos o becas para hijas e hijos de las personas trabajadoras, </w:t>
      </w:r>
      <w:r>
        <w:rPr>
          <w:rFonts w:ascii="Palatino Linotype" w:eastAsia="Palatino Linotype" w:hAnsi="Palatino Linotype" w:cs="Palatino Linotype"/>
          <w:b/>
          <w:color w:val="000000"/>
          <w:u w:val="single"/>
        </w:rPr>
        <w:t>además de la ejecución de programas de acompañamiento, dirigidos a las personas beneficiarias de programas sociales, de manera que puedan acceder a apoyos</w:t>
      </w:r>
      <w:r>
        <w:rPr>
          <w:rFonts w:ascii="Palatino Linotype" w:eastAsia="Palatino Linotype" w:hAnsi="Palatino Linotype" w:cs="Palatino Linotype"/>
          <w:color w:val="000000"/>
        </w:rPr>
        <w:t>, que les permitan iniciar un proyecto productivo.</w:t>
      </w:r>
    </w:p>
    <w:p w14:paraId="3E896C8F" w14:textId="77777777" w:rsidR="0059338D" w:rsidRDefault="0059338D">
      <w:pPr>
        <w:pBdr>
          <w:top w:val="nil"/>
          <w:left w:val="nil"/>
          <w:bottom w:val="nil"/>
          <w:right w:val="nil"/>
          <w:between w:val="nil"/>
        </w:pBdr>
        <w:ind w:left="720" w:right="-592"/>
        <w:rPr>
          <w:rFonts w:ascii="Palatino Linotype" w:eastAsia="Palatino Linotype" w:hAnsi="Palatino Linotype" w:cs="Palatino Linotype"/>
          <w:b/>
          <w:color w:val="000000"/>
        </w:rPr>
      </w:pPr>
    </w:p>
    <w:p w14:paraId="39168DAE"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se advierte que la respuesta fue emitida por el servidor público habilitado con atribuciones para generar, poseer o administrar la información solicitada. </w:t>
      </w:r>
    </w:p>
    <w:p w14:paraId="31461CFC" w14:textId="77777777" w:rsidR="0059338D" w:rsidRDefault="0059338D">
      <w:pPr>
        <w:pBdr>
          <w:top w:val="nil"/>
          <w:left w:val="nil"/>
          <w:bottom w:val="nil"/>
          <w:right w:val="nil"/>
          <w:between w:val="nil"/>
        </w:pBdr>
        <w:ind w:left="720" w:right="-592"/>
        <w:rPr>
          <w:rFonts w:ascii="Palatino Linotype" w:eastAsia="Palatino Linotype" w:hAnsi="Palatino Linotype" w:cs="Palatino Linotype"/>
          <w:color w:val="000000"/>
        </w:rPr>
      </w:pPr>
    </w:p>
    <w:p w14:paraId="69D2C20A" w14:textId="77777777" w:rsidR="0059338D" w:rsidRDefault="00062E39">
      <w:pPr>
        <w:numPr>
          <w:ilvl w:val="0"/>
          <w:numId w:val="3"/>
        </w:numPr>
        <w:pBdr>
          <w:top w:val="nil"/>
          <w:left w:val="nil"/>
          <w:bottom w:val="nil"/>
          <w:right w:val="nil"/>
          <w:between w:val="nil"/>
        </w:pBdr>
        <w:spacing w:after="240"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en su respuesta, el Sujeto Obligado señaló que la información estaba siendo revisada, analizada y valorada y que estaba en proceso de determinar quiénes </w:t>
      </w:r>
      <w:r>
        <w:rPr>
          <w:rFonts w:ascii="Palatino Linotype" w:eastAsia="Palatino Linotype" w:hAnsi="Palatino Linotype" w:cs="Palatino Linotype"/>
        </w:rPr>
        <w:t>resultan</w:t>
      </w:r>
      <w:r>
        <w:rPr>
          <w:rFonts w:ascii="Palatino Linotype" w:eastAsia="Palatino Linotype" w:hAnsi="Palatino Linotype" w:cs="Palatino Linotype"/>
          <w:color w:val="000000"/>
        </w:rPr>
        <w:t xml:space="preserve"> beneficiarios, es decir, que la información solicitada aún no era generada, en ese contexto, al indicar que no se cuenta con esta información, es necesario precisar que estamos en presencia de lo que se conoce como hecho negativo. Lo anterior encuentra sustento con la Jurisprudencia 267,287 y el Criterio 10/2004 emitidos por el Máximo Juzgador del país, Tesis que determinan lo siguiente:</w:t>
      </w:r>
    </w:p>
    <w:p w14:paraId="556AF94F" w14:textId="77777777" w:rsidR="0059338D" w:rsidRDefault="00062E39">
      <w:pPr>
        <w:pBdr>
          <w:top w:val="nil"/>
          <w:left w:val="nil"/>
          <w:bottom w:val="nil"/>
          <w:right w:val="nil"/>
          <w:between w:val="nil"/>
        </w:pBdr>
        <w:tabs>
          <w:tab w:val="left" w:pos="426"/>
        </w:tabs>
        <w:spacing w:line="360" w:lineRule="auto"/>
        <w:ind w:left="283"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HECHOS NEGATIVOS, NO SON SUSCEPTIBLES DE DEMOSTRACION.</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Tratándose de un hecho negativo, el Juez no tiene </w:t>
      </w:r>
      <w:proofErr w:type="spellStart"/>
      <w:r>
        <w:rPr>
          <w:rFonts w:ascii="Palatino Linotype" w:eastAsia="Palatino Linotype" w:hAnsi="Palatino Linotype" w:cs="Palatino Linotype"/>
          <w:b/>
          <w:i/>
          <w:color w:val="000000"/>
          <w:sz w:val="22"/>
          <w:szCs w:val="22"/>
        </w:rPr>
        <w:t>por que</w:t>
      </w:r>
      <w:proofErr w:type="spellEnd"/>
      <w:r>
        <w:rPr>
          <w:rFonts w:ascii="Palatino Linotype" w:eastAsia="Palatino Linotype" w:hAnsi="Palatino Linotype" w:cs="Palatino Linotype"/>
          <w:b/>
          <w:i/>
          <w:color w:val="000000"/>
          <w:sz w:val="22"/>
          <w:szCs w:val="22"/>
        </w:rPr>
        <w:t xml:space="preserve"> invocar prueba alguna de la que se desprenda</w:t>
      </w:r>
      <w:r>
        <w:rPr>
          <w:rFonts w:ascii="Palatino Linotype" w:eastAsia="Palatino Linotype" w:hAnsi="Palatino Linotype" w:cs="Palatino Linotype"/>
          <w:i/>
          <w:color w:val="000000"/>
          <w:sz w:val="22"/>
          <w:szCs w:val="22"/>
        </w:rPr>
        <w:t>, ya que es bien sabido que esta clase de hechos no son susceptibles de demostración.”</w:t>
      </w:r>
    </w:p>
    <w:p w14:paraId="03EB3953" w14:textId="77777777" w:rsidR="0059338D" w:rsidRDefault="0059338D">
      <w:pPr>
        <w:pBdr>
          <w:top w:val="nil"/>
          <w:left w:val="nil"/>
          <w:bottom w:val="nil"/>
          <w:right w:val="nil"/>
          <w:between w:val="nil"/>
        </w:pBdr>
        <w:tabs>
          <w:tab w:val="left" w:pos="426"/>
        </w:tabs>
        <w:spacing w:line="360" w:lineRule="auto"/>
        <w:ind w:left="283" w:right="115"/>
        <w:jc w:val="both"/>
        <w:rPr>
          <w:rFonts w:ascii="Palatino Linotype" w:eastAsia="Palatino Linotype" w:hAnsi="Palatino Linotype" w:cs="Palatino Linotype"/>
          <w:i/>
          <w:color w:val="000000"/>
          <w:sz w:val="22"/>
          <w:szCs w:val="22"/>
        </w:rPr>
      </w:pPr>
    </w:p>
    <w:p w14:paraId="7202CEA9" w14:textId="77777777" w:rsidR="0059338D" w:rsidRDefault="00062E39">
      <w:pPr>
        <w:pBdr>
          <w:top w:val="nil"/>
          <w:left w:val="nil"/>
          <w:bottom w:val="nil"/>
          <w:right w:val="nil"/>
          <w:between w:val="nil"/>
        </w:pBdr>
        <w:tabs>
          <w:tab w:val="left" w:pos="426"/>
        </w:tabs>
        <w:spacing w:line="360" w:lineRule="auto"/>
        <w:ind w:left="283"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INEXISTENCIA DE LA INFORMACIÓN. EL COMITÉ DE ACCESO A LA INFORMACIÓN PUEDE DECLARARLA ANTE SU EVIDENCIA, SIN NECESIDAD DE DICTAR MEDIDAS PARA SU LOCALIZACIÓN.</w:t>
      </w:r>
      <w:r>
        <w:rPr>
          <w:rFonts w:ascii="Palatino Linotype" w:eastAsia="Palatino Linotype" w:hAnsi="Palatino Linotype" w:cs="Palatino Linotype"/>
          <w:i/>
          <w:color w:val="000000"/>
          <w:sz w:val="22"/>
          <w:szCs w:val="22"/>
        </w:rPr>
        <w:t xml:space="preserve"> Los artículos 46 de la Ley Federal de Transparencia y Acceso a la Información Pública Gubernamental y 30, segundo párrafo, del Reglamento de la Suprema Corte de Justicia de la Nación y del Consejo de la Judicatura Federal </w:t>
      </w:r>
      <w:r>
        <w:rPr>
          <w:rFonts w:ascii="Palatino Linotype" w:eastAsia="Palatino Linotype" w:hAnsi="Palatino Linotype" w:cs="Palatino Linotype"/>
          <w:i/>
          <w:color w:val="000000"/>
          <w:sz w:val="22"/>
          <w:szCs w:val="22"/>
        </w:rPr>
        <w:lastRenderedPageBreak/>
        <w:t>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Pr>
          <w:rFonts w:ascii="Palatino Linotype" w:eastAsia="Palatino Linotype" w:hAnsi="Palatino Linotype" w:cs="Palatino Linotype"/>
          <w:b/>
          <w:i/>
          <w:color w:val="000000"/>
          <w:sz w:val="22"/>
          <w:szCs w:val="22"/>
        </w:rPr>
        <w:t>ndo la referida Unidad señala, o</w:t>
      </w:r>
      <w:r>
        <w:rPr>
          <w:rFonts w:ascii="Palatino Linotype" w:eastAsia="Palatino Linotype" w:hAnsi="Palatino Linotype" w:cs="Palatino Linotype"/>
          <w:i/>
          <w:color w:val="000000"/>
          <w:sz w:val="22"/>
          <w:szCs w:val="22"/>
        </w:rPr>
        <w:t xml:space="preserve"> el mencionado Comité </w:t>
      </w:r>
      <w:r>
        <w:rPr>
          <w:rFonts w:ascii="Palatino Linotype" w:eastAsia="Palatino Linotype" w:hAnsi="Palatino Linotype" w:cs="Palatino Linotype"/>
          <w:b/>
          <w:i/>
          <w:color w:val="000000"/>
          <w:sz w:val="22"/>
          <w:szCs w:val="22"/>
        </w:rPr>
        <w:t>advierte que el documento solicitado no existe en virtud de que no tuvo lugar el acto cuya realización supuestamente se reflejó en aquél, resulta innecesario dictar alguna medida para localizar la información respectiva, al evidenciarse su inexistencia.</w:t>
      </w:r>
      <w:r>
        <w:rPr>
          <w:rFonts w:ascii="Palatino Linotype" w:eastAsia="Palatino Linotype" w:hAnsi="Palatino Linotype" w:cs="Palatino Linotype"/>
          <w:i/>
          <w:color w:val="000000"/>
          <w:sz w:val="22"/>
          <w:szCs w:val="22"/>
        </w:rPr>
        <w:t>”</w:t>
      </w:r>
    </w:p>
    <w:p w14:paraId="70BF1B5C" w14:textId="77777777" w:rsidR="0059338D" w:rsidRDefault="00062E39">
      <w:pPr>
        <w:pBdr>
          <w:top w:val="nil"/>
          <w:left w:val="nil"/>
          <w:bottom w:val="nil"/>
          <w:right w:val="nil"/>
          <w:between w:val="nil"/>
        </w:pBdr>
        <w:tabs>
          <w:tab w:val="left" w:pos="426"/>
        </w:tabs>
        <w:spacing w:line="360" w:lineRule="auto"/>
        <w:ind w:left="283"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6E897CE6" w14:textId="77777777" w:rsidR="0059338D" w:rsidRDefault="0059338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color w:val="000000"/>
        </w:rPr>
      </w:pPr>
    </w:p>
    <w:p w14:paraId="2B8973B9"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no es procedente ordenar un acuerdo de inexistencia, ya que como lo señaló el Sujeto Obligado, no se cuenta con la información requerida por el particular, y no se trata de información que haya existido y por alguna razón ya no exista, o bien, de información que de manera obligatoria deba generar el Sujeto Obligado, por ello, no es procedente ordenar su entrega. Por lo tanto, con la información referida por el Sujeto Obligado, se tiene por colmado ese punto de la solicitud. </w:t>
      </w:r>
    </w:p>
    <w:p w14:paraId="532956E6" w14:textId="77777777" w:rsidR="0059338D" w:rsidRDefault="0059338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3F79576" w14:textId="77777777" w:rsidR="0059338D" w:rsidRDefault="00062E39">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no pasa desapercibido para este órgano Garante, que el Sujeto Obligado en un ejercicio de máxima publicidad, mediante informe justificado señaló </w:t>
      </w:r>
      <w:r>
        <w:rPr>
          <w:rFonts w:ascii="Palatino Linotype" w:eastAsia="Palatino Linotype" w:hAnsi="Palatino Linotype" w:cs="Palatino Linotype"/>
          <w:i/>
          <w:color w:val="000000"/>
        </w:rPr>
        <w:t>“el total de registros rechazados durante el periodo del 15 al 22 de noviembre de 2023 fue de 17,801 de los cuales no se generó ningún registro por incumplir lo establecido en el numeral de la convocatoria…”.</w:t>
      </w:r>
    </w:p>
    <w:p w14:paraId="7C2DBCE2" w14:textId="77777777" w:rsidR="0059338D" w:rsidRDefault="00062E39">
      <w:pPr>
        <w:numPr>
          <w:ilvl w:val="0"/>
          <w:numId w:val="3"/>
        </w:numPr>
        <w:pBdr>
          <w:top w:val="nil"/>
          <w:left w:val="nil"/>
          <w:bottom w:val="nil"/>
          <w:right w:val="nil"/>
          <w:between w:val="nil"/>
        </w:pBdr>
        <w:tabs>
          <w:tab w:val="left" w:pos="0"/>
        </w:tabs>
        <w:spacing w:before="240" w:after="360"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ese sentido,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1B43566" w14:textId="77777777" w:rsidR="0059338D" w:rsidRDefault="00062E39">
      <w:pPr>
        <w:pBdr>
          <w:top w:val="nil"/>
          <w:left w:val="nil"/>
          <w:bottom w:val="nil"/>
          <w:right w:val="nil"/>
          <w:between w:val="nil"/>
        </w:pBdr>
        <w:spacing w:line="360" w:lineRule="auto"/>
        <w:ind w:left="141"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797130F0" w14:textId="77777777" w:rsidR="0059338D" w:rsidRDefault="00062E39">
      <w:pPr>
        <w:numPr>
          <w:ilvl w:val="0"/>
          <w:numId w:val="3"/>
        </w:numPr>
        <w:pBdr>
          <w:top w:val="nil"/>
          <w:left w:val="nil"/>
          <w:bottom w:val="nil"/>
          <w:right w:val="nil"/>
          <w:between w:val="nil"/>
        </w:pBdr>
        <w:tabs>
          <w:tab w:val="left" w:pos="0"/>
        </w:tabs>
        <w:spacing w:line="360" w:lineRule="auto"/>
        <w:ind w:left="0" w:right="-592"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w:t>
      </w:r>
      <w:r>
        <w:rPr>
          <w:rFonts w:ascii="Palatino Linotype" w:eastAsia="Palatino Linotype" w:hAnsi="Palatino Linotype" w:cs="Palatino Linotype"/>
        </w:rPr>
        <w:t>impidiendo</w:t>
      </w:r>
      <w:r>
        <w:rPr>
          <w:rFonts w:ascii="Palatino Linotype" w:eastAsia="Palatino Linotype" w:hAnsi="Palatino Linotype" w:cs="Palatino Linotype"/>
          <w:color w:val="000000"/>
        </w:rPr>
        <w:t xml:space="preserve"> a este Órgano Colegiado cuestionar la veracidad de la información.</w:t>
      </w:r>
    </w:p>
    <w:p w14:paraId="066F71D0" w14:textId="77777777" w:rsidR="0059338D" w:rsidRDefault="0059338D">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14:paraId="7C6DDE19"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Atento a todo lo anteriormente señalado, resultan infundadas las razones o motivos de inconformidad hechos valer por el </w:t>
      </w:r>
      <w:r>
        <w:rPr>
          <w:rFonts w:ascii="Palatino Linotype" w:eastAsia="Palatino Linotype" w:hAnsi="Palatino Linotype" w:cs="Palatino Linotype"/>
          <w:b/>
        </w:rPr>
        <w:t>RECURRENTE, y</w:t>
      </w:r>
      <w:r>
        <w:rPr>
          <w:rFonts w:ascii="Palatino Linotype" w:eastAsia="Palatino Linotype" w:hAnsi="Palatino Linotype" w:cs="Palatino Linotype"/>
        </w:rPr>
        <w:t xml:space="preserve"> en términos del artículo 186 fracción II este Pleno determina procedente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presente recurso de revisión, toda vez que no hubo afectación al derecho de acceso a la información pública establecido constitucionalmente a favor del particular.</w:t>
      </w:r>
    </w:p>
    <w:p w14:paraId="1DEE655D" w14:textId="77777777" w:rsidR="0059338D" w:rsidRDefault="0059338D">
      <w:pPr>
        <w:spacing w:line="360" w:lineRule="auto"/>
        <w:ind w:right="-592"/>
        <w:rPr>
          <w:rFonts w:ascii="Palatino Linotype" w:eastAsia="Palatino Linotype" w:hAnsi="Palatino Linotype" w:cs="Palatino Linotype"/>
        </w:rPr>
      </w:pPr>
    </w:p>
    <w:p w14:paraId="5DB35310" w14:textId="77777777" w:rsidR="0059338D" w:rsidRDefault="00062E39">
      <w:pPr>
        <w:numPr>
          <w:ilvl w:val="0"/>
          <w:numId w:val="3"/>
        </w:numPr>
        <w:spacing w:line="360" w:lineRule="auto"/>
        <w:ind w:left="0" w:right="-592"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43866215" w14:textId="77777777" w:rsidR="0059338D" w:rsidRDefault="0059338D">
      <w:pPr>
        <w:spacing w:line="360" w:lineRule="auto"/>
        <w:ind w:right="-592"/>
        <w:jc w:val="both"/>
        <w:rPr>
          <w:rFonts w:ascii="Palatino Linotype" w:eastAsia="Palatino Linotype" w:hAnsi="Palatino Linotype" w:cs="Palatino Linotype"/>
        </w:rPr>
      </w:pPr>
    </w:p>
    <w:p w14:paraId="156D8E3B" w14:textId="77777777" w:rsidR="0059338D" w:rsidRDefault="00062E39">
      <w:pPr>
        <w:keepNext/>
        <w:keepLines/>
        <w:spacing w:line="360" w:lineRule="auto"/>
        <w:ind w:right="-592"/>
        <w:jc w:val="center"/>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color w:val="000000"/>
        </w:rPr>
        <w:t>R E S O L U T I V O S</w:t>
      </w:r>
    </w:p>
    <w:p w14:paraId="26F635AB" w14:textId="77777777" w:rsidR="0059338D" w:rsidRDefault="0059338D">
      <w:pPr>
        <w:keepNext/>
        <w:keepLines/>
        <w:spacing w:line="360" w:lineRule="auto"/>
        <w:ind w:right="-592"/>
        <w:jc w:val="center"/>
        <w:rPr>
          <w:rFonts w:ascii="Palatino Linotype" w:eastAsia="Palatino Linotype" w:hAnsi="Palatino Linotype" w:cs="Palatino Linotype"/>
          <w:b/>
          <w:color w:val="000000"/>
        </w:rPr>
      </w:pPr>
    </w:p>
    <w:p w14:paraId="4E75987E" w14:textId="77777777" w:rsidR="0059338D" w:rsidRDefault="00062E39">
      <w:pP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00113/INFOEM/IP/RR/2024,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1067FC88" w14:textId="77777777" w:rsidR="0059338D" w:rsidRDefault="0059338D">
      <w:pPr>
        <w:spacing w:line="360" w:lineRule="auto"/>
        <w:ind w:right="-592"/>
        <w:jc w:val="both"/>
        <w:rPr>
          <w:rFonts w:ascii="Palatino Linotype" w:eastAsia="Palatino Linotype" w:hAnsi="Palatino Linotype" w:cs="Palatino Linotype"/>
        </w:rPr>
      </w:pPr>
    </w:p>
    <w:p w14:paraId="004FB052" w14:textId="77777777" w:rsidR="0059338D" w:rsidRDefault="00062E39">
      <w:pPr>
        <w:spacing w:line="360" w:lineRule="auto"/>
        <w:ind w:right="-592"/>
        <w:jc w:val="both"/>
        <w:rPr>
          <w:rFonts w:ascii="Palatino Linotype" w:eastAsia="Palatino Linotype" w:hAnsi="Palatino Linotype" w:cs="Palatino Linotype"/>
        </w:rPr>
      </w:pPr>
      <w:bookmarkStart w:id="7" w:name="_heading=h.1t3h5sf" w:colFirst="0" w:colLast="0"/>
      <w:bookmarkEnd w:id="7"/>
      <w:r>
        <w:rPr>
          <w:rFonts w:ascii="Palatino Linotype" w:eastAsia="Palatino Linotype" w:hAnsi="Palatino Linotype" w:cs="Palatino Linotype"/>
          <w:b/>
        </w:rPr>
        <w:t>SEGUNDO.</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CONFIRMA </w:t>
      </w:r>
      <w:r>
        <w:rPr>
          <w:rFonts w:ascii="Palatino Linotype" w:eastAsia="Palatino Linotype" w:hAnsi="Palatino Linotype" w:cs="Palatino Linotype"/>
        </w:rPr>
        <w:t xml:space="preserve">la respuesta emitida por la </w:t>
      </w:r>
      <w:r>
        <w:rPr>
          <w:rFonts w:ascii="Palatino Linotype" w:eastAsia="Palatino Linotype" w:hAnsi="Palatino Linotype" w:cs="Palatino Linotype"/>
          <w:b/>
        </w:rPr>
        <w:t xml:space="preserve">Secretaría del Trabajo </w:t>
      </w:r>
      <w:r>
        <w:rPr>
          <w:rFonts w:ascii="Palatino Linotype" w:eastAsia="Palatino Linotype" w:hAnsi="Palatino Linotype" w:cs="Palatino Linotype"/>
        </w:rPr>
        <w:t xml:space="preserve">a la solicitud </w:t>
      </w:r>
      <w:r>
        <w:rPr>
          <w:rFonts w:ascii="Palatino Linotype" w:eastAsia="Palatino Linotype" w:hAnsi="Palatino Linotype" w:cs="Palatino Linotype"/>
          <w:b/>
        </w:rPr>
        <w:t>00166/ST/IP/2023.</w:t>
      </w:r>
      <w:r>
        <w:rPr>
          <w:rFonts w:ascii="Palatino Linotype" w:eastAsia="Palatino Linotype" w:hAnsi="Palatino Linotype" w:cs="Palatino Linotype"/>
        </w:rPr>
        <w:t xml:space="preserve"> </w:t>
      </w:r>
    </w:p>
    <w:p w14:paraId="0C2BF523" w14:textId="77777777" w:rsidR="0059338D" w:rsidRDefault="0059338D">
      <w:pPr>
        <w:spacing w:line="360" w:lineRule="auto"/>
        <w:ind w:right="-592"/>
        <w:jc w:val="both"/>
        <w:rPr>
          <w:rFonts w:ascii="Palatino Linotype" w:eastAsia="Palatino Linotype" w:hAnsi="Palatino Linotype" w:cs="Palatino Linotype"/>
        </w:rPr>
      </w:pPr>
    </w:p>
    <w:p w14:paraId="0D67EDCD" w14:textId="77777777" w:rsidR="0059338D" w:rsidRDefault="00062E39">
      <w:pPr>
        <w:tabs>
          <w:tab w:val="left" w:pos="8080"/>
        </w:tabs>
        <w:spacing w:line="360" w:lineRule="auto"/>
        <w:ind w:right="-592"/>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REMÍTASE, </w:t>
      </w:r>
      <w:r>
        <w:rPr>
          <w:rFonts w:ascii="Palatino Linotype" w:eastAsia="Palatino Linotype" w:hAnsi="Palatino Linotype" w:cs="Palatino Linotype"/>
        </w:rPr>
        <w:t xml:space="preserve">vía Sistema de Acceso a la Información Mexiquense (SAIMEX), la presente resolución al Titular de la Unidad de Transparencia del </w:t>
      </w:r>
      <w:r>
        <w:rPr>
          <w:rFonts w:ascii="Palatino Linotype" w:eastAsia="Palatino Linotype" w:hAnsi="Palatino Linotype" w:cs="Palatino Linotype"/>
          <w:b/>
        </w:rPr>
        <w:t>SUJETO OBLIGADO.</w:t>
      </w:r>
    </w:p>
    <w:p w14:paraId="671A8829" w14:textId="77777777" w:rsidR="0059338D" w:rsidRDefault="0059338D">
      <w:pPr>
        <w:tabs>
          <w:tab w:val="left" w:pos="8080"/>
        </w:tabs>
        <w:spacing w:line="360" w:lineRule="auto"/>
        <w:ind w:right="-592"/>
        <w:jc w:val="both"/>
        <w:rPr>
          <w:rFonts w:ascii="Palatino Linotype" w:eastAsia="Palatino Linotype" w:hAnsi="Palatino Linotype" w:cs="Palatino Linotype"/>
          <w:b/>
        </w:rPr>
      </w:pPr>
    </w:p>
    <w:p w14:paraId="7FE66E69" w14:textId="77777777" w:rsidR="0059338D" w:rsidRDefault="00062E39">
      <w:pPr>
        <w:shd w:val="clear" w:color="auto" w:fill="FFFFFF"/>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 xml:space="preserve">CUARTO. Notifíquese al RECURRENTE </w:t>
      </w:r>
      <w:r>
        <w:rPr>
          <w:rFonts w:ascii="Palatino Linotype" w:eastAsia="Palatino Linotype" w:hAnsi="Palatino Linotype" w:cs="Palatino Linotype"/>
        </w:rPr>
        <w:t>la presente resolución vía SAIMEX.</w:t>
      </w:r>
    </w:p>
    <w:p w14:paraId="4626AEAD" w14:textId="77777777" w:rsidR="0059338D" w:rsidRDefault="0059338D">
      <w:pPr>
        <w:shd w:val="clear" w:color="auto" w:fill="FFFFFF"/>
        <w:spacing w:line="360" w:lineRule="auto"/>
        <w:ind w:right="-592"/>
        <w:jc w:val="both"/>
        <w:rPr>
          <w:rFonts w:ascii="Palatino Linotype" w:eastAsia="Palatino Linotype" w:hAnsi="Palatino Linotype" w:cs="Palatino Linotype"/>
        </w:rPr>
      </w:pPr>
    </w:p>
    <w:p w14:paraId="5507F87D" w14:textId="77777777" w:rsidR="0059338D" w:rsidRDefault="00062E39">
      <w:pP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DD4C4DA" w14:textId="77777777" w:rsidR="0059338D" w:rsidRDefault="0059338D">
      <w:pPr>
        <w:spacing w:line="360" w:lineRule="auto"/>
        <w:ind w:right="-592"/>
        <w:jc w:val="both"/>
        <w:rPr>
          <w:rFonts w:ascii="Palatino Linotype" w:eastAsia="Palatino Linotype" w:hAnsi="Palatino Linotype" w:cs="Palatino Linotype"/>
        </w:rPr>
      </w:pPr>
    </w:p>
    <w:p w14:paraId="5690B92F" w14:textId="77777777" w:rsidR="009E49C6" w:rsidRDefault="00905D2A" w:rsidP="00905D2A">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3C7186">
        <w:rPr>
          <w:rFonts w:ascii="Palatino Linotype" w:hAnsi="Palatino Linotype"/>
        </w:rPr>
        <w:lastRenderedPageBreak/>
        <w:t>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091D1FB0" w14:textId="77777777" w:rsidR="009E49C6" w:rsidRDefault="009E49C6">
      <w:pPr>
        <w:rPr>
          <w:rFonts w:ascii="Palatino Linotype" w:hAnsi="Palatino Linotype"/>
        </w:rPr>
      </w:pPr>
      <w:r>
        <w:rPr>
          <w:rFonts w:ascii="Palatino Linotype" w:hAnsi="Palatino Linotype"/>
        </w:rPr>
        <w:br w:type="page"/>
      </w:r>
    </w:p>
    <w:p w14:paraId="3D554DB9" w14:textId="77777777" w:rsidR="00905D2A" w:rsidRPr="003C7186" w:rsidRDefault="00905D2A" w:rsidP="00905D2A">
      <w:pPr>
        <w:spacing w:line="360" w:lineRule="auto"/>
        <w:ind w:left="-142" w:right="-234" w:firstLine="1"/>
        <w:jc w:val="both"/>
        <w:rPr>
          <w:rFonts w:ascii="Palatino Linotype" w:hAnsi="Palatino Linotype"/>
        </w:rPr>
      </w:pPr>
    </w:p>
    <w:p w14:paraId="0C93812F" w14:textId="77777777" w:rsidR="00905D2A" w:rsidRPr="00902BA4" w:rsidRDefault="00905D2A" w:rsidP="00905D2A">
      <w:pPr>
        <w:widowControl w:val="0"/>
        <w:autoSpaceDE w:val="0"/>
        <w:autoSpaceDN w:val="0"/>
        <w:adjustRightInd w:val="0"/>
        <w:spacing w:after="200" w:line="276" w:lineRule="auto"/>
        <w:ind w:left="-142" w:right="-234"/>
        <w:rPr>
          <w:rFonts w:ascii="Calibri" w:hAnsi="Calibri" w:cs="Calibri"/>
        </w:rPr>
      </w:pPr>
    </w:p>
    <w:p w14:paraId="11CFACC9" w14:textId="77777777" w:rsidR="0059338D" w:rsidRDefault="0059338D">
      <w:pPr>
        <w:ind w:right="-592"/>
      </w:pPr>
    </w:p>
    <w:sectPr w:rsidR="0059338D">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DB8E" w14:textId="77777777" w:rsidR="00B05508" w:rsidRDefault="00B05508">
      <w:r>
        <w:separator/>
      </w:r>
    </w:p>
  </w:endnote>
  <w:endnote w:type="continuationSeparator" w:id="0">
    <w:p w14:paraId="2D3A5DBD" w14:textId="77777777" w:rsidR="00B05508" w:rsidRDefault="00B0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67E0" w14:textId="77777777" w:rsidR="0059338D" w:rsidRDefault="00062E3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50C4C">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50C4C">
      <w:rPr>
        <w:b/>
        <w:noProof/>
        <w:color w:val="000000"/>
      </w:rPr>
      <w:t>18</w:t>
    </w:r>
    <w:r>
      <w:rPr>
        <w:b/>
        <w:color w:val="000000"/>
      </w:rPr>
      <w:fldChar w:fldCharType="end"/>
    </w:r>
  </w:p>
  <w:p w14:paraId="0439F769" w14:textId="77777777" w:rsidR="0059338D" w:rsidRDefault="0059338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B06B" w14:textId="77777777" w:rsidR="0059338D" w:rsidRDefault="00062E3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50C4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50C4C">
      <w:rPr>
        <w:b/>
        <w:noProof/>
        <w:color w:val="000000"/>
      </w:rPr>
      <w:t>18</w:t>
    </w:r>
    <w:r>
      <w:rPr>
        <w:b/>
        <w:color w:val="000000"/>
      </w:rPr>
      <w:fldChar w:fldCharType="end"/>
    </w:r>
  </w:p>
  <w:p w14:paraId="2EBEB976" w14:textId="77777777" w:rsidR="0059338D" w:rsidRDefault="0059338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A0D3" w14:textId="77777777" w:rsidR="00B05508" w:rsidRDefault="00B05508">
      <w:r>
        <w:separator/>
      </w:r>
    </w:p>
  </w:footnote>
  <w:footnote w:type="continuationSeparator" w:id="0">
    <w:p w14:paraId="5E209DBC" w14:textId="77777777" w:rsidR="00B05508" w:rsidRDefault="00B0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3BAF" w14:textId="77777777" w:rsidR="0059338D" w:rsidRDefault="00B05508">
    <w:pPr>
      <w:pBdr>
        <w:top w:val="nil"/>
        <w:left w:val="nil"/>
        <w:bottom w:val="nil"/>
        <w:right w:val="nil"/>
        <w:between w:val="nil"/>
      </w:pBdr>
      <w:tabs>
        <w:tab w:val="center" w:pos="4419"/>
        <w:tab w:val="right" w:pos="8838"/>
      </w:tabs>
      <w:rPr>
        <w:color w:val="000000"/>
      </w:rPr>
    </w:pPr>
    <w:r>
      <w:rPr>
        <w:color w:val="000000"/>
      </w:rPr>
      <w:pict w14:anchorId="3111F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DE8C" w14:textId="77777777" w:rsidR="0059338D" w:rsidRDefault="0059338D">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59338D" w14:paraId="45BD0058" w14:textId="77777777">
      <w:trPr>
        <w:trHeight w:val="1435"/>
      </w:trPr>
      <w:tc>
        <w:tcPr>
          <w:tcW w:w="2268" w:type="dxa"/>
          <w:shd w:val="clear" w:color="auto" w:fill="auto"/>
        </w:tcPr>
        <w:p w14:paraId="09CE80FF" w14:textId="77777777" w:rsidR="0059338D" w:rsidRDefault="0059338D">
          <w:pPr>
            <w:tabs>
              <w:tab w:val="right" w:pos="4273"/>
            </w:tabs>
            <w:rPr>
              <w:rFonts w:ascii="Garamond" w:eastAsia="Garamond" w:hAnsi="Garamond" w:cs="Garamond"/>
              <w:sz w:val="16"/>
              <w:szCs w:val="16"/>
            </w:rPr>
          </w:pPr>
        </w:p>
      </w:tc>
      <w:tc>
        <w:tcPr>
          <w:tcW w:w="6946" w:type="dxa"/>
          <w:shd w:val="clear" w:color="auto" w:fill="auto"/>
        </w:tcPr>
        <w:p w14:paraId="52376BD6" w14:textId="77777777" w:rsidR="0059338D" w:rsidRDefault="0059338D"/>
        <w:tbl>
          <w:tblPr>
            <w:tblStyle w:val="a1"/>
            <w:tblW w:w="6662" w:type="dxa"/>
            <w:tblInd w:w="40" w:type="dxa"/>
            <w:tblLayout w:type="fixed"/>
            <w:tblLook w:val="0400" w:firstRow="0" w:lastRow="0" w:firstColumn="0" w:lastColumn="0" w:noHBand="0" w:noVBand="1"/>
          </w:tblPr>
          <w:tblGrid>
            <w:gridCol w:w="2551"/>
            <w:gridCol w:w="4111"/>
          </w:tblGrid>
          <w:tr w:rsidR="0059338D" w14:paraId="59EB2AD4" w14:textId="77777777">
            <w:trPr>
              <w:trHeight w:val="150"/>
            </w:trPr>
            <w:tc>
              <w:tcPr>
                <w:tcW w:w="2551" w:type="dxa"/>
                <w:shd w:val="clear" w:color="auto" w:fill="auto"/>
              </w:tcPr>
              <w:p w14:paraId="3330C93C" w14:textId="77777777" w:rsidR="0059338D" w:rsidRDefault="00062E3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71A4CA20" w14:textId="77777777" w:rsidR="0059338D" w:rsidRDefault="00062E39">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00113/INFOEM/IP/RR/2024</w:t>
                </w:r>
                <w:r>
                  <w:rPr>
                    <w:rFonts w:ascii="Palatino Linotype" w:eastAsia="Palatino Linotype" w:hAnsi="Palatino Linotype" w:cs="Palatino Linotype"/>
                    <w:b/>
                    <w:sz w:val="22"/>
                    <w:szCs w:val="22"/>
                  </w:rPr>
                  <w:t xml:space="preserve"> </w:t>
                </w:r>
              </w:p>
            </w:tc>
          </w:tr>
          <w:tr w:rsidR="0059338D" w14:paraId="73A8A285" w14:textId="77777777">
            <w:trPr>
              <w:trHeight w:val="295"/>
            </w:trPr>
            <w:tc>
              <w:tcPr>
                <w:tcW w:w="2551" w:type="dxa"/>
                <w:shd w:val="clear" w:color="auto" w:fill="auto"/>
              </w:tcPr>
              <w:p w14:paraId="2DD6F4F0" w14:textId="77777777" w:rsidR="0059338D" w:rsidRDefault="00062E3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2A7F6093" w14:textId="77777777" w:rsidR="0059338D" w:rsidRDefault="00062E39">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del Trabajo</w:t>
                </w:r>
              </w:p>
            </w:tc>
          </w:tr>
          <w:tr w:rsidR="0059338D" w14:paraId="6C011707" w14:textId="77777777">
            <w:trPr>
              <w:trHeight w:val="295"/>
            </w:trPr>
            <w:tc>
              <w:tcPr>
                <w:tcW w:w="2551" w:type="dxa"/>
                <w:shd w:val="clear" w:color="auto" w:fill="auto"/>
              </w:tcPr>
              <w:p w14:paraId="276FAE39" w14:textId="77777777" w:rsidR="0059338D" w:rsidRDefault="00062E3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027B7563" w14:textId="77777777" w:rsidR="0059338D" w:rsidRDefault="00062E39">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552FEAD" w14:textId="77777777" w:rsidR="0059338D" w:rsidRDefault="0059338D">
                <w:pPr>
                  <w:tabs>
                    <w:tab w:val="right" w:pos="8838"/>
                  </w:tabs>
                  <w:ind w:left="-108" w:right="171"/>
                  <w:jc w:val="both"/>
                  <w:rPr>
                    <w:rFonts w:ascii="Palatino Linotype" w:eastAsia="Palatino Linotype" w:hAnsi="Palatino Linotype" w:cs="Palatino Linotype"/>
                    <w:b/>
                    <w:sz w:val="22"/>
                    <w:szCs w:val="22"/>
                  </w:rPr>
                </w:pPr>
              </w:p>
            </w:tc>
          </w:tr>
        </w:tbl>
        <w:p w14:paraId="00DD52C5" w14:textId="77777777" w:rsidR="0059338D" w:rsidRDefault="0059338D">
          <w:pPr>
            <w:tabs>
              <w:tab w:val="right" w:pos="8838"/>
            </w:tabs>
            <w:ind w:left="-28"/>
            <w:jc w:val="both"/>
            <w:rPr>
              <w:rFonts w:ascii="Arial" w:eastAsia="Arial" w:hAnsi="Arial" w:cs="Arial"/>
              <w:b/>
              <w:sz w:val="22"/>
              <w:szCs w:val="22"/>
            </w:rPr>
          </w:pPr>
        </w:p>
      </w:tc>
    </w:tr>
  </w:tbl>
  <w:p w14:paraId="7EC31352" w14:textId="77777777" w:rsidR="0059338D" w:rsidRDefault="00B05508">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8EA0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565E" w14:textId="77777777" w:rsidR="0059338D" w:rsidRDefault="0059338D">
    <w:pPr>
      <w:widowControl w:val="0"/>
      <w:pBdr>
        <w:top w:val="nil"/>
        <w:left w:val="nil"/>
        <w:bottom w:val="nil"/>
        <w:right w:val="nil"/>
        <w:between w:val="nil"/>
      </w:pBdr>
      <w:spacing w:line="276" w:lineRule="auto"/>
      <w:rPr>
        <w:color w:val="000000"/>
        <w:sz w:val="14"/>
        <w:szCs w:val="14"/>
      </w:rPr>
    </w:pPr>
  </w:p>
  <w:tbl>
    <w:tblPr>
      <w:tblStyle w:val="a2"/>
      <w:tblW w:w="10350" w:type="dxa"/>
      <w:tblInd w:w="0" w:type="dxa"/>
      <w:tblLayout w:type="fixed"/>
      <w:tblLook w:val="0400" w:firstRow="0" w:lastRow="0" w:firstColumn="0" w:lastColumn="0" w:noHBand="0" w:noVBand="1"/>
    </w:tblPr>
    <w:tblGrid>
      <w:gridCol w:w="2265"/>
      <w:gridCol w:w="8085"/>
    </w:tblGrid>
    <w:tr w:rsidR="0059338D" w14:paraId="5C7ADE21" w14:textId="77777777">
      <w:trPr>
        <w:trHeight w:val="1435"/>
      </w:trPr>
      <w:tc>
        <w:tcPr>
          <w:tcW w:w="2265" w:type="dxa"/>
          <w:shd w:val="clear" w:color="auto" w:fill="auto"/>
        </w:tcPr>
        <w:p w14:paraId="4F9A0048" w14:textId="77777777" w:rsidR="0059338D" w:rsidRDefault="0059338D">
          <w:pPr>
            <w:tabs>
              <w:tab w:val="right" w:pos="4273"/>
            </w:tabs>
            <w:rPr>
              <w:rFonts w:ascii="Garamond" w:eastAsia="Garamond" w:hAnsi="Garamond" w:cs="Garamond"/>
              <w:sz w:val="22"/>
              <w:szCs w:val="22"/>
            </w:rPr>
          </w:pPr>
        </w:p>
      </w:tc>
      <w:tc>
        <w:tcPr>
          <w:tcW w:w="8085" w:type="dxa"/>
          <w:shd w:val="clear" w:color="auto" w:fill="auto"/>
        </w:tcPr>
        <w:p w14:paraId="6209A378" w14:textId="77777777" w:rsidR="0059338D" w:rsidRDefault="0059338D">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7785" w:type="dxa"/>
            <w:tblInd w:w="40" w:type="dxa"/>
            <w:tblLayout w:type="fixed"/>
            <w:tblLook w:val="0400" w:firstRow="0" w:lastRow="0" w:firstColumn="0" w:lastColumn="0" w:noHBand="0" w:noVBand="1"/>
          </w:tblPr>
          <w:tblGrid>
            <w:gridCol w:w="3795"/>
            <w:gridCol w:w="3990"/>
          </w:tblGrid>
          <w:tr w:rsidR="0059338D" w14:paraId="50937629" w14:textId="77777777">
            <w:trPr>
              <w:trHeight w:val="144"/>
            </w:trPr>
            <w:tc>
              <w:tcPr>
                <w:tcW w:w="3795" w:type="dxa"/>
                <w:shd w:val="clear" w:color="auto" w:fill="auto"/>
              </w:tcPr>
              <w:p w14:paraId="26D12037" w14:textId="77777777" w:rsidR="0059338D" w:rsidRDefault="00062E39">
                <w:pPr>
                  <w:ind w:left="810" w:right="-105" w:firstLine="4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90" w:type="dxa"/>
                <w:shd w:val="clear" w:color="auto" w:fill="auto"/>
              </w:tcPr>
              <w:p w14:paraId="3FCDADDB" w14:textId="77777777" w:rsidR="0059338D" w:rsidRDefault="00062E39">
                <w:pPr>
                  <w:ind w:left="141" w:right="-1201" w:firstLine="4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00113/INFOEM/IP/RR/2024</w:t>
                </w:r>
              </w:p>
            </w:tc>
          </w:tr>
          <w:tr w:rsidR="0059338D" w14:paraId="1DECFB12" w14:textId="77777777">
            <w:trPr>
              <w:trHeight w:val="144"/>
            </w:trPr>
            <w:tc>
              <w:tcPr>
                <w:tcW w:w="3795" w:type="dxa"/>
                <w:shd w:val="clear" w:color="auto" w:fill="auto"/>
              </w:tcPr>
              <w:p w14:paraId="4428E74C" w14:textId="77777777" w:rsidR="0059338D" w:rsidRDefault="00062E39">
                <w:pPr>
                  <w:ind w:left="810" w:right="-105" w:firstLine="4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90" w:type="dxa"/>
                <w:shd w:val="clear" w:color="auto" w:fill="auto"/>
              </w:tcPr>
              <w:p w14:paraId="703E37BB" w14:textId="5DF19273" w:rsidR="0059338D" w:rsidRDefault="00635EEF">
                <w:pPr>
                  <w:tabs>
                    <w:tab w:val="left" w:pos="3122"/>
                  </w:tabs>
                  <w:ind w:left="141" w:right="-1201" w:firstLine="4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59338D" w14:paraId="79F20CA3" w14:textId="77777777">
            <w:trPr>
              <w:trHeight w:val="283"/>
            </w:trPr>
            <w:tc>
              <w:tcPr>
                <w:tcW w:w="3795" w:type="dxa"/>
                <w:shd w:val="clear" w:color="auto" w:fill="auto"/>
              </w:tcPr>
              <w:p w14:paraId="27689804" w14:textId="77777777" w:rsidR="0059338D" w:rsidRDefault="00062E39">
                <w:pPr>
                  <w:ind w:left="810" w:right="-105" w:firstLine="4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90" w:type="dxa"/>
                <w:shd w:val="clear" w:color="auto" w:fill="auto"/>
              </w:tcPr>
              <w:p w14:paraId="729C86F3" w14:textId="77777777" w:rsidR="0059338D" w:rsidRDefault="00062E39">
                <w:pPr>
                  <w:tabs>
                    <w:tab w:val="left" w:pos="2834"/>
                  </w:tabs>
                  <w:ind w:left="141" w:right="-1201" w:firstLine="4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del Trabajo</w:t>
                </w:r>
              </w:p>
            </w:tc>
          </w:tr>
          <w:tr w:rsidR="0059338D" w14:paraId="460195E8" w14:textId="77777777">
            <w:trPr>
              <w:trHeight w:val="283"/>
            </w:trPr>
            <w:tc>
              <w:tcPr>
                <w:tcW w:w="3795" w:type="dxa"/>
                <w:shd w:val="clear" w:color="auto" w:fill="auto"/>
              </w:tcPr>
              <w:p w14:paraId="55DBCCDD" w14:textId="77777777" w:rsidR="0059338D" w:rsidRDefault="00062E39">
                <w:pPr>
                  <w:ind w:left="810" w:right="-105" w:firstLine="4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90" w:type="dxa"/>
                <w:shd w:val="clear" w:color="auto" w:fill="auto"/>
              </w:tcPr>
              <w:p w14:paraId="6C4F19AB" w14:textId="77777777" w:rsidR="0059338D" w:rsidRDefault="00062E39">
                <w:pPr>
                  <w:ind w:left="141" w:right="-1201" w:firstLine="4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19897BA" w14:textId="77777777" w:rsidR="0059338D" w:rsidRDefault="0059338D">
                <w:pPr>
                  <w:ind w:left="141" w:right="-1201" w:firstLine="45"/>
                  <w:jc w:val="both"/>
                  <w:rPr>
                    <w:rFonts w:ascii="Palatino Linotype" w:eastAsia="Palatino Linotype" w:hAnsi="Palatino Linotype" w:cs="Palatino Linotype"/>
                    <w:b/>
                    <w:sz w:val="22"/>
                    <w:szCs w:val="22"/>
                  </w:rPr>
                </w:pPr>
              </w:p>
            </w:tc>
          </w:tr>
        </w:tbl>
        <w:p w14:paraId="45E0CF3B" w14:textId="77777777" w:rsidR="0059338D" w:rsidRDefault="0059338D">
          <w:pPr>
            <w:tabs>
              <w:tab w:val="right" w:pos="8838"/>
            </w:tabs>
            <w:ind w:left="-28"/>
            <w:jc w:val="both"/>
            <w:rPr>
              <w:rFonts w:ascii="Arial" w:eastAsia="Arial" w:hAnsi="Arial" w:cs="Arial"/>
              <w:b/>
              <w:sz w:val="22"/>
              <w:szCs w:val="22"/>
            </w:rPr>
          </w:pPr>
        </w:p>
      </w:tc>
    </w:tr>
  </w:tbl>
  <w:p w14:paraId="70A86DB4" w14:textId="77777777" w:rsidR="0059338D" w:rsidRDefault="00B05508">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5D89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FC7"/>
    <w:multiLevelType w:val="multilevel"/>
    <w:tmpl w:val="FB7C8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B85BC2"/>
    <w:multiLevelType w:val="multilevel"/>
    <w:tmpl w:val="CBFAB46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DA6486E"/>
    <w:multiLevelType w:val="multilevel"/>
    <w:tmpl w:val="DC30A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2B16BE"/>
    <w:multiLevelType w:val="multilevel"/>
    <w:tmpl w:val="58E83A34"/>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855576"/>
    <w:multiLevelType w:val="multilevel"/>
    <w:tmpl w:val="9034A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2628328">
    <w:abstractNumId w:val="0"/>
  </w:num>
  <w:num w:numId="2" w16cid:durableId="1707363042">
    <w:abstractNumId w:val="2"/>
  </w:num>
  <w:num w:numId="3" w16cid:durableId="690881893">
    <w:abstractNumId w:val="3"/>
  </w:num>
  <w:num w:numId="4" w16cid:durableId="724598198">
    <w:abstractNumId w:val="1"/>
  </w:num>
  <w:num w:numId="5" w16cid:durableId="586962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8D"/>
    <w:rsid w:val="00062E39"/>
    <w:rsid w:val="0059338D"/>
    <w:rsid w:val="00635EEF"/>
    <w:rsid w:val="00905D2A"/>
    <w:rsid w:val="009E49C6"/>
    <w:rsid w:val="00B05508"/>
    <w:rsid w:val="00B623BF"/>
    <w:rsid w:val="00C50C4C"/>
    <w:rsid w:val="00F02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FD40"/>
  <w15:docId w15:val="{6ACC399B-0FBA-441C-A2E3-5857B00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3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25D35"/>
    <w:pPr>
      <w:tabs>
        <w:tab w:val="center" w:pos="4419"/>
        <w:tab w:val="right" w:pos="8838"/>
      </w:tabs>
    </w:pPr>
  </w:style>
  <w:style w:type="character" w:customStyle="1" w:styleId="EncabezadoCar">
    <w:name w:val="Encabezado Car"/>
    <w:basedOn w:val="Fuentedeprrafopredeter"/>
    <w:link w:val="Encabezado"/>
    <w:uiPriority w:val="99"/>
    <w:rsid w:val="00F25D3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25D35"/>
    <w:pPr>
      <w:tabs>
        <w:tab w:val="center" w:pos="4419"/>
        <w:tab w:val="right" w:pos="8838"/>
      </w:tabs>
    </w:pPr>
  </w:style>
  <w:style w:type="character" w:customStyle="1" w:styleId="PiedepginaCar">
    <w:name w:val="Pie de página Car"/>
    <w:basedOn w:val="Fuentedeprrafopredeter"/>
    <w:link w:val="Piedepgina"/>
    <w:uiPriority w:val="99"/>
    <w:rsid w:val="00F25D3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5D3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F25D3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F25D35"/>
    <w:rPr>
      <w:color w:val="0563C1"/>
      <w:u w:val="single"/>
    </w:rPr>
  </w:style>
  <w:style w:type="paragraph" w:customStyle="1" w:styleId="Default">
    <w:name w:val="Default"/>
    <w:rsid w:val="00F25D35"/>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89705.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004725.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04724.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989707.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989706.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vzildhpKWgBP035rnc+tB6Rg==">CgMxLjAyCGguZ2pkZ3hzMgloLjMwajB6bGwyCWguMWZvYjl0ZTIJaC4zem55c2g3MgloLjJldDkycDAyCGgudHlqY3d0MgloLjNkeTZ2a20yCWguMXQzaDVzZjgAciExR2Qzbmd0MW1HQlpoVWMxMVFNMTNwQndsOXVTRl9PRFQ=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3889</Words>
  <Characters>21394</Characters>
  <Application>Microsoft Office Word</Application>
  <DocSecurity>0</DocSecurity>
  <Lines>178</Lines>
  <Paragraphs>50</Paragraphs>
  <ScaleCrop>false</ScaleCrop>
  <Company>HP Inc.</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5</cp:revision>
  <cp:lastPrinted>2024-10-10T21:12:00Z</cp:lastPrinted>
  <dcterms:created xsi:type="dcterms:W3CDTF">2024-10-02T22:12:00Z</dcterms:created>
  <dcterms:modified xsi:type="dcterms:W3CDTF">2024-10-25T16:56:00Z</dcterms:modified>
</cp:coreProperties>
</file>