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5C450"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dieciséis de octubre de dos mil veinticuatro. </w:t>
      </w:r>
    </w:p>
    <w:p w14:paraId="5CA93143"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Vistos</w:t>
      </w:r>
      <w:r w:rsidRPr="009B6EEE">
        <w:rPr>
          <w:rFonts w:ascii="Palatino Linotype" w:eastAsia="Palatino Linotype" w:hAnsi="Palatino Linotype" w:cs="Palatino Linotype"/>
          <w:sz w:val="22"/>
          <w:szCs w:val="22"/>
        </w:rPr>
        <w:t xml:space="preserve"> los expedientes formados con motivo de los recursos de revisión </w:t>
      </w:r>
      <w:r w:rsidRPr="009B6EEE">
        <w:rPr>
          <w:rFonts w:ascii="Palatino Linotype" w:eastAsia="Palatino Linotype" w:hAnsi="Palatino Linotype" w:cs="Palatino Linotype"/>
          <w:b/>
          <w:sz w:val="22"/>
          <w:szCs w:val="22"/>
        </w:rPr>
        <w:t xml:space="preserve">02244/INFOEM/IP/RR/2024 y 02245/INFOEM/IP/RR/2024 acumulados, </w:t>
      </w:r>
      <w:r w:rsidRPr="009B6EEE">
        <w:rPr>
          <w:rFonts w:ascii="Palatino Linotype" w:eastAsia="Palatino Linotype" w:hAnsi="Palatino Linotype" w:cs="Palatino Linotype"/>
          <w:sz w:val="22"/>
          <w:szCs w:val="22"/>
        </w:rPr>
        <w:t>interpuestos por</w:t>
      </w:r>
      <w:r w:rsidRPr="009B6EEE">
        <w:rPr>
          <w:rFonts w:ascii="Palatino Linotype" w:eastAsia="Palatino Linotype" w:hAnsi="Palatino Linotype" w:cs="Palatino Linotype"/>
          <w:b/>
          <w:sz w:val="22"/>
          <w:szCs w:val="22"/>
        </w:rPr>
        <w:t xml:space="preserve"> un particular que no proporcionó nombre o seudónimo, </w:t>
      </w:r>
      <w:r w:rsidRPr="009B6EEE">
        <w:rPr>
          <w:rFonts w:ascii="Palatino Linotype" w:eastAsia="Palatino Linotype" w:hAnsi="Palatino Linotype" w:cs="Palatino Linotype"/>
          <w:sz w:val="22"/>
          <w:szCs w:val="22"/>
        </w:rPr>
        <w:t>quien en lo sucesivo</w:t>
      </w:r>
      <w:r w:rsidRPr="009B6EEE">
        <w:rPr>
          <w:rFonts w:ascii="Palatino Linotype" w:eastAsia="Palatino Linotype" w:hAnsi="Palatino Linotype" w:cs="Palatino Linotype"/>
          <w:b/>
          <w:sz w:val="22"/>
          <w:szCs w:val="22"/>
        </w:rPr>
        <w:t xml:space="preserve"> </w:t>
      </w:r>
      <w:r w:rsidRPr="009B6EEE">
        <w:rPr>
          <w:rFonts w:ascii="Palatino Linotype" w:eastAsia="Palatino Linotype" w:hAnsi="Palatino Linotype" w:cs="Palatino Linotype"/>
          <w:sz w:val="22"/>
          <w:szCs w:val="22"/>
        </w:rPr>
        <w:t>será identificado como la parte</w:t>
      </w:r>
      <w:r w:rsidRPr="009B6EEE">
        <w:rPr>
          <w:rFonts w:ascii="Palatino Linotype" w:eastAsia="Palatino Linotype" w:hAnsi="Palatino Linotype" w:cs="Palatino Linotype"/>
          <w:b/>
          <w:sz w:val="22"/>
          <w:szCs w:val="22"/>
        </w:rPr>
        <w:t xml:space="preserve"> Recurrente,</w:t>
      </w:r>
      <w:r w:rsidRPr="009B6EEE">
        <w:rPr>
          <w:rFonts w:ascii="Palatino Linotype" w:eastAsia="Palatino Linotype" w:hAnsi="Palatino Linotype" w:cs="Palatino Linotype"/>
          <w:sz w:val="22"/>
          <w:szCs w:val="22"/>
        </w:rPr>
        <w:t xml:space="preserve"> en contra de las respuestas en las solicitudes de información con número de folio </w:t>
      </w:r>
      <w:r w:rsidRPr="009B6EEE">
        <w:rPr>
          <w:rFonts w:ascii="Palatino Linotype" w:eastAsia="Palatino Linotype" w:hAnsi="Palatino Linotype" w:cs="Palatino Linotype"/>
          <w:b/>
          <w:sz w:val="22"/>
          <w:szCs w:val="22"/>
        </w:rPr>
        <w:t xml:space="preserve">00034/UPVT/IP/2024 y 00039/UPVT/IP/2024, </w:t>
      </w:r>
      <w:r w:rsidRPr="009B6EEE">
        <w:rPr>
          <w:rFonts w:ascii="Palatino Linotype" w:eastAsia="Palatino Linotype" w:hAnsi="Palatino Linotype" w:cs="Palatino Linotype"/>
          <w:sz w:val="22"/>
          <w:szCs w:val="22"/>
        </w:rPr>
        <w:t>por parte</w:t>
      </w:r>
      <w:r w:rsidRPr="009B6EEE">
        <w:rPr>
          <w:rFonts w:ascii="Palatino Linotype" w:eastAsia="Palatino Linotype" w:hAnsi="Palatino Linotype" w:cs="Palatino Linotype"/>
          <w:b/>
          <w:sz w:val="22"/>
          <w:szCs w:val="22"/>
        </w:rPr>
        <w:t xml:space="preserve"> </w:t>
      </w:r>
      <w:r w:rsidRPr="009B6EEE">
        <w:rPr>
          <w:rFonts w:ascii="Palatino Linotype" w:eastAsia="Palatino Linotype" w:hAnsi="Palatino Linotype" w:cs="Palatino Linotype"/>
          <w:sz w:val="22"/>
          <w:szCs w:val="22"/>
        </w:rPr>
        <w:t xml:space="preserve">del </w:t>
      </w:r>
      <w:r w:rsidRPr="009B6EEE">
        <w:rPr>
          <w:rFonts w:ascii="Palatino Linotype" w:eastAsia="Palatino Linotype" w:hAnsi="Palatino Linotype" w:cs="Palatino Linotype"/>
          <w:b/>
          <w:sz w:val="22"/>
          <w:szCs w:val="22"/>
        </w:rPr>
        <w:t xml:space="preserve">Universidad Politécnica del Valle de Toluca, </w:t>
      </w:r>
      <w:r w:rsidRPr="009B6EEE">
        <w:rPr>
          <w:rFonts w:ascii="Palatino Linotype" w:eastAsia="Palatino Linotype" w:hAnsi="Palatino Linotype" w:cs="Palatino Linotype"/>
          <w:sz w:val="22"/>
          <w:szCs w:val="22"/>
        </w:rPr>
        <w:t xml:space="preserve">en lo sucesivo el </w:t>
      </w:r>
      <w:r w:rsidRPr="009B6EEE">
        <w:rPr>
          <w:rFonts w:ascii="Palatino Linotype" w:eastAsia="Palatino Linotype" w:hAnsi="Palatino Linotype" w:cs="Palatino Linotype"/>
          <w:b/>
          <w:sz w:val="22"/>
          <w:szCs w:val="22"/>
        </w:rPr>
        <w:t xml:space="preserve">Sujeto Obligado, </w:t>
      </w:r>
      <w:r w:rsidRPr="009B6EEE">
        <w:rPr>
          <w:rFonts w:ascii="Palatino Linotype" w:eastAsia="Palatino Linotype" w:hAnsi="Palatino Linotype" w:cs="Palatino Linotype"/>
          <w:sz w:val="22"/>
          <w:szCs w:val="22"/>
        </w:rPr>
        <w:t xml:space="preserve">se procede a dictar la presente resolución con base en los siguientes: </w:t>
      </w:r>
    </w:p>
    <w:p w14:paraId="61D3CF73" w14:textId="77777777" w:rsidR="00A53236" w:rsidRPr="009B6EEE" w:rsidRDefault="00BE58F5">
      <w:pPr>
        <w:spacing w:before="240" w:after="240" w:line="360" w:lineRule="auto"/>
        <w:jc w:val="center"/>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t>I. A N T E C E D E N T E S</w:t>
      </w:r>
    </w:p>
    <w:p w14:paraId="15CA4F23"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bookmarkStart w:id="0" w:name="_heading=h.gjdgxs" w:colFirst="0" w:colLast="0"/>
      <w:bookmarkEnd w:id="0"/>
      <w:r w:rsidRPr="009B6EEE">
        <w:rPr>
          <w:rFonts w:ascii="Palatino Linotype" w:eastAsia="Palatino Linotype" w:hAnsi="Palatino Linotype" w:cs="Palatino Linotype"/>
          <w:b/>
          <w:sz w:val="22"/>
          <w:szCs w:val="22"/>
        </w:rPr>
        <w:t>1. Solicitudes de acceso a la información.</w:t>
      </w:r>
      <w:r w:rsidRPr="009B6EEE">
        <w:rPr>
          <w:rFonts w:ascii="Palatino Linotype" w:eastAsia="Palatino Linotype" w:hAnsi="Palatino Linotype" w:cs="Palatino Linotype"/>
          <w:sz w:val="22"/>
          <w:szCs w:val="22"/>
        </w:rPr>
        <w:t xml:space="preserve"> En fecha </w:t>
      </w:r>
      <w:r w:rsidRPr="009B6EEE">
        <w:rPr>
          <w:rFonts w:ascii="Palatino Linotype" w:eastAsia="Palatino Linotype" w:hAnsi="Palatino Linotype" w:cs="Palatino Linotype"/>
          <w:b/>
          <w:sz w:val="22"/>
          <w:szCs w:val="22"/>
        </w:rPr>
        <w:t>veintisiete de febrero de dos mil veinticuatro,</w:t>
      </w:r>
      <w:r w:rsidRPr="009B6EEE">
        <w:rPr>
          <w:rFonts w:ascii="Palatino Linotype" w:eastAsia="Palatino Linotype" w:hAnsi="Palatino Linotype" w:cs="Palatino Linotype"/>
          <w:sz w:val="22"/>
          <w:szCs w:val="22"/>
        </w:rPr>
        <w:t xml:space="preserve"> la parte</w:t>
      </w:r>
      <w:r w:rsidRPr="009B6EEE">
        <w:rPr>
          <w:rFonts w:ascii="Palatino Linotype" w:eastAsia="Palatino Linotype" w:hAnsi="Palatino Linotype" w:cs="Palatino Linotype"/>
          <w:b/>
          <w:sz w:val="22"/>
          <w:szCs w:val="22"/>
        </w:rPr>
        <w:t xml:space="preserve"> Recurrente </w:t>
      </w:r>
      <w:r w:rsidRPr="009B6EEE">
        <w:rPr>
          <w:rFonts w:ascii="Palatino Linotype" w:eastAsia="Palatino Linotype" w:hAnsi="Palatino Linotype" w:cs="Palatino Linotype"/>
          <w:sz w:val="22"/>
          <w:szCs w:val="22"/>
        </w:rPr>
        <w:t xml:space="preserve">formuló solicitudes de acceso a información pública a través del Sistema de Acceso a la Información Mexiquense </w:t>
      </w:r>
      <w:r w:rsidRPr="009B6EEE">
        <w:rPr>
          <w:rFonts w:ascii="Palatino Linotype" w:eastAsia="Palatino Linotype" w:hAnsi="Palatino Linotype" w:cs="Palatino Linotype"/>
          <w:b/>
          <w:sz w:val="22"/>
          <w:szCs w:val="22"/>
        </w:rPr>
        <w:t>(SAIMEX),</w:t>
      </w:r>
      <w:r w:rsidRPr="009B6EEE">
        <w:rPr>
          <w:rFonts w:ascii="Palatino Linotype" w:eastAsia="Palatino Linotype" w:hAnsi="Palatino Linotype" w:cs="Palatino Linotype"/>
          <w:sz w:val="22"/>
          <w:szCs w:val="22"/>
        </w:rPr>
        <w:t xml:space="preserve"> en las que requirió lo siguiente:</w:t>
      </w:r>
    </w:p>
    <w:tbl>
      <w:tblPr>
        <w:tblStyle w:val="aff9"/>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9B6EEE" w:rsidRPr="009B6EEE" w14:paraId="2D055854" w14:textId="77777777">
        <w:tc>
          <w:tcPr>
            <w:tcW w:w="3823" w:type="dxa"/>
            <w:shd w:val="clear" w:color="auto" w:fill="DBEEF3"/>
          </w:tcPr>
          <w:p w14:paraId="0D4ABBD3"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t>Número de solicitud y recurso de revisión</w:t>
            </w:r>
          </w:p>
        </w:tc>
        <w:tc>
          <w:tcPr>
            <w:tcW w:w="5098" w:type="dxa"/>
            <w:shd w:val="clear" w:color="auto" w:fill="DBEEF3"/>
          </w:tcPr>
          <w:p w14:paraId="0714336C"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Información requerida</w:t>
            </w:r>
          </w:p>
        </w:tc>
      </w:tr>
      <w:tr w:rsidR="009B6EEE" w:rsidRPr="009B6EEE" w14:paraId="1DB7CD1E" w14:textId="77777777">
        <w:tc>
          <w:tcPr>
            <w:tcW w:w="3823" w:type="dxa"/>
          </w:tcPr>
          <w:p w14:paraId="411A5ACB"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t xml:space="preserve">00034/UPVT/IP/2024, </w:t>
            </w:r>
            <w:r w:rsidRPr="009B6EEE">
              <w:rPr>
                <w:rFonts w:ascii="Palatino Linotype" w:eastAsia="Palatino Linotype" w:hAnsi="Palatino Linotype" w:cs="Palatino Linotype"/>
              </w:rPr>
              <w:t>correspondiente al Recurso de Revisión</w:t>
            </w:r>
            <w:r w:rsidRPr="009B6EEE">
              <w:rPr>
                <w:rFonts w:ascii="Palatino Linotype" w:eastAsia="Palatino Linotype" w:hAnsi="Palatino Linotype" w:cs="Palatino Linotype"/>
                <w:b/>
              </w:rPr>
              <w:t xml:space="preserve"> 02244/INFOEM/IP/RR/2024</w:t>
            </w:r>
          </w:p>
        </w:tc>
        <w:tc>
          <w:tcPr>
            <w:tcW w:w="5098" w:type="dxa"/>
          </w:tcPr>
          <w:p w14:paraId="2B19F424" w14:textId="77777777" w:rsidR="00A53236" w:rsidRPr="009B6EEE" w:rsidRDefault="00BE58F5">
            <w:pPr>
              <w:spacing w:before="240" w:after="240"/>
              <w:jc w:val="both"/>
              <w:rPr>
                <w:rFonts w:ascii="Palatino Linotype" w:eastAsia="Palatino Linotype" w:hAnsi="Palatino Linotype" w:cs="Palatino Linotype"/>
                <w:i/>
              </w:rPr>
            </w:pPr>
            <w:r w:rsidRPr="009B6EEE">
              <w:rPr>
                <w:rFonts w:ascii="Palatino Linotype" w:eastAsia="Palatino Linotype" w:hAnsi="Palatino Linotype" w:cs="Palatino Linotype"/>
                <w:i/>
              </w:rPr>
              <w:t xml:space="preserve">“SOLICITO LOS OFICIOS GENERADOS DE TODAS LAS AREAS DEL AÑO 2022” (Sic) </w:t>
            </w:r>
          </w:p>
        </w:tc>
      </w:tr>
      <w:tr w:rsidR="009B6EEE" w:rsidRPr="009B6EEE" w14:paraId="5FFE172F" w14:textId="77777777">
        <w:tc>
          <w:tcPr>
            <w:tcW w:w="3823" w:type="dxa"/>
          </w:tcPr>
          <w:p w14:paraId="2F44A8AE"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lastRenderedPageBreak/>
              <w:t xml:space="preserve">00039/UPVT/IP/2024, </w:t>
            </w:r>
            <w:r w:rsidRPr="009B6EEE">
              <w:rPr>
                <w:rFonts w:ascii="Palatino Linotype" w:eastAsia="Palatino Linotype" w:hAnsi="Palatino Linotype" w:cs="Palatino Linotype"/>
              </w:rPr>
              <w:t>correspondiente al Recurso de Revisión</w:t>
            </w:r>
            <w:r w:rsidRPr="009B6EEE">
              <w:rPr>
                <w:rFonts w:ascii="Palatino Linotype" w:eastAsia="Palatino Linotype" w:hAnsi="Palatino Linotype" w:cs="Palatino Linotype"/>
                <w:b/>
              </w:rPr>
              <w:t xml:space="preserve"> 02245/INFOEM/IP/RR/2024</w:t>
            </w:r>
          </w:p>
        </w:tc>
        <w:tc>
          <w:tcPr>
            <w:tcW w:w="5098" w:type="dxa"/>
          </w:tcPr>
          <w:p w14:paraId="7807D833" w14:textId="77777777" w:rsidR="00A53236" w:rsidRPr="009B6EEE" w:rsidRDefault="00BE58F5">
            <w:pPr>
              <w:spacing w:before="240" w:after="240"/>
              <w:jc w:val="both"/>
              <w:rPr>
                <w:rFonts w:ascii="Palatino Linotype" w:eastAsia="Palatino Linotype" w:hAnsi="Palatino Linotype" w:cs="Palatino Linotype"/>
                <w:i/>
              </w:rPr>
            </w:pPr>
            <w:r w:rsidRPr="009B6EEE">
              <w:rPr>
                <w:rFonts w:ascii="Palatino Linotype" w:eastAsia="Palatino Linotype" w:hAnsi="Palatino Linotype" w:cs="Palatino Linotype"/>
                <w:i/>
              </w:rPr>
              <w:t xml:space="preserve">“SOLICITO TODOS LOS OFICIOS GENERADOS POR CONTROL ESCOLAR A LA FECHA DE MI SOLICITUD” (Sic) </w:t>
            </w:r>
          </w:p>
        </w:tc>
      </w:tr>
    </w:tbl>
    <w:p w14:paraId="31CC4D40"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Modalidad elegida para la entrega de la información: </w:t>
      </w:r>
      <w:r w:rsidRPr="009B6EEE">
        <w:rPr>
          <w:rFonts w:ascii="Palatino Linotype" w:eastAsia="Palatino Linotype" w:hAnsi="Palatino Linotype" w:cs="Palatino Linotype"/>
          <w:sz w:val="22"/>
          <w:szCs w:val="22"/>
        </w:rPr>
        <w:t xml:space="preserve">a través del </w:t>
      </w:r>
      <w:r w:rsidRPr="009B6EEE">
        <w:rPr>
          <w:rFonts w:ascii="Palatino Linotype" w:eastAsia="Palatino Linotype" w:hAnsi="Palatino Linotype" w:cs="Palatino Linotype"/>
          <w:b/>
          <w:sz w:val="22"/>
          <w:szCs w:val="22"/>
        </w:rPr>
        <w:t xml:space="preserve">SAIMEX </w:t>
      </w:r>
    </w:p>
    <w:p w14:paraId="05BC6EAA"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2. Prórroga. </w:t>
      </w:r>
      <w:r w:rsidRPr="009B6EEE">
        <w:rPr>
          <w:rFonts w:ascii="Palatino Linotype" w:eastAsia="Palatino Linotype" w:hAnsi="Palatino Linotype" w:cs="Palatino Linotype"/>
          <w:sz w:val="22"/>
          <w:szCs w:val="22"/>
        </w:rPr>
        <w:t xml:space="preserve">El </w:t>
      </w:r>
      <w:r w:rsidRPr="009B6EEE">
        <w:rPr>
          <w:rFonts w:ascii="Palatino Linotype" w:eastAsia="Palatino Linotype" w:hAnsi="Palatino Linotype" w:cs="Palatino Linotype"/>
          <w:b/>
          <w:sz w:val="22"/>
          <w:szCs w:val="22"/>
        </w:rPr>
        <w:t>veintiuno de marzo de dos mil veinticuatro</w:t>
      </w:r>
      <w:r w:rsidRPr="009B6EEE">
        <w:rPr>
          <w:rFonts w:ascii="Palatino Linotype" w:eastAsia="Palatino Linotype" w:hAnsi="Palatino Linotype" w:cs="Palatino Linotype"/>
          <w:sz w:val="22"/>
          <w:szCs w:val="22"/>
        </w:rPr>
        <w:t xml:space="preserv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notificó la prórroga para atender la solicitud de información, medularmente en los siguientes términos:</w:t>
      </w:r>
    </w:p>
    <w:p w14:paraId="28EE1E24" w14:textId="77777777" w:rsidR="00A53236" w:rsidRPr="009B6EEE" w:rsidRDefault="00BE58F5">
      <w:pP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2070F43" w14:textId="77777777" w:rsidR="00A53236" w:rsidRPr="009B6EEE" w:rsidRDefault="00BE58F5">
      <w:pP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Con fundamento en los artículos 49 fracción II, 53 fracciones II, IV y 163 en su párrafo segundo de la Ley de Transparencia y Acceso a la Información Pública del Estado de México y Municipios, le informo que mediante acuerdo del Comité de Transparencia de la Universidad Politécnica del Valle de Toluca, se confirmó y aprobó la solicitud peticionada en materia de ampliación de plazo de respuesta, por lo tanto, el plazo de respuesta para atender su solicitud de información pública se ha prorrogado por siete días.</w:t>
      </w:r>
    </w:p>
    <w:p w14:paraId="73E1626A" w14:textId="77777777" w:rsidR="00A53236" w:rsidRPr="009B6EEE" w:rsidRDefault="00BE58F5">
      <w:pP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LIC. PERLA GUADALUPE MARTÍNEZ FERNÁNDEZ</w:t>
      </w:r>
    </w:p>
    <w:p w14:paraId="28897DFC" w14:textId="77777777" w:rsidR="00A53236" w:rsidRPr="009B6EEE" w:rsidRDefault="00BE58F5">
      <w:pP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Responsable de la Unidad de Transparencia”</w:t>
      </w:r>
    </w:p>
    <w:p w14:paraId="3DB30197" w14:textId="77777777" w:rsidR="00A53236" w:rsidRPr="009B6EEE" w:rsidRDefault="00A53236">
      <w:pPr>
        <w:spacing w:after="240" w:line="360" w:lineRule="auto"/>
        <w:jc w:val="both"/>
        <w:rPr>
          <w:rFonts w:ascii="Palatino Linotype" w:eastAsia="Palatino Linotype" w:hAnsi="Palatino Linotype" w:cs="Palatino Linotype"/>
          <w:sz w:val="22"/>
          <w:szCs w:val="22"/>
        </w:rPr>
      </w:pPr>
    </w:p>
    <w:p w14:paraId="1750DDEB" w14:textId="77777777" w:rsidR="00A53236" w:rsidRPr="009B6EEE" w:rsidRDefault="00BE58F5">
      <w:pPr>
        <w:spacing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Es de precisar que, del análisis a la prórroga manifestada por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se tiene que </w:t>
      </w:r>
      <w:r w:rsidRPr="009B6EEE">
        <w:rPr>
          <w:rFonts w:ascii="Palatino Linotype" w:eastAsia="Palatino Linotype" w:hAnsi="Palatino Linotype" w:cs="Palatino Linotype"/>
          <w:b/>
          <w:sz w:val="22"/>
          <w:szCs w:val="22"/>
          <w:u w:val="single"/>
        </w:rPr>
        <w:t>no cumplió</w:t>
      </w:r>
      <w:r w:rsidRPr="009B6EEE">
        <w:rPr>
          <w:rFonts w:ascii="Palatino Linotype" w:eastAsia="Palatino Linotype" w:hAnsi="Palatino Linotype" w:cs="Palatino Linotype"/>
          <w:sz w:val="22"/>
          <w:szCs w:val="22"/>
        </w:rPr>
        <w:t xml:space="preserve"> con los parámetros establecidos por el segundo párrafo del artículo 163 de la Ley de Transparencia, por lo que se le exhorta a cumplir con las formalidades de la norma.</w:t>
      </w:r>
    </w:p>
    <w:p w14:paraId="145E2E9B" w14:textId="77777777" w:rsidR="00A53236" w:rsidRPr="009B6EEE" w:rsidRDefault="00BE58F5">
      <w:pPr>
        <w:spacing w:before="240" w:after="240"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lastRenderedPageBreak/>
        <w:t xml:space="preserve">3. Respuestas. </w:t>
      </w:r>
      <w:r w:rsidRPr="009B6EEE">
        <w:rPr>
          <w:rFonts w:ascii="Palatino Linotype" w:eastAsia="Palatino Linotype" w:hAnsi="Palatino Linotype" w:cs="Palatino Linotype"/>
          <w:sz w:val="22"/>
          <w:szCs w:val="22"/>
        </w:rPr>
        <w:t xml:space="preserve">En fechas </w:t>
      </w:r>
      <w:r w:rsidRPr="009B6EEE">
        <w:rPr>
          <w:rFonts w:ascii="Palatino Linotype" w:eastAsia="Palatino Linotype" w:hAnsi="Palatino Linotype" w:cs="Palatino Linotype"/>
          <w:b/>
          <w:sz w:val="22"/>
          <w:szCs w:val="22"/>
        </w:rPr>
        <w:t>veintisiete de junio de dos mil veinticuatro</w:t>
      </w:r>
      <w:r w:rsidRPr="009B6EEE">
        <w:rPr>
          <w:rFonts w:ascii="Palatino Linotype" w:eastAsia="Palatino Linotype" w:hAnsi="Palatino Linotype" w:cs="Palatino Linotype"/>
          <w:sz w:val="22"/>
          <w:szCs w:val="22"/>
        </w:rPr>
        <w:t xml:space="preserv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notificó a </w:t>
      </w:r>
      <w:r w:rsidRPr="009B6EEE">
        <w:rPr>
          <w:rFonts w:ascii="Palatino Linotype" w:eastAsia="Palatino Linotype" w:hAnsi="Palatino Linotype" w:cs="Palatino Linotype"/>
          <w:b/>
          <w:sz w:val="22"/>
          <w:szCs w:val="22"/>
        </w:rPr>
        <w:t>la parte</w:t>
      </w:r>
      <w:r w:rsidRPr="009B6EEE">
        <w:rPr>
          <w:rFonts w:ascii="Palatino Linotype" w:eastAsia="Palatino Linotype" w:hAnsi="Palatino Linotype" w:cs="Palatino Linotype"/>
          <w:sz w:val="22"/>
          <w:szCs w:val="22"/>
        </w:rPr>
        <w:t xml:space="preserve"> </w:t>
      </w:r>
      <w:r w:rsidRPr="009B6EEE">
        <w:rPr>
          <w:rFonts w:ascii="Palatino Linotype" w:eastAsia="Palatino Linotype" w:hAnsi="Palatino Linotype" w:cs="Palatino Linotype"/>
          <w:b/>
          <w:sz w:val="22"/>
          <w:szCs w:val="22"/>
        </w:rPr>
        <w:t>Recurrente</w:t>
      </w:r>
      <w:r w:rsidRPr="009B6EEE">
        <w:rPr>
          <w:rFonts w:ascii="Palatino Linotype" w:eastAsia="Palatino Linotype" w:hAnsi="Palatino Linotype" w:cs="Palatino Linotype"/>
          <w:sz w:val="22"/>
          <w:szCs w:val="22"/>
        </w:rPr>
        <w:t xml:space="preserve">, en ambos expedientes, las respuestas a sus solicitudes de información, en los términos siguientes: </w:t>
      </w:r>
    </w:p>
    <w:tbl>
      <w:tblPr>
        <w:tblStyle w:val="aff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9B6EEE" w:rsidRPr="009B6EEE" w14:paraId="5582D8B8" w14:textId="77777777">
        <w:tc>
          <w:tcPr>
            <w:tcW w:w="3823" w:type="dxa"/>
            <w:shd w:val="clear" w:color="auto" w:fill="DBEEF3"/>
          </w:tcPr>
          <w:p w14:paraId="7C2EA68E"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t>Número de recurso de revisión</w:t>
            </w:r>
          </w:p>
        </w:tc>
        <w:tc>
          <w:tcPr>
            <w:tcW w:w="5098" w:type="dxa"/>
            <w:shd w:val="clear" w:color="auto" w:fill="DBEEF3"/>
          </w:tcPr>
          <w:p w14:paraId="24B882E9"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Descripción de las respuestas</w:t>
            </w:r>
          </w:p>
        </w:tc>
      </w:tr>
      <w:tr w:rsidR="009B6EEE" w:rsidRPr="009B6EEE" w14:paraId="1C4888AE" w14:textId="77777777">
        <w:tc>
          <w:tcPr>
            <w:tcW w:w="3823" w:type="dxa"/>
          </w:tcPr>
          <w:p w14:paraId="17C0EDE7"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t xml:space="preserve">00034/UPVT/IP/2024, </w:t>
            </w:r>
            <w:r w:rsidRPr="009B6EEE">
              <w:rPr>
                <w:rFonts w:ascii="Palatino Linotype" w:eastAsia="Palatino Linotype" w:hAnsi="Palatino Linotype" w:cs="Palatino Linotype"/>
              </w:rPr>
              <w:t>correspondiente al Recurso de Revisión</w:t>
            </w:r>
            <w:r w:rsidRPr="009B6EEE">
              <w:rPr>
                <w:rFonts w:ascii="Palatino Linotype" w:eastAsia="Palatino Linotype" w:hAnsi="Palatino Linotype" w:cs="Palatino Linotype"/>
                <w:b/>
              </w:rPr>
              <w:t xml:space="preserve"> 02244/INFOEM/IP/RR/2024</w:t>
            </w:r>
          </w:p>
        </w:tc>
        <w:tc>
          <w:tcPr>
            <w:tcW w:w="5098" w:type="dxa"/>
          </w:tcPr>
          <w:p w14:paraId="5F736F56" w14:textId="77777777" w:rsidR="00A53236" w:rsidRPr="009B6EEE" w:rsidRDefault="00BE58F5">
            <w:pPr>
              <w:spacing w:line="276" w:lineRule="auto"/>
              <w:jc w:val="both"/>
              <w:rPr>
                <w:rFonts w:ascii="Palatino Linotype" w:eastAsia="Palatino Linotype" w:hAnsi="Palatino Linotype" w:cs="Palatino Linotype"/>
                <w:i/>
              </w:rPr>
            </w:pPr>
            <w:r w:rsidRPr="009B6EE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832DD3" w14:textId="77777777" w:rsidR="00A53236" w:rsidRPr="009B6EEE" w:rsidRDefault="00BE58F5">
            <w:pPr>
              <w:spacing w:line="276" w:lineRule="auto"/>
              <w:jc w:val="both"/>
              <w:rPr>
                <w:rFonts w:ascii="Palatino Linotype" w:eastAsia="Palatino Linotype" w:hAnsi="Palatino Linotype" w:cs="Palatino Linotype"/>
                <w:i/>
              </w:rPr>
            </w:pPr>
            <w:r w:rsidRPr="009B6EEE">
              <w:rPr>
                <w:rFonts w:ascii="Palatino Linotype" w:eastAsia="Palatino Linotype" w:hAnsi="Palatino Linotype" w:cs="Palatino Linotype"/>
                <w:i/>
              </w:rPr>
              <w:t xml:space="preserve">Oficio núm.: 228C2801010001L/331/2024 Almoloya de Juárez, México a 08 de abril de marzo de 2024. C. PERSONA SOLICITANTE DE LA INFORMACIÓN PRESENTE De conformidad en los artículos: 1, 2, 3, fracciones XLIV, 4, 12, 16, 23 fracción V, 24 fracción XI y último párrafo, 50, 51, 53 fracciones I, IV, V y VI de la Ley de Transparencia y Acceso a la Información Pública del Estado de México y Municipios, me permito informar a Usted lo siguiente: En atención a la solicitud de información pública con el número de folio: 00034/UPVT/IP/2024, presentada en fecha 27 de febrero de 2024, a través del Sistema de Acceso a la Información Mexiquense (SAIMEX) de este Sujeto Obligado, </w:t>
            </w:r>
            <w:r w:rsidRPr="009B6EEE">
              <w:rPr>
                <w:rFonts w:ascii="Palatino Linotype" w:eastAsia="Palatino Linotype" w:hAnsi="Palatino Linotype" w:cs="Palatino Linotype"/>
                <w:b/>
                <w:i/>
              </w:rPr>
              <w:t xml:space="preserve">adjunto a la presente copia digitalizada, en formato PDF, de los oficios emitidos por la Titular de la Secretaría Académica, así como por los Servidores Públicos Habilitados de la Rectoría; de la Abogacía General; de la Dirección </w:t>
            </w:r>
            <w:r w:rsidRPr="009B6EEE">
              <w:rPr>
                <w:rFonts w:ascii="Palatino Linotype" w:eastAsia="Palatino Linotype" w:hAnsi="Palatino Linotype" w:cs="Palatino Linotype"/>
                <w:b/>
                <w:i/>
              </w:rPr>
              <w:lastRenderedPageBreak/>
              <w:t>de División de Ingeniería Mecatrónica e Ingeniería Mecánica Automotriz; de la Dirección de División de Ingeniería en Biotecnología y Licenciatura en Negocios Internacionales; de la Dirección de División de Ingeniería Industrial e Ingeniería en Energía; de la Dirección de División de Ingeniería en Tecnologías de la Información, de la Subdirección de Servicios Escolares; del Departamento de Control Escolar; del Departamento de Tecnologías de la Información; de la Dirección de Administración y Finanzas; del Departamento de Recursos Financieros; del Departamento de Recursos Humanos y Materiales, de la Dirección de Planeación, Vinculación e Igualdad de Género; del Departamento de Información, Planeación, Programación y Evaluación y del Departamento de Vinculación y Extensión, en los que, en ejercicio de sus atribuciones y funciones</w:t>
            </w:r>
            <w:r w:rsidRPr="009B6EEE">
              <w:rPr>
                <w:rFonts w:ascii="Palatino Linotype" w:eastAsia="Palatino Linotype" w:hAnsi="Palatino Linotype" w:cs="Palatino Linotype"/>
                <w:i/>
              </w:rPr>
              <w:t xml:space="preserve"> conferidas en el Manual General de Organización de la Universidad Politécnica del Valle de Toluca, publicado en el Periódico Oficial “Gaceta del Gobierno”, en fecha 22 de febrero de 2023, atiende la solicitud de información que se indica a continuación: “SOLICITO LOS OFICIOS GENERADOS DE TODAS LAS AREAS DEL AÑO 2022” (sic). Al respecto, es de señalar que esta Unidad de Transparencia, no tiene atribuciones para pronunciarse sobre la veracidad de la información; puesto que de conformidad con el artículo 53 de la Ley de Transparencia y Acceso a la Información Pública del Estado de México y Municipios, no se prevé una causal </w:t>
            </w:r>
            <w:r w:rsidRPr="009B6EEE">
              <w:rPr>
                <w:rFonts w:ascii="Palatino Linotype" w:eastAsia="Palatino Linotype" w:hAnsi="Palatino Linotype" w:cs="Palatino Linotype"/>
                <w:i/>
              </w:rPr>
              <w:lastRenderedPageBreak/>
              <w:t xml:space="preserve">que permita a la Unidad de Transparencia pronunciarse respecto del contenido de los documentos proporcionados por los Servidores Públicos Habilitados, siendo responsabilidad de los mismos la información proporcionada a los particulares en respuesta a las solicitudes de información presentadas. Finalmente, se hace de su conocimiento que cuenta con un plazo de quince días para interponer el recurso de revisión que señala en los artículos 176, 177 y 178 de la Ley referida, en caso de considerar que la respuesta es desfavorable a su solicitud. Sin otro particular, me reitero a sus apreciables órdenes. A t e n t a m e n t e Lic. Perla Guadalupe Martínez Fernández Jefa del Departamento de Información, Planeación, Programación y Evaluación y Titular de la Unidad de Transparencia </w:t>
            </w:r>
            <w:proofErr w:type="spellStart"/>
            <w:r w:rsidRPr="009B6EEE">
              <w:rPr>
                <w:rFonts w:ascii="Palatino Linotype" w:eastAsia="Palatino Linotype" w:hAnsi="Palatino Linotype" w:cs="Palatino Linotype"/>
                <w:i/>
              </w:rPr>
              <w:t>C.c.p</w:t>
            </w:r>
            <w:proofErr w:type="spellEnd"/>
            <w:r w:rsidRPr="009B6EEE">
              <w:rPr>
                <w:rFonts w:ascii="Palatino Linotype" w:eastAsia="Palatino Linotype" w:hAnsi="Palatino Linotype" w:cs="Palatino Linotype"/>
                <w:i/>
              </w:rPr>
              <w:t>. Dr. Jair Jesús Sánchez Valdés – Rector de la Universidad Politécnica del Valle de Toluca. Lic. Jesús Luis Villa - Titular del Órgano Interno de Control. Archivo/PGMF/</w:t>
            </w:r>
            <w:proofErr w:type="spellStart"/>
            <w:r w:rsidRPr="009B6EEE">
              <w:rPr>
                <w:rFonts w:ascii="Palatino Linotype" w:eastAsia="Palatino Linotype" w:hAnsi="Palatino Linotype" w:cs="Palatino Linotype"/>
                <w:i/>
              </w:rPr>
              <w:t>mma</w:t>
            </w:r>
            <w:proofErr w:type="spellEnd"/>
          </w:p>
          <w:p w14:paraId="4581F3F5" w14:textId="77777777" w:rsidR="00A53236" w:rsidRPr="009B6EEE" w:rsidRDefault="00BE58F5">
            <w:pPr>
              <w:spacing w:line="276" w:lineRule="auto"/>
              <w:jc w:val="both"/>
              <w:rPr>
                <w:rFonts w:ascii="Palatino Linotype" w:eastAsia="Palatino Linotype" w:hAnsi="Palatino Linotype" w:cs="Palatino Linotype"/>
                <w:i/>
              </w:rPr>
            </w:pPr>
            <w:r w:rsidRPr="009B6EEE">
              <w:rPr>
                <w:rFonts w:ascii="Palatino Linotype" w:eastAsia="Palatino Linotype" w:hAnsi="Palatino Linotype" w:cs="Palatino Linotype"/>
                <w:i/>
              </w:rPr>
              <w:t>ATENTAMENTE</w:t>
            </w:r>
          </w:p>
          <w:p w14:paraId="2578E4F5" w14:textId="77777777" w:rsidR="00A53236" w:rsidRPr="009B6EEE" w:rsidRDefault="00BE58F5">
            <w:pPr>
              <w:spacing w:line="276" w:lineRule="auto"/>
              <w:jc w:val="both"/>
              <w:rPr>
                <w:rFonts w:ascii="Palatino Linotype" w:eastAsia="Palatino Linotype" w:hAnsi="Palatino Linotype" w:cs="Palatino Linotype"/>
                <w:i/>
              </w:rPr>
            </w:pPr>
            <w:r w:rsidRPr="009B6EEE">
              <w:rPr>
                <w:rFonts w:ascii="Palatino Linotype" w:eastAsia="Palatino Linotype" w:hAnsi="Palatino Linotype" w:cs="Palatino Linotype"/>
                <w:i/>
              </w:rPr>
              <w:t>LIC. PERLA GUADALUPE MARTÍNEZ FERNÁNDEZ”</w:t>
            </w:r>
          </w:p>
          <w:p w14:paraId="29F45483" w14:textId="77777777" w:rsidR="00A53236" w:rsidRPr="009B6EEE" w:rsidRDefault="00BE58F5">
            <w:pPr>
              <w:spacing w:before="240" w:after="240"/>
              <w:jc w:val="both"/>
              <w:rPr>
                <w:rFonts w:ascii="Palatino Linotype" w:eastAsia="Palatino Linotype" w:hAnsi="Palatino Linotype" w:cs="Palatino Linotype"/>
              </w:rPr>
            </w:pPr>
            <w:r w:rsidRPr="009B6EEE">
              <w:rPr>
                <w:rFonts w:ascii="Palatino Linotype" w:eastAsia="Palatino Linotype" w:hAnsi="Palatino Linotype" w:cs="Palatino Linotype"/>
                <w:b/>
              </w:rPr>
              <w:t xml:space="preserve">Archivo adjunto: </w:t>
            </w:r>
          </w:p>
          <w:p w14:paraId="1D5AE056" w14:textId="77777777" w:rsidR="00A53236" w:rsidRPr="009B6EEE" w:rsidRDefault="00BE58F5">
            <w:pPr>
              <w:jc w:val="both"/>
              <w:rPr>
                <w:rFonts w:ascii="Palatino Linotype" w:eastAsia="Palatino Linotype" w:hAnsi="Palatino Linotype" w:cs="Palatino Linotype"/>
              </w:rPr>
            </w:pPr>
            <w:proofErr w:type="spellStart"/>
            <w:r w:rsidRPr="009B6EEE">
              <w:rPr>
                <w:rFonts w:ascii="Palatino Linotype" w:eastAsia="Palatino Linotype" w:hAnsi="Palatino Linotype" w:cs="Palatino Linotype"/>
                <w:b/>
              </w:rPr>
              <w:t>saimex</w:t>
            </w:r>
            <w:proofErr w:type="spellEnd"/>
            <w:r w:rsidRPr="009B6EEE">
              <w:rPr>
                <w:rFonts w:ascii="Palatino Linotype" w:eastAsia="Palatino Linotype" w:hAnsi="Palatino Linotype" w:cs="Palatino Linotype"/>
                <w:b/>
              </w:rPr>
              <w:t xml:space="preserve"> 03408-04-2024-145914.pdf: </w:t>
            </w:r>
            <w:r w:rsidRPr="009B6EEE">
              <w:rPr>
                <w:rFonts w:ascii="Palatino Linotype" w:eastAsia="Palatino Linotype" w:hAnsi="Palatino Linotype" w:cs="Palatino Linotype"/>
              </w:rPr>
              <w:t xml:space="preserve">Oficio número 228C2801130000L/101/2024 de fecha cuatro de abril de dos mil veinticuatro, signado por la </w:t>
            </w:r>
            <w:r w:rsidRPr="009B6EEE">
              <w:rPr>
                <w:rFonts w:ascii="Palatino Linotype" w:eastAsia="Palatino Linotype" w:hAnsi="Palatino Linotype" w:cs="Palatino Linotype"/>
                <w:b/>
              </w:rPr>
              <w:t xml:space="preserve">Directora de División de Ingeniería Mecatrónica e Ingeniería Mecánica Automotriz </w:t>
            </w:r>
            <w:r w:rsidRPr="009B6EEE">
              <w:rPr>
                <w:rFonts w:ascii="Palatino Linotype" w:eastAsia="Palatino Linotype" w:hAnsi="Palatino Linotype" w:cs="Palatino Linotype"/>
              </w:rPr>
              <w:t xml:space="preserve">en el que informó medularmente el cambio de entrega de la </w:t>
            </w:r>
            <w:r w:rsidRPr="009B6EEE">
              <w:rPr>
                <w:rFonts w:ascii="Palatino Linotype" w:eastAsia="Palatino Linotype" w:hAnsi="Palatino Linotype" w:cs="Palatino Linotype"/>
              </w:rPr>
              <w:lastRenderedPageBreak/>
              <w:t xml:space="preserve">información a Consulta Directa, motivado en los siguientes hechos: </w:t>
            </w:r>
          </w:p>
          <w:p w14:paraId="425D064E" w14:textId="77777777" w:rsidR="00A53236" w:rsidRPr="009B6EEE" w:rsidRDefault="00BE58F5">
            <w:pPr>
              <w:numPr>
                <w:ilvl w:val="0"/>
                <w:numId w:val="4"/>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1,072 fojas;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05C7A79F" w14:textId="77777777" w:rsidR="00A53236" w:rsidRPr="009B6EEE" w:rsidRDefault="00BE58F5">
            <w:pPr>
              <w:numPr>
                <w:ilvl w:val="0"/>
                <w:numId w:val="4"/>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57762499" w14:textId="77777777" w:rsidR="00A53236" w:rsidRPr="009B6EEE" w:rsidRDefault="00BE58F5">
            <w:pPr>
              <w:numPr>
                <w:ilvl w:val="0"/>
                <w:numId w:val="4"/>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I,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6A66F75E"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0B2CBFA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4EC1D9E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 xml:space="preserve">Teléfono: 7222766060, Ext. 22033. </w:t>
            </w:r>
          </w:p>
          <w:p w14:paraId="7DD0C05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4C6FB281" w14:textId="77777777" w:rsidR="00A53236" w:rsidRPr="009B6EEE" w:rsidRDefault="00A53236">
            <w:pPr>
              <w:jc w:val="both"/>
              <w:rPr>
                <w:rFonts w:ascii="Palatino Linotype" w:eastAsia="Palatino Linotype" w:hAnsi="Palatino Linotype" w:cs="Palatino Linotype"/>
              </w:rPr>
            </w:pPr>
          </w:p>
          <w:p w14:paraId="741FE41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067E2F69" w14:textId="77777777" w:rsidR="00A53236" w:rsidRPr="009B6EEE" w:rsidRDefault="00A53236">
            <w:pPr>
              <w:jc w:val="both"/>
              <w:rPr>
                <w:rFonts w:ascii="Palatino Linotype" w:eastAsia="Palatino Linotype" w:hAnsi="Palatino Linotype" w:cs="Palatino Linotype"/>
              </w:rPr>
            </w:pPr>
          </w:p>
          <w:p w14:paraId="31ED75BC" w14:textId="77777777" w:rsidR="00A53236" w:rsidRPr="009B6EEE" w:rsidRDefault="00BE58F5">
            <w:pPr>
              <w:jc w:val="both"/>
              <w:rPr>
                <w:rFonts w:ascii="Palatino Linotype" w:eastAsia="Palatino Linotype" w:hAnsi="Palatino Linotype" w:cs="Palatino Linotype"/>
                <w:b/>
                <w:i/>
              </w:rPr>
            </w:pPr>
            <w:r w:rsidRPr="009B6EEE">
              <w:rPr>
                <w:rFonts w:ascii="Palatino Linotype" w:eastAsia="Palatino Linotype" w:hAnsi="Palatino Linotype" w:cs="Palatino Linotype"/>
                <w:b/>
                <w:i/>
              </w:rPr>
              <w:t xml:space="preserve">RESPUESTA SAIMEX 00034.pdf: </w:t>
            </w:r>
          </w:p>
          <w:p w14:paraId="7DCA75AD"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Oficio número 228C2801000000L/317-BIS/2024, signado por el</w:t>
            </w:r>
            <w:r w:rsidRPr="009B6EEE">
              <w:rPr>
                <w:rFonts w:ascii="Palatino Linotype" w:eastAsia="Palatino Linotype" w:hAnsi="Palatino Linotype" w:cs="Palatino Linotype"/>
                <w:b/>
              </w:rPr>
              <w:t xml:space="preserve"> Servidor Público Habilitado de Rectoría</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5B115985"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6,497 fojas;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43A41DE8"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0A1C17EA"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 xml:space="preserve">Que la consulta de información se llevara a cabo en las oficinas de la Unidad de Transparencia ubicada en el edificio de Docencia I,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72CE1C2F"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681C2F6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1C539E32"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4EE8AFD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4FAEB67A" w14:textId="77777777" w:rsidR="00A53236" w:rsidRPr="009B6EEE" w:rsidRDefault="00A53236">
            <w:pPr>
              <w:jc w:val="both"/>
              <w:rPr>
                <w:rFonts w:ascii="Palatino Linotype" w:eastAsia="Palatino Linotype" w:hAnsi="Palatino Linotype" w:cs="Palatino Linotype"/>
              </w:rPr>
            </w:pPr>
          </w:p>
          <w:p w14:paraId="7C9B4B52"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6CA5834B" w14:textId="77777777" w:rsidR="00A53236" w:rsidRPr="009B6EEE" w:rsidRDefault="00A53236">
            <w:pPr>
              <w:jc w:val="both"/>
              <w:rPr>
                <w:rFonts w:ascii="Palatino Linotype" w:eastAsia="Palatino Linotype" w:hAnsi="Palatino Linotype" w:cs="Palatino Linotype"/>
              </w:rPr>
            </w:pPr>
          </w:p>
          <w:p w14:paraId="24AAD3DA" w14:textId="77777777" w:rsidR="00A53236" w:rsidRPr="009B6EEE" w:rsidRDefault="00BE58F5">
            <w:pPr>
              <w:jc w:val="both"/>
              <w:rPr>
                <w:rFonts w:ascii="Palatino Linotype" w:eastAsia="Palatino Linotype" w:hAnsi="Palatino Linotype" w:cs="Palatino Linotype"/>
              </w:rPr>
            </w:pPr>
            <w:proofErr w:type="spellStart"/>
            <w:r w:rsidRPr="009B6EEE">
              <w:rPr>
                <w:rFonts w:ascii="Palatino Linotype" w:eastAsia="Palatino Linotype" w:hAnsi="Palatino Linotype" w:cs="Palatino Linotype"/>
                <w:b/>
                <w:i/>
              </w:rPr>
              <w:t>solic</w:t>
            </w:r>
            <w:proofErr w:type="spellEnd"/>
            <w:r w:rsidRPr="009B6EEE">
              <w:rPr>
                <w:rFonts w:ascii="Palatino Linotype" w:eastAsia="Palatino Linotype" w:hAnsi="Palatino Linotype" w:cs="Palatino Linotype"/>
                <w:b/>
                <w:i/>
              </w:rPr>
              <w:t xml:space="preserve"> 034.pdf</w:t>
            </w:r>
            <w:r w:rsidRPr="009B6EEE">
              <w:rPr>
                <w:rFonts w:ascii="Palatino Linotype" w:eastAsia="Palatino Linotype" w:hAnsi="Palatino Linotype" w:cs="Palatino Linotype"/>
                <w:b/>
              </w:rPr>
              <w:t xml:space="preserve">: </w:t>
            </w:r>
            <w:r w:rsidRPr="009B6EEE">
              <w:rPr>
                <w:rFonts w:ascii="Palatino Linotype" w:eastAsia="Palatino Linotype" w:hAnsi="Palatino Linotype" w:cs="Palatino Linotype"/>
              </w:rPr>
              <w:t>Oficio número 228C2801000000L/088/2024, signado por la</w:t>
            </w:r>
            <w:r w:rsidRPr="009B6EEE">
              <w:rPr>
                <w:rFonts w:ascii="Palatino Linotype" w:eastAsia="Palatino Linotype" w:hAnsi="Palatino Linotype" w:cs="Palatino Linotype"/>
                <w:b/>
              </w:rPr>
              <w:t xml:space="preserve"> Jefa de Departamento de Recursos Financieros</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488E128F"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968 fojas de oficios emitidos; </w:t>
            </w:r>
            <w:r w:rsidRPr="009B6EEE">
              <w:rPr>
                <w:rFonts w:ascii="Palatino Linotype" w:eastAsia="Palatino Linotype" w:hAnsi="Palatino Linotype" w:cs="Palatino Linotype"/>
              </w:rPr>
              <w:t xml:space="preserve">sin embargo, dicha información no se encuentra digitalizada, toda </w:t>
            </w:r>
            <w:r w:rsidRPr="009B6EEE">
              <w:rPr>
                <w:rFonts w:ascii="Palatino Linotype" w:eastAsia="Palatino Linotype" w:hAnsi="Palatino Linotype" w:cs="Palatino Linotype"/>
              </w:rPr>
              <w:lastRenderedPageBreak/>
              <w:t xml:space="preserve">vez que se posee y se genera como se citó anteriormente. </w:t>
            </w:r>
          </w:p>
          <w:p w14:paraId="0D6AD2EA"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562A221D"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296B9AD6"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201FD79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009E792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5A9A709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71DEE74A" w14:textId="77777777" w:rsidR="00A53236" w:rsidRPr="009B6EEE" w:rsidRDefault="00A53236">
            <w:pPr>
              <w:jc w:val="both"/>
              <w:rPr>
                <w:rFonts w:ascii="Palatino Linotype" w:eastAsia="Palatino Linotype" w:hAnsi="Palatino Linotype" w:cs="Palatino Linotype"/>
              </w:rPr>
            </w:pPr>
          </w:p>
          <w:p w14:paraId="0F5BE64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539E67A5" w14:textId="77777777" w:rsidR="00A53236" w:rsidRPr="009B6EEE" w:rsidRDefault="00A53236">
            <w:pPr>
              <w:jc w:val="both"/>
              <w:rPr>
                <w:rFonts w:ascii="Palatino Linotype" w:eastAsia="Palatino Linotype" w:hAnsi="Palatino Linotype" w:cs="Palatino Linotype"/>
                <w:b/>
              </w:rPr>
            </w:pPr>
          </w:p>
          <w:p w14:paraId="7EFAF8B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b/>
                <w:i/>
              </w:rPr>
              <w:t>00034UPVTIP2024.pdf</w:t>
            </w:r>
            <w:r w:rsidRPr="009B6EEE">
              <w:rPr>
                <w:rFonts w:ascii="Palatino Linotype" w:eastAsia="Palatino Linotype" w:hAnsi="Palatino Linotype" w:cs="Palatino Linotype"/>
                <w:b/>
              </w:rPr>
              <w:t xml:space="preserve">: </w:t>
            </w:r>
          </w:p>
          <w:p w14:paraId="7D243ACD"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Oficio número 228C2801000000L/071/2024, signado por el</w:t>
            </w:r>
            <w:r w:rsidRPr="009B6EEE">
              <w:rPr>
                <w:rFonts w:ascii="Palatino Linotype" w:eastAsia="Palatino Linotype" w:hAnsi="Palatino Linotype" w:cs="Palatino Linotype"/>
                <w:b/>
              </w:rPr>
              <w:t xml:space="preserve"> Jefe de Departamento de Control Escolar</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71F0BED5"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640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3BD5F507"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1A25ECEE"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3BFF22B4"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45E32EB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37847F8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711CE502"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7C8A79CE" w14:textId="77777777" w:rsidR="00A53236" w:rsidRPr="009B6EEE" w:rsidRDefault="00A53236">
            <w:pPr>
              <w:jc w:val="both"/>
              <w:rPr>
                <w:rFonts w:ascii="Palatino Linotype" w:eastAsia="Palatino Linotype" w:hAnsi="Palatino Linotype" w:cs="Palatino Linotype"/>
              </w:rPr>
            </w:pPr>
          </w:p>
          <w:p w14:paraId="676FCC3E"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46FB62D4" w14:textId="77777777" w:rsidR="00A53236" w:rsidRPr="009B6EEE" w:rsidRDefault="00A53236">
            <w:pPr>
              <w:jc w:val="both"/>
              <w:rPr>
                <w:rFonts w:ascii="Palatino Linotype" w:eastAsia="Palatino Linotype" w:hAnsi="Palatino Linotype" w:cs="Palatino Linotype"/>
                <w:b/>
              </w:rPr>
            </w:pPr>
          </w:p>
          <w:p w14:paraId="350B45F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b/>
                <w:i/>
              </w:rPr>
              <w:t>034.PDF</w:t>
            </w:r>
            <w:r w:rsidRPr="009B6EEE">
              <w:rPr>
                <w:rFonts w:ascii="Palatino Linotype" w:eastAsia="Palatino Linotype" w:hAnsi="Palatino Linotype" w:cs="Palatino Linotype"/>
                <w:b/>
              </w:rPr>
              <w:t xml:space="preserve">: </w:t>
            </w:r>
            <w:r w:rsidRPr="009B6EEE">
              <w:rPr>
                <w:rFonts w:ascii="Palatino Linotype" w:eastAsia="Palatino Linotype" w:hAnsi="Palatino Linotype" w:cs="Palatino Linotype"/>
              </w:rPr>
              <w:t>Oficio número 228C2801000000L/098/2024, signado por el</w:t>
            </w:r>
            <w:r w:rsidRPr="009B6EEE">
              <w:rPr>
                <w:rFonts w:ascii="Palatino Linotype" w:eastAsia="Palatino Linotype" w:hAnsi="Palatino Linotype" w:cs="Palatino Linotype"/>
                <w:b/>
              </w:rPr>
              <w:t xml:space="preserve"> Director de Planeación, Vinculación e Igualdad de Género</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0C88049A"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5,797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592542B0"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una persona servidora pública</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w:t>
            </w:r>
            <w:r w:rsidRPr="009B6EEE">
              <w:rPr>
                <w:rFonts w:ascii="Palatino Linotype" w:eastAsia="Palatino Linotype" w:hAnsi="Palatino Linotype" w:cs="Palatino Linotype"/>
              </w:rPr>
              <w:t xml:space="preserve"> la cual tiene encomendadas las funciones y atribuciones </w:t>
            </w:r>
            <w:r w:rsidRPr="009B6EEE">
              <w:rPr>
                <w:rFonts w:ascii="Palatino Linotype" w:eastAsia="Palatino Linotype" w:hAnsi="Palatino Linotype" w:cs="Palatino Linotype"/>
              </w:rPr>
              <w:lastRenderedPageBreak/>
              <w:t xml:space="preserve">establecidas en la fracción VII del Manual General de Organización de la Universidad Politécnica del Valle de Toluca, publicado en el Periódico Oficial “Gaceta del Gobierno”, en fecha 23 de febrero de 2023. </w:t>
            </w:r>
          </w:p>
          <w:p w14:paraId="057C435E"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0B311012"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74422860"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2913E0A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7A9EA1E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32B664C7" w14:textId="77777777" w:rsidR="00A53236" w:rsidRPr="009B6EEE" w:rsidRDefault="00A53236">
            <w:pPr>
              <w:jc w:val="both"/>
              <w:rPr>
                <w:rFonts w:ascii="Palatino Linotype" w:eastAsia="Palatino Linotype" w:hAnsi="Palatino Linotype" w:cs="Palatino Linotype"/>
              </w:rPr>
            </w:pPr>
          </w:p>
          <w:p w14:paraId="1A44E6F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605D157A" w14:textId="77777777" w:rsidR="00A53236" w:rsidRPr="009B6EEE" w:rsidRDefault="00A53236">
            <w:pPr>
              <w:jc w:val="both"/>
              <w:rPr>
                <w:rFonts w:ascii="Palatino Linotype" w:eastAsia="Palatino Linotype" w:hAnsi="Palatino Linotype" w:cs="Palatino Linotype"/>
                <w:b/>
              </w:rPr>
            </w:pPr>
          </w:p>
          <w:p w14:paraId="6E0DC64E" w14:textId="77777777" w:rsidR="00A53236" w:rsidRPr="009B6EEE" w:rsidRDefault="00BE58F5">
            <w:pPr>
              <w:jc w:val="both"/>
              <w:rPr>
                <w:rFonts w:ascii="Palatino Linotype" w:eastAsia="Palatino Linotype" w:hAnsi="Palatino Linotype" w:cs="Palatino Linotype"/>
                <w:b/>
              </w:rPr>
            </w:pPr>
            <w:r w:rsidRPr="009B6EEE">
              <w:rPr>
                <w:rFonts w:ascii="Palatino Linotype" w:eastAsia="Palatino Linotype" w:hAnsi="Palatino Linotype" w:cs="Palatino Linotype"/>
                <w:b/>
                <w:i/>
              </w:rPr>
              <w:t>SAIMEX 00034.PDF</w:t>
            </w:r>
            <w:r w:rsidRPr="009B6EEE">
              <w:rPr>
                <w:rFonts w:ascii="Palatino Linotype" w:eastAsia="Palatino Linotype" w:hAnsi="Palatino Linotype" w:cs="Palatino Linotype"/>
                <w:b/>
              </w:rPr>
              <w:t xml:space="preserve">: </w:t>
            </w:r>
          </w:p>
          <w:p w14:paraId="217D882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22BC2801020000L/164-Bis/2024, signado por el </w:t>
            </w:r>
            <w:r w:rsidRPr="009B6EEE">
              <w:rPr>
                <w:rFonts w:ascii="Palatino Linotype" w:eastAsia="Palatino Linotype" w:hAnsi="Palatino Linotype" w:cs="Palatino Linotype"/>
                <w:b/>
              </w:rPr>
              <w:t xml:space="preserve">Jefe del Departamento de Recursos Humanos y Materiales </w:t>
            </w:r>
            <w:proofErr w:type="spellStart"/>
            <w:r w:rsidRPr="009B6EEE">
              <w:rPr>
                <w:rFonts w:ascii="Palatino Linotype" w:eastAsia="Palatino Linotype" w:hAnsi="Palatino Linotype" w:cs="Palatino Linotype"/>
                <w:b/>
              </w:rPr>
              <w:t>ncargada</w:t>
            </w:r>
            <w:proofErr w:type="spellEnd"/>
            <w:r w:rsidRPr="009B6EEE">
              <w:rPr>
                <w:rFonts w:ascii="Palatino Linotype" w:eastAsia="Palatino Linotype" w:hAnsi="Palatino Linotype" w:cs="Palatino Linotype"/>
                <w:b/>
              </w:rPr>
              <w:t xml:space="preserve"> del Despacho de los Asuntos de la Abogacía General</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67DC6C79"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117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0E3A3BEC"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6B1977AA"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4B10B80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5B70EDB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165D358B"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 xml:space="preserve">Teléfono: 7222766060, Ext. 22033. </w:t>
            </w:r>
          </w:p>
          <w:p w14:paraId="10DBCCB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5B4983A9" w14:textId="77777777" w:rsidR="00A53236" w:rsidRPr="009B6EEE" w:rsidRDefault="00A53236">
            <w:pPr>
              <w:jc w:val="both"/>
              <w:rPr>
                <w:rFonts w:ascii="Palatino Linotype" w:eastAsia="Palatino Linotype" w:hAnsi="Palatino Linotype" w:cs="Palatino Linotype"/>
              </w:rPr>
            </w:pPr>
          </w:p>
          <w:p w14:paraId="2E4CDBE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559D5A9A" w14:textId="77777777" w:rsidR="00A53236" w:rsidRPr="009B6EEE" w:rsidRDefault="00A53236">
            <w:pPr>
              <w:jc w:val="both"/>
              <w:rPr>
                <w:rFonts w:ascii="Palatino Linotype" w:eastAsia="Palatino Linotype" w:hAnsi="Palatino Linotype" w:cs="Palatino Linotype"/>
                <w:b/>
              </w:rPr>
            </w:pPr>
          </w:p>
          <w:p w14:paraId="10A9A170" w14:textId="77777777" w:rsidR="00A53236" w:rsidRPr="009B6EEE" w:rsidRDefault="00BE58F5">
            <w:pPr>
              <w:jc w:val="both"/>
              <w:rPr>
                <w:rFonts w:ascii="Palatino Linotype" w:eastAsia="Palatino Linotype" w:hAnsi="Palatino Linotype" w:cs="Palatino Linotype"/>
                <w:b/>
              </w:rPr>
            </w:pPr>
            <w:proofErr w:type="spellStart"/>
            <w:r w:rsidRPr="009B6EEE">
              <w:rPr>
                <w:rFonts w:ascii="Palatino Linotype" w:eastAsia="Palatino Linotype" w:hAnsi="Palatino Linotype" w:cs="Palatino Linotype"/>
                <w:b/>
                <w:i/>
              </w:rPr>
              <w:t>Saimex</w:t>
            </w:r>
            <w:proofErr w:type="spellEnd"/>
            <w:r w:rsidRPr="009B6EEE">
              <w:rPr>
                <w:rFonts w:ascii="Palatino Linotype" w:eastAsia="Palatino Linotype" w:hAnsi="Palatino Linotype" w:cs="Palatino Linotype"/>
                <w:b/>
                <w:i/>
              </w:rPr>
              <w:t xml:space="preserve"> 0034 .</w:t>
            </w:r>
            <w:proofErr w:type="spellStart"/>
            <w:r w:rsidRPr="009B6EEE">
              <w:rPr>
                <w:rFonts w:ascii="Palatino Linotype" w:eastAsia="Palatino Linotype" w:hAnsi="Palatino Linotype" w:cs="Palatino Linotype"/>
                <w:b/>
                <w:i/>
              </w:rPr>
              <w:t>pdf</w:t>
            </w:r>
            <w:proofErr w:type="spellEnd"/>
            <w:r w:rsidRPr="009B6EEE">
              <w:rPr>
                <w:rFonts w:ascii="Palatino Linotype" w:eastAsia="Palatino Linotype" w:hAnsi="Palatino Linotype" w:cs="Palatino Linotype"/>
                <w:b/>
              </w:rPr>
              <w:t xml:space="preserve">: </w:t>
            </w:r>
          </w:p>
          <w:p w14:paraId="56A2F0D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228C2801020002L/164-Bis/2024, signado por el </w:t>
            </w:r>
            <w:r w:rsidRPr="009B6EEE">
              <w:rPr>
                <w:rFonts w:ascii="Palatino Linotype" w:eastAsia="Palatino Linotype" w:hAnsi="Palatino Linotype" w:cs="Palatino Linotype"/>
                <w:b/>
              </w:rPr>
              <w:t>Jefe de Departamento de Recursos Humanos y Materiales</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43FE8049"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4,200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158C46FD"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cinco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cuatro personas operativas),</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w:t>
            </w:r>
            <w:r w:rsidRPr="009B6EEE">
              <w:rPr>
                <w:rFonts w:ascii="Palatino Linotype" w:eastAsia="Palatino Linotype" w:hAnsi="Palatino Linotype" w:cs="Palatino Linotype"/>
              </w:rPr>
              <w:lastRenderedPageBreak/>
              <w:t xml:space="preserve">“Gaceta del Gobierno”, en fecha 23 de febrero de 2023. </w:t>
            </w:r>
          </w:p>
          <w:p w14:paraId="418C22EA"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38243E0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616C764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19022C3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03669964"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12174448" w14:textId="77777777" w:rsidR="00A53236" w:rsidRPr="009B6EEE" w:rsidRDefault="00A53236">
            <w:pPr>
              <w:jc w:val="both"/>
              <w:rPr>
                <w:rFonts w:ascii="Palatino Linotype" w:eastAsia="Palatino Linotype" w:hAnsi="Palatino Linotype" w:cs="Palatino Linotype"/>
              </w:rPr>
            </w:pPr>
          </w:p>
          <w:p w14:paraId="21A3456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0FAAC362" w14:textId="77777777" w:rsidR="00A53236" w:rsidRPr="009B6EEE" w:rsidRDefault="00A53236">
            <w:pPr>
              <w:jc w:val="both"/>
              <w:rPr>
                <w:rFonts w:ascii="Palatino Linotype" w:eastAsia="Palatino Linotype" w:hAnsi="Palatino Linotype" w:cs="Palatino Linotype"/>
                <w:b/>
              </w:rPr>
            </w:pPr>
          </w:p>
          <w:p w14:paraId="25165235" w14:textId="77777777" w:rsidR="00A53236" w:rsidRPr="009B6EEE" w:rsidRDefault="00BE58F5">
            <w:pPr>
              <w:jc w:val="both"/>
              <w:rPr>
                <w:rFonts w:ascii="Palatino Linotype" w:eastAsia="Palatino Linotype" w:hAnsi="Palatino Linotype" w:cs="Palatino Linotype"/>
                <w:b/>
              </w:rPr>
            </w:pPr>
            <w:r w:rsidRPr="009B6EEE">
              <w:rPr>
                <w:rFonts w:ascii="Palatino Linotype" w:eastAsia="Palatino Linotype" w:hAnsi="Palatino Linotype" w:cs="Palatino Linotype"/>
                <w:b/>
                <w:i/>
              </w:rPr>
              <w:t>141.2024.PDF</w:t>
            </w:r>
            <w:r w:rsidRPr="009B6EEE">
              <w:rPr>
                <w:rFonts w:ascii="Palatino Linotype" w:eastAsia="Palatino Linotype" w:hAnsi="Palatino Linotype" w:cs="Palatino Linotype"/>
                <w:b/>
              </w:rPr>
              <w:t xml:space="preserve">: </w:t>
            </w:r>
          </w:p>
          <w:p w14:paraId="645C794B"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228C2801100000L/141/2024, signado por el </w:t>
            </w:r>
            <w:r w:rsidRPr="009B6EEE">
              <w:rPr>
                <w:rFonts w:ascii="Palatino Linotype" w:eastAsia="Palatino Linotype" w:hAnsi="Palatino Linotype" w:cs="Palatino Linotype"/>
                <w:b/>
              </w:rPr>
              <w:t xml:space="preserve">Secretaria </w:t>
            </w:r>
            <w:proofErr w:type="spellStart"/>
            <w:r w:rsidRPr="009B6EEE">
              <w:rPr>
                <w:rFonts w:ascii="Palatino Linotype" w:eastAsia="Palatino Linotype" w:hAnsi="Palatino Linotype" w:cs="Palatino Linotype"/>
                <w:b/>
              </w:rPr>
              <w:t>Academica</w:t>
            </w:r>
            <w:proofErr w:type="spellEnd"/>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4AA61B5F"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 xml:space="preserve">del 01 de enero al 31 de </w:t>
            </w:r>
            <w:r w:rsidRPr="009B6EEE">
              <w:rPr>
                <w:rFonts w:ascii="Palatino Linotype" w:eastAsia="Palatino Linotype" w:hAnsi="Palatino Linotype" w:cs="Palatino Linotype"/>
                <w:b/>
              </w:rPr>
              <w:lastRenderedPageBreak/>
              <w:t>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758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6174DF48"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tres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dos personas operativas),</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5BA6A9D7"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23CE916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46ACA5EF"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68669E4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43D335E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18C7C187" w14:textId="77777777" w:rsidR="00A53236" w:rsidRPr="009B6EEE" w:rsidRDefault="00A53236">
            <w:pPr>
              <w:jc w:val="both"/>
              <w:rPr>
                <w:rFonts w:ascii="Palatino Linotype" w:eastAsia="Palatino Linotype" w:hAnsi="Palatino Linotype" w:cs="Palatino Linotype"/>
              </w:rPr>
            </w:pPr>
          </w:p>
          <w:p w14:paraId="42580D04"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De igual manera, se informa que, en la consulta de la información, la persona titular de la Unidad de </w:t>
            </w:r>
            <w:r w:rsidRPr="009B6EEE">
              <w:rPr>
                <w:rFonts w:ascii="Palatino Linotype" w:eastAsia="Palatino Linotype" w:hAnsi="Palatino Linotype" w:cs="Palatino Linotype"/>
              </w:rPr>
              <w:lastRenderedPageBreak/>
              <w:t>Transparencia, podrá designar al personal de apoyo que estime necesario.</w:t>
            </w:r>
          </w:p>
          <w:p w14:paraId="46F83C67" w14:textId="77777777" w:rsidR="00A53236" w:rsidRPr="009B6EEE" w:rsidRDefault="00A53236">
            <w:pPr>
              <w:jc w:val="both"/>
              <w:rPr>
                <w:rFonts w:ascii="Palatino Linotype" w:eastAsia="Palatino Linotype" w:hAnsi="Palatino Linotype" w:cs="Palatino Linotype"/>
                <w:b/>
              </w:rPr>
            </w:pPr>
          </w:p>
          <w:p w14:paraId="3C320F1D" w14:textId="77777777" w:rsidR="00A53236" w:rsidRPr="009B6EEE" w:rsidRDefault="00BE58F5">
            <w:pPr>
              <w:jc w:val="both"/>
              <w:rPr>
                <w:rFonts w:ascii="Palatino Linotype" w:eastAsia="Palatino Linotype" w:hAnsi="Palatino Linotype" w:cs="Palatino Linotype"/>
                <w:b/>
              </w:rPr>
            </w:pPr>
            <w:proofErr w:type="spellStart"/>
            <w:r w:rsidRPr="009B6EEE">
              <w:rPr>
                <w:rFonts w:ascii="Palatino Linotype" w:eastAsia="Palatino Linotype" w:hAnsi="Palatino Linotype" w:cs="Palatino Linotype"/>
                <w:b/>
                <w:i/>
              </w:rPr>
              <w:t>saimex</w:t>
            </w:r>
            <w:proofErr w:type="spellEnd"/>
            <w:r w:rsidRPr="009B6EEE">
              <w:rPr>
                <w:rFonts w:ascii="Palatino Linotype" w:eastAsia="Palatino Linotype" w:hAnsi="Palatino Linotype" w:cs="Palatino Linotype"/>
                <w:b/>
                <w:i/>
              </w:rPr>
              <w:t xml:space="preserve"> 00034.PDF</w:t>
            </w:r>
            <w:r w:rsidRPr="009B6EEE">
              <w:rPr>
                <w:rFonts w:ascii="Palatino Linotype" w:eastAsia="Palatino Linotype" w:hAnsi="Palatino Linotype" w:cs="Palatino Linotype"/>
                <w:b/>
              </w:rPr>
              <w:t xml:space="preserve">: </w:t>
            </w:r>
          </w:p>
          <w:p w14:paraId="677AA140"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228C2801140000L/081/2024, signado por el </w:t>
            </w:r>
            <w:r w:rsidRPr="009B6EEE">
              <w:rPr>
                <w:rFonts w:ascii="Palatino Linotype" w:eastAsia="Palatino Linotype" w:hAnsi="Palatino Linotype" w:cs="Palatino Linotype"/>
                <w:b/>
              </w:rPr>
              <w:t>Directora Académica De La División de Ingeniería en Biotecnología y Licenciatura en Negocios Internacionales</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66890CA8"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1,263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32B78543"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45803B53"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Dirección de Ingeniería en </w:t>
            </w:r>
            <w:r w:rsidRPr="009B6EEE">
              <w:rPr>
                <w:rFonts w:ascii="Palatino Linotype" w:eastAsia="Palatino Linotype" w:hAnsi="Palatino Linotype" w:cs="Palatino Linotype"/>
              </w:rPr>
              <w:lastRenderedPageBreak/>
              <w:t xml:space="preserve">Biotecnología y Licenciatura en Negocios Internacionales ubicada en el edificio de Docencia B,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6370ACC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74A12F06"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6695E620"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1FAA37A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602626A9" w14:textId="77777777" w:rsidR="00A53236" w:rsidRPr="009B6EEE" w:rsidRDefault="00A53236">
            <w:pPr>
              <w:jc w:val="both"/>
              <w:rPr>
                <w:rFonts w:ascii="Palatino Linotype" w:eastAsia="Palatino Linotype" w:hAnsi="Palatino Linotype" w:cs="Palatino Linotype"/>
              </w:rPr>
            </w:pPr>
          </w:p>
          <w:p w14:paraId="32A5FA30"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247BC048" w14:textId="77777777" w:rsidR="00A53236" w:rsidRPr="009B6EEE" w:rsidRDefault="00A53236">
            <w:pPr>
              <w:jc w:val="both"/>
              <w:rPr>
                <w:rFonts w:ascii="Palatino Linotype" w:eastAsia="Palatino Linotype" w:hAnsi="Palatino Linotype" w:cs="Palatino Linotype"/>
                <w:b/>
              </w:rPr>
            </w:pPr>
          </w:p>
          <w:p w14:paraId="3A8C5084" w14:textId="77777777" w:rsidR="00A53236" w:rsidRPr="009B6EEE" w:rsidRDefault="00BE58F5">
            <w:pPr>
              <w:jc w:val="both"/>
              <w:rPr>
                <w:rFonts w:ascii="Palatino Linotype" w:eastAsia="Palatino Linotype" w:hAnsi="Palatino Linotype" w:cs="Palatino Linotype"/>
                <w:b/>
              </w:rPr>
            </w:pPr>
            <w:r w:rsidRPr="009B6EEE">
              <w:rPr>
                <w:rFonts w:ascii="Palatino Linotype" w:eastAsia="Palatino Linotype" w:hAnsi="Palatino Linotype" w:cs="Palatino Linotype"/>
                <w:b/>
                <w:i/>
              </w:rPr>
              <w:t>Oficio CD Sol 34 UT 2024.PDF</w:t>
            </w:r>
            <w:r w:rsidRPr="009B6EEE">
              <w:rPr>
                <w:rFonts w:ascii="Palatino Linotype" w:eastAsia="Palatino Linotype" w:hAnsi="Palatino Linotype" w:cs="Palatino Linotype"/>
                <w:b/>
              </w:rPr>
              <w:t xml:space="preserve">: </w:t>
            </w:r>
          </w:p>
          <w:p w14:paraId="33F9A0EF"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228C2801000000L/316-Bis/2024, signado por la </w:t>
            </w:r>
            <w:r w:rsidRPr="009B6EEE">
              <w:rPr>
                <w:rFonts w:ascii="Palatino Linotype" w:eastAsia="Palatino Linotype" w:hAnsi="Palatino Linotype" w:cs="Palatino Linotype"/>
                <w:b/>
              </w:rPr>
              <w:t>Jefa de Departamento de Información, Planeación, Programación y Evaluación</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0A9FC785"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1,500 fojas de oficios emitidos; </w:t>
            </w:r>
            <w:r w:rsidRPr="009B6EEE">
              <w:rPr>
                <w:rFonts w:ascii="Palatino Linotype" w:eastAsia="Palatino Linotype" w:hAnsi="Palatino Linotype" w:cs="Palatino Linotype"/>
              </w:rPr>
              <w:t xml:space="preserve">sin embargo, </w:t>
            </w:r>
            <w:r w:rsidRPr="009B6EEE">
              <w:rPr>
                <w:rFonts w:ascii="Palatino Linotype" w:eastAsia="Palatino Linotype" w:hAnsi="Palatino Linotype" w:cs="Palatino Linotype"/>
              </w:rPr>
              <w:lastRenderedPageBreak/>
              <w:t xml:space="preserve">dicha información no se encuentra digitalizada, toda vez que se posee y se genera como se citó anteriormente. </w:t>
            </w:r>
          </w:p>
          <w:p w14:paraId="2EB5F2DD"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1532CEF2"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5939D86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1B2FD3FE"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14E47252"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1B026C5D"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4703E495" w14:textId="77777777" w:rsidR="00A53236" w:rsidRPr="009B6EEE" w:rsidRDefault="00A53236">
            <w:pPr>
              <w:jc w:val="both"/>
              <w:rPr>
                <w:rFonts w:ascii="Palatino Linotype" w:eastAsia="Palatino Linotype" w:hAnsi="Palatino Linotype" w:cs="Palatino Linotype"/>
              </w:rPr>
            </w:pPr>
          </w:p>
          <w:p w14:paraId="7B64F5D4"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6B37ADB7" w14:textId="77777777" w:rsidR="00A53236" w:rsidRPr="009B6EEE" w:rsidRDefault="00A53236">
            <w:pPr>
              <w:jc w:val="both"/>
              <w:rPr>
                <w:rFonts w:ascii="Palatino Linotype" w:eastAsia="Palatino Linotype" w:hAnsi="Palatino Linotype" w:cs="Palatino Linotype"/>
                <w:b/>
              </w:rPr>
            </w:pPr>
          </w:p>
          <w:p w14:paraId="52102E4E" w14:textId="77777777" w:rsidR="00A53236" w:rsidRPr="009B6EEE" w:rsidRDefault="00BE58F5">
            <w:pPr>
              <w:jc w:val="both"/>
              <w:rPr>
                <w:rFonts w:ascii="Palatino Linotype" w:eastAsia="Palatino Linotype" w:hAnsi="Palatino Linotype" w:cs="Palatino Linotype"/>
                <w:b/>
              </w:rPr>
            </w:pPr>
            <w:r w:rsidRPr="009B6EEE">
              <w:rPr>
                <w:rFonts w:ascii="Palatino Linotype" w:eastAsia="Palatino Linotype" w:hAnsi="Palatino Linotype" w:cs="Palatino Linotype"/>
                <w:b/>
                <w:i/>
              </w:rPr>
              <w:lastRenderedPageBreak/>
              <w:t>SAIMEX 00034.PDF</w:t>
            </w:r>
            <w:r w:rsidRPr="009B6EEE">
              <w:rPr>
                <w:rFonts w:ascii="Palatino Linotype" w:eastAsia="Palatino Linotype" w:hAnsi="Palatino Linotype" w:cs="Palatino Linotype"/>
                <w:b/>
              </w:rPr>
              <w:t xml:space="preserve">: </w:t>
            </w:r>
          </w:p>
          <w:p w14:paraId="51CD44AB"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228C2801010002L/089/2024, signado por la </w:t>
            </w:r>
            <w:r w:rsidRPr="009B6EEE">
              <w:rPr>
                <w:rFonts w:ascii="Palatino Linotype" w:eastAsia="Palatino Linotype" w:hAnsi="Palatino Linotype" w:cs="Palatino Linotype"/>
                <w:b/>
              </w:rPr>
              <w:t>Jefa de Departamento de Vinculación y Extensión</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4AD04842"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844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3370FAA6"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104C70A6"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w:t>
            </w:r>
            <w:r w:rsidRPr="009B6EEE">
              <w:rPr>
                <w:rFonts w:ascii="Palatino Linotype" w:eastAsia="Palatino Linotype" w:hAnsi="Palatino Linotype" w:cs="Palatino Linotype"/>
              </w:rPr>
              <w:lastRenderedPageBreak/>
              <w:t xml:space="preserve">cual se hacen de su conocimiento los siguientes datos: </w:t>
            </w:r>
          </w:p>
          <w:p w14:paraId="5F8A489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570F190D"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7940E5E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49C0DB7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06B0F499" w14:textId="77777777" w:rsidR="00A53236" w:rsidRPr="009B6EEE" w:rsidRDefault="00A53236">
            <w:pPr>
              <w:jc w:val="both"/>
              <w:rPr>
                <w:rFonts w:ascii="Palatino Linotype" w:eastAsia="Palatino Linotype" w:hAnsi="Palatino Linotype" w:cs="Palatino Linotype"/>
              </w:rPr>
            </w:pPr>
          </w:p>
          <w:p w14:paraId="4DA44F2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337E30AA" w14:textId="77777777" w:rsidR="00A53236" w:rsidRPr="009B6EEE" w:rsidRDefault="00A53236">
            <w:pPr>
              <w:jc w:val="both"/>
              <w:rPr>
                <w:rFonts w:ascii="Palatino Linotype" w:eastAsia="Palatino Linotype" w:hAnsi="Palatino Linotype" w:cs="Palatino Linotype"/>
                <w:b/>
              </w:rPr>
            </w:pPr>
          </w:p>
          <w:p w14:paraId="0B1DAFE5" w14:textId="77777777" w:rsidR="00A53236" w:rsidRPr="009B6EEE" w:rsidRDefault="00BE58F5">
            <w:pPr>
              <w:jc w:val="both"/>
              <w:rPr>
                <w:rFonts w:ascii="Palatino Linotype" w:eastAsia="Palatino Linotype" w:hAnsi="Palatino Linotype" w:cs="Palatino Linotype"/>
                <w:b/>
              </w:rPr>
            </w:pPr>
            <w:r w:rsidRPr="009B6EEE">
              <w:rPr>
                <w:rFonts w:ascii="Palatino Linotype" w:eastAsia="Palatino Linotype" w:hAnsi="Palatino Linotype" w:cs="Palatino Linotype"/>
                <w:b/>
                <w:i/>
              </w:rPr>
              <w:t>Sol 34.PDF</w:t>
            </w:r>
            <w:r w:rsidRPr="009B6EEE">
              <w:rPr>
                <w:rFonts w:ascii="Palatino Linotype" w:eastAsia="Palatino Linotype" w:hAnsi="Palatino Linotype" w:cs="Palatino Linotype"/>
                <w:b/>
              </w:rPr>
              <w:t xml:space="preserve">: </w:t>
            </w:r>
          </w:p>
          <w:p w14:paraId="0CF1984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228C280110102L/127/2024, signado por el </w:t>
            </w:r>
            <w:r w:rsidRPr="009B6EEE">
              <w:rPr>
                <w:rFonts w:ascii="Palatino Linotype" w:eastAsia="Palatino Linotype" w:hAnsi="Palatino Linotype" w:cs="Palatino Linotype"/>
                <w:b/>
              </w:rPr>
              <w:t>Jefe de Departamento de Tecnologías de la Información</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2B6B4BC3"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970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4E463043"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la persona Titular de esta </w:t>
            </w:r>
            <w:r w:rsidRPr="009B6EEE">
              <w:rPr>
                <w:rFonts w:ascii="Palatino Linotype" w:eastAsia="Palatino Linotype" w:hAnsi="Palatino Linotype" w:cs="Palatino Linotype"/>
                <w:b/>
              </w:rPr>
              <w:lastRenderedPageBreak/>
              <w:t>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75B64B8F"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6D7DA941"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08D309A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2325A921"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76D61494"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0DE05772" w14:textId="77777777" w:rsidR="00A53236" w:rsidRPr="009B6EEE" w:rsidRDefault="00A53236">
            <w:pPr>
              <w:jc w:val="both"/>
              <w:rPr>
                <w:rFonts w:ascii="Palatino Linotype" w:eastAsia="Palatino Linotype" w:hAnsi="Palatino Linotype" w:cs="Palatino Linotype"/>
              </w:rPr>
            </w:pPr>
          </w:p>
          <w:p w14:paraId="7287769E"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51DE932B" w14:textId="77777777" w:rsidR="00A53236" w:rsidRPr="009B6EEE" w:rsidRDefault="00A53236">
            <w:pPr>
              <w:jc w:val="both"/>
              <w:rPr>
                <w:rFonts w:ascii="Palatino Linotype" w:eastAsia="Palatino Linotype" w:hAnsi="Palatino Linotype" w:cs="Palatino Linotype"/>
                <w:b/>
              </w:rPr>
            </w:pPr>
          </w:p>
          <w:p w14:paraId="62C0B78E" w14:textId="77777777" w:rsidR="00A53236" w:rsidRPr="009B6EEE" w:rsidRDefault="00BE58F5">
            <w:pPr>
              <w:jc w:val="both"/>
              <w:rPr>
                <w:rFonts w:ascii="Palatino Linotype" w:eastAsia="Palatino Linotype" w:hAnsi="Palatino Linotype" w:cs="Palatino Linotype"/>
                <w:b/>
                <w:i/>
              </w:rPr>
            </w:pPr>
            <w:r w:rsidRPr="009B6EEE">
              <w:rPr>
                <w:rFonts w:ascii="Palatino Linotype" w:eastAsia="Palatino Linotype" w:hAnsi="Palatino Linotype" w:cs="Palatino Linotype"/>
                <w:b/>
                <w:i/>
              </w:rPr>
              <w:t xml:space="preserve">SAIMEX 34.pdf: </w:t>
            </w:r>
          </w:p>
          <w:p w14:paraId="164EA1BF"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228C2801000000L/119/2024, signado por la </w:t>
            </w:r>
            <w:r w:rsidRPr="009B6EEE">
              <w:rPr>
                <w:rFonts w:ascii="Palatino Linotype" w:eastAsia="Palatino Linotype" w:hAnsi="Palatino Linotype" w:cs="Palatino Linotype"/>
                <w:b/>
              </w:rPr>
              <w:t>Directora de División de Ingeniería Industrial</w:t>
            </w:r>
            <w:r w:rsidRPr="009B6EEE">
              <w:rPr>
                <w:rFonts w:ascii="Palatino Linotype" w:eastAsia="Palatino Linotype" w:hAnsi="Palatino Linotype" w:cs="Palatino Linotype"/>
              </w:rPr>
              <w:t xml:space="preserve">, en el que informó medularmente el cambio de entrega de la </w:t>
            </w:r>
            <w:r w:rsidRPr="009B6EEE">
              <w:rPr>
                <w:rFonts w:ascii="Palatino Linotype" w:eastAsia="Palatino Linotype" w:hAnsi="Palatino Linotype" w:cs="Palatino Linotype"/>
              </w:rPr>
              <w:lastRenderedPageBreak/>
              <w:t xml:space="preserve">información a Consulta Directa, motivado en los siguientes hechos: </w:t>
            </w:r>
          </w:p>
          <w:p w14:paraId="619FEA16"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1,039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4EE435B1"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23ECB021"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4A2D99E2"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w:t>
            </w:r>
            <w:r w:rsidRPr="009B6EEE">
              <w:rPr>
                <w:rFonts w:ascii="Palatino Linotype" w:eastAsia="Palatino Linotype" w:hAnsi="Palatino Linotype" w:cs="Palatino Linotype"/>
              </w:rPr>
              <w:lastRenderedPageBreak/>
              <w:t xml:space="preserve">Fernández, Jefa del Departamento de Información, Planeación, Programación y Evaluación. </w:t>
            </w:r>
          </w:p>
          <w:p w14:paraId="5275604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7BFB29D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6D819AE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201FD8B3" w14:textId="77777777" w:rsidR="00A53236" w:rsidRPr="009B6EEE" w:rsidRDefault="00A53236">
            <w:pPr>
              <w:jc w:val="both"/>
              <w:rPr>
                <w:rFonts w:ascii="Palatino Linotype" w:eastAsia="Palatino Linotype" w:hAnsi="Palatino Linotype" w:cs="Palatino Linotype"/>
              </w:rPr>
            </w:pPr>
          </w:p>
          <w:p w14:paraId="00C9039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3A9BE3BE" w14:textId="77777777" w:rsidR="00A53236" w:rsidRPr="009B6EEE" w:rsidRDefault="00A53236">
            <w:pPr>
              <w:jc w:val="both"/>
              <w:rPr>
                <w:rFonts w:ascii="Palatino Linotype" w:eastAsia="Palatino Linotype" w:hAnsi="Palatino Linotype" w:cs="Palatino Linotype"/>
                <w:b/>
              </w:rPr>
            </w:pPr>
          </w:p>
          <w:p w14:paraId="097CBDBB" w14:textId="77777777" w:rsidR="00A53236" w:rsidRPr="009B6EEE" w:rsidRDefault="00BE58F5">
            <w:pPr>
              <w:jc w:val="both"/>
              <w:rPr>
                <w:rFonts w:ascii="Palatino Linotype" w:eastAsia="Palatino Linotype" w:hAnsi="Palatino Linotype" w:cs="Palatino Linotype"/>
                <w:b/>
                <w:i/>
              </w:rPr>
            </w:pPr>
            <w:proofErr w:type="spellStart"/>
            <w:r w:rsidRPr="009B6EEE">
              <w:rPr>
                <w:rFonts w:ascii="Palatino Linotype" w:eastAsia="Palatino Linotype" w:hAnsi="Palatino Linotype" w:cs="Palatino Linotype"/>
                <w:b/>
                <w:i/>
              </w:rPr>
              <w:t>Saimex</w:t>
            </w:r>
            <w:proofErr w:type="spellEnd"/>
            <w:r w:rsidRPr="009B6EEE">
              <w:rPr>
                <w:rFonts w:ascii="Palatino Linotype" w:eastAsia="Palatino Linotype" w:hAnsi="Palatino Linotype" w:cs="Palatino Linotype"/>
                <w:b/>
                <w:i/>
              </w:rPr>
              <w:t xml:space="preserve"> 034 de daf.pdf: </w:t>
            </w:r>
          </w:p>
          <w:p w14:paraId="11875560"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228C2801000000L/119/2024, signado por la </w:t>
            </w:r>
            <w:r w:rsidRPr="009B6EEE">
              <w:rPr>
                <w:rFonts w:ascii="Palatino Linotype" w:eastAsia="Palatino Linotype" w:hAnsi="Palatino Linotype" w:cs="Palatino Linotype"/>
                <w:b/>
              </w:rPr>
              <w:t>Dirección de Administración y Finanzas</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0FE2FE53"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781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12435D58"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w:t>
            </w:r>
            <w:r w:rsidRPr="009B6EEE">
              <w:rPr>
                <w:rFonts w:ascii="Palatino Linotype" w:eastAsia="Palatino Linotype" w:hAnsi="Palatino Linotype" w:cs="Palatino Linotype"/>
              </w:rPr>
              <w:lastRenderedPageBreak/>
              <w:t xml:space="preserve">Organización de la Universidad Politécnica del Valle de Toluca, publicado en el Periódico Oficial “Gaceta del Gobierno”, en fecha 23 de febrero de 2023. </w:t>
            </w:r>
          </w:p>
          <w:p w14:paraId="3D60AC5F"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40C1833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5AD3B27D"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067359A1"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12421E6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0D950FA4" w14:textId="77777777" w:rsidR="00A53236" w:rsidRPr="009B6EEE" w:rsidRDefault="00A53236">
            <w:pPr>
              <w:jc w:val="both"/>
              <w:rPr>
                <w:rFonts w:ascii="Palatino Linotype" w:eastAsia="Palatino Linotype" w:hAnsi="Palatino Linotype" w:cs="Palatino Linotype"/>
              </w:rPr>
            </w:pPr>
          </w:p>
          <w:p w14:paraId="2A85BF3A"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6805D3D5" w14:textId="77777777" w:rsidR="00A53236" w:rsidRPr="009B6EEE" w:rsidRDefault="00A53236">
            <w:pPr>
              <w:jc w:val="both"/>
              <w:rPr>
                <w:rFonts w:ascii="Palatino Linotype" w:eastAsia="Palatino Linotype" w:hAnsi="Palatino Linotype" w:cs="Palatino Linotype"/>
                <w:b/>
              </w:rPr>
            </w:pPr>
          </w:p>
          <w:p w14:paraId="429C8252" w14:textId="77777777" w:rsidR="00A53236" w:rsidRPr="009B6EEE" w:rsidRDefault="00BE58F5">
            <w:pPr>
              <w:jc w:val="both"/>
              <w:rPr>
                <w:rFonts w:ascii="Palatino Linotype" w:eastAsia="Palatino Linotype" w:hAnsi="Palatino Linotype" w:cs="Palatino Linotype"/>
                <w:b/>
                <w:i/>
              </w:rPr>
            </w:pPr>
            <w:r w:rsidRPr="009B6EEE">
              <w:rPr>
                <w:rFonts w:ascii="Palatino Linotype" w:eastAsia="Palatino Linotype" w:hAnsi="Palatino Linotype" w:cs="Palatino Linotype"/>
                <w:b/>
                <w:i/>
              </w:rPr>
              <w:t xml:space="preserve">Oficio 098-Bis.pdf: </w:t>
            </w:r>
          </w:p>
          <w:p w14:paraId="09406BDE"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228C2801100100L/098-Bis/2024, signado por la </w:t>
            </w:r>
            <w:r w:rsidRPr="009B6EEE">
              <w:rPr>
                <w:rFonts w:ascii="Palatino Linotype" w:eastAsia="Palatino Linotype" w:hAnsi="Palatino Linotype" w:cs="Palatino Linotype"/>
                <w:b/>
              </w:rPr>
              <w:t>Subdirectora de Servicios Escolares</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0776E298"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w:t>
            </w:r>
            <w:r w:rsidRPr="009B6EEE">
              <w:rPr>
                <w:rFonts w:ascii="Palatino Linotype" w:eastAsia="Palatino Linotype" w:hAnsi="Palatino Linotype" w:cs="Palatino Linotype"/>
              </w:rPr>
              <w:lastRenderedPageBreak/>
              <w:t xml:space="preserve">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796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76DF8482"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tres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dos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77EB5E44"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1B8C5E6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730E471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05CA4DF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3D1DEC7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4004CAF3" w14:textId="77777777" w:rsidR="00A53236" w:rsidRPr="009B6EEE" w:rsidRDefault="00A53236">
            <w:pPr>
              <w:jc w:val="both"/>
              <w:rPr>
                <w:rFonts w:ascii="Palatino Linotype" w:eastAsia="Palatino Linotype" w:hAnsi="Palatino Linotype" w:cs="Palatino Linotype"/>
              </w:rPr>
            </w:pPr>
          </w:p>
          <w:p w14:paraId="12EA979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De igual manera, se informa que, en la consulta de la información, la persona titular de la Unidad de Transparencia, podrá designar al personal de apoyo que estime necesario.</w:t>
            </w:r>
          </w:p>
          <w:p w14:paraId="4CC5F7A9" w14:textId="77777777" w:rsidR="00A53236" w:rsidRPr="009B6EEE" w:rsidRDefault="00A53236">
            <w:pPr>
              <w:jc w:val="both"/>
              <w:rPr>
                <w:rFonts w:ascii="Palatino Linotype" w:eastAsia="Palatino Linotype" w:hAnsi="Palatino Linotype" w:cs="Palatino Linotype"/>
                <w:b/>
              </w:rPr>
            </w:pPr>
          </w:p>
          <w:p w14:paraId="61BAE1A3" w14:textId="77777777" w:rsidR="00A53236" w:rsidRPr="009B6EEE" w:rsidRDefault="00BE58F5">
            <w:pPr>
              <w:jc w:val="both"/>
              <w:rPr>
                <w:rFonts w:ascii="Palatino Linotype" w:eastAsia="Palatino Linotype" w:hAnsi="Palatino Linotype" w:cs="Palatino Linotype"/>
                <w:b/>
                <w:i/>
              </w:rPr>
            </w:pPr>
            <w:proofErr w:type="spellStart"/>
            <w:r w:rsidRPr="009B6EEE">
              <w:rPr>
                <w:rFonts w:ascii="Palatino Linotype" w:eastAsia="Palatino Linotype" w:hAnsi="Palatino Linotype" w:cs="Palatino Linotype"/>
                <w:b/>
                <w:i/>
              </w:rPr>
              <w:t>saimex</w:t>
            </w:r>
            <w:proofErr w:type="spellEnd"/>
            <w:r w:rsidRPr="009B6EEE">
              <w:rPr>
                <w:rFonts w:ascii="Palatino Linotype" w:eastAsia="Palatino Linotype" w:hAnsi="Palatino Linotype" w:cs="Palatino Linotype"/>
                <w:b/>
                <w:i/>
              </w:rPr>
              <w:t xml:space="preserve"> 34.pdf: </w:t>
            </w:r>
          </w:p>
          <w:p w14:paraId="596F22D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228C2801100000L/176/2024, signado por la </w:t>
            </w:r>
            <w:r w:rsidRPr="009B6EEE">
              <w:rPr>
                <w:rFonts w:ascii="Palatino Linotype" w:eastAsia="Palatino Linotype" w:hAnsi="Palatino Linotype" w:cs="Palatino Linotype"/>
                <w:b/>
              </w:rPr>
              <w:t>Titular de la Dirección de División de Ingeniería en Tecnologías de la información</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1798C99C"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01 de enero al 31 de diciembre de 2022</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5,086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5B7B12ED"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la persona Titular de esta Unidad Administrativa y una persona operativa),</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1B920337"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4B9204C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3BCE688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788C4D1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397673F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104B1037" w14:textId="77777777" w:rsidR="00A53236" w:rsidRPr="009B6EEE" w:rsidRDefault="00A53236">
            <w:pPr>
              <w:jc w:val="both"/>
              <w:rPr>
                <w:rFonts w:ascii="Palatino Linotype" w:eastAsia="Palatino Linotype" w:hAnsi="Palatino Linotype" w:cs="Palatino Linotype"/>
              </w:rPr>
            </w:pPr>
          </w:p>
          <w:p w14:paraId="2AB9C6C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340B8DFF" w14:textId="77777777" w:rsidR="00A53236" w:rsidRPr="009B6EEE" w:rsidRDefault="00A53236">
            <w:pPr>
              <w:jc w:val="both"/>
              <w:rPr>
                <w:rFonts w:ascii="Palatino Linotype" w:eastAsia="Palatino Linotype" w:hAnsi="Palatino Linotype" w:cs="Palatino Linotype"/>
                <w:b/>
              </w:rPr>
            </w:pPr>
          </w:p>
          <w:p w14:paraId="3A5330FA" w14:textId="77777777" w:rsidR="00A53236" w:rsidRPr="009B6EEE" w:rsidRDefault="00BE58F5">
            <w:pPr>
              <w:jc w:val="both"/>
              <w:rPr>
                <w:rFonts w:ascii="Palatino Linotype" w:eastAsia="Palatino Linotype" w:hAnsi="Palatino Linotype" w:cs="Palatino Linotype"/>
                <w:b/>
                <w:i/>
              </w:rPr>
            </w:pPr>
            <w:r w:rsidRPr="009B6EEE">
              <w:rPr>
                <w:rFonts w:ascii="Palatino Linotype" w:eastAsia="Palatino Linotype" w:hAnsi="Palatino Linotype" w:cs="Palatino Linotype"/>
                <w:b/>
                <w:i/>
              </w:rPr>
              <w:t xml:space="preserve">34 UT.PDF: </w:t>
            </w:r>
          </w:p>
          <w:p w14:paraId="248AA949" w14:textId="77777777" w:rsidR="00A53236" w:rsidRPr="009B6EEE" w:rsidRDefault="00BE58F5">
            <w:pPr>
              <w:jc w:val="both"/>
              <w:rPr>
                <w:rFonts w:ascii="Palatino Linotype" w:eastAsia="Palatino Linotype" w:hAnsi="Palatino Linotype" w:cs="Palatino Linotype"/>
                <w:b/>
              </w:rPr>
            </w:pPr>
            <w:r w:rsidRPr="009B6EEE">
              <w:rPr>
                <w:rFonts w:ascii="Palatino Linotype" w:eastAsia="Palatino Linotype" w:hAnsi="Palatino Linotype" w:cs="Palatino Linotype"/>
              </w:rPr>
              <w:t xml:space="preserve">Oficio número 228C2801010001L/331/2024 de fecha ocho de abril de dos mil veinticuatro, signado por la Jefa de Departamento de Información, Planeación, Programación y Evaluación, mediante el cual informó a la persona solicitante los oficios emitidos por la Titular de la Secretaría Académica, así como por los servidores públicos habilitados de la Rectoría, Abogacía General, Dirección de División de Ingeniería Mecatrónica e Ingeniería Mecánica Automotriz, Dirección de División de Ingeniería en Biotecnología y Licenciatura en Negocios Internacionales, Dirección de División de </w:t>
            </w:r>
            <w:r w:rsidRPr="009B6EEE">
              <w:rPr>
                <w:rFonts w:ascii="Palatino Linotype" w:eastAsia="Palatino Linotype" w:hAnsi="Palatino Linotype" w:cs="Palatino Linotype"/>
              </w:rPr>
              <w:lastRenderedPageBreak/>
              <w:t xml:space="preserve">Ingeniería Industrial e Ingeniería en Energía, Dirección de División de Ingeniería en Tecnologías de la Información, Subdirección de Servicios Escolares, Departamento de Control Escolar, Departamento de Tecnologías de la Información, Dirección de Administración y Finanzas, Departamento de Recursos Financieros, Departamento de Recursos Humanos y Materiales, Dirección de Planeación, Vinculación e Igualdad de Género, Departamento de Información, Planeación, Programación y Evaluación, y del Departamento de Vinculación y Extensión, en los que en ejercicio de sus atribuciones y funciones conferidas en el Manual General de Organización de la Universidad Politécnica del Valle de Toluca, publicado en el Periódico Oficial “Gaceta de Gobierno”, en fecha 22 de febrero de 2023. </w:t>
            </w:r>
          </w:p>
          <w:p w14:paraId="768D0D6A" w14:textId="77777777" w:rsidR="00A53236" w:rsidRPr="009B6EEE" w:rsidRDefault="00A53236">
            <w:pPr>
              <w:jc w:val="both"/>
              <w:rPr>
                <w:rFonts w:ascii="Palatino Linotype" w:eastAsia="Palatino Linotype" w:hAnsi="Palatino Linotype" w:cs="Palatino Linotype"/>
                <w:b/>
              </w:rPr>
            </w:pPr>
          </w:p>
        </w:tc>
      </w:tr>
      <w:tr w:rsidR="009B6EEE" w:rsidRPr="009B6EEE" w14:paraId="4FFA2A4D" w14:textId="77777777">
        <w:tc>
          <w:tcPr>
            <w:tcW w:w="3823" w:type="dxa"/>
          </w:tcPr>
          <w:p w14:paraId="25B047B7"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lastRenderedPageBreak/>
              <w:t xml:space="preserve">00039/UPVT/IP/2024, </w:t>
            </w:r>
            <w:r w:rsidRPr="009B6EEE">
              <w:rPr>
                <w:rFonts w:ascii="Palatino Linotype" w:eastAsia="Palatino Linotype" w:hAnsi="Palatino Linotype" w:cs="Palatino Linotype"/>
              </w:rPr>
              <w:t>correspondiente al Recurso de Revisión</w:t>
            </w:r>
            <w:r w:rsidRPr="009B6EEE">
              <w:rPr>
                <w:rFonts w:ascii="Palatino Linotype" w:eastAsia="Palatino Linotype" w:hAnsi="Palatino Linotype" w:cs="Palatino Linotype"/>
                <w:b/>
              </w:rPr>
              <w:t xml:space="preserve">    02245/INFOEM/IP/RR/2024</w:t>
            </w:r>
          </w:p>
        </w:tc>
        <w:tc>
          <w:tcPr>
            <w:tcW w:w="5098" w:type="dxa"/>
          </w:tcPr>
          <w:p w14:paraId="76BBFC69" w14:textId="77777777" w:rsidR="00A53236" w:rsidRPr="009B6EEE" w:rsidRDefault="00BE58F5">
            <w:pPr>
              <w:spacing w:line="276" w:lineRule="auto"/>
              <w:jc w:val="both"/>
              <w:rPr>
                <w:rFonts w:ascii="Palatino Linotype" w:eastAsia="Palatino Linotype" w:hAnsi="Palatino Linotype" w:cs="Palatino Linotype"/>
                <w:i/>
              </w:rPr>
            </w:pPr>
            <w:r w:rsidRPr="009B6EEE">
              <w:rPr>
                <w:rFonts w:ascii="Palatino Linotype" w:eastAsia="Palatino Linotype" w:hAnsi="Palatino Linotype" w:cs="Palatino Linotype"/>
                <w:i/>
              </w:rPr>
              <w:t xml:space="preserve">“Oficio núm.: 228C2801010001L/334/2024 Almoloya de Juárez, México a 08 de abril de marzo de 2024. C. PERSONA SOLICITANTE DE LA INFORMACIÓN PRESENTE De conformidad en los artículos: 1, 2, 3, fracciones XLIV, 4, 12, 16, 23 fracción V, 24 fracción XI y último párrafo, 50, 51, 53 fracciones I, IV, V y VI de la Ley de Transparencia y Acceso a la Información Pública del Estado de México y Municipios, me permito informar a Usted lo siguiente: En atención a la solicitud de información pública con el número de folio: 00039/UPVT/IP/2024, presentada en fecha 27 de febrero de 2024, a través del Sistema de Acceso a la Información Mexiquense (SAIMEX) de este Sujeto Obligado, adjunto a la presente copia digitalizada, en </w:t>
            </w:r>
            <w:r w:rsidRPr="009B6EEE">
              <w:rPr>
                <w:rFonts w:ascii="Palatino Linotype" w:eastAsia="Palatino Linotype" w:hAnsi="Palatino Linotype" w:cs="Palatino Linotype"/>
                <w:i/>
              </w:rPr>
              <w:lastRenderedPageBreak/>
              <w:t xml:space="preserve">formato PDF, del oficio emitido por el Servidor Público Habilitado del Departamento de Control Escolar en el que, en ejercicio de sus atribuciones y funciones conferidas en el Manual General de Organización de la Universidad Politécnica del Valle de Toluca, publicado en el Periódico Oficial “Gaceta del Gobierno”, en fecha 22 de febrero de 2023, atiende la solicitud de información que se indica a continuación: “SOLICITO TODOS LOS OFICIOS GENERADOS POR CONTROL ESCOLAR A LA FECHA DE MI SOLICITUD” (sic). Al respecto, es de señalar que esta Unidad de Transparencia, no tiene atribuciones para pronunciarse sobre la veracidad de la información; puesto que de conformidad con el artículo 53 de la Ley de Transparencia y Acceso a la Información Pública del Estado de México y Municipios, no se prevé una causal que permita a la Unidad de Transparencia pronunciarse respecto del contenido de los documentos proporcionados por los Servidores Públicos Habilitados, siendo responsabilidad de los mismos la información proporcionada a los particulares en respuesta a las solicitudes de información presentadas. Finalmente, se hace de su conocimiento que cuenta con un plazo de quince días para interponer el recurso de revisión que señala en los artículos 176, 177 y 178 de la Ley referida, en caso de considerar que la respuesta es desfavorable a su solicitud. Sin otro particular, me reitero a sus apreciables órdenes. A t e n t a m e n t e Lic. Perla Guadalupe Martínez Fernández Jefa del Departamento de Información, Planeación, Programación y Evaluación y Titular de la Unidad de Transparencia </w:t>
            </w:r>
            <w:proofErr w:type="spellStart"/>
            <w:r w:rsidRPr="009B6EEE">
              <w:rPr>
                <w:rFonts w:ascii="Palatino Linotype" w:eastAsia="Palatino Linotype" w:hAnsi="Palatino Linotype" w:cs="Palatino Linotype"/>
                <w:i/>
              </w:rPr>
              <w:lastRenderedPageBreak/>
              <w:t>C.c.p</w:t>
            </w:r>
            <w:proofErr w:type="spellEnd"/>
            <w:r w:rsidRPr="009B6EEE">
              <w:rPr>
                <w:rFonts w:ascii="Palatino Linotype" w:eastAsia="Palatino Linotype" w:hAnsi="Palatino Linotype" w:cs="Palatino Linotype"/>
                <w:i/>
              </w:rPr>
              <w:t>. Dr. Jair Jesús Sánchez Valdés – Rector de la Universidad Politécnica del Valle de Toluca. Lic. Jesús Luis Villa - Titular del Órgano Interno de Control. Archivo/PGMF/</w:t>
            </w:r>
            <w:proofErr w:type="spellStart"/>
            <w:r w:rsidRPr="009B6EEE">
              <w:rPr>
                <w:rFonts w:ascii="Palatino Linotype" w:eastAsia="Palatino Linotype" w:hAnsi="Palatino Linotype" w:cs="Palatino Linotype"/>
                <w:i/>
              </w:rPr>
              <w:t>mma</w:t>
            </w:r>
            <w:proofErr w:type="spellEnd"/>
            <w:r w:rsidRPr="009B6EEE">
              <w:rPr>
                <w:rFonts w:ascii="Palatino Linotype" w:eastAsia="Palatino Linotype" w:hAnsi="Palatino Linotype" w:cs="Palatino Linotype"/>
                <w:i/>
              </w:rPr>
              <w:t>”</w:t>
            </w:r>
          </w:p>
          <w:p w14:paraId="24CF4C8B" w14:textId="77777777" w:rsidR="00A53236" w:rsidRPr="009B6EEE" w:rsidRDefault="00BE58F5">
            <w:pPr>
              <w:spacing w:before="240" w:after="240"/>
              <w:jc w:val="both"/>
              <w:rPr>
                <w:rFonts w:ascii="Palatino Linotype" w:eastAsia="Palatino Linotype" w:hAnsi="Palatino Linotype" w:cs="Palatino Linotype"/>
                <w:b/>
              </w:rPr>
            </w:pPr>
            <w:r w:rsidRPr="009B6EEE">
              <w:rPr>
                <w:rFonts w:ascii="Palatino Linotype" w:eastAsia="Palatino Linotype" w:hAnsi="Palatino Linotype" w:cs="Palatino Linotype"/>
                <w:b/>
              </w:rPr>
              <w:t xml:space="preserve">Archivos adjuntos: </w:t>
            </w:r>
          </w:p>
          <w:p w14:paraId="3FB848D6" w14:textId="77777777" w:rsidR="00A53236" w:rsidRPr="009B6EEE" w:rsidRDefault="00BE58F5">
            <w:pPr>
              <w:spacing w:before="240" w:after="240"/>
              <w:jc w:val="both"/>
              <w:rPr>
                <w:rFonts w:ascii="Palatino Linotype" w:eastAsia="Palatino Linotype" w:hAnsi="Palatino Linotype" w:cs="Palatino Linotype"/>
                <w:b/>
                <w:i/>
              </w:rPr>
            </w:pPr>
            <w:r w:rsidRPr="009B6EEE">
              <w:rPr>
                <w:rFonts w:ascii="Palatino Linotype" w:eastAsia="Palatino Linotype" w:hAnsi="Palatino Linotype" w:cs="Palatino Linotype"/>
                <w:b/>
                <w:i/>
              </w:rPr>
              <w:t xml:space="preserve">00039UPVTIP2024.pdf: </w:t>
            </w:r>
          </w:p>
          <w:p w14:paraId="1BCF1981"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Oficio número 228C2801100101L/072/2024, signado por el</w:t>
            </w:r>
            <w:r w:rsidRPr="009B6EEE">
              <w:rPr>
                <w:rFonts w:ascii="Palatino Linotype" w:eastAsia="Palatino Linotype" w:hAnsi="Palatino Linotype" w:cs="Palatino Linotype"/>
                <w:b/>
              </w:rPr>
              <w:t xml:space="preserve"> Jefe de Departamento de Control Escolar</w:t>
            </w:r>
            <w:r w:rsidRPr="009B6EEE">
              <w:rPr>
                <w:rFonts w:ascii="Palatino Linotype" w:eastAsia="Palatino Linotype" w:hAnsi="Palatino Linotype" w:cs="Palatino Linotype"/>
              </w:rPr>
              <w:t xml:space="preserve">, en el que informó medularmente el cambio de entrega de la información a Consulta Directa, motivado en los siguientes hechos: </w:t>
            </w:r>
          </w:p>
          <w:p w14:paraId="73122295"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los oficios emitidos por esta Unidad Administrativa se encuentran físicamente en el archivo de trámite y concentración de esta Unidad Administrativa, por lo que el número de fojas que corresponden a dicha información del periodo comprendido </w:t>
            </w:r>
            <w:r w:rsidRPr="009B6EEE">
              <w:rPr>
                <w:rFonts w:ascii="Palatino Linotype" w:eastAsia="Palatino Linotype" w:hAnsi="Palatino Linotype" w:cs="Palatino Linotype"/>
                <w:b/>
              </w:rPr>
              <w:t>del 27 de febrero de 2023 al 27 de febrero de 2024</w:t>
            </w:r>
            <w:r w:rsidRPr="009B6EEE">
              <w:rPr>
                <w:rFonts w:ascii="Palatino Linotype" w:eastAsia="Palatino Linotype" w:hAnsi="Palatino Linotype" w:cs="Palatino Linotype"/>
              </w:rPr>
              <w:t xml:space="preserve">, </w:t>
            </w:r>
            <w:r w:rsidRPr="009B6EEE">
              <w:rPr>
                <w:rFonts w:ascii="Palatino Linotype" w:eastAsia="Palatino Linotype" w:hAnsi="Palatino Linotype" w:cs="Palatino Linotype"/>
                <w:b/>
              </w:rPr>
              <w:t xml:space="preserve">contabilizan un total de 314 fojas de oficios emitidos; </w:t>
            </w:r>
            <w:r w:rsidRPr="009B6EEE">
              <w:rPr>
                <w:rFonts w:ascii="Palatino Linotype" w:eastAsia="Palatino Linotype" w:hAnsi="Palatino Linotype" w:cs="Palatino Linotype"/>
              </w:rPr>
              <w:t xml:space="preserve">sin embargo, dicha información no se encuentra digitalizada, toda vez que se posee y se genera como se citó anteriormente. </w:t>
            </w:r>
          </w:p>
          <w:p w14:paraId="19C59B3A"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Que actualmente el personal adscrito a esta unidad administrativa consta de </w:t>
            </w:r>
            <w:r w:rsidRPr="009B6EEE">
              <w:rPr>
                <w:rFonts w:ascii="Palatino Linotype" w:eastAsia="Palatino Linotype" w:hAnsi="Palatino Linotype" w:cs="Palatino Linotype"/>
                <w:b/>
              </w:rPr>
              <w:t>dos personas servidoras públicas,</w:t>
            </w:r>
            <w:r w:rsidRPr="009B6EEE">
              <w:rPr>
                <w:rFonts w:ascii="Palatino Linotype" w:eastAsia="Palatino Linotype" w:hAnsi="Palatino Linotype" w:cs="Palatino Linotype"/>
              </w:rPr>
              <w:t xml:space="preserve"> las cuales tienen encomendadas las funciones y atribuciones establecidas en la fracción VII del Manual General de Organización de la Universidad Politécnica del Valle de Toluca, publicado en el Periódico Oficial “Gaceta del Gobierno”, en fecha 23 de febrero de 2023. </w:t>
            </w:r>
          </w:p>
          <w:p w14:paraId="4CE0C587" w14:textId="77777777" w:rsidR="00A53236" w:rsidRPr="009B6EEE" w:rsidRDefault="00BE58F5">
            <w:pPr>
              <w:numPr>
                <w:ilvl w:val="0"/>
                <w:numId w:val="6"/>
              </w:numPr>
              <w:pBdr>
                <w:top w:val="nil"/>
                <w:left w:val="nil"/>
                <w:bottom w:val="nil"/>
                <w:right w:val="nil"/>
                <w:between w:val="nil"/>
              </w:pBdr>
              <w:ind w:left="168" w:hanging="283"/>
              <w:jc w:val="both"/>
              <w:rPr>
                <w:rFonts w:ascii="Palatino Linotype" w:eastAsia="Palatino Linotype" w:hAnsi="Palatino Linotype" w:cs="Palatino Linotype"/>
              </w:rPr>
            </w:pPr>
            <w:r w:rsidRPr="009B6EEE">
              <w:rPr>
                <w:rFonts w:ascii="Palatino Linotype" w:eastAsia="Palatino Linotype" w:hAnsi="Palatino Linotype" w:cs="Palatino Linotype"/>
              </w:rPr>
              <w:lastRenderedPageBreak/>
              <w:t xml:space="preserve">Que la consulta de información se llevara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rPr>
              <w:t>Tlalcilalcalli</w:t>
            </w:r>
            <w:proofErr w:type="spellEnd"/>
            <w:r w:rsidRPr="009B6EEE">
              <w:rPr>
                <w:rFonts w:ascii="Palatino Linotype" w:eastAsia="Palatino Linotype" w:hAnsi="Palatino Linotype" w:cs="Palatino Linotype"/>
              </w:rPr>
              <w:t xml:space="preserve">, C.P 50904, Almoloya de Juárez, Estado de México, para lo cual se hacen de su conocimiento los siguientes datos: </w:t>
            </w:r>
          </w:p>
          <w:p w14:paraId="6606B47E"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Nombre de la persona Titular de la Unidad de Transparencia: Lic. Perla Guadalupe Martínez Fernández, Jefa del Departamento de Información, Planeación, Programación y Evaluación. </w:t>
            </w:r>
          </w:p>
          <w:p w14:paraId="2A47278E"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w:t>
            </w:r>
            <w:r w:rsidRPr="009B6EEE">
              <w:rPr>
                <w:rFonts w:ascii="Palatino Linotype" w:eastAsia="Palatino Linotype" w:hAnsi="Palatino Linotype" w:cs="Palatino Linotype"/>
              </w:rPr>
              <w:tab/>
              <w:t xml:space="preserve">Datos de contacto: </w:t>
            </w:r>
          </w:p>
          <w:p w14:paraId="06C54E01"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Teléfono: 7222766060, Ext. 22033. </w:t>
            </w:r>
          </w:p>
          <w:p w14:paraId="5A4E208D"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Correo Electrónico: transparencia@upvt.edu.mx</w:t>
            </w:r>
          </w:p>
          <w:p w14:paraId="0243B72A" w14:textId="77777777" w:rsidR="00A53236" w:rsidRPr="009B6EEE" w:rsidRDefault="00A53236">
            <w:pPr>
              <w:jc w:val="both"/>
              <w:rPr>
                <w:rFonts w:ascii="Palatino Linotype" w:eastAsia="Palatino Linotype" w:hAnsi="Palatino Linotype" w:cs="Palatino Linotype"/>
              </w:rPr>
            </w:pPr>
          </w:p>
          <w:p w14:paraId="7AD675F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 igual manera, se informa que, en la consulta de la información, la persona titular de la Unidad de Transparencia, podrá designar al personal de apoyo que estime necesario.</w:t>
            </w:r>
          </w:p>
          <w:p w14:paraId="10793971" w14:textId="77777777" w:rsidR="00A53236" w:rsidRPr="009B6EEE" w:rsidRDefault="00BE58F5">
            <w:pPr>
              <w:spacing w:before="240" w:after="240"/>
              <w:jc w:val="both"/>
              <w:rPr>
                <w:rFonts w:ascii="Palatino Linotype" w:eastAsia="Palatino Linotype" w:hAnsi="Palatino Linotype" w:cs="Palatino Linotype"/>
                <w:b/>
                <w:i/>
              </w:rPr>
            </w:pPr>
            <w:r w:rsidRPr="009B6EEE">
              <w:rPr>
                <w:rFonts w:ascii="Palatino Linotype" w:eastAsia="Palatino Linotype" w:hAnsi="Palatino Linotype" w:cs="Palatino Linotype"/>
                <w:b/>
                <w:i/>
              </w:rPr>
              <w:t xml:space="preserve">39 UT.PDF: </w:t>
            </w:r>
          </w:p>
          <w:p w14:paraId="159D560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Oficio número 228C2801010001L/331/2024 de fecha ocho de abril de dos mil veinticuatro, signado por la Jefa de Departamento de Información, Planeación, Programación y Evaluación, mediante el cual informó a la persona solicitante el oficio emitido por el Servidor Público Habilitado del Departamento de Control Escolar, en el que en ejercicio de sus atribuciones y funciones conferidas en el Manual General de Organización de la Universidad Politécnica del Valle de Toluca, publicado en el Periódico Oficial “Gaceta de Gobierno”, en fecha 22 de febrero de 2023, atiende la solicitud de información. </w:t>
            </w:r>
          </w:p>
        </w:tc>
      </w:tr>
    </w:tbl>
    <w:p w14:paraId="4B35AB0E"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lastRenderedPageBreak/>
        <w:t xml:space="preserve">3. Interposición de los recursos de revisión.  </w:t>
      </w:r>
      <w:r w:rsidRPr="009B6EEE">
        <w:rPr>
          <w:rFonts w:ascii="Palatino Linotype" w:eastAsia="Palatino Linotype" w:hAnsi="Palatino Linotype" w:cs="Palatino Linotype"/>
          <w:sz w:val="22"/>
          <w:szCs w:val="22"/>
        </w:rPr>
        <w:t xml:space="preserve">En fecha </w:t>
      </w:r>
      <w:r w:rsidRPr="009B6EEE">
        <w:rPr>
          <w:rFonts w:ascii="Palatino Linotype" w:eastAsia="Palatino Linotype" w:hAnsi="Palatino Linotype" w:cs="Palatino Linotype"/>
          <w:b/>
          <w:sz w:val="22"/>
          <w:szCs w:val="22"/>
        </w:rPr>
        <w:t xml:space="preserve">veinticinco de abril de dos mil veinticuatro, </w:t>
      </w:r>
      <w:r w:rsidRPr="009B6EEE">
        <w:rPr>
          <w:rFonts w:ascii="Palatino Linotype" w:eastAsia="Palatino Linotype" w:hAnsi="Palatino Linotype" w:cs="Palatino Linotype"/>
          <w:sz w:val="22"/>
          <w:szCs w:val="22"/>
        </w:rPr>
        <w:t>la parte</w:t>
      </w:r>
      <w:r w:rsidRPr="009B6EEE">
        <w:rPr>
          <w:rFonts w:ascii="Palatino Linotype" w:eastAsia="Palatino Linotype" w:hAnsi="Palatino Linotype" w:cs="Palatino Linotype"/>
          <w:b/>
          <w:sz w:val="22"/>
          <w:szCs w:val="22"/>
        </w:rPr>
        <w:t xml:space="preserve"> Recurrente, </w:t>
      </w:r>
      <w:r w:rsidRPr="009B6EEE">
        <w:rPr>
          <w:rFonts w:ascii="Palatino Linotype" w:eastAsia="Palatino Linotype" w:hAnsi="Palatino Linotype" w:cs="Palatino Linotype"/>
          <w:sz w:val="22"/>
          <w:szCs w:val="22"/>
        </w:rPr>
        <w:t xml:space="preserve">inconforme con las respuestas, interpuso los recursos de revisión que nos ocupan, expresando en ambos casos, lo siguiente: </w:t>
      </w:r>
    </w:p>
    <w:tbl>
      <w:tblPr>
        <w:tblStyle w:val="af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9B6EEE" w:rsidRPr="009B6EEE" w14:paraId="0ED2417E" w14:textId="77777777">
        <w:tc>
          <w:tcPr>
            <w:tcW w:w="2944" w:type="dxa"/>
            <w:shd w:val="clear" w:color="auto" w:fill="DBEEF3"/>
          </w:tcPr>
          <w:p w14:paraId="64F0252E"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Recurso de Revisión</w:t>
            </w:r>
          </w:p>
        </w:tc>
        <w:tc>
          <w:tcPr>
            <w:tcW w:w="2943" w:type="dxa"/>
            <w:shd w:val="clear" w:color="auto" w:fill="DBEEF3"/>
          </w:tcPr>
          <w:p w14:paraId="6BCF4188"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Acto impugnado</w:t>
            </w:r>
          </w:p>
        </w:tc>
        <w:tc>
          <w:tcPr>
            <w:tcW w:w="3180" w:type="dxa"/>
            <w:shd w:val="clear" w:color="auto" w:fill="DBEEF3"/>
          </w:tcPr>
          <w:p w14:paraId="0911E6DC" w14:textId="77777777" w:rsidR="00A53236" w:rsidRPr="009B6EEE" w:rsidRDefault="00BE58F5">
            <w:pPr>
              <w:spacing w:before="240" w:after="240" w:line="276"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Razones o Motivos de Inconformidad</w:t>
            </w:r>
          </w:p>
        </w:tc>
      </w:tr>
      <w:tr w:rsidR="009B6EEE" w:rsidRPr="009B6EEE" w14:paraId="6C9A3A54" w14:textId="77777777">
        <w:tc>
          <w:tcPr>
            <w:tcW w:w="2944" w:type="dxa"/>
          </w:tcPr>
          <w:p w14:paraId="332741C3"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02244/INFOEM/IP/RR/2024</w:t>
            </w:r>
          </w:p>
          <w:p w14:paraId="04129828" w14:textId="77777777" w:rsidR="00A53236" w:rsidRPr="009B6EEE" w:rsidRDefault="00A53236">
            <w:pPr>
              <w:spacing w:before="240" w:after="240" w:line="360" w:lineRule="auto"/>
              <w:jc w:val="center"/>
              <w:rPr>
                <w:rFonts w:ascii="Palatino Linotype" w:eastAsia="Palatino Linotype" w:hAnsi="Palatino Linotype" w:cs="Palatino Linotype"/>
                <w:b/>
              </w:rPr>
            </w:pPr>
          </w:p>
        </w:tc>
        <w:tc>
          <w:tcPr>
            <w:tcW w:w="2943" w:type="dxa"/>
          </w:tcPr>
          <w:p w14:paraId="5863E07D" w14:textId="77777777" w:rsidR="00A53236" w:rsidRPr="009B6EEE" w:rsidRDefault="00BE58F5">
            <w:pPr>
              <w:spacing w:before="240" w:after="240"/>
              <w:jc w:val="both"/>
              <w:rPr>
                <w:rFonts w:ascii="Palatino Linotype" w:eastAsia="Palatino Linotype" w:hAnsi="Palatino Linotype" w:cs="Palatino Linotype"/>
                <w:i/>
              </w:rPr>
            </w:pPr>
            <w:r w:rsidRPr="009B6EEE">
              <w:rPr>
                <w:rFonts w:ascii="Palatino Linotype" w:eastAsia="Palatino Linotype" w:hAnsi="Palatino Linotype" w:cs="Palatino Linotype"/>
                <w:i/>
              </w:rPr>
              <w:t>NO ENTREGA INFORMACIÓN</w:t>
            </w:r>
          </w:p>
        </w:tc>
        <w:tc>
          <w:tcPr>
            <w:tcW w:w="3180" w:type="dxa"/>
          </w:tcPr>
          <w:p w14:paraId="0AA810D4" w14:textId="77777777" w:rsidR="00A53236" w:rsidRPr="009B6EEE" w:rsidRDefault="00BE58F5">
            <w:pPr>
              <w:spacing w:before="240" w:after="240"/>
              <w:jc w:val="both"/>
              <w:rPr>
                <w:rFonts w:ascii="Palatino Linotype" w:eastAsia="Palatino Linotype" w:hAnsi="Palatino Linotype" w:cs="Palatino Linotype"/>
                <w:i/>
              </w:rPr>
            </w:pPr>
            <w:r w:rsidRPr="009B6EEE">
              <w:rPr>
                <w:rFonts w:ascii="Palatino Linotype" w:eastAsia="Palatino Linotype" w:hAnsi="Palatino Linotype" w:cs="Palatino Linotype"/>
                <w:i/>
              </w:rPr>
              <w:t>NO HAY INFORMACIÓN</w:t>
            </w:r>
          </w:p>
        </w:tc>
      </w:tr>
      <w:tr w:rsidR="009B6EEE" w:rsidRPr="009B6EEE" w14:paraId="05BE7897" w14:textId="77777777">
        <w:tc>
          <w:tcPr>
            <w:tcW w:w="2944" w:type="dxa"/>
          </w:tcPr>
          <w:p w14:paraId="73BC93E3"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02245/INFOEM/IP/RR/2024</w:t>
            </w:r>
          </w:p>
        </w:tc>
        <w:tc>
          <w:tcPr>
            <w:tcW w:w="2943" w:type="dxa"/>
          </w:tcPr>
          <w:p w14:paraId="2482508C" w14:textId="77777777" w:rsidR="00A53236" w:rsidRPr="009B6EEE" w:rsidRDefault="00BE58F5">
            <w:pPr>
              <w:spacing w:before="240" w:after="240"/>
              <w:jc w:val="both"/>
              <w:rPr>
                <w:rFonts w:ascii="Palatino Linotype" w:eastAsia="Palatino Linotype" w:hAnsi="Palatino Linotype" w:cs="Palatino Linotype"/>
                <w:i/>
              </w:rPr>
            </w:pPr>
            <w:r w:rsidRPr="009B6EEE">
              <w:rPr>
                <w:rFonts w:ascii="Palatino Linotype" w:eastAsia="Palatino Linotype" w:hAnsi="Palatino Linotype" w:cs="Palatino Linotype"/>
                <w:i/>
              </w:rPr>
              <w:t>NO ENTREGA INFORMACIÓN</w:t>
            </w:r>
          </w:p>
        </w:tc>
        <w:tc>
          <w:tcPr>
            <w:tcW w:w="3180" w:type="dxa"/>
          </w:tcPr>
          <w:p w14:paraId="3658BFAF" w14:textId="77777777" w:rsidR="00A53236" w:rsidRPr="009B6EEE" w:rsidRDefault="00BE58F5">
            <w:pPr>
              <w:spacing w:before="240" w:after="240"/>
              <w:jc w:val="both"/>
              <w:rPr>
                <w:rFonts w:ascii="Palatino Linotype" w:eastAsia="Palatino Linotype" w:hAnsi="Palatino Linotype" w:cs="Palatino Linotype"/>
                <w:i/>
              </w:rPr>
            </w:pPr>
            <w:r w:rsidRPr="009B6EEE">
              <w:rPr>
                <w:rFonts w:ascii="Palatino Linotype" w:eastAsia="Palatino Linotype" w:hAnsi="Palatino Linotype" w:cs="Palatino Linotype"/>
                <w:i/>
              </w:rPr>
              <w:t>NO HAY INFORMACIÓN</w:t>
            </w:r>
          </w:p>
        </w:tc>
      </w:tr>
    </w:tbl>
    <w:p w14:paraId="7724EE6D"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4. Turnos. </w:t>
      </w:r>
      <w:r w:rsidRPr="009B6EEE">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9B6EEE">
        <w:rPr>
          <w:rFonts w:ascii="Palatino Linotype" w:eastAsia="Palatino Linotype" w:hAnsi="Palatino Linotype" w:cs="Palatino Linotype"/>
          <w:b/>
          <w:sz w:val="22"/>
          <w:szCs w:val="22"/>
        </w:rPr>
        <w:t xml:space="preserve"> </w:t>
      </w:r>
      <w:r w:rsidRPr="009B6EEE">
        <w:rPr>
          <w:rFonts w:ascii="Palatino Linotype" w:eastAsia="Palatino Linotype" w:hAnsi="Palatino Linotype" w:cs="Palatino Linotype"/>
          <w:sz w:val="22"/>
          <w:szCs w:val="22"/>
        </w:rPr>
        <w:t xml:space="preserve">turnados de la siguiente manera a efecto de presentar al Pleno los proyectos de resolución correspondientes: </w:t>
      </w:r>
    </w:p>
    <w:tbl>
      <w:tblPr>
        <w:tblStyle w:val="affc"/>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9B6EEE" w:rsidRPr="009B6EEE" w14:paraId="24F5C6AE" w14:textId="77777777">
        <w:tc>
          <w:tcPr>
            <w:tcW w:w="4460" w:type="dxa"/>
            <w:shd w:val="clear" w:color="auto" w:fill="DBEEF3"/>
          </w:tcPr>
          <w:p w14:paraId="5EDBC6EE"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Recurso de Revisión</w:t>
            </w:r>
          </w:p>
        </w:tc>
        <w:tc>
          <w:tcPr>
            <w:tcW w:w="4461" w:type="dxa"/>
            <w:shd w:val="clear" w:color="auto" w:fill="DBEEF3"/>
          </w:tcPr>
          <w:p w14:paraId="306B71B4" w14:textId="77777777" w:rsidR="00A53236" w:rsidRPr="009B6EEE" w:rsidRDefault="00BE58F5">
            <w:pPr>
              <w:spacing w:before="240" w:after="240" w:line="360"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Comisionada</w:t>
            </w:r>
          </w:p>
        </w:tc>
      </w:tr>
      <w:tr w:rsidR="009B6EEE" w:rsidRPr="009B6EEE" w14:paraId="5622DF9C" w14:textId="77777777">
        <w:tc>
          <w:tcPr>
            <w:tcW w:w="4460" w:type="dxa"/>
          </w:tcPr>
          <w:p w14:paraId="03D3D536" w14:textId="77777777" w:rsidR="00A53236" w:rsidRPr="009B6EEE" w:rsidRDefault="00BE58F5">
            <w:pPr>
              <w:spacing w:before="240" w:after="240" w:line="276"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02244/INFOEM/IP/RR/2024</w:t>
            </w:r>
          </w:p>
        </w:tc>
        <w:tc>
          <w:tcPr>
            <w:tcW w:w="4461" w:type="dxa"/>
          </w:tcPr>
          <w:p w14:paraId="70A71D7B"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t>Comisionada Guadalupe Ramírez Peña</w:t>
            </w:r>
          </w:p>
        </w:tc>
      </w:tr>
      <w:tr w:rsidR="009B6EEE" w:rsidRPr="009B6EEE" w14:paraId="0C4F533B" w14:textId="77777777">
        <w:tc>
          <w:tcPr>
            <w:tcW w:w="4460" w:type="dxa"/>
          </w:tcPr>
          <w:p w14:paraId="12E93B1E" w14:textId="77777777" w:rsidR="00A53236" w:rsidRPr="009B6EEE" w:rsidRDefault="00BE58F5">
            <w:pPr>
              <w:spacing w:before="240" w:after="240" w:line="276" w:lineRule="auto"/>
              <w:jc w:val="center"/>
              <w:rPr>
                <w:rFonts w:ascii="Palatino Linotype" w:eastAsia="Palatino Linotype" w:hAnsi="Palatino Linotype" w:cs="Palatino Linotype"/>
                <w:b/>
              </w:rPr>
            </w:pPr>
            <w:r w:rsidRPr="009B6EEE">
              <w:rPr>
                <w:rFonts w:ascii="Palatino Linotype" w:eastAsia="Palatino Linotype" w:hAnsi="Palatino Linotype" w:cs="Palatino Linotype"/>
                <w:b/>
              </w:rPr>
              <w:t xml:space="preserve">02245/INFOEM/IP/RR/2024  </w:t>
            </w:r>
          </w:p>
        </w:tc>
        <w:tc>
          <w:tcPr>
            <w:tcW w:w="4461" w:type="dxa"/>
          </w:tcPr>
          <w:p w14:paraId="188DA067" w14:textId="77777777" w:rsidR="00A53236" w:rsidRPr="009B6EEE" w:rsidRDefault="00BE58F5">
            <w:pPr>
              <w:spacing w:before="240" w:after="240"/>
              <w:jc w:val="center"/>
              <w:rPr>
                <w:rFonts w:ascii="Palatino Linotype" w:eastAsia="Palatino Linotype" w:hAnsi="Palatino Linotype" w:cs="Palatino Linotype"/>
                <w:b/>
              </w:rPr>
            </w:pPr>
            <w:r w:rsidRPr="009B6EEE">
              <w:rPr>
                <w:rFonts w:ascii="Palatino Linotype" w:eastAsia="Palatino Linotype" w:hAnsi="Palatino Linotype" w:cs="Palatino Linotype"/>
                <w:b/>
              </w:rPr>
              <w:t xml:space="preserve">Comisionado Presidente José Martínez Vilchis </w:t>
            </w:r>
          </w:p>
        </w:tc>
      </w:tr>
    </w:tbl>
    <w:p w14:paraId="5A38C0AB"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bookmarkStart w:id="1" w:name="_heading=h.2et92p0" w:colFirst="0" w:colLast="0"/>
      <w:bookmarkEnd w:id="1"/>
      <w:r w:rsidRPr="009B6EEE">
        <w:rPr>
          <w:rFonts w:ascii="Palatino Linotype" w:eastAsia="Palatino Linotype" w:hAnsi="Palatino Linotype" w:cs="Palatino Linotype"/>
          <w:b/>
          <w:sz w:val="22"/>
          <w:szCs w:val="22"/>
        </w:rPr>
        <w:lastRenderedPageBreak/>
        <w:t xml:space="preserve">5. Admisiones. </w:t>
      </w:r>
      <w:r w:rsidRPr="009B6EEE">
        <w:rPr>
          <w:rFonts w:ascii="Palatino Linotype" w:eastAsia="Palatino Linotype" w:hAnsi="Palatino Linotype" w:cs="Palatino Linotype"/>
          <w:sz w:val="22"/>
          <w:szCs w:val="22"/>
        </w:rPr>
        <w:t xml:space="preserve">El día </w:t>
      </w:r>
      <w:r w:rsidRPr="009B6EEE">
        <w:rPr>
          <w:rFonts w:ascii="Palatino Linotype" w:eastAsia="Palatino Linotype" w:hAnsi="Palatino Linotype" w:cs="Palatino Linotype"/>
          <w:b/>
          <w:sz w:val="22"/>
          <w:szCs w:val="22"/>
        </w:rPr>
        <w:t>treinta de abril de dos mil veinticuatro,</w:t>
      </w:r>
      <w:r w:rsidRPr="009B6EEE">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4E444FD7"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6. Acumulación. </w:t>
      </w:r>
      <w:r w:rsidRPr="009B6EEE">
        <w:rPr>
          <w:rFonts w:ascii="Palatino Linotype" w:eastAsia="Palatino Linotype" w:hAnsi="Palatino Linotype" w:cs="Palatino Linotype"/>
          <w:sz w:val="22"/>
          <w:szCs w:val="22"/>
        </w:rPr>
        <w:t xml:space="preserve">En la </w:t>
      </w:r>
      <w:r w:rsidRPr="009B6EEE">
        <w:rPr>
          <w:rFonts w:ascii="Palatino Linotype" w:eastAsia="Palatino Linotype" w:hAnsi="Palatino Linotype" w:cs="Palatino Linotype"/>
          <w:b/>
          <w:sz w:val="22"/>
          <w:szCs w:val="22"/>
        </w:rPr>
        <w:t>Décima Séptima Sesión Ordinaria</w:t>
      </w:r>
      <w:r w:rsidRPr="009B6EEE">
        <w:rPr>
          <w:rFonts w:ascii="Palatino Linotype" w:eastAsia="Palatino Linotype" w:hAnsi="Palatino Linotype" w:cs="Palatino Linotype"/>
          <w:sz w:val="22"/>
          <w:szCs w:val="22"/>
        </w:rPr>
        <w:t xml:space="preserve"> celebrada el </w:t>
      </w:r>
      <w:r w:rsidRPr="009B6EEE">
        <w:rPr>
          <w:rFonts w:ascii="Palatino Linotype" w:eastAsia="Palatino Linotype" w:hAnsi="Palatino Linotype" w:cs="Palatino Linotype"/>
          <w:b/>
          <w:sz w:val="22"/>
          <w:szCs w:val="22"/>
        </w:rPr>
        <w:t>quince de mayo de dos mil veinticuatro</w:t>
      </w:r>
      <w:r w:rsidRPr="009B6EEE">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9B6EEE">
        <w:rPr>
          <w:rFonts w:ascii="Palatino Linotype" w:eastAsia="Palatino Linotype" w:hAnsi="Palatino Linotype" w:cs="Palatino Linotype"/>
          <w:b/>
          <w:sz w:val="22"/>
          <w:szCs w:val="22"/>
        </w:rPr>
        <w:t>Comisionada</w:t>
      </w:r>
      <w:r w:rsidRPr="009B6EEE">
        <w:rPr>
          <w:rFonts w:ascii="Palatino Linotype" w:eastAsia="Palatino Linotype" w:hAnsi="Palatino Linotype" w:cs="Palatino Linotype"/>
          <w:sz w:val="22"/>
          <w:szCs w:val="22"/>
        </w:rPr>
        <w:t xml:space="preserve"> </w:t>
      </w:r>
      <w:r w:rsidRPr="009B6EEE">
        <w:rPr>
          <w:rFonts w:ascii="Palatino Linotype" w:eastAsia="Palatino Linotype" w:hAnsi="Palatino Linotype" w:cs="Palatino Linotype"/>
          <w:b/>
          <w:sz w:val="22"/>
          <w:szCs w:val="22"/>
        </w:rPr>
        <w:t>Guadalupe Ramírez Peña</w:t>
      </w:r>
      <w:r w:rsidRPr="009B6EEE">
        <w:rPr>
          <w:rFonts w:ascii="Palatino Linotype" w:eastAsia="Palatino Linotype" w:hAnsi="Palatino Linotype" w:cs="Palatino Linotype"/>
          <w:sz w:val="22"/>
          <w:szCs w:val="22"/>
        </w:rPr>
        <w:t xml:space="preserve">; que mediante acuerdo se notificó a las partes vía SAIMEX el </w:t>
      </w:r>
      <w:r w:rsidRPr="009B6EEE">
        <w:rPr>
          <w:rFonts w:ascii="Palatino Linotype" w:eastAsia="Palatino Linotype" w:hAnsi="Palatino Linotype" w:cs="Palatino Linotype"/>
          <w:b/>
          <w:sz w:val="22"/>
          <w:szCs w:val="22"/>
        </w:rPr>
        <w:t>veintinueve de mayo de dos mil veinticuatro</w:t>
      </w:r>
      <w:r w:rsidRPr="009B6EEE">
        <w:rPr>
          <w:rFonts w:ascii="Palatino Linotype" w:eastAsia="Palatino Linotype" w:hAnsi="Palatino Linotype" w:cs="Palatino Linotype"/>
          <w:sz w:val="22"/>
          <w:szCs w:val="22"/>
        </w:rPr>
        <w:t xml:space="preserve">. </w:t>
      </w:r>
    </w:p>
    <w:p w14:paraId="2DB7BE47"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7. Manifestaciones. </w:t>
      </w:r>
      <w:r w:rsidRPr="009B6EEE">
        <w:rPr>
          <w:rFonts w:ascii="Palatino Linotype" w:eastAsia="Palatino Linotype" w:hAnsi="Palatino Linotype" w:cs="Palatino Linotype"/>
          <w:sz w:val="22"/>
          <w:szCs w:val="22"/>
        </w:rPr>
        <w:t xml:space="preserve">De las constancias que obran en los expedientes electrónicos del </w:t>
      </w:r>
      <w:r w:rsidRPr="009B6EEE">
        <w:rPr>
          <w:rFonts w:ascii="Palatino Linotype" w:eastAsia="Palatino Linotype" w:hAnsi="Palatino Linotype" w:cs="Palatino Linotype"/>
          <w:b/>
          <w:sz w:val="22"/>
          <w:szCs w:val="22"/>
        </w:rPr>
        <w:t>SAIMEX</w:t>
      </w:r>
      <w:r w:rsidRPr="009B6EEE">
        <w:rPr>
          <w:rFonts w:ascii="Palatino Linotype" w:eastAsia="Palatino Linotype" w:hAnsi="Palatino Linotype" w:cs="Palatino Linotype"/>
          <w:sz w:val="22"/>
          <w:szCs w:val="22"/>
        </w:rPr>
        <w:t xml:space="preserve"> se desprende que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en fecha </w:t>
      </w:r>
      <w:r w:rsidRPr="009B6EEE">
        <w:rPr>
          <w:rFonts w:ascii="Palatino Linotype" w:eastAsia="Palatino Linotype" w:hAnsi="Palatino Linotype" w:cs="Palatino Linotype"/>
          <w:b/>
          <w:sz w:val="22"/>
          <w:szCs w:val="22"/>
        </w:rPr>
        <w:t>trece de mayo de dos mil veinticuatro</w:t>
      </w:r>
      <w:r w:rsidRPr="009B6EEE">
        <w:rPr>
          <w:rFonts w:ascii="Palatino Linotype" w:eastAsia="Palatino Linotype" w:hAnsi="Palatino Linotype" w:cs="Palatino Linotype"/>
          <w:sz w:val="22"/>
          <w:szCs w:val="22"/>
        </w:rPr>
        <w:t xml:space="preserve"> rindió sus informes justificados a través de los siguientes archivos electrónicos: </w:t>
      </w:r>
    </w:p>
    <w:p w14:paraId="7D0B7518" w14:textId="77777777" w:rsidR="00A53236" w:rsidRPr="009B6EEE" w:rsidRDefault="00BE58F5">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b/>
          <w:sz w:val="22"/>
          <w:szCs w:val="22"/>
          <w:u w:val="single"/>
        </w:rPr>
      </w:pPr>
      <w:r w:rsidRPr="009B6EEE">
        <w:rPr>
          <w:rFonts w:ascii="Palatino Linotype" w:eastAsia="Palatino Linotype" w:hAnsi="Palatino Linotype" w:cs="Palatino Linotype"/>
          <w:b/>
          <w:sz w:val="22"/>
          <w:szCs w:val="22"/>
          <w:u w:val="single"/>
        </w:rPr>
        <w:t xml:space="preserve">Del Recurso de Revisión 02244/INFOEM/IP/RR/2024: </w:t>
      </w:r>
    </w:p>
    <w:p w14:paraId="3B98089D" w14:textId="77777777" w:rsidR="00A53236" w:rsidRPr="009B6EEE" w:rsidRDefault="00BE58F5">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Acta 15° Sesión Extraordinaria CT.PDF</w:t>
      </w:r>
      <w:r w:rsidRPr="009B6EEE">
        <w:rPr>
          <w:rFonts w:ascii="Palatino Linotype" w:eastAsia="Palatino Linotype" w:hAnsi="Palatino Linotype" w:cs="Palatino Linotype"/>
          <w:sz w:val="22"/>
          <w:szCs w:val="22"/>
        </w:rPr>
        <w:t xml:space="preserve">: Acta de la Décima Quinta Sesión Extraordinaria del Comité de Transparencia de la Universidad Politécnica del Valle de Toluca, de fecha cinco de abril de dos mil veinticuatro, mediante la cual se aprobó el cambio de modalidad de entrega de la información, mediante la cual se atenderá la solicitud de información, con número de folio 00034/UPVT/IP/2024, mediante Acuerdo número ACT/UPVT/CT/EXT/015/005/2024. </w:t>
      </w:r>
    </w:p>
    <w:p w14:paraId="528F4248"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5CEE966D" w14:textId="77777777" w:rsidR="00A53236" w:rsidRPr="009B6EEE" w:rsidRDefault="00BE58F5">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 xml:space="preserve">Acta 16° Sesión Extraordinaria CT.PDF: </w:t>
      </w:r>
      <w:r w:rsidRPr="009B6EEE">
        <w:rPr>
          <w:rFonts w:ascii="Palatino Linotype" w:eastAsia="Palatino Linotype" w:hAnsi="Palatino Linotype" w:cs="Palatino Linotype"/>
          <w:sz w:val="22"/>
          <w:szCs w:val="22"/>
        </w:rPr>
        <w:t xml:space="preserve">Acta de la Décima Sexta Sesión Extraordinaria del Comité de Transparencia de la Universidad Politécnica del Valle de Toluca, de fecha cinco de abril de dos mil veinticuatro, mediante la cual se aprobó la clasificación parcial de la información como confidencial de los oficios generados del 01 de enero al 31 de diciembre de 2022, los cuales obran en los archivos de la Secretaría Académica, de la Rectoría, Dirección de División de Ingeniería Mecatrónica e Ingeniería Mecánica Automotriz, Dirección de División de Ingeniería en Biotecnología y Licenciatura en Negocios Internacionales, Dirección de División de Ingeniería Industrial e Ingeniería en Energía, Dirección de División de Ingeniería en Tecnologías de la Información, Subdirección de Servicios Escolares, Departamento de Control Escolar, Dirección de Administración y Finanzas, Departamento de Recursos Financieros, Departamento de Recursos Humanos y Materiales, Dirección de Planeación, Vinculación e Igualdad de Género, Departamento de Información, Planeación, Programación y Evaluación, y del Departamento de Vinculación y Extensión, conforme al siguiente detalle: </w:t>
      </w:r>
    </w:p>
    <w:p w14:paraId="480DBE5F" w14:textId="77777777" w:rsidR="00A53236" w:rsidRPr="009B6EEE" w:rsidRDefault="00BE58F5">
      <w:pPr>
        <w:spacing w:line="360" w:lineRule="auto"/>
        <w:jc w:val="center"/>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lastRenderedPageBreak/>
        <w:drawing>
          <wp:inline distT="0" distB="0" distL="0" distR="0" wp14:anchorId="76A2BE5A" wp14:editId="5C6D7961">
            <wp:extent cx="3315756" cy="3320635"/>
            <wp:effectExtent l="0" t="0" r="0" b="0"/>
            <wp:docPr id="1705557706" name="image13.png" descr="Tab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3.png" descr="Tabla&#10;&#10;Descripción generada automáticamente con confianza baja"/>
                    <pic:cNvPicPr preferRelativeResize="0"/>
                  </pic:nvPicPr>
                  <pic:blipFill>
                    <a:blip r:embed="rId8"/>
                    <a:srcRect/>
                    <a:stretch>
                      <a:fillRect/>
                    </a:stretch>
                  </pic:blipFill>
                  <pic:spPr>
                    <a:xfrm>
                      <a:off x="0" y="0"/>
                      <a:ext cx="3315756" cy="3320635"/>
                    </a:xfrm>
                    <a:prstGeom prst="rect">
                      <a:avLst/>
                    </a:prstGeom>
                    <a:ln/>
                  </pic:spPr>
                </pic:pic>
              </a:graphicData>
            </a:graphic>
          </wp:inline>
        </w:drawing>
      </w:r>
    </w:p>
    <w:p w14:paraId="524D1622" w14:textId="77777777" w:rsidR="00A53236" w:rsidRPr="009B6EEE" w:rsidRDefault="00BE58F5">
      <w:pPr>
        <w:spacing w:line="360" w:lineRule="auto"/>
        <w:jc w:val="center"/>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6ED673A6" wp14:editId="341F9959">
            <wp:extent cx="3234857" cy="3331485"/>
            <wp:effectExtent l="0" t="0" r="0" b="0"/>
            <wp:docPr id="1705557708" name="image12.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Escala de tiempo&#10;&#10;Descripción generada automáticamente"/>
                    <pic:cNvPicPr preferRelativeResize="0"/>
                  </pic:nvPicPr>
                  <pic:blipFill>
                    <a:blip r:embed="rId9"/>
                    <a:srcRect/>
                    <a:stretch>
                      <a:fillRect/>
                    </a:stretch>
                  </pic:blipFill>
                  <pic:spPr>
                    <a:xfrm>
                      <a:off x="0" y="0"/>
                      <a:ext cx="3234857" cy="3331485"/>
                    </a:xfrm>
                    <a:prstGeom prst="rect">
                      <a:avLst/>
                    </a:prstGeom>
                    <a:ln/>
                  </pic:spPr>
                </pic:pic>
              </a:graphicData>
            </a:graphic>
          </wp:inline>
        </w:drawing>
      </w:r>
    </w:p>
    <w:p w14:paraId="7256E519" w14:textId="77777777" w:rsidR="00A53236" w:rsidRPr="009B6EEE" w:rsidRDefault="00BE58F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lastRenderedPageBreak/>
        <w:t>Informe Justificado RR 02244 Sol 34.PDF</w:t>
      </w:r>
      <w:r w:rsidRPr="009B6EEE">
        <w:rPr>
          <w:rFonts w:ascii="Palatino Linotype" w:eastAsia="Palatino Linotype" w:hAnsi="Palatino Linotype" w:cs="Palatino Linotype"/>
          <w:sz w:val="22"/>
          <w:szCs w:val="22"/>
        </w:rPr>
        <w:t xml:space="preserve">: </w:t>
      </w:r>
    </w:p>
    <w:p w14:paraId="0A9FEC9E" w14:textId="77777777" w:rsidR="00A53236" w:rsidRPr="009B6EEE" w:rsidRDefault="00BE58F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Oficio de fecha trece de mayo de dos mil veinticuatro, signado por la Jefa del Departamento de Información, Planeación, Programación y Evaluación, mediante el cual ratifica la respuesta inicial. </w:t>
      </w:r>
    </w:p>
    <w:p w14:paraId="344518AE" w14:textId="77777777" w:rsidR="00A53236" w:rsidRPr="009B6EEE" w:rsidRDefault="00BE58F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Confirmaciones Sol 34.PDF</w:t>
      </w:r>
      <w:r w:rsidRPr="009B6EEE">
        <w:rPr>
          <w:rFonts w:ascii="Palatino Linotype" w:eastAsia="Palatino Linotype" w:hAnsi="Palatino Linotype" w:cs="Palatino Linotype"/>
          <w:sz w:val="22"/>
          <w:szCs w:val="22"/>
        </w:rPr>
        <w:t xml:space="preserve">: Contiene dieciséis oficios suscritos por de los servidores públicos habilitados en los que confirman su respuesta inicial. </w:t>
      </w:r>
    </w:p>
    <w:p w14:paraId="59D0964A" w14:textId="77777777" w:rsidR="00A53236" w:rsidRPr="009B6EEE" w:rsidRDefault="00A53236">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2226EDF" w14:textId="77777777" w:rsidR="00A53236" w:rsidRPr="009B6EEE" w:rsidRDefault="00BE58F5">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9B6EEE">
        <w:rPr>
          <w:rFonts w:ascii="Palatino Linotype" w:eastAsia="Palatino Linotype" w:hAnsi="Palatino Linotype" w:cs="Palatino Linotype"/>
          <w:b/>
          <w:sz w:val="22"/>
          <w:szCs w:val="22"/>
          <w:u w:val="single"/>
        </w:rPr>
        <w:t>Del Recurso de Revisión</w:t>
      </w:r>
      <w:r w:rsidRPr="009B6EEE">
        <w:rPr>
          <w:rFonts w:ascii="Palatino Linotype" w:eastAsia="Palatino Linotype" w:hAnsi="Palatino Linotype" w:cs="Palatino Linotype"/>
          <w:sz w:val="22"/>
          <w:szCs w:val="22"/>
          <w:u w:val="single"/>
        </w:rPr>
        <w:t xml:space="preserve"> </w:t>
      </w:r>
      <w:r w:rsidRPr="009B6EEE">
        <w:rPr>
          <w:rFonts w:ascii="Palatino Linotype" w:eastAsia="Palatino Linotype" w:hAnsi="Palatino Linotype" w:cs="Palatino Linotype"/>
          <w:b/>
          <w:sz w:val="22"/>
          <w:szCs w:val="22"/>
          <w:u w:val="single"/>
        </w:rPr>
        <w:t xml:space="preserve">02245/INFOEM/IP/RR/2024: </w:t>
      </w:r>
    </w:p>
    <w:p w14:paraId="6E04409E" w14:textId="77777777" w:rsidR="00A53236" w:rsidRPr="009B6EEE" w:rsidRDefault="00BE58F5">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Acta 15° Sesión Extraordinaria CT.PDF</w:t>
      </w:r>
      <w:r w:rsidRPr="009B6EEE">
        <w:rPr>
          <w:rFonts w:ascii="Palatino Linotype" w:eastAsia="Palatino Linotype" w:hAnsi="Palatino Linotype" w:cs="Palatino Linotype"/>
          <w:sz w:val="22"/>
          <w:szCs w:val="22"/>
        </w:rPr>
        <w:t xml:space="preserve">: Acta de la Décima Quinta Sesión Extraordinaria del Comité de Transparencia de la Universidad Politécnica del Valle de Toluca, de fecha cinco de abril de dos mil veinticuatro, mediante la cual se aprobó el cambio de modalidad de entrega de la información, mediante la cual se atenderá la solicitud de información, con número de folio 00039/UPVT/IP/2024, mediante Acuerdo número ACT/UPVT/CT/EXT/015/006/2024. </w:t>
      </w:r>
    </w:p>
    <w:p w14:paraId="342FE4E9"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2C6D8DB2" w14:textId="77777777" w:rsidR="00A53236" w:rsidRPr="009B6EEE" w:rsidRDefault="00BE58F5">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 xml:space="preserve">Acta 16° Sesión Extraordinaria CT.PDF: </w:t>
      </w:r>
      <w:r w:rsidRPr="009B6EEE">
        <w:rPr>
          <w:rFonts w:ascii="Palatino Linotype" w:eastAsia="Palatino Linotype" w:hAnsi="Palatino Linotype" w:cs="Palatino Linotype"/>
          <w:sz w:val="22"/>
          <w:szCs w:val="22"/>
        </w:rPr>
        <w:t xml:space="preserve">Acta de la Décima Sexta Sesión Extraordinaria del Comité de Transparencia de la Universidad Politécnica del Valle de Toluca, de fecha cinco de abril de dos mil veinticuatro, mediante la cual se aprobó la clasificación parcial de la información como confidencial de los oficios generados del 27 de febrero de 2023 al 27 de febrero de 2024, los cuales obran en los archivos del Departamento de Control Escolar, en los cuales se encuentra información confidencial de personas físicas, conforme al siguiente detalle: </w:t>
      </w:r>
    </w:p>
    <w:p w14:paraId="01E1B159" w14:textId="77777777" w:rsidR="00A53236" w:rsidRPr="009B6EEE" w:rsidRDefault="00BE58F5">
      <w:pPr>
        <w:spacing w:line="360" w:lineRule="auto"/>
        <w:jc w:val="center"/>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lastRenderedPageBreak/>
        <w:drawing>
          <wp:inline distT="0" distB="0" distL="0" distR="0" wp14:anchorId="3B4AB07E" wp14:editId="3B619E5A">
            <wp:extent cx="4526766" cy="546510"/>
            <wp:effectExtent l="0" t="0" r="0" b="0"/>
            <wp:docPr id="17055577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26766" cy="546510"/>
                    </a:xfrm>
                    <a:prstGeom prst="rect">
                      <a:avLst/>
                    </a:prstGeom>
                    <a:ln/>
                  </pic:spPr>
                </pic:pic>
              </a:graphicData>
            </a:graphic>
          </wp:inline>
        </w:drawing>
      </w:r>
    </w:p>
    <w:p w14:paraId="4A5D41FA" w14:textId="77777777" w:rsidR="00A53236" w:rsidRPr="009B6EEE" w:rsidRDefault="00BE58F5">
      <w:pPr>
        <w:spacing w:line="360" w:lineRule="auto"/>
        <w:jc w:val="center"/>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2B04AE99" wp14:editId="6DAAFD7E">
            <wp:extent cx="2745342" cy="134575"/>
            <wp:effectExtent l="0" t="0" r="0" b="0"/>
            <wp:docPr id="17055577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745342" cy="134575"/>
                    </a:xfrm>
                    <a:prstGeom prst="rect">
                      <a:avLst/>
                    </a:prstGeom>
                    <a:ln/>
                  </pic:spPr>
                </pic:pic>
              </a:graphicData>
            </a:graphic>
          </wp:inline>
        </w:drawing>
      </w:r>
    </w:p>
    <w:p w14:paraId="76B8F8D3" w14:textId="77777777" w:rsidR="00A53236" w:rsidRPr="009B6EEE" w:rsidRDefault="00BE58F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Informe Justificado RR 02245 Sol 39.PDF</w:t>
      </w:r>
      <w:r w:rsidRPr="009B6EEE">
        <w:rPr>
          <w:rFonts w:ascii="Palatino Linotype" w:eastAsia="Palatino Linotype" w:hAnsi="Palatino Linotype" w:cs="Palatino Linotype"/>
          <w:sz w:val="22"/>
          <w:szCs w:val="22"/>
        </w:rPr>
        <w:t xml:space="preserve">: Oficio de fecha trece de mayo de dos mil veinticuatro, signado por la Jefa del Departamento de Información, Planeación, Programación y Evaluación, mediante el cual ratificó la respuesta inicial. </w:t>
      </w:r>
    </w:p>
    <w:p w14:paraId="312EA1CD" w14:textId="77777777" w:rsidR="00A53236" w:rsidRPr="009B6EEE" w:rsidRDefault="00BE58F5">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Confirmaciones Sol 39.PDF</w:t>
      </w:r>
      <w:r w:rsidRPr="009B6EEE">
        <w:rPr>
          <w:rFonts w:ascii="Palatino Linotype" w:eastAsia="Palatino Linotype" w:hAnsi="Palatino Linotype" w:cs="Palatino Linotype"/>
          <w:sz w:val="22"/>
          <w:szCs w:val="22"/>
        </w:rPr>
        <w:t xml:space="preserve">: Oficio número 228C2801100101L/093/2024 de fecha siete de mayo de dos mil veinticuatro, signado por el Jefe del Departamento de Control Escolar, mediante el cual confirma su respuesta inicial. </w:t>
      </w:r>
    </w:p>
    <w:p w14:paraId="650205B8"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Documentos que fueron puestos a la vista de la parte </w:t>
      </w:r>
      <w:r w:rsidRPr="009B6EEE">
        <w:rPr>
          <w:rFonts w:ascii="Palatino Linotype" w:eastAsia="Palatino Linotype" w:hAnsi="Palatino Linotype" w:cs="Palatino Linotype"/>
          <w:b/>
          <w:sz w:val="22"/>
          <w:szCs w:val="22"/>
        </w:rPr>
        <w:t>Recurrente</w:t>
      </w:r>
      <w:r w:rsidRPr="009B6EEE">
        <w:rPr>
          <w:rFonts w:ascii="Palatino Linotype" w:eastAsia="Palatino Linotype" w:hAnsi="Palatino Linotype" w:cs="Palatino Linotype"/>
          <w:sz w:val="22"/>
          <w:szCs w:val="22"/>
        </w:rPr>
        <w:t xml:space="preserve">, en fecha </w:t>
      </w:r>
      <w:r w:rsidRPr="009B6EEE">
        <w:rPr>
          <w:rFonts w:ascii="Palatino Linotype" w:eastAsia="Palatino Linotype" w:hAnsi="Palatino Linotype" w:cs="Palatino Linotype"/>
          <w:b/>
          <w:sz w:val="22"/>
          <w:szCs w:val="22"/>
        </w:rPr>
        <w:t>nueve de octubre de dos mil veinticuatro</w:t>
      </w:r>
      <w:r w:rsidRPr="009B6EEE">
        <w:rPr>
          <w:rFonts w:ascii="Palatino Linotype" w:eastAsia="Palatino Linotype" w:hAnsi="Palatino Linotype" w:cs="Palatino Linotype"/>
          <w:sz w:val="22"/>
          <w:szCs w:val="22"/>
        </w:rPr>
        <w:t xml:space="preserve">, para que manifestara lo que a su derecho resultara conveniente; no obstante, fue omisa en ejercer dicha prerrogativa. </w:t>
      </w:r>
    </w:p>
    <w:p w14:paraId="19A2524A"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9. Ampliación del plazo.</w:t>
      </w:r>
      <w:r w:rsidRPr="009B6EEE">
        <w:rPr>
          <w:rFonts w:ascii="Palatino Linotype" w:eastAsia="Palatino Linotype" w:hAnsi="Palatino Linotype" w:cs="Palatino Linotype"/>
          <w:sz w:val="22"/>
          <w:szCs w:val="22"/>
        </w:rPr>
        <w:t xml:space="preserve"> En fecha </w:t>
      </w:r>
      <w:r w:rsidRPr="009B6EEE">
        <w:rPr>
          <w:rFonts w:ascii="Palatino Linotype" w:eastAsia="Palatino Linotype" w:hAnsi="Palatino Linotype" w:cs="Palatino Linotype"/>
          <w:b/>
          <w:sz w:val="22"/>
          <w:szCs w:val="22"/>
        </w:rPr>
        <w:t>nueve de octubre de dos mil veinticuatro</w:t>
      </w:r>
      <w:r w:rsidRPr="009B6EEE">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033BB0AF"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3F5EE36"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C04FC8"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C1850B"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19EB95"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46FA53E" w14:textId="77777777" w:rsidR="00A53236" w:rsidRPr="009B6EEE" w:rsidRDefault="00BE58F5">
      <w:pPr>
        <w:numPr>
          <w:ilvl w:val="0"/>
          <w:numId w:val="10"/>
        </w:num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Complejidad del Asunto:</w:t>
      </w:r>
      <w:r w:rsidRPr="009B6EE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A232DDC" w14:textId="77777777" w:rsidR="00A53236" w:rsidRPr="009B6EEE" w:rsidRDefault="00BE58F5">
      <w:pPr>
        <w:numPr>
          <w:ilvl w:val="0"/>
          <w:numId w:val="10"/>
        </w:num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Actividad Procesal del interesado.</w:t>
      </w:r>
      <w:r w:rsidRPr="009B6EEE">
        <w:rPr>
          <w:rFonts w:ascii="Palatino Linotype" w:eastAsia="Palatino Linotype" w:hAnsi="Palatino Linotype" w:cs="Palatino Linotype"/>
          <w:sz w:val="22"/>
          <w:szCs w:val="22"/>
        </w:rPr>
        <w:t xml:space="preserve"> Acciones u omisiones del interesado.</w:t>
      </w:r>
    </w:p>
    <w:p w14:paraId="32A35852" w14:textId="77777777" w:rsidR="00A53236" w:rsidRPr="009B6EEE" w:rsidRDefault="00BE58F5">
      <w:pPr>
        <w:numPr>
          <w:ilvl w:val="0"/>
          <w:numId w:val="10"/>
        </w:num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lastRenderedPageBreak/>
        <w:t xml:space="preserve">Conducta de la Autoridad: </w:t>
      </w:r>
      <w:r w:rsidRPr="009B6EEE">
        <w:rPr>
          <w:rFonts w:ascii="Palatino Linotype" w:eastAsia="Palatino Linotype" w:hAnsi="Palatino Linotype" w:cs="Palatino Linotype"/>
          <w:sz w:val="22"/>
          <w:szCs w:val="22"/>
        </w:rPr>
        <w:t>Las Acciones u omisiones realizadas en el procedimiento. Así como si la autoridad actuó con la debida diligencia.</w:t>
      </w:r>
    </w:p>
    <w:p w14:paraId="3F7FFDF5" w14:textId="77777777" w:rsidR="00A53236" w:rsidRPr="009B6EEE" w:rsidRDefault="00BE58F5">
      <w:pPr>
        <w:numPr>
          <w:ilvl w:val="0"/>
          <w:numId w:val="10"/>
        </w:num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 </w:t>
      </w:r>
      <w:r w:rsidRPr="009B6EEE">
        <w:rPr>
          <w:rFonts w:ascii="Palatino Linotype" w:eastAsia="Palatino Linotype" w:hAnsi="Palatino Linotype" w:cs="Palatino Linotype"/>
          <w:b/>
          <w:sz w:val="22"/>
          <w:szCs w:val="22"/>
        </w:rPr>
        <w:t>La afectación generada en la situación jurídica de la persona involucrada en el proceso:</w:t>
      </w:r>
      <w:r w:rsidRPr="009B6EEE">
        <w:rPr>
          <w:rFonts w:ascii="Palatino Linotype" w:eastAsia="Palatino Linotype" w:hAnsi="Palatino Linotype" w:cs="Palatino Linotype"/>
          <w:sz w:val="22"/>
          <w:szCs w:val="22"/>
        </w:rPr>
        <w:t xml:space="preserve"> Violación a sus derechos humanos.</w:t>
      </w:r>
    </w:p>
    <w:p w14:paraId="2C3E7460"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034E94" w14:textId="77777777" w:rsidR="00A53236" w:rsidRPr="009B6EEE" w:rsidRDefault="00BE58F5">
      <w:pPr>
        <w:spacing w:before="240" w:after="240"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B6EEE">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B6EEE">
        <w:rPr>
          <w:rFonts w:ascii="Palatino Linotype" w:eastAsia="Palatino Linotype" w:hAnsi="Palatino Linotype" w:cs="Palatino Linotype"/>
          <w:sz w:val="22"/>
          <w:szCs w:val="22"/>
        </w:rPr>
        <w:t>, visible en la Gaceta del Seminario Judicial de la Federación con el registro digital 205635.</w:t>
      </w:r>
    </w:p>
    <w:p w14:paraId="60EA7D73"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w:t>
      </w:r>
      <w:r w:rsidRPr="009B6EEE">
        <w:rPr>
          <w:rFonts w:ascii="Palatino Linotype" w:eastAsia="Palatino Linotype" w:hAnsi="Palatino Linotype" w:cs="Palatino Linotype"/>
          <w:sz w:val="22"/>
          <w:szCs w:val="22"/>
        </w:rPr>
        <w:lastRenderedPageBreak/>
        <w:t>recursos dentro de los términos legales previamente establecidos por la Ley, por tratarse de causas de fuerza mayor.</w:t>
      </w:r>
    </w:p>
    <w:p w14:paraId="1EDB7E05"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57E461A" w14:textId="77777777" w:rsidR="00A53236" w:rsidRPr="009B6EEE" w:rsidRDefault="00BE58F5">
      <w:pPr>
        <w:spacing w:before="240" w:after="240" w:line="360"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“PLAZO RAZONABLE PARA RESOLVER. DIMENSIÓN Y EFECTOS DE ESTE CONCEPTO CUANDO SE ADUCE EXCESIVA CARGA DE TRABAJO.”</w:t>
      </w:r>
      <w:r w:rsidRPr="009B6EEE">
        <w:rPr>
          <w:rFonts w:ascii="Palatino Linotype" w:eastAsia="Palatino Linotype" w:hAnsi="Palatino Linotype" w:cs="Palatino Linotype"/>
          <w:sz w:val="22"/>
          <w:szCs w:val="22"/>
        </w:rPr>
        <w:t xml:space="preserve"> consultable en el Seminario Judicial de la Federación y su gaceta, con el registro digital 2002351.</w:t>
      </w:r>
    </w:p>
    <w:p w14:paraId="38544DCE" w14:textId="77777777" w:rsidR="00A53236" w:rsidRPr="009B6EEE" w:rsidRDefault="00BE58F5">
      <w:pPr>
        <w:spacing w:before="240" w:after="240" w:line="360"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9B6EEE">
        <w:rPr>
          <w:rFonts w:ascii="Palatino Linotype" w:eastAsia="Palatino Linotype" w:hAnsi="Palatino Linotype" w:cs="Palatino Linotype"/>
          <w:sz w:val="22"/>
          <w:szCs w:val="22"/>
        </w:rPr>
        <w:t>, visible en el Seminario Judicial de la Federación y su gaceta, con el registro digital 2002350.</w:t>
      </w:r>
    </w:p>
    <w:p w14:paraId="1539A311"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5F3184BD" w14:textId="77777777" w:rsidR="00A53236" w:rsidRPr="009B6EEE" w:rsidRDefault="00BE58F5">
      <w:pPr>
        <w:spacing w:before="240" w:after="240"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t xml:space="preserve">10. Cierres de instrucción. </w:t>
      </w:r>
      <w:r w:rsidRPr="009B6EE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00CA6C08" w:rsidRPr="009B6EEE">
        <w:rPr>
          <w:rFonts w:ascii="Palatino Linotype" w:eastAsia="Palatino Linotype" w:hAnsi="Palatino Linotype" w:cs="Palatino Linotype"/>
          <w:b/>
          <w:sz w:val="22"/>
          <w:szCs w:val="22"/>
        </w:rPr>
        <w:t>diecisiete</w:t>
      </w:r>
      <w:r w:rsidRPr="009B6EEE">
        <w:rPr>
          <w:rFonts w:ascii="Palatino Linotype" w:eastAsia="Palatino Linotype" w:hAnsi="Palatino Linotype" w:cs="Palatino Linotype"/>
          <w:b/>
          <w:sz w:val="22"/>
          <w:szCs w:val="22"/>
        </w:rPr>
        <w:t xml:space="preserve"> de octubre de</w:t>
      </w:r>
      <w:r w:rsidRPr="009B6EEE">
        <w:rPr>
          <w:rFonts w:ascii="Palatino Linotype" w:eastAsia="Palatino Linotype" w:hAnsi="Palatino Linotype" w:cs="Palatino Linotype"/>
          <w:sz w:val="22"/>
          <w:szCs w:val="22"/>
        </w:rPr>
        <w:t xml:space="preserve"> </w:t>
      </w:r>
      <w:r w:rsidRPr="009B6EEE">
        <w:rPr>
          <w:rFonts w:ascii="Palatino Linotype" w:eastAsia="Palatino Linotype" w:hAnsi="Palatino Linotype" w:cs="Palatino Linotype"/>
          <w:b/>
          <w:sz w:val="22"/>
          <w:szCs w:val="22"/>
        </w:rPr>
        <w:t>dos mil veinticuatro</w:t>
      </w:r>
      <w:r w:rsidRPr="009B6EEE">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Estados de México y Municipios.</w:t>
      </w:r>
    </w:p>
    <w:p w14:paraId="09BE1E08"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 xml:space="preserve">En razón de que fueron debidamente sustanciados los expedientes electrónicos y no existen diligencias pendientes de desahogo, se emite la Resolución que conforme a Derecho proceda, de acuerdo con los siguientes: </w:t>
      </w:r>
    </w:p>
    <w:p w14:paraId="5D92C470" w14:textId="77777777" w:rsidR="00A53236" w:rsidRPr="009B6EEE" w:rsidRDefault="00BE58F5">
      <w:pPr>
        <w:widowControl w:val="0"/>
        <w:spacing w:before="240" w:after="240" w:line="360" w:lineRule="auto"/>
        <w:jc w:val="center"/>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t>II. C O N S I D E R A N D O</w:t>
      </w:r>
    </w:p>
    <w:p w14:paraId="6286EAFB"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Primero. Competencia.</w:t>
      </w:r>
      <w:r w:rsidRPr="009B6EE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la parte</w:t>
      </w:r>
      <w:r w:rsidRPr="009B6EEE">
        <w:rPr>
          <w:rFonts w:ascii="Palatino Linotype" w:eastAsia="Palatino Linotype" w:hAnsi="Palatino Linotype" w:cs="Palatino Linotype"/>
          <w:b/>
          <w:sz w:val="22"/>
          <w:szCs w:val="22"/>
        </w:rPr>
        <w:t xml:space="preserve"> Recurrente</w:t>
      </w:r>
      <w:r w:rsidRPr="009B6EEE">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XXIII  y 11 del Reglamento Interior del Instituto de Transparencia, Acceso a la Información Pública y Protección de Datos Personales del Estado de México y Municipios.</w:t>
      </w:r>
    </w:p>
    <w:p w14:paraId="6CF18768"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bookmarkStart w:id="2" w:name="_heading=h.30j0zll" w:colFirst="0" w:colLast="0"/>
      <w:bookmarkEnd w:id="2"/>
      <w:r w:rsidRPr="009B6EEE">
        <w:rPr>
          <w:rFonts w:ascii="Palatino Linotype" w:eastAsia="Palatino Linotype" w:hAnsi="Palatino Linotype" w:cs="Palatino Linotype"/>
          <w:b/>
          <w:sz w:val="22"/>
          <w:szCs w:val="22"/>
        </w:rPr>
        <w:t>Segundo. Oportunidad y Procedibilidad de los Recursos de Revisión</w:t>
      </w:r>
      <w:r w:rsidRPr="009B6EEE">
        <w:rPr>
          <w:rFonts w:ascii="Palatino Linotype" w:eastAsia="Palatino Linotype" w:hAnsi="Palatino Linotype" w:cs="Palatino Linotype"/>
          <w:sz w:val="22"/>
          <w:szCs w:val="22"/>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8E49406" w14:textId="77777777" w:rsidR="00A53236" w:rsidRPr="009B6EEE" w:rsidRDefault="00BE58F5">
      <w:pPr>
        <w:spacing w:before="240" w:after="240"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w:t>
      </w:r>
      <w:r w:rsidRPr="009B6EEE">
        <w:rPr>
          <w:rFonts w:ascii="Palatino Linotype" w:eastAsia="Palatino Linotype" w:hAnsi="Palatino Linotype" w:cs="Palatino Linotype"/>
          <w:sz w:val="22"/>
          <w:szCs w:val="22"/>
        </w:rPr>
        <w:lastRenderedPageBreak/>
        <w:t xml:space="preserve">Estado de México y Municipios, toda vez que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respondió a las solicitudes de información que </w:t>
      </w:r>
      <w:proofErr w:type="spellStart"/>
      <w:r w:rsidRPr="009B6EEE">
        <w:rPr>
          <w:rFonts w:ascii="Palatino Linotype" w:eastAsia="Palatino Linotype" w:hAnsi="Palatino Linotype" w:cs="Palatino Linotype"/>
          <w:sz w:val="22"/>
          <w:szCs w:val="22"/>
        </w:rPr>
        <w:t>aperturaron</w:t>
      </w:r>
      <w:proofErr w:type="spellEnd"/>
      <w:r w:rsidRPr="009B6EEE">
        <w:rPr>
          <w:rFonts w:ascii="Palatino Linotype" w:eastAsia="Palatino Linotype" w:hAnsi="Palatino Linotype" w:cs="Palatino Linotype"/>
          <w:sz w:val="22"/>
          <w:szCs w:val="22"/>
        </w:rPr>
        <w:t xml:space="preserve"> los recursos de revisión, el </w:t>
      </w:r>
      <w:r w:rsidRPr="009B6EEE">
        <w:rPr>
          <w:rFonts w:ascii="Palatino Linotype" w:eastAsia="Palatino Linotype" w:hAnsi="Palatino Linotype" w:cs="Palatino Linotype"/>
          <w:b/>
          <w:sz w:val="22"/>
          <w:szCs w:val="22"/>
        </w:rPr>
        <w:t>ocho de abril de dos mil veinticuatro</w:t>
      </w:r>
      <w:r w:rsidRPr="009B6EEE">
        <w:rPr>
          <w:rFonts w:ascii="Palatino Linotype" w:eastAsia="Palatino Linotype" w:hAnsi="Palatino Linotype" w:cs="Palatino Linotype"/>
          <w:sz w:val="22"/>
          <w:szCs w:val="22"/>
        </w:rPr>
        <w:t xml:space="preserve">, por su parte, los recursos de revisión se interpusieron el día </w:t>
      </w:r>
      <w:r w:rsidRPr="009B6EEE">
        <w:rPr>
          <w:rFonts w:ascii="Palatino Linotype" w:eastAsia="Palatino Linotype" w:hAnsi="Palatino Linotype" w:cs="Palatino Linotype"/>
          <w:b/>
          <w:sz w:val="22"/>
          <w:szCs w:val="22"/>
        </w:rPr>
        <w:t>veinticinco de abril de dos mil veinticuatro</w:t>
      </w:r>
      <w:r w:rsidRPr="009B6EEE">
        <w:rPr>
          <w:rFonts w:ascii="Palatino Linotype" w:eastAsia="Palatino Linotype" w:hAnsi="Palatino Linotype" w:cs="Palatino Linotype"/>
          <w:sz w:val="22"/>
          <w:szCs w:val="22"/>
        </w:rPr>
        <w:t xml:space="preserve">, esto es en el </w:t>
      </w:r>
      <w:r w:rsidRPr="009B6EEE">
        <w:rPr>
          <w:rFonts w:ascii="Palatino Linotype" w:eastAsia="Palatino Linotype" w:hAnsi="Palatino Linotype" w:cs="Palatino Linotype"/>
          <w:b/>
          <w:sz w:val="22"/>
          <w:szCs w:val="22"/>
        </w:rPr>
        <w:t>décimo tercer día hábil</w:t>
      </w:r>
      <w:r w:rsidRPr="009B6EEE">
        <w:rPr>
          <w:rFonts w:ascii="Palatino Linotype" w:eastAsia="Palatino Linotype" w:hAnsi="Palatino Linotype" w:cs="Palatino Linotype"/>
          <w:sz w:val="22"/>
          <w:szCs w:val="22"/>
        </w:rPr>
        <w:t xml:space="preserve"> </w:t>
      </w:r>
      <w:r w:rsidRPr="009B6EEE">
        <w:rPr>
          <w:rFonts w:ascii="Palatino Linotype" w:eastAsia="Palatino Linotype" w:hAnsi="Palatino Linotype" w:cs="Palatino Linotype"/>
          <w:b/>
          <w:sz w:val="22"/>
          <w:szCs w:val="22"/>
        </w:rPr>
        <w:t>después de conocerse las respuestas.</w:t>
      </w:r>
    </w:p>
    <w:p w14:paraId="440F6BBE"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1EA52F64"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217E13A"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Finalmente, se advierte que resulta procedente la interposición de los recursos, según lo manifestado por la parte recurrente en sus motivos de inconformidad, de acuerdo al artículo 179, fracción I del ordenamiento legal citado, que a la letra dice: </w:t>
      </w:r>
    </w:p>
    <w:p w14:paraId="29283601" w14:textId="77777777" w:rsidR="00A53236" w:rsidRPr="009B6EEE" w:rsidRDefault="00BE58F5">
      <w:pPr>
        <w:tabs>
          <w:tab w:val="left" w:pos="7088"/>
        </w:tabs>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Artículo 179.</w:t>
      </w:r>
      <w:r w:rsidRPr="009B6EE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6AC863B" w14:textId="77777777" w:rsidR="00A53236" w:rsidRPr="009B6EEE" w:rsidRDefault="00BE58F5">
      <w:pPr>
        <w:tabs>
          <w:tab w:val="left" w:pos="7088"/>
        </w:tabs>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u w:val="single"/>
        </w:rPr>
        <w:t>I. La negativa a la información solicitada;</w:t>
      </w: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 xml:space="preserve">” </w:t>
      </w:r>
    </w:p>
    <w:p w14:paraId="23A62BF3" w14:textId="77777777" w:rsidR="00A53236" w:rsidRPr="009B6EEE" w:rsidRDefault="00BE58F5">
      <w:pPr>
        <w:tabs>
          <w:tab w:val="left" w:pos="7088"/>
        </w:tabs>
        <w:spacing w:line="276" w:lineRule="auto"/>
        <w:ind w:left="851" w:right="616"/>
        <w:jc w:val="both"/>
        <w:rPr>
          <w:rFonts w:ascii="Palatino Linotype" w:eastAsia="Palatino Linotype" w:hAnsi="Palatino Linotype" w:cs="Palatino Linotype"/>
          <w:b/>
          <w:i/>
          <w:sz w:val="22"/>
          <w:szCs w:val="22"/>
          <w:u w:val="single"/>
        </w:rPr>
      </w:pPr>
      <w:r w:rsidRPr="009B6EEE">
        <w:rPr>
          <w:rFonts w:ascii="Palatino Linotype" w:eastAsia="Palatino Linotype" w:hAnsi="Palatino Linotype" w:cs="Palatino Linotype"/>
          <w:i/>
          <w:sz w:val="22"/>
          <w:szCs w:val="22"/>
        </w:rPr>
        <w:t>(Énfasis añadido)</w:t>
      </w:r>
    </w:p>
    <w:p w14:paraId="38F0CAB1"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lastRenderedPageBreak/>
        <w:t xml:space="preserve">Tercero. Materia de la revisión. </w:t>
      </w:r>
      <w:r w:rsidRPr="009B6EEE">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9B6EEE">
        <w:rPr>
          <w:rFonts w:ascii="Palatino Linotype" w:eastAsia="Palatino Linotype" w:hAnsi="Palatino Linotype" w:cs="Palatino Linotype"/>
          <w:b/>
          <w:sz w:val="22"/>
          <w:szCs w:val="22"/>
        </w:rPr>
        <w:t xml:space="preserve">verificar si las respuestas e informes justificados emitidos por el Sujeto Obligado son adecuados y suficientes para satisfacer el derecho de acceso a la información pública </w:t>
      </w:r>
      <w:r w:rsidRPr="009B6EEE">
        <w:rPr>
          <w:rFonts w:ascii="Palatino Linotype" w:eastAsia="Palatino Linotype" w:hAnsi="Palatino Linotype" w:cs="Palatino Linotype"/>
          <w:sz w:val="22"/>
          <w:szCs w:val="22"/>
        </w:rPr>
        <w:t xml:space="preserve">de </w:t>
      </w:r>
      <w:r w:rsidRPr="009B6EEE">
        <w:rPr>
          <w:rFonts w:ascii="Palatino Linotype" w:eastAsia="Palatino Linotype" w:hAnsi="Palatino Linotype" w:cs="Palatino Linotype"/>
          <w:b/>
          <w:sz w:val="22"/>
          <w:szCs w:val="22"/>
        </w:rPr>
        <w:t>la parte</w:t>
      </w:r>
      <w:r w:rsidRPr="009B6EEE">
        <w:rPr>
          <w:rFonts w:ascii="Palatino Linotype" w:eastAsia="Palatino Linotype" w:hAnsi="Palatino Linotype" w:cs="Palatino Linotype"/>
          <w:sz w:val="22"/>
          <w:szCs w:val="22"/>
        </w:rPr>
        <w:t xml:space="preserve"> </w:t>
      </w:r>
      <w:r w:rsidRPr="009B6EEE">
        <w:rPr>
          <w:rFonts w:ascii="Palatino Linotype" w:eastAsia="Palatino Linotype" w:hAnsi="Palatino Linotype" w:cs="Palatino Linotype"/>
          <w:b/>
          <w:sz w:val="22"/>
          <w:szCs w:val="22"/>
        </w:rPr>
        <w:t>Recurrente</w:t>
      </w:r>
      <w:r w:rsidRPr="009B6EEE">
        <w:rPr>
          <w:rFonts w:ascii="Palatino Linotype" w:eastAsia="Palatino Linotype" w:hAnsi="Palatino Linotype" w:cs="Palatino Linotype"/>
          <w:sz w:val="22"/>
          <w:szCs w:val="22"/>
        </w:rPr>
        <w:t xml:space="preserve">, o en su defecto, en caso de ser procedente, ordenar la entrega de información.  </w:t>
      </w:r>
    </w:p>
    <w:p w14:paraId="089CB1BC"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Cuarto. Estudio del asunto. </w:t>
      </w:r>
      <w:r w:rsidRPr="009B6EEE">
        <w:rPr>
          <w:rFonts w:ascii="Palatino Linotype" w:eastAsia="Palatino Linotype" w:hAnsi="Palatino Linotype" w:cs="Palatino Linotype"/>
          <w:sz w:val="22"/>
          <w:szCs w:val="22"/>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5B2D12" w14:textId="77777777" w:rsidR="00A53236" w:rsidRPr="009B6EEE" w:rsidRDefault="00BE58F5">
      <w:pPr>
        <w:tabs>
          <w:tab w:val="left" w:pos="709"/>
        </w:tabs>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B6EE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ADCF916" w14:textId="77777777" w:rsidR="00A53236" w:rsidRPr="009B6EEE" w:rsidRDefault="00BE58F5">
      <w:pPr>
        <w:tabs>
          <w:tab w:val="left" w:pos="709"/>
        </w:tabs>
        <w:spacing w:before="240" w:after="240"/>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A4C8A0C" w14:textId="77777777" w:rsidR="00A53236" w:rsidRPr="009B6EEE" w:rsidRDefault="00BE58F5">
      <w:pPr>
        <w:tabs>
          <w:tab w:val="left" w:pos="709"/>
        </w:tabs>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B6EEE">
        <w:rPr>
          <w:rFonts w:ascii="Palatino Linotype" w:eastAsia="Palatino Linotype" w:hAnsi="Palatino Linotype" w:cs="Palatino Linotype"/>
          <w:i/>
          <w:sz w:val="22"/>
          <w:szCs w:val="22"/>
        </w:rPr>
        <w:t xml:space="preserve"> En consecuencia, el Estado </w:t>
      </w:r>
      <w:r w:rsidRPr="009B6EEE">
        <w:rPr>
          <w:rFonts w:ascii="Palatino Linotype" w:eastAsia="Palatino Linotype" w:hAnsi="Palatino Linotype" w:cs="Palatino Linotype"/>
          <w:i/>
          <w:sz w:val="22"/>
          <w:szCs w:val="22"/>
        </w:rPr>
        <w:lastRenderedPageBreak/>
        <w:t>deberá prevenir, investigar, sancionar y reparar las violaciones a los derechos humanos, en los términos que establezca la ley</w:t>
      </w:r>
    </w:p>
    <w:p w14:paraId="4558CC05" w14:textId="77777777" w:rsidR="00A53236" w:rsidRPr="009B6EEE" w:rsidRDefault="00BE58F5">
      <w:pPr>
        <w:tabs>
          <w:tab w:val="left" w:pos="709"/>
        </w:tabs>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7A97B79A" w14:textId="77777777" w:rsidR="00A53236" w:rsidRPr="009B6EEE" w:rsidRDefault="00BE58F5">
      <w:pPr>
        <w:tabs>
          <w:tab w:val="left" w:pos="709"/>
        </w:tabs>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“Artículo 6o.</w:t>
      </w:r>
    </w:p>
    <w:p w14:paraId="296B7C58"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1B8DF6F1"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 xml:space="preserve">A. Para el ejercicio del derecho de acceso a la información, la Federación y </w:t>
      </w:r>
      <w:r w:rsidRPr="009B6EEE">
        <w:rPr>
          <w:rFonts w:ascii="Palatino Linotype" w:eastAsia="Palatino Linotype" w:hAnsi="Palatino Linotype" w:cs="Palatino Linotype"/>
          <w:b/>
          <w:i/>
          <w:sz w:val="22"/>
          <w:szCs w:val="22"/>
          <w:u w:val="single"/>
        </w:rPr>
        <w:t>las entidades federativas</w:t>
      </w:r>
      <w:r w:rsidRPr="009B6EEE">
        <w:rPr>
          <w:rFonts w:ascii="Palatino Linotype" w:eastAsia="Palatino Linotype" w:hAnsi="Palatino Linotype" w:cs="Palatino Linotype"/>
          <w:b/>
          <w:i/>
          <w:sz w:val="22"/>
          <w:szCs w:val="22"/>
        </w:rPr>
        <w:t>,</w:t>
      </w:r>
      <w:r w:rsidRPr="009B6EEE">
        <w:rPr>
          <w:rFonts w:ascii="Palatino Linotype" w:eastAsia="Palatino Linotype" w:hAnsi="Palatino Linotype" w:cs="Palatino Linotype"/>
          <w:i/>
          <w:sz w:val="22"/>
          <w:szCs w:val="22"/>
        </w:rPr>
        <w:t xml:space="preserve"> en el ámbito de sus respectivas competencias, se regirán por los siguientes principios y bases:</w:t>
      </w:r>
    </w:p>
    <w:p w14:paraId="30472D28"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 xml:space="preserve">I. </w:t>
      </w:r>
      <w:r w:rsidRPr="009B6EE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B6EEE">
        <w:rPr>
          <w:rFonts w:ascii="Palatino Linotype" w:eastAsia="Palatino Linotype" w:hAnsi="Palatino Linotype" w:cs="Palatino Linotype"/>
          <w:i/>
          <w:sz w:val="22"/>
          <w:szCs w:val="22"/>
        </w:rPr>
        <w:t xml:space="preserve"> Ejecutivo, Legislativo </w:t>
      </w:r>
      <w:r w:rsidRPr="009B6EEE">
        <w:rPr>
          <w:rFonts w:ascii="Palatino Linotype" w:eastAsia="Palatino Linotype" w:hAnsi="Palatino Linotype" w:cs="Palatino Linotype"/>
          <w:b/>
          <w:i/>
          <w:sz w:val="22"/>
          <w:szCs w:val="22"/>
          <w:u w:val="single"/>
        </w:rPr>
        <w:t>y Judicial</w:t>
      </w:r>
      <w:r w:rsidRPr="009B6EE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B6EEE">
        <w:rPr>
          <w:rFonts w:ascii="Palatino Linotype" w:eastAsia="Palatino Linotype" w:hAnsi="Palatino Linotype" w:cs="Palatino Linotype"/>
          <w:b/>
          <w:i/>
          <w:sz w:val="22"/>
          <w:szCs w:val="22"/>
        </w:rPr>
        <w:t>es pública y sólo podrá ser reservada temporalmente por razones de interés público y seguridad nacional,</w:t>
      </w:r>
      <w:r w:rsidRPr="009B6EE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9C1473" w14:textId="77777777" w:rsidR="00A53236" w:rsidRPr="009B6EEE" w:rsidRDefault="00BE58F5">
      <w:pPr>
        <w:spacing w:before="240" w:after="240"/>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i/>
          <w:sz w:val="22"/>
          <w:szCs w:val="22"/>
        </w:rPr>
        <w:t> </w:t>
      </w:r>
      <w:r w:rsidRPr="009B6EE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FC94D1B"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w:t>
      </w:r>
      <w:r w:rsidRPr="009B6EEE">
        <w:rPr>
          <w:rFonts w:ascii="Palatino Linotype" w:eastAsia="Palatino Linotype" w:hAnsi="Palatino Linotype" w:cs="Palatino Linotype"/>
          <w:b/>
          <w:i/>
          <w:sz w:val="22"/>
          <w:szCs w:val="22"/>
        </w:rPr>
        <w:t xml:space="preserve">III. </w:t>
      </w:r>
      <w:r w:rsidRPr="009B6EE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B6EEE">
        <w:rPr>
          <w:rFonts w:ascii="Palatino Linotype" w:eastAsia="Palatino Linotype" w:hAnsi="Palatino Linotype" w:cs="Palatino Linotype"/>
          <w:i/>
          <w:sz w:val="22"/>
          <w:szCs w:val="22"/>
        </w:rPr>
        <w:t xml:space="preserve"> a sus datos personales o a la rectificación de éstos.</w:t>
      </w:r>
    </w:p>
    <w:p w14:paraId="289FC9AB"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w:t>
      </w:r>
      <w:r w:rsidRPr="009B6EEE">
        <w:rPr>
          <w:rFonts w:ascii="Palatino Linotype" w:eastAsia="Palatino Linotype" w:hAnsi="Palatino Linotype" w:cs="Palatino Linotype"/>
          <w:b/>
          <w:i/>
          <w:sz w:val="22"/>
          <w:szCs w:val="22"/>
        </w:rPr>
        <w:t xml:space="preserve">IV. </w:t>
      </w:r>
      <w:r w:rsidRPr="009B6EE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5087C31"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lastRenderedPageBreak/>
        <w:t xml:space="preserve">V. </w:t>
      </w:r>
      <w:r w:rsidRPr="009B6EE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19119D4"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 xml:space="preserve">VI. </w:t>
      </w:r>
      <w:r w:rsidRPr="009B6EE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6988C12"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w:t>
      </w:r>
      <w:r w:rsidRPr="009B6EEE">
        <w:rPr>
          <w:rFonts w:ascii="Palatino Linotype" w:eastAsia="Palatino Linotype" w:hAnsi="Palatino Linotype" w:cs="Palatino Linotype"/>
          <w:b/>
          <w:i/>
          <w:sz w:val="22"/>
          <w:szCs w:val="22"/>
        </w:rPr>
        <w:t xml:space="preserve">VII. </w:t>
      </w:r>
      <w:r w:rsidRPr="009B6EE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5424EE8" w14:textId="77777777" w:rsidR="00A53236" w:rsidRPr="009B6EEE" w:rsidRDefault="00BE58F5">
      <w:pPr>
        <w:tabs>
          <w:tab w:val="left" w:pos="709"/>
        </w:tabs>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debe cumplir con dichos dispositivos legales.</w:t>
      </w:r>
    </w:p>
    <w:p w14:paraId="2BD9DA59"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w:t>
      </w:r>
      <w:r w:rsidRPr="009B6EEE">
        <w:rPr>
          <w:rFonts w:ascii="Palatino Linotype" w:eastAsia="Palatino Linotype" w:hAnsi="Palatino Linotype" w:cs="Palatino Linotype"/>
          <w:sz w:val="22"/>
          <w:szCs w:val="22"/>
        </w:rPr>
        <w:lastRenderedPageBreak/>
        <w:t>lo establece dicha determinación, que a continuación se transcribe para un mejor entendimiento:</w:t>
      </w:r>
    </w:p>
    <w:p w14:paraId="5F9A476C"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Artículo 4</w:t>
      </w:r>
      <w:r w:rsidRPr="009B6EE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CB2D1D3" w14:textId="77777777" w:rsidR="00A53236" w:rsidRPr="009B6EEE" w:rsidRDefault="00BE58F5">
      <w:pPr>
        <w:spacing w:before="240" w:after="240"/>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287274"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1BBAE13"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B6EEE">
        <w:rPr>
          <w:rFonts w:ascii="Palatino Linotype" w:eastAsia="Palatino Linotype" w:hAnsi="Palatino Linotype" w:cs="Palatino Linotype"/>
          <w:b/>
          <w:sz w:val="22"/>
          <w:szCs w:val="22"/>
        </w:rPr>
        <w:t>artículo 12</w:t>
      </w:r>
      <w:r w:rsidRPr="009B6EEE">
        <w:rPr>
          <w:rFonts w:ascii="Palatino Linotype" w:eastAsia="Palatino Linotype" w:hAnsi="Palatino Linotype" w:cs="Palatino Linotype"/>
          <w:sz w:val="22"/>
          <w:szCs w:val="22"/>
        </w:rPr>
        <w:t xml:space="preserve"> de la Ley de Transparencia y Acceso a la Información Pública del Estado de México y Municipios, el cual a la letra dice:</w:t>
      </w:r>
    </w:p>
    <w:p w14:paraId="0811D1E4"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Artículo 12</w:t>
      </w:r>
      <w:r w:rsidRPr="009B6EE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EADDA24"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E966766"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9B6EEE">
        <w:rPr>
          <w:rFonts w:ascii="Palatino Linotype" w:eastAsia="Palatino Linotype" w:hAnsi="Palatino Linotype" w:cs="Palatino Linotype"/>
          <w:b/>
          <w:sz w:val="22"/>
          <w:szCs w:val="22"/>
        </w:rPr>
        <w:t xml:space="preserve"> </w:t>
      </w:r>
      <w:r w:rsidRPr="009B6EEE">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9B6EEE">
        <w:rPr>
          <w:rFonts w:ascii="Palatino Linotype" w:eastAsia="Palatino Linotype" w:hAnsi="Palatino Linotype" w:cs="Palatino Linotype"/>
          <w:i/>
          <w:sz w:val="22"/>
          <w:szCs w:val="22"/>
        </w:rPr>
        <w:t>ad hoc</w:t>
      </w:r>
      <w:r w:rsidRPr="009B6EEE">
        <w:rPr>
          <w:rFonts w:ascii="Palatino Linotype" w:eastAsia="Palatino Linotype" w:hAnsi="Palatino Linotype" w:cs="Palatino Linotype"/>
          <w:sz w:val="22"/>
          <w:szCs w:val="22"/>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4B09A978" w14:textId="77777777" w:rsidR="00A53236" w:rsidRPr="009B6EEE" w:rsidRDefault="00BE58F5">
      <w:pPr>
        <w:spacing w:before="240" w:after="240"/>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03/17</w:t>
      </w:r>
    </w:p>
    <w:p w14:paraId="4CB72C45" w14:textId="77777777" w:rsidR="00A53236" w:rsidRPr="009B6EEE" w:rsidRDefault="00BE58F5">
      <w:pPr>
        <w:spacing w:before="240" w:after="240"/>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“NO EXISTE OBLIGACIÓN DE ELABORAR DOCUMENTOS AD HOC PARA ATENDER LAS SOLICITUDES DE ACCESO A LA INFORMACIÓN.</w:t>
      </w:r>
    </w:p>
    <w:p w14:paraId="2A2A3E71"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1AA33B1"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Por otra parte, conviene mencionar que la Ley de Transparencia vigente en el Estado de México refiere: </w:t>
      </w:r>
    </w:p>
    <w:p w14:paraId="698DE171"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lastRenderedPageBreak/>
        <w:t>Artículo 18.</w:t>
      </w:r>
      <w:r w:rsidRPr="009B6EEE">
        <w:rPr>
          <w:rFonts w:ascii="Palatino Linotype" w:eastAsia="Palatino Linotype" w:hAnsi="Palatino Linotype" w:cs="Palatino Linotype"/>
          <w:i/>
          <w:sz w:val="22"/>
          <w:szCs w:val="22"/>
        </w:rPr>
        <w:t xml:space="preserve"> </w:t>
      </w:r>
      <w:r w:rsidRPr="009B6EEE">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9B6EEE">
        <w:rPr>
          <w:rFonts w:ascii="Palatino Linotype" w:eastAsia="Palatino Linotype" w:hAnsi="Palatino Linotype" w:cs="Palatino Linotype"/>
          <w:i/>
          <w:sz w:val="22"/>
          <w:szCs w:val="22"/>
        </w:rPr>
        <w:t xml:space="preserve"> y reutilización de la información que generen.</w:t>
      </w:r>
    </w:p>
    <w:p w14:paraId="030EAB95"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 xml:space="preserve">Artículo 19. </w:t>
      </w:r>
      <w:r w:rsidRPr="009B6EEE">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9B6EEE">
        <w:rPr>
          <w:rFonts w:ascii="Palatino Linotype" w:eastAsia="Palatino Linotype" w:hAnsi="Palatino Linotype" w:cs="Palatino Linotype"/>
          <w:i/>
          <w:sz w:val="22"/>
          <w:szCs w:val="22"/>
        </w:rPr>
        <w:t>.</w:t>
      </w:r>
    </w:p>
    <w:p w14:paraId="64D92C72"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A8B0FE4"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3EDA60C" w14:textId="77777777" w:rsidR="00A53236" w:rsidRPr="009B6EEE" w:rsidRDefault="00BE58F5">
      <w:pPr>
        <w:spacing w:before="240" w:after="24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(Énfasis añadido)</w:t>
      </w:r>
    </w:p>
    <w:p w14:paraId="0F07FCE5"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07D8B33"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w:t>
      </w:r>
      <w:r w:rsidRPr="009B6EEE">
        <w:rPr>
          <w:rFonts w:ascii="Palatino Linotype" w:eastAsia="Palatino Linotype" w:hAnsi="Palatino Linotype" w:cs="Palatino Linotype"/>
          <w:sz w:val="22"/>
          <w:szCs w:val="22"/>
        </w:rPr>
        <w:lastRenderedPageBreak/>
        <w:t xml:space="preserve">bien, </w:t>
      </w:r>
      <w:r w:rsidRPr="009B6EEE">
        <w:rPr>
          <w:rFonts w:ascii="Palatino Linotype" w:eastAsia="Palatino Linotype" w:hAnsi="Palatino Linotype" w:cs="Palatino Linotype"/>
          <w:b/>
          <w:sz w:val="22"/>
          <w:szCs w:val="22"/>
        </w:rPr>
        <w:t>cualquier otro registro que documente el ejercicio de las facultades, funciones, obligaciones y competencias de los Sujetos Obligados</w:t>
      </w:r>
      <w:r w:rsidRPr="009B6EEE">
        <w:rPr>
          <w:rFonts w:ascii="Palatino Linotype" w:eastAsia="Palatino Linotype" w:hAnsi="Palatino Linotype" w:cs="Palatino Linotype"/>
          <w:sz w:val="22"/>
          <w:szCs w:val="22"/>
        </w:rPr>
        <w:t xml:space="preserve">; </w:t>
      </w:r>
      <w:r w:rsidRPr="009B6EEE">
        <w:rPr>
          <w:rFonts w:ascii="Palatino Linotype" w:eastAsia="Palatino Linotype" w:hAnsi="Palatino Linotype" w:cs="Palatino Linotype"/>
          <w:b/>
          <w:sz w:val="22"/>
          <w:szCs w:val="22"/>
        </w:rPr>
        <w:t>los que, podrán estar en cualquier medio</w:t>
      </w:r>
      <w:r w:rsidRPr="009B6EEE">
        <w:rPr>
          <w:rFonts w:ascii="Palatino Linotype" w:eastAsia="Palatino Linotype" w:hAnsi="Palatino Linotype" w:cs="Palatino Linotype"/>
          <w:sz w:val="22"/>
          <w:szCs w:val="22"/>
        </w:rPr>
        <w:t xml:space="preserve">, sea escrito, impreso, sonoro, visual, </w:t>
      </w:r>
      <w:r w:rsidRPr="009B6EEE">
        <w:rPr>
          <w:rFonts w:ascii="Palatino Linotype" w:eastAsia="Palatino Linotype" w:hAnsi="Palatino Linotype" w:cs="Palatino Linotype"/>
          <w:b/>
          <w:sz w:val="22"/>
          <w:szCs w:val="22"/>
        </w:rPr>
        <w:t>electrónico</w:t>
      </w:r>
      <w:r w:rsidRPr="009B6EEE">
        <w:rPr>
          <w:rFonts w:ascii="Palatino Linotype" w:eastAsia="Palatino Linotype" w:hAnsi="Palatino Linotype" w:cs="Palatino Linotype"/>
          <w:sz w:val="22"/>
          <w:szCs w:val="22"/>
        </w:rPr>
        <w:t xml:space="preserve">, informático u holográfico, esto es, </w:t>
      </w:r>
      <w:r w:rsidRPr="009B6EEE">
        <w:rPr>
          <w:rFonts w:ascii="Palatino Linotype" w:eastAsia="Palatino Linotype" w:hAnsi="Palatino Linotype" w:cs="Palatino Linotype"/>
          <w:b/>
          <w:sz w:val="22"/>
          <w:szCs w:val="22"/>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51EB3C"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De ahí que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B6EEE">
        <w:rPr>
          <w:rFonts w:ascii="Palatino Linotype" w:eastAsia="Palatino Linotype" w:hAnsi="Palatino Linotype" w:cs="Palatino Linotype"/>
          <w:sz w:val="22"/>
          <w:szCs w:val="22"/>
          <w:vertAlign w:val="superscript"/>
        </w:rPr>
        <w:footnoteReference w:id="1"/>
      </w:r>
      <w:r w:rsidRPr="009B6EEE">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B6EEE">
        <w:rPr>
          <w:rFonts w:ascii="Palatino Linotype" w:eastAsia="Palatino Linotype" w:hAnsi="Palatino Linotype" w:cs="Palatino Linotype"/>
          <w:sz w:val="22"/>
          <w:szCs w:val="22"/>
          <w:vertAlign w:val="superscript"/>
        </w:rPr>
        <w:footnoteReference w:id="2"/>
      </w:r>
      <w:r w:rsidRPr="009B6EEE">
        <w:rPr>
          <w:rFonts w:ascii="Palatino Linotype" w:eastAsia="Palatino Linotype" w:hAnsi="Palatino Linotype" w:cs="Palatino Linotype"/>
          <w:sz w:val="22"/>
          <w:szCs w:val="22"/>
        </w:rPr>
        <w:t>, como pudiera tratarse de aquella relacionada con las obligaciones de transparencia señaladas en los artículos 92 y 97, fracción I de la Ley de la Materia.</w:t>
      </w:r>
    </w:p>
    <w:p w14:paraId="00BA301F"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Para iniciar el presente análisis, es de vital importancia tener en cuenta que la parte</w:t>
      </w:r>
      <w:r w:rsidRPr="009B6EEE">
        <w:rPr>
          <w:rFonts w:ascii="Palatino Linotype" w:eastAsia="Palatino Linotype" w:hAnsi="Palatino Linotype" w:cs="Palatino Linotype"/>
          <w:b/>
          <w:sz w:val="22"/>
          <w:szCs w:val="22"/>
        </w:rPr>
        <w:t xml:space="preserve"> Recurrente</w:t>
      </w:r>
      <w:r w:rsidRPr="009B6EEE">
        <w:rPr>
          <w:rFonts w:ascii="Palatino Linotype" w:eastAsia="Palatino Linotype" w:hAnsi="Palatino Linotype" w:cs="Palatino Linotype"/>
          <w:sz w:val="22"/>
          <w:szCs w:val="22"/>
        </w:rPr>
        <w:t>, requirió lo siguiente:</w:t>
      </w:r>
    </w:p>
    <w:p w14:paraId="01D4C824"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5B0ECD5E" w14:textId="77777777" w:rsidR="00A53236" w:rsidRPr="009B6EEE" w:rsidRDefault="00BE58F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Los oficios generados de todas las áreas del primero de enero al treinta y uno de diciembre de dos mil veintidós.</w:t>
      </w:r>
    </w:p>
    <w:p w14:paraId="61E96EA4" w14:textId="77777777" w:rsidR="00A53236" w:rsidRPr="009B6EEE" w:rsidRDefault="00BE58F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Todos los oficios generados por Control Escolar a la fecha de la solicitud.</w:t>
      </w:r>
    </w:p>
    <w:p w14:paraId="534672DA" w14:textId="77777777" w:rsidR="00A53236" w:rsidRPr="009B6EEE" w:rsidRDefault="00A53236">
      <w:pPr>
        <w:pBdr>
          <w:top w:val="nil"/>
          <w:left w:val="nil"/>
          <w:bottom w:val="nil"/>
          <w:right w:val="nil"/>
          <w:between w:val="nil"/>
        </w:pBdr>
        <w:spacing w:line="360" w:lineRule="auto"/>
        <w:ind w:left="720"/>
        <w:jc w:val="both"/>
        <w:rPr>
          <w:rFonts w:ascii="Palatino Linotype" w:eastAsia="Palatino Linotype" w:hAnsi="Palatino Linotype" w:cs="Palatino Linotype"/>
          <w:i/>
          <w:sz w:val="22"/>
          <w:szCs w:val="22"/>
        </w:rPr>
      </w:pPr>
    </w:p>
    <w:p w14:paraId="50B0F6E7"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En respuesta, respecto al recurso de revisión número </w:t>
      </w:r>
      <w:r w:rsidRPr="009B6EEE">
        <w:rPr>
          <w:rFonts w:ascii="Palatino Linotype" w:eastAsia="Palatino Linotype" w:hAnsi="Palatino Linotype" w:cs="Palatino Linotype"/>
          <w:b/>
          <w:sz w:val="22"/>
          <w:szCs w:val="22"/>
        </w:rPr>
        <w:t>02244/INFOEM/IP/RR/2024</w:t>
      </w:r>
      <w:r w:rsidRPr="009B6EEE">
        <w:rPr>
          <w:rFonts w:ascii="Palatino Linotype" w:eastAsia="Palatino Linotype" w:hAnsi="Palatino Linotype" w:cs="Palatino Linotype"/>
          <w:sz w:val="22"/>
          <w:szCs w:val="22"/>
        </w:rPr>
        <w:t xml:space="preserve">, referente a los oficios generados de todas las áreas del primero de enero al treinta y uno de diciembre de dos mil veintidós,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informó el cambio de modalidad a Consulta Directa, señalando el número de fojas que corresponde a cada unidad administrativa, del periodo comprendido del primero de enero al treinta y uno de diciembre de dos mil veintidós, consistentes en lo siguiente: </w:t>
      </w:r>
    </w:p>
    <w:tbl>
      <w:tblPr>
        <w:tblStyle w:val="a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042"/>
        <w:gridCol w:w="3082"/>
      </w:tblGrid>
      <w:tr w:rsidR="009B6EEE" w:rsidRPr="009B6EEE" w14:paraId="268C69CB" w14:textId="77777777">
        <w:tc>
          <w:tcPr>
            <w:tcW w:w="704" w:type="dxa"/>
          </w:tcPr>
          <w:p w14:paraId="2FFCD05D" w14:textId="77777777" w:rsidR="00A53236" w:rsidRPr="009B6EEE" w:rsidRDefault="00BE58F5">
            <w:pPr>
              <w:jc w:val="center"/>
              <w:rPr>
                <w:rFonts w:ascii="Palatino Linotype" w:eastAsia="Palatino Linotype" w:hAnsi="Palatino Linotype" w:cs="Palatino Linotype"/>
                <w:b/>
                <w:sz w:val="20"/>
                <w:szCs w:val="20"/>
              </w:rPr>
            </w:pPr>
            <w:r w:rsidRPr="009B6EEE">
              <w:rPr>
                <w:rFonts w:ascii="Palatino Linotype" w:eastAsia="Palatino Linotype" w:hAnsi="Palatino Linotype" w:cs="Palatino Linotype"/>
                <w:b/>
                <w:sz w:val="20"/>
                <w:szCs w:val="20"/>
              </w:rPr>
              <w:t>N/C</w:t>
            </w:r>
          </w:p>
        </w:tc>
        <w:tc>
          <w:tcPr>
            <w:tcW w:w="5042" w:type="dxa"/>
          </w:tcPr>
          <w:p w14:paraId="10D24E77" w14:textId="77777777" w:rsidR="00A53236" w:rsidRPr="009B6EEE" w:rsidRDefault="00BE58F5">
            <w:pPr>
              <w:jc w:val="center"/>
              <w:rPr>
                <w:rFonts w:ascii="Palatino Linotype" w:eastAsia="Palatino Linotype" w:hAnsi="Palatino Linotype" w:cs="Palatino Linotype"/>
                <w:b/>
                <w:sz w:val="20"/>
                <w:szCs w:val="20"/>
              </w:rPr>
            </w:pPr>
            <w:r w:rsidRPr="009B6EEE">
              <w:rPr>
                <w:rFonts w:ascii="Palatino Linotype" w:eastAsia="Palatino Linotype" w:hAnsi="Palatino Linotype" w:cs="Palatino Linotype"/>
                <w:b/>
                <w:sz w:val="20"/>
                <w:szCs w:val="20"/>
              </w:rPr>
              <w:t>Unidad Administrativa</w:t>
            </w:r>
          </w:p>
        </w:tc>
        <w:tc>
          <w:tcPr>
            <w:tcW w:w="3082" w:type="dxa"/>
          </w:tcPr>
          <w:p w14:paraId="6F18D410" w14:textId="77777777" w:rsidR="00A53236" w:rsidRPr="009B6EEE" w:rsidRDefault="00BE58F5">
            <w:pPr>
              <w:jc w:val="both"/>
              <w:rPr>
                <w:rFonts w:ascii="Palatino Linotype" w:eastAsia="Palatino Linotype" w:hAnsi="Palatino Linotype" w:cs="Palatino Linotype"/>
                <w:b/>
                <w:sz w:val="20"/>
                <w:szCs w:val="20"/>
              </w:rPr>
            </w:pPr>
            <w:r w:rsidRPr="009B6EEE">
              <w:rPr>
                <w:rFonts w:ascii="Palatino Linotype" w:eastAsia="Palatino Linotype" w:hAnsi="Palatino Linotype" w:cs="Palatino Linotype"/>
                <w:b/>
                <w:sz w:val="20"/>
                <w:szCs w:val="20"/>
              </w:rPr>
              <w:t>Número total de fojas que comprenden del 01 de enero al 31 de diciembre de 2022</w:t>
            </w:r>
          </w:p>
        </w:tc>
      </w:tr>
      <w:tr w:rsidR="009B6EEE" w:rsidRPr="009B6EEE" w14:paraId="2641B19A" w14:textId="77777777">
        <w:tc>
          <w:tcPr>
            <w:tcW w:w="704" w:type="dxa"/>
          </w:tcPr>
          <w:p w14:paraId="73C34D83"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w:t>
            </w:r>
          </w:p>
        </w:tc>
        <w:tc>
          <w:tcPr>
            <w:tcW w:w="5042" w:type="dxa"/>
          </w:tcPr>
          <w:p w14:paraId="26818058"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Dirección de División de Ingeniería Mecatrónica e Ingeniería Mecánica Automotriz</w:t>
            </w:r>
          </w:p>
        </w:tc>
        <w:tc>
          <w:tcPr>
            <w:tcW w:w="3082" w:type="dxa"/>
          </w:tcPr>
          <w:p w14:paraId="51257D38"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1,072 fojas</w:t>
            </w:r>
          </w:p>
        </w:tc>
      </w:tr>
      <w:tr w:rsidR="009B6EEE" w:rsidRPr="009B6EEE" w14:paraId="44E6A55C" w14:textId="77777777">
        <w:tc>
          <w:tcPr>
            <w:tcW w:w="704" w:type="dxa"/>
          </w:tcPr>
          <w:p w14:paraId="414715C5"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2</w:t>
            </w:r>
          </w:p>
        </w:tc>
        <w:tc>
          <w:tcPr>
            <w:tcW w:w="5042" w:type="dxa"/>
          </w:tcPr>
          <w:p w14:paraId="5F1B0294"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Rectoría</w:t>
            </w:r>
          </w:p>
        </w:tc>
        <w:tc>
          <w:tcPr>
            <w:tcW w:w="3082" w:type="dxa"/>
          </w:tcPr>
          <w:p w14:paraId="2A3EC3B4"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6,497 fojas</w:t>
            </w:r>
          </w:p>
        </w:tc>
      </w:tr>
      <w:tr w:rsidR="009B6EEE" w:rsidRPr="009B6EEE" w14:paraId="6D2C56E1" w14:textId="77777777">
        <w:tc>
          <w:tcPr>
            <w:tcW w:w="704" w:type="dxa"/>
          </w:tcPr>
          <w:p w14:paraId="5F629383" w14:textId="77777777" w:rsidR="00A53236" w:rsidRPr="009B6EEE" w:rsidRDefault="00BE58F5">
            <w:pPr>
              <w:tabs>
                <w:tab w:val="left" w:pos="939"/>
              </w:tabs>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3</w:t>
            </w:r>
          </w:p>
        </w:tc>
        <w:tc>
          <w:tcPr>
            <w:tcW w:w="5042" w:type="dxa"/>
          </w:tcPr>
          <w:p w14:paraId="63C1E14E" w14:textId="77777777" w:rsidR="00A53236" w:rsidRPr="009B6EEE" w:rsidRDefault="00BE58F5">
            <w:pPr>
              <w:tabs>
                <w:tab w:val="left" w:pos="939"/>
              </w:tabs>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Departamento de Recursos Financieros,</w:t>
            </w:r>
          </w:p>
        </w:tc>
        <w:tc>
          <w:tcPr>
            <w:tcW w:w="3082" w:type="dxa"/>
          </w:tcPr>
          <w:p w14:paraId="1FED4993"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968 fojas</w:t>
            </w:r>
          </w:p>
        </w:tc>
      </w:tr>
      <w:tr w:rsidR="009B6EEE" w:rsidRPr="009B6EEE" w14:paraId="74F0AC8F" w14:textId="77777777">
        <w:tc>
          <w:tcPr>
            <w:tcW w:w="704" w:type="dxa"/>
          </w:tcPr>
          <w:p w14:paraId="590DE4B5"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4</w:t>
            </w:r>
          </w:p>
        </w:tc>
        <w:tc>
          <w:tcPr>
            <w:tcW w:w="5042" w:type="dxa"/>
          </w:tcPr>
          <w:p w14:paraId="050BCE0C"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Departamento de Control Escolar</w:t>
            </w:r>
          </w:p>
        </w:tc>
        <w:tc>
          <w:tcPr>
            <w:tcW w:w="3082" w:type="dxa"/>
          </w:tcPr>
          <w:p w14:paraId="30EC511E"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640 fojas</w:t>
            </w:r>
          </w:p>
        </w:tc>
      </w:tr>
      <w:tr w:rsidR="009B6EEE" w:rsidRPr="009B6EEE" w14:paraId="7006F0CB" w14:textId="77777777">
        <w:tc>
          <w:tcPr>
            <w:tcW w:w="704" w:type="dxa"/>
          </w:tcPr>
          <w:p w14:paraId="5018E0C9"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5</w:t>
            </w:r>
          </w:p>
        </w:tc>
        <w:tc>
          <w:tcPr>
            <w:tcW w:w="5042" w:type="dxa"/>
          </w:tcPr>
          <w:p w14:paraId="65745C27"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Dirección de Planeación, Vinculación e Igualdad de Género</w:t>
            </w:r>
          </w:p>
        </w:tc>
        <w:tc>
          <w:tcPr>
            <w:tcW w:w="3082" w:type="dxa"/>
          </w:tcPr>
          <w:p w14:paraId="3C003BE7"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5,797 fojas</w:t>
            </w:r>
          </w:p>
        </w:tc>
      </w:tr>
      <w:tr w:rsidR="009B6EEE" w:rsidRPr="009B6EEE" w14:paraId="3E3F7C87" w14:textId="77777777">
        <w:tc>
          <w:tcPr>
            <w:tcW w:w="704" w:type="dxa"/>
          </w:tcPr>
          <w:p w14:paraId="5550A0D1"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6</w:t>
            </w:r>
          </w:p>
        </w:tc>
        <w:tc>
          <w:tcPr>
            <w:tcW w:w="5042" w:type="dxa"/>
          </w:tcPr>
          <w:p w14:paraId="1136628C"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Abogacía General</w:t>
            </w:r>
          </w:p>
        </w:tc>
        <w:tc>
          <w:tcPr>
            <w:tcW w:w="3082" w:type="dxa"/>
          </w:tcPr>
          <w:p w14:paraId="6E6F488F"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117 fojas</w:t>
            </w:r>
          </w:p>
        </w:tc>
      </w:tr>
      <w:tr w:rsidR="009B6EEE" w:rsidRPr="009B6EEE" w14:paraId="30742D8C" w14:textId="77777777">
        <w:tc>
          <w:tcPr>
            <w:tcW w:w="704" w:type="dxa"/>
          </w:tcPr>
          <w:p w14:paraId="24991425"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7</w:t>
            </w:r>
          </w:p>
        </w:tc>
        <w:tc>
          <w:tcPr>
            <w:tcW w:w="5042" w:type="dxa"/>
          </w:tcPr>
          <w:p w14:paraId="1FA6A5C3"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Departamento de Recursos Humanos y Materiales</w:t>
            </w:r>
          </w:p>
        </w:tc>
        <w:tc>
          <w:tcPr>
            <w:tcW w:w="3082" w:type="dxa"/>
          </w:tcPr>
          <w:p w14:paraId="5731E6E8"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4,200 fojas</w:t>
            </w:r>
          </w:p>
        </w:tc>
      </w:tr>
      <w:tr w:rsidR="009B6EEE" w:rsidRPr="009B6EEE" w14:paraId="663CC904" w14:textId="77777777">
        <w:tc>
          <w:tcPr>
            <w:tcW w:w="704" w:type="dxa"/>
          </w:tcPr>
          <w:p w14:paraId="74041079"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8</w:t>
            </w:r>
          </w:p>
        </w:tc>
        <w:tc>
          <w:tcPr>
            <w:tcW w:w="5042" w:type="dxa"/>
          </w:tcPr>
          <w:p w14:paraId="5AF8F023"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Secretaría Académica</w:t>
            </w:r>
          </w:p>
        </w:tc>
        <w:tc>
          <w:tcPr>
            <w:tcW w:w="3082" w:type="dxa"/>
          </w:tcPr>
          <w:p w14:paraId="1B214410"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758 fojas</w:t>
            </w:r>
          </w:p>
        </w:tc>
      </w:tr>
      <w:tr w:rsidR="009B6EEE" w:rsidRPr="009B6EEE" w14:paraId="5300BA14" w14:textId="77777777">
        <w:tc>
          <w:tcPr>
            <w:tcW w:w="704" w:type="dxa"/>
          </w:tcPr>
          <w:p w14:paraId="44F888ED"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9</w:t>
            </w:r>
          </w:p>
        </w:tc>
        <w:tc>
          <w:tcPr>
            <w:tcW w:w="5042" w:type="dxa"/>
          </w:tcPr>
          <w:p w14:paraId="0DA9CA36"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Dirección Académica de la División de Ingeniería en Biotecnología y Licenciatura en Negocios Internacionales</w:t>
            </w:r>
          </w:p>
        </w:tc>
        <w:tc>
          <w:tcPr>
            <w:tcW w:w="3082" w:type="dxa"/>
          </w:tcPr>
          <w:p w14:paraId="45BF327D"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1,263 fojas</w:t>
            </w:r>
          </w:p>
        </w:tc>
      </w:tr>
      <w:tr w:rsidR="009B6EEE" w:rsidRPr="009B6EEE" w14:paraId="6F89257C" w14:textId="77777777">
        <w:tc>
          <w:tcPr>
            <w:tcW w:w="704" w:type="dxa"/>
          </w:tcPr>
          <w:p w14:paraId="5DEF74D8"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lastRenderedPageBreak/>
              <w:t>10</w:t>
            </w:r>
          </w:p>
        </w:tc>
        <w:tc>
          <w:tcPr>
            <w:tcW w:w="5042" w:type="dxa"/>
          </w:tcPr>
          <w:p w14:paraId="46626BAB"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Departamento de Información, Planeación, Programación y Evaluación</w:t>
            </w:r>
          </w:p>
        </w:tc>
        <w:tc>
          <w:tcPr>
            <w:tcW w:w="3082" w:type="dxa"/>
          </w:tcPr>
          <w:p w14:paraId="48C959DC"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1,500 fojas</w:t>
            </w:r>
          </w:p>
        </w:tc>
      </w:tr>
      <w:tr w:rsidR="009B6EEE" w:rsidRPr="009B6EEE" w14:paraId="5D606562" w14:textId="77777777">
        <w:tc>
          <w:tcPr>
            <w:tcW w:w="704" w:type="dxa"/>
          </w:tcPr>
          <w:p w14:paraId="7B6FFAB5"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11</w:t>
            </w:r>
          </w:p>
        </w:tc>
        <w:tc>
          <w:tcPr>
            <w:tcW w:w="5042" w:type="dxa"/>
          </w:tcPr>
          <w:p w14:paraId="11F1EAEB"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Departamento de Vinculación y Extensión</w:t>
            </w:r>
          </w:p>
        </w:tc>
        <w:tc>
          <w:tcPr>
            <w:tcW w:w="3082" w:type="dxa"/>
          </w:tcPr>
          <w:p w14:paraId="08CDE1E9"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844 fojas</w:t>
            </w:r>
          </w:p>
        </w:tc>
      </w:tr>
      <w:tr w:rsidR="009B6EEE" w:rsidRPr="009B6EEE" w14:paraId="081B6D90" w14:textId="77777777">
        <w:tc>
          <w:tcPr>
            <w:tcW w:w="704" w:type="dxa"/>
          </w:tcPr>
          <w:p w14:paraId="561E5437"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12</w:t>
            </w:r>
          </w:p>
        </w:tc>
        <w:tc>
          <w:tcPr>
            <w:tcW w:w="5042" w:type="dxa"/>
          </w:tcPr>
          <w:p w14:paraId="6491A63C"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Departamento de Tecnologías de la Información</w:t>
            </w:r>
          </w:p>
        </w:tc>
        <w:tc>
          <w:tcPr>
            <w:tcW w:w="3082" w:type="dxa"/>
          </w:tcPr>
          <w:p w14:paraId="42A326FC"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970 fojas</w:t>
            </w:r>
          </w:p>
        </w:tc>
      </w:tr>
      <w:tr w:rsidR="009B6EEE" w:rsidRPr="009B6EEE" w14:paraId="6D04354C" w14:textId="77777777">
        <w:tc>
          <w:tcPr>
            <w:tcW w:w="704" w:type="dxa"/>
          </w:tcPr>
          <w:p w14:paraId="1F46E2E3"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13</w:t>
            </w:r>
          </w:p>
        </w:tc>
        <w:tc>
          <w:tcPr>
            <w:tcW w:w="5042" w:type="dxa"/>
          </w:tcPr>
          <w:p w14:paraId="7D7AF36E"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Dirección de División de Ingeniería Industrial</w:t>
            </w:r>
          </w:p>
        </w:tc>
        <w:tc>
          <w:tcPr>
            <w:tcW w:w="3082" w:type="dxa"/>
          </w:tcPr>
          <w:p w14:paraId="70D9C269"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1,039 fojas</w:t>
            </w:r>
          </w:p>
        </w:tc>
      </w:tr>
      <w:tr w:rsidR="009B6EEE" w:rsidRPr="009B6EEE" w14:paraId="37096F49" w14:textId="77777777">
        <w:tc>
          <w:tcPr>
            <w:tcW w:w="704" w:type="dxa"/>
          </w:tcPr>
          <w:p w14:paraId="557D87E3"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14</w:t>
            </w:r>
          </w:p>
        </w:tc>
        <w:tc>
          <w:tcPr>
            <w:tcW w:w="5042" w:type="dxa"/>
          </w:tcPr>
          <w:p w14:paraId="4BD3033B"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Dirección de Administración y Finanzas</w:t>
            </w:r>
          </w:p>
        </w:tc>
        <w:tc>
          <w:tcPr>
            <w:tcW w:w="3082" w:type="dxa"/>
          </w:tcPr>
          <w:p w14:paraId="792FBA42"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781 fojas</w:t>
            </w:r>
          </w:p>
        </w:tc>
      </w:tr>
      <w:tr w:rsidR="009B6EEE" w:rsidRPr="009B6EEE" w14:paraId="2BDEF653" w14:textId="77777777">
        <w:tc>
          <w:tcPr>
            <w:tcW w:w="704" w:type="dxa"/>
          </w:tcPr>
          <w:p w14:paraId="7FFF205A"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15</w:t>
            </w:r>
          </w:p>
        </w:tc>
        <w:tc>
          <w:tcPr>
            <w:tcW w:w="5042" w:type="dxa"/>
          </w:tcPr>
          <w:p w14:paraId="79891EEB"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Subdirección de Servicios Escolares</w:t>
            </w:r>
          </w:p>
        </w:tc>
        <w:tc>
          <w:tcPr>
            <w:tcW w:w="3082" w:type="dxa"/>
          </w:tcPr>
          <w:p w14:paraId="1C7411E3"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796 fojas</w:t>
            </w:r>
          </w:p>
        </w:tc>
      </w:tr>
      <w:tr w:rsidR="009B6EEE" w:rsidRPr="009B6EEE" w14:paraId="4FCD5C0F" w14:textId="77777777">
        <w:tc>
          <w:tcPr>
            <w:tcW w:w="704" w:type="dxa"/>
          </w:tcPr>
          <w:p w14:paraId="239CA539"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16</w:t>
            </w:r>
          </w:p>
        </w:tc>
        <w:tc>
          <w:tcPr>
            <w:tcW w:w="5042" w:type="dxa"/>
          </w:tcPr>
          <w:p w14:paraId="4B7B31BB" w14:textId="77777777" w:rsidR="00A53236" w:rsidRPr="009B6EEE" w:rsidRDefault="00BE58F5">
            <w:pPr>
              <w:jc w:val="both"/>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Dirección de División de Ingeniería en Tecnologías de la información</w:t>
            </w:r>
          </w:p>
        </w:tc>
        <w:tc>
          <w:tcPr>
            <w:tcW w:w="3082" w:type="dxa"/>
          </w:tcPr>
          <w:p w14:paraId="502FAB59" w14:textId="77777777" w:rsidR="00A53236" w:rsidRPr="009B6EEE" w:rsidRDefault="00BE58F5">
            <w:pPr>
              <w:jc w:val="center"/>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5,086 fojas</w:t>
            </w:r>
          </w:p>
        </w:tc>
      </w:tr>
      <w:tr w:rsidR="00A53236" w:rsidRPr="009B6EEE" w14:paraId="715D5916" w14:textId="77777777">
        <w:tc>
          <w:tcPr>
            <w:tcW w:w="704" w:type="dxa"/>
          </w:tcPr>
          <w:p w14:paraId="1451866A" w14:textId="77777777" w:rsidR="00A53236" w:rsidRPr="009B6EEE" w:rsidRDefault="00A53236">
            <w:pPr>
              <w:jc w:val="both"/>
              <w:rPr>
                <w:rFonts w:ascii="Palatino Linotype" w:eastAsia="Palatino Linotype" w:hAnsi="Palatino Linotype" w:cs="Palatino Linotype"/>
                <w:sz w:val="20"/>
                <w:szCs w:val="20"/>
              </w:rPr>
            </w:pPr>
          </w:p>
        </w:tc>
        <w:tc>
          <w:tcPr>
            <w:tcW w:w="5042" w:type="dxa"/>
          </w:tcPr>
          <w:p w14:paraId="169E579E" w14:textId="77777777" w:rsidR="00A53236" w:rsidRPr="009B6EEE" w:rsidRDefault="00BE58F5">
            <w:pPr>
              <w:jc w:val="right"/>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 xml:space="preserve">Total </w:t>
            </w:r>
          </w:p>
        </w:tc>
        <w:tc>
          <w:tcPr>
            <w:tcW w:w="3082" w:type="dxa"/>
          </w:tcPr>
          <w:p w14:paraId="53940A56" w14:textId="77777777" w:rsidR="00A53236" w:rsidRPr="009B6EEE" w:rsidRDefault="00BE58F5">
            <w:pPr>
              <w:jc w:val="right"/>
              <w:rPr>
                <w:rFonts w:ascii="Palatino Linotype" w:eastAsia="Palatino Linotype" w:hAnsi="Palatino Linotype" w:cs="Palatino Linotype"/>
                <w:sz w:val="20"/>
                <w:szCs w:val="20"/>
              </w:rPr>
            </w:pPr>
            <w:r w:rsidRPr="009B6EEE">
              <w:rPr>
                <w:rFonts w:ascii="Palatino Linotype" w:eastAsia="Palatino Linotype" w:hAnsi="Palatino Linotype" w:cs="Palatino Linotype"/>
                <w:sz w:val="20"/>
                <w:szCs w:val="20"/>
              </w:rPr>
              <w:t xml:space="preserve">32,328 fojas </w:t>
            </w:r>
          </w:p>
        </w:tc>
      </w:tr>
    </w:tbl>
    <w:p w14:paraId="252F84A6"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2B009E43"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Mientras que para el recurso número 02245/INFOEM/IP/RR/2024 referente a los oficios emitidos por el Departamento de Control Escolar comprendidos del veintisiete de febrero de dos mil veintitrés al veintisiete de febrero de dos mil veinticuatro, contabilizan un total de </w:t>
      </w:r>
      <w:r w:rsidRPr="009B6EEE">
        <w:rPr>
          <w:rFonts w:ascii="Palatino Linotype" w:eastAsia="Palatino Linotype" w:hAnsi="Palatino Linotype" w:cs="Palatino Linotype"/>
          <w:b/>
          <w:sz w:val="22"/>
          <w:szCs w:val="22"/>
        </w:rPr>
        <w:t xml:space="preserve">314 </w:t>
      </w:r>
      <w:r w:rsidRPr="009B6EEE">
        <w:rPr>
          <w:rFonts w:ascii="Palatino Linotype" w:eastAsia="Palatino Linotype" w:hAnsi="Palatino Linotype" w:cs="Palatino Linotype"/>
          <w:sz w:val="22"/>
          <w:szCs w:val="22"/>
        </w:rPr>
        <w:t>oficios emitidos.</w:t>
      </w:r>
    </w:p>
    <w:p w14:paraId="51C42E88"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6E39E81A"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Aunado a ello en ambas solicitudes señaló que la consulta de información se llevaría a cabo en las oficinas de la Unidad de Transparencia ubicada en el edificio de Docencia A, en dirección: Km. 5.6 carretera Toluca-Almoloya de Juárez, Santiaguito </w:t>
      </w:r>
      <w:proofErr w:type="spellStart"/>
      <w:r w:rsidRPr="009B6EEE">
        <w:rPr>
          <w:rFonts w:ascii="Palatino Linotype" w:eastAsia="Palatino Linotype" w:hAnsi="Palatino Linotype" w:cs="Palatino Linotype"/>
          <w:sz w:val="22"/>
          <w:szCs w:val="22"/>
        </w:rPr>
        <w:t>Tlalcilalcalli</w:t>
      </w:r>
      <w:proofErr w:type="spellEnd"/>
      <w:r w:rsidRPr="009B6EEE">
        <w:rPr>
          <w:rFonts w:ascii="Palatino Linotype" w:eastAsia="Palatino Linotype" w:hAnsi="Palatino Linotype" w:cs="Palatino Linotype"/>
          <w:sz w:val="22"/>
          <w:szCs w:val="22"/>
        </w:rPr>
        <w:t xml:space="preserve">, C.P 50904, Almoloya de Juárez, Estado de México, para lo cual se hacen de su conocimiento los siguientes datos: </w:t>
      </w:r>
    </w:p>
    <w:p w14:paraId="3E8A1F56"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53E103AD" w14:textId="77777777" w:rsidR="00A53236" w:rsidRPr="009B6EEE" w:rsidRDefault="00BE58F5">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Nombre de la persona Titular de la Unidad de Transparencia</w:t>
      </w:r>
      <w:r w:rsidRPr="009B6EEE">
        <w:rPr>
          <w:rFonts w:ascii="Palatino Linotype" w:eastAsia="Palatino Linotype" w:hAnsi="Palatino Linotype" w:cs="Palatino Linotype"/>
          <w:sz w:val="22"/>
          <w:szCs w:val="22"/>
        </w:rPr>
        <w:t xml:space="preserve">: Lic. Perla Guadalupe Martínez Fernández, Jefa del Departamento de Información, Planeación, Programación y Evaluación. </w:t>
      </w:r>
    </w:p>
    <w:p w14:paraId="7A56F117" w14:textId="77777777" w:rsidR="00A53236" w:rsidRPr="009B6EEE" w:rsidRDefault="00BE58F5">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t xml:space="preserve">Datos de contacto: </w:t>
      </w:r>
    </w:p>
    <w:p w14:paraId="746BF91C" w14:textId="77777777" w:rsidR="00A53236" w:rsidRPr="009B6EEE" w:rsidRDefault="00BE58F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Teléfono: 7222766060, Ext. 22033. </w:t>
      </w:r>
    </w:p>
    <w:p w14:paraId="6D40ADD1" w14:textId="77777777" w:rsidR="00A53236" w:rsidRPr="009B6EEE" w:rsidRDefault="00BE58F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Correo Electrónico: transparencia@upvt.edu.mx</w:t>
      </w:r>
    </w:p>
    <w:p w14:paraId="6559147F"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257449CB"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Una vez conocidas las respuestas, la parte</w:t>
      </w:r>
      <w:r w:rsidRPr="009B6EEE">
        <w:rPr>
          <w:rFonts w:ascii="Palatino Linotype" w:eastAsia="Palatino Linotype" w:hAnsi="Palatino Linotype" w:cs="Palatino Linotype"/>
          <w:b/>
          <w:sz w:val="22"/>
          <w:szCs w:val="22"/>
        </w:rPr>
        <w:t xml:space="preserve"> Recurrente</w:t>
      </w:r>
      <w:r w:rsidRPr="009B6EEE">
        <w:rPr>
          <w:rFonts w:ascii="Palatino Linotype" w:eastAsia="Palatino Linotype" w:hAnsi="Palatino Linotype" w:cs="Palatino Linotype"/>
          <w:sz w:val="22"/>
          <w:szCs w:val="22"/>
        </w:rPr>
        <w:t xml:space="preserve"> interpuso los recursos de revisión que en este acto se resuelven, inconformándose por no hacer la entrega de la información. </w:t>
      </w:r>
    </w:p>
    <w:p w14:paraId="793FBBAC"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1D0FA7E7"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Posteriormente se decretó la admisión de los medios de impugnación que nos ocupan y se integraron los respectivos expedientes, teniendo así que el </w:t>
      </w:r>
      <w:r w:rsidRPr="009B6EEE">
        <w:rPr>
          <w:rFonts w:ascii="Palatino Linotype" w:eastAsia="Palatino Linotype" w:hAnsi="Palatino Linotype" w:cs="Palatino Linotype"/>
          <w:b/>
          <w:sz w:val="22"/>
          <w:szCs w:val="22"/>
        </w:rPr>
        <w:t xml:space="preserve">Sujeto Obligado </w:t>
      </w:r>
      <w:r w:rsidRPr="009B6EEE">
        <w:rPr>
          <w:rFonts w:ascii="Palatino Linotype" w:eastAsia="Palatino Linotype" w:hAnsi="Palatino Linotype" w:cs="Palatino Linotype"/>
          <w:sz w:val="22"/>
          <w:szCs w:val="22"/>
        </w:rPr>
        <w:t xml:space="preserve">en informe justificado ratificó sus respuestas e hizo entrega de las actas de su Comité de Transparencia, a través de las cuales se aprobó el cambio de modalidad y la clasificación parcial como confidencial de la información contenida en las solicitudes de mérito. </w:t>
      </w:r>
    </w:p>
    <w:p w14:paraId="7CA90A7A"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Expuesto lo anterior, resulta importante señalar que respecto a los oficios generados por Control Escolar a la fecha de la solicitud, resulta aplicable el criterio de interpretación 03/19 emitido por el Instituto Nacional de Transparencia Acceso a la Información y Protección de Datos Personales, INAI, en el cual es del tenor literal siguiente:</w:t>
      </w:r>
    </w:p>
    <w:p w14:paraId="7C03E80C" w14:textId="77777777" w:rsidR="00A53236" w:rsidRPr="009B6EEE" w:rsidRDefault="00BE58F5" w:rsidP="00106131">
      <w:pPr>
        <w:spacing w:line="276" w:lineRule="auto"/>
        <w:ind w:left="860" w:right="620"/>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9B6EEE">
        <w:rPr>
          <w:rFonts w:ascii="Palatino Linotype" w:eastAsia="Palatino Linotype" w:hAnsi="Palatino Linotype" w:cs="Palatino Linotype"/>
          <w:sz w:val="22"/>
          <w:szCs w:val="22"/>
        </w:rPr>
        <w:t xml:space="preserve"> </w:t>
      </w:r>
    </w:p>
    <w:p w14:paraId="3CEA0CC5" w14:textId="77777777" w:rsidR="00A53236" w:rsidRPr="009B6EEE" w:rsidRDefault="00BE58F5">
      <w:pPr>
        <w:spacing w:before="240" w:after="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De manera que, la información que es susceptible de entrega, en su caso, corresponde a la que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hubiera generado, administre o posea en el año inmediato anterior </w:t>
      </w:r>
      <w:r w:rsidRPr="009B6EEE">
        <w:rPr>
          <w:rFonts w:ascii="Palatino Linotype" w:eastAsia="Palatino Linotype" w:hAnsi="Palatino Linotype" w:cs="Palatino Linotype"/>
          <w:sz w:val="22"/>
          <w:szCs w:val="22"/>
        </w:rPr>
        <w:lastRenderedPageBreak/>
        <w:t xml:space="preserve">contado a partir de la fecha de presentación de la solicitud, es decir, del veintisiete de febrero de dos mil veintitrés al veintisiete de febrero de dos mil veinticuatro. </w:t>
      </w:r>
    </w:p>
    <w:p w14:paraId="79F8B782"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En ese sentido, resulta conveniente recordar que en el recurso de revisión </w:t>
      </w:r>
      <w:r w:rsidRPr="009B6EEE">
        <w:rPr>
          <w:rFonts w:ascii="Palatino Linotype" w:eastAsia="Palatino Linotype" w:hAnsi="Palatino Linotype" w:cs="Palatino Linotype"/>
          <w:b/>
          <w:sz w:val="22"/>
          <w:szCs w:val="22"/>
        </w:rPr>
        <w:t xml:space="preserve">02244/INFOEM/IP/RR/2024 </w:t>
      </w:r>
      <w:r w:rsidRPr="009B6EEE">
        <w:rPr>
          <w:rFonts w:ascii="Palatino Linotype" w:eastAsia="Palatino Linotype" w:hAnsi="Palatino Linotype" w:cs="Palatino Linotype"/>
          <w:sz w:val="22"/>
          <w:szCs w:val="22"/>
        </w:rPr>
        <w:t xml:space="preserve">el particular solicitó los oficios de todas las áreas que integran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y en el recurso</w:t>
      </w:r>
      <w:r w:rsidRPr="009B6EEE">
        <w:rPr>
          <w:rFonts w:ascii="Palatino Linotype" w:eastAsia="Palatino Linotype" w:hAnsi="Palatino Linotype" w:cs="Palatino Linotype"/>
          <w:b/>
          <w:sz w:val="22"/>
          <w:szCs w:val="22"/>
        </w:rPr>
        <w:t xml:space="preserve"> 02245/INFOEM/IP/RR/2024 </w:t>
      </w:r>
      <w:r w:rsidRPr="009B6EEE">
        <w:rPr>
          <w:rFonts w:ascii="Palatino Linotype" w:eastAsia="Palatino Linotype" w:hAnsi="Palatino Linotype" w:cs="Palatino Linotype"/>
          <w:sz w:val="22"/>
          <w:szCs w:val="22"/>
        </w:rPr>
        <w:t xml:space="preserve"> solicitó los oficios generados por el Departamento de Control Escolar,  por lo que resulta necesario traer al estudio las áreas que lo integran, de conformidad con los numerales V y VI referentes a la </w:t>
      </w:r>
      <w:r w:rsidRPr="009B6EEE">
        <w:rPr>
          <w:rFonts w:ascii="Palatino Linotype" w:eastAsia="Palatino Linotype" w:hAnsi="Palatino Linotype" w:cs="Palatino Linotype"/>
          <w:i/>
          <w:sz w:val="22"/>
          <w:szCs w:val="22"/>
        </w:rPr>
        <w:t>Codificación Estructural</w:t>
      </w:r>
      <w:r w:rsidRPr="009B6EEE">
        <w:rPr>
          <w:rFonts w:ascii="Palatino Linotype" w:eastAsia="Palatino Linotype" w:hAnsi="Palatino Linotype" w:cs="Palatino Linotype"/>
          <w:sz w:val="22"/>
          <w:szCs w:val="22"/>
        </w:rPr>
        <w:t xml:space="preserve"> y el </w:t>
      </w:r>
      <w:r w:rsidRPr="009B6EEE">
        <w:rPr>
          <w:rFonts w:ascii="Palatino Linotype" w:eastAsia="Palatino Linotype" w:hAnsi="Palatino Linotype" w:cs="Palatino Linotype"/>
          <w:i/>
          <w:sz w:val="22"/>
          <w:szCs w:val="22"/>
        </w:rPr>
        <w:t xml:space="preserve">Organigrama </w:t>
      </w:r>
      <w:r w:rsidRPr="009B6EEE">
        <w:rPr>
          <w:rFonts w:ascii="Palatino Linotype" w:eastAsia="Palatino Linotype" w:hAnsi="Palatino Linotype" w:cs="Palatino Linotype"/>
          <w:sz w:val="22"/>
          <w:szCs w:val="22"/>
        </w:rPr>
        <w:t xml:space="preserve">del Manual de Organización de la Universidad Politécnica del Valle de Toluca, siendo este el siguiente: </w:t>
      </w:r>
    </w:p>
    <w:p w14:paraId="55A4DD2D"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0C5F75E"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228C28000000000 Universidad Politécnica del Valle de Toluca</w:t>
      </w:r>
    </w:p>
    <w:p w14:paraId="35AF99D4"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228C2801000000L Rectoría</w:t>
      </w:r>
    </w:p>
    <w:p w14:paraId="2CAD3B33"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228C2801A000000 Oficina del C. Rector</w:t>
      </w:r>
    </w:p>
    <w:p w14:paraId="0CC4DD8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228C2801010000S Órgano Interno de Control</w:t>
      </w:r>
    </w:p>
    <w:p w14:paraId="77747C1B"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228C2801020000S Abogacía General</w:t>
      </w:r>
    </w:p>
    <w:p w14:paraId="4ACA0AC0"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228C2801100000L Secretaría Académica</w:t>
      </w:r>
    </w:p>
    <w:p w14:paraId="440B33CD"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228C2801110000L Dirección de División de Ingeniería Industrial e Ingeniería en Energía</w:t>
      </w:r>
    </w:p>
    <w:p w14:paraId="7CCF275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228C2801120000L Dirección de División de Ingeniería en Tecnologías de la Información</w:t>
      </w:r>
    </w:p>
    <w:p w14:paraId="32246B8D"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228C2801130000L Dirección de División de Ingeniería Mecatrónica e Ingeniería Mecánica Automotriz</w:t>
      </w:r>
    </w:p>
    <w:p w14:paraId="3A3ED651"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228C2801140000L Dirección de División de Ingeniería en Biotecnología y Licenciatura en Negocios Internacionales</w:t>
      </w:r>
    </w:p>
    <w:p w14:paraId="17B0AFF4"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228C2801100100L Subdirección de Servicios Escolares</w:t>
      </w:r>
    </w:p>
    <w:p w14:paraId="705AE4E7"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228C2801100101L Departamento de Control Escolar</w:t>
      </w:r>
    </w:p>
    <w:p w14:paraId="6A0C53C6"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228C2801100102L Departamento de Tecnologías de la Información</w:t>
      </w:r>
    </w:p>
    <w:p w14:paraId="75F6B575"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lastRenderedPageBreak/>
        <w:t>228C2801010000L Dirección de Planeación, Vinculación e Igualdad de Género</w:t>
      </w:r>
    </w:p>
    <w:p w14:paraId="149C443D"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228C2801010001L Departamento de Información, Planeación, Programación y Evaluación</w:t>
      </w:r>
    </w:p>
    <w:p w14:paraId="49F2A004"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228C2801010002L Departamento de Vinculación y Extensión</w:t>
      </w:r>
    </w:p>
    <w:p w14:paraId="7BF19AB5"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228C2801020000L Dirección de Administración y Finanzas</w:t>
      </w:r>
    </w:p>
    <w:p w14:paraId="7EC9091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228C2801020001L Departamento de Recursos Financieros </w:t>
      </w:r>
    </w:p>
    <w:p w14:paraId="016F8504"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228C2801020002L Departamento de Recursos Humanos y Materiales”</w:t>
      </w:r>
    </w:p>
    <w:p w14:paraId="2E4E9816"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82D4F39"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53CBC9C7" wp14:editId="4C08ACA3">
            <wp:extent cx="5612130" cy="4257675"/>
            <wp:effectExtent l="0" t="0" r="0" b="0"/>
            <wp:docPr id="1705557709" name="image9.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Diagrama&#10;&#10;Descripción generada automáticamente"/>
                    <pic:cNvPicPr preferRelativeResize="0"/>
                  </pic:nvPicPr>
                  <pic:blipFill>
                    <a:blip r:embed="rId12"/>
                    <a:srcRect/>
                    <a:stretch>
                      <a:fillRect/>
                    </a:stretch>
                  </pic:blipFill>
                  <pic:spPr>
                    <a:xfrm>
                      <a:off x="0" y="0"/>
                      <a:ext cx="5612130" cy="4257675"/>
                    </a:xfrm>
                    <a:prstGeom prst="rect">
                      <a:avLst/>
                    </a:prstGeom>
                    <a:ln/>
                  </pic:spPr>
                </pic:pic>
              </a:graphicData>
            </a:graphic>
          </wp:inline>
        </w:drawing>
      </w:r>
    </w:p>
    <w:p w14:paraId="1D450AC6"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BB0D94"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 xml:space="preserve">Conforme a lo anterior, se tiene que la Universidad Politécnica del Valle de Toluca cuenta con ocho Direcciones, una Subdirección y ocho Departamentos para el ejercicio de sus funciones entre las que se encuentra el Departamento de Control </w:t>
      </w:r>
      <w:proofErr w:type="gramStart"/>
      <w:r w:rsidRPr="009B6EEE">
        <w:rPr>
          <w:rFonts w:ascii="Palatino Linotype" w:eastAsia="Palatino Linotype" w:hAnsi="Palatino Linotype" w:cs="Palatino Linotype"/>
          <w:sz w:val="22"/>
          <w:szCs w:val="22"/>
        </w:rPr>
        <w:t>Escolar .</w:t>
      </w:r>
      <w:proofErr w:type="gramEnd"/>
      <w:r w:rsidRPr="009B6EEE">
        <w:rPr>
          <w:rFonts w:ascii="Palatino Linotype" w:eastAsia="Palatino Linotype" w:hAnsi="Palatino Linotype" w:cs="Palatino Linotype"/>
          <w:sz w:val="22"/>
          <w:szCs w:val="22"/>
        </w:rPr>
        <w:t xml:space="preserve"> </w:t>
      </w:r>
    </w:p>
    <w:p w14:paraId="2F04DF70"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FCA6E0"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Al respecto, es de señalar que la respuesta fue otorgada por los servidores públicos habilitados de la Dirección de División de Ingeniería Mecatrónica e Ingeniería Mecánica Automotriz, Rectoría, Departamento de Recursos Financieros, Departamento de Control Escolar, Dirección de Planeación, Vinculación e Igualdad de Género, Abogacía General, Departamento de Recursos Humanos y Materiales, Secretaría Académica, Dirección de División de Ingeniería en Biotecnología y Licenciatura en Negocios Internacionales, Departamento de Información, Planeación, Programación y Evaluación, Departamento de Vinculación y Extensión, Departamento de Tecnologías de la Información, Dirección de División de Ingeniería Industrial, Dirección de Administración y Finanzas, Subdirección de Servicios Escolares y Dirección de División de Ingeniería en Tecnologías de la información, unidades administrativas de las que se solicitó la información y quienes tienen como objetivo y funciones, las siguientes: </w:t>
      </w:r>
    </w:p>
    <w:p w14:paraId="3F9ABB63"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13A0E7" w14:textId="77777777" w:rsidR="00A53236" w:rsidRPr="009B6EEE" w:rsidRDefault="00BE58F5">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“Manual General de Organización de la Universidad Politécnica del Valle de Toluca</w:t>
      </w:r>
    </w:p>
    <w:p w14:paraId="421092E3"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210C2801000000L RECTORÍA</w:t>
      </w:r>
    </w:p>
    <w:p w14:paraId="10DFE78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Planear, organizar, dirigir y evaluar el funcionamiento de la Universidad, a través del adecuado desarrollo de las actividades sustantivas y adjetivas asignadas a las unidades administrativas que la integran, así como representarla legalmente ante la comunidad, instituciones y organismos auxiliares y extranjeros; además de promover, fomentar y supervisar que los planes y programas de esta casa de estudios </w:t>
      </w:r>
      <w:r w:rsidRPr="009B6EEE">
        <w:rPr>
          <w:rFonts w:ascii="Palatino Linotype" w:eastAsia="Palatino Linotype" w:hAnsi="Palatino Linotype" w:cs="Palatino Linotype"/>
          <w:i/>
          <w:sz w:val="22"/>
          <w:szCs w:val="22"/>
        </w:rPr>
        <w:lastRenderedPageBreak/>
        <w:t>en materia de perspectiva de género y respeto a los Derechos Humanos, se realicen de conformidad con la normatividad establecida.</w:t>
      </w:r>
    </w:p>
    <w:p w14:paraId="78C30B4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Funciones:</w:t>
      </w:r>
    </w:p>
    <w:p w14:paraId="6D956535"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w:t>
      </w:r>
      <w:r w:rsidRPr="009B6EEE">
        <w:rPr>
          <w:rFonts w:ascii="Palatino Linotype" w:eastAsia="Palatino Linotype" w:hAnsi="Palatino Linotype" w:cs="Palatino Linotype"/>
          <w:i/>
          <w:sz w:val="22"/>
          <w:szCs w:val="22"/>
          <w:u w:val="single"/>
        </w:rPr>
        <w:t>Garantizar la transparencia de la gestión de la Institución, mediante la difusión y atención a solicitudes de información de manera oportuna, verificable, inteligible, relevante e integral.</w:t>
      </w:r>
    </w:p>
    <w:p w14:paraId="1758932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 </w:t>
      </w:r>
    </w:p>
    <w:p w14:paraId="3C12CEA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210C2801020000S ABOGACÍA GENERAL</w:t>
      </w:r>
    </w:p>
    <w:p w14:paraId="388DF9EA"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Formular, sistematizar y proponer los instrumentos jurídicos que se requieran para el adecuado funcionamiento de la Universidad, con estricto apego al marco de la ley, y representar legalmente a la Institución en los asuntos legales en que intervenga, así como proporcionar asesoría en la materia a las unidades administrativas del organismo.</w:t>
      </w:r>
    </w:p>
    <w:p w14:paraId="39B9506A"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154EB426"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0761CDC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4E201911"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210C2801100000L SECRETARÍA ACADÉMICA</w:t>
      </w:r>
    </w:p>
    <w:p w14:paraId="406E8FD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Planear, coordinar, dirigir y evaluar el desarrollo de las actividades académicas, de investigación, de posgrado y la prestación de servicios educativos, para lograr un eficiente desempeño académico y mejorar la calidad de la educación superior que se imparte en la Universidad.</w:t>
      </w:r>
    </w:p>
    <w:p w14:paraId="6C91362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19D8149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w:t>
      </w:r>
      <w:r w:rsidRPr="009B6EEE">
        <w:rPr>
          <w:rFonts w:ascii="Palatino Linotype" w:eastAsia="Palatino Linotype" w:hAnsi="Palatino Linotype" w:cs="Palatino Linotype"/>
          <w:i/>
          <w:sz w:val="22"/>
          <w:szCs w:val="22"/>
        </w:rPr>
        <w:lastRenderedPageBreak/>
        <w:t xml:space="preserve">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119BDB20"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2332196B"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210C2801110000L DIRECCIÓN DE DIVISIÓN DE INGENIERÍA INDUSTRIAL E INGENIERÍA EN ENERGÍA</w:t>
      </w:r>
    </w:p>
    <w:p w14:paraId="5405D997"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Planear, organizar, dirigir, controlar y evaluar las actividades académicas de docencia, investigación y desarrollo tecnológico, posgrado, prestación de servicios profesionales y educación continua en el área de Ingeniería Industrial e Ingeniería en Energía, para preparar profesionistas con una sólida formación científica, técnica y humanística, congruentes con el contexto económico, político y social, nacional y global.</w:t>
      </w:r>
    </w:p>
    <w:p w14:paraId="7F7946C6"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6A9D20B9"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28FD50B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190E71D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210C2801120000L DIRECCIÓN DE DIVISIÓN DE INGENIERÍA EN TECNOLOGÍAS DE LA INFORMACIÓN</w:t>
      </w:r>
    </w:p>
    <w:p w14:paraId="5A3149F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Planear, organizar, dirigir, controlar y evaluar las actividades académicas de docencia, investigación y desarrollo tecnológico, especialización, posgrado, prestación de servicios profesionales y educación continua en el área de Ingeniería en Tecnologías de la Información, para preparar profesionistas con una sólida formación científica, técnica y humanística, congruentes con el contexto económico, político y social, nacional y global.</w:t>
      </w:r>
    </w:p>
    <w:p w14:paraId="2FF0AB2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3EE1F59E"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lastRenderedPageBreak/>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7D988610"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5F5C0195"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210C2801130000L DIRECCIÓN DE DIVISIÓN DE INGENIERÍA MECATRÓNICA E INGENIERÍA MECÁNICA AUTOMOTRIZ</w:t>
      </w:r>
    </w:p>
    <w:p w14:paraId="67B58F03"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Planear, organizar, dirigir, controlar y evaluar las actividades académicas de docencia, investigación y desarrollo tecnológico, especialización, posgrado, prestación de servicios profesionales y educación continua en el área de Ingeniería Mecatrónica e Ingeniería Mecánica Automotriz, para preparar profesionistas con una sólida formación científica, técnica y humanística, congruentes con el contexto económico, político y social, nacional y global.</w:t>
      </w:r>
    </w:p>
    <w:p w14:paraId="3B3C56C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14DA17B1"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0DCB9D66"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5761F917"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210C2801140000L DIRECCIÓN DE DIVISIÓN DE INGENIERÍA EN BIOTECNOLOGÍA Y LICENCIATURA EN NEGOCIOS INTERNACIONALES</w:t>
      </w:r>
    </w:p>
    <w:p w14:paraId="649DD98B"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Planear, organizar, dirigir, controlar y evaluar las actividades académicas de docencia, investigación y desarrollo tecnológico, especialización, posgrado, prestación de servicios profesionales y educación continua en el área de Ingeniería </w:t>
      </w:r>
      <w:r w:rsidRPr="009B6EEE">
        <w:rPr>
          <w:rFonts w:ascii="Palatino Linotype" w:eastAsia="Palatino Linotype" w:hAnsi="Palatino Linotype" w:cs="Palatino Linotype"/>
          <w:i/>
          <w:sz w:val="22"/>
          <w:szCs w:val="22"/>
        </w:rPr>
        <w:lastRenderedPageBreak/>
        <w:t>en Biotecnología y Licenciatura en Negocios Internacionales, para preparar profesionistas con una sólida formación científica, técnica y humanística, congruentes con el contexto económico, político y social, nacional y global.</w:t>
      </w:r>
    </w:p>
    <w:p w14:paraId="16AFA2C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6B05959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5048E37A"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174B9185"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210C2801100100L SUBDIRECCIÓN DE SERVICIOS ESCOLARES</w:t>
      </w:r>
    </w:p>
    <w:p w14:paraId="491A58C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Coadyuvar a que la Universidad cuente con un nivel de excelencia de los servicios escolares y atención a la comunidad estudiantil, docente, administrativa y externa al organismo en el ámbito de su competencia, a través del servicio de: control escolar, desarrollo académico, servicio de consulta y préstamo de material bibliográfico, hemerográfico y audiovisual, así como el uso de tecnologías de la información.</w:t>
      </w:r>
    </w:p>
    <w:p w14:paraId="12CBE23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32B24CB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7D36088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1CF2338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210C2801100101L DEPARTAMENTO DE CONTROL ESCOLAR</w:t>
      </w:r>
    </w:p>
    <w:p w14:paraId="12AEBD7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u w:val="single"/>
        </w:rPr>
        <w:t xml:space="preserve">Planear, coordinar y controlar los procedimientos operativos para efectuar los procesos de preinscripción, inscripción, reinscripción, registro, acreditación escolar, revalidación, certificación de estudios y titulación del alumnado inscrito en los </w:t>
      </w:r>
      <w:r w:rsidRPr="009B6EEE">
        <w:rPr>
          <w:rFonts w:ascii="Palatino Linotype" w:eastAsia="Palatino Linotype" w:hAnsi="Palatino Linotype" w:cs="Palatino Linotype"/>
          <w:i/>
          <w:sz w:val="22"/>
          <w:szCs w:val="22"/>
          <w:u w:val="single"/>
        </w:rPr>
        <w:lastRenderedPageBreak/>
        <w:t>Programas Educativos que ofrece la Universidad, de acuerdo con la normatividad vigente.</w:t>
      </w:r>
    </w:p>
    <w:p w14:paraId="54A87E9D"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5F0E1FD4"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3BE7FD34"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4DE99107"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210C2801100102L DEPARTAMENTO DE TECNOLOGÍAS DE LA INFORMACIÓN</w:t>
      </w:r>
    </w:p>
    <w:p w14:paraId="146D8AEB"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u w:val="single"/>
        </w:rPr>
        <w:t>Desarrollar y administrar las tecnologías de información y telecomunicaciones para hacer más eficientes los procedimientos administrativos, académicos y de enseñanza-aprendizaje</w:t>
      </w:r>
      <w:r w:rsidRPr="009B6EEE">
        <w:rPr>
          <w:rFonts w:ascii="Palatino Linotype" w:eastAsia="Palatino Linotype" w:hAnsi="Palatino Linotype" w:cs="Palatino Linotype"/>
          <w:i/>
          <w:sz w:val="22"/>
          <w:szCs w:val="22"/>
        </w:rPr>
        <w:t>, así como garantizar una adecuada automatización y explotación de la información que se genera en las unidades administrativas de la Universidad.</w:t>
      </w:r>
    </w:p>
    <w:p w14:paraId="497716E3"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78B5E12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748C4599"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4456FF16"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210C2801010000L DIRECCIÓN DE PLANEACIÓN, VINCULACIÓN E IGUALDAD DE GÉNERO</w:t>
      </w:r>
    </w:p>
    <w:p w14:paraId="5884B63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u w:val="single"/>
        </w:rPr>
        <w:t xml:space="preserve">Contribuir al fortalecimiento de la Universidad, a través de un esquema de planeación y vinculación con el sector público, privado y con la sociedad en general para promover el desarrollo académico, la investigación y la difusión, tendientes a la </w:t>
      </w:r>
      <w:r w:rsidRPr="009B6EEE">
        <w:rPr>
          <w:rFonts w:ascii="Palatino Linotype" w:eastAsia="Palatino Linotype" w:hAnsi="Palatino Linotype" w:cs="Palatino Linotype"/>
          <w:i/>
          <w:sz w:val="22"/>
          <w:szCs w:val="22"/>
          <w:u w:val="single"/>
        </w:rPr>
        <w:lastRenderedPageBreak/>
        <w:t>formación integral del educand</w:t>
      </w:r>
      <w:r w:rsidRPr="009B6EEE">
        <w:rPr>
          <w:rFonts w:ascii="Palatino Linotype" w:eastAsia="Palatino Linotype" w:hAnsi="Palatino Linotype" w:cs="Palatino Linotype"/>
          <w:i/>
          <w:sz w:val="22"/>
          <w:szCs w:val="22"/>
        </w:rPr>
        <w:t xml:space="preserve">o; así como asegurar la incorporación de la perspectiva de género en los programas, proyectos, acciones y políticas públicas competencia de esta Casa de Estudios, con el fin de promover la igualdad de género, erradicar la violencia y discriminación de género, e impulsar una cultura de respeto, condiciones e igualdad de oportunidades en el organismo. </w:t>
      </w:r>
    </w:p>
    <w:p w14:paraId="7650851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0A0FE83B"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1F4CDD8D"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62DC33F3"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210C2801010001L DEPARTAMENTO DE INFORMACIÓN, PLANEACIÓN, PROGRAMACIÓN Y EVALUACIÓN</w:t>
      </w:r>
    </w:p>
    <w:p w14:paraId="34C1E74A"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u w:val="single"/>
        </w:rPr>
        <w:t>Participar en el desarrollo ordenado y sistematizado de la Universidad, mediante un esquema de información, planeación, programación y evaluación que permita dar seguimiento y oriente las acciones para lograr el mejor cumplimiento del objeto y funciones del organismo.</w:t>
      </w:r>
    </w:p>
    <w:p w14:paraId="0DD2DEF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6DBFB451"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6E756F6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2A4086E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210C2801010002L DEPARTAMENTO DE VINCULACIÓN Y EXTENSIÓN</w:t>
      </w:r>
    </w:p>
    <w:p w14:paraId="08854CAE"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u w:val="single"/>
        </w:rPr>
        <w:lastRenderedPageBreak/>
        <w:t>Desarrollar y proponer acciones de vinculación de la Universidad con los sectores público, privado, social y productivo de bienes y servicios,</w:t>
      </w:r>
      <w:r w:rsidRPr="009B6EEE">
        <w:rPr>
          <w:rFonts w:ascii="Palatino Linotype" w:eastAsia="Palatino Linotype" w:hAnsi="Palatino Linotype" w:cs="Palatino Linotype"/>
          <w:i/>
          <w:sz w:val="22"/>
          <w:szCs w:val="22"/>
        </w:rPr>
        <w:t xml:space="preserve"> a través de la concertación de compromisos interinstitucionales que fortalezcan el proceso de enseñanza-aprendizaje y que contribuyan al logro de los objetivos institucionales del organismo.</w:t>
      </w:r>
    </w:p>
    <w:p w14:paraId="7CDB581E"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05D07DD9"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2A78A68E"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719A5C51"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210C2801020000L DIRECCIÓN DE ADMINISTRACIÓN Y FINANZAS</w:t>
      </w:r>
    </w:p>
    <w:p w14:paraId="49D47B3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u w:val="single"/>
        </w:rPr>
        <w:t xml:space="preserve">Planear, organizar, dirigir, controlar y evaluar el uso y aprovechamiento óptimo de los recursos humanos, materiales y financieros, </w:t>
      </w:r>
      <w:r w:rsidRPr="009B6EEE">
        <w:rPr>
          <w:rFonts w:ascii="Palatino Linotype" w:eastAsia="Palatino Linotype" w:hAnsi="Palatino Linotype" w:cs="Palatino Linotype"/>
          <w:i/>
          <w:sz w:val="22"/>
          <w:szCs w:val="22"/>
        </w:rPr>
        <w:t>así como la prestación de los servicios generales, técnicos y de mantenimiento, para apoyar las actividades académicas y administrativas de la Universidad.</w:t>
      </w:r>
    </w:p>
    <w:p w14:paraId="77890869"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5F148CE5"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326E04A2"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41B493B7"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210C2801020001L DEPARTAMENTO DE RECURSOS FINANCIEROS</w:t>
      </w:r>
    </w:p>
    <w:p w14:paraId="4793BDA7"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u w:val="single"/>
        </w:rPr>
        <w:t>Desarrollar y operar los sistemas contables y financieros necesarios para el control del ejercicio presupuestal, emitiendo en tiempo y forma, los estados financieros y reportes presupuestales que le sean requeridos</w:t>
      </w:r>
      <w:r w:rsidRPr="009B6EEE">
        <w:rPr>
          <w:rFonts w:ascii="Palatino Linotype" w:eastAsia="Palatino Linotype" w:hAnsi="Palatino Linotype" w:cs="Palatino Linotype"/>
          <w:i/>
          <w:sz w:val="22"/>
          <w:szCs w:val="22"/>
        </w:rPr>
        <w:t xml:space="preserve">, con apego a las disposiciones legales </w:t>
      </w:r>
      <w:r w:rsidRPr="009B6EEE">
        <w:rPr>
          <w:rFonts w:ascii="Palatino Linotype" w:eastAsia="Palatino Linotype" w:hAnsi="Palatino Linotype" w:cs="Palatino Linotype"/>
          <w:i/>
          <w:sz w:val="22"/>
          <w:szCs w:val="22"/>
        </w:rPr>
        <w:lastRenderedPageBreak/>
        <w:t>y administrativas aplicables.</w:t>
      </w:r>
      <w:r w:rsidRPr="009B6EEE">
        <w:rPr>
          <w:rFonts w:ascii="Palatino Linotype" w:eastAsia="Palatino Linotype" w:hAnsi="Palatino Linotype" w:cs="Palatino Linotype"/>
          <w:i/>
          <w:sz w:val="22"/>
          <w:szCs w:val="22"/>
        </w:rPr>
        <w:br/>
      </w:r>
      <w:r w:rsidRPr="009B6EEE">
        <w:rPr>
          <w:rFonts w:ascii="Palatino Linotype" w:eastAsia="Palatino Linotype" w:hAnsi="Palatino Linotype" w:cs="Palatino Linotype"/>
          <w:b/>
          <w:i/>
          <w:sz w:val="22"/>
          <w:szCs w:val="22"/>
        </w:rPr>
        <w:t>Funciones:</w:t>
      </w:r>
      <w:r w:rsidRPr="009B6EEE">
        <w:rPr>
          <w:rFonts w:ascii="Palatino Linotype" w:eastAsia="Palatino Linotype" w:hAnsi="Palatino Linotype" w:cs="Palatino Linotype"/>
          <w:i/>
          <w:sz w:val="22"/>
          <w:szCs w:val="22"/>
        </w:rPr>
        <w:t xml:space="preserve"> </w:t>
      </w:r>
    </w:p>
    <w:p w14:paraId="09DF9846"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61E1586B"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1D09FA68"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sz w:val="22"/>
          <w:szCs w:val="22"/>
        </w:rPr>
        <w:t xml:space="preserve"> </w:t>
      </w:r>
      <w:r w:rsidRPr="009B6EEE">
        <w:rPr>
          <w:rFonts w:ascii="Palatino Linotype" w:eastAsia="Palatino Linotype" w:hAnsi="Palatino Linotype" w:cs="Palatino Linotype"/>
          <w:b/>
          <w:i/>
          <w:sz w:val="22"/>
          <w:szCs w:val="22"/>
        </w:rPr>
        <w:t>210C2801020002L DEPARTAMENTO DE RECURSOS HUMANOS Y MATERIALES</w:t>
      </w:r>
    </w:p>
    <w:p w14:paraId="22D83316"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Llevar a cabo las </w:t>
      </w:r>
      <w:r w:rsidRPr="009B6EEE">
        <w:rPr>
          <w:rFonts w:ascii="Palatino Linotype" w:eastAsia="Palatino Linotype" w:hAnsi="Palatino Linotype" w:cs="Palatino Linotype"/>
          <w:i/>
          <w:sz w:val="22"/>
          <w:szCs w:val="22"/>
          <w:u w:val="single"/>
        </w:rPr>
        <w:t>acciones de selección, ingreso, contratación, inducción, integración, registro y control, capacitación y desarrollo del personal adscrito a la Universidad</w:t>
      </w:r>
      <w:r w:rsidRPr="009B6EEE">
        <w:rPr>
          <w:rFonts w:ascii="Palatino Linotype" w:eastAsia="Palatino Linotype" w:hAnsi="Palatino Linotype" w:cs="Palatino Linotype"/>
          <w:i/>
          <w:sz w:val="22"/>
          <w:szCs w:val="22"/>
        </w:rPr>
        <w:t xml:space="preserve">, </w:t>
      </w:r>
      <w:r w:rsidRPr="009B6EEE">
        <w:rPr>
          <w:rFonts w:ascii="Palatino Linotype" w:eastAsia="Palatino Linotype" w:hAnsi="Palatino Linotype" w:cs="Palatino Linotype"/>
          <w:i/>
          <w:sz w:val="22"/>
          <w:szCs w:val="22"/>
          <w:u w:val="single"/>
        </w:rPr>
        <w:t>además de difundir sus obligaciones y derechos, y establecer los mecanismos necesarios para el pago oportuno de sus remuneraciones</w:t>
      </w:r>
      <w:r w:rsidRPr="009B6EEE">
        <w:rPr>
          <w:rFonts w:ascii="Palatino Linotype" w:eastAsia="Palatino Linotype" w:hAnsi="Palatino Linotype" w:cs="Palatino Linotype"/>
          <w:i/>
          <w:sz w:val="22"/>
          <w:szCs w:val="22"/>
        </w:rPr>
        <w:t>, con base en los lineamientos establecidos en la materia, así como adquirir, almacenar y suministrar oportunamente los recursos materiales y servicios generales necesarios para el funcionamiento de las unidades administrativas del organismo.</w:t>
      </w:r>
    </w:p>
    <w:p w14:paraId="5B2C9B85"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Funciones: </w:t>
      </w:r>
    </w:p>
    <w:p w14:paraId="595736E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u w:val="single"/>
        </w:rPr>
      </w:pPr>
      <w:r w:rsidRPr="009B6EEE">
        <w:rPr>
          <w:rFonts w:ascii="Palatino Linotype" w:eastAsia="Palatino Linotype" w:hAnsi="Palatino Linotype" w:cs="Palatino Linotype"/>
          <w:i/>
          <w:sz w:val="22"/>
          <w:szCs w:val="22"/>
        </w:rPr>
        <w:t xml:space="preserve">− Mantener actualizada la información de la Universidad en el Portal de Información Pública de Oficio Mexiquense (IPOMEX), de acuerdo con los Lineamientos por los que se establecen las normas que habrán de observar los Sujetos Obligados en la Identificación, Publicación y Actualización de la Información Pública de Oficio determinada por la Ley de Transparencia y Acceso a la Información Pública del Estado de México y Municipios, así como </w:t>
      </w:r>
      <w:r w:rsidRPr="009B6EEE">
        <w:rPr>
          <w:rFonts w:ascii="Palatino Linotype" w:eastAsia="Palatino Linotype" w:hAnsi="Palatino Linotype" w:cs="Palatino Linotype"/>
          <w:i/>
          <w:sz w:val="22"/>
          <w:szCs w:val="22"/>
          <w:u w:val="single"/>
        </w:rPr>
        <w:t>atender, en tiempo y forma, las solicitudes de información, correspondientes a su área.</w:t>
      </w:r>
    </w:p>
    <w:p w14:paraId="01E2F45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7AC5A4EB"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(Énfasis Añadido)</w:t>
      </w:r>
    </w:p>
    <w:p w14:paraId="0B54C55C"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2419E3"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 xml:space="preserve">De lo anterior se advierte que los Servidores Públicos Habilitados que emitieron las respuestas, son las unidades administrativas competentes, toda vez que son las áreas generadoras de la información, aunado a que tienen entre sus funciones el atender en tiempo y forma, las solicitudes de información que correspondan a su área. </w:t>
      </w:r>
    </w:p>
    <w:p w14:paraId="5A01ED88"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0272F8"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No obstante, no pasa desapercibido para este Instituto que dentro de la estructura de la Universidad Politécnica del Valle de Toluca, se encuentra el Órgano Interno de Control; sin embargo, de la respuesta e informe justificado no se advierte algún pronunciamiento, que permita conocer si cuenta o no con información al respecto. </w:t>
      </w:r>
    </w:p>
    <w:p w14:paraId="54015189"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A1CC83" w14:textId="77777777" w:rsidR="00A53236" w:rsidRPr="009B6EEE" w:rsidRDefault="00BE58F5">
      <w:pPr>
        <w:spacing w:line="360" w:lineRule="auto"/>
        <w:ind w:right="51"/>
        <w:jc w:val="both"/>
        <w:rPr>
          <w:rFonts w:ascii="Palatino Linotype" w:eastAsia="Palatino Linotype" w:hAnsi="Palatino Linotype" w:cs="Palatino Linotype"/>
          <w:sz w:val="22"/>
          <w:szCs w:val="22"/>
          <w:u w:val="single"/>
        </w:rPr>
      </w:pPr>
      <w:r w:rsidRPr="009B6EEE">
        <w:rPr>
          <w:rFonts w:ascii="Palatino Linotype" w:eastAsia="Palatino Linotype" w:hAnsi="Palatino Linotype" w:cs="Palatino Linotype"/>
          <w:sz w:val="22"/>
          <w:szCs w:val="22"/>
        </w:rPr>
        <w:t xml:space="preserve">En este orden de ideas, el artículo 4, párrafo segundo de la Ley de Transparencia y Acceso a la Información Pública del Estado de México y Municipios, será accesible de manera permanente a cualquier persona, </w:t>
      </w:r>
      <w:r w:rsidRPr="009B6EEE">
        <w:rPr>
          <w:rFonts w:ascii="Palatino Linotype" w:eastAsia="Palatino Linotype" w:hAnsi="Palatino Linotype" w:cs="Palatino Linotype"/>
          <w:b/>
          <w:sz w:val="22"/>
          <w:szCs w:val="22"/>
          <w:u w:val="single"/>
        </w:rPr>
        <w:t>privilegiando el principio de máxima publicidad de la información</w:t>
      </w:r>
      <w:r w:rsidRPr="009B6EEE">
        <w:rPr>
          <w:rFonts w:ascii="Palatino Linotype" w:eastAsia="Palatino Linotype" w:hAnsi="Palatino Linotype" w:cs="Palatino Linotype"/>
          <w:sz w:val="22"/>
          <w:szCs w:val="22"/>
          <w:u w:val="single"/>
        </w:rPr>
        <w:t>.</w:t>
      </w:r>
    </w:p>
    <w:p w14:paraId="472F8BF7"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06195C6C"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FB5EF9"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677731B9" w14:textId="77777777" w:rsidR="00A53236" w:rsidRPr="009B6EEE" w:rsidRDefault="00BE58F5">
      <w:pPr>
        <w:tabs>
          <w:tab w:val="left" w:pos="4962"/>
        </w:tabs>
        <w:spacing w:line="360" w:lineRule="auto"/>
        <w:ind w:right="49"/>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Una vez delimitado lo anterior, resulta importante mencionar que como se precisó en líneas anteriores, el acceso a la información pública versa sobre documentos, en este caso, sobre oficios, por lo tanto, sirve citar a manera de referencia los </w:t>
      </w:r>
      <w:r w:rsidRPr="009B6EEE">
        <w:rPr>
          <w:rFonts w:ascii="Palatino Linotype" w:eastAsia="Palatino Linotype" w:hAnsi="Palatino Linotype" w:cs="Palatino Linotype"/>
          <w:i/>
          <w:sz w:val="22"/>
          <w:szCs w:val="22"/>
        </w:rPr>
        <w:t xml:space="preserve">Lineamientos para el trámite de la </w:t>
      </w:r>
      <w:r w:rsidRPr="009B6EEE">
        <w:rPr>
          <w:rFonts w:ascii="Palatino Linotype" w:eastAsia="Palatino Linotype" w:hAnsi="Palatino Linotype" w:cs="Palatino Linotype"/>
          <w:i/>
          <w:sz w:val="22"/>
          <w:szCs w:val="22"/>
        </w:rPr>
        <w:lastRenderedPageBreak/>
        <w:t>correspondencia de las unidades orgánicas del Poder Ejecutivo</w:t>
      </w:r>
      <w:r w:rsidRPr="009B6EEE">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62BB7A0B" w14:textId="77777777" w:rsidR="00A53236" w:rsidRPr="009B6EEE" w:rsidRDefault="00A53236">
      <w:pPr>
        <w:tabs>
          <w:tab w:val="left" w:pos="4962"/>
        </w:tabs>
        <w:spacing w:line="276" w:lineRule="auto"/>
        <w:ind w:right="851"/>
        <w:jc w:val="both"/>
        <w:rPr>
          <w:rFonts w:ascii="Palatino Linotype" w:eastAsia="Palatino Linotype" w:hAnsi="Palatino Linotype" w:cs="Palatino Linotype"/>
          <w:sz w:val="22"/>
          <w:szCs w:val="22"/>
        </w:rPr>
      </w:pPr>
    </w:p>
    <w:p w14:paraId="4D45F128" w14:textId="77777777" w:rsidR="00A53236" w:rsidRPr="009B6EEE" w:rsidRDefault="00BE58F5">
      <w:pPr>
        <w:shd w:val="clear" w:color="auto" w:fill="FFFFFF"/>
        <w:spacing w:line="276" w:lineRule="auto"/>
        <w:ind w:left="851" w:right="616"/>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“2. Objetivo</w:t>
      </w:r>
    </w:p>
    <w:p w14:paraId="0F415A5C"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9B6EEE">
        <w:rPr>
          <w:rFonts w:ascii="Palatino Linotype" w:eastAsia="Palatino Linotype" w:hAnsi="Palatino Linotype" w:cs="Palatino Linotype"/>
          <w:i/>
          <w:sz w:val="22"/>
          <w:szCs w:val="22"/>
        </w:rPr>
        <w:t>, un instrumento técnico que les permita homogeneizar y </w:t>
      </w:r>
      <w:proofErr w:type="spellStart"/>
      <w:r w:rsidRPr="009B6EEE">
        <w:rPr>
          <w:rFonts w:ascii="Palatino Linotype" w:eastAsia="Palatino Linotype" w:hAnsi="Palatino Linotype" w:cs="Palatino Linotype"/>
          <w:b/>
          <w:i/>
          <w:sz w:val="22"/>
          <w:szCs w:val="22"/>
          <w:u w:val="single"/>
        </w:rPr>
        <w:t>eficientar</w:t>
      </w:r>
      <w:proofErr w:type="spellEnd"/>
      <w:r w:rsidRPr="009B6EEE">
        <w:rPr>
          <w:rFonts w:ascii="Palatino Linotype" w:eastAsia="Palatino Linotype" w:hAnsi="Palatino Linotype" w:cs="Palatino Linotype"/>
          <w:b/>
          <w:i/>
          <w:sz w:val="22"/>
          <w:szCs w:val="22"/>
          <w:u w:val="single"/>
        </w:rPr>
        <w:t xml:space="preserve"> los servicios de correspondencia, a fin de agilizar la comunicación formal así como coadyuvar a la oportuna toma de decisiones por parte de los servidores públicos</w:t>
      </w:r>
      <w:r w:rsidRPr="009B6EEE">
        <w:rPr>
          <w:rFonts w:ascii="Palatino Linotype" w:eastAsia="Palatino Linotype" w:hAnsi="Palatino Linotype" w:cs="Palatino Linotype"/>
          <w:i/>
          <w:sz w:val="22"/>
          <w:szCs w:val="22"/>
        </w:rPr>
        <w:t>.</w:t>
      </w:r>
    </w:p>
    <w:p w14:paraId="59343231"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 </w:t>
      </w:r>
      <w:r w:rsidRPr="009B6EEE">
        <w:rPr>
          <w:rFonts w:ascii="Palatino Linotype" w:eastAsia="Palatino Linotype" w:hAnsi="Palatino Linotype" w:cs="Palatino Linotype"/>
          <w:b/>
          <w:i/>
          <w:sz w:val="22"/>
          <w:szCs w:val="22"/>
        </w:rPr>
        <w:t>Administración de documentos:</w:t>
      </w:r>
    </w:p>
    <w:p w14:paraId="42767989"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u w:val="single"/>
        </w:rPr>
        <w:t>Conjunto de actividades vinculadas con la</w:t>
      </w:r>
      <w:r w:rsidRPr="009B6EEE">
        <w:rPr>
          <w:rFonts w:ascii="Palatino Linotype" w:eastAsia="Palatino Linotype" w:hAnsi="Palatino Linotype" w:cs="Palatino Linotype"/>
          <w:i/>
          <w:sz w:val="22"/>
          <w:szCs w:val="22"/>
        </w:rPr>
        <w:t> generación, adquisición</w:t>
      </w:r>
      <w:r w:rsidRPr="009B6EEE">
        <w:rPr>
          <w:rFonts w:ascii="Palatino Linotype" w:eastAsia="Palatino Linotype" w:hAnsi="Palatino Linotype" w:cs="Palatino Linotype"/>
          <w:i/>
          <w:sz w:val="22"/>
          <w:szCs w:val="22"/>
          <w:u w:val="single"/>
        </w:rPr>
        <w:t>, recepción</w:t>
      </w:r>
      <w:r w:rsidRPr="009B6EEE">
        <w:rPr>
          <w:rFonts w:ascii="Palatino Linotype" w:eastAsia="Palatino Linotype" w:hAnsi="Palatino Linotype" w:cs="Palatino Linotype"/>
          <w:i/>
          <w:sz w:val="22"/>
          <w:szCs w:val="22"/>
        </w:rPr>
        <w:t>, control, circulación, reproducción, organización, conservación, custodia, restauración, valoración, selección, eliminación, </w:t>
      </w:r>
      <w:r w:rsidRPr="009B6EEE">
        <w:rPr>
          <w:rFonts w:ascii="Palatino Linotype" w:eastAsia="Palatino Linotype" w:hAnsi="Palatino Linotype" w:cs="Palatino Linotype"/>
          <w:i/>
          <w:sz w:val="22"/>
          <w:szCs w:val="22"/>
          <w:u w:val="single"/>
        </w:rPr>
        <w:t>uso y divulgación de los documentos.</w:t>
      </w:r>
    </w:p>
    <w:p w14:paraId="562160A6"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3. Conceptualización básica</w:t>
      </w:r>
    </w:p>
    <w:p w14:paraId="59859F03"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w:t>
      </w:r>
    </w:p>
    <w:p w14:paraId="763226B4"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Documento:</w:t>
      </w:r>
    </w:p>
    <w:p w14:paraId="7D03C7D0"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p>
    <w:p w14:paraId="151583A8"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w:t>
      </w:r>
    </w:p>
    <w:p w14:paraId="756878B4"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u w:val="single"/>
        </w:rPr>
      </w:pPr>
      <w:r w:rsidRPr="009B6EEE">
        <w:rPr>
          <w:rFonts w:ascii="Palatino Linotype" w:eastAsia="Palatino Linotype" w:hAnsi="Palatino Linotype" w:cs="Palatino Linotype"/>
          <w:b/>
          <w:i/>
          <w:sz w:val="22"/>
          <w:szCs w:val="22"/>
          <w:u w:val="single"/>
        </w:rPr>
        <w:t>Oficio:</w:t>
      </w:r>
    </w:p>
    <w:p w14:paraId="43EB85D4"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 xml:space="preserve">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w:t>
      </w:r>
      <w:r w:rsidRPr="009B6EEE">
        <w:rPr>
          <w:rFonts w:ascii="Palatino Linotype" w:eastAsia="Palatino Linotype" w:hAnsi="Palatino Linotype" w:cs="Palatino Linotype"/>
          <w:b/>
          <w:i/>
          <w:sz w:val="22"/>
          <w:szCs w:val="22"/>
        </w:rPr>
        <w:lastRenderedPageBreak/>
        <w:t>relacionados con personas físicas o morales fuera del sector público. La información fluye en línea vertical ascendente o descendente y en forma horizontal</w:t>
      </w:r>
      <w:r w:rsidRPr="009B6EEE">
        <w:rPr>
          <w:rFonts w:ascii="Palatino Linotype" w:eastAsia="Palatino Linotype" w:hAnsi="Palatino Linotype" w:cs="Palatino Linotype"/>
          <w:i/>
          <w:sz w:val="22"/>
          <w:szCs w:val="22"/>
        </w:rPr>
        <w:t>.</w:t>
      </w:r>
    </w:p>
    <w:p w14:paraId="3D79FA58"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w:t>
      </w:r>
    </w:p>
    <w:p w14:paraId="0B85E421"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Recepción de documentos:</w:t>
      </w:r>
    </w:p>
    <w:p w14:paraId="2A8D7784"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u w:val="single"/>
        </w:rPr>
        <w:t>Acción de recibir e ingresar los documentos </w:t>
      </w:r>
      <w:r w:rsidRPr="009B6EEE">
        <w:rPr>
          <w:rFonts w:ascii="Palatino Linotype" w:eastAsia="Palatino Linotype" w:hAnsi="Palatino Linotype" w:cs="Palatino Linotype"/>
          <w:i/>
          <w:sz w:val="22"/>
          <w:szCs w:val="22"/>
        </w:rPr>
        <w:t>a las unidades orgánicas del Poder Ejecutivo Estatal </w:t>
      </w:r>
      <w:r w:rsidRPr="009B6EEE">
        <w:rPr>
          <w:rFonts w:ascii="Palatino Linotype" w:eastAsia="Palatino Linotype" w:hAnsi="Palatino Linotype" w:cs="Palatino Linotype"/>
          <w:i/>
          <w:sz w:val="22"/>
          <w:szCs w:val="22"/>
          <w:u w:val="single"/>
        </w:rPr>
        <w:t>para su atención, custodia o circulación</w:t>
      </w:r>
      <w:r w:rsidRPr="009B6EEE">
        <w:rPr>
          <w:rFonts w:ascii="Palatino Linotype" w:eastAsia="Palatino Linotype" w:hAnsi="Palatino Linotype" w:cs="Palatino Linotype"/>
          <w:i/>
          <w:sz w:val="22"/>
          <w:szCs w:val="22"/>
        </w:rPr>
        <w:t>.</w:t>
      </w:r>
    </w:p>
    <w:p w14:paraId="102EDF45" w14:textId="77777777" w:rsidR="00A53236" w:rsidRPr="009B6EEE" w:rsidRDefault="00BE58F5">
      <w:pPr>
        <w:shd w:val="clear" w:color="auto" w:fill="FFFFFF"/>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71380526" w14:textId="77777777" w:rsidR="00A53236" w:rsidRPr="009B6EEE" w:rsidRDefault="00BE58F5">
      <w:pPr>
        <w:shd w:val="clear" w:color="auto" w:fill="FFFFFF"/>
        <w:spacing w:before="240" w:after="240"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sz w:val="22"/>
          <w:szCs w:val="22"/>
        </w:rPr>
        <w:t>De lo anteriormente vertido, se tiene que los documentos que sirven de comunicación entre las diferentes unidades administrativas de una institución pública pueden ser a través de oficios, dependiendo de la información que se trata en cada uno de ellos. Así, un</w:t>
      </w:r>
      <w:r w:rsidRPr="009B6EEE">
        <w:rPr>
          <w:rFonts w:ascii="Palatino Linotype" w:eastAsia="Palatino Linotype" w:hAnsi="Palatino Linotype" w:cs="Palatino Linotype"/>
          <w:b/>
          <w:sz w:val="22"/>
          <w:szCs w:val="22"/>
        </w:rPr>
        <w:t xml:space="preserve">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0D2A6DA8" w14:textId="77777777" w:rsidR="00A53236" w:rsidRPr="009B6EEE" w:rsidRDefault="00BE58F5">
      <w:pPr>
        <w:spacing w:before="240"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9B6EEE">
        <w:rPr>
          <w:rFonts w:ascii="Palatino Linotype" w:eastAsia="Palatino Linotype" w:hAnsi="Palatino Linotype" w:cs="Palatino Linotype"/>
          <w:b/>
          <w:sz w:val="22"/>
          <w:szCs w:val="22"/>
        </w:rPr>
        <w:t>oficios,</w:t>
      </w:r>
      <w:r w:rsidRPr="009B6EEE">
        <w:rPr>
          <w:rFonts w:ascii="Palatino Linotype" w:eastAsia="Palatino Linotype" w:hAnsi="Palatino Linotype" w:cs="Palatino Linotype"/>
          <w:sz w:val="22"/>
          <w:szCs w:val="22"/>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FBD7A68" w14:textId="77777777" w:rsidR="00A53236" w:rsidRPr="009B6EEE" w:rsidRDefault="00A53236">
      <w:pPr>
        <w:ind w:right="901"/>
        <w:jc w:val="both"/>
        <w:rPr>
          <w:rFonts w:ascii="Palatino Linotype" w:eastAsia="Palatino Linotype" w:hAnsi="Palatino Linotype" w:cs="Palatino Linotype"/>
          <w:i/>
          <w:sz w:val="22"/>
          <w:szCs w:val="22"/>
        </w:rPr>
      </w:pPr>
    </w:p>
    <w:p w14:paraId="130DC059"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 xml:space="preserve">Artículo 3. </w:t>
      </w:r>
      <w:r w:rsidRPr="009B6EEE">
        <w:rPr>
          <w:rFonts w:ascii="Palatino Linotype" w:eastAsia="Palatino Linotype" w:hAnsi="Palatino Linotype" w:cs="Palatino Linotype"/>
          <w:i/>
          <w:sz w:val="22"/>
          <w:szCs w:val="22"/>
        </w:rPr>
        <w:t>Para los efectos de la presente Ley se entenderá por:</w:t>
      </w:r>
    </w:p>
    <w:p w14:paraId="1198E4A3"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lastRenderedPageBreak/>
        <w:t>…</w:t>
      </w:r>
    </w:p>
    <w:p w14:paraId="3187ED93"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XI. Documento:</w:t>
      </w:r>
      <w:r w:rsidRPr="009B6EEE">
        <w:rPr>
          <w:rFonts w:ascii="Palatino Linotype" w:eastAsia="Palatino Linotype" w:hAnsi="Palatino Linotype" w:cs="Palatino Linotype"/>
          <w:i/>
          <w:sz w:val="22"/>
          <w:szCs w:val="22"/>
        </w:rPr>
        <w:t xml:space="preserve"> Los expedientes, reportes, estudios, actas, resoluciones</w:t>
      </w:r>
      <w:r w:rsidRPr="009B6EEE">
        <w:rPr>
          <w:rFonts w:ascii="Palatino Linotype" w:eastAsia="Palatino Linotype" w:hAnsi="Palatino Linotype" w:cs="Palatino Linotype"/>
          <w:b/>
          <w:i/>
          <w:sz w:val="22"/>
          <w:szCs w:val="22"/>
          <w:u w:val="single"/>
        </w:rPr>
        <w:t>, oficios,</w:t>
      </w:r>
      <w:r w:rsidRPr="009B6EEE">
        <w:rPr>
          <w:rFonts w:ascii="Palatino Linotype" w:eastAsia="Palatino Linotype" w:hAnsi="Palatino Linotype" w:cs="Palatino Linotype"/>
          <w:i/>
          <w:sz w:val="22"/>
          <w:szCs w:val="22"/>
        </w:rPr>
        <w:t xml:space="preserve"> correspondencia, acuerdos, directivas, directrices, circulares, contratos, convenios, instructivos, notas, memorandos, estadísticas o bien, cualquier otro registro </w:t>
      </w:r>
      <w:r w:rsidRPr="009B6EEE">
        <w:rPr>
          <w:rFonts w:ascii="Palatino Linotype" w:eastAsia="Palatino Linotype" w:hAnsi="Palatino Linotype" w:cs="Palatino Linotype"/>
          <w:i/>
          <w:sz w:val="22"/>
          <w:szCs w:val="22"/>
          <w:u w:val="single"/>
        </w:rPr>
        <w:t>que documente el ejercicio de las facultades, funciones y competencias de los sujetos obligados, sus servidores públicos e integrantes</w:t>
      </w:r>
      <w:r w:rsidRPr="009B6EEE">
        <w:rPr>
          <w:rFonts w:ascii="Palatino Linotype" w:eastAsia="Palatino Linotype" w:hAnsi="Palatino Linotype" w:cs="Palatino Linotype"/>
          <w:i/>
          <w:sz w:val="22"/>
          <w:szCs w:val="22"/>
        </w:rPr>
        <w:t>, sin importar su fuente o fecha de elaboración. Los documentos podrán estar en cualquier medio, sea escrito, impreso, sonoro, visual, electrónico, informático u holográfico;</w:t>
      </w:r>
    </w:p>
    <w:p w14:paraId="46B1E842" w14:textId="77777777" w:rsidR="00A53236" w:rsidRPr="009B6EEE" w:rsidRDefault="00BE58F5">
      <w:pPr>
        <w:ind w:left="851" w:right="901"/>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w:t>
      </w:r>
      <w:r w:rsidRPr="009B6EEE">
        <w:rPr>
          <w:rFonts w:ascii="Palatino Linotype" w:eastAsia="Palatino Linotype" w:hAnsi="Palatino Linotype" w:cs="Palatino Linotype"/>
          <w:i/>
          <w:sz w:val="22"/>
          <w:szCs w:val="22"/>
        </w:rPr>
        <w:t>”</w:t>
      </w:r>
    </w:p>
    <w:p w14:paraId="32280D3C" w14:textId="77777777" w:rsidR="00A53236" w:rsidRPr="009B6EEE" w:rsidRDefault="00A53236">
      <w:pPr>
        <w:ind w:right="850"/>
        <w:jc w:val="both"/>
        <w:rPr>
          <w:rFonts w:ascii="Palatino Linotype" w:eastAsia="Palatino Linotype" w:hAnsi="Palatino Linotype" w:cs="Palatino Linotype"/>
          <w:sz w:val="22"/>
          <w:szCs w:val="22"/>
        </w:rPr>
      </w:pPr>
    </w:p>
    <w:p w14:paraId="459087CB"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4B65E25" w14:textId="77777777" w:rsidR="00A53236" w:rsidRPr="009B6EEE" w:rsidRDefault="00A53236">
      <w:pPr>
        <w:ind w:left="851" w:right="850"/>
        <w:jc w:val="both"/>
        <w:rPr>
          <w:rFonts w:ascii="Palatino Linotype" w:eastAsia="Palatino Linotype" w:hAnsi="Palatino Linotype" w:cs="Palatino Linotype"/>
          <w:sz w:val="22"/>
          <w:szCs w:val="22"/>
        </w:rPr>
      </w:pPr>
    </w:p>
    <w:p w14:paraId="7346A4C1" w14:textId="77777777" w:rsidR="00A53236" w:rsidRPr="009B6EEE" w:rsidRDefault="00BE58F5">
      <w:pPr>
        <w:ind w:left="851" w:right="901"/>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sz w:val="22"/>
          <w:szCs w:val="22"/>
        </w:rPr>
        <w:t>“</w:t>
      </w:r>
      <w:r w:rsidRPr="009B6EEE">
        <w:rPr>
          <w:rFonts w:ascii="Palatino Linotype" w:eastAsia="Palatino Linotype" w:hAnsi="Palatino Linotype" w:cs="Palatino Linotype"/>
          <w:b/>
          <w:i/>
          <w:sz w:val="22"/>
          <w:szCs w:val="22"/>
        </w:rPr>
        <w:t>CRITERIO 0002-11</w:t>
      </w:r>
    </w:p>
    <w:p w14:paraId="782B6EDB" w14:textId="77777777" w:rsidR="00A53236" w:rsidRPr="009B6EEE" w:rsidRDefault="00BE58F5">
      <w:pPr>
        <w:ind w:left="851" w:right="901"/>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9B6EE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48B362" w14:textId="77777777" w:rsidR="00A53236" w:rsidRPr="009B6EEE" w:rsidRDefault="00BE58F5">
      <w:pPr>
        <w:ind w:left="851" w:right="850"/>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11678C3" w14:textId="77777777" w:rsidR="00A53236" w:rsidRPr="009B6EEE" w:rsidRDefault="00BE58F5">
      <w:pPr>
        <w:ind w:left="851" w:right="901"/>
        <w:jc w:val="both"/>
        <w:rPr>
          <w:rFonts w:ascii="Palatino Linotype" w:eastAsia="Palatino Linotype" w:hAnsi="Palatino Linotype" w:cs="Palatino Linotype"/>
          <w:b/>
          <w:i/>
          <w:sz w:val="22"/>
          <w:szCs w:val="22"/>
          <w:u w:val="single"/>
        </w:rPr>
      </w:pPr>
      <w:r w:rsidRPr="009B6EEE">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14:paraId="1623B998" w14:textId="77777777" w:rsidR="00A53236" w:rsidRPr="009B6EEE" w:rsidRDefault="00BE58F5">
      <w:pPr>
        <w:ind w:left="851" w:right="901"/>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u w:val="single"/>
        </w:rPr>
        <w:t xml:space="preserve">2) Que se trate de información registrada en cualquier soporte documental, que en ejercicio de las atribuciones conferidas, sea administrada por los Sujetos Obligados, y3) Que se trate de información </w:t>
      </w:r>
      <w:r w:rsidRPr="009B6EEE">
        <w:rPr>
          <w:rFonts w:ascii="Palatino Linotype" w:eastAsia="Palatino Linotype" w:hAnsi="Palatino Linotype" w:cs="Palatino Linotype"/>
          <w:b/>
          <w:i/>
          <w:sz w:val="22"/>
          <w:szCs w:val="22"/>
          <w:u w:val="single"/>
        </w:rPr>
        <w:lastRenderedPageBreak/>
        <w:t>registrada en cualquier soporte documental, que en ejercicio de las atribuciones conferidas, se encuentre en posesión de los Sujetos Obligados</w:t>
      </w:r>
      <w:r w:rsidRPr="009B6EEE">
        <w:rPr>
          <w:rFonts w:ascii="Palatino Linotype" w:eastAsia="Palatino Linotype" w:hAnsi="Palatino Linotype" w:cs="Palatino Linotype"/>
          <w:i/>
          <w:sz w:val="22"/>
          <w:szCs w:val="22"/>
        </w:rPr>
        <w:t>.” (SIC)</w:t>
      </w:r>
    </w:p>
    <w:p w14:paraId="7393AD25"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036655BD"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Además, es importante señalar que, de conformidad con el artículo 18 de la Ley de Transparencia y Acceso a la Información Pública del Estado de México y Municipios, </w:t>
      </w:r>
      <w:r w:rsidRPr="009B6EEE">
        <w:rPr>
          <w:rFonts w:ascii="Palatino Linotype" w:eastAsia="Palatino Linotype" w:hAnsi="Palatino Linotype" w:cs="Palatino Linotype"/>
          <w:b/>
          <w:i/>
          <w:sz w:val="22"/>
          <w:szCs w:val="22"/>
          <w:u w:val="single"/>
        </w:rPr>
        <w:t>los Sujetos Obligados deben documentar todos sus actos que realicen derivado del ejercicio de sus atribuciones</w:t>
      </w:r>
      <w:r w:rsidRPr="009B6EEE">
        <w:rPr>
          <w:rFonts w:ascii="Palatino Linotype" w:eastAsia="Palatino Linotype" w:hAnsi="Palatino Linotype" w:cs="Palatino Linotype"/>
          <w:sz w:val="22"/>
          <w:szCs w:val="22"/>
        </w:rPr>
        <w:t>, como se aprecia de la lectura del precepto legal en comento:</w:t>
      </w:r>
    </w:p>
    <w:p w14:paraId="07F3D95A" w14:textId="77777777" w:rsidR="00A53236" w:rsidRPr="009B6EEE" w:rsidRDefault="00A53236">
      <w:pPr>
        <w:ind w:left="851" w:right="902"/>
        <w:jc w:val="both"/>
        <w:rPr>
          <w:rFonts w:ascii="Palatino Linotype" w:eastAsia="Palatino Linotype" w:hAnsi="Palatino Linotype" w:cs="Palatino Linotype"/>
          <w:b/>
          <w:i/>
          <w:sz w:val="22"/>
          <w:szCs w:val="22"/>
        </w:rPr>
      </w:pPr>
    </w:p>
    <w:p w14:paraId="30E6132F" w14:textId="77777777" w:rsidR="00A53236" w:rsidRPr="009B6EEE" w:rsidRDefault="00BE58F5">
      <w:pPr>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“Artículo 18. </w:t>
      </w:r>
      <w:r w:rsidRPr="009B6EEE">
        <w:rPr>
          <w:rFonts w:ascii="Palatino Linotype" w:eastAsia="Palatino Linotype" w:hAnsi="Palatino Linotype" w:cs="Palatino Linotype"/>
          <w:i/>
          <w:sz w:val="22"/>
          <w:szCs w:val="22"/>
        </w:rPr>
        <w:t>Los sujetos obligados deberán documentar todo acto que derive del ejercicio de sus facultades, competencias o funciones, considerando desde su origen la eventual publicidad y reutilización de la información que generen.” (Sic)</w:t>
      </w:r>
    </w:p>
    <w:p w14:paraId="057AC27A"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518371F9"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De la misma forma, se cita el contenido del artículo 160 de la Ley General de Transparencia y Acceso a la Información Pública que a la letra dispone:</w:t>
      </w:r>
    </w:p>
    <w:p w14:paraId="3AB84B61" w14:textId="77777777" w:rsidR="00A53236" w:rsidRPr="009B6EEE" w:rsidRDefault="00A53236">
      <w:pPr>
        <w:jc w:val="both"/>
        <w:rPr>
          <w:rFonts w:ascii="Palatino Linotype" w:eastAsia="Palatino Linotype" w:hAnsi="Palatino Linotype" w:cs="Palatino Linotype"/>
          <w:sz w:val="22"/>
          <w:szCs w:val="22"/>
        </w:rPr>
      </w:pPr>
    </w:p>
    <w:p w14:paraId="4B308D9F"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Artículo 160</w:t>
      </w:r>
      <w:r w:rsidRPr="009B6EEE">
        <w:rPr>
          <w:rFonts w:ascii="Palatino Linotype" w:eastAsia="Palatino Linotype" w:hAnsi="Palatino Linotype" w:cs="Palatino Linotype"/>
          <w:i/>
          <w:sz w:val="22"/>
          <w:szCs w:val="22"/>
        </w:rPr>
        <w:t xml:space="preserve">. </w:t>
      </w:r>
      <w:r w:rsidRPr="009B6EEE">
        <w:rPr>
          <w:rFonts w:ascii="Palatino Linotype" w:eastAsia="Palatino Linotype" w:hAnsi="Palatino Linotype" w:cs="Palatino Linotype"/>
          <w:b/>
          <w:i/>
          <w:sz w:val="22"/>
          <w:szCs w:val="22"/>
          <w:u w:val="single"/>
        </w:rPr>
        <w:t xml:space="preserve">Los sujetos obligados deberán otorgar acceso a los documentos que se encuentren en sus archivos o que estén obligados a documentar de acuerdo con sus facultades, competencias o funciones </w:t>
      </w:r>
      <w:r w:rsidRPr="009B6EEE">
        <w:rPr>
          <w:rFonts w:ascii="Palatino Linotype" w:eastAsia="Palatino Linotype" w:hAnsi="Palatino Linotype" w:cs="Palatino Linotype"/>
          <w:i/>
          <w:sz w:val="22"/>
          <w:szCs w:val="22"/>
        </w:rPr>
        <w:t>en el formato que el solicitante manifieste, de entre aquellos formatos existentes, conforme a las características físicas de la información o del lugar donde se encuentre así lo permita” (Sic)</w:t>
      </w:r>
    </w:p>
    <w:p w14:paraId="20B5EE3F" w14:textId="77777777" w:rsidR="00A53236" w:rsidRPr="009B6EEE" w:rsidRDefault="00A53236">
      <w:pPr>
        <w:spacing w:line="360" w:lineRule="auto"/>
        <w:ind w:right="50"/>
        <w:jc w:val="both"/>
        <w:rPr>
          <w:rFonts w:ascii="Palatino Linotype" w:eastAsia="Palatino Linotype" w:hAnsi="Palatino Linotype" w:cs="Palatino Linotype"/>
          <w:sz w:val="22"/>
          <w:szCs w:val="22"/>
        </w:rPr>
      </w:pPr>
    </w:p>
    <w:p w14:paraId="7E81A66C" w14:textId="77777777" w:rsidR="00A53236" w:rsidRPr="009B6EEE" w:rsidRDefault="00BE58F5">
      <w:pPr>
        <w:spacing w:line="360" w:lineRule="auto"/>
        <w:ind w:right="49"/>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Por otro lado,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obra en los archivos del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y, que, por ende, es de acceso público, tan es así que, con su respuesta asume que cuenta </w:t>
      </w:r>
      <w:r w:rsidRPr="009B6EEE">
        <w:rPr>
          <w:rFonts w:ascii="Palatino Linotype" w:eastAsia="Palatino Linotype" w:hAnsi="Palatino Linotype" w:cs="Palatino Linotype"/>
          <w:sz w:val="22"/>
          <w:szCs w:val="22"/>
        </w:rPr>
        <w:lastRenderedPageBreak/>
        <w:t xml:space="preserve">con la información, haciendo del conocimiento el total de fojas que comprenden los oficios solicitados. </w:t>
      </w:r>
    </w:p>
    <w:p w14:paraId="4EDA7EA3"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F39015E"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Ahora bien </w:t>
      </w:r>
      <w:r w:rsidRPr="009B6EEE">
        <w:rPr>
          <w:rFonts w:ascii="Palatino Linotype" w:eastAsia="Palatino Linotype" w:hAnsi="Palatino Linotype" w:cs="Palatino Linotype"/>
          <w:b/>
          <w:sz w:val="22"/>
          <w:szCs w:val="22"/>
          <w:u w:val="single"/>
        </w:rPr>
        <w:t>respecto al análisis del cambio de modalidad</w:t>
      </w:r>
      <w:r w:rsidRPr="009B6EEE">
        <w:rPr>
          <w:rFonts w:ascii="Palatino Linotype" w:eastAsia="Palatino Linotype" w:hAnsi="Palatino Linotype" w:cs="Palatino Linotype"/>
          <w:sz w:val="22"/>
          <w:szCs w:val="22"/>
        </w:rPr>
        <w:t xml:space="preserve">, resulta importante señalar que en primera instancia,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38F637EF"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CC9BEC"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Por su parte, el artículo 158, dispone que, de manera excepcional, cuando de manera fundada y motivada lo determine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C868D3E"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E55B91"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9B6EEE">
        <w:rPr>
          <w:rFonts w:ascii="Palatino Linotype" w:eastAsia="Palatino Linotype" w:hAnsi="Palatino Linotype" w:cs="Palatino Linotype"/>
          <w:sz w:val="22"/>
          <w:szCs w:val="22"/>
          <w:vertAlign w:val="superscript"/>
        </w:rPr>
        <w:t xml:space="preserve"> </w:t>
      </w:r>
      <w:r w:rsidRPr="009B6EEE">
        <w:rPr>
          <w:rFonts w:ascii="Palatino Linotype" w:eastAsia="Palatino Linotype" w:hAnsi="Palatino Linotype" w:cs="Palatino Linotype"/>
          <w:sz w:val="22"/>
          <w:szCs w:val="22"/>
          <w:vertAlign w:val="superscript"/>
        </w:rPr>
        <w:footnoteReference w:id="3"/>
      </w:r>
      <w:r w:rsidRPr="009B6EEE">
        <w:rPr>
          <w:rFonts w:ascii="Palatino Linotype" w:eastAsia="Palatino Linotype" w:hAnsi="Palatino Linotype" w:cs="Palatino Linotype"/>
          <w:sz w:val="22"/>
          <w:szCs w:val="22"/>
        </w:rPr>
        <w:t xml:space="preserve">, en términos de lo dispuesto en el </w:t>
      </w:r>
      <w:r w:rsidRPr="009B6EEE">
        <w:rPr>
          <w:rFonts w:ascii="Palatino Linotype" w:eastAsia="Palatino Linotype" w:hAnsi="Palatino Linotype" w:cs="Palatino Linotype"/>
          <w:sz w:val="22"/>
          <w:szCs w:val="22"/>
        </w:rPr>
        <w:lastRenderedPageBreak/>
        <w:t>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49F68D8F"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A19685"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“FUNDAMENTACIÓN Y MOTIVACIÓN DE LOS ACTOS ADMINISTRATIVOS</w:t>
      </w:r>
      <w:r w:rsidRPr="009B6EEE">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9B6EEE">
        <w:rPr>
          <w:rFonts w:ascii="Palatino Linotype" w:eastAsia="Palatino Linotype" w:hAnsi="Palatino Linotype" w:cs="Palatino Linotype"/>
          <w:i/>
          <w:sz w:val="22"/>
          <w:szCs w:val="22"/>
        </w:rPr>
        <w:t>subincisos</w:t>
      </w:r>
      <w:proofErr w:type="spellEnd"/>
      <w:r w:rsidRPr="009B6EEE">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5C18318C"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2731C1C5"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En ese entendido, según lo dispuesto en los artículos 160 y 164 de la Ley en cita, los Sujetos Obligados deben otorgar acceso a los documentos que se encuentren en sus archivos o que </w:t>
      </w:r>
      <w:r w:rsidRPr="009B6EEE">
        <w:rPr>
          <w:rFonts w:ascii="Palatino Linotype" w:eastAsia="Palatino Linotype" w:hAnsi="Palatino Linotype" w:cs="Palatino Linotype"/>
          <w:sz w:val="22"/>
          <w:szCs w:val="22"/>
        </w:rPr>
        <w:lastRenderedPageBreak/>
        <w:t>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3AE36A59"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73B29F"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“Artículo 160.</w:t>
      </w:r>
      <w:r w:rsidRPr="009B6EEE">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E9852E2"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Artículo 164.</w:t>
      </w:r>
      <w:r w:rsidRPr="009B6EEE">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9B6EEE">
        <w:rPr>
          <w:rFonts w:ascii="Palatino Linotype" w:eastAsia="Palatino Linotype" w:hAnsi="Palatino Linotype" w:cs="Palatino Linotype"/>
          <w:i/>
          <w:sz w:val="22"/>
          <w:szCs w:val="22"/>
          <w:u w:val="single"/>
        </w:rPr>
        <w:t>el sujeto obligado deberá ofrecer otra u otras modalidades de entrega.</w:t>
      </w:r>
      <w:r w:rsidRPr="009B6EEE">
        <w:rPr>
          <w:rFonts w:ascii="Palatino Linotype" w:eastAsia="Palatino Linotype" w:hAnsi="Palatino Linotype" w:cs="Palatino Linotype"/>
          <w:i/>
          <w:sz w:val="22"/>
          <w:szCs w:val="22"/>
        </w:rPr>
        <w:t xml:space="preserve"> En cualquier caso, se deberá fundar y motivar la necesidad de ofrecer otras modalidades.” (Énfasis añadido)</w:t>
      </w:r>
    </w:p>
    <w:p w14:paraId="04B068C5"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AFF7AC"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FBD84D6"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9DC940"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Así, cuando se justifique el impedimento, </w:t>
      </w:r>
      <w:r w:rsidRPr="009B6EEE">
        <w:rPr>
          <w:rFonts w:ascii="Palatino Linotype" w:eastAsia="Palatino Linotype" w:hAnsi="Palatino Linotype" w:cs="Palatino Linotype"/>
          <w:b/>
          <w:sz w:val="22"/>
          <w:szCs w:val="22"/>
        </w:rPr>
        <w:t>los Sujetos Obligados deberán ofrecer al particular otras modalidades de entrega que permita la información</w:t>
      </w:r>
      <w:r w:rsidRPr="009B6EEE">
        <w:rPr>
          <w:rFonts w:ascii="Palatino Linotype" w:eastAsia="Palatino Linotype" w:hAnsi="Palatino Linotype" w:cs="Palatino Linotype"/>
          <w:sz w:val="22"/>
          <w:szCs w:val="22"/>
        </w:rPr>
        <w:t xml:space="preserve">, como consulta directa en las oficinas de la Unidad de Transparencia, la expedición de copias simples o certificadas, o la reproducción en cualquier otro medio, incluidos los electrónicos, lo que se </w:t>
      </w:r>
      <w:r w:rsidRPr="009B6EEE">
        <w:rPr>
          <w:rFonts w:ascii="Palatino Linotype" w:eastAsia="Palatino Linotype" w:hAnsi="Palatino Linotype" w:cs="Palatino Linotype"/>
          <w:sz w:val="22"/>
          <w:szCs w:val="22"/>
        </w:rPr>
        <w:lastRenderedPageBreak/>
        <w:t>robustece con el criterio 08/17, emitido por el Pleno del Instituto Nacional de Transparencia, Acceso a la Información y Protección de Datos Personales, el cual establece lo siguiente:</w:t>
      </w:r>
    </w:p>
    <w:p w14:paraId="143E8F58"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0DD672"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9B6EEE">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9B6EEE">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9B6EEE">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p>
    <w:p w14:paraId="10E8A517"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b/>
          <w:i/>
          <w:sz w:val="22"/>
          <w:szCs w:val="22"/>
          <w:u w:val="single"/>
        </w:rPr>
      </w:pPr>
    </w:p>
    <w:p w14:paraId="48121662"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sz w:val="22"/>
          <w:szCs w:val="22"/>
        </w:rPr>
        <w:t>Del citado criterio, se desprende que cuando</w:t>
      </w:r>
      <w:r w:rsidRPr="009B6EEE">
        <w:rPr>
          <w:rFonts w:ascii="Palatino Linotype" w:eastAsia="Palatino Linotype" w:hAnsi="Palatino Linotype" w:cs="Palatino Linotype"/>
          <w:b/>
          <w:sz w:val="22"/>
          <w:szCs w:val="22"/>
        </w:rPr>
        <w:t xml:space="preserve"> la información no pueda entregarse o enviarse en la modalidad elegida, </w:t>
      </w:r>
      <w:r w:rsidRPr="009B6EEE">
        <w:rPr>
          <w:rFonts w:ascii="Palatino Linotype" w:eastAsia="Palatino Linotype" w:hAnsi="Palatino Linotype" w:cs="Palatino Linotype"/>
          <w:sz w:val="22"/>
          <w:szCs w:val="22"/>
        </w:rPr>
        <w:t>para que la obligación de acceso a la información se tenga por cumplida, el</w:t>
      </w:r>
      <w:r w:rsidRPr="009B6EEE">
        <w:rPr>
          <w:rFonts w:ascii="Palatino Linotype" w:eastAsia="Palatino Linotype" w:hAnsi="Palatino Linotype" w:cs="Palatino Linotype"/>
          <w:b/>
          <w:sz w:val="22"/>
          <w:szCs w:val="22"/>
        </w:rPr>
        <w:t xml:space="preserve"> Sujeto Obligado deberá ofrecer otra u otras modalidades de entrega.</w:t>
      </w:r>
      <w:r w:rsidRPr="009B6EEE">
        <w:rPr>
          <w:rFonts w:ascii="Palatino Linotype" w:eastAsia="Palatino Linotype" w:hAnsi="Palatino Linotype" w:cs="Palatino Linotype"/>
          <w:sz w:val="22"/>
          <w:szCs w:val="22"/>
        </w:rPr>
        <w:t xml:space="preserve"> En cualquier caso, </w:t>
      </w:r>
      <w:r w:rsidRPr="009B6EEE">
        <w:rPr>
          <w:rFonts w:ascii="Palatino Linotype" w:eastAsia="Palatino Linotype" w:hAnsi="Palatino Linotype" w:cs="Palatino Linotype"/>
          <w:b/>
          <w:sz w:val="22"/>
          <w:szCs w:val="22"/>
        </w:rPr>
        <w:t>se deberá fundar y motivar la necesidad de ofrecer otras modalidades</w:t>
      </w:r>
      <w:r w:rsidRPr="009B6EEE">
        <w:rPr>
          <w:rFonts w:ascii="Palatino Linotype" w:eastAsia="Palatino Linotype" w:hAnsi="Palatino Linotype" w:cs="Palatino Linotype"/>
          <w:sz w:val="22"/>
          <w:szCs w:val="22"/>
        </w:rPr>
        <w:t xml:space="preserve"> que lo permitan, </w:t>
      </w:r>
      <w:r w:rsidRPr="009B6EEE">
        <w:rPr>
          <w:rFonts w:ascii="Palatino Linotype" w:eastAsia="Palatino Linotype" w:hAnsi="Palatino Linotype" w:cs="Palatino Linotype"/>
          <w:b/>
          <w:sz w:val="22"/>
          <w:szCs w:val="22"/>
        </w:rPr>
        <w:t>procurando reducir los costos de entrega.</w:t>
      </w:r>
    </w:p>
    <w:p w14:paraId="78F17BD3"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3283FC4"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A23349F"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A67940" w14:textId="77777777" w:rsidR="00A53236" w:rsidRPr="009B6EEE" w:rsidRDefault="00BE58F5" w:rsidP="0010613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Las razones por las cuales la información implicaba un análisis, estudio o procesamiento de datos;</w:t>
      </w:r>
    </w:p>
    <w:p w14:paraId="34865CA6" w14:textId="77777777" w:rsidR="00A53236" w:rsidRPr="009B6EEE" w:rsidRDefault="00BE58F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Por qué motivo el tiempo, que se le otorga al Sujeto Obligado para dar respuesta, en la modalidad elegida a la solicitud de información, no le es suficiente, y</w:t>
      </w:r>
    </w:p>
    <w:p w14:paraId="219D2253" w14:textId="77777777" w:rsidR="00A53236" w:rsidRPr="009B6EEE" w:rsidRDefault="00BE58F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La cantidad de recursos humanos y materiales con los que cuenta el Sujeto Obligado son insuficientes.</w:t>
      </w:r>
    </w:p>
    <w:p w14:paraId="243A91B6"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F4B87F"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Ahora bien, entrando en materia, debe resaltarse que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xml:space="preserve"> solicitó el cambio de modalidad para la entrega de la información mediante Consulta Directa, además refiere que la información estará a disposición en el plazo establecido en el artículo 166 de la Ley de Transparencia Local para consulta de la información que da atención a las solicitudes, teniendo soporte en el acta de la Décima Quinta Sesión Extraordinaria del Comité de Transparencia de la Universidad Politécnica del Valle de Toluca, en la que se aprobó el cambio de modalidad de entrega de la información, mediante la cual se atenderán las solicitudes de información, con número de folio 00034/UPVT/IP/2024 y 00039/UPVT/IP/2024, mediante Acuerdos ACT/UPVT/CT/EXT/015/005/2024 y ACT/UPVT/CT/EXT/015/006/2024, toda vez que de la suma realizada por este Instituto a las fojas referidas por las unidades administrativas que generan la información en el ejercicio de sus funciones, ascienden a un total de </w:t>
      </w:r>
      <w:r w:rsidRPr="009B6EEE">
        <w:rPr>
          <w:rFonts w:ascii="Palatino Linotype" w:eastAsia="Palatino Linotype" w:hAnsi="Palatino Linotype" w:cs="Palatino Linotype"/>
          <w:b/>
          <w:sz w:val="22"/>
          <w:szCs w:val="22"/>
        </w:rPr>
        <w:t>32, 642 fojas</w:t>
      </w:r>
      <w:r w:rsidRPr="009B6EEE">
        <w:rPr>
          <w:rFonts w:ascii="Palatino Linotype" w:eastAsia="Palatino Linotype" w:hAnsi="Palatino Linotype" w:cs="Palatino Linotype"/>
          <w:sz w:val="22"/>
          <w:szCs w:val="22"/>
        </w:rPr>
        <w:t xml:space="preserve">, lo cual sobrepasa las capacidades técnicas del Sistema de Acceso a la Información Mexiquense (SAIMEX). </w:t>
      </w:r>
    </w:p>
    <w:p w14:paraId="4856E7FB"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0E6E29"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Ello en atención a los Lineamientos para la operación del Sistema de Acceso a la Información Mexiquense (SAIMEX) y del Sistema de Acceso, Rectificación, Cancelación y Oposición de Datos Personales del Estado de México (SARCOEM), en los que se advierte que el Sistema SAIMEX cuenta con una capacidad máxima de carga dentro del servidor de quinientos megabytes o su equivalente a ocho mil fojas aproximadamente, por lo que, cuando la </w:t>
      </w:r>
      <w:r w:rsidRPr="009B6EEE">
        <w:rPr>
          <w:rFonts w:ascii="Palatino Linotype" w:eastAsia="Palatino Linotype" w:hAnsi="Palatino Linotype" w:cs="Palatino Linotype"/>
          <w:sz w:val="22"/>
          <w:szCs w:val="22"/>
        </w:rPr>
        <w:lastRenderedPageBreak/>
        <w:t>información no pueda entregarse o enviarse a través del sistema, deberá ofrecer otra u otras modalidades de entrega.</w:t>
      </w:r>
    </w:p>
    <w:p w14:paraId="49A4FCE7"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86F3DF"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VIGÉSIMO CUARTO</w:t>
      </w:r>
      <w:r w:rsidRPr="009B6EEE">
        <w:rPr>
          <w:rFonts w:ascii="Palatino Linotype" w:eastAsia="Palatino Linotype" w:hAnsi="Palatino Linotype" w:cs="Palatino Linotype"/>
          <w:i/>
          <w:sz w:val="22"/>
          <w:szCs w:val="22"/>
        </w:rPr>
        <w:t>. Los sujetos obligados deberán entregar la información solicitada o permitir su acceso, en la modalidad que señale el solicitante.</w:t>
      </w:r>
    </w:p>
    <w:p w14:paraId="29469691"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u w:val="single"/>
        </w:rPr>
        <w:t>Los sistemas electrónicos cuentan con una capacidad máxima de carga dentro del servidor con un peso total de quinientos megabytes o su equivalente a ocho mil fojas aproximadamente</w:t>
      </w:r>
      <w:r w:rsidRPr="009B6EEE">
        <w:rPr>
          <w:rFonts w:ascii="Palatino Linotype" w:eastAsia="Palatino Linotype" w:hAnsi="Palatino Linotype" w:cs="Palatino Linotype"/>
          <w:i/>
          <w:sz w:val="22"/>
          <w:szCs w:val="22"/>
        </w:rPr>
        <w:t>, por lo que, cuando la información no pueda entregarse o enviarse a través de dichos sistemas en la modalidad solicitada, el sujeto obligado deberá ofrecer otra u otras modalidades de entrega.”</w:t>
      </w:r>
    </w:p>
    <w:p w14:paraId="140B0960"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737368"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De este modo, este Instituto una consultó a la Dirección General de Informática vía correo electrónico, el dos de octubre de dos mil veinticuatro, a efecto de conocer si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realizó o no el registro de incidencia técnica, el cual fue atendido en la misma fecha, en el que informó que no se tiene registro de incidencia por parte del Sujeto Obligado, tal como se ilustra a continuación:</w:t>
      </w:r>
    </w:p>
    <w:p w14:paraId="161F13DB"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497F71"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03D3BEC9" wp14:editId="6D4AE920">
            <wp:extent cx="5612130" cy="1122045"/>
            <wp:effectExtent l="0" t="0" r="0" b="0"/>
            <wp:docPr id="17055577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2130" cy="1122045"/>
                    </a:xfrm>
                    <a:prstGeom prst="rect">
                      <a:avLst/>
                    </a:prstGeom>
                    <a:ln/>
                  </pic:spPr>
                </pic:pic>
              </a:graphicData>
            </a:graphic>
          </wp:inline>
        </w:drawing>
      </w:r>
    </w:p>
    <w:p w14:paraId="3BAAE572"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3126A0"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 xml:space="preserve">Expuesto lo anterior, conviene esquematizar los argumentos expuestos con anterioridad para efecto de determinar si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cumplió con los elementos necesarios para el cambio de modalidad:</w:t>
      </w:r>
    </w:p>
    <w:p w14:paraId="46A3844B"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tbl>
      <w:tblPr>
        <w:tblStyle w:val="affe"/>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855"/>
      </w:tblGrid>
      <w:tr w:rsidR="009B6EEE" w:rsidRPr="009B6EEE" w14:paraId="06714D22" w14:textId="77777777">
        <w:tc>
          <w:tcPr>
            <w:tcW w:w="1980" w:type="dxa"/>
            <w:tcBorders>
              <w:top w:val="single" w:sz="4" w:space="0" w:color="000000"/>
              <w:left w:val="single" w:sz="4" w:space="0" w:color="000000"/>
              <w:bottom w:val="single" w:sz="4" w:space="0" w:color="000000"/>
              <w:right w:val="single" w:sz="4" w:space="0" w:color="000000"/>
            </w:tcBorders>
            <w:shd w:val="clear" w:color="auto" w:fill="DBEEF3"/>
          </w:tcPr>
          <w:p w14:paraId="0A17059E" w14:textId="77777777" w:rsidR="00A53236" w:rsidRPr="009B6EEE" w:rsidRDefault="00BE58F5">
            <w:pPr>
              <w:pBdr>
                <w:top w:val="nil"/>
                <w:left w:val="nil"/>
                <w:bottom w:val="nil"/>
                <w:right w:val="nil"/>
                <w:between w:val="nil"/>
              </w:pBdr>
              <w:jc w:val="center"/>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t>Elementos del cambio de modalidad</w:t>
            </w:r>
          </w:p>
        </w:tc>
        <w:tc>
          <w:tcPr>
            <w:tcW w:w="6855" w:type="dxa"/>
            <w:tcBorders>
              <w:top w:val="single" w:sz="4" w:space="0" w:color="000000"/>
              <w:left w:val="single" w:sz="4" w:space="0" w:color="000000"/>
              <w:bottom w:val="single" w:sz="4" w:space="0" w:color="000000"/>
              <w:right w:val="single" w:sz="4" w:space="0" w:color="000000"/>
            </w:tcBorders>
            <w:shd w:val="clear" w:color="auto" w:fill="DBEEF3"/>
          </w:tcPr>
          <w:p w14:paraId="303F461B" w14:textId="77777777" w:rsidR="00A53236" w:rsidRPr="009B6EEE" w:rsidRDefault="00BE58F5">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t>Contenido</w:t>
            </w:r>
          </w:p>
        </w:tc>
      </w:tr>
      <w:tr w:rsidR="009B6EEE" w:rsidRPr="009B6EEE" w14:paraId="1298321F" w14:textId="77777777">
        <w:tc>
          <w:tcPr>
            <w:tcW w:w="1980" w:type="dxa"/>
            <w:tcBorders>
              <w:top w:val="single" w:sz="4" w:space="0" w:color="000000"/>
              <w:left w:val="single" w:sz="4" w:space="0" w:color="000000"/>
              <w:bottom w:val="single" w:sz="4" w:space="0" w:color="000000"/>
              <w:right w:val="single" w:sz="4" w:space="0" w:color="000000"/>
            </w:tcBorders>
          </w:tcPr>
          <w:p w14:paraId="43A8C43A" w14:textId="77777777" w:rsidR="00A53236" w:rsidRPr="009B6EEE" w:rsidRDefault="00BE58F5">
            <w:pPr>
              <w:pBdr>
                <w:top w:val="nil"/>
                <w:left w:val="nil"/>
                <w:bottom w:val="nil"/>
                <w:right w:val="nil"/>
                <w:between w:val="nil"/>
              </w:pBdr>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Número de folio de la solicitud</w:t>
            </w:r>
          </w:p>
        </w:tc>
        <w:tc>
          <w:tcPr>
            <w:tcW w:w="6855" w:type="dxa"/>
            <w:tcBorders>
              <w:top w:val="single" w:sz="4" w:space="0" w:color="000000"/>
              <w:left w:val="single" w:sz="4" w:space="0" w:color="000000"/>
              <w:bottom w:val="single" w:sz="4" w:space="0" w:color="000000"/>
              <w:right w:val="single" w:sz="4" w:space="0" w:color="000000"/>
            </w:tcBorders>
          </w:tcPr>
          <w:p w14:paraId="3C7CCBB9"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6DDE7519" wp14:editId="0A3F1F52">
                  <wp:extent cx="4343322" cy="201041"/>
                  <wp:effectExtent l="0" t="0" r="0" b="0"/>
                  <wp:docPr id="17055577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343322" cy="201041"/>
                          </a:xfrm>
                          <a:prstGeom prst="rect">
                            <a:avLst/>
                          </a:prstGeom>
                          <a:ln/>
                        </pic:spPr>
                      </pic:pic>
                    </a:graphicData>
                  </a:graphic>
                </wp:inline>
              </w:drawing>
            </w:r>
          </w:p>
          <w:p w14:paraId="1AA04C34"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32A13B2C" wp14:editId="6E67CB2B">
                  <wp:extent cx="4244717" cy="127336"/>
                  <wp:effectExtent l="0" t="0" r="0" b="0"/>
                  <wp:docPr id="17055577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44717" cy="127336"/>
                          </a:xfrm>
                          <a:prstGeom prst="rect">
                            <a:avLst/>
                          </a:prstGeom>
                          <a:ln/>
                        </pic:spPr>
                      </pic:pic>
                    </a:graphicData>
                  </a:graphic>
                </wp:inline>
              </w:drawing>
            </w:r>
          </w:p>
        </w:tc>
      </w:tr>
      <w:tr w:rsidR="009B6EEE" w:rsidRPr="009B6EEE" w14:paraId="3D6E22B4" w14:textId="77777777">
        <w:tc>
          <w:tcPr>
            <w:tcW w:w="1980" w:type="dxa"/>
            <w:tcBorders>
              <w:top w:val="single" w:sz="4" w:space="0" w:color="000000"/>
              <w:left w:val="single" w:sz="4" w:space="0" w:color="000000"/>
              <w:bottom w:val="single" w:sz="4" w:space="0" w:color="000000"/>
              <w:right w:val="single" w:sz="4" w:space="0" w:color="000000"/>
            </w:tcBorders>
          </w:tcPr>
          <w:p w14:paraId="73C790D2" w14:textId="77777777" w:rsidR="00A53236" w:rsidRPr="009B6EEE" w:rsidRDefault="00BE58F5">
            <w:pPr>
              <w:pBdr>
                <w:top w:val="nil"/>
                <w:left w:val="nil"/>
                <w:bottom w:val="nil"/>
                <w:right w:val="nil"/>
                <w:between w:val="nil"/>
              </w:pBdr>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Referencia al peso de la información.</w:t>
            </w:r>
          </w:p>
        </w:tc>
        <w:tc>
          <w:tcPr>
            <w:tcW w:w="6855" w:type="dxa"/>
            <w:tcBorders>
              <w:top w:val="single" w:sz="4" w:space="0" w:color="000000"/>
              <w:left w:val="single" w:sz="4" w:space="0" w:color="000000"/>
              <w:bottom w:val="single" w:sz="4" w:space="0" w:color="000000"/>
              <w:right w:val="single" w:sz="4" w:space="0" w:color="000000"/>
            </w:tcBorders>
          </w:tcPr>
          <w:p w14:paraId="4A0BC605" w14:textId="77777777" w:rsidR="00A53236" w:rsidRPr="009B6EEE" w:rsidRDefault="00BE58F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Las Unidades Administrativas de las cuales se les solicitó la información manifestaron el número total de fojas que comprenden la información solicitada, siendo esta la siguiente: </w:t>
            </w:r>
          </w:p>
          <w:tbl>
            <w:tblPr>
              <w:tblStyle w:val="afff"/>
              <w:tblW w:w="64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0"/>
              <w:gridCol w:w="2451"/>
            </w:tblGrid>
            <w:tr w:rsidR="009B6EEE" w:rsidRPr="009B6EEE" w14:paraId="1C3A8CCC" w14:textId="77777777">
              <w:trPr>
                <w:trHeight w:val="411"/>
              </w:trPr>
              <w:tc>
                <w:tcPr>
                  <w:tcW w:w="4010" w:type="dxa"/>
                </w:tcPr>
                <w:p w14:paraId="40B87FDD" w14:textId="77777777" w:rsidR="00A53236" w:rsidRPr="009B6EEE" w:rsidRDefault="00BE58F5">
                  <w:pPr>
                    <w:jc w:val="center"/>
                    <w:rPr>
                      <w:rFonts w:ascii="Palatino Linotype" w:eastAsia="Palatino Linotype" w:hAnsi="Palatino Linotype" w:cs="Palatino Linotype"/>
                      <w:b/>
                    </w:rPr>
                  </w:pPr>
                  <w:r w:rsidRPr="009B6EEE">
                    <w:rPr>
                      <w:rFonts w:ascii="Palatino Linotype" w:eastAsia="Palatino Linotype" w:hAnsi="Palatino Linotype" w:cs="Palatino Linotype"/>
                      <w:b/>
                    </w:rPr>
                    <w:t>Unidad Administrativa</w:t>
                  </w:r>
                </w:p>
                <w:p w14:paraId="010E1728" w14:textId="77777777" w:rsidR="00A53236" w:rsidRPr="009B6EEE" w:rsidRDefault="00BE58F5">
                  <w:pPr>
                    <w:jc w:val="center"/>
                    <w:rPr>
                      <w:rFonts w:ascii="Palatino Linotype" w:eastAsia="Palatino Linotype" w:hAnsi="Palatino Linotype" w:cs="Palatino Linotype"/>
                      <w:b/>
                    </w:rPr>
                  </w:pPr>
                  <w:r w:rsidRPr="009B6EEE">
                    <w:rPr>
                      <w:rFonts w:ascii="Palatino Linotype" w:eastAsia="Palatino Linotype" w:hAnsi="Palatino Linotype" w:cs="Palatino Linotype"/>
                      <w:b/>
                    </w:rPr>
                    <w:t>(Del 01 de enero al 31 de diciembre de 2022)</w:t>
                  </w:r>
                </w:p>
              </w:tc>
              <w:tc>
                <w:tcPr>
                  <w:tcW w:w="2451" w:type="dxa"/>
                </w:tcPr>
                <w:p w14:paraId="149B1327" w14:textId="77777777" w:rsidR="00A53236" w:rsidRPr="009B6EEE" w:rsidRDefault="00BE58F5">
                  <w:pPr>
                    <w:jc w:val="center"/>
                    <w:rPr>
                      <w:rFonts w:ascii="Palatino Linotype" w:eastAsia="Palatino Linotype" w:hAnsi="Palatino Linotype" w:cs="Palatino Linotype"/>
                      <w:b/>
                    </w:rPr>
                  </w:pPr>
                  <w:r w:rsidRPr="009B6EEE">
                    <w:rPr>
                      <w:rFonts w:ascii="Palatino Linotype" w:eastAsia="Palatino Linotype" w:hAnsi="Palatino Linotype" w:cs="Palatino Linotype"/>
                      <w:b/>
                    </w:rPr>
                    <w:t>Número total de fojas</w:t>
                  </w:r>
                </w:p>
              </w:tc>
            </w:tr>
            <w:tr w:rsidR="009B6EEE" w:rsidRPr="009B6EEE" w14:paraId="652335CE" w14:textId="77777777">
              <w:trPr>
                <w:trHeight w:val="411"/>
              </w:trPr>
              <w:tc>
                <w:tcPr>
                  <w:tcW w:w="4010" w:type="dxa"/>
                </w:tcPr>
                <w:p w14:paraId="0D3833F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Dirección de División de Ingeniería Mecatrónica e Ingeniería Mecánica Automotriz</w:t>
                  </w:r>
                </w:p>
              </w:tc>
              <w:tc>
                <w:tcPr>
                  <w:tcW w:w="2451" w:type="dxa"/>
                </w:tcPr>
                <w:p w14:paraId="402EF96A"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1,072 fojas</w:t>
                  </w:r>
                </w:p>
              </w:tc>
            </w:tr>
            <w:tr w:rsidR="009B6EEE" w:rsidRPr="009B6EEE" w14:paraId="62259359" w14:textId="77777777">
              <w:trPr>
                <w:trHeight w:val="201"/>
              </w:trPr>
              <w:tc>
                <w:tcPr>
                  <w:tcW w:w="4010" w:type="dxa"/>
                </w:tcPr>
                <w:p w14:paraId="12D3FD5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Rectoría</w:t>
                  </w:r>
                </w:p>
              </w:tc>
              <w:tc>
                <w:tcPr>
                  <w:tcW w:w="2451" w:type="dxa"/>
                </w:tcPr>
                <w:p w14:paraId="69AB0D2E"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6,497 fojas</w:t>
                  </w:r>
                </w:p>
              </w:tc>
            </w:tr>
            <w:tr w:rsidR="009B6EEE" w:rsidRPr="009B6EEE" w14:paraId="731DF494" w14:textId="77777777">
              <w:trPr>
                <w:trHeight w:val="201"/>
              </w:trPr>
              <w:tc>
                <w:tcPr>
                  <w:tcW w:w="4010" w:type="dxa"/>
                </w:tcPr>
                <w:p w14:paraId="56929DEA" w14:textId="77777777" w:rsidR="00A53236" w:rsidRPr="009B6EEE" w:rsidRDefault="00BE58F5">
                  <w:pPr>
                    <w:tabs>
                      <w:tab w:val="left" w:pos="939"/>
                    </w:tabs>
                    <w:jc w:val="both"/>
                    <w:rPr>
                      <w:rFonts w:ascii="Palatino Linotype" w:eastAsia="Palatino Linotype" w:hAnsi="Palatino Linotype" w:cs="Palatino Linotype"/>
                    </w:rPr>
                  </w:pPr>
                  <w:r w:rsidRPr="009B6EEE">
                    <w:rPr>
                      <w:rFonts w:ascii="Palatino Linotype" w:eastAsia="Palatino Linotype" w:hAnsi="Palatino Linotype" w:cs="Palatino Linotype"/>
                    </w:rPr>
                    <w:t>Departamento de Recursos Financieros,</w:t>
                  </w:r>
                </w:p>
              </w:tc>
              <w:tc>
                <w:tcPr>
                  <w:tcW w:w="2451" w:type="dxa"/>
                </w:tcPr>
                <w:p w14:paraId="51C0F904"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968 fojas</w:t>
                  </w:r>
                </w:p>
              </w:tc>
            </w:tr>
            <w:tr w:rsidR="009B6EEE" w:rsidRPr="009B6EEE" w14:paraId="09F77E10" w14:textId="77777777">
              <w:trPr>
                <w:trHeight w:val="210"/>
              </w:trPr>
              <w:tc>
                <w:tcPr>
                  <w:tcW w:w="4010" w:type="dxa"/>
                </w:tcPr>
                <w:p w14:paraId="5F3CC1B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Departamento de Control Escolar</w:t>
                  </w:r>
                </w:p>
              </w:tc>
              <w:tc>
                <w:tcPr>
                  <w:tcW w:w="2451" w:type="dxa"/>
                </w:tcPr>
                <w:p w14:paraId="38E024FB"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640 fojas</w:t>
                  </w:r>
                </w:p>
              </w:tc>
            </w:tr>
            <w:tr w:rsidR="009B6EEE" w:rsidRPr="009B6EEE" w14:paraId="0FFF6FA4" w14:textId="77777777">
              <w:trPr>
                <w:trHeight w:val="411"/>
              </w:trPr>
              <w:tc>
                <w:tcPr>
                  <w:tcW w:w="4010" w:type="dxa"/>
                </w:tcPr>
                <w:p w14:paraId="76ABED39"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Dirección de Planeación, Vinculación e Igualdad de Género</w:t>
                  </w:r>
                </w:p>
              </w:tc>
              <w:tc>
                <w:tcPr>
                  <w:tcW w:w="2451" w:type="dxa"/>
                </w:tcPr>
                <w:p w14:paraId="3CB89380"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5,797 fojas</w:t>
                  </w:r>
                </w:p>
              </w:tc>
            </w:tr>
            <w:tr w:rsidR="009B6EEE" w:rsidRPr="009B6EEE" w14:paraId="1B0CA11D" w14:textId="77777777">
              <w:trPr>
                <w:trHeight w:val="201"/>
              </w:trPr>
              <w:tc>
                <w:tcPr>
                  <w:tcW w:w="4010" w:type="dxa"/>
                </w:tcPr>
                <w:p w14:paraId="556AADC2"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Abogacía General</w:t>
                  </w:r>
                </w:p>
              </w:tc>
              <w:tc>
                <w:tcPr>
                  <w:tcW w:w="2451" w:type="dxa"/>
                </w:tcPr>
                <w:p w14:paraId="7898DABE"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117 fojas</w:t>
                  </w:r>
                </w:p>
              </w:tc>
            </w:tr>
            <w:tr w:rsidR="009B6EEE" w:rsidRPr="009B6EEE" w14:paraId="5EC1985C" w14:textId="77777777">
              <w:trPr>
                <w:trHeight w:val="201"/>
              </w:trPr>
              <w:tc>
                <w:tcPr>
                  <w:tcW w:w="4010" w:type="dxa"/>
                </w:tcPr>
                <w:p w14:paraId="4E8D9333"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Departamento de Recursos Humanos y Materiales</w:t>
                  </w:r>
                </w:p>
              </w:tc>
              <w:tc>
                <w:tcPr>
                  <w:tcW w:w="2451" w:type="dxa"/>
                </w:tcPr>
                <w:p w14:paraId="2854F82D"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4,200 fojas</w:t>
                  </w:r>
                </w:p>
              </w:tc>
            </w:tr>
            <w:tr w:rsidR="009B6EEE" w:rsidRPr="009B6EEE" w14:paraId="605F8C0E" w14:textId="77777777">
              <w:trPr>
                <w:trHeight w:val="210"/>
              </w:trPr>
              <w:tc>
                <w:tcPr>
                  <w:tcW w:w="4010" w:type="dxa"/>
                </w:tcPr>
                <w:p w14:paraId="43FEDC3C"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Secretaría Académica</w:t>
                  </w:r>
                </w:p>
              </w:tc>
              <w:tc>
                <w:tcPr>
                  <w:tcW w:w="2451" w:type="dxa"/>
                </w:tcPr>
                <w:p w14:paraId="2353C955"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758 fojas</w:t>
                  </w:r>
                </w:p>
              </w:tc>
            </w:tr>
            <w:tr w:rsidR="009B6EEE" w:rsidRPr="009B6EEE" w14:paraId="310D8BD1" w14:textId="77777777">
              <w:trPr>
                <w:trHeight w:val="613"/>
              </w:trPr>
              <w:tc>
                <w:tcPr>
                  <w:tcW w:w="4010" w:type="dxa"/>
                </w:tcPr>
                <w:p w14:paraId="4C8CEE8B"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 xml:space="preserve">Dirección Académica de la División de Ingeniería en Biotecnología y </w:t>
                  </w:r>
                  <w:r w:rsidRPr="009B6EEE">
                    <w:rPr>
                      <w:rFonts w:ascii="Palatino Linotype" w:eastAsia="Palatino Linotype" w:hAnsi="Palatino Linotype" w:cs="Palatino Linotype"/>
                    </w:rPr>
                    <w:lastRenderedPageBreak/>
                    <w:t>Licenciatura en Negocios Internacionales</w:t>
                  </w:r>
                </w:p>
              </w:tc>
              <w:tc>
                <w:tcPr>
                  <w:tcW w:w="2451" w:type="dxa"/>
                </w:tcPr>
                <w:p w14:paraId="55A83531"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lastRenderedPageBreak/>
                    <w:t>1,263 fojas</w:t>
                  </w:r>
                </w:p>
              </w:tc>
            </w:tr>
            <w:tr w:rsidR="009B6EEE" w:rsidRPr="009B6EEE" w14:paraId="4E55DD02" w14:textId="77777777">
              <w:trPr>
                <w:trHeight w:val="411"/>
              </w:trPr>
              <w:tc>
                <w:tcPr>
                  <w:tcW w:w="4010" w:type="dxa"/>
                </w:tcPr>
                <w:p w14:paraId="6FB9A3CB"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Departamento de Información, Planeación, Programación y Evaluación</w:t>
                  </w:r>
                </w:p>
              </w:tc>
              <w:tc>
                <w:tcPr>
                  <w:tcW w:w="2451" w:type="dxa"/>
                </w:tcPr>
                <w:p w14:paraId="3FCD9EE7"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1,500 fojas</w:t>
                  </w:r>
                </w:p>
              </w:tc>
            </w:tr>
            <w:tr w:rsidR="009B6EEE" w:rsidRPr="009B6EEE" w14:paraId="3104FE5D" w14:textId="77777777">
              <w:trPr>
                <w:trHeight w:val="201"/>
              </w:trPr>
              <w:tc>
                <w:tcPr>
                  <w:tcW w:w="4010" w:type="dxa"/>
                </w:tcPr>
                <w:p w14:paraId="4F0C6E71"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Departamento de Vinculación y Extensión</w:t>
                  </w:r>
                </w:p>
              </w:tc>
              <w:tc>
                <w:tcPr>
                  <w:tcW w:w="2451" w:type="dxa"/>
                </w:tcPr>
                <w:p w14:paraId="2AF5C14A"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844 fojas</w:t>
                  </w:r>
                </w:p>
              </w:tc>
            </w:tr>
            <w:tr w:rsidR="009B6EEE" w:rsidRPr="009B6EEE" w14:paraId="155DCEA6" w14:textId="77777777">
              <w:trPr>
                <w:trHeight w:val="210"/>
              </w:trPr>
              <w:tc>
                <w:tcPr>
                  <w:tcW w:w="4010" w:type="dxa"/>
                </w:tcPr>
                <w:p w14:paraId="279EFE64"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Departamento de Tecnologías de la Información</w:t>
                  </w:r>
                </w:p>
              </w:tc>
              <w:tc>
                <w:tcPr>
                  <w:tcW w:w="2451" w:type="dxa"/>
                </w:tcPr>
                <w:p w14:paraId="19921C8B"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970 fojas</w:t>
                  </w:r>
                </w:p>
              </w:tc>
            </w:tr>
            <w:tr w:rsidR="009B6EEE" w:rsidRPr="009B6EEE" w14:paraId="0DF6CFA7" w14:textId="77777777">
              <w:trPr>
                <w:trHeight w:val="201"/>
              </w:trPr>
              <w:tc>
                <w:tcPr>
                  <w:tcW w:w="4010" w:type="dxa"/>
                </w:tcPr>
                <w:p w14:paraId="4ACD7B17"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Dirección de División de Ingeniería Industrial</w:t>
                  </w:r>
                </w:p>
              </w:tc>
              <w:tc>
                <w:tcPr>
                  <w:tcW w:w="2451" w:type="dxa"/>
                </w:tcPr>
                <w:p w14:paraId="47F7F174"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1,039 fojas</w:t>
                  </w:r>
                </w:p>
              </w:tc>
            </w:tr>
            <w:tr w:rsidR="009B6EEE" w:rsidRPr="009B6EEE" w14:paraId="796C228C" w14:textId="77777777">
              <w:trPr>
                <w:trHeight w:val="201"/>
              </w:trPr>
              <w:tc>
                <w:tcPr>
                  <w:tcW w:w="4010" w:type="dxa"/>
                </w:tcPr>
                <w:p w14:paraId="5088EB58"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Dirección de Administración y Finanzas</w:t>
                  </w:r>
                </w:p>
              </w:tc>
              <w:tc>
                <w:tcPr>
                  <w:tcW w:w="2451" w:type="dxa"/>
                </w:tcPr>
                <w:p w14:paraId="2FB97938"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781 fojas</w:t>
                  </w:r>
                </w:p>
              </w:tc>
            </w:tr>
            <w:tr w:rsidR="009B6EEE" w:rsidRPr="009B6EEE" w14:paraId="44D66681" w14:textId="77777777">
              <w:trPr>
                <w:trHeight w:val="210"/>
              </w:trPr>
              <w:tc>
                <w:tcPr>
                  <w:tcW w:w="4010" w:type="dxa"/>
                </w:tcPr>
                <w:p w14:paraId="4476407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Subdirección de Servicios Escolares</w:t>
                  </w:r>
                </w:p>
              </w:tc>
              <w:tc>
                <w:tcPr>
                  <w:tcW w:w="2451" w:type="dxa"/>
                </w:tcPr>
                <w:p w14:paraId="07939C0D"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796 fojas</w:t>
                  </w:r>
                </w:p>
              </w:tc>
            </w:tr>
            <w:tr w:rsidR="009B6EEE" w:rsidRPr="009B6EEE" w14:paraId="4066958C" w14:textId="77777777">
              <w:trPr>
                <w:trHeight w:val="411"/>
              </w:trPr>
              <w:tc>
                <w:tcPr>
                  <w:tcW w:w="4010" w:type="dxa"/>
                </w:tcPr>
                <w:p w14:paraId="70273D26"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Dirección de División de Ingeniería en Tecnologías de la información</w:t>
                  </w:r>
                </w:p>
              </w:tc>
              <w:tc>
                <w:tcPr>
                  <w:tcW w:w="2451" w:type="dxa"/>
                </w:tcPr>
                <w:p w14:paraId="2C61D64A"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5,086 fojas</w:t>
                  </w:r>
                </w:p>
              </w:tc>
            </w:tr>
            <w:tr w:rsidR="009B6EEE" w:rsidRPr="009B6EEE" w14:paraId="2B00E916" w14:textId="77777777">
              <w:trPr>
                <w:trHeight w:val="411"/>
              </w:trPr>
              <w:tc>
                <w:tcPr>
                  <w:tcW w:w="4010" w:type="dxa"/>
                </w:tcPr>
                <w:p w14:paraId="3A83EC55" w14:textId="77777777" w:rsidR="00A53236" w:rsidRPr="009B6EEE" w:rsidRDefault="00BE58F5">
                  <w:pPr>
                    <w:jc w:val="both"/>
                    <w:rPr>
                      <w:rFonts w:ascii="Palatino Linotype" w:eastAsia="Palatino Linotype" w:hAnsi="Palatino Linotype" w:cs="Palatino Linotype"/>
                    </w:rPr>
                  </w:pPr>
                  <w:r w:rsidRPr="009B6EEE">
                    <w:rPr>
                      <w:rFonts w:ascii="Palatino Linotype" w:eastAsia="Palatino Linotype" w:hAnsi="Palatino Linotype" w:cs="Palatino Linotype"/>
                    </w:rPr>
                    <w:t>Departamento de Control Escolar, del 27 de febrero de 2023 al 27 de febrero de 2024</w:t>
                  </w:r>
                </w:p>
              </w:tc>
              <w:tc>
                <w:tcPr>
                  <w:tcW w:w="2451" w:type="dxa"/>
                </w:tcPr>
                <w:p w14:paraId="720E55DD" w14:textId="77777777" w:rsidR="00A53236" w:rsidRPr="009B6EEE" w:rsidRDefault="00BE58F5">
                  <w:pPr>
                    <w:jc w:val="center"/>
                    <w:rPr>
                      <w:rFonts w:ascii="Palatino Linotype" w:eastAsia="Palatino Linotype" w:hAnsi="Palatino Linotype" w:cs="Palatino Linotype"/>
                    </w:rPr>
                  </w:pPr>
                  <w:r w:rsidRPr="009B6EEE">
                    <w:rPr>
                      <w:rFonts w:ascii="Palatino Linotype" w:eastAsia="Palatino Linotype" w:hAnsi="Palatino Linotype" w:cs="Palatino Linotype"/>
                    </w:rPr>
                    <w:t>314 fojas</w:t>
                  </w:r>
                </w:p>
              </w:tc>
            </w:tr>
            <w:tr w:rsidR="009B6EEE" w:rsidRPr="009B6EEE" w14:paraId="0AB1346B" w14:textId="77777777">
              <w:trPr>
                <w:trHeight w:val="201"/>
              </w:trPr>
              <w:tc>
                <w:tcPr>
                  <w:tcW w:w="4010" w:type="dxa"/>
                </w:tcPr>
                <w:p w14:paraId="5CFAB6C0" w14:textId="77777777" w:rsidR="00A53236" w:rsidRPr="009B6EEE" w:rsidRDefault="00BE58F5">
                  <w:pPr>
                    <w:jc w:val="right"/>
                    <w:rPr>
                      <w:rFonts w:ascii="Palatino Linotype" w:eastAsia="Palatino Linotype" w:hAnsi="Palatino Linotype" w:cs="Palatino Linotype"/>
                    </w:rPr>
                  </w:pPr>
                  <w:r w:rsidRPr="009B6EEE">
                    <w:rPr>
                      <w:rFonts w:ascii="Palatino Linotype" w:eastAsia="Palatino Linotype" w:hAnsi="Palatino Linotype" w:cs="Palatino Linotype"/>
                    </w:rPr>
                    <w:t xml:space="preserve">Total </w:t>
                  </w:r>
                </w:p>
              </w:tc>
              <w:tc>
                <w:tcPr>
                  <w:tcW w:w="2451" w:type="dxa"/>
                </w:tcPr>
                <w:p w14:paraId="1941C1B6" w14:textId="77777777" w:rsidR="00A53236" w:rsidRPr="009B6EEE" w:rsidRDefault="00BE58F5">
                  <w:pPr>
                    <w:jc w:val="center"/>
                    <w:rPr>
                      <w:rFonts w:ascii="Palatino Linotype" w:eastAsia="Palatino Linotype" w:hAnsi="Palatino Linotype" w:cs="Palatino Linotype"/>
                      <w:b/>
                    </w:rPr>
                  </w:pPr>
                  <w:r w:rsidRPr="009B6EEE">
                    <w:rPr>
                      <w:rFonts w:ascii="Palatino Linotype" w:eastAsia="Palatino Linotype" w:hAnsi="Palatino Linotype" w:cs="Palatino Linotype"/>
                      <w:b/>
                    </w:rPr>
                    <w:t xml:space="preserve">32,642 fojas </w:t>
                  </w:r>
                </w:p>
              </w:tc>
            </w:tr>
          </w:tbl>
          <w:p w14:paraId="4B34A36B"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tc>
      </w:tr>
      <w:tr w:rsidR="009B6EEE" w:rsidRPr="009B6EEE" w14:paraId="50B47A90" w14:textId="77777777">
        <w:tc>
          <w:tcPr>
            <w:tcW w:w="1980" w:type="dxa"/>
            <w:tcBorders>
              <w:top w:val="single" w:sz="4" w:space="0" w:color="000000"/>
              <w:left w:val="single" w:sz="4" w:space="0" w:color="000000"/>
              <w:bottom w:val="single" w:sz="4" w:space="0" w:color="000000"/>
              <w:right w:val="single" w:sz="4" w:space="0" w:color="000000"/>
            </w:tcBorders>
          </w:tcPr>
          <w:p w14:paraId="45361D45" w14:textId="77777777" w:rsidR="00A53236" w:rsidRPr="009B6EEE" w:rsidRDefault="00BE58F5">
            <w:pPr>
              <w:pBdr>
                <w:top w:val="nil"/>
                <w:left w:val="nil"/>
                <w:bottom w:val="nil"/>
                <w:right w:val="nil"/>
                <w:between w:val="nil"/>
              </w:pBdr>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Referencia a otras modalidades de entrega de la información.</w:t>
            </w:r>
          </w:p>
        </w:tc>
        <w:tc>
          <w:tcPr>
            <w:tcW w:w="6855" w:type="dxa"/>
            <w:tcBorders>
              <w:top w:val="single" w:sz="4" w:space="0" w:color="000000"/>
              <w:left w:val="single" w:sz="4" w:space="0" w:color="000000"/>
              <w:bottom w:val="single" w:sz="4" w:space="0" w:color="000000"/>
              <w:right w:val="single" w:sz="4" w:space="0" w:color="000000"/>
            </w:tcBorders>
          </w:tcPr>
          <w:p w14:paraId="480DBDA7"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Únicamente señala consulta directa. </w:t>
            </w:r>
          </w:p>
          <w:p w14:paraId="5231847C"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tc>
      </w:tr>
      <w:tr w:rsidR="009B6EEE" w:rsidRPr="009B6EEE" w14:paraId="0E40821C" w14:textId="77777777">
        <w:tc>
          <w:tcPr>
            <w:tcW w:w="1980" w:type="dxa"/>
            <w:tcBorders>
              <w:top w:val="single" w:sz="4" w:space="0" w:color="000000"/>
              <w:left w:val="single" w:sz="4" w:space="0" w:color="000000"/>
              <w:bottom w:val="single" w:sz="4" w:space="0" w:color="000000"/>
              <w:right w:val="single" w:sz="4" w:space="0" w:color="000000"/>
            </w:tcBorders>
          </w:tcPr>
          <w:p w14:paraId="36CEC745" w14:textId="77777777" w:rsidR="00A53236" w:rsidRPr="009B6EEE" w:rsidRDefault="00BE58F5">
            <w:pPr>
              <w:pBdr>
                <w:top w:val="nil"/>
                <w:left w:val="nil"/>
                <w:bottom w:val="nil"/>
                <w:right w:val="nil"/>
                <w:between w:val="nil"/>
              </w:pBdr>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Referencia que la información se pone a disposición por 60 días</w:t>
            </w:r>
          </w:p>
        </w:tc>
        <w:tc>
          <w:tcPr>
            <w:tcW w:w="6855" w:type="dxa"/>
            <w:tcBorders>
              <w:top w:val="single" w:sz="4" w:space="0" w:color="000000"/>
              <w:left w:val="single" w:sz="4" w:space="0" w:color="000000"/>
              <w:bottom w:val="single" w:sz="4" w:space="0" w:color="000000"/>
              <w:right w:val="single" w:sz="4" w:space="0" w:color="000000"/>
            </w:tcBorders>
          </w:tcPr>
          <w:p w14:paraId="35BF7D8E"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1EEA15B4" wp14:editId="154F4F38">
                  <wp:extent cx="4329686" cy="470561"/>
                  <wp:effectExtent l="0" t="0" r="0" b="0"/>
                  <wp:docPr id="17055577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329686" cy="470561"/>
                          </a:xfrm>
                          <a:prstGeom prst="rect">
                            <a:avLst/>
                          </a:prstGeom>
                          <a:ln/>
                        </pic:spPr>
                      </pic:pic>
                    </a:graphicData>
                  </a:graphic>
                </wp:inline>
              </w:drawing>
            </w:r>
          </w:p>
        </w:tc>
      </w:tr>
      <w:tr w:rsidR="00A53236" w:rsidRPr="009B6EEE" w14:paraId="693ACBBE" w14:textId="77777777">
        <w:tc>
          <w:tcPr>
            <w:tcW w:w="1980" w:type="dxa"/>
            <w:tcBorders>
              <w:top w:val="single" w:sz="4" w:space="0" w:color="000000"/>
              <w:left w:val="single" w:sz="4" w:space="0" w:color="000000"/>
              <w:bottom w:val="single" w:sz="4" w:space="0" w:color="000000"/>
              <w:right w:val="single" w:sz="4" w:space="0" w:color="000000"/>
            </w:tcBorders>
          </w:tcPr>
          <w:p w14:paraId="5BCC37A0" w14:textId="77777777" w:rsidR="00A53236" w:rsidRPr="009B6EEE" w:rsidRDefault="00BE58F5">
            <w:pPr>
              <w:pBdr>
                <w:top w:val="nil"/>
                <w:left w:val="nil"/>
                <w:bottom w:val="nil"/>
                <w:right w:val="nil"/>
                <w:between w:val="nil"/>
              </w:pBdr>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Acta del Comité de Transparencia mediante el cual se aprueba el cambio de modalidad</w:t>
            </w:r>
          </w:p>
        </w:tc>
        <w:tc>
          <w:tcPr>
            <w:tcW w:w="6855" w:type="dxa"/>
            <w:tcBorders>
              <w:top w:val="single" w:sz="4" w:space="0" w:color="000000"/>
              <w:left w:val="single" w:sz="4" w:space="0" w:color="000000"/>
              <w:bottom w:val="single" w:sz="4" w:space="0" w:color="000000"/>
              <w:right w:val="single" w:sz="4" w:space="0" w:color="000000"/>
            </w:tcBorders>
          </w:tcPr>
          <w:p w14:paraId="447ECB98"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1E9ECCFF" wp14:editId="4D2B0836">
                  <wp:extent cx="4305935" cy="718185"/>
                  <wp:effectExtent l="0" t="0" r="0" b="0"/>
                  <wp:docPr id="17055577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305935" cy="718185"/>
                          </a:xfrm>
                          <a:prstGeom prst="rect">
                            <a:avLst/>
                          </a:prstGeom>
                          <a:ln/>
                        </pic:spPr>
                      </pic:pic>
                    </a:graphicData>
                  </a:graphic>
                </wp:inline>
              </w:drawing>
            </w:r>
          </w:p>
          <w:p w14:paraId="4F555139"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lastRenderedPageBreak/>
              <w:drawing>
                <wp:inline distT="0" distB="0" distL="0" distR="0" wp14:anchorId="06E6D497" wp14:editId="60765795">
                  <wp:extent cx="4305935" cy="861060"/>
                  <wp:effectExtent l="0" t="0" r="0" b="0"/>
                  <wp:docPr id="17055577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305935" cy="861060"/>
                          </a:xfrm>
                          <a:prstGeom prst="rect">
                            <a:avLst/>
                          </a:prstGeom>
                          <a:ln/>
                        </pic:spPr>
                      </pic:pic>
                    </a:graphicData>
                  </a:graphic>
                </wp:inline>
              </w:drawing>
            </w:r>
          </w:p>
          <w:p w14:paraId="1719CABB"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370AC7D8" wp14:editId="33A185B5">
                  <wp:extent cx="4305935" cy="1033780"/>
                  <wp:effectExtent l="0" t="0" r="0" b="0"/>
                  <wp:docPr id="17055577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305935" cy="1033780"/>
                          </a:xfrm>
                          <a:prstGeom prst="rect">
                            <a:avLst/>
                          </a:prstGeom>
                          <a:ln/>
                        </pic:spPr>
                      </pic:pic>
                    </a:graphicData>
                  </a:graphic>
                </wp:inline>
              </w:drawing>
            </w:r>
          </w:p>
          <w:p w14:paraId="5383254D"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noProof/>
                <w:sz w:val="22"/>
                <w:szCs w:val="22"/>
                <w:lang w:val="es-MX"/>
              </w:rPr>
              <w:drawing>
                <wp:inline distT="0" distB="0" distL="0" distR="0" wp14:anchorId="56933B3B" wp14:editId="69543566">
                  <wp:extent cx="4305935" cy="1896110"/>
                  <wp:effectExtent l="0" t="0" r="0" b="0"/>
                  <wp:docPr id="17055577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305935" cy="1896110"/>
                          </a:xfrm>
                          <a:prstGeom prst="rect">
                            <a:avLst/>
                          </a:prstGeom>
                          <a:ln/>
                        </pic:spPr>
                      </pic:pic>
                    </a:graphicData>
                  </a:graphic>
                </wp:inline>
              </w:drawing>
            </w:r>
          </w:p>
        </w:tc>
      </w:tr>
    </w:tbl>
    <w:p w14:paraId="0FA730E3"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0B276B"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Del cuadro insertado con antelación, se advierte que parcialmente se reunieron los requisitos para acreditar el cambio de modalidad, no obstante, no puede pasar desapercibido que efectivamente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xml:space="preserve"> acreditó una imposibilidad técnica para atender la presente solicitud, sin embargo, resulta procedente modificar su respuesta en virtud de que únicamente puso a disposición del particular la información en la modalidad de consulta in situ, no obstante, como se señaló cuando se realiza el cambio de modalidad no se debe limitar a una sola opción, por lo que además de la consulta, deberá otorgar el acceso a la información solicitada en todas las modalidades disponibles tales </w:t>
      </w:r>
      <w:r w:rsidRPr="009B6EEE">
        <w:rPr>
          <w:rFonts w:ascii="Palatino Linotype" w:eastAsia="Palatino Linotype" w:hAnsi="Palatino Linotype" w:cs="Palatino Linotype"/>
          <w:sz w:val="22"/>
          <w:szCs w:val="22"/>
        </w:rPr>
        <w:lastRenderedPageBreak/>
        <w:t>como consulta directa, mediante la expedición de copias simples o certificadas o la reproducción en cualquier otro medio, incluidos los electrónicos.</w:t>
      </w:r>
    </w:p>
    <w:p w14:paraId="72F3FB20"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F5F0DD"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Asimismo, toda vez que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xml:space="preserve"> hizo del conocimiento al particular que la información estará disponible por un plazo de sesenta días hábiles, </w:t>
      </w:r>
      <w:r w:rsidRPr="009B6EEE">
        <w:rPr>
          <w:rFonts w:ascii="Palatino Linotype" w:eastAsia="Palatino Linotype" w:hAnsi="Palatino Linotype" w:cs="Palatino Linotype"/>
          <w:b/>
          <w:sz w:val="22"/>
          <w:szCs w:val="22"/>
          <w:u w:val="single"/>
        </w:rPr>
        <w:t>este deberá contar a partir del día siguiente al que se notifique la presente resolución</w:t>
      </w:r>
      <w:r w:rsidRPr="009B6EEE">
        <w:rPr>
          <w:rFonts w:ascii="Palatino Linotype" w:eastAsia="Palatino Linotype" w:hAnsi="Palatino Linotype" w:cs="Palatino Linotype"/>
          <w:sz w:val="22"/>
          <w:szCs w:val="22"/>
        </w:rPr>
        <w:t>; plazo en que pondrá a disposición del recurrente la información en términos del segundo párrafo del artículo 166, de la Ley de Transparencia y Acceso a la Información Pública del Estado de México y Municipios.</w:t>
      </w:r>
    </w:p>
    <w:p w14:paraId="3A261A0A"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C1BD9C"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Finalmente, si dentro del transcurso del término señalado en el párrafo anterior, la parte</w:t>
      </w:r>
      <w:r w:rsidRPr="009B6EEE">
        <w:rPr>
          <w:rFonts w:ascii="Palatino Linotype" w:eastAsia="Palatino Linotype" w:hAnsi="Palatino Linotype" w:cs="Palatino Linotype"/>
          <w:b/>
          <w:sz w:val="22"/>
          <w:szCs w:val="22"/>
        </w:rPr>
        <w:t xml:space="preserve"> Recurrente </w:t>
      </w:r>
      <w:r w:rsidRPr="009B6EEE">
        <w:rPr>
          <w:rFonts w:ascii="Palatino Linotype" w:eastAsia="Palatino Linotype" w:hAnsi="Palatino Linotype" w:cs="Palatino Linotype"/>
          <w:sz w:val="22"/>
          <w:szCs w:val="22"/>
        </w:rPr>
        <w:t>acude por la información,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xml:space="preserve"> debe remitir a este instituto, por conducto de la Secretaría Técnica del Pleno, el acuse de recibo de la información de la parte</w:t>
      </w:r>
      <w:r w:rsidRPr="009B6EEE">
        <w:rPr>
          <w:rFonts w:ascii="Palatino Linotype" w:eastAsia="Palatino Linotype" w:hAnsi="Palatino Linotype" w:cs="Palatino Linotype"/>
          <w:b/>
          <w:sz w:val="22"/>
          <w:szCs w:val="22"/>
        </w:rPr>
        <w:t xml:space="preserve"> Recurrente</w:t>
      </w:r>
      <w:r w:rsidRPr="009B6EEE">
        <w:rPr>
          <w:rFonts w:ascii="Palatino Linotype" w:eastAsia="Palatino Linotype" w:hAnsi="Palatino Linotype" w:cs="Palatino Linotype"/>
          <w:sz w:val="22"/>
          <w:szCs w:val="22"/>
        </w:rPr>
        <w:t>; sin embargo, si una vez fenecido el plazo, el solicitante no acudiera por los documentos ordenados,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mediante acuerdo dará por concluida la solicitud y podrá, de ser el caso, realizar la destrucción del material en el que se reprodujo, situación que también deberá informar a este instituto, por el mismo conducto.</w:t>
      </w:r>
    </w:p>
    <w:p w14:paraId="3D93EA8E"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9A1E1A"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Conforme a lo anterior, se considera que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xml:space="preserve"> precisó las razones por las cuales la información solicitada implicaba un análisis, estudio y procesamiento de información, que sobrepasaba las capacidades técnicas del Sistema de Acceso a la Información Mexiquense y por ende, acreditó de manera fundada y motivada, </w:t>
      </w:r>
      <w:r w:rsidRPr="009B6EEE">
        <w:rPr>
          <w:rFonts w:ascii="Palatino Linotype" w:eastAsia="Palatino Linotype" w:hAnsi="Palatino Linotype" w:cs="Palatino Linotype"/>
          <w:b/>
          <w:sz w:val="22"/>
          <w:szCs w:val="22"/>
          <w:u w:val="single"/>
        </w:rPr>
        <w:t>el cambio de modalidad a consulta directa</w:t>
      </w:r>
      <w:r w:rsidRPr="009B6EEE">
        <w:rPr>
          <w:rFonts w:ascii="Palatino Linotype" w:eastAsia="Palatino Linotype" w:hAnsi="Palatino Linotype" w:cs="Palatino Linotype"/>
          <w:sz w:val="22"/>
          <w:szCs w:val="22"/>
          <w:u w:val="single"/>
        </w:rPr>
        <w:t xml:space="preserve">, </w:t>
      </w:r>
      <w:r w:rsidRPr="009B6EEE">
        <w:rPr>
          <w:rFonts w:ascii="Palatino Linotype" w:eastAsia="Palatino Linotype" w:hAnsi="Palatino Linotype" w:cs="Palatino Linotype"/>
          <w:b/>
          <w:sz w:val="22"/>
          <w:szCs w:val="22"/>
          <w:u w:val="single"/>
        </w:rPr>
        <w:t>para atender los requerimientos de información.</w:t>
      </w:r>
      <w:r w:rsidRPr="009B6EEE">
        <w:rPr>
          <w:rFonts w:ascii="Palatino Linotype" w:eastAsia="Palatino Linotype" w:hAnsi="Palatino Linotype" w:cs="Palatino Linotype"/>
          <w:sz w:val="22"/>
          <w:szCs w:val="22"/>
        </w:rPr>
        <w:t xml:space="preserve"> </w:t>
      </w:r>
    </w:p>
    <w:p w14:paraId="2981C774"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CD784A"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lastRenderedPageBreak/>
        <w:t xml:space="preserve">Sin embargo, el Órgano Garante Nacional, ha considerado que no resulta suficiente justificar una imposibilidad técnica y humana para acreditar un cambio de modalidad, sino que es necesario demostrar otros impedimentos con el fin de privilegiar el Principio de Gratuidad y Máxima Publicidad; argumentos que encuentran sustento dentro diversas de sus resoluciones de Recursos de Inconformidad como el RIA 136/20, RIA 140/20, RIA 153/20 RIA 237/20, RIA 257/20, RIA 258/20. </w:t>
      </w:r>
    </w:p>
    <w:p w14:paraId="4F8CB634"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36C487"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Por lo que, </w:t>
      </w:r>
      <w:r w:rsidRPr="009B6EEE">
        <w:rPr>
          <w:rFonts w:ascii="Palatino Linotype" w:eastAsia="Palatino Linotype" w:hAnsi="Palatino Linotype" w:cs="Palatino Linotype"/>
          <w:sz w:val="22"/>
          <w:szCs w:val="22"/>
          <w:u w:val="single"/>
        </w:rPr>
        <w:t xml:space="preserve">el </w:t>
      </w:r>
      <w:r w:rsidRPr="009B6EEE">
        <w:rPr>
          <w:rFonts w:ascii="Palatino Linotype" w:eastAsia="Palatino Linotype" w:hAnsi="Palatino Linotype" w:cs="Palatino Linotype"/>
          <w:b/>
          <w:sz w:val="22"/>
          <w:szCs w:val="22"/>
          <w:u w:val="single"/>
        </w:rPr>
        <w:t>Sujeto Obligado debe proporcionar otras modalidades para la entrega de la información</w:t>
      </w:r>
      <w:r w:rsidRPr="009B6EEE">
        <w:rPr>
          <w:rFonts w:ascii="Palatino Linotype" w:eastAsia="Palatino Linotype" w:hAnsi="Palatino Linotype" w:cs="Palatino Linotype"/>
          <w:b/>
          <w:sz w:val="22"/>
          <w:szCs w:val="22"/>
        </w:rPr>
        <w:t xml:space="preserve"> </w:t>
      </w:r>
      <w:r w:rsidRPr="009B6EEE">
        <w:rPr>
          <w:rFonts w:ascii="Palatino Linotype" w:eastAsia="Palatino Linotype" w:hAnsi="Palatino Linotype" w:cs="Palatino Linotype"/>
          <w:sz w:val="22"/>
          <w:szCs w:val="22"/>
        </w:rPr>
        <w:t>para el caso de que esta no pueda realizarse a través del Sistema de Acceso a la Información Mexiquense y,</w:t>
      </w:r>
      <w:r w:rsidRPr="009B6EEE">
        <w:rPr>
          <w:rFonts w:ascii="Palatino Linotype" w:eastAsia="Palatino Linotype" w:hAnsi="Palatino Linotype" w:cs="Palatino Linotype"/>
          <w:b/>
          <w:sz w:val="22"/>
          <w:szCs w:val="22"/>
        </w:rPr>
        <w:t xml:space="preserve"> </w:t>
      </w:r>
      <w:r w:rsidRPr="009B6EEE">
        <w:rPr>
          <w:rFonts w:ascii="Palatino Linotype" w:eastAsia="Palatino Linotype" w:hAnsi="Palatino Linotype" w:cs="Palatino Linotype"/>
          <w:b/>
          <w:sz w:val="22"/>
          <w:szCs w:val="22"/>
          <w:u w:val="single"/>
        </w:rPr>
        <w:t>no únicamente cambiar la modalidad a consulta directa</w:t>
      </w:r>
      <w:r w:rsidRPr="009B6EEE">
        <w:rPr>
          <w:rFonts w:ascii="Palatino Linotype" w:eastAsia="Palatino Linotype" w:hAnsi="Palatino Linotype" w:cs="Palatino Linotype"/>
          <w:sz w:val="22"/>
          <w:szCs w:val="22"/>
        </w:rPr>
        <w:t>, tales como: copia simple o certificada, a través de disco compacto, medios de almacenamiento (USB), e incluso su envió a través de correo certificado previo pago de los costos de reproducción correspondientes, situación que en el presente caso no aconteció, pues como se mencionó el</w:t>
      </w:r>
      <w:r w:rsidRPr="009B6EEE">
        <w:rPr>
          <w:rFonts w:ascii="Palatino Linotype" w:eastAsia="Palatino Linotype" w:hAnsi="Palatino Linotype" w:cs="Palatino Linotype"/>
          <w:b/>
          <w:sz w:val="22"/>
          <w:szCs w:val="22"/>
        </w:rPr>
        <w:t xml:space="preserve"> Sujeto Obligado</w:t>
      </w:r>
      <w:r w:rsidRPr="009B6EEE">
        <w:rPr>
          <w:rFonts w:ascii="Palatino Linotype" w:eastAsia="Palatino Linotype" w:hAnsi="Palatino Linotype" w:cs="Palatino Linotype"/>
          <w:sz w:val="22"/>
          <w:szCs w:val="22"/>
        </w:rPr>
        <w:t>, si bien, acreditó la entrega de la información mediante una modalidad distinta a la solicitada, también lo es que se restringió a la consulta directa, sin observar todos los medios por los cuales pudiera entregar la misma.</w:t>
      </w:r>
    </w:p>
    <w:p w14:paraId="241E4E81"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B66E13"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En consecuencia, se determina que los agravios hechos valer por el Solicitante devienen </w:t>
      </w:r>
      <w:r w:rsidRPr="009B6EEE">
        <w:rPr>
          <w:rFonts w:ascii="Palatino Linotype" w:eastAsia="Palatino Linotype" w:hAnsi="Palatino Linotype" w:cs="Palatino Linotype"/>
          <w:b/>
          <w:sz w:val="22"/>
          <w:szCs w:val="22"/>
        </w:rPr>
        <w:t>fundados</w:t>
      </w:r>
      <w:r w:rsidRPr="009B6EEE">
        <w:rPr>
          <w:rFonts w:ascii="Palatino Linotype" w:eastAsia="Palatino Linotype" w:hAnsi="Palatino Linotype" w:cs="Palatino Linotype"/>
          <w:sz w:val="22"/>
          <w:szCs w:val="22"/>
        </w:rPr>
        <w:t xml:space="preserve"> y, en consecuencia, se </w:t>
      </w:r>
      <w:r w:rsidRPr="009B6EEE">
        <w:rPr>
          <w:rFonts w:ascii="Palatino Linotype" w:eastAsia="Palatino Linotype" w:hAnsi="Palatino Linotype" w:cs="Palatino Linotype"/>
          <w:b/>
          <w:sz w:val="22"/>
          <w:szCs w:val="22"/>
        </w:rPr>
        <w:t xml:space="preserve">Modifican </w:t>
      </w:r>
      <w:r w:rsidRPr="009B6EEE">
        <w:rPr>
          <w:rFonts w:ascii="Palatino Linotype" w:eastAsia="Palatino Linotype" w:hAnsi="Palatino Linotype" w:cs="Palatino Linotype"/>
          <w:sz w:val="22"/>
          <w:szCs w:val="22"/>
        </w:rPr>
        <w:t xml:space="preserve">las respuestas del Sujeto Obligado y, se le </w:t>
      </w:r>
      <w:r w:rsidRPr="009B6EEE">
        <w:rPr>
          <w:rFonts w:ascii="Palatino Linotype" w:eastAsia="Palatino Linotype" w:hAnsi="Palatino Linotype" w:cs="Palatino Linotype"/>
          <w:b/>
          <w:sz w:val="22"/>
          <w:szCs w:val="22"/>
        </w:rPr>
        <w:t xml:space="preserve">ordena </w:t>
      </w:r>
      <w:r w:rsidRPr="009B6EEE">
        <w:rPr>
          <w:rFonts w:ascii="Palatino Linotype" w:eastAsia="Palatino Linotype" w:hAnsi="Palatino Linotype" w:cs="Palatino Linotype"/>
          <w:sz w:val="22"/>
          <w:szCs w:val="22"/>
        </w:rPr>
        <w:t xml:space="preserve">a efecto de que 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en versión pública en términos </w:t>
      </w:r>
      <w:r w:rsidRPr="009B6EEE">
        <w:rPr>
          <w:rFonts w:ascii="Palatino Linotype" w:eastAsia="Palatino Linotype" w:hAnsi="Palatino Linotype" w:cs="Palatino Linotype"/>
          <w:sz w:val="22"/>
          <w:szCs w:val="22"/>
        </w:rPr>
        <w:lastRenderedPageBreak/>
        <w:t>del considerando quinto, los oficios generados de todas las áreas de la Universidad Politécnica del Valle de Toluca, de las que no podrá faltar el Órgano Interno de Control, del primero de enero al treinta y uno de diciembre de dos mil veintidós; así como, los oficios generados por el Departamento de Control Escolar, del veintisiete de febrero de dos mil veintitrés al veintisiete de febrero de dos mil veinticuatro.</w:t>
      </w:r>
    </w:p>
    <w:p w14:paraId="26A9A61F"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56B739"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Quinto. Versión Pública. </w:t>
      </w:r>
      <w:r w:rsidRPr="009B6EEE">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9B6EEE">
        <w:rPr>
          <w:rFonts w:ascii="Palatino Linotype" w:eastAsia="Palatino Linotype" w:hAnsi="Palatino Linotype" w:cs="Palatino Linotype"/>
          <w:b/>
          <w:sz w:val="22"/>
          <w:szCs w:val="22"/>
        </w:rPr>
        <w:t>Recurrente</w:t>
      </w:r>
      <w:r w:rsidRPr="009B6EEE">
        <w:rPr>
          <w:rFonts w:ascii="Palatino Linotype" w:eastAsia="Palatino Linotype" w:hAnsi="Palatino Linotype" w:cs="Palatino Linotype"/>
          <w:sz w:val="22"/>
          <w:szCs w:val="22"/>
        </w:rPr>
        <w:t xml:space="preserve"> sin menoscabar el derecho a la protección de los datos personales de terceros.</w:t>
      </w:r>
    </w:p>
    <w:p w14:paraId="7ABFD5E1" w14:textId="77777777" w:rsidR="00A53236" w:rsidRPr="009B6EEE" w:rsidRDefault="00BE58F5">
      <w:pPr>
        <w:spacing w:before="240" w:after="240" w:line="360" w:lineRule="auto"/>
        <w:ind w:right="50"/>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2C7D0037" w14:textId="77777777" w:rsidR="00A53236" w:rsidRPr="009B6EEE" w:rsidRDefault="00BE58F5">
      <w:pPr>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 xml:space="preserve"> “Artículo 3. Para los efectos de la presente Ley se entenderá por:</w:t>
      </w:r>
    </w:p>
    <w:p w14:paraId="527E11F9"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IX. Datos personales:</w:t>
      </w:r>
      <w:r w:rsidRPr="009B6EEE">
        <w:rPr>
          <w:rFonts w:ascii="Palatino Linotype" w:eastAsia="Palatino Linotype" w:hAnsi="Palatino Linotype" w:cs="Palatino Linotype"/>
          <w:i/>
          <w:sz w:val="22"/>
          <w:szCs w:val="22"/>
        </w:rPr>
        <w:t xml:space="preserve"> </w:t>
      </w:r>
      <w:r w:rsidRPr="009B6EEE">
        <w:rPr>
          <w:rFonts w:ascii="Palatino Linotype" w:eastAsia="Palatino Linotype" w:hAnsi="Palatino Linotype" w:cs="Palatino Linotype"/>
          <w:b/>
          <w:i/>
          <w:sz w:val="22"/>
          <w:szCs w:val="22"/>
        </w:rPr>
        <w:t>La información concerniente a una persona, identificada o identificable</w:t>
      </w:r>
      <w:r w:rsidRPr="009B6EEE">
        <w:rPr>
          <w:rFonts w:ascii="Palatino Linotype" w:eastAsia="Palatino Linotype" w:hAnsi="Palatino Linotype" w:cs="Palatino Linotype"/>
          <w:i/>
          <w:sz w:val="22"/>
          <w:szCs w:val="22"/>
        </w:rPr>
        <w:t xml:space="preserve"> según lo dispuesto por la Ley de Protección de Datos Personales del Estado de México;</w:t>
      </w:r>
    </w:p>
    <w:p w14:paraId="49846F0C"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XX. Información clasificada:</w:t>
      </w:r>
      <w:r w:rsidRPr="009B6EEE">
        <w:rPr>
          <w:rFonts w:ascii="Palatino Linotype" w:eastAsia="Palatino Linotype" w:hAnsi="Palatino Linotype" w:cs="Palatino Linotype"/>
          <w:i/>
          <w:sz w:val="22"/>
          <w:szCs w:val="22"/>
        </w:rPr>
        <w:t xml:space="preserve"> Aquella considerada por la presente Ley como reservada o confidencial;</w:t>
      </w:r>
    </w:p>
    <w:p w14:paraId="78A50748"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lastRenderedPageBreak/>
        <w:t>XXXII. Protección de Datos Personales:</w:t>
      </w:r>
      <w:r w:rsidRPr="009B6EE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E1552E2"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XLV. Versión pública</w:t>
      </w:r>
      <w:r w:rsidRPr="009B6EE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319A083" w14:textId="77777777" w:rsidR="00A53236" w:rsidRPr="009B6EEE" w:rsidRDefault="00A53236">
      <w:pPr>
        <w:ind w:left="851" w:right="616"/>
        <w:jc w:val="both"/>
        <w:rPr>
          <w:rFonts w:ascii="Palatino Linotype" w:eastAsia="Palatino Linotype" w:hAnsi="Palatino Linotype" w:cs="Palatino Linotype"/>
          <w:i/>
          <w:sz w:val="22"/>
          <w:szCs w:val="22"/>
        </w:rPr>
      </w:pPr>
    </w:p>
    <w:p w14:paraId="492F9788"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“Artículo 6.</w:t>
      </w:r>
      <w:r w:rsidRPr="009B6EE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1D5235C" w14:textId="77777777" w:rsidR="00A53236" w:rsidRPr="009B6EEE" w:rsidRDefault="00A53236">
      <w:pPr>
        <w:ind w:left="851" w:right="616"/>
        <w:jc w:val="both"/>
        <w:rPr>
          <w:rFonts w:ascii="Palatino Linotype" w:eastAsia="Palatino Linotype" w:hAnsi="Palatino Linotype" w:cs="Palatino Linotype"/>
          <w:i/>
          <w:sz w:val="22"/>
          <w:szCs w:val="22"/>
        </w:rPr>
      </w:pPr>
    </w:p>
    <w:p w14:paraId="28BA49EE" w14:textId="77777777" w:rsidR="00A53236" w:rsidRPr="009B6EEE" w:rsidRDefault="00BE58F5">
      <w:pPr>
        <w:ind w:left="851" w:right="616"/>
        <w:jc w:val="both"/>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“Artículo 137.</w:t>
      </w:r>
      <w:r w:rsidRPr="009B6EE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DB2EA35" w14:textId="77777777" w:rsidR="00A53236" w:rsidRPr="009B6EEE" w:rsidRDefault="00A53236">
      <w:pPr>
        <w:ind w:left="851" w:right="616"/>
        <w:jc w:val="both"/>
        <w:rPr>
          <w:rFonts w:ascii="Palatino Linotype" w:eastAsia="Palatino Linotype" w:hAnsi="Palatino Linotype" w:cs="Palatino Linotype"/>
          <w:b/>
          <w:i/>
          <w:sz w:val="22"/>
          <w:szCs w:val="22"/>
        </w:rPr>
      </w:pPr>
    </w:p>
    <w:p w14:paraId="23CFB651"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“Artículo 143</w:t>
      </w:r>
      <w:r w:rsidRPr="009B6EE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2920AB4"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I.</w:t>
      </w:r>
      <w:r w:rsidRPr="009B6EE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7B18DF4"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19FBF81"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088286FE" w14:textId="77777777" w:rsidR="00A53236" w:rsidRPr="009B6EEE" w:rsidRDefault="00A53236">
      <w:pPr>
        <w:ind w:left="993" w:right="1041"/>
        <w:jc w:val="both"/>
        <w:rPr>
          <w:rFonts w:ascii="Palatino Linotype" w:eastAsia="Palatino Linotype" w:hAnsi="Palatino Linotype" w:cs="Palatino Linotype"/>
          <w:i/>
          <w:sz w:val="22"/>
          <w:szCs w:val="22"/>
        </w:rPr>
      </w:pPr>
    </w:p>
    <w:p w14:paraId="12816A8F" w14:textId="77777777" w:rsidR="00A53236" w:rsidRPr="009B6EEE" w:rsidRDefault="00BE58F5">
      <w:pPr>
        <w:spacing w:line="360" w:lineRule="auto"/>
        <w:ind w:right="51"/>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w:t>
      </w:r>
      <w:r w:rsidRPr="009B6EEE">
        <w:rPr>
          <w:rFonts w:ascii="Palatino Linotype" w:eastAsia="Palatino Linotype" w:hAnsi="Palatino Linotype" w:cs="Palatino Linotype"/>
          <w:sz w:val="22"/>
          <w:szCs w:val="22"/>
        </w:rPr>
        <w:lastRenderedPageBreak/>
        <w:t xml:space="preserve">proceder a testar los datos personales que se encuentren contenidos en los documentos a entregar por parte del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para satisfacer el derecho de acceso a la información pública de la parte </w:t>
      </w:r>
      <w:r w:rsidRPr="009B6EEE">
        <w:rPr>
          <w:rFonts w:ascii="Palatino Linotype" w:eastAsia="Palatino Linotype" w:hAnsi="Palatino Linotype" w:cs="Palatino Linotype"/>
          <w:b/>
          <w:sz w:val="22"/>
          <w:szCs w:val="22"/>
        </w:rPr>
        <w:t>Recurrente</w:t>
      </w:r>
      <w:r w:rsidRPr="009B6EEE">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9E1B0D7" w14:textId="77777777" w:rsidR="00A53236" w:rsidRPr="009B6EEE" w:rsidRDefault="00A53236">
      <w:pPr>
        <w:spacing w:line="360" w:lineRule="auto"/>
        <w:ind w:right="51"/>
        <w:jc w:val="both"/>
        <w:rPr>
          <w:rFonts w:ascii="Palatino Linotype" w:eastAsia="Palatino Linotype" w:hAnsi="Palatino Linotype" w:cs="Palatino Linotype"/>
          <w:sz w:val="22"/>
          <w:szCs w:val="22"/>
        </w:rPr>
      </w:pPr>
    </w:p>
    <w:p w14:paraId="3249E71F" w14:textId="77777777" w:rsidR="00A53236" w:rsidRPr="009B6EEE" w:rsidRDefault="00BE58F5">
      <w:pPr>
        <w:spacing w:line="360" w:lineRule="auto"/>
        <w:ind w:right="50"/>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83460E2" w14:textId="77777777" w:rsidR="00A53236" w:rsidRPr="009B6EEE" w:rsidRDefault="00A53236">
      <w:pPr>
        <w:spacing w:line="360" w:lineRule="auto"/>
        <w:ind w:right="50"/>
        <w:jc w:val="both"/>
        <w:rPr>
          <w:rFonts w:ascii="Palatino Linotype" w:eastAsia="Palatino Linotype" w:hAnsi="Palatino Linotype" w:cs="Palatino Linotype"/>
          <w:sz w:val="22"/>
          <w:szCs w:val="22"/>
        </w:rPr>
      </w:pPr>
    </w:p>
    <w:p w14:paraId="6C75A906" w14:textId="77777777" w:rsidR="00A53236" w:rsidRPr="009B6EEE" w:rsidRDefault="00BE58F5">
      <w:pPr>
        <w:spacing w:line="360" w:lineRule="auto"/>
        <w:ind w:right="51"/>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8E22CBC" w14:textId="77777777" w:rsidR="00A53236" w:rsidRPr="009B6EEE" w:rsidRDefault="00A53236">
      <w:pPr>
        <w:spacing w:line="360" w:lineRule="auto"/>
        <w:ind w:right="51"/>
        <w:jc w:val="both"/>
        <w:rPr>
          <w:rFonts w:ascii="Palatino Linotype" w:eastAsia="Palatino Linotype" w:hAnsi="Palatino Linotype" w:cs="Palatino Linotype"/>
          <w:sz w:val="22"/>
          <w:szCs w:val="22"/>
        </w:rPr>
      </w:pPr>
    </w:p>
    <w:p w14:paraId="17DB1552"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“Artículo 49.</w:t>
      </w:r>
      <w:r w:rsidRPr="009B6EEE">
        <w:rPr>
          <w:rFonts w:ascii="Palatino Linotype" w:eastAsia="Palatino Linotype" w:hAnsi="Palatino Linotype" w:cs="Palatino Linotype"/>
          <w:i/>
          <w:sz w:val="22"/>
          <w:szCs w:val="22"/>
        </w:rPr>
        <w:t xml:space="preserve"> </w:t>
      </w:r>
      <w:r w:rsidRPr="009B6EEE">
        <w:rPr>
          <w:rFonts w:ascii="Palatino Linotype" w:eastAsia="Palatino Linotype" w:hAnsi="Palatino Linotype" w:cs="Palatino Linotype"/>
          <w:b/>
          <w:i/>
          <w:sz w:val="22"/>
          <w:szCs w:val="22"/>
        </w:rPr>
        <w:t>Los Comités de Transparencia</w:t>
      </w:r>
      <w:r w:rsidRPr="009B6EEE">
        <w:rPr>
          <w:rFonts w:ascii="Palatino Linotype" w:eastAsia="Palatino Linotype" w:hAnsi="Palatino Linotype" w:cs="Palatino Linotype"/>
          <w:i/>
          <w:sz w:val="22"/>
          <w:szCs w:val="22"/>
        </w:rPr>
        <w:t xml:space="preserve"> tendrán las siguientes atribuciones:</w:t>
      </w:r>
    </w:p>
    <w:p w14:paraId="4ACDA95B"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VIII. Aprobar, modificar o revocar la clasificación de la información</w:t>
      </w:r>
      <w:r w:rsidRPr="009B6EEE">
        <w:rPr>
          <w:rFonts w:ascii="Palatino Linotype" w:eastAsia="Palatino Linotype" w:hAnsi="Palatino Linotype" w:cs="Palatino Linotype"/>
          <w:i/>
          <w:sz w:val="22"/>
          <w:szCs w:val="22"/>
        </w:rPr>
        <w:t>…”</w:t>
      </w:r>
    </w:p>
    <w:p w14:paraId="4EE6D53C"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Artículo 53.</w:t>
      </w:r>
      <w:r w:rsidRPr="009B6EEE">
        <w:rPr>
          <w:rFonts w:ascii="Palatino Linotype" w:eastAsia="Palatino Linotype" w:hAnsi="Palatino Linotype" w:cs="Palatino Linotype"/>
          <w:i/>
          <w:sz w:val="22"/>
          <w:szCs w:val="22"/>
        </w:rPr>
        <w:t xml:space="preserve"> Las </w:t>
      </w:r>
      <w:r w:rsidRPr="009B6EEE">
        <w:rPr>
          <w:rFonts w:ascii="Palatino Linotype" w:eastAsia="Palatino Linotype" w:hAnsi="Palatino Linotype" w:cs="Palatino Linotype"/>
          <w:b/>
          <w:i/>
          <w:sz w:val="22"/>
          <w:szCs w:val="22"/>
        </w:rPr>
        <w:t>Unidades de Transparencia</w:t>
      </w:r>
      <w:r w:rsidRPr="009B6EEE">
        <w:rPr>
          <w:rFonts w:ascii="Palatino Linotype" w:eastAsia="Palatino Linotype" w:hAnsi="Palatino Linotype" w:cs="Palatino Linotype"/>
          <w:i/>
          <w:sz w:val="22"/>
          <w:szCs w:val="22"/>
        </w:rPr>
        <w:t xml:space="preserve"> tendrán las siguientes </w:t>
      </w:r>
      <w:r w:rsidRPr="009B6EEE">
        <w:rPr>
          <w:rFonts w:ascii="Palatino Linotype" w:eastAsia="Palatino Linotype" w:hAnsi="Palatino Linotype" w:cs="Palatino Linotype"/>
          <w:b/>
          <w:i/>
          <w:sz w:val="22"/>
          <w:szCs w:val="22"/>
        </w:rPr>
        <w:t>funciones</w:t>
      </w:r>
      <w:r w:rsidRPr="009B6EEE">
        <w:rPr>
          <w:rFonts w:ascii="Palatino Linotype" w:eastAsia="Palatino Linotype" w:hAnsi="Palatino Linotype" w:cs="Palatino Linotype"/>
          <w:i/>
          <w:sz w:val="22"/>
          <w:szCs w:val="22"/>
        </w:rPr>
        <w:t>:</w:t>
      </w:r>
    </w:p>
    <w:p w14:paraId="088F3C16"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X. Presentar ante el Comité, el proyecto de clasificación de información</w:t>
      </w:r>
      <w:r w:rsidRPr="009B6EEE">
        <w:rPr>
          <w:rFonts w:ascii="Palatino Linotype" w:eastAsia="Palatino Linotype" w:hAnsi="Palatino Linotype" w:cs="Palatino Linotype"/>
          <w:i/>
          <w:sz w:val="22"/>
          <w:szCs w:val="22"/>
        </w:rPr>
        <w:t xml:space="preserve">…” </w:t>
      </w:r>
    </w:p>
    <w:p w14:paraId="7A00D0EF"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lastRenderedPageBreak/>
        <w:t>“Artículo 59.</w:t>
      </w:r>
      <w:r w:rsidRPr="009B6EEE">
        <w:rPr>
          <w:rFonts w:ascii="Palatino Linotype" w:eastAsia="Palatino Linotype" w:hAnsi="Palatino Linotype" w:cs="Palatino Linotype"/>
          <w:i/>
          <w:sz w:val="22"/>
          <w:szCs w:val="22"/>
        </w:rPr>
        <w:t xml:space="preserve"> Los </w:t>
      </w:r>
      <w:r w:rsidRPr="009B6EEE">
        <w:rPr>
          <w:rFonts w:ascii="Palatino Linotype" w:eastAsia="Palatino Linotype" w:hAnsi="Palatino Linotype" w:cs="Palatino Linotype"/>
          <w:b/>
          <w:i/>
          <w:sz w:val="22"/>
          <w:szCs w:val="22"/>
        </w:rPr>
        <w:t>servidores públicos habilitados</w:t>
      </w:r>
      <w:r w:rsidRPr="009B6EEE">
        <w:rPr>
          <w:rFonts w:ascii="Palatino Linotype" w:eastAsia="Palatino Linotype" w:hAnsi="Palatino Linotype" w:cs="Palatino Linotype"/>
          <w:i/>
          <w:sz w:val="22"/>
          <w:szCs w:val="22"/>
        </w:rPr>
        <w:t xml:space="preserve"> tendrán las </w:t>
      </w:r>
      <w:r w:rsidRPr="009B6EEE">
        <w:rPr>
          <w:rFonts w:ascii="Palatino Linotype" w:eastAsia="Palatino Linotype" w:hAnsi="Palatino Linotype" w:cs="Palatino Linotype"/>
          <w:b/>
          <w:i/>
          <w:sz w:val="22"/>
          <w:szCs w:val="22"/>
        </w:rPr>
        <w:t>funciones</w:t>
      </w:r>
      <w:r w:rsidRPr="009B6EEE">
        <w:rPr>
          <w:rFonts w:ascii="Palatino Linotype" w:eastAsia="Palatino Linotype" w:hAnsi="Palatino Linotype" w:cs="Palatino Linotype"/>
          <w:i/>
          <w:sz w:val="22"/>
          <w:szCs w:val="22"/>
        </w:rPr>
        <w:t xml:space="preserve"> siguientes:</w:t>
      </w:r>
    </w:p>
    <w:p w14:paraId="0C5C62D4" w14:textId="77777777" w:rsidR="00A53236" w:rsidRPr="009B6EEE" w:rsidRDefault="00BE58F5">
      <w:pP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B6EEE">
        <w:rPr>
          <w:rFonts w:ascii="Palatino Linotype" w:eastAsia="Palatino Linotype" w:hAnsi="Palatino Linotype" w:cs="Palatino Linotype"/>
          <w:i/>
          <w:sz w:val="22"/>
          <w:szCs w:val="22"/>
        </w:rPr>
        <w:t>, la cual tendrá los fundamentos y argumentos en que se basa dicha propuesta…”(Sic)</w:t>
      </w:r>
    </w:p>
    <w:p w14:paraId="4F48182F" w14:textId="77777777" w:rsidR="00A53236" w:rsidRPr="009B6EEE" w:rsidRDefault="00A53236">
      <w:pPr>
        <w:ind w:left="992" w:right="1043"/>
        <w:jc w:val="both"/>
        <w:rPr>
          <w:rFonts w:ascii="Palatino Linotype" w:eastAsia="Palatino Linotype" w:hAnsi="Palatino Linotype" w:cs="Palatino Linotype"/>
          <w:i/>
          <w:sz w:val="22"/>
          <w:szCs w:val="22"/>
        </w:rPr>
      </w:pPr>
    </w:p>
    <w:p w14:paraId="1BD4B39E"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9FB877E"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5189D778"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01C099C"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3EA9788B" w14:textId="77777777" w:rsidR="00A53236" w:rsidRPr="009B6EEE" w:rsidRDefault="00BE58F5">
      <w:pPr>
        <w:spacing w:after="240"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Artículo 149.</w:t>
      </w:r>
      <w:r w:rsidRPr="009B6EEE">
        <w:rPr>
          <w:rFonts w:ascii="Palatino Linotype" w:eastAsia="Palatino Linotype" w:hAnsi="Palatino Linotype" w:cs="Palatino Linotype"/>
          <w:i/>
          <w:sz w:val="22"/>
          <w:szCs w:val="22"/>
        </w:rPr>
        <w:t xml:space="preserve"> El </w:t>
      </w:r>
      <w:r w:rsidRPr="009B6EEE">
        <w:rPr>
          <w:rFonts w:ascii="Palatino Linotype" w:eastAsia="Palatino Linotype" w:hAnsi="Palatino Linotype" w:cs="Palatino Linotype"/>
          <w:b/>
          <w:i/>
          <w:sz w:val="22"/>
          <w:szCs w:val="22"/>
        </w:rPr>
        <w:t>acuerdo que clasifique la información como confidencial</w:t>
      </w:r>
      <w:r w:rsidRPr="009B6EE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682424B" w14:textId="77777777" w:rsidR="00A53236" w:rsidRPr="009B6EEE" w:rsidRDefault="00A53236">
      <w:pPr>
        <w:spacing w:before="240" w:line="360" w:lineRule="auto"/>
        <w:ind w:right="51"/>
        <w:jc w:val="both"/>
        <w:rPr>
          <w:rFonts w:ascii="Palatino Linotype" w:eastAsia="Palatino Linotype" w:hAnsi="Palatino Linotype" w:cs="Palatino Linotype"/>
          <w:i/>
          <w:sz w:val="22"/>
          <w:szCs w:val="22"/>
        </w:rPr>
      </w:pPr>
    </w:p>
    <w:p w14:paraId="4E35E9E6" w14:textId="77777777" w:rsidR="00A53236" w:rsidRPr="009B6EEE" w:rsidRDefault="00BE58F5">
      <w:pPr>
        <w:spacing w:line="360" w:lineRule="auto"/>
        <w:ind w:right="51"/>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Es decir,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w:t>
      </w:r>
      <w:r w:rsidRPr="009B6EEE">
        <w:rPr>
          <w:rFonts w:ascii="Palatino Linotype" w:eastAsia="Palatino Linotype" w:hAnsi="Palatino Linotype" w:cs="Palatino Linotype"/>
          <w:sz w:val="22"/>
          <w:szCs w:val="22"/>
        </w:rPr>
        <w:lastRenderedPageBreak/>
        <w:t>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55AEE4E"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0C74E055"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Al respecto, se destaca que la versión pública que elabore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B6EEE">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9B6EEE">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ACEE6FB" w14:textId="77777777" w:rsidR="00A53236" w:rsidRPr="009B6EEE" w:rsidRDefault="00A53236">
      <w:pPr>
        <w:ind w:left="709" w:right="709"/>
        <w:jc w:val="both"/>
        <w:rPr>
          <w:rFonts w:ascii="Palatino Linotype" w:eastAsia="Palatino Linotype" w:hAnsi="Palatino Linotype" w:cs="Palatino Linotype"/>
          <w:b/>
          <w:i/>
          <w:sz w:val="22"/>
          <w:szCs w:val="22"/>
        </w:rPr>
      </w:pPr>
    </w:p>
    <w:p w14:paraId="6E801DAC"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3FF3E4E"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w:t>
      </w:r>
      <w:r w:rsidRPr="009B6EEE">
        <w:rPr>
          <w:rFonts w:ascii="Palatino Linotype" w:eastAsia="Palatino Linotype" w:hAnsi="Palatino Linotype" w:cs="Palatino Linotype"/>
          <w:b/>
          <w:i/>
          <w:sz w:val="22"/>
          <w:szCs w:val="22"/>
        </w:rPr>
        <w:t>Segundo.-</w:t>
      </w:r>
      <w:r w:rsidRPr="009B6EEE">
        <w:rPr>
          <w:rFonts w:ascii="Palatino Linotype" w:eastAsia="Palatino Linotype" w:hAnsi="Palatino Linotype" w:cs="Palatino Linotype"/>
          <w:i/>
          <w:sz w:val="22"/>
          <w:szCs w:val="22"/>
        </w:rPr>
        <w:t xml:space="preserve"> Para efectos de los presentes Lineamientos Generales, se entenderá por:</w:t>
      </w:r>
    </w:p>
    <w:p w14:paraId="320602B0"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XVIII.</w:t>
      </w:r>
      <w:r w:rsidRPr="009B6EEE">
        <w:rPr>
          <w:rFonts w:ascii="Palatino Linotype" w:eastAsia="Palatino Linotype" w:hAnsi="Palatino Linotype" w:cs="Palatino Linotype"/>
          <w:i/>
          <w:sz w:val="22"/>
          <w:szCs w:val="22"/>
        </w:rPr>
        <w:t xml:space="preserve"> </w:t>
      </w:r>
      <w:r w:rsidRPr="009B6EEE">
        <w:rPr>
          <w:rFonts w:ascii="Palatino Linotype" w:eastAsia="Palatino Linotype" w:hAnsi="Palatino Linotype" w:cs="Palatino Linotype"/>
          <w:b/>
          <w:i/>
          <w:sz w:val="22"/>
          <w:szCs w:val="22"/>
        </w:rPr>
        <w:t>Versión pública:</w:t>
      </w:r>
      <w:r w:rsidRPr="009B6EE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B6EEE">
        <w:rPr>
          <w:rFonts w:ascii="Palatino Linotype" w:eastAsia="Palatino Linotype" w:hAnsi="Palatino Linotype" w:cs="Palatino Linotype"/>
          <w:b/>
          <w:i/>
          <w:sz w:val="22"/>
          <w:szCs w:val="22"/>
          <w:u w:val="single"/>
        </w:rPr>
        <w:t>fundando y motivando la</w:t>
      </w:r>
      <w:r w:rsidRPr="009B6EEE">
        <w:rPr>
          <w:rFonts w:ascii="Palatino Linotype" w:eastAsia="Palatino Linotype" w:hAnsi="Palatino Linotype" w:cs="Palatino Linotype"/>
          <w:i/>
          <w:sz w:val="22"/>
          <w:szCs w:val="22"/>
        </w:rPr>
        <w:t xml:space="preserve"> reserva o </w:t>
      </w:r>
      <w:r w:rsidRPr="009B6EEE">
        <w:rPr>
          <w:rFonts w:ascii="Palatino Linotype" w:eastAsia="Palatino Linotype" w:hAnsi="Palatino Linotype" w:cs="Palatino Linotype"/>
          <w:b/>
          <w:i/>
          <w:sz w:val="22"/>
          <w:szCs w:val="22"/>
          <w:u w:val="single"/>
        </w:rPr>
        <w:t>confidencialidad</w:t>
      </w:r>
      <w:r w:rsidRPr="009B6EEE">
        <w:rPr>
          <w:rFonts w:ascii="Palatino Linotype" w:eastAsia="Palatino Linotype" w:hAnsi="Palatino Linotype" w:cs="Palatino Linotype"/>
          <w:i/>
          <w:sz w:val="22"/>
          <w:szCs w:val="22"/>
        </w:rPr>
        <w:t>, a través de la resolución que para tal efecto emita el Comité de Transparencia.</w:t>
      </w:r>
    </w:p>
    <w:p w14:paraId="2BA1F74D"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lastRenderedPageBreak/>
        <w:t>Cuarto.</w:t>
      </w:r>
      <w:r w:rsidRPr="009B6EE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F9904E2"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C5D4FFC"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Quinto.</w:t>
      </w:r>
      <w:r w:rsidRPr="009B6EE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D23005"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w:t>
      </w:r>
    </w:p>
    <w:p w14:paraId="2488EF82"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Séptimo.</w:t>
      </w:r>
      <w:r w:rsidRPr="009B6EEE">
        <w:rPr>
          <w:rFonts w:ascii="Palatino Linotype" w:eastAsia="Palatino Linotype" w:hAnsi="Palatino Linotype" w:cs="Palatino Linotype"/>
          <w:i/>
          <w:sz w:val="22"/>
          <w:szCs w:val="22"/>
        </w:rPr>
        <w:t xml:space="preserve"> La clasificación de la información se llevará a cabo en el momento en que:</w:t>
      </w:r>
    </w:p>
    <w:p w14:paraId="345910D7"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I.</w:t>
      </w:r>
      <w:r w:rsidRPr="009B6EEE">
        <w:rPr>
          <w:rFonts w:ascii="Palatino Linotype" w:eastAsia="Palatino Linotype" w:hAnsi="Palatino Linotype" w:cs="Palatino Linotype"/>
          <w:i/>
          <w:sz w:val="22"/>
          <w:szCs w:val="22"/>
        </w:rPr>
        <w:t xml:space="preserve"> Se reciba una solicitud de acceso a la información;</w:t>
      </w:r>
    </w:p>
    <w:p w14:paraId="57E7CDF0"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II.</w:t>
      </w:r>
      <w:r w:rsidRPr="009B6EEE">
        <w:rPr>
          <w:rFonts w:ascii="Palatino Linotype" w:eastAsia="Palatino Linotype" w:hAnsi="Palatino Linotype" w:cs="Palatino Linotype"/>
          <w:i/>
          <w:sz w:val="22"/>
          <w:szCs w:val="22"/>
        </w:rPr>
        <w:t xml:space="preserve"> Se  determine mediante resolución del Comité de Transparencia, el órgano garante </w:t>
      </w:r>
    </w:p>
    <w:p w14:paraId="72D4551D"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competente, o en cumplimiento a una sentencia del Poder Judicial; o</w:t>
      </w:r>
    </w:p>
    <w:p w14:paraId="56D22D13"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III.</w:t>
      </w:r>
      <w:r w:rsidRPr="009B6EE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8180F56"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E11437D"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Octavo.</w:t>
      </w:r>
      <w:r w:rsidRPr="009B6EE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756E5CE"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BBAF00C"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w:t>
      </w:r>
      <w:r w:rsidRPr="009B6EEE">
        <w:rPr>
          <w:rFonts w:ascii="Palatino Linotype" w:eastAsia="Palatino Linotype" w:hAnsi="Palatino Linotype" w:cs="Palatino Linotype"/>
          <w:i/>
          <w:sz w:val="22"/>
          <w:szCs w:val="22"/>
        </w:rPr>
        <w:lastRenderedPageBreak/>
        <w:t xml:space="preserve">la Ley General, en relación con el artículo trigésimo tercero de los presentes lineamientos, así como las circunstancias que justifican el establecimiento de determinado plazo de reserva. </w:t>
      </w:r>
    </w:p>
    <w:p w14:paraId="1D97B887"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Noveno.</w:t>
      </w:r>
      <w:r w:rsidRPr="009B6EE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08EE769"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Décimo.</w:t>
      </w:r>
      <w:r w:rsidRPr="009B6EE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5509536"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F79324D"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Décimo primero.</w:t>
      </w:r>
      <w:r w:rsidRPr="009B6EE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78B8D36" w14:textId="77777777" w:rsidR="00A53236" w:rsidRPr="009B6EEE" w:rsidRDefault="00A53236">
      <w:pPr>
        <w:pBdr>
          <w:top w:val="nil"/>
          <w:left w:val="nil"/>
          <w:bottom w:val="nil"/>
          <w:right w:val="nil"/>
          <w:between w:val="nil"/>
        </w:pBdr>
        <w:ind w:left="851" w:right="616"/>
        <w:jc w:val="both"/>
        <w:rPr>
          <w:rFonts w:ascii="Palatino Linotype" w:eastAsia="Palatino Linotype" w:hAnsi="Palatino Linotype" w:cs="Palatino Linotype"/>
          <w:sz w:val="22"/>
          <w:szCs w:val="22"/>
        </w:rPr>
      </w:pPr>
    </w:p>
    <w:p w14:paraId="4FB53745" w14:textId="77777777" w:rsidR="00A53236" w:rsidRPr="009B6EEE" w:rsidRDefault="00BE58F5">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w:t>
      </w:r>
    </w:p>
    <w:p w14:paraId="7616260F" w14:textId="77777777" w:rsidR="00A53236" w:rsidRPr="009B6EEE" w:rsidRDefault="00BE58F5">
      <w:pPr>
        <w:pBdr>
          <w:top w:val="nil"/>
          <w:left w:val="nil"/>
          <w:bottom w:val="nil"/>
          <w:right w:val="nil"/>
          <w:between w:val="nil"/>
        </w:pBdr>
        <w:ind w:left="851" w:right="616"/>
        <w:jc w:val="center"/>
        <w:rPr>
          <w:rFonts w:ascii="Palatino Linotype" w:eastAsia="Palatino Linotype" w:hAnsi="Palatino Linotype" w:cs="Palatino Linotype"/>
          <w:sz w:val="22"/>
          <w:szCs w:val="22"/>
        </w:rPr>
      </w:pPr>
      <w:r w:rsidRPr="009B6EEE">
        <w:rPr>
          <w:rFonts w:ascii="Palatino Linotype" w:eastAsia="Palatino Linotype" w:hAnsi="Palatino Linotype" w:cs="Palatino Linotype"/>
          <w:b/>
          <w:i/>
          <w:sz w:val="22"/>
          <w:szCs w:val="22"/>
        </w:rPr>
        <w:t>CAPÍTULO VIII</w:t>
      </w:r>
    </w:p>
    <w:p w14:paraId="4ABEFF0A" w14:textId="77777777" w:rsidR="00A53236" w:rsidRPr="009B6EEE" w:rsidRDefault="00BE58F5">
      <w:pPr>
        <w:pBdr>
          <w:top w:val="nil"/>
          <w:left w:val="nil"/>
          <w:bottom w:val="nil"/>
          <w:right w:val="nil"/>
          <w:between w:val="nil"/>
        </w:pBdr>
        <w:spacing w:after="160"/>
        <w:ind w:left="851" w:right="616"/>
        <w:jc w:val="center"/>
        <w:rPr>
          <w:rFonts w:ascii="Palatino Linotype" w:eastAsia="Palatino Linotype" w:hAnsi="Palatino Linotype" w:cs="Palatino Linotype"/>
          <w:b/>
          <w:i/>
          <w:sz w:val="22"/>
          <w:szCs w:val="22"/>
        </w:rPr>
      </w:pPr>
      <w:r w:rsidRPr="009B6EEE">
        <w:rPr>
          <w:rFonts w:ascii="Palatino Linotype" w:eastAsia="Palatino Linotype" w:hAnsi="Palatino Linotype" w:cs="Palatino Linotype"/>
          <w:b/>
          <w:i/>
          <w:sz w:val="22"/>
          <w:szCs w:val="22"/>
        </w:rPr>
        <w:t>DE LOS ELEMENTOS PARA LA CLASIFICACIÓN</w:t>
      </w:r>
    </w:p>
    <w:p w14:paraId="1C4B0A90"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Quincuagésimo</w:t>
      </w:r>
      <w:r w:rsidRPr="009B6EE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5E0E752"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Quincuagésimo primero</w:t>
      </w:r>
      <w:r w:rsidRPr="009B6EEE">
        <w:rPr>
          <w:rFonts w:ascii="Palatino Linotype" w:eastAsia="Palatino Linotype" w:hAnsi="Palatino Linotype" w:cs="Palatino Linotype"/>
          <w:i/>
          <w:sz w:val="22"/>
          <w:szCs w:val="22"/>
        </w:rPr>
        <w:t>. Toda acta del Comité de Transparencia deberá contener:</w:t>
      </w:r>
    </w:p>
    <w:p w14:paraId="2016E053"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I. El número de sesión y fecha; </w:t>
      </w:r>
    </w:p>
    <w:p w14:paraId="28A89816"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II. El nombre del área que solicitó la clasificación de información;</w:t>
      </w:r>
    </w:p>
    <w:p w14:paraId="66DF45DA"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III. La fundamentación legal y motivación correspondiente;</w:t>
      </w:r>
    </w:p>
    <w:p w14:paraId="1E87AF70"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lastRenderedPageBreak/>
        <w:t>IV. La resolución o resoluciones aprobadas; y</w:t>
      </w:r>
    </w:p>
    <w:p w14:paraId="56621D19"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V. La rúbrica o firma digital de cada integrante del Comité de Transparencia. </w:t>
      </w:r>
    </w:p>
    <w:p w14:paraId="0D0337E1"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F836683"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 Los motivos y razonamientos que sustenten la confirmación o modificación de la prueba de daño;</w:t>
      </w:r>
    </w:p>
    <w:p w14:paraId="7F009D22"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II. Descripción de las partes o secciones reservadas, en caso de clasificación parcial;</w:t>
      </w:r>
    </w:p>
    <w:p w14:paraId="5599109E"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III. El periodo por el que mantendrá su clasificación y fecha de expiración; y</w:t>
      </w:r>
    </w:p>
    <w:p w14:paraId="6C1F738F"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IV. El nombre del titular y área encargada de realizar la versión pública del documento, en su caso.</w:t>
      </w:r>
    </w:p>
    <w:p w14:paraId="0DA11FF3"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9536F70"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0E70471"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b/>
          <w:i/>
          <w:sz w:val="22"/>
          <w:szCs w:val="22"/>
        </w:rPr>
        <w:t>Quincuagésimo segundo</w:t>
      </w:r>
      <w:r w:rsidRPr="009B6EE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9A21422"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9EB0EDB"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9A5AB5F"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3AC1DC0"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lastRenderedPageBreak/>
        <w:t>III. Señalar las personas o instancias autorizadas a acceder a la información clasificada.</w:t>
      </w:r>
    </w:p>
    <w:p w14:paraId="1CFE181B"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AEF96FA"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w:t>
      </w:r>
    </w:p>
    <w:p w14:paraId="347FE67D"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9BA11F1" w14:textId="77777777" w:rsidR="00A53236" w:rsidRPr="009B6EEE" w:rsidRDefault="00BE58F5">
      <w:pPr>
        <w:pBdr>
          <w:top w:val="nil"/>
          <w:left w:val="nil"/>
          <w:bottom w:val="nil"/>
          <w:right w:val="nil"/>
          <w:between w:val="nil"/>
        </w:pBdr>
        <w:spacing w:after="160"/>
        <w:ind w:left="851" w:right="616"/>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9B6EEE">
        <w:rPr>
          <w:rFonts w:ascii="Palatino Linotype" w:eastAsia="Palatino Linotype" w:hAnsi="Palatino Linotype" w:cs="Palatino Linotype"/>
          <w:i/>
          <w:sz w:val="22"/>
          <w:szCs w:val="22"/>
        </w:rPr>
        <w:t>testado</w:t>
      </w:r>
      <w:proofErr w:type="spellEnd"/>
      <w:r w:rsidRPr="009B6EE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9B6EEE">
        <w:rPr>
          <w:rFonts w:ascii="Palatino Linotype" w:eastAsia="Palatino Linotype" w:hAnsi="Palatino Linotype" w:cs="Palatino Linotype"/>
          <w:sz w:val="22"/>
          <w:szCs w:val="22"/>
        </w:rPr>
        <w:t>.</w:t>
      </w:r>
    </w:p>
    <w:p w14:paraId="624F1DCB" w14:textId="77777777" w:rsidR="00A53236" w:rsidRPr="009B6EEE" w:rsidRDefault="00A53236">
      <w:pPr>
        <w:rPr>
          <w:rFonts w:ascii="Palatino Linotype" w:eastAsia="Palatino Linotype" w:hAnsi="Palatino Linotype" w:cs="Palatino Linotype"/>
          <w:sz w:val="22"/>
          <w:szCs w:val="22"/>
        </w:rPr>
      </w:pPr>
    </w:p>
    <w:p w14:paraId="1036ED62"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263D8D03"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22577FB6" w14:textId="77777777" w:rsidR="00A53236" w:rsidRPr="009B6EEE" w:rsidRDefault="00BE58F5">
      <w:pPr>
        <w:shd w:val="clear" w:color="auto" w:fill="FFFFFF"/>
        <w:spacing w:line="360" w:lineRule="auto"/>
        <w:ind w:right="51"/>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9B6EEE">
        <w:rPr>
          <w:rFonts w:ascii="Palatino Linotype" w:eastAsia="Palatino Linotype" w:hAnsi="Palatino Linotype" w:cs="Palatino Linotype"/>
          <w:sz w:val="22"/>
          <w:szCs w:val="22"/>
        </w:rPr>
        <w:lastRenderedPageBreak/>
        <w:t xml:space="preserve">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9B6EEE">
        <w:rPr>
          <w:rFonts w:ascii="Palatino Linotype" w:eastAsia="Palatino Linotype" w:hAnsi="Palatino Linotype" w:cs="Palatino Linotype"/>
          <w:b/>
          <w:sz w:val="22"/>
          <w:szCs w:val="22"/>
        </w:rPr>
        <w:t>Recurrente</w:t>
      </w:r>
      <w:r w:rsidRPr="009B6EEE">
        <w:rPr>
          <w:rFonts w:ascii="Palatino Linotype" w:eastAsia="Palatino Linotype" w:hAnsi="Palatino Linotype" w:cs="Palatino Linotype"/>
          <w:sz w:val="22"/>
          <w:szCs w:val="22"/>
        </w:rPr>
        <w:t>.</w:t>
      </w:r>
    </w:p>
    <w:p w14:paraId="11CB37DF"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3C2B15D1"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No pasa desapercibido mencionar que, cabe la posibilidad de que dentro de la información relacionada con los </w:t>
      </w:r>
      <w:r w:rsidRPr="009B6EEE">
        <w:rPr>
          <w:rFonts w:ascii="Palatino Linotype" w:eastAsia="Palatino Linotype" w:hAnsi="Palatino Linotype" w:cs="Palatino Linotype"/>
          <w:b/>
          <w:sz w:val="22"/>
          <w:szCs w:val="22"/>
          <w:u w:val="single"/>
        </w:rPr>
        <w:t>oficios generados por el Órgano Interno de Control</w:t>
      </w:r>
      <w:r w:rsidRPr="009B6EEE">
        <w:rPr>
          <w:rFonts w:ascii="Palatino Linotype" w:eastAsia="Palatino Linotype" w:hAnsi="Palatino Linotype" w:cs="Palatino Linotype"/>
          <w:sz w:val="22"/>
          <w:szCs w:val="22"/>
        </w:rPr>
        <w:t xml:space="preserve">, se encuentren documentos que contengan información que actualicen alguna de las causales de reserva o confidencialidad establecidas en los artículos 140 y 143 de la Ley de la materia, como por ejemplo </w:t>
      </w:r>
      <w:r w:rsidRPr="009B6EEE">
        <w:rPr>
          <w:rFonts w:ascii="Palatino Linotype" w:eastAsia="Palatino Linotype" w:hAnsi="Palatino Linotype" w:cs="Palatino Linotype"/>
          <w:b/>
          <w:sz w:val="22"/>
          <w:szCs w:val="22"/>
          <w:u w:val="single"/>
        </w:rPr>
        <w:t>oficios relacionados con procedimientos administrativos en trámite</w:t>
      </w:r>
      <w:r w:rsidRPr="009B6EEE">
        <w:rPr>
          <w:rFonts w:ascii="Palatino Linotype" w:eastAsia="Palatino Linotype" w:hAnsi="Palatino Linotype" w:cs="Palatino Linotype"/>
          <w:sz w:val="22"/>
          <w:szCs w:val="22"/>
        </w:rPr>
        <w:t xml:space="preserv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 </w:t>
      </w:r>
    </w:p>
    <w:p w14:paraId="5BF0C86B"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3F459460"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Por lo anterior, es necesario citar el artículo 140 de la Ley de Transparencia y Acceso a la Información Pública del Estado de México y Municipios, el cual precisa que, la información pública será de acceso restringido cuando por razones de interés público, esta sea clasificada como reservada, conforme a los criterios siguientes: </w:t>
      </w:r>
    </w:p>
    <w:p w14:paraId="6B5A091B"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781C2FAA" w14:textId="77777777" w:rsidR="00A53236" w:rsidRPr="009B6EEE" w:rsidRDefault="00BE58F5">
      <w:pPr>
        <w:spacing w:line="360" w:lineRule="auto"/>
        <w:ind w:left="567"/>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w:t>
      </w:r>
      <w:r w:rsidRPr="009B6EEE">
        <w:rPr>
          <w:rFonts w:ascii="Palatino Linotype" w:eastAsia="Palatino Linotype" w:hAnsi="Palatino Linotype" w:cs="Palatino Linotype"/>
          <w:sz w:val="22"/>
          <w:szCs w:val="22"/>
        </w:rPr>
        <w:lastRenderedPageBreak/>
        <w:t xml:space="preserve">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C5D8B76" w14:textId="77777777" w:rsidR="00A53236" w:rsidRPr="009B6EEE" w:rsidRDefault="00A53236">
      <w:pPr>
        <w:spacing w:line="360" w:lineRule="auto"/>
        <w:ind w:left="567"/>
        <w:jc w:val="both"/>
        <w:rPr>
          <w:rFonts w:ascii="Palatino Linotype" w:eastAsia="Palatino Linotype" w:hAnsi="Palatino Linotype" w:cs="Palatino Linotype"/>
          <w:sz w:val="22"/>
          <w:szCs w:val="22"/>
        </w:rPr>
      </w:pPr>
    </w:p>
    <w:p w14:paraId="5BBC0DB3" w14:textId="77777777" w:rsidR="00A53236" w:rsidRPr="009B6EEE" w:rsidRDefault="00BE58F5">
      <w:pPr>
        <w:spacing w:line="360" w:lineRule="auto"/>
        <w:ind w:left="567"/>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 Vulnere la conducción de los expedientes judiciales o de los procedimientos administrativos seguidos en forma de juicio, en tanto no hayan quedado firmes. </w:t>
      </w:r>
    </w:p>
    <w:p w14:paraId="58667227" w14:textId="77777777" w:rsidR="00A53236" w:rsidRPr="009B6EEE" w:rsidRDefault="00A53236">
      <w:pPr>
        <w:spacing w:line="360" w:lineRule="auto"/>
        <w:ind w:left="567"/>
        <w:jc w:val="both"/>
        <w:rPr>
          <w:rFonts w:ascii="Palatino Linotype" w:eastAsia="Palatino Linotype" w:hAnsi="Palatino Linotype" w:cs="Palatino Linotype"/>
          <w:sz w:val="22"/>
          <w:szCs w:val="22"/>
        </w:rPr>
      </w:pPr>
    </w:p>
    <w:p w14:paraId="6D36321C" w14:textId="77777777" w:rsidR="00A53236" w:rsidRPr="009B6EEE" w:rsidRDefault="00BE58F5">
      <w:pPr>
        <w:spacing w:line="360" w:lineRule="auto"/>
        <w:ind w:left="567"/>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32D443F"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0AA00A45" w14:textId="77777777" w:rsidR="00A53236" w:rsidRPr="009B6EEE" w:rsidRDefault="00BE58F5">
      <w:pP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En ese sentido, cabe la posibilidad de que dentro de la información que se ordena, se encuentren documentos que contengan información que sí actualicen alguna de las causales de reserva o confidencialidad establecidas en los artículos 140 y 143 de la Ley de la materia, dicha información reviste el carácter de información reservada y en este caso, se deberá emitir un acuerdo que clasifique como reservado.</w:t>
      </w:r>
    </w:p>
    <w:p w14:paraId="38B6A354" w14:textId="77777777" w:rsidR="00A53236" w:rsidRPr="009B6EEE" w:rsidRDefault="00A53236">
      <w:pPr>
        <w:spacing w:line="360" w:lineRule="auto"/>
        <w:jc w:val="both"/>
        <w:rPr>
          <w:rFonts w:ascii="Palatino Linotype" w:eastAsia="Palatino Linotype" w:hAnsi="Palatino Linotype" w:cs="Palatino Linotype"/>
          <w:sz w:val="22"/>
          <w:szCs w:val="22"/>
        </w:rPr>
      </w:pPr>
    </w:p>
    <w:p w14:paraId="51A49213"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B6EEE">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3184C476"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71A960" w14:textId="77777777" w:rsidR="00A53236" w:rsidRPr="009B6EEE" w:rsidRDefault="00BE58F5">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9B6EEE">
        <w:rPr>
          <w:rFonts w:ascii="Palatino Linotype" w:eastAsia="Palatino Linotype" w:hAnsi="Palatino Linotype" w:cs="Palatino Linotype"/>
          <w:b/>
          <w:sz w:val="22"/>
          <w:szCs w:val="22"/>
        </w:rPr>
        <w:lastRenderedPageBreak/>
        <w:t>R E S U E L V E:</w:t>
      </w:r>
    </w:p>
    <w:p w14:paraId="1C7B9ECB"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D87A032"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PRIMERO. </w:t>
      </w:r>
      <w:r w:rsidRPr="009B6EEE">
        <w:rPr>
          <w:rFonts w:ascii="Palatino Linotype" w:eastAsia="Palatino Linotype" w:hAnsi="Palatino Linotype" w:cs="Palatino Linotype"/>
          <w:sz w:val="22"/>
          <w:szCs w:val="22"/>
        </w:rPr>
        <w:t xml:space="preserve">Resultan fundados los motivos de inconformidad hechos valer por el </w:t>
      </w:r>
      <w:r w:rsidRPr="009B6EEE">
        <w:rPr>
          <w:rFonts w:ascii="Palatino Linotype" w:eastAsia="Palatino Linotype" w:hAnsi="Palatino Linotype" w:cs="Palatino Linotype"/>
          <w:b/>
          <w:sz w:val="22"/>
          <w:szCs w:val="22"/>
        </w:rPr>
        <w:t>Recurrente</w:t>
      </w:r>
      <w:r w:rsidRPr="009B6EEE">
        <w:rPr>
          <w:rFonts w:ascii="Palatino Linotype" w:eastAsia="Palatino Linotype" w:hAnsi="Palatino Linotype" w:cs="Palatino Linotype"/>
          <w:sz w:val="22"/>
          <w:szCs w:val="22"/>
        </w:rPr>
        <w:t xml:space="preserve"> en los Recursos de Revisión </w:t>
      </w:r>
      <w:r w:rsidRPr="009B6EEE">
        <w:rPr>
          <w:rFonts w:ascii="Palatino Linotype" w:eastAsia="Palatino Linotype" w:hAnsi="Palatino Linotype" w:cs="Palatino Linotype"/>
          <w:b/>
          <w:sz w:val="22"/>
          <w:szCs w:val="22"/>
        </w:rPr>
        <w:t xml:space="preserve">02244/INFOEM/IP/RR/2024 </w:t>
      </w:r>
      <w:r w:rsidRPr="009B6EEE">
        <w:rPr>
          <w:rFonts w:ascii="Palatino Linotype" w:eastAsia="Palatino Linotype" w:hAnsi="Palatino Linotype" w:cs="Palatino Linotype"/>
          <w:sz w:val="22"/>
          <w:szCs w:val="22"/>
        </w:rPr>
        <w:t xml:space="preserve">y </w:t>
      </w:r>
      <w:r w:rsidRPr="009B6EEE">
        <w:rPr>
          <w:rFonts w:ascii="Palatino Linotype" w:eastAsia="Palatino Linotype" w:hAnsi="Palatino Linotype" w:cs="Palatino Linotype"/>
          <w:b/>
          <w:sz w:val="22"/>
          <w:szCs w:val="22"/>
        </w:rPr>
        <w:t xml:space="preserve">02245/INFOEM/IP/RR/2024, </w:t>
      </w:r>
      <w:r w:rsidRPr="009B6EEE">
        <w:rPr>
          <w:rFonts w:ascii="Palatino Linotype" w:eastAsia="Palatino Linotype" w:hAnsi="Palatino Linotype" w:cs="Palatino Linotype"/>
          <w:sz w:val="22"/>
          <w:szCs w:val="22"/>
        </w:rPr>
        <w:t xml:space="preserve">por lo que, en términos del considerando </w:t>
      </w:r>
      <w:r w:rsidRPr="009B6EEE">
        <w:rPr>
          <w:rFonts w:ascii="Palatino Linotype" w:eastAsia="Palatino Linotype" w:hAnsi="Palatino Linotype" w:cs="Palatino Linotype"/>
          <w:b/>
          <w:sz w:val="22"/>
          <w:szCs w:val="22"/>
        </w:rPr>
        <w:t xml:space="preserve">Cuarto </w:t>
      </w:r>
      <w:r w:rsidRPr="009B6EEE">
        <w:rPr>
          <w:rFonts w:ascii="Palatino Linotype" w:eastAsia="Palatino Linotype" w:hAnsi="Palatino Linotype" w:cs="Palatino Linotype"/>
          <w:sz w:val="22"/>
          <w:szCs w:val="22"/>
        </w:rPr>
        <w:t xml:space="preserve">de esta resolución, se </w:t>
      </w:r>
      <w:r w:rsidRPr="009B6EEE">
        <w:rPr>
          <w:rFonts w:ascii="Palatino Linotype" w:eastAsia="Palatino Linotype" w:hAnsi="Palatino Linotype" w:cs="Palatino Linotype"/>
          <w:b/>
          <w:sz w:val="22"/>
          <w:szCs w:val="22"/>
        </w:rPr>
        <w:t xml:space="preserve">Modifican </w:t>
      </w:r>
      <w:r w:rsidRPr="009B6EEE">
        <w:rPr>
          <w:rFonts w:ascii="Palatino Linotype" w:eastAsia="Palatino Linotype" w:hAnsi="Palatino Linotype" w:cs="Palatino Linotype"/>
          <w:sz w:val="22"/>
          <w:szCs w:val="22"/>
        </w:rPr>
        <w:t xml:space="preserve">las respuestas emitidas por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w:t>
      </w:r>
    </w:p>
    <w:p w14:paraId="67197ED2"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8232444"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SEGUNDO. </w:t>
      </w:r>
      <w:r w:rsidRPr="009B6EEE">
        <w:rPr>
          <w:rFonts w:ascii="Palatino Linotype" w:eastAsia="Palatino Linotype" w:hAnsi="Palatino Linotype" w:cs="Palatino Linotype"/>
          <w:sz w:val="22"/>
          <w:szCs w:val="22"/>
        </w:rPr>
        <w:t>Se</w:t>
      </w:r>
      <w:r w:rsidRPr="009B6EEE">
        <w:rPr>
          <w:rFonts w:ascii="Palatino Linotype" w:eastAsia="Palatino Linotype" w:hAnsi="Palatino Linotype" w:cs="Palatino Linotype"/>
          <w:b/>
          <w:sz w:val="22"/>
          <w:szCs w:val="22"/>
        </w:rPr>
        <w:t xml:space="preserve"> Ordena </w:t>
      </w:r>
      <w:r w:rsidRPr="009B6EEE">
        <w:rPr>
          <w:rFonts w:ascii="Palatino Linotype" w:eastAsia="Palatino Linotype" w:hAnsi="Palatino Linotype" w:cs="Palatino Linotype"/>
          <w:sz w:val="22"/>
          <w:szCs w:val="22"/>
        </w:rPr>
        <w:t xml:space="preserve">al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en términos del Considerando </w:t>
      </w:r>
      <w:r w:rsidRPr="009B6EEE">
        <w:rPr>
          <w:rFonts w:ascii="Palatino Linotype" w:eastAsia="Palatino Linotype" w:hAnsi="Palatino Linotype" w:cs="Palatino Linotype"/>
          <w:b/>
          <w:sz w:val="22"/>
          <w:szCs w:val="22"/>
        </w:rPr>
        <w:t xml:space="preserve">Cuarto y Quinto, </w:t>
      </w:r>
      <w:r w:rsidRPr="009B6EEE">
        <w:rPr>
          <w:rFonts w:ascii="Palatino Linotype" w:eastAsia="Palatino Linotype" w:hAnsi="Palatino Linotype" w:cs="Palatino Linotype"/>
          <w:sz w:val="22"/>
          <w:szCs w:val="22"/>
        </w:rPr>
        <w:t>se ponga a disposición de ser procedente en versión pública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lo siguiente:</w:t>
      </w:r>
    </w:p>
    <w:p w14:paraId="573326B5"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60DE12" w14:textId="77777777" w:rsidR="00A53236" w:rsidRPr="009B6EEE" w:rsidRDefault="00BE58F5">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sz w:val="22"/>
          <w:szCs w:val="22"/>
        </w:rPr>
        <w:t xml:space="preserve">Los oficios generados de todas las áreas de la Universidad Politécnica del Valle de Toluca, del primero de enero al treinta y uno de diciembre de dos mil veintidós. </w:t>
      </w:r>
    </w:p>
    <w:p w14:paraId="7F343D17" w14:textId="77777777" w:rsidR="00A53236" w:rsidRPr="009B6EEE" w:rsidRDefault="00BE58F5">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sz w:val="22"/>
          <w:szCs w:val="22"/>
        </w:rPr>
        <w:t xml:space="preserve">Los oficios generados por el Departamento de Control Escolar, del veintisiete de febrero de dos mil veintitrés al veintisiete de febrero de dos mil veinticuatro. </w:t>
      </w:r>
    </w:p>
    <w:p w14:paraId="1218926B" w14:textId="77777777" w:rsidR="00A53236" w:rsidRPr="009B6EEE" w:rsidRDefault="00A5323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3B5DE79"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w:t>
      </w:r>
      <w:r w:rsidRPr="009B6EEE">
        <w:rPr>
          <w:rFonts w:ascii="Palatino Linotype" w:eastAsia="Palatino Linotype" w:hAnsi="Palatino Linotype" w:cs="Palatino Linotype"/>
          <w:i/>
          <w:sz w:val="22"/>
          <w:szCs w:val="22"/>
        </w:rPr>
        <w:lastRenderedPageBreak/>
        <w:t>de Transparencia, días y horarios de atención en términos del artículo 166 de</w:t>
      </w:r>
      <w:r w:rsidRPr="009B6EEE">
        <w:rPr>
          <w:rFonts w:ascii="Palatino Linotype" w:eastAsia="Palatino Linotype" w:hAnsi="Palatino Linotype" w:cs="Palatino Linotype"/>
          <w:sz w:val="22"/>
          <w:szCs w:val="22"/>
        </w:rPr>
        <w:t xml:space="preserve"> la </w:t>
      </w:r>
      <w:r w:rsidRPr="009B6EEE">
        <w:rPr>
          <w:rFonts w:ascii="Palatino Linotype" w:eastAsia="Palatino Linotype" w:hAnsi="Palatino Linotype" w:cs="Palatino Linotype"/>
          <w:i/>
          <w:sz w:val="22"/>
          <w:szCs w:val="22"/>
        </w:rPr>
        <w:t>Ley de Transparencia y Acceso a la Información Pública del Estado de México y Municipios, así como el nombre del servidor público que le atenderá. Además, deberá señalar que en caso de que la parte</w:t>
      </w:r>
      <w:r w:rsidRPr="009B6EEE">
        <w:rPr>
          <w:rFonts w:ascii="Palatino Linotype" w:eastAsia="Palatino Linotype" w:hAnsi="Palatino Linotype" w:cs="Palatino Linotype"/>
          <w:b/>
          <w:i/>
          <w:sz w:val="22"/>
          <w:szCs w:val="22"/>
        </w:rPr>
        <w:t xml:space="preserve"> Recurrente</w:t>
      </w:r>
      <w:r w:rsidRPr="009B6EEE">
        <w:rPr>
          <w:rFonts w:ascii="Palatino Linotype" w:eastAsia="Palatino Linotype" w:hAnsi="Palatino Linotype" w:cs="Palatino Linotype"/>
          <w:i/>
          <w:sz w:val="22"/>
          <w:szCs w:val="22"/>
        </w:rPr>
        <w:t xml:space="preserve"> proporcione el dispositivo electrónico y acuda por la información a la Unidad de Transparencia, la entrega de la información, será sin costo.</w:t>
      </w:r>
    </w:p>
    <w:p w14:paraId="0324AC5D" w14:textId="77777777" w:rsidR="00A53236" w:rsidRPr="009B6EEE" w:rsidRDefault="00A5323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0F52E8C" w14:textId="77777777" w:rsidR="00A53236" w:rsidRPr="009B6EEE" w:rsidRDefault="00BE58F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B6EEE">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w:t>
      </w:r>
      <w:r w:rsidRPr="009B6EEE">
        <w:rPr>
          <w:rFonts w:ascii="Palatino Linotype" w:eastAsia="Palatino Linotype" w:hAnsi="Palatino Linotype" w:cs="Palatino Linotype"/>
          <w:b/>
          <w:i/>
          <w:sz w:val="22"/>
          <w:szCs w:val="22"/>
        </w:rPr>
        <w:t xml:space="preserve"> Recurrente</w:t>
      </w:r>
      <w:r w:rsidRPr="009B6EEE">
        <w:rPr>
          <w:rFonts w:ascii="Palatino Linotype" w:eastAsia="Palatino Linotype" w:hAnsi="Palatino Linotype" w:cs="Palatino Linotype"/>
          <w:i/>
          <w:sz w:val="22"/>
          <w:szCs w:val="22"/>
        </w:rPr>
        <w:t>.</w:t>
      </w:r>
    </w:p>
    <w:p w14:paraId="490784A2" w14:textId="77777777" w:rsidR="00A53236" w:rsidRPr="009B6EEE" w:rsidRDefault="00A5323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078082E" w14:textId="77777777" w:rsidR="00A53236" w:rsidRPr="009B6EEE" w:rsidRDefault="00BE58F5">
      <w:pPr>
        <w:spacing w:line="276" w:lineRule="auto"/>
        <w:ind w:left="851" w:right="616"/>
        <w:jc w:val="both"/>
        <w:rPr>
          <w:rFonts w:ascii="Palatino Linotype" w:eastAsia="Palatino Linotype" w:hAnsi="Palatino Linotype" w:cs="Palatino Linotype"/>
          <w:i/>
          <w:sz w:val="22"/>
          <w:szCs w:val="22"/>
        </w:rPr>
      </w:pPr>
      <w:bookmarkStart w:id="3" w:name="_heading=h.3dy6vkm" w:colFirst="0" w:colLast="0"/>
      <w:bookmarkEnd w:id="3"/>
      <w:r w:rsidRPr="009B6EEE">
        <w:rPr>
          <w:rFonts w:ascii="Palatino Linotype" w:eastAsia="Palatino Linotype" w:hAnsi="Palatino Linotype" w:cs="Palatino Linotype"/>
          <w:i/>
          <w:sz w:val="22"/>
          <w:szCs w:val="22"/>
        </w:rPr>
        <w:t xml:space="preserve">Para el caso de que el </w:t>
      </w:r>
      <w:r w:rsidRPr="009B6EEE">
        <w:rPr>
          <w:rFonts w:ascii="Palatino Linotype" w:eastAsia="Palatino Linotype" w:hAnsi="Palatino Linotype" w:cs="Palatino Linotype"/>
          <w:b/>
          <w:i/>
          <w:sz w:val="22"/>
          <w:szCs w:val="22"/>
        </w:rPr>
        <w:t>Sujeto Obligado</w:t>
      </w:r>
      <w:r w:rsidRPr="009B6EEE">
        <w:rPr>
          <w:rFonts w:ascii="Palatino Linotype" w:eastAsia="Palatino Linotype" w:hAnsi="Palatino Linotype" w:cs="Palatino Linotype"/>
          <w:i/>
          <w:sz w:val="22"/>
          <w:szCs w:val="22"/>
        </w:rPr>
        <w:t xml:space="preserve"> no cuente con oficios en algunos de los días del periodo que se está ordenando o algunos oficios hayan sido cancelados, bastará con que así lo haga del conocimiento de la parte </w:t>
      </w:r>
      <w:r w:rsidRPr="009B6EEE">
        <w:rPr>
          <w:rFonts w:ascii="Palatino Linotype" w:eastAsia="Palatino Linotype" w:hAnsi="Palatino Linotype" w:cs="Palatino Linotype"/>
          <w:b/>
          <w:i/>
          <w:sz w:val="22"/>
          <w:szCs w:val="22"/>
        </w:rPr>
        <w:t>Recurrente</w:t>
      </w:r>
      <w:r w:rsidRPr="009B6EEE">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57DE9192"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83651C"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TERCERO.  Notifíquese vía SAIMEX, </w:t>
      </w:r>
      <w:r w:rsidRPr="009B6EEE">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9B6EEE">
        <w:rPr>
          <w:rFonts w:ascii="Palatino Linotype" w:eastAsia="Palatino Linotype" w:hAnsi="Palatino Linotype" w:cs="Palatino Linotype"/>
          <w:sz w:val="22"/>
          <w:szCs w:val="22"/>
        </w:rPr>
        <w:lastRenderedPageBreak/>
        <w:t>conformidad con lo previsto en los artículos 198, 200, fracción III; 214, 215 y 216 de la Ley  de Transparencia y Acceso a la Información Pública del Estado de México y Municipios.</w:t>
      </w:r>
    </w:p>
    <w:p w14:paraId="1BCA9933"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663EB94"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CUARTO. </w:t>
      </w:r>
      <w:r w:rsidRPr="009B6EEE">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B6EEE">
        <w:rPr>
          <w:rFonts w:ascii="Palatino Linotype" w:eastAsia="Palatino Linotype" w:hAnsi="Palatino Linotype" w:cs="Palatino Linotype"/>
          <w:b/>
          <w:sz w:val="22"/>
          <w:szCs w:val="22"/>
        </w:rPr>
        <w:t>Sujeto Obligado</w:t>
      </w:r>
      <w:r w:rsidRPr="009B6EE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251737F"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9C883BD" w14:textId="77777777" w:rsidR="00A53236" w:rsidRPr="009B6EEE" w:rsidRDefault="00BE5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B6EEE">
        <w:rPr>
          <w:rFonts w:ascii="Palatino Linotype" w:eastAsia="Palatino Linotype" w:hAnsi="Palatino Linotype" w:cs="Palatino Linotype"/>
          <w:b/>
          <w:sz w:val="22"/>
          <w:szCs w:val="22"/>
        </w:rPr>
        <w:t xml:space="preserve">QUINTO. Notifíquese vía SAIMEX, </w:t>
      </w:r>
      <w:r w:rsidRPr="009B6EEE">
        <w:rPr>
          <w:rFonts w:ascii="Palatino Linotype" w:eastAsia="Palatino Linotype" w:hAnsi="Palatino Linotype" w:cs="Palatino Linotype"/>
          <w:sz w:val="22"/>
          <w:szCs w:val="22"/>
        </w:rPr>
        <w:t>a la parte</w:t>
      </w:r>
      <w:r w:rsidRPr="009B6EEE">
        <w:rPr>
          <w:rFonts w:ascii="Palatino Linotype" w:eastAsia="Palatino Linotype" w:hAnsi="Palatino Linotype" w:cs="Palatino Linotype"/>
          <w:b/>
          <w:sz w:val="22"/>
          <w:szCs w:val="22"/>
        </w:rPr>
        <w:t xml:space="preserve"> Recurrente</w:t>
      </w:r>
      <w:r w:rsidRPr="009B6EEE">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6C72B0C4" w14:textId="77777777" w:rsidR="00A53236" w:rsidRPr="009B6EEE" w:rsidRDefault="00A532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F44E80" w14:textId="4625934D" w:rsidR="00A53236" w:rsidRPr="009B6EEE" w:rsidRDefault="00BE58F5">
      <w:pPr>
        <w:spacing w:before="240" w:after="240" w:line="360" w:lineRule="auto"/>
        <w:jc w:val="both"/>
        <w:rPr>
          <w:rFonts w:ascii="Palatino Linotype" w:eastAsia="Palatino Linotype" w:hAnsi="Palatino Linotype" w:cs="Palatino Linotype"/>
          <w:sz w:val="22"/>
          <w:szCs w:val="22"/>
        </w:rPr>
        <w:sectPr w:rsidR="00A53236" w:rsidRPr="009B6EEE">
          <w:headerReference w:type="even" r:id="rId21"/>
          <w:headerReference w:type="default" r:id="rId22"/>
          <w:footerReference w:type="even" r:id="rId23"/>
          <w:footerReference w:type="default" r:id="rId24"/>
          <w:headerReference w:type="first" r:id="rId25"/>
          <w:footerReference w:type="first" r:id="rId26"/>
          <w:pgSz w:w="12240" w:h="15840"/>
          <w:pgMar w:top="621" w:right="1701" w:bottom="1701" w:left="1701" w:header="618" w:footer="709" w:gutter="0"/>
          <w:pgNumType w:start="1"/>
          <w:cols w:space="720"/>
          <w:titlePg/>
        </w:sectPr>
      </w:pPr>
      <w:r w:rsidRPr="009B6EEE">
        <w:rPr>
          <w:rFonts w:ascii="Palatino Linotype" w:eastAsia="Palatino Linotype" w:hAnsi="Palatino Linotype" w:cs="Palatino Linotype"/>
          <w:sz w:val="22"/>
          <w:szCs w:val="22"/>
        </w:rPr>
        <w:t xml:space="preserve">ASÍ LO RESUELVE, POR </w:t>
      </w:r>
      <w:r w:rsidR="00106131" w:rsidRPr="009B6EEE">
        <w:rPr>
          <w:rFonts w:ascii="Palatino Linotype" w:eastAsia="Palatino Linotype" w:hAnsi="Palatino Linotype" w:cs="Palatino Linotype"/>
          <w:sz w:val="22"/>
          <w:szCs w:val="22"/>
        </w:rPr>
        <w:t>MAYOR</w:t>
      </w:r>
      <w:r w:rsidR="009B6EEE" w:rsidRPr="009B6EEE">
        <w:rPr>
          <w:rFonts w:ascii="Palatino Linotype" w:eastAsia="Palatino Linotype" w:hAnsi="Palatino Linotype" w:cs="Palatino Linotype"/>
          <w:sz w:val="22"/>
          <w:szCs w:val="22"/>
        </w:rPr>
        <w:t>Í</w:t>
      </w:r>
      <w:r w:rsidR="00106131" w:rsidRPr="009B6EEE">
        <w:rPr>
          <w:rFonts w:ascii="Palatino Linotype" w:eastAsia="Palatino Linotype" w:hAnsi="Palatino Linotype" w:cs="Palatino Linotype"/>
          <w:sz w:val="22"/>
          <w:szCs w:val="22"/>
        </w:rPr>
        <w:t>A</w:t>
      </w:r>
      <w:r w:rsidRPr="009B6EEE">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106131" w:rsidRPr="009B6EEE">
        <w:rPr>
          <w:rFonts w:ascii="Palatino Linotype" w:eastAsia="Palatino Linotype" w:hAnsi="Palatino Linotype" w:cs="Palatino Linotype"/>
          <w:sz w:val="22"/>
          <w:szCs w:val="22"/>
        </w:rPr>
        <w:t xml:space="preserve"> (EMITIENDO VOTO DISIDENTE)</w:t>
      </w:r>
      <w:r w:rsidRPr="009B6EEE">
        <w:rPr>
          <w:rFonts w:ascii="Palatino Linotype" w:eastAsia="Palatino Linotype" w:hAnsi="Palatino Linotype" w:cs="Palatino Linotype"/>
          <w:sz w:val="22"/>
          <w:szCs w:val="22"/>
        </w:rPr>
        <w:t>; EN LA TRIGÉSIMA SÉPTIMA SESIÓN ORDINARIA CELEBRADA EL DIECISÉIS DE OCTUBRE DE DOS MIL VEINTICUATRO, ANTE EL SECRETARIO TÉCNICO DEL PLENO, ALEXIS TAPIA RAMÍREZ.</w:t>
      </w:r>
    </w:p>
    <w:p w14:paraId="65744011" w14:textId="77777777" w:rsidR="00A53236" w:rsidRPr="009B6EEE" w:rsidRDefault="00A53236">
      <w:pPr>
        <w:spacing w:before="240" w:after="240"/>
        <w:jc w:val="both"/>
        <w:rPr>
          <w:rFonts w:ascii="Palatino Linotype" w:eastAsia="Palatino Linotype" w:hAnsi="Palatino Linotype" w:cs="Palatino Linotype"/>
          <w:sz w:val="22"/>
          <w:szCs w:val="22"/>
        </w:rPr>
      </w:pPr>
    </w:p>
    <w:p w14:paraId="37CAB587" w14:textId="77777777" w:rsidR="00A53236" w:rsidRPr="009B6EEE" w:rsidRDefault="00A53236">
      <w:pPr>
        <w:spacing w:before="240" w:after="240"/>
        <w:jc w:val="both"/>
        <w:rPr>
          <w:rFonts w:ascii="Palatino Linotype" w:eastAsia="Palatino Linotype" w:hAnsi="Palatino Linotype" w:cs="Palatino Linotype"/>
          <w:sz w:val="22"/>
          <w:szCs w:val="22"/>
        </w:rPr>
      </w:pPr>
      <w:bookmarkStart w:id="4" w:name="_heading=h.1fob9te" w:colFirst="0" w:colLast="0"/>
      <w:bookmarkEnd w:id="4"/>
    </w:p>
    <w:sectPr w:rsidR="00A53236" w:rsidRPr="009B6EEE">
      <w:headerReference w:type="first" r:id="rId2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E7164" w14:textId="77777777" w:rsidR="00A0499F" w:rsidRDefault="00A0499F">
      <w:r>
        <w:separator/>
      </w:r>
    </w:p>
  </w:endnote>
  <w:endnote w:type="continuationSeparator" w:id="0">
    <w:p w14:paraId="0AAE72CC" w14:textId="77777777" w:rsidR="00A0499F" w:rsidRDefault="00A0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CF54" w14:textId="77777777" w:rsidR="00A53236" w:rsidRDefault="00A5323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FEAB" w14:textId="77777777" w:rsidR="00A53236" w:rsidRDefault="00BE58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9776D">
      <w:rPr>
        <w:rFonts w:ascii="Palatino Linotype" w:eastAsia="Palatino Linotype" w:hAnsi="Palatino Linotype" w:cs="Palatino Linotype"/>
        <w:b/>
        <w:noProof/>
        <w:color w:val="000000"/>
        <w:sz w:val="20"/>
        <w:szCs w:val="20"/>
      </w:rPr>
      <w:t>94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9776D">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1844C548" w14:textId="77777777" w:rsidR="00A53236" w:rsidRDefault="00A53236">
    <w:pPr>
      <w:spacing w:line="360" w:lineRule="auto"/>
      <w:jc w:val="both"/>
      <w:rPr>
        <w:rFonts w:ascii="Palatino Linotype" w:eastAsia="Palatino Linotype" w:hAnsi="Palatino Linotype" w:cs="Palatino Linotype"/>
        <w:sz w:val="22"/>
        <w:szCs w:val="22"/>
      </w:rPr>
    </w:pPr>
  </w:p>
  <w:p w14:paraId="215128DC" w14:textId="77777777" w:rsidR="00A53236" w:rsidRDefault="00A53236">
    <w:pPr>
      <w:pBdr>
        <w:top w:val="nil"/>
        <w:left w:val="nil"/>
        <w:bottom w:val="nil"/>
        <w:right w:val="nil"/>
        <w:between w:val="nil"/>
      </w:pBdr>
      <w:tabs>
        <w:tab w:val="center" w:pos="4252"/>
        <w:tab w:val="right" w:pos="8504"/>
      </w:tabs>
      <w:ind w:firstLine="708"/>
      <w:rPr>
        <w:rFonts w:ascii="Palatino Linotype" w:eastAsia="Palatino Linotype" w:hAnsi="Palatino Linotype" w:cs="Palatino Linotype"/>
        <w:sz w:val="22"/>
        <w:szCs w:val="22"/>
      </w:rPr>
    </w:pPr>
  </w:p>
  <w:p w14:paraId="41994142" w14:textId="77777777" w:rsidR="00A53236" w:rsidRDefault="00A53236"/>
  <w:p w14:paraId="2F6969CD" w14:textId="77777777" w:rsidR="00A53236" w:rsidRDefault="00A532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1024" w14:textId="77777777" w:rsidR="00A53236" w:rsidRDefault="00BE58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9776D">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9776D">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45FB2552" w14:textId="77777777" w:rsidR="00A53236" w:rsidRDefault="00A53236">
    <w:pPr>
      <w:pBdr>
        <w:top w:val="nil"/>
        <w:left w:val="nil"/>
        <w:bottom w:val="nil"/>
        <w:right w:val="nil"/>
        <w:between w:val="nil"/>
      </w:pBdr>
      <w:tabs>
        <w:tab w:val="center" w:pos="4252"/>
        <w:tab w:val="right" w:pos="8504"/>
      </w:tabs>
      <w:rPr>
        <w:rFonts w:ascii="Cambria" w:eastAsia="Cambria" w:hAnsi="Cambria" w:cs="Cambria"/>
        <w:color w:val="000000"/>
      </w:rPr>
    </w:pPr>
  </w:p>
  <w:p w14:paraId="4ED39860" w14:textId="77777777" w:rsidR="00A53236" w:rsidRDefault="00A53236"/>
  <w:p w14:paraId="26896FB2" w14:textId="77777777" w:rsidR="00A53236" w:rsidRDefault="00A532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83642" w14:textId="77777777" w:rsidR="00A0499F" w:rsidRDefault="00A0499F">
      <w:r>
        <w:separator/>
      </w:r>
    </w:p>
  </w:footnote>
  <w:footnote w:type="continuationSeparator" w:id="0">
    <w:p w14:paraId="272FD84E" w14:textId="77777777" w:rsidR="00A0499F" w:rsidRDefault="00A0499F">
      <w:r>
        <w:continuationSeparator/>
      </w:r>
    </w:p>
  </w:footnote>
  <w:footnote w:id="1">
    <w:p w14:paraId="4B3D72F0" w14:textId="77777777" w:rsidR="00A53236" w:rsidRDefault="00BE58F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F6F4B11" w14:textId="77777777" w:rsidR="00A53236" w:rsidRDefault="00BE58F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B9F718A" w14:textId="77777777" w:rsidR="00A53236" w:rsidRDefault="00BE58F5">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A4BD" w14:textId="77777777" w:rsidR="00A53236" w:rsidRDefault="00A5323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6D3C" w14:textId="77777777" w:rsidR="00A53236" w:rsidRDefault="00BE58F5">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6A9AFE7" wp14:editId="46CE1D0A">
          <wp:simplePos x="0" y="0"/>
          <wp:positionH relativeFrom="column">
            <wp:posOffset>-1080128</wp:posOffset>
          </wp:positionH>
          <wp:positionV relativeFrom="paragraph">
            <wp:posOffset>-234306</wp:posOffset>
          </wp:positionV>
          <wp:extent cx="7809865" cy="10165715"/>
          <wp:effectExtent l="0" t="0" r="0" b="0"/>
          <wp:wrapNone/>
          <wp:docPr id="17055577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0"/>
      <w:tblW w:w="5811" w:type="dxa"/>
      <w:tblInd w:w="3261" w:type="dxa"/>
      <w:tblLayout w:type="fixed"/>
      <w:tblLook w:val="0400" w:firstRow="0" w:lastRow="0" w:firstColumn="0" w:lastColumn="0" w:noHBand="0" w:noVBand="1"/>
    </w:tblPr>
    <w:tblGrid>
      <w:gridCol w:w="2390"/>
      <w:gridCol w:w="3421"/>
    </w:tblGrid>
    <w:tr w:rsidR="00A53236" w14:paraId="7445FEED" w14:textId="77777777">
      <w:trPr>
        <w:trHeight w:val="502"/>
      </w:trPr>
      <w:tc>
        <w:tcPr>
          <w:tcW w:w="2390" w:type="dxa"/>
          <w:shd w:val="clear" w:color="auto" w:fill="auto"/>
        </w:tcPr>
        <w:p w14:paraId="2DE86A6B" w14:textId="77777777" w:rsidR="00A53236" w:rsidRDefault="00BE58F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21" w:type="dxa"/>
          <w:shd w:val="clear" w:color="auto" w:fill="auto"/>
          <w:vAlign w:val="center"/>
        </w:tcPr>
        <w:p w14:paraId="4847599F" w14:textId="77777777" w:rsidR="00A53236" w:rsidRDefault="00BE58F5">
          <w:pPr>
            <w:ind w:right="184"/>
            <w:jc w:val="both"/>
            <w:rPr>
              <w:rFonts w:ascii="Palatino Linotype" w:eastAsia="Palatino Linotype" w:hAnsi="Palatino Linotype" w:cs="Palatino Linotype"/>
              <w:b/>
            </w:rPr>
          </w:pPr>
          <w:r>
            <w:rPr>
              <w:rFonts w:ascii="Palatino Linotype" w:eastAsia="Palatino Linotype" w:hAnsi="Palatino Linotype" w:cs="Palatino Linotype"/>
              <w:b/>
            </w:rPr>
            <w:t>02244/INFOEM/IP/RR/2024 y acumulado</w:t>
          </w:r>
        </w:p>
      </w:tc>
    </w:tr>
    <w:tr w:rsidR="00A53236" w14:paraId="08E91E8C" w14:textId="77777777">
      <w:trPr>
        <w:trHeight w:val="190"/>
      </w:trPr>
      <w:tc>
        <w:tcPr>
          <w:tcW w:w="2390" w:type="dxa"/>
          <w:shd w:val="clear" w:color="auto" w:fill="auto"/>
          <w:vAlign w:val="center"/>
        </w:tcPr>
        <w:p w14:paraId="3C51C5F4" w14:textId="77777777" w:rsidR="00A53236" w:rsidRDefault="00BE58F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21" w:type="dxa"/>
          <w:shd w:val="clear" w:color="auto" w:fill="auto"/>
          <w:vAlign w:val="center"/>
        </w:tcPr>
        <w:p w14:paraId="28240539" w14:textId="77777777" w:rsidR="00A53236" w:rsidRDefault="00BE58F5">
          <w:pPr>
            <w:ind w:left="27" w:right="169"/>
            <w:jc w:val="both"/>
            <w:rPr>
              <w:rFonts w:ascii="Palatino Linotype" w:eastAsia="Palatino Linotype" w:hAnsi="Palatino Linotype" w:cs="Palatino Linotype"/>
              <w:b/>
            </w:rPr>
          </w:pPr>
          <w:r>
            <w:rPr>
              <w:rFonts w:ascii="Palatino Linotype" w:eastAsia="Palatino Linotype" w:hAnsi="Palatino Linotype" w:cs="Palatino Linotype"/>
              <w:b/>
            </w:rPr>
            <w:t>Universidad Politécnica del Valle de Toluca</w:t>
          </w:r>
        </w:p>
      </w:tc>
    </w:tr>
    <w:tr w:rsidR="00A53236" w14:paraId="7270793B" w14:textId="77777777">
      <w:trPr>
        <w:trHeight w:val="251"/>
      </w:trPr>
      <w:tc>
        <w:tcPr>
          <w:tcW w:w="2390" w:type="dxa"/>
          <w:shd w:val="clear" w:color="auto" w:fill="auto"/>
          <w:vAlign w:val="center"/>
        </w:tcPr>
        <w:p w14:paraId="7245953B" w14:textId="77777777" w:rsidR="00A53236" w:rsidRDefault="00BE58F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21" w:type="dxa"/>
          <w:shd w:val="clear" w:color="auto" w:fill="auto"/>
          <w:vAlign w:val="center"/>
        </w:tcPr>
        <w:p w14:paraId="727AF75C" w14:textId="77777777" w:rsidR="00A53236" w:rsidRDefault="00BE58F5">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FE7D387" w14:textId="77777777" w:rsidR="00A53236" w:rsidRDefault="00BE58F5">
    <w:pPr>
      <w:rPr>
        <w:rFonts w:ascii="Cambria" w:eastAsia="Cambria" w:hAnsi="Cambria" w:cs="Cambria"/>
        <w:color w:val="000000"/>
      </w:rPr>
    </w:pPr>
    <w:r>
      <w:tab/>
    </w:r>
  </w:p>
  <w:p w14:paraId="5BAACF10" w14:textId="77777777" w:rsidR="00A53236" w:rsidRDefault="00BE58F5">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E21A" w14:textId="77777777" w:rsidR="00A53236" w:rsidRDefault="00BE58F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C3CE697" wp14:editId="77672683">
          <wp:simplePos x="0" y="0"/>
          <wp:positionH relativeFrom="column">
            <wp:posOffset>-1073781</wp:posOffset>
          </wp:positionH>
          <wp:positionV relativeFrom="paragraph">
            <wp:posOffset>-198751</wp:posOffset>
          </wp:positionV>
          <wp:extent cx="7809865" cy="10165715"/>
          <wp:effectExtent l="0" t="0" r="0" b="0"/>
          <wp:wrapNone/>
          <wp:docPr id="17055577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1"/>
      <w:tblW w:w="6378" w:type="dxa"/>
      <w:tblInd w:w="3261" w:type="dxa"/>
      <w:tblLayout w:type="fixed"/>
      <w:tblLook w:val="0400" w:firstRow="0" w:lastRow="0" w:firstColumn="0" w:lastColumn="0" w:noHBand="0" w:noVBand="1"/>
    </w:tblPr>
    <w:tblGrid>
      <w:gridCol w:w="2512"/>
      <w:gridCol w:w="3866"/>
    </w:tblGrid>
    <w:tr w:rsidR="00A53236" w14:paraId="69CF33AB" w14:textId="77777777">
      <w:trPr>
        <w:trHeight w:val="442"/>
      </w:trPr>
      <w:tc>
        <w:tcPr>
          <w:tcW w:w="2512" w:type="dxa"/>
          <w:shd w:val="clear" w:color="auto" w:fill="auto"/>
          <w:vAlign w:val="center"/>
        </w:tcPr>
        <w:p w14:paraId="4C10F24F" w14:textId="77777777" w:rsidR="00A53236" w:rsidRDefault="00BE58F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14:paraId="412CABFF" w14:textId="77777777" w:rsidR="00A53236" w:rsidRDefault="00BE58F5">
          <w:pPr>
            <w:tabs>
              <w:tab w:val="left" w:pos="2334"/>
            </w:tabs>
            <w:ind w:left="-45" w:right="877"/>
            <w:jc w:val="both"/>
            <w:rPr>
              <w:rFonts w:ascii="Palatino Linotype" w:eastAsia="Palatino Linotype" w:hAnsi="Palatino Linotype" w:cs="Palatino Linotype"/>
              <w:b/>
            </w:rPr>
          </w:pPr>
          <w:r>
            <w:rPr>
              <w:rFonts w:ascii="Palatino Linotype" w:eastAsia="Palatino Linotype" w:hAnsi="Palatino Linotype" w:cs="Palatino Linotype"/>
              <w:b/>
            </w:rPr>
            <w:t>02244/INFOEM/IP/RR/2024y acumulado</w:t>
          </w:r>
        </w:p>
      </w:tc>
    </w:tr>
    <w:tr w:rsidR="00A53236" w14:paraId="56900456" w14:textId="77777777">
      <w:trPr>
        <w:trHeight w:val="95"/>
      </w:trPr>
      <w:tc>
        <w:tcPr>
          <w:tcW w:w="2512" w:type="dxa"/>
          <w:shd w:val="clear" w:color="auto" w:fill="auto"/>
          <w:vAlign w:val="center"/>
        </w:tcPr>
        <w:p w14:paraId="4CFE25C0" w14:textId="77777777" w:rsidR="00A53236" w:rsidRDefault="00BE58F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14:paraId="4CFB0F8A" w14:textId="77777777" w:rsidR="00A53236" w:rsidRDefault="00A53236">
          <w:pPr>
            <w:jc w:val="both"/>
            <w:rPr>
              <w:rFonts w:ascii="Palatino Linotype" w:eastAsia="Palatino Linotype" w:hAnsi="Palatino Linotype" w:cs="Palatino Linotype"/>
              <w:b/>
            </w:rPr>
          </w:pPr>
        </w:p>
      </w:tc>
    </w:tr>
    <w:tr w:rsidR="00A53236" w14:paraId="268DD3F6" w14:textId="77777777">
      <w:trPr>
        <w:trHeight w:val="168"/>
      </w:trPr>
      <w:tc>
        <w:tcPr>
          <w:tcW w:w="2512" w:type="dxa"/>
          <w:shd w:val="clear" w:color="auto" w:fill="auto"/>
          <w:vAlign w:val="center"/>
        </w:tcPr>
        <w:p w14:paraId="6E0343F6" w14:textId="77777777" w:rsidR="00A53236" w:rsidRDefault="00BE58F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14:paraId="0E5323B7" w14:textId="77777777" w:rsidR="00A53236" w:rsidRDefault="00BE58F5">
          <w:pPr>
            <w:ind w:left="-45" w:right="593"/>
            <w:jc w:val="both"/>
            <w:rPr>
              <w:rFonts w:ascii="Palatino Linotype" w:eastAsia="Palatino Linotype" w:hAnsi="Palatino Linotype" w:cs="Palatino Linotype"/>
              <w:b/>
            </w:rPr>
          </w:pPr>
          <w:r>
            <w:rPr>
              <w:rFonts w:ascii="Palatino Linotype" w:eastAsia="Palatino Linotype" w:hAnsi="Palatino Linotype" w:cs="Palatino Linotype"/>
              <w:b/>
            </w:rPr>
            <w:t>Universidad Politécnica del Valle de Toluca</w:t>
          </w:r>
        </w:p>
      </w:tc>
    </w:tr>
    <w:tr w:rsidR="00A53236" w14:paraId="0AE44E47" w14:textId="77777777">
      <w:trPr>
        <w:trHeight w:val="221"/>
      </w:trPr>
      <w:tc>
        <w:tcPr>
          <w:tcW w:w="2512" w:type="dxa"/>
          <w:shd w:val="clear" w:color="auto" w:fill="auto"/>
          <w:vAlign w:val="center"/>
        </w:tcPr>
        <w:p w14:paraId="2A094BDA" w14:textId="77777777" w:rsidR="00A53236" w:rsidRDefault="00BE58F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14:paraId="41AFA89C" w14:textId="77777777" w:rsidR="00A53236" w:rsidRDefault="00BE58F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39BB8F4" w14:textId="77777777" w:rsidR="00A53236" w:rsidRDefault="00A5323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94E2" w14:textId="77777777" w:rsidR="00A53236" w:rsidRDefault="00A5323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7417"/>
    <w:multiLevelType w:val="multilevel"/>
    <w:tmpl w:val="CB8EA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0E559F"/>
    <w:multiLevelType w:val="multilevel"/>
    <w:tmpl w:val="0FF8E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B50831"/>
    <w:multiLevelType w:val="multilevel"/>
    <w:tmpl w:val="FF46E21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1692965"/>
    <w:multiLevelType w:val="multilevel"/>
    <w:tmpl w:val="918C4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733C26"/>
    <w:multiLevelType w:val="multilevel"/>
    <w:tmpl w:val="7C00A69C"/>
    <w:lvl w:ilvl="0">
      <w:start w:val="1"/>
      <w:numFmt w:val="bullet"/>
      <w:lvlText w:val="❖"/>
      <w:lvlJc w:val="left"/>
      <w:pPr>
        <w:ind w:left="5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1D10D0"/>
    <w:multiLevelType w:val="multilevel"/>
    <w:tmpl w:val="6B900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EE4316"/>
    <w:multiLevelType w:val="multilevel"/>
    <w:tmpl w:val="DB6419DC"/>
    <w:lvl w:ilvl="0">
      <w:start w:val="1"/>
      <w:numFmt w:val="bullet"/>
      <w:lvlText w:val="❖"/>
      <w:lvlJc w:val="left"/>
      <w:pPr>
        <w:ind w:left="5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320CF9"/>
    <w:multiLevelType w:val="multilevel"/>
    <w:tmpl w:val="B588BC8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8A4A4F"/>
    <w:multiLevelType w:val="multilevel"/>
    <w:tmpl w:val="ED28A050"/>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F82BDC"/>
    <w:multiLevelType w:val="multilevel"/>
    <w:tmpl w:val="9DA089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7"/>
  </w:num>
  <w:num w:numId="3">
    <w:abstractNumId w:val="8"/>
  </w:num>
  <w:num w:numId="4">
    <w:abstractNumId w:val="4"/>
  </w:num>
  <w:num w:numId="5">
    <w:abstractNumId w:val="1"/>
  </w:num>
  <w:num w:numId="6">
    <w:abstractNumId w:val="6"/>
  </w:num>
  <w:num w:numId="7">
    <w:abstractNumId w:val="3"/>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236"/>
    <w:rsid w:val="00106131"/>
    <w:rsid w:val="0044333D"/>
    <w:rsid w:val="0089776D"/>
    <w:rsid w:val="009B6EEE"/>
    <w:rsid w:val="00A0499F"/>
    <w:rsid w:val="00A53236"/>
    <w:rsid w:val="00BE58F5"/>
    <w:rsid w:val="00CA6C08"/>
    <w:rsid w:val="00EA5CAE"/>
    <w:rsid w:val="00FE08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5988"/>
  <w15:docId w15:val="{A8E3372F-F666-4E57-A3B9-83030C85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4">
    <w:name w:val="44"/>
    <w:basedOn w:val="TableNormal20"/>
    <w:tblPr>
      <w:tblStyleRowBandSize w:val="1"/>
      <w:tblStyleColBandSize w:val="1"/>
      <w:tblCellMar>
        <w:left w:w="115" w:type="dxa"/>
        <w:right w:w="115" w:type="dxa"/>
      </w:tblCellMar>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rPr>
      <w:sz w:val="22"/>
      <w:szCs w:val="22"/>
    </w:rPr>
    <w:tblPr>
      <w:tblStyleRowBandSize w:val="1"/>
      <w:tblStyleColBandSize w:val="1"/>
      <w:tblCellMar>
        <w:left w:w="115" w:type="dxa"/>
        <w:right w:w="115" w:type="dxa"/>
      </w:tblCellMar>
    </w:tblPr>
  </w:style>
  <w:style w:type="table" w:customStyle="1" w:styleId="36">
    <w:name w:val="36"/>
    <w:basedOn w:val="TableNormal20"/>
    <w:rPr>
      <w:sz w:val="22"/>
      <w:szCs w:val="22"/>
    </w:rPr>
    <w:tblPr>
      <w:tblStyleRowBandSize w:val="1"/>
      <w:tblStyleColBandSize w:val="1"/>
      <w:tblCellMar>
        <w:left w:w="115" w:type="dxa"/>
        <w:right w:w="115" w:type="dxa"/>
      </w:tblCellMar>
    </w:tblPr>
  </w:style>
  <w:style w:type="table" w:customStyle="1" w:styleId="35">
    <w:name w:val="35"/>
    <w:basedOn w:val="TableNormal20"/>
    <w:rPr>
      <w:sz w:val="22"/>
      <w:szCs w:val="22"/>
    </w:rPr>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tblPr>
      <w:tblStyleRowBandSize w:val="1"/>
      <w:tblStyleColBandSize w:val="1"/>
      <w:tblCellMar>
        <w:left w:w="115" w:type="dxa"/>
        <w:right w:w="115" w:type="dxa"/>
      </w:tblCellMar>
    </w:tblPr>
  </w:style>
  <w:style w:type="table" w:customStyle="1" w:styleId="32">
    <w:name w:val="32"/>
    <w:basedOn w:val="TableNormal20"/>
    <w:tblPr>
      <w:tblStyleRowBandSize w:val="1"/>
      <w:tblStyleColBandSize w:val="1"/>
      <w:tblCellMar>
        <w:left w:w="115" w:type="dxa"/>
        <w:right w:w="115" w:type="dxa"/>
      </w:tblCellMar>
    </w:tblPr>
  </w:style>
  <w:style w:type="table" w:customStyle="1" w:styleId="31">
    <w:name w:val="31"/>
    <w:basedOn w:val="TableNormal20"/>
    <w:tblPr>
      <w:tblStyleRowBandSize w:val="1"/>
      <w:tblStyleColBandSize w:val="1"/>
      <w:tblCellMar>
        <w:left w:w="115" w:type="dxa"/>
        <w:right w:w="115" w:type="dxa"/>
      </w:tblCellMar>
    </w:tblPr>
  </w:style>
  <w:style w:type="table" w:customStyle="1" w:styleId="30">
    <w:name w:val="30"/>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9">
    <w:name w:val="29"/>
    <w:basedOn w:val="TableNormal20"/>
    <w:rPr>
      <w:sz w:val="22"/>
      <w:szCs w:val="22"/>
    </w:rPr>
    <w:tblPr>
      <w:tblStyleRowBandSize w:val="1"/>
      <w:tblStyleColBandSize w:val="1"/>
      <w:tblCellMar>
        <w:left w:w="115" w:type="dxa"/>
        <w:right w:w="115" w:type="dxa"/>
      </w:tblCellMar>
    </w:tblPr>
  </w:style>
  <w:style w:type="table" w:customStyle="1" w:styleId="28">
    <w:name w:val="28"/>
    <w:basedOn w:val="TableNormal20"/>
    <w:rPr>
      <w:sz w:val="22"/>
      <w:szCs w:val="22"/>
    </w:rPr>
    <w:tblPr>
      <w:tblStyleRowBandSize w:val="1"/>
      <w:tblStyleColBandSize w:val="1"/>
      <w:tblCellMar>
        <w:left w:w="115" w:type="dxa"/>
        <w:right w:w="115" w:type="dxa"/>
      </w:tblCellMar>
    </w:tblPr>
  </w:style>
  <w:style w:type="table" w:customStyle="1" w:styleId="27">
    <w:name w:val="27"/>
    <w:basedOn w:val="TableNormal30"/>
    <w:rPr>
      <w:sz w:val="22"/>
      <w:szCs w:val="22"/>
    </w:rPr>
    <w:tblPr>
      <w:tblStyleRowBandSize w:val="1"/>
      <w:tblStyleColBandSize w:val="1"/>
      <w:tblCellMar>
        <w:left w:w="115" w:type="dxa"/>
        <w:right w:w="115" w:type="dxa"/>
      </w:tblCellMar>
    </w:tblPr>
  </w:style>
  <w:style w:type="table" w:customStyle="1" w:styleId="26">
    <w:name w:val="26"/>
    <w:basedOn w:val="TableNormal30"/>
    <w:rPr>
      <w:sz w:val="22"/>
      <w:szCs w:val="22"/>
    </w:rPr>
    <w:tblPr>
      <w:tblStyleRowBandSize w:val="1"/>
      <w:tblStyleColBandSize w:val="1"/>
      <w:tblCellMar>
        <w:left w:w="115" w:type="dxa"/>
        <w:right w:w="115" w:type="dxa"/>
      </w:tblCellMar>
    </w:tblPr>
  </w:style>
  <w:style w:type="table" w:customStyle="1" w:styleId="25">
    <w:name w:val="25"/>
    <w:basedOn w:val="TableNormal30"/>
    <w:tblPr>
      <w:tblStyleRowBandSize w:val="1"/>
      <w:tblStyleColBandSize w:val="1"/>
      <w:tblCellMar>
        <w:left w:w="115" w:type="dxa"/>
        <w:right w:w="115" w:type="dxa"/>
      </w:tblCellMar>
    </w:tblPr>
  </w:style>
  <w:style w:type="table" w:customStyle="1" w:styleId="24">
    <w:name w:val="24"/>
    <w:basedOn w:val="TableNormal30"/>
    <w:rPr>
      <w:sz w:val="22"/>
      <w:szCs w:val="22"/>
    </w:rPr>
    <w:tblPr>
      <w:tblStyleRowBandSize w:val="1"/>
      <w:tblStyleColBandSize w:val="1"/>
      <w:tblCellMar>
        <w:left w:w="115" w:type="dxa"/>
        <w:right w:w="115" w:type="dxa"/>
      </w:tblCellMar>
    </w:tblPr>
  </w:style>
  <w:style w:type="table" w:customStyle="1" w:styleId="23">
    <w:name w:val="23"/>
    <w:basedOn w:val="TableNormal30"/>
    <w:rPr>
      <w:sz w:val="22"/>
      <w:szCs w:val="22"/>
    </w:rPr>
    <w:tblPr>
      <w:tblStyleRowBandSize w:val="1"/>
      <w:tblStyleColBandSize w:val="1"/>
      <w:tblCellMar>
        <w:left w:w="115" w:type="dxa"/>
        <w:right w:w="115" w:type="dxa"/>
      </w:tblCellMar>
    </w:tblPr>
  </w:style>
  <w:style w:type="table" w:customStyle="1" w:styleId="22">
    <w:name w:val="22"/>
    <w:basedOn w:val="TableNormal40"/>
    <w:rPr>
      <w:sz w:val="22"/>
      <w:szCs w:val="22"/>
    </w:rPr>
    <w:tblPr>
      <w:tblStyleRowBandSize w:val="1"/>
      <w:tblStyleColBandSize w:val="1"/>
      <w:tblCellMar>
        <w:left w:w="115" w:type="dxa"/>
        <w:right w:w="115" w:type="dxa"/>
      </w:tblCellMar>
    </w:tblPr>
  </w:style>
  <w:style w:type="table" w:customStyle="1" w:styleId="21">
    <w:name w:val="21"/>
    <w:basedOn w:val="TableNormal40"/>
    <w:rPr>
      <w:sz w:val="22"/>
      <w:szCs w:val="22"/>
    </w:rPr>
    <w:tblPr>
      <w:tblStyleRowBandSize w:val="1"/>
      <w:tblStyleColBandSize w:val="1"/>
      <w:tblCellMar>
        <w:left w:w="115" w:type="dxa"/>
        <w:right w:w="115" w:type="dxa"/>
      </w:tblCellMar>
    </w:tblPr>
  </w:style>
  <w:style w:type="table" w:customStyle="1" w:styleId="20">
    <w:name w:val="20"/>
    <w:basedOn w:val="TableNormal40"/>
    <w:rPr>
      <w:sz w:val="22"/>
      <w:szCs w:val="22"/>
    </w:rPr>
    <w:tblPr>
      <w:tblStyleRowBandSize w:val="1"/>
      <w:tblStyleColBandSize w:val="1"/>
      <w:tblCellMar>
        <w:left w:w="115" w:type="dxa"/>
        <w:right w:w="115" w:type="dxa"/>
      </w:tblCellMar>
    </w:tblPr>
  </w:style>
  <w:style w:type="table" w:customStyle="1" w:styleId="19">
    <w:name w:val="19"/>
    <w:basedOn w:val="TableNormal40"/>
    <w:rPr>
      <w:sz w:val="22"/>
      <w:szCs w:val="22"/>
    </w:rPr>
    <w:tblPr>
      <w:tblStyleRowBandSize w:val="1"/>
      <w:tblStyleColBandSize w:val="1"/>
      <w:tblCellMar>
        <w:left w:w="115" w:type="dxa"/>
        <w:right w:w="115" w:type="dxa"/>
      </w:tblCellMar>
    </w:tblPr>
  </w:style>
  <w:style w:type="table" w:customStyle="1" w:styleId="18">
    <w:name w:val="18"/>
    <w:basedOn w:val="TableNormal4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50"/>
    <w:tblPr>
      <w:tblStyleRowBandSize w:val="1"/>
      <w:tblStyleColBandSize w:val="1"/>
      <w:tblCellMar>
        <w:left w:w="115" w:type="dxa"/>
        <w:right w:w="115" w:type="dxa"/>
      </w:tblCellMar>
    </w:tblPr>
  </w:style>
  <w:style w:type="table" w:customStyle="1" w:styleId="15">
    <w:name w:val="15"/>
    <w:basedOn w:val="TableNormal50"/>
    <w:rPr>
      <w:sz w:val="22"/>
      <w:szCs w:val="22"/>
    </w:rPr>
    <w:tblPr>
      <w:tblStyleRowBandSize w:val="1"/>
      <w:tblStyleColBandSize w:val="1"/>
      <w:tblCellMar>
        <w:left w:w="115" w:type="dxa"/>
        <w:right w:w="115" w:type="dxa"/>
      </w:tblCellMar>
    </w:tblPr>
  </w:style>
  <w:style w:type="table" w:customStyle="1" w:styleId="14">
    <w:name w:val="14"/>
    <w:basedOn w:val="TableNormal50"/>
    <w:rPr>
      <w:sz w:val="22"/>
      <w:szCs w:val="22"/>
    </w:rPr>
    <w:tblPr>
      <w:tblStyleRowBandSize w:val="1"/>
      <w:tblStyleColBandSize w:val="1"/>
      <w:tblCellMar>
        <w:left w:w="115" w:type="dxa"/>
        <w:right w:w="115" w:type="dxa"/>
      </w:tblCellMar>
    </w:tblPr>
  </w:style>
  <w:style w:type="table" w:customStyle="1" w:styleId="13">
    <w:name w:val="13"/>
    <w:basedOn w:val="TableNormal60"/>
    <w:rPr>
      <w:sz w:val="22"/>
      <w:szCs w:val="22"/>
    </w:rPr>
    <w:tblPr>
      <w:tblStyleRowBandSize w:val="1"/>
      <w:tblStyleColBandSize w:val="1"/>
      <w:tblCellMar>
        <w:left w:w="115" w:type="dxa"/>
        <w:right w:w="115" w:type="dxa"/>
      </w:tblCellMar>
    </w:tblPr>
  </w:style>
  <w:style w:type="table" w:customStyle="1" w:styleId="12">
    <w:name w:val="12"/>
    <w:basedOn w:val="TableNormal60"/>
    <w:rPr>
      <w:sz w:val="22"/>
      <w:szCs w:val="22"/>
    </w:rPr>
    <w:tblPr>
      <w:tblStyleRowBandSize w:val="1"/>
      <w:tblStyleColBandSize w:val="1"/>
      <w:tblCellMar>
        <w:left w:w="115" w:type="dxa"/>
        <w:right w:w="115" w:type="dxa"/>
      </w:tblCellMar>
    </w:tblPr>
  </w:style>
  <w:style w:type="table" w:customStyle="1" w:styleId="11">
    <w:name w:val="11"/>
    <w:basedOn w:val="TableNormal60"/>
    <w:rPr>
      <w:sz w:val="22"/>
      <w:szCs w:val="22"/>
    </w:rPr>
    <w:tblPr>
      <w:tblStyleRowBandSize w:val="1"/>
      <w:tblStyleColBandSize w:val="1"/>
      <w:tblCellMar>
        <w:left w:w="115" w:type="dxa"/>
        <w:right w:w="115" w:type="dxa"/>
      </w:tblCellMar>
    </w:tblPr>
  </w:style>
  <w:style w:type="table" w:customStyle="1" w:styleId="10">
    <w:name w:val="10"/>
    <w:basedOn w:val="TableNormal60"/>
    <w:rPr>
      <w:sz w:val="22"/>
      <w:szCs w:val="22"/>
    </w:rPr>
    <w:tblPr>
      <w:tblStyleRowBandSize w:val="1"/>
      <w:tblStyleColBandSize w:val="1"/>
      <w:tblCellMar>
        <w:left w:w="115" w:type="dxa"/>
        <w:right w:w="115" w:type="dxa"/>
      </w:tblCellMar>
    </w:tblPr>
  </w:style>
  <w:style w:type="table" w:customStyle="1" w:styleId="9">
    <w:name w:val="9"/>
    <w:basedOn w:val="TableNormal7"/>
    <w:rPr>
      <w:sz w:val="22"/>
      <w:szCs w:val="22"/>
    </w:rPr>
    <w:tblPr>
      <w:tblStyleRowBandSize w:val="1"/>
      <w:tblStyleColBandSize w:val="1"/>
      <w:tblCellMar>
        <w:left w:w="115" w:type="dxa"/>
        <w:right w:w="115" w:type="dxa"/>
      </w:tblCellMar>
    </w:tblPr>
  </w:style>
  <w:style w:type="table" w:customStyle="1" w:styleId="8">
    <w:name w:val="8"/>
    <w:basedOn w:val="TableNormal7"/>
    <w:rPr>
      <w:sz w:val="22"/>
      <w:szCs w:val="22"/>
    </w:rPr>
    <w:tblPr>
      <w:tblStyleRowBandSize w:val="1"/>
      <w:tblStyleColBandSize w:val="1"/>
      <w:tblCellMar>
        <w:left w:w="115" w:type="dxa"/>
        <w:right w:w="115" w:type="dxa"/>
      </w:tblCellMar>
    </w:tblPr>
  </w:style>
  <w:style w:type="table" w:customStyle="1" w:styleId="7">
    <w:name w:val="7"/>
    <w:basedOn w:val="TableNormal7"/>
    <w:rPr>
      <w:sz w:val="22"/>
      <w:szCs w:val="22"/>
    </w:rPr>
    <w:tblPr>
      <w:tblStyleRowBandSize w:val="1"/>
      <w:tblStyleColBandSize w:val="1"/>
      <w:tblCellMar>
        <w:left w:w="115" w:type="dxa"/>
        <w:right w:w="115" w:type="dxa"/>
      </w:tblCellMar>
    </w:tblPr>
  </w:style>
  <w:style w:type="table" w:customStyle="1" w:styleId="6">
    <w:name w:val="6"/>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5">
    <w:name w:val="5"/>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
    <w:name w:val="4"/>
    <w:basedOn w:val="TableNormal7"/>
    <w:rPr>
      <w:sz w:val="22"/>
      <w:szCs w:val="22"/>
    </w:rPr>
    <w:tblPr>
      <w:tblStyleRowBandSize w:val="1"/>
      <w:tblStyleColBandSize w:val="1"/>
      <w:tblCellMar>
        <w:left w:w="115" w:type="dxa"/>
        <w:right w:w="115" w:type="dxa"/>
      </w:tblCellMar>
    </w:tblPr>
  </w:style>
  <w:style w:type="table" w:customStyle="1" w:styleId="3">
    <w:name w:val="3"/>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2">
    <w:name w:val="2"/>
    <w:basedOn w:val="TableNormal7"/>
    <w:rPr>
      <w:sz w:val="22"/>
      <w:szCs w:val="22"/>
    </w:rPr>
    <w:tblPr>
      <w:tblStyleRowBandSize w:val="1"/>
      <w:tblStyleColBandSize w:val="1"/>
      <w:tblCellMar>
        <w:left w:w="115" w:type="dxa"/>
        <w:right w:w="115" w:type="dxa"/>
      </w:tblCellMar>
    </w:tblPr>
  </w:style>
  <w:style w:type="table" w:customStyle="1" w:styleId="1">
    <w:name w:val="1"/>
    <w:basedOn w:val="TableNormal7"/>
    <w:rPr>
      <w:sz w:val="22"/>
      <w:szCs w:val="22"/>
    </w:rPr>
    <w:tblPr>
      <w:tblStyleRowBandSize w:val="1"/>
      <w:tblStyleColBandSize w:val="1"/>
      <w:tblCellMar>
        <w:left w:w="115" w:type="dxa"/>
        <w:right w:w="115" w:type="dxa"/>
      </w:tblCellMar>
    </w:tblPr>
  </w:style>
  <w:style w:type="table" w:customStyle="1" w:styleId="a">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6"/>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op">
    <w:name w:val="eop"/>
    <w:basedOn w:val="Fuentedeprrafopredeter"/>
    <w:rsid w:val="00652AFE"/>
  </w:style>
  <w:style w:type="table" w:customStyle="1" w:styleId="a6">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e">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8F61EB"/>
    <w:rPr>
      <w:color w:val="605E5C"/>
      <w:shd w:val="clear" w:color="auto" w:fill="E1DFDD"/>
    </w:rPr>
  </w:style>
  <w:style w:type="character" w:customStyle="1" w:styleId="Mencinsinresolver4">
    <w:name w:val="Mención sin resolver4"/>
    <w:basedOn w:val="Fuentedeprrafopredeter"/>
    <w:uiPriority w:val="99"/>
    <w:semiHidden/>
    <w:unhideWhenUsed/>
    <w:rsid w:val="00751528"/>
    <w:rPr>
      <w:color w:val="605E5C"/>
      <w:shd w:val="clear" w:color="auto" w:fill="E1DFDD"/>
    </w:rPr>
  </w:style>
  <w:style w:type="table" w:customStyle="1" w:styleId="aff9">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a">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b">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0">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TlOGoyULZvVpfobNPO1ipS6aPA==">CgMxLjAyCGguZ2pkZ3hzMgloLjJldDkycDAyCWguMzBqMHpsbDIJaC4zZHk2dmttMgloLjFmb2I5dGU4AHIhMUhuOVdIT1M1dlhzMnJDcXZYS2JKWXZ5OGE1ZTM3X0l0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22545</Words>
  <Characters>124000</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2024-10-18T19:58:00Z</cp:lastPrinted>
  <dcterms:created xsi:type="dcterms:W3CDTF">2024-10-24T23:15:00Z</dcterms:created>
  <dcterms:modified xsi:type="dcterms:W3CDTF">2024-10-24T23:15:00Z</dcterms:modified>
</cp:coreProperties>
</file>