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10" w:rsidRPr="006247AF" w:rsidRDefault="00061F10" w:rsidP="004D772E">
      <w:pPr>
        <w:spacing w:line="360" w:lineRule="auto"/>
        <w:contextualSpacing/>
        <w:jc w:val="both"/>
        <w:rPr>
          <w:rFonts w:ascii="Palatino Linotype" w:hAnsi="Palatino Linotype" w:cs="Palatino Linotype"/>
          <w:color w:val="000000"/>
          <w:lang w:val="es-ES_tradnl"/>
        </w:rPr>
      </w:pPr>
      <w:r w:rsidRPr="006247AF">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a </w:t>
      </w:r>
      <w:r w:rsidR="00AC309C" w:rsidRPr="006247AF">
        <w:rPr>
          <w:rFonts w:ascii="Palatino Linotype" w:hAnsi="Palatino Linotype" w:cs="Palatino Linotype"/>
          <w:b/>
          <w:color w:val="000000"/>
          <w:lang w:val="es-ES_tradnl"/>
        </w:rPr>
        <w:t>dieci</w:t>
      </w:r>
      <w:r w:rsidRPr="006247AF">
        <w:rPr>
          <w:rFonts w:ascii="Palatino Linotype" w:hAnsi="Palatino Linotype" w:cs="Palatino Linotype"/>
          <w:b/>
          <w:color w:val="000000"/>
          <w:lang w:val="es-ES_tradnl"/>
        </w:rPr>
        <w:t>séis de octubre de dos mil veinticuatro</w:t>
      </w:r>
      <w:r w:rsidRPr="006247AF">
        <w:rPr>
          <w:rFonts w:ascii="Palatino Linotype" w:hAnsi="Palatino Linotype" w:cs="Palatino Linotype"/>
          <w:color w:val="000000"/>
          <w:lang w:val="es-ES_tradnl"/>
        </w:rPr>
        <w:t>.</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r w:rsidRPr="006247AF">
        <w:rPr>
          <w:rFonts w:ascii="Palatino Linotype" w:hAnsi="Palatino Linotype" w:cs="Palatino Linotype"/>
          <w:color w:val="000000"/>
          <w:lang w:val="es-ES_tradnl"/>
        </w:rPr>
        <w:t xml:space="preserve"> </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r w:rsidRPr="006247AF">
        <w:rPr>
          <w:rFonts w:ascii="Palatino Linotype" w:hAnsi="Palatino Linotype" w:cs="Palatino Linotype"/>
          <w:b/>
          <w:color w:val="000000"/>
          <w:lang w:val="es-ES_tradnl"/>
        </w:rPr>
        <w:t>VISTO</w:t>
      </w:r>
      <w:r w:rsidRPr="006247AF">
        <w:rPr>
          <w:rFonts w:ascii="Palatino Linotype" w:hAnsi="Palatino Linotype" w:cs="Palatino Linotype"/>
          <w:color w:val="000000"/>
          <w:lang w:val="es-ES_tradnl"/>
        </w:rPr>
        <w:t xml:space="preserve"> el expediente electrónico formado con motivo del recurso de revisión número </w:t>
      </w:r>
      <w:r w:rsidRPr="006247AF">
        <w:rPr>
          <w:rFonts w:ascii="Palatino Linotype" w:hAnsi="Palatino Linotype" w:cs="Palatino Linotype"/>
          <w:b/>
          <w:color w:val="000000"/>
          <w:lang w:val="es-ES_tradnl"/>
        </w:rPr>
        <w:t>02185/INFOEM/IP/RR/2024</w:t>
      </w:r>
      <w:r w:rsidRPr="006247AF">
        <w:rPr>
          <w:rFonts w:ascii="Palatino Linotype" w:hAnsi="Palatino Linotype" w:cs="Palatino Linotype"/>
          <w:color w:val="000000"/>
          <w:lang w:val="es-ES_tradnl"/>
        </w:rPr>
        <w:t xml:space="preserve">, interpuesto por </w:t>
      </w:r>
      <w:r w:rsidRPr="006247AF">
        <w:rPr>
          <w:rFonts w:ascii="Palatino Linotype" w:hAnsi="Palatino Linotype" w:cs="Arial"/>
          <w:b/>
          <w:bCs/>
        </w:rPr>
        <w:t>no proporcionó nombre</w:t>
      </w:r>
      <w:r w:rsidRPr="006247AF">
        <w:rPr>
          <w:rFonts w:ascii="Palatino Linotype" w:hAnsi="Palatino Linotype" w:cs="Palatino Linotype"/>
          <w:color w:val="000000"/>
          <w:lang w:val="es-ES_tradnl"/>
        </w:rPr>
        <w:t xml:space="preserve">, en lo sucesivo </w:t>
      </w:r>
      <w:r w:rsidRPr="006247AF">
        <w:rPr>
          <w:rFonts w:ascii="Palatino Linotype" w:hAnsi="Palatino Linotype" w:cs="Palatino Linotype"/>
          <w:b/>
          <w:color w:val="000000"/>
          <w:lang w:val="es-ES_tradnl"/>
        </w:rPr>
        <w:t>la parte</w:t>
      </w:r>
      <w:r w:rsidRPr="006247AF">
        <w:rPr>
          <w:rFonts w:ascii="Palatino Linotype" w:hAnsi="Palatino Linotype" w:cs="Palatino Linotype"/>
          <w:color w:val="000000"/>
          <w:lang w:val="es-ES_tradnl"/>
        </w:rPr>
        <w:t xml:space="preserve"> </w:t>
      </w:r>
      <w:r w:rsidRPr="006247AF">
        <w:rPr>
          <w:rFonts w:ascii="Palatino Linotype" w:hAnsi="Palatino Linotype" w:cs="Palatino Linotype"/>
          <w:b/>
          <w:color w:val="000000"/>
          <w:lang w:val="es-ES_tradnl"/>
        </w:rPr>
        <w:t>Recurrente</w:t>
      </w:r>
      <w:r w:rsidRPr="006247AF">
        <w:rPr>
          <w:rFonts w:ascii="Palatino Linotype" w:hAnsi="Palatino Linotype" w:cs="Palatino Linotype"/>
          <w:color w:val="000000"/>
          <w:lang w:val="es-ES_tradnl"/>
        </w:rPr>
        <w:t xml:space="preserve">, en contra de la respuesta de la </w:t>
      </w:r>
      <w:r w:rsidRPr="006247AF">
        <w:rPr>
          <w:rFonts w:ascii="Palatino Linotype" w:hAnsi="Palatino Linotype" w:cs="Palatino Linotype"/>
          <w:b/>
          <w:color w:val="000000"/>
          <w:lang w:val="es-ES_tradnl"/>
        </w:rPr>
        <w:t>Secretaría de Movilidad</w:t>
      </w:r>
      <w:r w:rsidRPr="006247AF">
        <w:rPr>
          <w:rFonts w:ascii="Palatino Linotype" w:hAnsi="Palatino Linotype" w:cs="Palatino Linotype"/>
          <w:color w:val="000000"/>
          <w:lang w:val="es-ES_tradnl"/>
        </w:rPr>
        <w:t>, en lo subsecuente</w:t>
      </w:r>
      <w:r w:rsidRPr="006247AF">
        <w:rPr>
          <w:rFonts w:ascii="Palatino Linotype" w:hAnsi="Palatino Linotype" w:cs="Palatino Linotype"/>
          <w:b/>
          <w:color w:val="000000"/>
          <w:lang w:val="es-ES_tradnl"/>
        </w:rPr>
        <w:t xml:space="preserve"> </w:t>
      </w:r>
      <w:r w:rsidRPr="006247AF">
        <w:rPr>
          <w:rFonts w:ascii="Palatino Linotype" w:hAnsi="Palatino Linotype" w:cs="Palatino Linotype"/>
          <w:color w:val="000000"/>
          <w:lang w:val="es-ES_tradnl"/>
        </w:rPr>
        <w:t>el</w:t>
      </w:r>
      <w:r w:rsidRPr="006247AF">
        <w:rPr>
          <w:rFonts w:ascii="Palatino Linotype" w:hAnsi="Palatino Linotype" w:cs="Palatino Linotype"/>
          <w:b/>
          <w:color w:val="000000"/>
          <w:lang w:val="es-ES_tradnl"/>
        </w:rPr>
        <w:t xml:space="preserve"> Sujeto Obligado, </w:t>
      </w:r>
      <w:r w:rsidRPr="006247AF">
        <w:rPr>
          <w:rFonts w:ascii="Palatino Linotype" w:hAnsi="Palatino Linotype" w:cs="Palatino Linotype"/>
          <w:color w:val="000000"/>
          <w:lang w:val="es-ES_tradnl"/>
        </w:rPr>
        <w:t>se procede a dictar la presente resolución.</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p>
    <w:p w:rsidR="00061F10" w:rsidRPr="006247AF" w:rsidRDefault="00061F10" w:rsidP="004D772E">
      <w:pPr>
        <w:keepNext/>
        <w:keepLines/>
        <w:spacing w:line="360" w:lineRule="auto"/>
        <w:jc w:val="center"/>
        <w:outlineLvl w:val="0"/>
        <w:rPr>
          <w:rFonts w:ascii="Palatino Linotype" w:hAnsi="Palatino Linotype"/>
          <w:b/>
          <w:color w:val="000000" w:themeColor="text1"/>
          <w:sz w:val="28"/>
          <w:szCs w:val="32"/>
          <w:lang w:val="es-ES_tradnl" w:eastAsia="es-ES"/>
        </w:rPr>
      </w:pPr>
      <w:r w:rsidRPr="006247AF">
        <w:rPr>
          <w:rFonts w:ascii="Palatino Linotype" w:hAnsi="Palatino Linotype"/>
          <w:b/>
          <w:color w:val="000000" w:themeColor="text1"/>
          <w:sz w:val="28"/>
          <w:szCs w:val="32"/>
          <w:lang w:val="es-ES_tradnl" w:eastAsia="es-ES"/>
        </w:rPr>
        <w:t>A N T E C E D E N T E S</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p>
    <w:p w:rsidR="00061F10" w:rsidRPr="006247AF" w:rsidRDefault="00061F10" w:rsidP="004D772E">
      <w:pPr>
        <w:keepNext/>
        <w:keepLines/>
        <w:spacing w:line="360" w:lineRule="auto"/>
        <w:jc w:val="both"/>
        <w:outlineLvl w:val="1"/>
        <w:rPr>
          <w:rFonts w:ascii="Palatino Linotype" w:hAnsi="Palatino Linotype"/>
          <w:b/>
          <w:color w:val="000000" w:themeColor="text1"/>
          <w:sz w:val="28"/>
          <w:szCs w:val="26"/>
          <w:lang w:val="es-ES_tradnl"/>
        </w:rPr>
      </w:pPr>
      <w:r w:rsidRPr="006247AF">
        <w:rPr>
          <w:rFonts w:ascii="Palatino Linotype" w:hAnsi="Palatino Linotype"/>
          <w:b/>
          <w:color w:val="000000" w:themeColor="text1"/>
          <w:sz w:val="28"/>
          <w:szCs w:val="26"/>
          <w:lang w:val="es-ES_tradnl"/>
        </w:rPr>
        <w:t>PRIMERO. De la Solicitud de Información.</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r w:rsidRPr="006247AF">
        <w:rPr>
          <w:rFonts w:ascii="Palatino Linotype" w:hAnsi="Palatino Linotype" w:cs="Palatino Linotype"/>
          <w:color w:val="000000"/>
          <w:lang w:val="es-ES_tradnl"/>
        </w:rPr>
        <w:t xml:space="preserve">Con fecha </w:t>
      </w:r>
      <w:r w:rsidRPr="006247AF">
        <w:rPr>
          <w:rFonts w:ascii="Palatino Linotype" w:hAnsi="Palatino Linotype" w:cs="Palatino Linotype"/>
          <w:b/>
          <w:color w:val="000000"/>
          <w:lang w:val="es-ES_tradnl"/>
        </w:rPr>
        <w:t>primero de abril de dos mil veinticuatro</w:t>
      </w:r>
      <w:r w:rsidRPr="006247AF">
        <w:rPr>
          <w:rFonts w:ascii="Palatino Linotype" w:hAnsi="Palatino Linotype" w:cs="Palatino Linotype"/>
          <w:color w:val="000000"/>
          <w:lang w:val="es-ES_tradnl"/>
        </w:rPr>
        <w:t xml:space="preserve">, la parte Recurrente presentó mediante el Sistema de Acceso a la Información Mexiquense (SAIMEX), solicitud de información registrada con el número de </w:t>
      </w:r>
      <w:r w:rsidRPr="006247AF">
        <w:rPr>
          <w:rFonts w:ascii="Palatino Linotype" w:hAnsi="Palatino Linotype" w:cs="Palatino Linotype"/>
          <w:lang w:val="es-ES_tradnl"/>
        </w:rPr>
        <w:t>expediente</w:t>
      </w:r>
      <w:r w:rsidRPr="006247AF">
        <w:rPr>
          <w:rFonts w:ascii="Verdana" w:hAnsi="Verdana"/>
          <w:b/>
          <w:bCs/>
          <w:color w:val="FF0000"/>
        </w:rPr>
        <w:t xml:space="preserve"> </w:t>
      </w:r>
      <w:r w:rsidRPr="006247AF">
        <w:rPr>
          <w:rFonts w:ascii="Palatino Linotype" w:hAnsi="Palatino Linotype"/>
          <w:b/>
          <w:bCs/>
        </w:rPr>
        <w:t>00227/SMOV/IP/2024</w:t>
      </w:r>
      <w:r w:rsidRPr="006247AF">
        <w:rPr>
          <w:rFonts w:ascii="Palatino Linotype" w:hAnsi="Palatino Linotype" w:cs="Palatino Linotype"/>
          <w:lang w:val="es-ES_tradnl"/>
        </w:rPr>
        <w:t>,</w:t>
      </w:r>
      <w:r w:rsidRPr="006247AF">
        <w:rPr>
          <w:rFonts w:ascii="Palatino Linotype" w:hAnsi="Palatino Linotype" w:cs="Palatino Linotype"/>
          <w:b/>
          <w:lang w:val="es-ES_tradnl"/>
        </w:rPr>
        <w:t xml:space="preserve"> </w:t>
      </w:r>
      <w:r w:rsidRPr="006247AF">
        <w:rPr>
          <w:rFonts w:ascii="Palatino Linotype" w:hAnsi="Palatino Linotype" w:cs="Palatino Linotype"/>
          <w:color w:val="000000"/>
          <w:lang w:val="es-ES_tradnl"/>
        </w:rPr>
        <w:t>mediante la cual solicitó información en el tenor siguiente:</w:t>
      </w:r>
    </w:p>
    <w:p w:rsidR="00061F10" w:rsidRPr="006247AF" w:rsidRDefault="00061F10" w:rsidP="004D772E">
      <w:pPr>
        <w:spacing w:line="360" w:lineRule="auto"/>
        <w:ind w:left="567" w:right="567"/>
        <w:contextualSpacing/>
        <w:jc w:val="both"/>
        <w:rPr>
          <w:rFonts w:ascii="Palatino Linotype" w:hAnsi="Palatino Linotype"/>
          <w:i/>
          <w:color w:val="000000"/>
        </w:rPr>
      </w:pPr>
    </w:p>
    <w:p w:rsidR="00061F10" w:rsidRPr="006247AF" w:rsidRDefault="00061F10" w:rsidP="004D772E">
      <w:pPr>
        <w:spacing w:line="360" w:lineRule="auto"/>
        <w:ind w:left="567" w:right="567"/>
        <w:contextualSpacing/>
        <w:jc w:val="both"/>
        <w:rPr>
          <w:rFonts w:ascii="Palatino Linotype" w:hAnsi="Palatino Linotype" w:cs="Palatino Linotype"/>
          <w:i/>
          <w:color w:val="000000"/>
          <w:lang w:val="es-ES_tradnl"/>
        </w:rPr>
      </w:pPr>
      <w:r w:rsidRPr="006247AF">
        <w:rPr>
          <w:rFonts w:ascii="Palatino Linotype" w:hAnsi="Palatino Linotype"/>
          <w:i/>
          <w:color w:val="000000"/>
        </w:rPr>
        <w:t>“Se solicita todos los oficios firmados por la o el titular del Instituto de transporte en el año 2022.”</w:t>
      </w:r>
      <w:r w:rsidRPr="006247AF">
        <w:rPr>
          <w:rFonts w:ascii="Palatino Linotype" w:hAnsi="Palatino Linotype" w:cs="Palatino Linotype"/>
          <w:i/>
          <w:color w:val="000000"/>
          <w:lang w:val="es-ES_tradnl"/>
        </w:rPr>
        <w:t xml:space="preserve"> (Sic)</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p>
    <w:p w:rsidR="00061F10" w:rsidRPr="006247AF" w:rsidRDefault="00061F10" w:rsidP="004D772E">
      <w:pPr>
        <w:spacing w:line="360" w:lineRule="auto"/>
        <w:contextualSpacing/>
        <w:jc w:val="both"/>
        <w:rPr>
          <w:rFonts w:ascii="Palatino Linotype" w:hAnsi="Palatino Linotype" w:cs="Palatino Linotype"/>
          <w:b/>
          <w:color w:val="000000"/>
          <w:lang w:val="es-ES_tradnl"/>
        </w:rPr>
      </w:pPr>
      <w:r w:rsidRPr="006247AF">
        <w:rPr>
          <w:rFonts w:ascii="Palatino Linotype" w:hAnsi="Palatino Linotype" w:cs="Palatino Linotype"/>
          <w:color w:val="000000"/>
          <w:lang w:val="es-ES_tradnl"/>
        </w:rPr>
        <w:t xml:space="preserve">Modalidad de entrega: </w:t>
      </w:r>
      <w:r w:rsidRPr="006247AF">
        <w:rPr>
          <w:rFonts w:ascii="Palatino Linotype" w:hAnsi="Palatino Linotype" w:cs="Palatino Linotype"/>
          <w:b/>
          <w:color w:val="000000"/>
          <w:lang w:val="es-ES_tradnl"/>
        </w:rPr>
        <w:t>A través del SAIMEX</w:t>
      </w:r>
      <w:r w:rsidRPr="006247AF">
        <w:rPr>
          <w:rFonts w:ascii="Palatino Linotype" w:hAnsi="Palatino Linotype" w:cs="Palatino Linotype"/>
          <w:color w:val="000000"/>
          <w:lang w:val="es-ES_tradnl"/>
        </w:rPr>
        <w:t>.</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p>
    <w:p w:rsidR="00061F10" w:rsidRPr="006247AF" w:rsidRDefault="00061F10" w:rsidP="004D772E">
      <w:pPr>
        <w:keepNext/>
        <w:keepLines/>
        <w:spacing w:line="360" w:lineRule="auto"/>
        <w:jc w:val="both"/>
        <w:outlineLvl w:val="1"/>
        <w:rPr>
          <w:rFonts w:ascii="Palatino Linotype" w:hAnsi="Palatino Linotype"/>
          <w:b/>
          <w:color w:val="000000" w:themeColor="text1"/>
          <w:sz w:val="28"/>
          <w:szCs w:val="26"/>
          <w:lang w:val="es-ES_tradnl"/>
        </w:rPr>
      </w:pPr>
      <w:r w:rsidRPr="006247AF">
        <w:rPr>
          <w:rFonts w:ascii="Palatino Linotype" w:hAnsi="Palatino Linotype"/>
          <w:b/>
          <w:color w:val="000000" w:themeColor="text1"/>
          <w:sz w:val="28"/>
          <w:szCs w:val="26"/>
          <w:lang w:val="es-ES_tradnl"/>
        </w:rPr>
        <w:lastRenderedPageBreak/>
        <w:t>SEGUNDO. Respuesta del Sujeto Obligado.</w:t>
      </w:r>
    </w:p>
    <w:p w:rsidR="00061F10" w:rsidRPr="006247AF" w:rsidRDefault="00061F10" w:rsidP="004D772E">
      <w:pPr>
        <w:spacing w:line="360" w:lineRule="auto"/>
        <w:jc w:val="both"/>
        <w:rPr>
          <w:rFonts w:ascii="Palatino Linotype" w:eastAsiaTheme="minorHAnsi" w:hAnsi="Palatino Linotype" w:cs="Arial"/>
          <w:lang w:eastAsia="en-US"/>
        </w:rPr>
      </w:pPr>
      <w:r w:rsidRPr="006247AF">
        <w:rPr>
          <w:rFonts w:ascii="Palatino Linotype" w:eastAsiaTheme="minorHAnsi" w:hAnsi="Palatino Linotype" w:cs="Arial"/>
          <w:lang w:eastAsia="en-US"/>
        </w:rPr>
        <w:t xml:space="preserve">De las constancias que obran en el sistema SAIMEX, se advierte que en fecha </w:t>
      </w:r>
      <w:r w:rsidRPr="006247AF">
        <w:rPr>
          <w:rFonts w:ascii="Palatino Linotype" w:eastAsiaTheme="minorHAnsi" w:hAnsi="Palatino Linotype" w:cs="Arial"/>
          <w:b/>
          <w:lang w:eastAsia="en-US"/>
        </w:rPr>
        <w:t>veintiuno de abril de dos mil veinticuatro</w:t>
      </w:r>
      <w:r w:rsidRPr="006247AF">
        <w:rPr>
          <w:rFonts w:ascii="Palatino Linotype" w:eastAsiaTheme="minorHAnsi" w:hAnsi="Palatino Linotype" w:cs="Arial"/>
          <w:lang w:eastAsia="en-US"/>
        </w:rPr>
        <w:t>, el</w:t>
      </w:r>
      <w:r w:rsidRPr="006247AF">
        <w:rPr>
          <w:rFonts w:ascii="Palatino Linotype" w:eastAsiaTheme="minorHAnsi" w:hAnsi="Palatino Linotype" w:cs="Arial"/>
          <w:b/>
          <w:lang w:eastAsia="en-US"/>
        </w:rPr>
        <w:t xml:space="preserve"> Sujeto Obligado</w:t>
      </w:r>
      <w:r w:rsidRPr="006247AF">
        <w:rPr>
          <w:rFonts w:ascii="Palatino Linotype" w:eastAsiaTheme="minorHAnsi" w:hAnsi="Palatino Linotype" w:cs="Arial"/>
          <w:lang w:eastAsia="en-US"/>
        </w:rPr>
        <w:t xml:space="preserve"> emitió la respuesta en los siguientes términos:</w:t>
      </w:r>
    </w:p>
    <w:p w:rsidR="00061F10" w:rsidRPr="006247AF" w:rsidRDefault="00061F10" w:rsidP="004D772E"/>
    <w:p w:rsidR="00061F10" w:rsidRPr="006247AF" w:rsidRDefault="00061F10" w:rsidP="004D772E">
      <w:pPr>
        <w:spacing w:line="276" w:lineRule="auto"/>
        <w:ind w:left="567" w:right="567"/>
        <w:jc w:val="both"/>
        <w:rPr>
          <w:rFonts w:ascii="Palatino Linotype" w:hAnsi="Palatino Linotype"/>
          <w:i/>
          <w:sz w:val="22"/>
          <w:szCs w:val="22"/>
        </w:rPr>
      </w:pPr>
      <w:r w:rsidRPr="006247AF">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61F10" w:rsidRPr="006247AF" w:rsidRDefault="00061F10" w:rsidP="004D772E">
      <w:pPr>
        <w:spacing w:line="276" w:lineRule="auto"/>
        <w:ind w:left="567" w:right="567"/>
        <w:jc w:val="both"/>
        <w:rPr>
          <w:rFonts w:ascii="Palatino Linotype" w:hAnsi="Palatino Linotype"/>
          <w:i/>
          <w:sz w:val="22"/>
          <w:szCs w:val="22"/>
        </w:rPr>
      </w:pPr>
      <w:r w:rsidRPr="006247AF">
        <w:rPr>
          <w:rFonts w:ascii="Palatino Linotype" w:hAnsi="Palatino Linotype"/>
          <w:i/>
          <w:sz w:val="22"/>
          <w:szCs w:val="22"/>
        </w:rPr>
        <w:t xml:space="preserve">Respecto a su solicitud con número de folio </w:t>
      </w:r>
      <w:r w:rsidRPr="006247AF">
        <w:rPr>
          <w:rFonts w:ascii="Palatino Linotype" w:hAnsi="Palatino Linotype"/>
          <w:b/>
          <w:i/>
          <w:sz w:val="22"/>
          <w:szCs w:val="22"/>
        </w:rPr>
        <w:t>00227/SMOV/IP/2024</w:t>
      </w:r>
      <w:r w:rsidRPr="006247AF">
        <w:rPr>
          <w:rFonts w:ascii="Palatino Linotype" w:hAnsi="Palatino Linotype"/>
          <w:i/>
          <w:sz w:val="22"/>
          <w:szCs w:val="22"/>
        </w:rPr>
        <w:t xml:space="preserve"> presentada ante el Instituto de Transparencia, Acceso a la Información Pública y Protección de Datos Personales del Estado de México y Municipios; en donde se solicita: </w:t>
      </w:r>
      <w:r w:rsidRPr="006247AF">
        <w:rPr>
          <w:rFonts w:ascii="Palatino Linotype" w:hAnsi="Palatino Linotype"/>
          <w:i/>
          <w:sz w:val="22"/>
          <w:szCs w:val="22"/>
          <w:u w:val="single"/>
        </w:rPr>
        <w:t>Se solicita todos los oficios firmados por la o el titular del Instituto de transporte en el año 2022</w:t>
      </w:r>
      <w:r w:rsidRPr="006247AF">
        <w:rPr>
          <w:rFonts w:ascii="Palatino Linotype" w:hAnsi="Palatino Linotype"/>
          <w:i/>
          <w:sz w:val="22"/>
          <w:szCs w:val="22"/>
        </w:rPr>
        <w:t xml:space="preserve"> Al respecto se informa que: Habiendo manifestado lo anterior y </w:t>
      </w:r>
      <w:r w:rsidRPr="006247AF">
        <w:rPr>
          <w:rFonts w:ascii="Palatino Linotype" w:hAnsi="Palatino Linotype"/>
          <w:b/>
          <w:i/>
          <w:sz w:val="22"/>
          <w:szCs w:val="22"/>
        </w:rPr>
        <w:t>debido a que la información solicitada comprende de 534 archivos, se pone a disposición de los solicitantes en las oficinas del Instituto del Transporte del Estado de México, desde la fecha de la notificación del presente oficio, así mismo en caso de requerir copias simples o certificadas, deberán de cubrir los costos por insumos utilizados tal y como lo establece el Código Financiero del Estado de México</w:t>
      </w:r>
      <w:r w:rsidRPr="006247AF">
        <w:rPr>
          <w:rFonts w:ascii="Palatino Linotype" w:hAnsi="Palatino Linotype"/>
          <w:i/>
          <w:sz w:val="22"/>
          <w:szCs w:val="22"/>
        </w:rPr>
        <w:t>.</w:t>
      </w:r>
    </w:p>
    <w:p w:rsidR="00061F10" w:rsidRPr="006247AF" w:rsidRDefault="00061F10" w:rsidP="004D772E">
      <w:pPr>
        <w:spacing w:line="276" w:lineRule="auto"/>
        <w:ind w:left="567" w:right="567"/>
        <w:jc w:val="both"/>
        <w:rPr>
          <w:rFonts w:ascii="Palatino Linotype" w:hAnsi="Palatino Linotype"/>
          <w:i/>
          <w:sz w:val="22"/>
          <w:szCs w:val="22"/>
        </w:rPr>
      </w:pPr>
      <w:r w:rsidRPr="006247AF">
        <w:rPr>
          <w:rFonts w:ascii="Palatino Linotype" w:hAnsi="Palatino Linotype"/>
          <w:i/>
          <w:sz w:val="22"/>
          <w:szCs w:val="22"/>
        </w:rPr>
        <w:t>ATENTAMENTE</w:t>
      </w:r>
    </w:p>
    <w:p w:rsidR="00061F10" w:rsidRPr="006247AF" w:rsidRDefault="00061F10" w:rsidP="004D772E">
      <w:pPr>
        <w:spacing w:line="276" w:lineRule="auto"/>
        <w:ind w:left="567" w:right="567"/>
        <w:jc w:val="both"/>
        <w:rPr>
          <w:rFonts w:ascii="Palatino Linotype" w:hAnsi="Palatino Linotype"/>
          <w:i/>
          <w:sz w:val="22"/>
          <w:szCs w:val="22"/>
        </w:rPr>
      </w:pPr>
      <w:r w:rsidRPr="006247AF">
        <w:rPr>
          <w:rFonts w:ascii="Palatino Linotype" w:hAnsi="Palatino Linotype"/>
          <w:i/>
          <w:sz w:val="22"/>
          <w:szCs w:val="22"/>
        </w:rPr>
        <w:t>Lic. Alejandro Hernández Aguilar” (Sic).</w:t>
      </w:r>
    </w:p>
    <w:p w:rsidR="00061F10" w:rsidRPr="006247AF" w:rsidRDefault="00061F10" w:rsidP="004D772E">
      <w:pPr>
        <w:spacing w:line="360" w:lineRule="auto"/>
        <w:contextualSpacing/>
        <w:jc w:val="both"/>
        <w:rPr>
          <w:rFonts w:ascii="Palatino Linotype" w:hAnsi="Palatino Linotype"/>
        </w:rPr>
      </w:pPr>
    </w:p>
    <w:p w:rsidR="00061F10" w:rsidRPr="006247AF" w:rsidRDefault="00061F10" w:rsidP="004D772E">
      <w:pPr>
        <w:keepNext/>
        <w:keepLines/>
        <w:spacing w:line="360" w:lineRule="auto"/>
        <w:jc w:val="both"/>
        <w:outlineLvl w:val="1"/>
        <w:rPr>
          <w:rFonts w:ascii="Palatino Linotype" w:hAnsi="Palatino Linotype"/>
          <w:b/>
          <w:color w:val="000000" w:themeColor="text1"/>
          <w:sz w:val="28"/>
          <w:szCs w:val="26"/>
          <w:lang w:val="es-ES_tradnl"/>
        </w:rPr>
      </w:pPr>
      <w:r w:rsidRPr="006247AF">
        <w:rPr>
          <w:rFonts w:ascii="Palatino Linotype" w:hAnsi="Palatino Linotype"/>
          <w:b/>
          <w:color w:val="000000" w:themeColor="text1"/>
          <w:sz w:val="28"/>
          <w:szCs w:val="26"/>
          <w:lang w:val="es-ES_tradnl"/>
        </w:rPr>
        <w:t>TERCERO. Del recurso de revisión.</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r w:rsidRPr="006247AF">
        <w:rPr>
          <w:rFonts w:ascii="Palatino Linotype" w:hAnsi="Palatino Linotype" w:cs="Palatino Linotype"/>
          <w:color w:val="000000"/>
          <w:lang w:val="es-ES_tradnl"/>
        </w:rPr>
        <w:t xml:space="preserve">Inconforme con la respuesta emitida por el Sujeto Obligado, el Recurrente interpuso el presente recurso de revisión el día </w:t>
      </w:r>
      <w:r w:rsidRPr="006247AF">
        <w:rPr>
          <w:rFonts w:ascii="Palatino Linotype" w:hAnsi="Palatino Linotype" w:cs="Palatino Linotype"/>
          <w:b/>
          <w:color w:val="000000"/>
          <w:lang w:val="es-ES_tradnl"/>
        </w:rPr>
        <w:t>veintitrés de abril de dos mil veinticuatro</w:t>
      </w:r>
      <w:r w:rsidRPr="006247AF">
        <w:rPr>
          <w:rFonts w:ascii="Palatino Linotype" w:hAnsi="Palatino Linotype" w:cs="Palatino Linotype"/>
          <w:color w:val="000000"/>
          <w:lang w:val="es-ES_tradnl"/>
        </w:rPr>
        <w:t xml:space="preserve">, el cual se registró con el expediente número </w:t>
      </w:r>
      <w:r w:rsidRPr="006247AF">
        <w:rPr>
          <w:rFonts w:ascii="Palatino Linotype" w:hAnsi="Palatino Linotype" w:cs="Palatino Linotype"/>
          <w:b/>
          <w:color w:val="000000"/>
          <w:lang w:val="es-ES_tradnl"/>
        </w:rPr>
        <w:t>02185/INFOEM/IP/RR/2024</w:t>
      </w:r>
      <w:r w:rsidRPr="006247AF">
        <w:rPr>
          <w:rFonts w:ascii="Palatino Linotype" w:hAnsi="Palatino Linotype" w:cs="Palatino Linotype"/>
          <w:color w:val="000000"/>
          <w:lang w:val="es-ES_tradnl"/>
        </w:rPr>
        <w:t>, manifestando lo siguiente:</w:t>
      </w:r>
    </w:p>
    <w:p w:rsidR="00061F10" w:rsidRPr="006247AF" w:rsidRDefault="00061F10" w:rsidP="004D772E">
      <w:pPr>
        <w:ind w:left="567" w:right="567"/>
        <w:contextualSpacing/>
        <w:jc w:val="both"/>
        <w:rPr>
          <w:rFonts w:ascii="Palatino Linotype" w:hAnsi="Palatino Linotype" w:cs="Palatino Linotype"/>
          <w:b/>
          <w:lang w:val="es-ES_tradnl"/>
        </w:rPr>
      </w:pPr>
    </w:p>
    <w:p w:rsidR="00061F10" w:rsidRPr="006247AF" w:rsidRDefault="00061F10" w:rsidP="004D772E">
      <w:pPr>
        <w:ind w:left="567" w:right="567"/>
        <w:contextualSpacing/>
        <w:jc w:val="both"/>
        <w:rPr>
          <w:rFonts w:ascii="Palatino Linotype" w:hAnsi="Palatino Linotype" w:cs="Palatino Linotype"/>
          <w:b/>
          <w:lang w:val="es-ES_tradnl"/>
        </w:rPr>
      </w:pPr>
      <w:r w:rsidRPr="006247AF">
        <w:rPr>
          <w:rFonts w:ascii="Palatino Linotype" w:hAnsi="Palatino Linotype" w:cs="Palatino Linotype"/>
          <w:b/>
          <w:lang w:val="es-ES_tradnl"/>
        </w:rPr>
        <w:t xml:space="preserve">Acto Impugnado </w:t>
      </w:r>
    </w:p>
    <w:p w:rsidR="00061F10" w:rsidRPr="006247AF" w:rsidRDefault="00061F10" w:rsidP="004D772E">
      <w:pPr>
        <w:ind w:left="567" w:right="567"/>
        <w:contextualSpacing/>
        <w:jc w:val="both"/>
        <w:rPr>
          <w:rFonts w:ascii="Palatino Linotype" w:hAnsi="Palatino Linotype" w:cs="Palatino Linotype"/>
          <w:b/>
          <w:i/>
          <w:lang w:val="es-ES_tradnl"/>
        </w:rPr>
      </w:pPr>
      <w:r w:rsidRPr="006247AF">
        <w:rPr>
          <w:rFonts w:ascii="Palatino Linotype" w:hAnsi="Palatino Linotype"/>
          <w:i/>
          <w:color w:val="000000"/>
        </w:rPr>
        <w:t xml:space="preserve">“No entregan lo solicitado me dicen que vaya por la informaicón” </w:t>
      </w:r>
      <w:r w:rsidRPr="006247AF">
        <w:rPr>
          <w:rFonts w:ascii="Palatino Linotype" w:hAnsi="Palatino Linotype" w:cs="Palatino Linotype"/>
          <w:i/>
          <w:color w:val="000000"/>
          <w:lang w:val="es-ES_tradnl"/>
        </w:rPr>
        <w:t>(Sic)</w:t>
      </w:r>
    </w:p>
    <w:p w:rsidR="00061F10" w:rsidRPr="006247AF" w:rsidRDefault="00061F10" w:rsidP="004D772E">
      <w:pPr>
        <w:ind w:left="567" w:right="567"/>
        <w:contextualSpacing/>
        <w:jc w:val="both"/>
        <w:rPr>
          <w:rFonts w:ascii="Palatino Linotype" w:hAnsi="Palatino Linotype" w:cs="Palatino Linotype"/>
          <w:b/>
          <w:lang w:val="es-ES_tradnl"/>
        </w:rPr>
      </w:pPr>
      <w:r w:rsidRPr="006247AF">
        <w:rPr>
          <w:rFonts w:ascii="Palatino Linotype" w:hAnsi="Palatino Linotype" w:cs="Palatino Linotype"/>
          <w:b/>
          <w:lang w:val="es-ES_tradnl"/>
        </w:rPr>
        <w:lastRenderedPageBreak/>
        <w:t>Razones o Motivos de Inconformidad</w:t>
      </w:r>
    </w:p>
    <w:p w:rsidR="00061F10" w:rsidRPr="006247AF" w:rsidRDefault="00061F10" w:rsidP="004D772E">
      <w:pPr>
        <w:ind w:left="567" w:right="567"/>
        <w:contextualSpacing/>
        <w:jc w:val="both"/>
        <w:rPr>
          <w:rFonts w:ascii="Palatino Linotype" w:hAnsi="Palatino Linotype" w:cs="Palatino Linotype"/>
          <w:b/>
          <w:lang w:val="es-ES_tradnl"/>
        </w:rPr>
      </w:pPr>
      <w:r w:rsidRPr="006247AF">
        <w:rPr>
          <w:rFonts w:ascii="Palatino Linotype" w:hAnsi="Palatino Linotype" w:cs="Palatino Linotype"/>
          <w:i/>
          <w:color w:val="000000"/>
          <w:lang w:val="es-ES_tradnl"/>
        </w:rPr>
        <w:t>“no entregan la información</w:t>
      </w:r>
      <w:r w:rsidRPr="006247AF">
        <w:rPr>
          <w:rFonts w:ascii="Palatino Linotype" w:hAnsi="Palatino Linotype"/>
          <w:i/>
          <w:color w:val="000000"/>
        </w:rPr>
        <w:t>”</w:t>
      </w:r>
      <w:r w:rsidR="000D47AB" w:rsidRPr="006247AF">
        <w:rPr>
          <w:rFonts w:ascii="Palatino Linotype" w:hAnsi="Palatino Linotype"/>
          <w:i/>
          <w:color w:val="000000"/>
        </w:rPr>
        <w:t xml:space="preserve"> </w:t>
      </w:r>
      <w:r w:rsidRPr="006247AF">
        <w:rPr>
          <w:rFonts w:ascii="Palatino Linotype" w:hAnsi="Palatino Linotype" w:cs="Palatino Linotype"/>
          <w:i/>
          <w:color w:val="000000"/>
          <w:lang w:val="es-ES_tradnl"/>
        </w:rPr>
        <w:t>(Sic)</w:t>
      </w:r>
      <w:r w:rsidRPr="006247AF">
        <w:rPr>
          <w:rFonts w:ascii="Palatino Linotype" w:hAnsi="Palatino Linotype" w:cs="Palatino Linotype"/>
          <w:b/>
          <w:lang w:val="es-ES_tradnl"/>
        </w:rPr>
        <w:t xml:space="preserve"> </w:t>
      </w:r>
    </w:p>
    <w:p w:rsidR="00061F10" w:rsidRPr="006247AF" w:rsidRDefault="00061F10" w:rsidP="004D772E">
      <w:pPr>
        <w:ind w:left="567" w:right="567"/>
        <w:contextualSpacing/>
        <w:jc w:val="both"/>
        <w:rPr>
          <w:rFonts w:ascii="Palatino Linotype" w:hAnsi="Palatino Linotype" w:cs="Palatino Linotype"/>
          <w:b/>
          <w:i/>
          <w:color w:val="000000"/>
          <w:lang w:val="es-ES_tradnl"/>
        </w:rPr>
      </w:pPr>
    </w:p>
    <w:p w:rsidR="00061F10" w:rsidRPr="006247AF" w:rsidRDefault="00061F10" w:rsidP="004D772E">
      <w:pPr>
        <w:keepNext/>
        <w:keepLines/>
        <w:spacing w:line="360" w:lineRule="auto"/>
        <w:jc w:val="both"/>
        <w:outlineLvl w:val="1"/>
        <w:rPr>
          <w:rFonts w:ascii="Palatino Linotype" w:hAnsi="Palatino Linotype"/>
          <w:b/>
          <w:color w:val="000000" w:themeColor="text1"/>
          <w:sz w:val="28"/>
          <w:szCs w:val="26"/>
          <w:lang w:val="es-ES_tradnl"/>
        </w:rPr>
      </w:pPr>
      <w:r w:rsidRPr="006247AF">
        <w:rPr>
          <w:rFonts w:ascii="Palatino Linotype" w:hAnsi="Palatino Linotype"/>
          <w:b/>
          <w:color w:val="000000" w:themeColor="text1"/>
          <w:sz w:val="28"/>
          <w:szCs w:val="26"/>
          <w:lang w:val="es-ES_tradnl"/>
        </w:rPr>
        <w:t>CUARTO. Del turno y admisión del recurso de revisión.</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r w:rsidRPr="006247AF">
        <w:rPr>
          <w:rFonts w:ascii="Palatino Linotype" w:hAnsi="Palatino Linotype" w:cs="Palatino Linotype"/>
          <w:color w:val="000000"/>
          <w:lang w:val="es-ES_tradnl"/>
        </w:rPr>
        <w:t xml:space="preserve">Medio de impugnación que le fue turnado al </w:t>
      </w:r>
      <w:r w:rsidRPr="006247AF">
        <w:rPr>
          <w:rFonts w:ascii="Palatino Linotype" w:hAnsi="Palatino Linotype" w:cs="Palatino Linotype"/>
          <w:b/>
          <w:color w:val="000000"/>
          <w:lang w:val="es-ES_tradnl"/>
        </w:rPr>
        <w:t>Comisionado Presidente José Martínez Vilchis</w:t>
      </w:r>
      <w:r w:rsidRPr="006247AF">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Pr="006247AF">
        <w:rPr>
          <w:rFonts w:ascii="Palatino Linotype" w:hAnsi="Palatino Linotype" w:cs="Palatino Linotype"/>
          <w:b/>
          <w:color w:val="000000"/>
          <w:lang w:val="es-ES_tradnl"/>
        </w:rPr>
        <w:t xml:space="preserve"> </w:t>
      </w:r>
      <w:r w:rsidR="00D56A89" w:rsidRPr="006247AF">
        <w:rPr>
          <w:rFonts w:ascii="Palatino Linotype" w:hAnsi="Palatino Linotype" w:cs="Palatino Linotype"/>
          <w:b/>
          <w:color w:val="000000"/>
          <w:lang w:val="es-ES_tradnl"/>
        </w:rPr>
        <w:t>veintinueve</w:t>
      </w:r>
      <w:r w:rsidRPr="006247AF">
        <w:rPr>
          <w:rFonts w:ascii="Palatino Linotype" w:hAnsi="Palatino Linotype" w:cs="Palatino Linotype"/>
          <w:b/>
          <w:color w:val="000000"/>
          <w:lang w:val="es-ES_tradnl"/>
        </w:rPr>
        <w:t xml:space="preserve"> de </w:t>
      </w:r>
      <w:r w:rsidR="00D56A89" w:rsidRPr="006247AF">
        <w:rPr>
          <w:rFonts w:ascii="Palatino Linotype" w:hAnsi="Palatino Linotype" w:cs="Palatino Linotype"/>
          <w:b/>
          <w:color w:val="000000"/>
          <w:lang w:val="es-ES_tradnl"/>
        </w:rPr>
        <w:t>abril</w:t>
      </w:r>
      <w:r w:rsidRPr="006247AF">
        <w:rPr>
          <w:rFonts w:ascii="Palatino Linotype" w:hAnsi="Palatino Linotype" w:cs="Palatino Linotype"/>
          <w:b/>
          <w:color w:val="000000"/>
          <w:lang w:val="es-ES_tradnl"/>
        </w:rPr>
        <w:t xml:space="preserve"> de dos mil veinticuatro</w:t>
      </w:r>
      <w:r w:rsidRPr="006247AF">
        <w:rPr>
          <w:rFonts w:ascii="Palatino Linotype" w:hAnsi="Palatino Linotype" w:cs="Palatino Linotype"/>
          <w:color w:val="000000"/>
          <w:lang w:val="es-ES_tradnl"/>
        </w:rPr>
        <w:t xml:space="preserve">, </w:t>
      </w:r>
      <w:r w:rsidRPr="006247AF">
        <w:rPr>
          <w:rFonts w:ascii="Palatino Linotype" w:hAnsi="Palatino Linotype" w:cs="Palatino Linotype"/>
          <w:lang w:val="es-ES_tradnl"/>
        </w:rPr>
        <w:t>otorgándose</w:t>
      </w:r>
      <w:r w:rsidRPr="006247AF">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p>
    <w:p w:rsidR="00061F10" w:rsidRPr="006247AF" w:rsidRDefault="00061F10" w:rsidP="004D772E">
      <w:pPr>
        <w:keepNext/>
        <w:keepLines/>
        <w:spacing w:line="360" w:lineRule="auto"/>
        <w:jc w:val="both"/>
        <w:outlineLvl w:val="1"/>
        <w:rPr>
          <w:rFonts w:ascii="Palatino Linotype" w:hAnsi="Palatino Linotype"/>
          <w:b/>
          <w:color w:val="000000" w:themeColor="text1"/>
          <w:sz w:val="28"/>
          <w:szCs w:val="26"/>
          <w:lang w:val="es-ES_tradnl"/>
        </w:rPr>
      </w:pPr>
      <w:r w:rsidRPr="006247AF">
        <w:rPr>
          <w:rFonts w:ascii="Palatino Linotype" w:hAnsi="Palatino Linotype"/>
          <w:b/>
          <w:color w:val="000000" w:themeColor="text1"/>
          <w:sz w:val="28"/>
          <w:szCs w:val="26"/>
          <w:lang w:val="es-ES_tradnl"/>
        </w:rPr>
        <w:t>QUINTO. De la etapa de instrucción.</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r w:rsidRPr="006247AF">
        <w:rPr>
          <w:rFonts w:ascii="Palatino Linotype" w:hAnsi="Palatino Linotype" w:cs="Palatino Linotype"/>
          <w:color w:val="000000"/>
          <w:lang w:val="es-ES_tradnl"/>
        </w:rPr>
        <w:t>Una vez abierta la etapa de instrucción, el Sujeto Obligado r</w:t>
      </w:r>
      <w:r w:rsidR="00D56A89" w:rsidRPr="006247AF">
        <w:rPr>
          <w:rFonts w:ascii="Palatino Linotype" w:hAnsi="Palatino Linotype" w:cs="Palatino Linotype"/>
          <w:color w:val="000000"/>
          <w:lang w:val="es-ES_tradnl"/>
        </w:rPr>
        <w:t>i</w:t>
      </w:r>
      <w:r w:rsidRPr="006247AF">
        <w:rPr>
          <w:rFonts w:ascii="Palatino Linotype" w:hAnsi="Palatino Linotype" w:cs="Palatino Linotype"/>
          <w:color w:val="000000"/>
          <w:lang w:val="es-ES_tradnl"/>
        </w:rPr>
        <w:t>ndi</w:t>
      </w:r>
      <w:r w:rsidR="00D56A89" w:rsidRPr="006247AF">
        <w:rPr>
          <w:rFonts w:ascii="Palatino Linotype" w:hAnsi="Palatino Linotype" w:cs="Palatino Linotype"/>
          <w:color w:val="000000"/>
          <w:lang w:val="es-ES_tradnl"/>
        </w:rPr>
        <w:t>ó</w:t>
      </w:r>
      <w:r w:rsidRPr="006247AF">
        <w:rPr>
          <w:rFonts w:ascii="Palatino Linotype" w:hAnsi="Palatino Linotype" w:cs="Palatino Linotype"/>
          <w:color w:val="000000"/>
          <w:lang w:val="es-ES_tradnl"/>
        </w:rPr>
        <w:t xml:space="preserve"> su informe justificado</w:t>
      </w:r>
      <w:r w:rsidR="00D56A89" w:rsidRPr="006247AF">
        <w:rPr>
          <w:rFonts w:ascii="Palatino Linotype" w:hAnsi="Palatino Linotype" w:cs="Palatino Linotype"/>
          <w:color w:val="000000"/>
          <w:lang w:val="es-ES_tradnl"/>
        </w:rPr>
        <w:t xml:space="preserve"> en fecha </w:t>
      </w:r>
      <w:r w:rsidR="00D56A89" w:rsidRPr="006247AF">
        <w:rPr>
          <w:rFonts w:ascii="Palatino Linotype" w:hAnsi="Palatino Linotype" w:cs="Palatino Linotype"/>
          <w:b/>
          <w:color w:val="000000"/>
          <w:lang w:val="es-ES_tradnl"/>
        </w:rPr>
        <w:t>diez de mayo de dos mil veinticuatro</w:t>
      </w:r>
      <w:r w:rsidR="00D56A89" w:rsidRPr="006247AF">
        <w:rPr>
          <w:rFonts w:ascii="Palatino Linotype" w:hAnsi="Palatino Linotype" w:cs="Palatino Linotype"/>
          <w:color w:val="000000"/>
          <w:lang w:val="es-ES_tradnl"/>
        </w:rPr>
        <w:t xml:space="preserve">, a través de los archivos electrónicos denominados “INFORME JUSTIFICADO RR 2185.2024.pdf”, “OFICIO ANEXO INFORME 2185.2024.pdf” y “Acta 78 Extraord Solic 2185( VP) (2).pdf”, los cuales fueron puestos a la vista de la parte Recurrente, el día </w:t>
      </w:r>
      <w:r w:rsidR="00D56A89" w:rsidRPr="006247AF">
        <w:rPr>
          <w:rFonts w:ascii="Palatino Linotype" w:hAnsi="Palatino Linotype" w:cs="Palatino Linotype"/>
          <w:b/>
          <w:color w:val="000000"/>
          <w:lang w:val="es-ES_tradnl"/>
        </w:rPr>
        <w:t>cinco de junio de dos mil veinticuatro</w:t>
      </w:r>
      <w:r w:rsidR="00D56A89" w:rsidRPr="006247AF">
        <w:rPr>
          <w:rFonts w:ascii="Palatino Linotype" w:hAnsi="Palatino Linotype" w:cs="Palatino Linotype"/>
          <w:color w:val="000000"/>
          <w:lang w:val="es-ES_tradnl"/>
        </w:rPr>
        <w:t xml:space="preserve">, no obstante, el denominado “drive-download-20240511T023328Z-001.zip”, no se puso a la vista por contener datos </w:t>
      </w:r>
      <w:r w:rsidR="00922188" w:rsidRPr="006247AF">
        <w:rPr>
          <w:rFonts w:ascii="Palatino Linotype" w:hAnsi="Palatino Linotype" w:cs="Palatino Linotype"/>
          <w:color w:val="000000"/>
          <w:lang w:val="es-ES_tradnl"/>
        </w:rPr>
        <w:t>considerados</w:t>
      </w:r>
      <w:r w:rsidR="00D56A89" w:rsidRPr="006247AF">
        <w:rPr>
          <w:rFonts w:ascii="Palatino Linotype" w:hAnsi="Palatino Linotype" w:cs="Palatino Linotype"/>
          <w:color w:val="000000"/>
          <w:lang w:val="es-ES_tradnl"/>
        </w:rPr>
        <w:t xml:space="preserve"> como confidenciales. Asimismo, </w:t>
      </w:r>
      <w:r w:rsidRPr="006247AF">
        <w:rPr>
          <w:rFonts w:ascii="Palatino Linotype" w:hAnsi="Palatino Linotype" w:cs="Palatino Linotype"/>
          <w:color w:val="000000"/>
          <w:lang w:val="es-ES_tradnl"/>
        </w:rPr>
        <w:t>l</w:t>
      </w:r>
      <w:r w:rsidR="00D56A89" w:rsidRPr="006247AF">
        <w:rPr>
          <w:rFonts w:ascii="Palatino Linotype" w:hAnsi="Palatino Linotype" w:cs="Palatino Linotype"/>
          <w:color w:val="000000"/>
          <w:lang w:val="es-ES_tradnl"/>
        </w:rPr>
        <w:t>a parte</w:t>
      </w:r>
      <w:r w:rsidRPr="006247AF">
        <w:rPr>
          <w:rFonts w:ascii="Palatino Linotype" w:hAnsi="Palatino Linotype" w:cs="Palatino Linotype"/>
          <w:color w:val="000000"/>
          <w:lang w:val="es-ES_tradnl"/>
        </w:rPr>
        <w:t xml:space="preserve"> Recurrente no realizó manifestaciones, vertió alegatos ni presentó pruebas que a su derecho convinieran. </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p>
    <w:p w:rsidR="00061F10" w:rsidRPr="006247AF" w:rsidRDefault="00061F10" w:rsidP="004D772E">
      <w:pPr>
        <w:keepNext/>
        <w:keepLines/>
        <w:spacing w:line="360" w:lineRule="auto"/>
        <w:jc w:val="both"/>
        <w:outlineLvl w:val="1"/>
        <w:rPr>
          <w:rFonts w:ascii="Palatino Linotype" w:hAnsi="Palatino Linotype"/>
          <w:b/>
          <w:color w:val="000000" w:themeColor="text1"/>
          <w:sz w:val="28"/>
          <w:szCs w:val="26"/>
          <w:lang w:val="es-ES_tradnl"/>
        </w:rPr>
      </w:pPr>
      <w:r w:rsidRPr="006247AF">
        <w:rPr>
          <w:rFonts w:ascii="Palatino Linotype" w:hAnsi="Palatino Linotype"/>
          <w:b/>
          <w:color w:val="000000" w:themeColor="text1"/>
          <w:sz w:val="28"/>
          <w:szCs w:val="26"/>
          <w:lang w:val="es-ES_tradnl"/>
        </w:rPr>
        <w:lastRenderedPageBreak/>
        <w:t>SEXTO. Del cierre de instrucción.</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r w:rsidRPr="006247AF">
        <w:rPr>
          <w:rFonts w:ascii="Palatino Linotype" w:hAnsi="Palatino Linotype" w:cs="Palatino Linotype"/>
          <w:color w:val="000000"/>
          <w:lang w:val="es-ES_tradnl"/>
        </w:rPr>
        <w:t>Así, una vez transcurrido el término legal, se decretó el cierre de instrucción en fecha</w:t>
      </w:r>
      <w:r w:rsidRPr="006247AF">
        <w:rPr>
          <w:rFonts w:ascii="Palatino Linotype" w:hAnsi="Palatino Linotype" w:cs="Palatino Linotype"/>
          <w:b/>
          <w:color w:val="000000"/>
          <w:lang w:val="es-ES_tradnl"/>
        </w:rPr>
        <w:t xml:space="preserve"> </w:t>
      </w:r>
      <w:r w:rsidR="00D56A89" w:rsidRPr="006247AF">
        <w:rPr>
          <w:rFonts w:ascii="Palatino Linotype" w:hAnsi="Palatino Linotype" w:cs="Palatino Linotype"/>
          <w:b/>
          <w:color w:val="000000"/>
          <w:lang w:val="es-ES_tradnl"/>
        </w:rPr>
        <w:t>doce</w:t>
      </w:r>
      <w:r w:rsidRPr="006247AF">
        <w:rPr>
          <w:rFonts w:ascii="Palatino Linotype" w:hAnsi="Palatino Linotype" w:cs="Palatino Linotype"/>
          <w:b/>
          <w:color w:val="000000"/>
          <w:lang w:val="es-ES_tradnl"/>
        </w:rPr>
        <w:t xml:space="preserve"> de </w:t>
      </w:r>
      <w:r w:rsidR="00D56A89" w:rsidRPr="006247AF">
        <w:rPr>
          <w:rFonts w:ascii="Palatino Linotype" w:hAnsi="Palatino Linotype" w:cs="Palatino Linotype"/>
          <w:b/>
          <w:color w:val="000000"/>
          <w:lang w:val="es-ES_tradnl"/>
        </w:rPr>
        <w:t>juni</w:t>
      </w:r>
      <w:r w:rsidRPr="006247AF">
        <w:rPr>
          <w:rFonts w:ascii="Palatino Linotype" w:hAnsi="Palatino Linotype" w:cs="Palatino Linotype"/>
          <w:b/>
          <w:color w:val="000000"/>
          <w:lang w:val="es-ES_tradnl"/>
        </w:rPr>
        <w:t>o de dos mil veinticuatro</w:t>
      </w:r>
      <w:r w:rsidRPr="006247AF">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rsidR="00061F10" w:rsidRPr="006247AF" w:rsidRDefault="00061F10" w:rsidP="004D772E">
      <w:pPr>
        <w:spacing w:line="360" w:lineRule="auto"/>
        <w:contextualSpacing/>
        <w:jc w:val="both"/>
        <w:rPr>
          <w:rFonts w:ascii="Palatino Linotype" w:hAnsi="Palatino Linotype" w:cs="Palatino Linotype"/>
          <w:color w:val="000000"/>
          <w:lang w:val="es-ES_tradnl"/>
        </w:rPr>
      </w:pPr>
    </w:p>
    <w:p w:rsidR="00061F10" w:rsidRPr="006247AF" w:rsidRDefault="00061F10" w:rsidP="004D772E">
      <w:pPr>
        <w:spacing w:line="360" w:lineRule="auto"/>
        <w:jc w:val="both"/>
        <w:rPr>
          <w:rFonts w:ascii="Palatino Linotype" w:hAnsi="Palatino Linotype" w:cs="Arial"/>
          <w:b/>
          <w:sz w:val="28"/>
        </w:rPr>
      </w:pPr>
      <w:r w:rsidRPr="006247AF">
        <w:rPr>
          <w:rFonts w:ascii="Palatino Linotype" w:hAnsi="Palatino Linotype" w:cs="Arial"/>
          <w:b/>
          <w:sz w:val="28"/>
          <w:szCs w:val="28"/>
        </w:rPr>
        <w:t>SEPTIMO.</w:t>
      </w:r>
      <w:r w:rsidRPr="006247AF">
        <w:rPr>
          <w:rFonts w:ascii="Palatino Linotype" w:hAnsi="Palatino Linotype" w:cs="Arial"/>
          <w:b/>
        </w:rPr>
        <w:t xml:space="preserve"> </w:t>
      </w:r>
      <w:r w:rsidRPr="006247AF">
        <w:rPr>
          <w:rFonts w:ascii="Palatino Linotype" w:hAnsi="Palatino Linotype" w:cs="Arial"/>
          <w:b/>
          <w:sz w:val="28"/>
        </w:rPr>
        <w:t>Ampliación del término para resolver</w:t>
      </w:r>
    </w:p>
    <w:p w:rsidR="00061F10" w:rsidRPr="006247AF" w:rsidRDefault="00061F10" w:rsidP="004D772E">
      <w:pPr>
        <w:spacing w:line="360" w:lineRule="auto"/>
        <w:jc w:val="both"/>
        <w:rPr>
          <w:rFonts w:ascii="Palatino Linotype" w:hAnsi="Palatino Linotype" w:cs="Arial"/>
        </w:rPr>
      </w:pPr>
      <w:r w:rsidRPr="006247AF">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D56A89" w:rsidRPr="006247AF">
        <w:rPr>
          <w:rFonts w:ascii="Palatino Linotype" w:hAnsi="Palatino Linotype" w:cs="Arial"/>
          <w:b/>
        </w:rPr>
        <w:t>diecisiete</w:t>
      </w:r>
      <w:r w:rsidRPr="006247AF">
        <w:rPr>
          <w:rFonts w:ascii="Palatino Linotype" w:hAnsi="Palatino Linotype" w:cs="Arial"/>
          <w:b/>
        </w:rPr>
        <w:t xml:space="preserve"> de </w:t>
      </w:r>
      <w:r w:rsidR="00D56A89" w:rsidRPr="006247AF">
        <w:rPr>
          <w:rFonts w:ascii="Palatino Linotype" w:hAnsi="Palatino Linotype" w:cs="Arial"/>
          <w:b/>
        </w:rPr>
        <w:t>junio</w:t>
      </w:r>
      <w:r w:rsidRPr="006247AF">
        <w:rPr>
          <w:rFonts w:ascii="Palatino Linotype" w:hAnsi="Palatino Linotype" w:cs="Arial"/>
          <w:b/>
        </w:rPr>
        <w:t xml:space="preserve"> del año dos mil veinticuatro</w:t>
      </w:r>
      <w:r w:rsidRPr="006247AF">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1C7130" w:rsidRPr="006247AF" w:rsidRDefault="001C7130" w:rsidP="004D772E">
      <w:pPr>
        <w:spacing w:line="360" w:lineRule="auto"/>
        <w:jc w:val="both"/>
        <w:rPr>
          <w:rFonts w:ascii="Palatino Linotype" w:hAnsi="Palatino Linotype" w:cs="Arial"/>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rsidR="001C7130" w:rsidRPr="006247AF" w:rsidRDefault="001C7130" w:rsidP="004D772E">
      <w:pPr>
        <w:spacing w:line="360" w:lineRule="auto"/>
        <w:ind w:right="49"/>
        <w:jc w:val="both"/>
        <w:rPr>
          <w:rFonts w:ascii="Palatino Linotype" w:hAnsi="Palatino Linotype" w:cs="Arial"/>
          <w:lang w:val="es-ES" w:eastAsia="es-ES"/>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6247AF">
        <w:rPr>
          <w:rFonts w:ascii="Palatino Linotype" w:hAnsi="Palatino Linotype" w:cs="Arial"/>
          <w:lang w:val="es-ES" w:eastAsia="es-ES"/>
        </w:rPr>
        <w:lastRenderedPageBreak/>
        <w:t>asuntos conforme a los parámetros establecidos por diversos órganos jurisdiccionales federales, aplicables también en procedimientos análogos, como el que nos ocupa.</w:t>
      </w:r>
    </w:p>
    <w:p w:rsidR="001C7130" w:rsidRPr="006247AF" w:rsidRDefault="001C7130" w:rsidP="004D772E">
      <w:pPr>
        <w:spacing w:line="360" w:lineRule="auto"/>
        <w:ind w:right="49"/>
        <w:jc w:val="both"/>
        <w:rPr>
          <w:rFonts w:ascii="Palatino Linotype" w:hAnsi="Palatino Linotype" w:cs="Arial"/>
          <w:lang w:val="es-ES" w:eastAsia="es-ES"/>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C7130" w:rsidRPr="006247AF" w:rsidRDefault="001C7130" w:rsidP="004D772E">
      <w:pPr>
        <w:spacing w:line="360" w:lineRule="auto"/>
        <w:ind w:right="49"/>
        <w:jc w:val="both"/>
        <w:rPr>
          <w:rFonts w:ascii="Palatino Linotype" w:hAnsi="Palatino Linotype" w:cs="Arial"/>
          <w:lang w:val="es-ES" w:eastAsia="es-ES"/>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1C7130" w:rsidRPr="006247AF" w:rsidRDefault="001C7130" w:rsidP="004D772E">
      <w:pPr>
        <w:spacing w:line="360" w:lineRule="auto"/>
        <w:ind w:right="49"/>
        <w:jc w:val="both"/>
        <w:rPr>
          <w:rFonts w:ascii="Palatino Linotype" w:hAnsi="Palatino Linotype" w:cs="Arial"/>
          <w:lang w:val="es-ES" w:eastAsia="es-ES"/>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 xml:space="preserve"> </w:t>
      </w:r>
    </w:p>
    <w:p w:rsidR="001C7130" w:rsidRPr="006247AF" w:rsidRDefault="001C7130" w:rsidP="004D772E">
      <w:pPr>
        <w:spacing w:line="360" w:lineRule="auto"/>
        <w:ind w:left="993" w:right="49" w:hanging="426"/>
        <w:jc w:val="both"/>
        <w:rPr>
          <w:rFonts w:ascii="Palatino Linotype" w:hAnsi="Palatino Linotype" w:cs="Arial"/>
          <w:lang w:val="es-ES" w:eastAsia="es-ES"/>
        </w:rPr>
      </w:pPr>
      <w:r w:rsidRPr="006247AF">
        <w:rPr>
          <w:rFonts w:ascii="Palatino Linotype" w:hAnsi="Palatino Linotype" w:cs="Arial"/>
          <w:b/>
          <w:lang w:val="es-ES" w:eastAsia="es-ES"/>
        </w:rPr>
        <w:t xml:space="preserve">a) </w:t>
      </w:r>
      <w:r w:rsidRPr="006247AF">
        <w:rPr>
          <w:rFonts w:ascii="Palatino Linotype" w:hAnsi="Palatino Linotype" w:cs="Arial"/>
          <w:b/>
          <w:lang w:val="es-ES" w:eastAsia="es-ES"/>
        </w:rPr>
        <w:tab/>
        <w:t>Complejidad del asunto:</w:t>
      </w:r>
      <w:r w:rsidRPr="006247AF">
        <w:rPr>
          <w:rFonts w:ascii="Palatino Linotype" w:hAnsi="Palatino Linotype" w:cs="Arial"/>
          <w:lang w:val="es-ES" w:eastAsia="es-ES"/>
        </w:rPr>
        <w:t xml:space="preserve"> La complejidad de la prueba, la pluralidad de sujetos procesales, el tiempo transcurrido, las características y contexto del recurso.</w:t>
      </w:r>
    </w:p>
    <w:p w:rsidR="001C7130" w:rsidRPr="006247AF" w:rsidRDefault="001C7130" w:rsidP="004D772E">
      <w:pPr>
        <w:spacing w:line="360" w:lineRule="auto"/>
        <w:ind w:left="993" w:right="49" w:hanging="426"/>
        <w:jc w:val="both"/>
        <w:rPr>
          <w:rFonts w:ascii="Palatino Linotype" w:hAnsi="Palatino Linotype" w:cs="Arial"/>
          <w:lang w:val="es-ES" w:eastAsia="es-ES"/>
        </w:rPr>
      </w:pPr>
      <w:r w:rsidRPr="006247AF">
        <w:rPr>
          <w:rFonts w:ascii="Palatino Linotype" w:hAnsi="Palatino Linotype" w:cs="Arial"/>
          <w:b/>
          <w:lang w:val="es-ES" w:eastAsia="es-ES"/>
        </w:rPr>
        <w:t xml:space="preserve">b) </w:t>
      </w:r>
      <w:r w:rsidRPr="006247AF">
        <w:rPr>
          <w:rFonts w:ascii="Palatino Linotype" w:hAnsi="Palatino Linotype" w:cs="Arial"/>
          <w:b/>
          <w:lang w:val="es-ES" w:eastAsia="es-ES"/>
        </w:rPr>
        <w:tab/>
        <w:t>Actividad Procesal del interesado:</w:t>
      </w:r>
      <w:r w:rsidRPr="006247AF">
        <w:rPr>
          <w:rFonts w:ascii="Palatino Linotype" w:hAnsi="Palatino Linotype" w:cs="Arial"/>
          <w:lang w:val="es-ES" w:eastAsia="es-ES"/>
        </w:rPr>
        <w:t xml:space="preserve"> Acciones u omisiones del interesado.</w:t>
      </w:r>
    </w:p>
    <w:p w:rsidR="001C7130" w:rsidRPr="006247AF" w:rsidRDefault="001C7130" w:rsidP="004D772E">
      <w:pPr>
        <w:spacing w:line="360" w:lineRule="auto"/>
        <w:ind w:left="993" w:right="49" w:hanging="426"/>
        <w:jc w:val="both"/>
        <w:rPr>
          <w:rFonts w:ascii="Palatino Linotype" w:hAnsi="Palatino Linotype" w:cs="Arial"/>
          <w:lang w:val="es-ES" w:eastAsia="es-ES"/>
        </w:rPr>
      </w:pPr>
      <w:r w:rsidRPr="006247AF">
        <w:rPr>
          <w:rFonts w:ascii="Palatino Linotype" w:hAnsi="Palatino Linotype" w:cs="Arial"/>
          <w:b/>
          <w:lang w:val="es-ES" w:eastAsia="es-ES"/>
        </w:rPr>
        <w:t xml:space="preserve">c) </w:t>
      </w:r>
      <w:r w:rsidRPr="006247AF">
        <w:rPr>
          <w:rFonts w:ascii="Palatino Linotype" w:hAnsi="Palatino Linotype" w:cs="Arial"/>
          <w:b/>
          <w:lang w:val="es-ES" w:eastAsia="es-ES"/>
        </w:rPr>
        <w:tab/>
        <w:t>Conducta de la Autoridad:</w:t>
      </w:r>
      <w:r w:rsidRPr="006247AF">
        <w:rPr>
          <w:rFonts w:ascii="Palatino Linotype" w:hAnsi="Palatino Linotype" w:cs="Arial"/>
          <w:lang w:val="es-ES" w:eastAsia="es-ES"/>
        </w:rPr>
        <w:t xml:space="preserve"> Las Acciones u omisiones realizadas en el procedimiento. Así como si la autoridad actuó con la debida diligencia.</w:t>
      </w:r>
    </w:p>
    <w:p w:rsidR="001C7130" w:rsidRPr="006247AF" w:rsidRDefault="001C7130" w:rsidP="004D772E">
      <w:pPr>
        <w:spacing w:line="360" w:lineRule="auto"/>
        <w:ind w:left="993" w:right="49" w:hanging="426"/>
        <w:jc w:val="both"/>
        <w:rPr>
          <w:rFonts w:ascii="Palatino Linotype" w:hAnsi="Palatino Linotype" w:cs="Arial"/>
          <w:lang w:val="es-ES" w:eastAsia="es-ES"/>
        </w:rPr>
      </w:pPr>
      <w:r w:rsidRPr="006247AF">
        <w:rPr>
          <w:rFonts w:ascii="Palatino Linotype" w:hAnsi="Palatino Linotype" w:cs="Arial"/>
          <w:b/>
          <w:lang w:val="es-ES" w:eastAsia="es-ES"/>
        </w:rPr>
        <w:t xml:space="preserve">d) </w:t>
      </w:r>
      <w:r w:rsidRPr="006247AF">
        <w:rPr>
          <w:rFonts w:ascii="Palatino Linotype" w:hAnsi="Palatino Linotype" w:cs="Arial"/>
          <w:b/>
          <w:lang w:val="es-ES" w:eastAsia="es-ES"/>
        </w:rPr>
        <w:tab/>
        <w:t>La afectación generada en la situación jurídica de la persona involucrada en el proceso:</w:t>
      </w:r>
      <w:r w:rsidRPr="006247AF">
        <w:rPr>
          <w:rFonts w:ascii="Palatino Linotype" w:hAnsi="Palatino Linotype" w:cs="Arial"/>
          <w:lang w:val="es-ES" w:eastAsia="es-ES"/>
        </w:rPr>
        <w:t xml:space="preserve"> Violación a sus derechos humanos.</w:t>
      </w: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C7130" w:rsidRPr="006247AF" w:rsidRDefault="001C7130" w:rsidP="004D772E">
      <w:pPr>
        <w:spacing w:line="360" w:lineRule="auto"/>
        <w:ind w:right="49"/>
        <w:jc w:val="both"/>
        <w:rPr>
          <w:rFonts w:ascii="Palatino Linotype" w:hAnsi="Palatino Linotype" w:cs="Arial"/>
          <w:lang w:val="es-ES" w:eastAsia="es-ES"/>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1C7130" w:rsidRPr="006247AF" w:rsidRDefault="001C7130" w:rsidP="004D772E">
      <w:pPr>
        <w:spacing w:line="360" w:lineRule="auto"/>
        <w:ind w:right="49"/>
        <w:jc w:val="both"/>
        <w:rPr>
          <w:rFonts w:ascii="Palatino Linotype" w:hAnsi="Palatino Linotype" w:cs="Arial"/>
          <w:lang w:val="es-ES" w:eastAsia="es-ES"/>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C7130" w:rsidRPr="006247AF" w:rsidRDefault="001C7130" w:rsidP="004D772E">
      <w:pPr>
        <w:spacing w:line="360" w:lineRule="auto"/>
        <w:ind w:right="49"/>
        <w:jc w:val="both"/>
        <w:rPr>
          <w:rFonts w:ascii="Palatino Linotype" w:hAnsi="Palatino Linotype" w:cs="Arial"/>
          <w:lang w:val="es-ES" w:eastAsia="es-ES"/>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lastRenderedPageBreak/>
        <w:t>Al respecto, también son de considerar los criterios sostenidos por el Cuarto Tribunal Colegiado en Materia Administrativa del Primer Circuito, cuyos rubros y datos de identificación son los siguientes:</w:t>
      </w:r>
    </w:p>
    <w:p w:rsidR="001C7130" w:rsidRPr="006247AF" w:rsidRDefault="001C7130" w:rsidP="004D772E">
      <w:pPr>
        <w:spacing w:line="360" w:lineRule="auto"/>
        <w:ind w:right="49"/>
        <w:jc w:val="both"/>
        <w:rPr>
          <w:rFonts w:ascii="Palatino Linotype" w:hAnsi="Palatino Linotype" w:cs="Arial"/>
          <w:lang w:val="es-ES" w:eastAsia="es-ES"/>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w:t>
      </w:r>
      <w:r w:rsidRPr="006247AF">
        <w:rPr>
          <w:rFonts w:ascii="Palatino Linotype" w:hAnsi="Palatino Linotype" w:cs="Arial"/>
          <w:b/>
          <w:lang w:val="es-ES" w:eastAsia="es-ES"/>
        </w:rPr>
        <w:t>PLAZO RAZONABLE PARA RESOLVER. DIMENSIÓN Y EFECTOS DE ESTE CONCEPTO CUANDO SE ADUCE EXCESIVA CARGA DE TRABAJO</w:t>
      </w:r>
      <w:r w:rsidRPr="006247AF">
        <w:rPr>
          <w:rFonts w:ascii="Palatino Linotype" w:hAnsi="Palatino Linotype" w:cs="Arial"/>
          <w:lang w:val="es-ES" w:eastAsia="es-ES"/>
        </w:rPr>
        <w:t>.” consultable en el Seminario Judicial de la Federación y su gaceta, con el registro digital 2002351.</w:t>
      </w:r>
    </w:p>
    <w:p w:rsidR="001C7130" w:rsidRPr="006247AF" w:rsidRDefault="001C7130" w:rsidP="004D772E">
      <w:pPr>
        <w:spacing w:line="360" w:lineRule="auto"/>
        <w:ind w:right="49"/>
        <w:jc w:val="both"/>
        <w:rPr>
          <w:rFonts w:ascii="Palatino Linotype" w:hAnsi="Palatino Linotype" w:cs="Arial"/>
          <w:lang w:val="es-ES" w:eastAsia="es-ES"/>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w:t>
      </w:r>
      <w:r w:rsidRPr="006247AF">
        <w:rPr>
          <w:rFonts w:ascii="Palatino Linotype" w:hAnsi="Palatino Linotype" w:cs="Arial"/>
          <w:b/>
          <w:lang w:val="es-ES" w:eastAsia="es-ES"/>
        </w:rPr>
        <w:t>PLAZO RAZONABLE PARA RESOLVER. CONCEPTO Y ELEMENTOS QUE LO INTEGRAN A LA LUZ DEL DERECHO INTERNACIONAL DE LOS DERECHOS HUMANOS.</w:t>
      </w:r>
      <w:r w:rsidRPr="006247AF">
        <w:rPr>
          <w:rFonts w:ascii="Palatino Linotype" w:hAnsi="Palatino Linotype" w:cs="Arial"/>
          <w:lang w:val="es-ES" w:eastAsia="es-ES"/>
        </w:rPr>
        <w:t>”, visible en el Seminario Judicial de la Federación y su gaceta, con el registro digital 2002350.</w:t>
      </w:r>
    </w:p>
    <w:p w:rsidR="001C7130" w:rsidRPr="006247AF" w:rsidRDefault="001C7130" w:rsidP="004D772E">
      <w:pPr>
        <w:spacing w:line="360" w:lineRule="auto"/>
        <w:ind w:right="49"/>
        <w:jc w:val="both"/>
        <w:rPr>
          <w:rFonts w:ascii="Palatino Linotype" w:hAnsi="Palatino Linotype" w:cs="Arial"/>
          <w:lang w:val="es-ES" w:eastAsia="es-ES"/>
        </w:rPr>
      </w:pPr>
    </w:p>
    <w:p w:rsidR="001C7130" w:rsidRPr="006247AF" w:rsidRDefault="001C7130" w:rsidP="004D772E">
      <w:pPr>
        <w:spacing w:line="360" w:lineRule="auto"/>
        <w:ind w:right="49"/>
        <w:jc w:val="both"/>
        <w:rPr>
          <w:rFonts w:ascii="Palatino Linotype" w:hAnsi="Palatino Linotype" w:cs="Arial"/>
          <w:lang w:val="es-ES" w:eastAsia="es-ES"/>
        </w:rPr>
      </w:pPr>
      <w:r w:rsidRPr="006247AF">
        <w:rPr>
          <w:rFonts w:ascii="Palatino Linotype" w:hAnsi="Palatino Linotype" w:cs="Arial"/>
          <w:lang w:val="es-ES" w:eastAsia="es-ES"/>
        </w:rPr>
        <w:t>Por ello, este organismo garante comprometido con la tutela de los derechos humanos confiados, señala que este exceso del plazo legal para resolver el presente asunto, resulta de carácter excepcional.</w:t>
      </w:r>
    </w:p>
    <w:p w:rsidR="00061F10" w:rsidRPr="006247AF" w:rsidRDefault="00061F10" w:rsidP="004D772E">
      <w:pPr>
        <w:keepNext/>
        <w:keepLines/>
        <w:spacing w:line="360" w:lineRule="auto"/>
        <w:jc w:val="center"/>
        <w:outlineLvl w:val="0"/>
        <w:rPr>
          <w:rFonts w:ascii="Palatino Linotype" w:hAnsi="Palatino Linotype"/>
          <w:b/>
          <w:color w:val="000000" w:themeColor="text1"/>
          <w:sz w:val="28"/>
          <w:szCs w:val="32"/>
          <w:lang w:val="es-ES_tradnl" w:eastAsia="es-ES"/>
        </w:rPr>
      </w:pPr>
    </w:p>
    <w:p w:rsidR="00061F10" w:rsidRPr="006247AF" w:rsidRDefault="00061F10" w:rsidP="004D772E">
      <w:pPr>
        <w:keepNext/>
        <w:keepLines/>
        <w:spacing w:line="360" w:lineRule="auto"/>
        <w:jc w:val="center"/>
        <w:outlineLvl w:val="0"/>
        <w:rPr>
          <w:rFonts w:ascii="Palatino Linotype" w:hAnsi="Palatino Linotype"/>
          <w:b/>
          <w:color w:val="000000" w:themeColor="text1"/>
          <w:sz w:val="28"/>
          <w:szCs w:val="32"/>
          <w:lang w:val="es-ES_tradnl" w:eastAsia="es-ES"/>
        </w:rPr>
      </w:pPr>
      <w:r w:rsidRPr="006247AF">
        <w:rPr>
          <w:rFonts w:ascii="Palatino Linotype" w:hAnsi="Palatino Linotype"/>
          <w:b/>
          <w:color w:val="000000" w:themeColor="text1"/>
          <w:sz w:val="28"/>
          <w:szCs w:val="32"/>
          <w:lang w:val="es-ES_tradnl" w:eastAsia="es-ES"/>
        </w:rPr>
        <w:t>C O N S I D E R A N D O</w:t>
      </w:r>
    </w:p>
    <w:p w:rsidR="00061F10" w:rsidRPr="006247AF" w:rsidRDefault="00061F10" w:rsidP="004D772E">
      <w:pPr>
        <w:keepNext/>
        <w:keepLines/>
        <w:spacing w:line="360" w:lineRule="auto"/>
        <w:jc w:val="center"/>
        <w:outlineLvl w:val="0"/>
        <w:rPr>
          <w:rFonts w:ascii="Palatino Linotype" w:hAnsi="Palatino Linotype"/>
          <w:b/>
          <w:color w:val="000000" w:themeColor="text1"/>
          <w:szCs w:val="32"/>
          <w:lang w:val="es-ES_tradnl" w:eastAsia="es-ES"/>
        </w:rPr>
      </w:pPr>
    </w:p>
    <w:p w:rsidR="00061F10" w:rsidRPr="006247AF" w:rsidRDefault="00061F10" w:rsidP="004D772E">
      <w:pPr>
        <w:spacing w:line="360" w:lineRule="auto"/>
        <w:jc w:val="both"/>
        <w:rPr>
          <w:rFonts w:ascii="Palatino Linotype" w:hAnsi="Palatino Linotype" w:cs="Arial"/>
          <w:sz w:val="28"/>
          <w:szCs w:val="28"/>
        </w:rPr>
      </w:pPr>
      <w:r w:rsidRPr="006247AF">
        <w:rPr>
          <w:rFonts w:ascii="Palatino Linotype" w:hAnsi="Palatino Linotype" w:cs="Arial"/>
          <w:b/>
          <w:sz w:val="28"/>
        </w:rPr>
        <w:t>PRIMERO.</w:t>
      </w:r>
      <w:r w:rsidRPr="006247AF">
        <w:rPr>
          <w:rFonts w:ascii="Palatino Linotype" w:hAnsi="Palatino Linotype" w:cs="Arial"/>
          <w:b/>
        </w:rPr>
        <w:t xml:space="preserve"> </w:t>
      </w:r>
      <w:r w:rsidRPr="006247AF">
        <w:rPr>
          <w:rFonts w:ascii="Palatino Linotype" w:hAnsi="Palatino Linotype" w:cs="Arial"/>
          <w:b/>
          <w:sz w:val="28"/>
          <w:szCs w:val="28"/>
        </w:rPr>
        <w:t>De la competencia</w:t>
      </w:r>
      <w:r w:rsidRPr="006247AF">
        <w:rPr>
          <w:rFonts w:ascii="Palatino Linotype" w:hAnsi="Palatino Linotype" w:cs="Arial"/>
          <w:sz w:val="28"/>
          <w:szCs w:val="28"/>
        </w:rPr>
        <w:t>.</w:t>
      </w:r>
    </w:p>
    <w:p w:rsidR="00061F10" w:rsidRPr="006247AF" w:rsidRDefault="00061F10" w:rsidP="004D772E">
      <w:pPr>
        <w:spacing w:line="360" w:lineRule="auto"/>
        <w:jc w:val="both"/>
        <w:rPr>
          <w:rFonts w:ascii="Palatino Linotype" w:eastAsia="Calibri" w:hAnsi="Palatino Linotype" w:cs="Arial"/>
          <w:color w:val="000000" w:themeColor="text1"/>
        </w:rPr>
      </w:pPr>
      <w:r w:rsidRPr="006247AF">
        <w:rPr>
          <w:rFonts w:ascii="Palatino Linotype" w:hAnsi="Palatino Linotype" w:cs="Arial"/>
          <w:lang w:val="es-ES"/>
        </w:rPr>
        <w:t xml:space="preserve">Este Instituto de Transparencia, Acceso a la Información Pública y Protección de Datos Personales del Estado de México, es competente para conocer y resolver el presente recurso de revisión interpuesto por </w:t>
      </w:r>
      <w:r w:rsidRPr="006247AF">
        <w:rPr>
          <w:rFonts w:ascii="Palatino Linotype" w:hAnsi="Palatino Linotype" w:cs="Arial"/>
          <w:b/>
          <w:lang w:val="es-ES"/>
        </w:rPr>
        <w:t xml:space="preserve">la </w:t>
      </w:r>
      <w:r w:rsidR="001C7130" w:rsidRPr="006247AF">
        <w:rPr>
          <w:rFonts w:ascii="Palatino Linotype" w:hAnsi="Palatino Linotype" w:cs="Arial"/>
          <w:b/>
          <w:lang w:val="es-ES"/>
        </w:rPr>
        <w:t xml:space="preserve">parte </w:t>
      </w:r>
      <w:r w:rsidRPr="006247AF">
        <w:rPr>
          <w:rFonts w:ascii="Palatino Linotype" w:hAnsi="Palatino Linotype" w:cs="Arial"/>
          <w:b/>
          <w:lang w:val="es-ES"/>
        </w:rPr>
        <w:t xml:space="preserve">Recurrente </w:t>
      </w:r>
      <w:r w:rsidRPr="006247AF">
        <w:rPr>
          <w:rFonts w:ascii="Palatino Linotype" w:hAnsi="Palatino Linotype" w:cs="Arial"/>
          <w:lang w:val="es-ES"/>
        </w:rPr>
        <w:t xml:space="preserve">conforme a lo dispuesto en los </w:t>
      </w:r>
      <w:r w:rsidRPr="006247AF">
        <w:rPr>
          <w:rFonts w:ascii="Palatino Linotype" w:hAnsi="Palatino Linotype" w:cs="Arial"/>
          <w:lang w:val="es-ES"/>
        </w:rPr>
        <w:lastRenderedPageBreak/>
        <w:t xml:space="preserve">artículos 1, párrafos segundo y tercero, </w:t>
      </w:r>
      <w:r w:rsidRPr="006247AF">
        <w:rPr>
          <w:rFonts w:ascii="Palatino Linotype" w:eastAsia="Calibri" w:hAnsi="Palatino Linotype"/>
          <w:color w:val="000000" w:themeColor="text1"/>
        </w:rPr>
        <w:t xml:space="preserve">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6247AF">
        <w:rPr>
          <w:rFonts w:ascii="Palatino Linotype" w:eastAsia="Calibri" w:hAnsi="Palatino Linotype" w:cs="Arial"/>
          <w:color w:val="000000" w:themeColor="text1"/>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061F10" w:rsidRPr="006247AF" w:rsidRDefault="00061F10" w:rsidP="004D772E">
      <w:pPr>
        <w:pStyle w:val="Prrafodelista"/>
        <w:autoSpaceDE w:val="0"/>
        <w:autoSpaceDN w:val="0"/>
        <w:adjustRightInd w:val="0"/>
        <w:ind w:left="0"/>
        <w:rPr>
          <w:rFonts w:cs="Arial"/>
          <w:b/>
          <w:sz w:val="28"/>
        </w:rPr>
      </w:pPr>
    </w:p>
    <w:p w:rsidR="00061F10" w:rsidRPr="006247AF" w:rsidRDefault="00061F10" w:rsidP="004D772E">
      <w:pPr>
        <w:pStyle w:val="Prrafodelista"/>
        <w:autoSpaceDE w:val="0"/>
        <w:autoSpaceDN w:val="0"/>
        <w:adjustRightInd w:val="0"/>
        <w:ind w:left="0"/>
        <w:rPr>
          <w:rFonts w:cs="Arial"/>
          <w:b/>
        </w:rPr>
      </w:pPr>
      <w:r w:rsidRPr="006247AF">
        <w:rPr>
          <w:rFonts w:cs="Arial"/>
          <w:b/>
          <w:sz w:val="28"/>
        </w:rPr>
        <w:t>SEGUNDO</w:t>
      </w:r>
      <w:r w:rsidRPr="006247AF">
        <w:rPr>
          <w:rFonts w:cs="Arial"/>
          <w:b/>
        </w:rPr>
        <w:t xml:space="preserve">. </w:t>
      </w:r>
      <w:r w:rsidRPr="006247AF">
        <w:rPr>
          <w:rFonts w:cs="Arial"/>
          <w:b/>
          <w:sz w:val="28"/>
          <w:szCs w:val="28"/>
        </w:rPr>
        <w:t>Sobre los alcances del recurso de revisión.</w:t>
      </w:r>
      <w:r w:rsidRPr="006247AF">
        <w:rPr>
          <w:rFonts w:cs="Arial"/>
          <w:b/>
        </w:rPr>
        <w:t xml:space="preserve"> </w:t>
      </w:r>
    </w:p>
    <w:p w:rsidR="00061F10" w:rsidRPr="006247AF" w:rsidRDefault="00061F10" w:rsidP="004D772E">
      <w:pPr>
        <w:pStyle w:val="Prrafodelista"/>
        <w:autoSpaceDE w:val="0"/>
        <w:autoSpaceDN w:val="0"/>
        <w:adjustRightInd w:val="0"/>
        <w:ind w:left="0"/>
        <w:rPr>
          <w:rFonts w:cs="Arial"/>
        </w:rPr>
      </w:pPr>
      <w:r w:rsidRPr="006247AF">
        <w:rPr>
          <w:rFonts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061F10" w:rsidRPr="006247AF" w:rsidRDefault="00061F10" w:rsidP="004D772E">
      <w:pPr>
        <w:pStyle w:val="Prrafodelista"/>
        <w:autoSpaceDE w:val="0"/>
        <w:autoSpaceDN w:val="0"/>
        <w:adjustRightInd w:val="0"/>
        <w:ind w:left="0"/>
        <w:rPr>
          <w:rFonts w:cs="Arial"/>
        </w:rPr>
      </w:pPr>
    </w:p>
    <w:p w:rsidR="001C7130" w:rsidRPr="006247AF" w:rsidRDefault="00061F10" w:rsidP="004D772E">
      <w:pPr>
        <w:autoSpaceDE w:val="0"/>
        <w:autoSpaceDN w:val="0"/>
        <w:adjustRightInd w:val="0"/>
        <w:spacing w:line="360" w:lineRule="auto"/>
        <w:jc w:val="both"/>
        <w:rPr>
          <w:rFonts w:ascii="Palatino Linotype" w:hAnsi="Palatino Linotype" w:cs="Arial"/>
        </w:rPr>
      </w:pPr>
      <w:r w:rsidRPr="006247AF">
        <w:rPr>
          <w:rFonts w:ascii="Palatino Linotype" w:hAnsi="Palatino Linotype" w:cs="Arial"/>
          <w:b/>
          <w:sz w:val="28"/>
          <w:szCs w:val="28"/>
        </w:rPr>
        <w:t xml:space="preserve">TERCERO. </w:t>
      </w:r>
      <w:r w:rsidR="001C7130" w:rsidRPr="006247AF">
        <w:rPr>
          <w:rFonts w:ascii="Palatino Linotype" w:hAnsi="Palatino Linotype" w:cs="Arial"/>
        </w:rPr>
        <w:t>El Recurso de Revisión en estudio contienen los elementos normativos de validez exigidos en la Ley de Transparencia y Acceso a la Información Pública del Estado de México y Municipios, establecidos en el artículo 180 que enuncia:</w:t>
      </w:r>
    </w:p>
    <w:p w:rsidR="001C7130" w:rsidRPr="006247AF" w:rsidRDefault="001C7130" w:rsidP="004D772E">
      <w:pPr>
        <w:autoSpaceDE w:val="0"/>
        <w:autoSpaceDN w:val="0"/>
        <w:adjustRightInd w:val="0"/>
        <w:spacing w:line="360" w:lineRule="auto"/>
        <w:jc w:val="both"/>
        <w:rPr>
          <w:rFonts w:ascii="Palatino Linotype" w:hAnsi="Palatino Linotype" w:cs="Arial"/>
        </w:rPr>
      </w:pP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i/>
          <w:iCs/>
        </w:rPr>
        <w:lastRenderedPageBreak/>
        <w:t>“Artículo 180. El recurso de revisión contendrá:</w:t>
      </w: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i/>
          <w:iCs/>
        </w:rPr>
        <w:t>I. El sujeto obligado ante la cual se presentó la solicitud;</w:t>
      </w: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b/>
          <w:bCs/>
          <w:i/>
          <w:iCs/>
          <w:u w:val="single"/>
        </w:rPr>
        <w:t>II. El nombre del solicitante</w:t>
      </w:r>
      <w:r w:rsidRPr="006247AF">
        <w:rPr>
          <w:rFonts w:ascii="Palatino Linotype" w:hAnsi="Palatino Linotype" w:cs="Arial"/>
          <w:i/>
          <w:iCs/>
        </w:rPr>
        <w:t xml:space="preserve"> que recurre o de su representante y, en su caso, del tercero interesado, así como la dirección o medio que señale para recibir notificaciones; </w:t>
      </w: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i/>
          <w:iCs/>
        </w:rPr>
        <w:t>III. El número de folio de respuesta de la solicitud de acceso;</w:t>
      </w: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i/>
          <w:iCs/>
        </w:rPr>
        <w:t>IV. La fecha en que fue notificada la respuesta al solicitante o tuvo conocimiento del acto reclamado, o de presentación de la solicitud, en caso de falta de respuesta;</w:t>
      </w: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i/>
          <w:iCs/>
        </w:rPr>
        <w:t>V. El acto que se recurre;</w:t>
      </w: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i/>
          <w:iCs/>
        </w:rPr>
        <w:t>VI. Las razones o motivos de inconformidad;</w:t>
      </w: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i/>
          <w:iCs/>
        </w:rPr>
        <w:t>VII. La copia de la respuesta que se impugna y, en su caso, de la notificación correspondiente, en el caso de respuesta de la solicitud; y</w:t>
      </w: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i/>
          <w:iCs/>
        </w:rPr>
        <w:t>VIII. Firma del recurrente, en su caso, cuando se presente por escrito, requisito sin el cual se dará trámite al recurso.</w:t>
      </w: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i/>
          <w:iCs/>
        </w:rPr>
        <w:t>Adicionalmente, se podrán anexar las pruebas y demás elementos que considere procedentes someter a juicio del Instituto.</w:t>
      </w:r>
    </w:p>
    <w:p w:rsidR="001C7130" w:rsidRPr="006247AF" w:rsidRDefault="001C7130" w:rsidP="004D772E">
      <w:pPr>
        <w:autoSpaceDE w:val="0"/>
        <w:autoSpaceDN w:val="0"/>
        <w:adjustRightInd w:val="0"/>
        <w:ind w:left="567" w:right="567"/>
        <w:jc w:val="both"/>
        <w:rPr>
          <w:rFonts w:ascii="Palatino Linotype" w:hAnsi="Palatino Linotype" w:cs="Arial"/>
          <w:i/>
          <w:iCs/>
        </w:rPr>
      </w:pPr>
      <w:r w:rsidRPr="006247AF">
        <w:rPr>
          <w:rFonts w:ascii="Palatino Linotype" w:hAnsi="Palatino Linotype" w:cs="Arial"/>
          <w:i/>
          <w:iCs/>
        </w:rPr>
        <w:t>En ningún caso será necesario que el particular ratifique el recurso de revisión interpuesto.</w:t>
      </w:r>
    </w:p>
    <w:p w:rsidR="001C7130" w:rsidRPr="006247AF" w:rsidRDefault="001C7130" w:rsidP="004D772E">
      <w:pPr>
        <w:autoSpaceDE w:val="0"/>
        <w:autoSpaceDN w:val="0"/>
        <w:adjustRightInd w:val="0"/>
        <w:ind w:left="567" w:right="567"/>
        <w:jc w:val="both"/>
        <w:rPr>
          <w:rFonts w:ascii="Palatino Linotype" w:hAnsi="Palatino Linotype" w:cs="Arial"/>
          <w:b/>
          <w:bCs/>
          <w:i/>
          <w:iCs/>
          <w:u w:val="single"/>
        </w:rPr>
      </w:pPr>
      <w:r w:rsidRPr="006247AF">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rsidR="001C7130" w:rsidRPr="006247AF" w:rsidRDefault="001C7130" w:rsidP="004D772E">
      <w:pPr>
        <w:autoSpaceDE w:val="0"/>
        <w:autoSpaceDN w:val="0"/>
        <w:adjustRightInd w:val="0"/>
        <w:spacing w:line="360" w:lineRule="auto"/>
        <w:ind w:left="567" w:right="567"/>
        <w:jc w:val="both"/>
        <w:rPr>
          <w:rFonts w:ascii="Palatino Linotype" w:hAnsi="Palatino Linotype" w:cs="Arial"/>
          <w:b/>
          <w:bCs/>
          <w:i/>
          <w:iCs/>
          <w:u w:val="single"/>
        </w:rPr>
      </w:pPr>
    </w:p>
    <w:p w:rsidR="001C7130" w:rsidRPr="006247AF" w:rsidRDefault="001C7130" w:rsidP="004D772E">
      <w:pPr>
        <w:pStyle w:val="Prrafodelista"/>
        <w:autoSpaceDE w:val="0"/>
        <w:autoSpaceDN w:val="0"/>
        <w:adjustRightInd w:val="0"/>
        <w:ind w:left="0"/>
      </w:pPr>
      <w:r w:rsidRPr="006247AF">
        <w:t xml:space="preserve">Cabe señalar que la parte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rsidR="001C7130" w:rsidRPr="006247AF" w:rsidRDefault="001C7130" w:rsidP="004D772E">
      <w:pPr>
        <w:pStyle w:val="Prrafodelista"/>
        <w:autoSpaceDE w:val="0"/>
        <w:autoSpaceDN w:val="0"/>
        <w:adjustRightInd w:val="0"/>
        <w:ind w:left="0"/>
      </w:pPr>
    </w:p>
    <w:p w:rsidR="001C7130" w:rsidRPr="006247AF" w:rsidRDefault="001C7130" w:rsidP="004D772E">
      <w:pPr>
        <w:pStyle w:val="Prrafodelista"/>
        <w:autoSpaceDE w:val="0"/>
        <w:autoSpaceDN w:val="0"/>
        <w:adjustRightInd w:val="0"/>
        <w:ind w:left="567" w:right="567"/>
        <w:rPr>
          <w:i/>
          <w:iCs/>
        </w:rPr>
      </w:pPr>
      <w:r w:rsidRPr="006247AF">
        <w:rPr>
          <w:i/>
          <w:iCs/>
        </w:rPr>
        <w:t>“</w:t>
      </w:r>
      <w:r w:rsidRPr="006247AF">
        <w:rPr>
          <w:b/>
          <w:i/>
          <w:iCs/>
        </w:rPr>
        <w:t>Artículo 55.(…)</w:t>
      </w:r>
    </w:p>
    <w:p w:rsidR="001C7130" w:rsidRPr="006247AF" w:rsidRDefault="001C7130" w:rsidP="004D772E">
      <w:pPr>
        <w:pStyle w:val="Prrafodelista"/>
        <w:autoSpaceDE w:val="0"/>
        <w:autoSpaceDN w:val="0"/>
        <w:adjustRightInd w:val="0"/>
        <w:ind w:left="567" w:right="567"/>
        <w:rPr>
          <w:i/>
          <w:iCs/>
        </w:rPr>
      </w:pPr>
      <w:r w:rsidRPr="006247AF">
        <w:rPr>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rsidR="001C7130" w:rsidRPr="006247AF" w:rsidRDefault="001C7130" w:rsidP="004D772E">
      <w:pPr>
        <w:autoSpaceDE w:val="0"/>
        <w:autoSpaceDN w:val="0"/>
        <w:adjustRightInd w:val="0"/>
        <w:spacing w:line="360" w:lineRule="auto"/>
        <w:ind w:right="567"/>
        <w:jc w:val="both"/>
        <w:rPr>
          <w:rFonts w:ascii="Palatino Linotype" w:hAnsi="Palatino Linotype"/>
        </w:rPr>
      </w:pPr>
      <w:r w:rsidRPr="006247AF">
        <w:rPr>
          <w:rFonts w:ascii="Palatino Linotype" w:hAnsi="Palatino Linotype"/>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rsidR="001C7130" w:rsidRPr="006247AF" w:rsidRDefault="001C7130" w:rsidP="004D772E">
      <w:pPr>
        <w:autoSpaceDE w:val="0"/>
        <w:autoSpaceDN w:val="0"/>
        <w:adjustRightInd w:val="0"/>
        <w:spacing w:line="360" w:lineRule="auto"/>
        <w:ind w:right="567"/>
        <w:jc w:val="both"/>
        <w:rPr>
          <w:rFonts w:ascii="Palatino Linotype" w:hAnsi="Palatino Linotype"/>
        </w:rPr>
      </w:pPr>
    </w:p>
    <w:p w:rsidR="001C7130" w:rsidRPr="006247AF" w:rsidRDefault="001C7130" w:rsidP="004D772E">
      <w:pPr>
        <w:autoSpaceDE w:val="0"/>
        <w:autoSpaceDN w:val="0"/>
        <w:adjustRightInd w:val="0"/>
        <w:ind w:right="567"/>
        <w:jc w:val="center"/>
        <w:rPr>
          <w:rFonts w:ascii="Palatino Linotype" w:hAnsi="Palatino Linotype" w:cs="Arial"/>
          <w:b/>
          <w:i/>
          <w:iCs/>
          <w:u w:val="single"/>
        </w:rPr>
      </w:pPr>
      <w:r w:rsidRPr="006247AF">
        <w:rPr>
          <w:rFonts w:ascii="Palatino Linotype" w:hAnsi="Palatino Linotype" w:cs="Arial"/>
          <w:b/>
          <w:i/>
          <w:iCs/>
          <w:u w:val="single"/>
        </w:rPr>
        <w:t>Constitución Política de los Estados Unidos Mexicanos</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Para efectos de lo dispuesto en el presente artículo se observará lo siguiente: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rsidR="001C7130" w:rsidRPr="006247AF" w:rsidRDefault="001C7130" w:rsidP="004D772E">
      <w:pPr>
        <w:autoSpaceDE w:val="0"/>
        <w:autoSpaceDN w:val="0"/>
        <w:adjustRightInd w:val="0"/>
        <w:ind w:left="567" w:right="567"/>
        <w:jc w:val="both"/>
        <w:rPr>
          <w:rFonts w:ascii="Palatino Linotype" w:hAnsi="Palatino Linotype"/>
          <w:i/>
          <w:iCs/>
        </w:rPr>
      </w:pPr>
    </w:p>
    <w:p w:rsidR="001C7130" w:rsidRPr="006247AF" w:rsidRDefault="001C7130" w:rsidP="004D772E">
      <w:pPr>
        <w:autoSpaceDE w:val="0"/>
        <w:autoSpaceDN w:val="0"/>
        <w:adjustRightInd w:val="0"/>
        <w:ind w:left="567" w:right="567"/>
        <w:jc w:val="center"/>
        <w:rPr>
          <w:rFonts w:ascii="Palatino Linotype" w:hAnsi="Palatino Linotype"/>
          <w:b/>
          <w:bCs/>
          <w:i/>
          <w:iCs/>
          <w:u w:val="single"/>
        </w:rPr>
      </w:pPr>
      <w:r w:rsidRPr="006247AF">
        <w:rPr>
          <w:rFonts w:ascii="Palatino Linotype" w:hAnsi="Palatino Linotype"/>
          <w:b/>
          <w:bCs/>
          <w:i/>
          <w:iCs/>
          <w:u w:val="single"/>
        </w:rPr>
        <w:t>Constitución Política del Estado Libre y Soberano de México</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lastRenderedPageBreak/>
        <w:t xml:space="preserve">Toda persona en el Estado de México, tiene derecho al libre acceso a la información plural y oportuna, así como a buscar recibir y difundir información e ideas de toda índole por cualquier medio de expresión.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III. Toda persona, sin necesidad de acreditar interés alguno o justificar su utilización, tendrá acceso gratuito a la información pública, a sus datos personales o a la rectificación de éstos;</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 </w:t>
      </w:r>
    </w:p>
    <w:p w:rsidR="001C7130" w:rsidRPr="006247AF" w:rsidRDefault="001C7130" w:rsidP="004D772E">
      <w:pPr>
        <w:autoSpaceDE w:val="0"/>
        <w:autoSpaceDN w:val="0"/>
        <w:adjustRightInd w:val="0"/>
        <w:ind w:left="567" w:right="567"/>
        <w:jc w:val="both"/>
        <w:rPr>
          <w:rFonts w:ascii="Palatino Linotype" w:hAnsi="Palatino Linotype"/>
          <w:b/>
          <w:bCs/>
          <w:i/>
          <w:iCs/>
        </w:rPr>
      </w:pPr>
      <w:r w:rsidRPr="006247AF">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6247AF">
        <w:rPr>
          <w:rFonts w:ascii="Palatino Linotype" w:hAnsi="Palatino Linotype"/>
          <w:b/>
          <w:bCs/>
          <w:i/>
          <w:iCs/>
        </w:rPr>
        <w:t>[Sic]</w:t>
      </w:r>
    </w:p>
    <w:p w:rsidR="001C7130" w:rsidRPr="006247AF" w:rsidRDefault="001C7130" w:rsidP="004D772E">
      <w:pPr>
        <w:autoSpaceDE w:val="0"/>
        <w:autoSpaceDN w:val="0"/>
        <w:adjustRightInd w:val="0"/>
        <w:ind w:left="567" w:right="567"/>
        <w:jc w:val="both"/>
        <w:rPr>
          <w:rFonts w:ascii="Palatino Linotype" w:hAnsi="Palatino Linotype"/>
          <w:b/>
          <w:bCs/>
          <w:i/>
          <w:iCs/>
        </w:rPr>
      </w:pPr>
    </w:p>
    <w:p w:rsidR="001C7130" w:rsidRPr="006247AF" w:rsidRDefault="001C7130" w:rsidP="004D772E">
      <w:pPr>
        <w:autoSpaceDE w:val="0"/>
        <w:autoSpaceDN w:val="0"/>
        <w:adjustRightInd w:val="0"/>
        <w:spacing w:line="360" w:lineRule="auto"/>
        <w:jc w:val="both"/>
        <w:rPr>
          <w:rFonts w:ascii="Palatino Linotype" w:hAnsi="Palatino Linotype"/>
        </w:rPr>
      </w:pPr>
      <w:r w:rsidRPr="006247AF">
        <w:rPr>
          <w:rFonts w:ascii="Palatino Linotype" w:hAnsi="Palatino Linotype"/>
        </w:rPr>
        <w:t xml:space="preserve">Por otra parte, del contenido del artículo 1 de la Constitución Política de los Estados Unidos Mexicanos, se destaca lo siguiente: </w:t>
      </w:r>
    </w:p>
    <w:p w:rsidR="001C7130" w:rsidRPr="006247AF" w:rsidRDefault="001C7130" w:rsidP="004D772E">
      <w:pPr>
        <w:autoSpaceDE w:val="0"/>
        <w:autoSpaceDN w:val="0"/>
        <w:adjustRightInd w:val="0"/>
        <w:spacing w:line="360" w:lineRule="auto"/>
        <w:jc w:val="both"/>
        <w:rPr>
          <w:rFonts w:ascii="Palatino Linotype" w:hAnsi="Palatino Linotype"/>
        </w:rPr>
      </w:pP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w:t>
      </w:r>
      <w:r w:rsidRPr="006247AF">
        <w:rPr>
          <w:rFonts w:ascii="Palatino Linotype" w:hAnsi="Palatino Linotype"/>
          <w:i/>
          <w:iCs/>
        </w:rPr>
        <w:lastRenderedPageBreak/>
        <w:t>condiciones que esta Constitución establece. Las normas relativas a los derechos humanos se interpretarán de conformidad con esta Constitución y con los tratados internacionales de la materia favoreciendo en todo tiempo a las personas la protección más amplia.</w:t>
      </w:r>
    </w:p>
    <w:p w:rsidR="001C7130" w:rsidRPr="006247AF" w:rsidRDefault="001C7130" w:rsidP="004D772E">
      <w:pPr>
        <w:autoSpaceDE w:val="0"/>
        <w:autoSpaceDN w:val="0"/>
        <w:adjustRightInd w:val="0"/>
        <w:ind w:left="567" w:right="567"/>
        <w:jc w:val="both"/>
        <w:rPr>
          <w:rFonts w:ascii="Palatino Linotype" w:hAnsi="Palatino Linotype"/>
          <w:i/>
          <w:iCs/>
        </w:rPr>
      </w:pPr>
      <w:r w:rsidRPr="006247AF">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rsidR="001C7130" w:rsidRPr="006247AF" w:rsidRDefault="001C7130" w:rsidP="004D772E">
      <w:pPr>
        <w:autoSpaceDE w:val="0"/>
        <w:autoSpaceDN w:val="0"/>
        <w:adjustRightInd w:val="0"/>
        <w:spacing w:line="360" w:lineRule="auto"/>
        <w:jc w:val="both"/>
        <w:rPr>
          <w:rFonts w:ascii="Palatino Linotype" w:hAnsi="Palatino Linotype"/>
        </w:rPr>
      </w:pPr>
    </w:p>
    <w:p w:rsidR="001C7130" w:rsidRPr="006247AF" w:rsidRDefault="001C7130" w:rsidP="004D772E">
      <w:pPr>
        <w:autoSpaceDE w:val="0"/>
        <w:autoSpaceDN w:val="0"/>
        <w:adjustRightInd w:val="0"/>
        <w:spacing w:line="360" w:lineRule="auto"/>
        <w:jc w:val="both"/>
        <w:rPr>
          <w:rFonts w:ascii="Palatino Linotype" w:hAnsi="Palatino Linotype"/>
        </w:rPr>
      </w:pPr>
      <w:r w:rsidRPr="006247AF">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247AF">
        <w:rPr>
          <w:rFonts w:ascii="Palatino Linotype" w:hAnsi="Palatino Linotype"/>
          <w:b/>
          <w:u w:val="single"/>
        </w:rPr>
        <w:t>incluso, la solicitud de acceso a la información pueda ser anónima</w:t>
      </w:r>
      <w:r w:rsidRPr="006247AF">
        <w:rPr>
          <w:rFonts w:ascii="Palatino Linotype" w:hAnsi="Palatino Linotype"/>
        </w:rPr>
        <w:t xml:space="preserve"> o no contener un nombre que identifique al solicitante o que permita tener certeza sobre su identidad.</w:t>
      </w:r>
    </w:p>
    <w:p w:rsidR="001C7130" w:rsidRPr="006247AF" w:rsidRDefault="001C7130" w:rsidP="004D772E">
      <w:pPr>
        <w:autoSpaceDE w:val="0"/>
        <w:autoSpaceDN w:val="0"/>
        <w:adjustRightInd w:val="0"/>
        <w:spacing w:line="360" w:lineRule="auto"/>
        <w:jc w:val="both"/>
        <w:rPr>
          <w:rFonts w:ascii="Palatino Linotype" w:hAnsi="Palatino Linotype"/>
        </w:rPr>
      </w:pPr>
    </w:p>
    <w:p w:rsidR="001C7130" w:rsidRPr="006247AF" w:rsidRDefault="001C7130" w:rsidP="004D772E">
      <w:pPr>
        <w:autoSpaceDE w:val="0"/>
        <w:autoSpaceDN w:val="0"/>
        <w:adjustRightInd w:val="0"/>
        <w:spacing w:line="360" w:lineRule="auto"/>
        <w:jc w:val="both"/>
        <w:rPr>
          <w:rFonts w:ascii="Palatino Linotype" w:hAnsi="Palatino Linotype"/>
        </w:rPr>
      </w:pPr>
      <w:r w:rsidRPr="006247AF">
        <w:rPr>
          <w:rFonts w:ascii="Palatino Linotype" w:hAnsi="Palatino Linotype"/>
        </w:rPr>
        <w:t>En conclusión, se cubrieron los requisitos de procedencia y procedibilidad y conforme a las constancias que obran en el expediente.</w:t>
      </w:r>
    </w:p>
    <w:p w:rsidR="001C7130" w:rsidRPr="006247AF" w:rsidRDefault="001C7130" w:rsidP="004D772E">
      <w:pPr>
        <w:pStyle w:val="Prrafodelista"/>
        <w:autoSpaceDE w:val="0"/>
        <w:autoSpaceDN w:val="0"/>
        <w:adjustRightInd w:val="0"/>
        <w:ind w:left="0"/>
        <w:rPr>
          <w:rFonts w:cs="Arial"/>
        </w:rPr>
      </w:pPr>
    </w:p>
    <w:p w:rsidR="00061F10" w:rsidRPr="006247AF" w:rsidRDefault="001C7130" w:rsidP="004D772E">
      <w:pPr>
        <w:spacing w:line="360" w:lineRule="auto"/>
        <w:jc w:val="both"/>
        <w:rPr>
          <w:rFonts w:ascii="Palatino Linotype" w:hAnsi="Palatino Linotype" w:cs="Arial"/>
          <w:b/>
          <w:sz w:val="28"/>
          <w:szCs w:val="28"/>
        </w:rPr>
      </w:pPr>
      <w:r w:rsidRPr="006247AF">
        <w:rPr>
          <w:rFonts w:ascii="Palatino Linotype" w:hAnsi="Palatino Linotype" w:cs="Arial"/>
          <w:b/>
          <w:sz w:val="28"/>
        </w:rPr>
        <w:t xml:space="preserve">CUARTO. </w:t>
      </w:r>
      <w:r w:rsidR="00061F10" w:rsidRPr="006247AF">
        <w:rPr>
          <w:rFonts w:ascii="Palatino Linotype" w:hAnsi="Palatino Linotype" w:cs="Arial"/>
          <w:b/>
          <w:sz w:val="28"/>
          <w:szCs w:val="28"/>
        </w:rPr>
        <w:t>De las causas de improcedencia.</w:t>
      </w:r>
    </w:p>
    <w:p w:rsidR="00061F10" w:rsidRPr="006247AF" w:rsidRDefault="00061F10" w:rsidP="004D772E">
      <w:pPr>
        <w:pStyle w:val="Prrafodelista"/>
        <w:autoSpaceDE w:val="0"/>
        <w:autoSpaceDN w:val="0"/>
        <w:adjustRightInd w:val="0"/>
        <w:ind w:left="0"/>
        <w:rPr>
          <w:rFonts w:cs="Arial"/>
        </w:rPr>
      </w:pPr>
      <w:r w:rsidRPr="006247AF">
        <w:rPr>
          <w:rFonts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w:t>
      </w:r>
      <w:r w:rsidRPr="006247AF">
        <w:rPr>
          <w:rFonts w:cs="Arial"/>
        </w:rPr>
        <w:lastRenderedPageBreak/>
        <w:t>México y Municipios, en correlación con la seguridad jurídica que debe generar lo actuado ante este Organismo garante.</w:t>
      </w:r>
    </w:p>
    <w:p w:rsidR="001C7130" w:rsidRPr="006247AF" w:rsidRDefault="001C7130" w:rsidP="004D772E">
      <w:pPr>
        <w:pStyle w:val="Prrafodelista"/>
        <w:autoSpaceDE w:val="0"/>
        <w:autoSpaceDN w:val="0"/>
        <w:adjustRightInd w:val="0"/>
        <w:ind w:left="0"/>
        <w:rPr>
          <w:rFonts w:cs="Arial"/>
        </w:rPr>
      </w:pPr>
    </w:p>
    <w:p w:rsidR="00061F10" w:rsidRPr="006247AF" w:rsidRDefault="00061F10" w:rsidP="004D772E">
      <w:pPr>
        <w:pStyle w:val="Prrafodelista"/>
        <w:autoSpaceDE w:val="0"/>
        <w:autoSpaceDN w:val="0"/>
        <w:adjustRightInd w:val="0"/>
        <w:ind w:left="0"/>
        <w:rPr>
          <w:rFonts w:cs="Arial"/>
        </w:rPr>
      </w:pPr>
      <w:r w:rsidRPr="006247AF">
        <w:rPr>
          <w:rFonts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247AF">
        <w:rPr>
          <w:rStyle w:val="Refdenotaalpie"/>
          <w:rFonts w:cs="Arial"/>
        </w:rPr>
        <w:footnoteReference w:id="1"/>
      </w:r>
      <w:r w:rsidRPr="006247AF">
        <w:rPr>
          <w:rFonts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061F10" w:rsidRPr="006247AF" w:rsidRDefault="00061F10" w:rsidP="004D772E">
      <w:pPr>
        <w:tabs>
          <w:tab w:val="left" w:pos="709"/>
        </w:tabs>
        <w:spacing w:line="360" w:lineRule="auto"/>
        <w:ind w:right="51"/>
        <w:jc w:val="both"/>
        <w:rPr>
          <w:rFonts w:ascii="Palatino Linotype" w:hAnsi="Palatino Linotype"/>
          <w:b/>
          <w:szCs w:val="28"/>
        </w:rPr>
      </w:pPr>
    </w:p>
    <w:p w:rsidR="00061F10" w:rsidRPr="006247AF" w:rsidRDefault="001C7130" w:rsidP="004D772E">
      <w:pPr>
        <w:tabs>
          <w:tab w:val="left" w:pos="709"/>
        </w:tabs>
        <w:spacing w:line="360" w:lineRule="auto"/>
        <w:ind w:right="51"/>
        <w:jc w:val="both"/>
        <w:rPr>
          <w:rFonts w:ascii="Palatino Linotype" w:hAnsi="Palatino Linotype"/>
          <w:b/>
          <w:sz w:val="28"/>
          <w:szCs w:val="28"/>
        </w:rPr>
      </w:pPr>
      <w:r w:rsidRPr="006247AF">
        <w:rPr>
          <w:rFonts w:ascii="Palatino Linotype" w:hAnsi="Palatino Linotype"/>
          <w:b/>
          <w:sz w:val="28"/>
          <w:szCs w:val="28"/>
        </w:rPr>
        <w:lastRenderedPageBreak/>
        <w:t>QUIN</w:t>
      </w:r>
      <w:r w:rsidR="00061F10" w:rsidRPr="006247AF">
        <w:rPr>
          <w:rFonts w:ascii="Palatino Linotype" w:hAnsi="Palatino Linotype"/>
          <w:b/>
          <w:sz w:val="28"/>
          <w:szCs w:val="28"/>
        </w:rPr>
        <w:t xml:space="preserve">TO. Estudio y resolución del asunto </w:t>
      </w:r>
      <w:r w:rsidR="00061F10" w:rsidRPr="006247AF">
        <w:rPr>
          <w:rFonts w:ascii="Palatino Linotype" w:hAnsi="Palatino Linotype"/>
          <w:b/>
          <w:sz w:val="28"/>
          <w:szCs w:val="28"/>
        </w:rPr>
        <w:tab/>
      </w:r>
    </w:p>
    <w:p w:rsidR="00061F10" w:rsidRPr="006247AF" w:rsidRDefault="00061F10" w:rsidP="004D772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247AF">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061F10" w:rsidRPr="006247AF" w:rsidRDefault="00061F10" w:rsidP="004D772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061F10" w:rsidRPr="006247AF" w:rsidRDefault="00061F10" w:rsidP="004D772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247AF">
        <w:rPr>
          <w:rFonts w:ascii="Palatino Linotype" w:eastAsia="Palatino Linotype" w:hAnsi="Palatino Linotype" w:cs="Palatino Linotype"/>
          <w:color w:val="000000"/>
        </w:rPr>
        <w:t xml:space="preserve">Por tanto, es conveniente recordar que la </w:t>
      </w:r>
      <w:r w:rsidR="001C7130" w:rsidRPr="006247AF">
        <w:rPr>
          <w:rFonts w:ascii="Palatino Linotype" w:eastAsia="Palatino Linotype" w:hAnsi="Palatino Linotype" w:cs="Palatino Linotype"/>
          <w:color w:val="000000"/>
        </w:rPr>
        <w:t xml:space="preserve">parte </w:t>
      </w:r>
      <w:r w:rsidRPr="006247AF">
        <w:rPr>
          <w:rFonts w:ascii="Palatino Linotype" w:eastAsia="Palatino Linotype" w:hAnsi="Palatino Linotype" w:cs="Palatino Linotype"/>
          <w:color w:val="000000"/>
        </w:rPr>
        <w:t>Recurrente solicitó lo siguiente:</w:t>
      </w:r>
    </w:p>
    <w:p w:rsidR="00061F10" w:rsidRPr="006247AF" w:rsidRDefault="00061F10" w:rsidP="004D772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061F10" w:rsidRPr="006247AF" w:rsidRDefault="00AC309C" w:rsidP="004D772E">
      <w:pPr>
        <w:pStyle w:val="Prrafodelista"/>
        <w:numPr>
          <w:ilvl w:val="0"/>
          <w:numId w:val="3"/>
        </w:numPr>
        <w:autoSpaceDE w:val="0"/>
        <w:autoSpaceDN w:val="0"/>
        <w:adjustRightInd w:val="0"/>
        <w:rPr>
          <w:rFonts w:cs="Arial"/>
        </w:rPr>
      </w:pPr>
      <w:r w:rsidRPr="006247AF">
        <w:rPr>
          <w:rFonts w:eastAsia="Palatino Linotype" w:cs="Palatino Linotype"/>
          <w:color w:val="000000"/>
        </w:rPr>
        <w:t>T</w:t>
      </w:r>
      <w:r w:rsidR="001C7130" w:rsidRPr="006247AF">
        <w:rPr>
          <w:rFonts w:eastAsia="Palatino Linotype" w:cs="Palatino Linotype"/>
          <w:color w:val="000000"/>
        </w:rPr>
        <w:t>odos los oficios firmados por la o el titular del Instituto de Transporte en el año 2022.</w:t>
      </w:r>
    </w:p>
    <w:p w:rsidR="001C7130" w:rsidRPr="006247AF" w:rsidRDefault="001C7130" w:rsidP="004D772E">
      <w:pPr>
        <w:pStyle w:val="Prrafodelista"/>
        <w:autoSpaceDE w:val="0"/>
        <w:autoSpaceDN w:val="0"/>
        <w:adjustRightInd w:val="0"/>
        <w:ind w:left="720"/>
        <w:rPr>
          <w:rFonts w:cs="Arial"/>
        </w:rPr>
      </w:pPr>
    </w:p>
    <w:p w:rsidR="00061F10" w:rsidRPr="006247AF" w:rsidRDefault="00061F10" w:rsidP="004D772E">
      <w:pPr>
        <w:spacing w:line="360" w:lineRule="auto"/>
        <w:jc w:val="both"/>
        <w:rPr>
          <w:rFonts w:ascii="Palatino Linotype" w:eastAsia="Arial Unicode MS" w:hAnsi="Palatino Linotype" w:cs="Arial"/>
        </w:rPr>
      </w:pPr>
      <w:r w:rsidRPr="006247AF">
        <w:rPr>
          <w:rFonts w:ascii="Palatino Linotype" w:eastAsia="Arial Unicode MS" w:hAnsi="Palatino Linotype" w:cs="Arial"/>
        </w:rPr>
        <w:t xml:space="preserve">En atención al requerimiento de información planteado por el particular, el Sujeto Obligado, señaló: </w:t>
      </w:r>
      <w:r w:rsidRPr="006247AF">
        <w:rPr>
          <w:rFonts w:ascii="Palatino Linotype" w:eastAsia="Arial Unicode MS" w:hAnsi="Palatino Linotype" w:cs="Arial"/>
          <w:i/>
        </w:rPr>
        <w:t>“</w:t>
      </w:r>
      <w:r w:rsidR="001C7130" w:rsidRPr="006247AF">
        <w:rPr>
          <w:rFonts w:ascii="Palatino Linotype" w:eastAsia="Arial Unicode MS" w:hAnsi="Palatino Linotype" w:cs="Arial"/>
          <w:i/>
        </w:rPr>
        <w:t xml:space="preserve">…debido a que </w:t>
      </w:r>
      <w:r w:rsidR="001C7130" w:rsidRPr="006247AF">
        <w:rPr>
          <w:rFonts w:ascii="Palatino Linotype" w:eastAsia="Arial Unicode MS" w:hAnsi="Palatino Linotype" w:cs="Arial"/>
          <w:b/>
          <w:i/>
        </w:rPr>
        <w:t>la información solicitada comprende de 534 archivos</w:t>
      </w:r>
      <w:r w:rsidR="001C7130" w:rsidRPr="006247AF">
        <w:rPr>
          <w:rFonts w:ascii="Palatino Linotype" w:eastAsia="Arial Unicode MS" w:hAnsi="Palatino Linotype" w:cs="Arial"/>
          <w:i/>
        </w:rPr>
        <w:t xml:space="preserve">, </w:t>
      </w:r>
      <w:r w:rsidR="001C7130" w:rsidRPr="006247AF">
        <w:rPr>
          <w:rFonts w:ascii="Palatino Linotype" w:eastAsia="Arial Unicode MS" w:hAnsi="Palatino Linotype" w:cs="Arial"/>
          <w:b/>
          <w:i/>
        </w:rPr>
        <w:t>se pone a disposición de los solicitantes en las oficinas del Instituto del Transporte del Estado de México</w:t>
      </w:r>
      <w:r w:rsidR="001C7130" w:rsidRPr="006247AF">
        <w:rPr>
          <w:rFonts w:ascii="Palatino Linotype" w:eastAsia="Arial Unicode MS" w:hAnsi="Palatino Linotype" w:cs="Arial"/>
          <w:i/>
        </w:rPr>
        <w:t>, desde la fecha de la notificación del presente oficio, así mismo en caso de requerir copias simples o certificadas, deberán de cubrir los costos por insumos utilizados tal y como lo establece el Código Financiero del Estado de México.</w:t>
      </w:r>
      <w:r w:rsidRPr="006247AF">
        <w:rPr>
          <w:rFonts w:ascii="Palatino Linotype" w:eastAsia="Arial Unicode MS" w:hAnsi="Palatino Linotype" w:cs="Arial"/>
          <w:i/>
        </w:rPr>
        <w:t>”</w:t>
      </w:r>
      <w:r w:rsidRPr="006247AF">
        <w:rPr>
          <w:rFonts w:ascii="Palatino Linotype" w:eastAsia="Arial Unicode MS" w:hAnsi="Palatino Linotype" w:cs="Arial"/>
        </w:rPr>
        <w:t>.</w:t>
      </w:r>
    </w:p>
    <w:p w:rsidR="00061F10" w:rsidRPr="006247AF" w:rsidRDefault="00061F10" w:rsidP="004D772E">
      <w:pPr>
        <w:spacing w:line="360" w:lineRule="auto"/>
        <w:jc w:val="both"/>
        <w:rPr>
          <w:rFonts w:ascii="Palatino Linotype" w:hAnsi="Palatino Linotype" w:cs="Arial"/>
          <w:bCs/>
        </w:rPr>
      </w:pPr>
    </w:p>
    <w:p w:rsidR="00061F10" w:rsidRPr="006247AF" w:rsidRDefault="00061F10" w:rsidP="004D772E">
      <w:pPr>
        <w:pBdr>
          <w:top w:val="nil"/>
          <w:left w:val="nil"/>
          <w:bottom w:val="nil"/>
          <w:right w:val="nil"/>
          <w:between w:val="nil"/>
        </w:pBdr>
        <w:spacing w:line="360" w:lineRule="auto"/>
        <w:contextualSpacing/>
        <w:jc w:val="both"/>
        <w:rPr>
          <w:rFonts w:ascii="Palatino Linotype" w:eastAsia="Palatino Linotype" w:hAnsi="Palatino Linotype" w:cs="Palatino Linotype"/>
          <w:i/>
          <w:color w:val="000000"/>
        </w:rPr>
      </w:pPr>
      <w:r w:rsidRPr="006247AF">
        <w:rPr>
          <w:rFonts w:ascii="Palatino Linotype" w:eastAsia="Palatino Linotype" w:hAnsi="Palatino Linotype" w:cs="Palatino Linotype"/>
          <w:color w:val="000000"/>
        </w:rPr>
        <w:t xml:space="preserve">Ante la respuesta del Sujeto Obligado, la </w:t>
      </w:r>
      <w:r w:rsidR="001C7130" w:rsidRPr="006247AF">
        <w:rPr>
          <w:rFonts w:ascii="Palatino Linotype" w:eastAsia="Palatino Linotype" w:hAnsi="Palatino Linotype" w:cs="Palatino Linotype"/>
          <w:color w:val="000000"/>
        </w:rPr>
        <w:t xml:space="preserve">parte </w:t>
      </w:r>
      <w:r w:rsidRPr="006247AF">
        <w:rPr>
          <w:rFonts w:ascii="Palatino Linotype" w:eastAsia="Palatino Linotype" w:hAnsi="Palatino Linotype" w:cs="Palatino Linotype"/>
          <w:color w:val="000000"/>
        </w:rPr>
        <w:t xml:space="preserve">Recurrente consideró que su derecho a la información pública había sido conculcado, por lo que interpuso el recurso de revisión al </w:t>
      </w:r>
      <w:r w:rsidRPr="006247AF">
        <w:rPr>
          <w:rFonts w:ascii="Palatino Linotype" w:eastAsia="Palatino Linotype" w:hAnsi="Palatino Linotype" w:cs="Palatino Linotype"/>
          <w:color w:val="000000"/>
        </w:rPr>
        <w:lastRenderedPageBreak/>
        <w:t xml:space="preserve">rubro citado, señalando como razones o motivos de inconformidad, </w:t>
      </w:r>
      <w:r w:rsidRPr="006247AF">
        <w:rPr>
          <w:rFonts w:ascii="Palatino Linotype" w:eastAsia="Palatino Linotype" w:hAnsi="Palatino Linotype" w:cs="Palatino Linotype"/>
          <w:i/>
          <w:color w:val="000000"/>
        </w:rPr>
        <w:t>“</w:t>
      </w:r>
      <w:r w:rsidR="001C7130" w:rsidRPr="006247AF">
        <w:rPr>
          <w:rFonts w:ascii="Palatino Linotype" w:eastAsia="Palatino Linotype" w:hAnsi="Palatino Linotype" w:cs="Palatino Linotype"/>
          <w:i/>
          <w:color w:val="000000"/>
        </w:rPr>
        <w:t>no entregan la información</w:t>
      </w:r>
      <w:r w:rsidRPr="006247AF">
        <w:rPr>
          <w:rFonts w:ascii="Palatino Linotype" w:eastAsia="Palatino Linotype" w:hAnsi="Palatino Linotype" w:cs="Palatino Linotype"/>
          <w:i/>
          <w:color w:val="000000"/>
        </w:rPr>
        <w:t>” (Sic)</w:t>
      </w:r>
    </w:p>
    <w:p w:rsidR="00061F10" w:rsidRPr="006247AF" w:rsidRDefault="00061F10" w:rsidP="004D772E">
      <w:pPr>
        <w:pBdr>
          <w:top w:val="nil"/>
          <w:left w:val="nil"/>
          <w:bottom w:val="nil"/>
          <w:right w:val="nil"/>
          <w:between w:val="nil"/>
        </w:pBdr>
        <w:spacing w:line="360" w:lineRule="auto"/>
        <w:contextualSpacing/>
        <w:jc w:val="both"/>
        <w:rPr>
          <w:rFonts w:ascii="Palatino Linotype" w:eastAsia="Palatino Linotype" w:hAnsi="Palatino Linotype" w:cs="Palatino Linotype"/>
        </w:rPr>
      </w:pPr>
    </w:p>
    <w:p w:rsidR="00922188" w:rsidRPr="006247AF" w:rsidRDefault="00922188" w:rsidP="004D772E">
      <w:pPr>
        <w:spacing w:line="360" w:lineRule="auto"/>
        <w:jc w:val="both"/>
        <w:rPr>
          <w:rFonts w:ascii="Palatino Linotype" w:hAnsi="Palatino Linotype" w:cs="Palatino Linotype"/>
          <w:color w:val="000000"/>
          <w:lang w:val="es-ES_tradnl"/>
        </w:rPr>
      </w:pPr>
      <w:r w:rsidRPr="006247AF">
        <w:rPr>
          <w:rFonts w:ascii="Palatino Linotype" w:hAnsi="Palatino Linotype" w:cs="Arial"/>
        </w:rPr>
        <w:t xml:space="preserve">Posteriormente el Sujeto Obligado remitió su informe justificado, a través de los archivos electrónicos denominados </w:t>
      </w:r>
      <w:r w:rsidRPr="006247AF">
        <w:rPr>
          <w:rFonts w:ascii="Palatino Linotype" w:hAnsi="Palatino Linotype" w:cs="Palatino Linotype"/>
          <w:color w:val="000000"/>
          <w:lang w:val="es-ES_tradnl"/>
        </w:rPr>
        <w:t>“INFORME JUSTIFICADO RR 2185.2024.pdf”, “OFICIO ANEXO INFORME 2185.2024.pdf”, “drive-download-20240511T023328Z-001.zip”,y “Acta 78 Extraord Solic 2185( VP) (2).pdf”, los cuales consisten en lo siguiente:</w:t>
      </w:r>
    </w:p>
    <w:p w:rsidR="00EB68C8" w:rsidRPr="006247AF" w:rsidRDefault="00EB68C8" w:rsidP="004D772E">
      <w:pPr>
        <w:spacing w:line="360" w:lineRule="auto"/>
        <w:jc w:val="both"/>
        <w:rPr>
          <w:rFonts w:ascii="Palatino Linotype" w:hAnsi="Palatino Linotype" w:cs="Palatino Linotype"/>
          <w:color w:val="000000"/>
          <w:lang w:val="es-ES_tradnl"/>
        </w:rPr>
      </w:pPr>
    </w:p>
    <w:p w:rsidR="00EB68C8" w:rsidRPr="006247AF" w:rsidRDefault="00EB68C8" w:rsidP="004D772E">
      <w:pPr>
        <w:pStyle w:val="Prrafodelista"/>
        <w:numPr>
          <w:ilvl w:val="0"/>
          <w:numId w:val="4"/>
        </w:numPr>
        <w:rPr>
          <w:rFonts w:cs="Palatino Linotype"/>
          <w:color w:val="000000"/>
          <w:lang w:val="es-ES_tradnl"/>
        </w:rPr>
      </w:pPr>
      <w:r w:rsidRPr="006247AF">
        <w:rPr>
          <w:rFonts w:cs="Palatino Linotype"/>
          <w:b/>
          <w:color w:val="000000"/>
          <w:lang w:val="es-ES_tradnl"/>
        </w:rPr>
        <w:t>INFORME JUSTIFICADO RR 2185.2024.pdf:</w:t>
      </w:r>
      <w:r w:rsidRPr="006247AF">
        <w:rPr>
          <w:rFonts w:cs="Palatino Linotype"/>
          <w:color w:val="000000"/>
          <w:lang w:val="es-ES_tradnl"/>
        </w:rPr>
        <w:t xml:space="preserve"> Documento constante de dos (2) fojas, con número de oficio CCT/UT/0479/2024, de fecha ocho de mayo del dos mil veinticuatro, a través del cual el Titular de la Unidad de Transparencia informo que el Servidor Público Habilitado del Instituto del Transporte, mediante oficio 220B0101000200L/020/2024, remitió a esa Unidad Administrativa un total de 534, archivos en versión pública. Anexando asimismo el Acta de la Septuagésima Sexta Sesión Extraordinaria, celebrada ante Comité, el nueve de mayo de la presente anualidad. Solicitando sea sobreseído el recurso interpuesto.</w:t>
      </w:r>
    </w:p>
    <w:p w:rsidR="00EB68C8" w:rsidRPr="006247AF" w:rsidRDefault="00EB68C8" w:rsidP="004D772E">
      <w:pPr>
        <w:rPr>
          <w:rFonts w:cs="Palatino Linotype"/>
          <w:color w:val="000000"/>
          <w:lang w:val="es-ES_tradnl"/>
        </w:rPr>
      </w:pPr>
    </w:p>
    <w:p w:rsidR="00EB68C8" w:rsidRPr="006247AF" w:rsidRDefault="00EB68C8" w:rsidP="004D772E">
      <w:pPr>
        <w:pStyle w:val="Prrafodelista"/>
        <w:numPr>
          <w:ilvl w:val="0"/>
          <w:numId w:val="4"/>
        </w:numPr>
        <w:rPr>
          <w:rFonts w:cs="Palatino Linotype"/>
          <w:color w:val="000000"/>
          <w:lang w:val="es-ES_tradnl"/>
        </w:rPr>
      </w:pPr>
      <w:r w:rsidRPr="006247AF">
        <w:rPr>
          <w:rFonts w:cs="Palatino Linotype"/>
          <w:b/>
          <w:color w:val="000000"/>
          <w:lang w:val="es-ES_tradnl"/>
        </w:rPr>
        <w:t>OFICIO ANEXO INFORME 2185.2024.pdf</w:t>
      </w:r>
      <w:r w:rsidRPr="006247AF">
        <w:rPr>
          <w:rFonts w:cs="Palatino Linotype"/>
          <w:color w:val="000000"/>
          <w:lang w:val="es-ES_tradnl"/>
        </w:rPr>
        <w:t>: Documento constante de dieciséis (16) fojas, con número de oficio 220B0101000200L/020/2024, de fecha siete de mayo de dos mil veinticuatro, a través del cual la Subdirectora de Normatividad y Capacitación del Instituto del Transporte del Estado de México</w:t>
      </w:r>
      <w:r w:rsidR="00FD49FF" w:rsidRPr="006247AF">
        <w:rPr>
          <w:rFonts w:cs="Palatino Linotype"/>
          <w:color w:val="000000"/>
          <w:lang w:val="es-ES_tradnl"/>
        </w:rPr>
        <w:t>, reiterando la respuesta inicial otorgada</w:t>
      </w:r>
      <w:r w:rsidRPr="006247AF">
        <w:rPr>
          <w:rFonts w:cs="Palatino Linotype"/>
          <w:color w:val="000000"/>
          <w:lang w:val="es-ES_tradnl"/>
        </w:rPr>
        <w:t>.</w:t>
      </w:r>
      <w:r w:rsidR="00FD49FF" w:rsidRPr="006247AF">
        <w:rPr>
          <w:rFonts w:cs="Palatino Linotype"/>
          <w:color w:val="000000"/>
          <w:lang w:val="es-ES_tradnl"/>
        </w:rPr>
        <w:t xml:space="preserve"> Asimismo manifestó que debido a que la información requerida comprende 534 archivos aproximadamente, se pone a disposición de los solicitantes mediante dispositivo magnético “CD”, lo anterior fundado y </w:t>
      </w:r>
      <w:r w:rsidR="00FD49FF" w:rsidRPr="006247AF">
        <w:rPr>
          <w:rFonts w:cs="Palatino Linotype"/>
          <w:color w:val="000000"/>
          <w:lang w:val="es-ES_tradnl"/>
        </w:rPr>
        <w:lastRenderedPageBreak/>
        <w:t>motivado en la Ley de Transparencia y Acceso a la Información Pública del Estado de México y Municipios. Además solicito apoyo al Comité de Transparencia, para realizar versión pública de la información adjunta. Por lo que remitió listado de los oficios requeridos, conteniendo en su rubro, número, asunto y Titular, en los que se advierte los números consecutivos del 001 al 534.</w:t>
      </w:r>
    </w:p>
    <w:p w:rsidR="008D3C79" w:rsidRPr="006247AF" w:rsidRDefault="008D3C79" w:rsidP="004D772E">
      <w:pPr>
        <w:pStyle w:val="Prrafodelista"/>
        <w:rPr>
          <w:rFonts w:cs="Palatino Linotype"/>
          <w:color w:val="000000"/>
          <w:lang w:val="es-ES_tradnl"/>
        </w:rPr>
      </w:pPr>
    </w:p>
    <w:p w:rsidR="008D3C79" w:rsidRPr="006247AF" w:rsidRDefault="008D3C79" w:rsidP="004D772E">
      <w:pPr>
        <w:pStyle w:val="Prrafodelista"/>
        <w:numPr>
          <w:ilvl w:val="0"/>
          <w:numId w:val="4"/>
        </w:numPr>
        <w:rPr>
          <w:rFonts w:cs="Palatino Linotype"/>
          <w:color w:val="000000"/>
          <w:lang w:val="es-ES_tradnl"/>
        </w:rPr>
      </w:pPr>
      <w:r w:rsidRPr="006247AF">
        <w:rPr>
          <w:rFonts w:cs="Palatino Linotype"/>
          <w:b/>
          <w:color w:val="000000"/>
          <w:lang w:val="es-ES_tradnl"/>
        </w:rPr>
        <w:t>Acta 78 Extraord Solic 2185( VP) (2).pdf</w:t>
      </w:r>
      <w:r w:rsidRPr="006247AF">
        <w:rPr>
          <w:rFonts w:cs="Palatino Linotype"/>
          <w:color w:val="000000"/>
          <w:lang w:val="es-ES_tradnl"/>
        </w:rPr>
        <w:t>: Documento constante de cinco (5) fojas, consistente del Acta de la Septuagésima Octava Sesión Extraordinaria del año dos mil veinticuatro del Comité de Transparencia, de fecha nueve de mayo de dos mil veinticuatro, a través del cual se clasifican como confidenciales, datos personales contenidos en la solicitud de información pública 02096/INFOEM/IP/RR/2024.</w:t>
      </w:r>
    </w:p>
    <w:p w:rsidR="00FD49FF" w:rsidRPr="006247AF" w:rsidRDefault="00FD49FF" w:rsidP="004D772E">
      <w:pPr>
        <w:pStyle w:val="Prrafodelista"/>
        <w:rPr>
          <w:rFonts w:cs="Palatino Linotype"/>
          <w:color w:val="000000"/>
          <w:lang w:val="es-ES_tradnl"/>
        </w:rPr>
      </w:pPr>
    </w:p>
    <w:p w:rsidR="00FD49FF" w:rsidRPr="006247AF" w:rsidRDefault="00FD49FF" w:rsidP="004D772E">
      <w:pPr>
        <w:pStyle w:val="Prrafodelista"/>
        <w:numPr>
          <w:ilvl w:val="0"/>
          <w:numId w:val="4"/>
        </w:numPr>
        <w:rPr>
          <w:rFonts w:cs="Palatino Linotype"/>
          <w:color w:val="000000"/>
          <w:lang w:val="es-ES_tradnl"/>
        </w:rPr>
      </w:pPr>
      <w:r w:rsidRPr="006247AF">
        <w:rPr>
          <w:rFonts w:cs="Palatino Linotype"/>
          <w:b/>
          <w:color w:val="000000"/>
          <w:lang w:val="es-ES_tradnl"/>
        </w:rPr>
        <w:t>drive-download-20240511T023328Z-001.zip</w:t>
      </w:r>
      <w:r w:rsidRPr="006247AF">
        <w:rPr>
          <w:rFonts w:cs="Palatino Linotype"/>
          <w:color w:val="000000"/>
          <w:lang w:val="es-ES_tradnl"/>
        </w:rPr>
        <w:t xml:space="preserve">: </w:t>
      </w:r>
      <w:r w:rsidR="00E76016" w:rsidRPr="006247AF">
        <w:rPr>
          <w:rFonts w:cs="Palatino Linotype"/>
          <w:color w:val="000000"/>
          <w:lang w:val="es-ES_tradnl"/>
        </w:rPr>
        <w:t xml:space="preserve">Documento en formato Zip, el cual contiene diversos </w:t>
      </w:r>
      <w:r w:rsidR="00392749" w:rsidRPr="006247AF">
        <w:rPr>
          <w:rFonts w:cs="Palatino Linotype"/>
          <w:color w:val="000000"/>
          <w:lang w:val="es-ES_tradnl"/>
        </w:rPr>
        <w:t>documentos en formato JPG,</w:t>
      </w:r>
      <w:r w:rsidR="00E76016" w:rsidRPr="006247AF">
        <w:rPr>
          <w:rFonts w:cs="Palatino Linotype"/>
          <w:color w:val="000000"/>
          <w:lang w:val="es-ES_tradnl"/>
        </w:rPr>
        <w:t xml:space="preserve"> </w:t>
      </w:r>
      <w:r w:rsidR="00392749" w:rsidRPr="006247AF">
        <w:rPr>
          <w:rFonts w:cs="Palatino Linotype"/>
          <w:color w:val="000000"/>
          <w:lang w:val="es-ES_tradnl"/>
        </w:rPr>
        <w:t xml:space="preserve">los cuales son identificados en el nombre de su archivo del </w:t>
      </w:r>
      <w:r w:rsidR="00392749" w:rsidRPr="006247AF">
        <w:t>“</w:t>
      </w:r>
      <w:r w:rsidR="00392749" w:rsidRPr="006247AF">
        <w:rPr>
          <w:rFonts w:cs="Palatino Linotype"/>
          <w:color w:val="000000"/>
          <w:lang w:val="es-ES_tradnl"/>
        </w:rPr>
        <w:t>382.2022</w:t>
      </w:r>
      <w:r w:rsidR="000D47AB" w:rsidRPr="006247AF">
        <w:rPr>
          <w:rFonts w:cs="Palatino Linotype"/>
          <w:color w:val="000000"/>
          <w:lang w:val="es-ES_tradnl"/>
        </w:rPr>
        <w:t xml:space="preserve">…” al </w:t>
      </w:r>
      <w:r w:rsidR="00392749" w:rsidRPr="006247AF">
        <w:rPr>
          <w:rFonts w:cs="Palatino Linotype"/>
          <w:color w:val="000000"/>
          <w:lang w:val="es-ES_tradnl"/>
        </w:rPr>
        <w:t>“534.2022 001.jpg”, consistentes en oficios signados por el Vocal Ejecutivo del Instituto del Transporte, correspondientes a los meses septiembre. Octubre, noviembre y diciembre del año dos mil veintidós, no obstante, no fueron puestos a la vista de la parte Recurrente, toda vez que no se realizó una correcta censura de los datos considerados como confidenciales</w:t>
      </w:r>
      <w:r w:rsidR="00C37510" w:rsidRPr="006247AF">
        <w:rPr>
          <w:rFonts w:cs="Palatino Linotype"/>
          <w:color w:val="000000"/>
          <w:lang w:val="es-ES_tradnl"/>
        </w:rPr>
        <w:t>, tales como datos del Agente del Ministerio Público</w:t>
      </w:r>
      <w:r w:rsidR="00C12154" w:rsidRPr="006247AF">
        <w:rPr>
          <w:rFonts w:cs="Palatino Linotype"/>
          <w:color w:val="000000"/>
          <w:lang w:val="es-ES_tradnl"/>
        </w:rPr>
        <w:t xml:space="preserve"> por reporte de robo de vehículo</w:t>
      </w:r>
      <w:r w:rsidR="00C37510" w:rsidRPr="006247AF">
        <w:rPr>
          <w:rFonts w:cs="Palatino Linotype"/>
          <w:color w:val="000000"/>
          <w:lang w:val="es-ES_tradnl"/>
        </w:rPr>
        <w:t>,</w:t>
      </w:r>
      <w:r w:rsidR="000016B5" w:rsidRPr="006247AF">
        <w:rPr>
          <w:rFonts w:cs="Palatino Linotype"/>
          <w:color w:val="000000"/>
          <w:lang w:val="es-ES_tradnl"/>
        </w:rPr>
        <w:t xml:space="preserve"> número de juicio administrativo y sala en que radica;</w:t>
      </w:r>
      <w:r w:rsidR="00C37510" w:rsidRPr="006247AF">
        <w:rPr>
          <w:rFonts w:cs="Palatino Linotype"/>
          <w:color w:val="000000"/>
          <w:lang w:val="es-ES_tradnl"/>
        </w:rPr>
        <w:t xml:space="preserve"> </w:t>
      </w:r>
      <w:r w:rsidR="00392749" w:rsidRPr="006247AF">
        <w:rPr>
          <w:rFonts w:cs="Palatino Linotype"/>
          <w:color w:val="000000"/>
          <w:lang w:val="es-ES_tradnl"/>
        </w:rPr>
        <w:t xml:space="preserve">asimismo se advierte que se testaron datos de carácter público tales como firmas del  Vocal Ejecutivo del Instituto del Transporte, autoridad que firma en carácter de servidor público en funciones, así como rubricas de </w:t>
      </w:r>
      <w:r w:rsidR="00C37510" w:rsidRPr="006247AF">
        <w:rPr>
          <w:rFonts w:cs="Palatino Linotype"/>
          <w:color w:val="000000"/>
          <w:lang w:val="es-ES_tradnl"/>
        </w:rPr>
        <w:t xml:space="preserve">los servidores públicos de los </w:t>
      </w:r>
      <w:r w:rsidR="00C37510" w:rsidRPr="006247AF">
        <w:rPr>
          <w:rFonts w:cs="Palatino Linotype"/>
          <w:color w:val="000000"/>
          <w:lang w:val="es-ES_tradnl"/>
        </w:rPr>
        <w:lastRenderedPageBreak/>
        <w:t xml:space="preserve">servidores públicos que firman de acuse los referidos oficios, datos de vehículos: marca, modelo, placas de circulación, </w:t>
      </w:r>
      <w:r w:rsidR="008D3C79" w:rsidRPr="006247AF">
        <w:rPr>
          <w:rFonts w:cs="Palatino Linotype"/>
          <w:color w:val="000000"/>
          <w:lang w:val="es-ES_tradnl"/>
        </w:rPr>
        <w:t>datos de proveedores, tal y como se advierte en la siguiente imagen ilustrativa:</w:t>
      </w:r>
    </w:p>
    <w:p w:rsidR="008D3C79" w:rsidRPr="006247AF" w:rsidRDefault="001C4D29" w:rsidP="004D772E">
      <w:pPr>
        <w:pStyle w:val="Prrafodelista"/>
        <w:ind w:left="720"/>
        <w:jc w:val="center"/>
        <w:rPr>
          <w:rFonts w:cs="Palatino Linotype"/>
          <w:b/>
          <w:color w:val="000000"/>
          <w:lang w:val="es-ES_tradnl"/>
        </w:rPr>
      </w:pPr>
      <w:r w:rsidRPr="006247AF">
        <w:rPr>
          <w:noProof/>
          <w:lang w:val="es-MX" w:eastAsia="es-MX"/>
        </w:rPr>
        <mc:AlternateContent>
          <mc:Choice Requires="wps">
            <w:drawing>
              <wp:anchor distT="0" distB="0" distL="114300" distR="114300" simplePos="0" relativeHeight="251666432" behindDoc="0" locked="0" layoutInCell="1" allowOverlap="1" wp14:anchorId="00B4EAE3" wp14:editId="37A3B958">
                <wp:simplePos x="0" y="0"/>
                <wp:positionH relativeFrom="column">
                  <wp:posOffset>1491842</wp:posOffset>
                </wp:positionH>
                <wp:positionV relativeFrom="paragraph">
                  <wp:posOffset>418884</wp:posOffset>
                </wp:positionV>
                <wp:extent cx="284671" cy="293286"/>
                <wp:effectExtent l="38100" t="0" r="20320" b="50165"/>
                <wp:wrapNone/>
                <wp:docPr id="13" name="Conector recto de flecha 13"/>
                <wp:cNvGraphicFramePr/>
                <a:graphic xmlns:a="http://schemas.openxmlformats.org/drawingml/2006/main">
                  <a:graphicData uri="http://schemas.microsoft.com/office/word/2010/wordprocessingShape">
                    <wps:wsp>
                      <wps:cNvCnPr/>
                      <wps:spPr>
                        <a:xfrm flipH="1">
                          <a:off x="0" y="0"/>
                          <a:ext cx="284671" cy="29328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3FEA40" id="_x0000_t32" coordsize="21600,21600" o:spt="32" o:oned="t" path="m,l21600,21600e" filled="f">
                <v:path arrowok="t" fillok="f" o:connecttype="none"/>
                <o:lock v:ext="edit" shapetype="t"/>
              </v:shapetype>
              <v:shape id="Conector recto de flecha 13" o:spid="_x0000_s1026" type="#_x0000_t32" style="position:absolute;margin-left:117.45pt;margin-top:33pt;width:22.4pt;height:23.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D3AwIAAE4EAAAOAAAAZHJzL2Uyb0RvYy54bWysVE2P0zAQvSPxHyzfadIslG7VdA9dCgcE&#10;FR8/wHXGiSXHtsamaf89YycNLIgDiBwcO5735s3zONuHS2/YGTBoZ2u+XJScgZWu0bat+dcvhxdr&#10;zkIUthHGWaj5FQJ/2D1/th38BirXOdMAMiKxYTP4mncx+k1RBNlBL8LCebC0qRz2ItIS26JBMRB7&#10;b4qqLFfF4LDx6CSEQF8fx02+y/xKgYwflQoQmak5aYt5xDye0ljstmLTovCdlpMM8Q8qeqEtJZ2p&#10;HkUU7Bvq36h6LdEFp+JCur5wSmkJuQaqZln+Us3nTnjItZA5wc82hf9HKz+cj8h0Q2d3x5kVPZ3R&#10;nk5KRocM04s1wJQB2QlGIeTX4MOGYHt7xGkV/BFT8ReFPcVq/47osh1UILtkt6+z23CJTNLHav1y&#10;9XrJmaSt6v6uWq8SezHSJDqPIb4F17M0qXmIKHTbRZI36htTiPP7EEfgDZDAxrKBVNyXr8qsJDij&#10;m4M2Jm0GbE97g+wsqC0Oh5KeKfeTsCi0eWMbFq+ebImohW0NTJHGktjkxVh9nsWrgTH5J1DkKlU5&#10;isz9DHNKISXYuJyZKDrBFMmbgZPsdBH+BJziExRyr/8NeEbkzM7GGdxr63A07Wn2eLlJVmP8zYGx&#10;7mTByTXX3BfZGmrafKLTBUu34ud1hv/4Dey+AwAA//8DAFBLAwQUAAYACAAAACEAYm+SN94AAAAK&#10;AQAADwAAAGRycy9kb3ducmV2LnhtbEyPy07DMBBF90j8gzVI7KgTU6UkxKlQBSrbPj7AjU0SxR6H&#10;2GnSv2dYwXI0R/eeW24XZ9nVjKHzKCFdJcAM1l532Eg4nz6eXoCFqFAr69FIuJkA2+r+rlSF9jMe&#10;zPUYG0YhGAoloY1xKDgPdWucCis/GKTflx+dinSODdejmincWS6SJONOdUgNrRrMrjV1f5ychHq/&#10;1/0yzOfvflrbA3+/5ennTsrHh+XtFVg0S/yD4Vef1KEip4ufUAdmJYjndU6ohCyjTQSITb4BdiEy&#10;FQJ4VfL/E6ofAAAA//8DAFBLAQItABQABgAIAAAAIQC2gziS/gAAAOEBAAATAAAAAAAAAAAAAAAA&#10;AAAAAABbQ29udGVudF9UeXBlc10ueG1sUEsBAi0AFAAGAAgAAAAhADj9If/WAAAAlAEAAAsAAAAA&#10;AAAAAAAAAAAALwEAAF9yZWxzLy5yZWxzUEsBAi0AFAAGAAgAAAAhAG/oMPcDAgAATgQAAA4AAAAA&#10;AAAAAAAAAAAALgIAAGRycy9lMm9Eb2MueG1sUEsBAi0AFAAGAAgAAAAhAGJvkjfeAAAACgEAAA8A&#10;AAAAAAAAAAAAAAAAXQQAAGRycy9kb3ducmV2LnhtbFBLBQYAAAAABAAEAPMAAABoBQAAAAA=&#10;" strokecolor="red" strokeweight="1.5pt">
                <v:stroke endarrow="block" joinstyle="miter"/>
              </v:shape>
            </w:pict>
          </mc:Fallback>
        </mc:AlternateContent>
      </w:r>
      <w:r w:rsidR="008D3C79" w:rsidRPr="006247AF">
        <w:rPr>
          <w:noProof/>
          <w:lang w:val="es-MX" w:eastAsia="es-MX"/>
        </w:rPr>
        <w:drawing>
          <wp:inline distT="0" distB="0" distL="0" distR="0" wp14:anchorId="1F0A2543" wp14:editId="6344346F">
            <wp:extent cx="4011283" cy="3035764"/>
            <wp:effectExtent l="38100" t="95250" r="104140" b="317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 t="774" r="47617" b="8341"/>
                    <a:stretch/>
                  </pic:blipFill>
                  <pic:spPr bwMode="auto">
                    <a:xfrm>
                      <a:off x="0" y="0"/>
                      <a:ext cx="4018741" cy="3041408"/>
                    </a:xfrm>
                    <a:prstGeom prst="rect">
                      <a:avLst/>
                    </a:prstGeom>
                    <a:ln>
                      <a:noFill/>
                    </a:ln>
                    <a:effectLst>
                      <a:outerShdw blurRad="50800" dist="38100" dir="18900000" algn="b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8D3C79" w:rsidRPr="006247AF" w:rsidRDefault="001C4D29" w:rsidP="004D772E">
      <w:pPr>
        <w:pStyle w:val="Prrafodelista"/>
        <w:ind w:left="720"/>
        <w:jc w:val="center"/>
        <w:rPr>
          <w:rFonts w:cs="Palatino Linotype"/>
          <w:b/>
          <w:color w:val="000000"/>
          <w:lang w:val="es-ES_tradnl"/>
        </w:rPr>
      </w:pPr>
      <w:r w:rsidRPr="006247AF">
        <w:rPr>
          <w:noProof/>
          <w:lang w:val="es-MX" w:eastAsia="es-MX"/>
        </w:rPr>
        <mc:AlternateContent>
          <mc:Choice Requires="wps">
            <w:drawing>
              <wp:anchor distT="0" distB="0" distL="114300" distR="114300" simplePos="0" relativeHeight="251668480" behindDoc="0" locked="0" layoutInCell="1" allowOverlap="1" wp14:anchorId="64B3ECE3" wp14:editId="6593B713">
                <wp:simplePos x="0" y="0"/>
                <wp:positionH relativeFrom="column">
                  <wp:posOffset>1497761</wp:posOffset>
                </wp:positionH>
                <wp:positionV relativeFrom="paragraph">
                  <wp:posOffset>2766515</wp:posOffset>
                </wp:positionV>
                <wp:extent cx="284671" cy="293286"/>
                <wp:effectExtent l="38100" t="0" r="20320" b="50165"/>
                <wp:wrapNone/>
                <wp:docPr id="14" name="Conector recto de flecha 14"/>
                <wp:cNvGraphicFramePr/>
                <a:graphic xmlns:a="http://schemas.openxmlformats.org/drawingml/2006/main">
                  <a:graphicData uri="http://schemas.microsoft.com/office/word/2010/wordprocessingShape">
                    <wps:wsp>
                      <wps:cNvCnPr/>
                      <wps:spPr>
                        <a:xfrm flipH="1">
                          <a:off x="0" y="0"/>
                          <a:ext cx="284671" cy="29328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0D866" id="Conector recto de flecha 14" o:spid="_x0000_s1026" type="#_x0000_t32" style="position:absolute;margin-left:117.95pt;margin-top:217.85pt;width:22.4pt;height:23.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5bAwIAAE4EAAAOAAAAZHJzL2Uyb0RvYy54bWysVE2P0zAQvSPxHyzfadKylG7VdA9dCgcE&#10;FR8/wHXGiSXHtsamSf89YycNLIgDiBwcO5735s3zOLuHoTPsAhi0sxVfLkrOwEpXa9tU/OuX44sN&#10;ZyEKWwvjLFT8CoE/7J8/2/V+CyvXOlMDMiKxYdv7ircx+m1RBNlCJ8LCebC0qRx2ItISm6JG0RN7&#10;Z4pVWa6L3mHt0UkIgb4+jpt8n/mVAhk/KhUgMlNx0hbziHk8p7HY78S2QeFbLScZ4h9UdEJbSjpT&#10;PYoo2DfUv1F1WqILTsWFdF3hlNIScg1UzbL8pZrPrfCQayFzgp9tCv+PVn64nJDpms7ujjMrOjqj&#10;A52UjA4ZphergSkDshWMQsiv3octwQ72hNMq+BOm4geFHcVq/47osh1UIBuy29fZbRgik/Rxtblb&#10;v15yJmlrdf9ytVkn9mKkSXQeQ3wLrmNpUvEQUeimjSRv1DemEJf3IY7AGyCBjWU9qbgvX5VZSXBG&#10;10dtTNoM2JwPBtlFUFscjyU9U+4nYVFo88bWLF492RJRC9sYmCKNJbHJi7H6PItXA2PyT6DIVapy&#10;FJn7GeaUQkqwcTkzUXSCKZI3AyfZ6SL8CTjFJyjkXv8b8IzImZ2NM7jT1uFo2tPscbhJVmP8zYGx&#10;7mTB2dXX3BfZGmrafKLTBUu34ud1hv/4Dey/AwAA//8DAFBLAwQUAAYACAAAACEAdbYZ+N8AAAAL&#10;AQAADwAAAGRycy9kb3ducmV2LnhtbEyPy26DMBBF95X6D9ZE6q4xkKQFgomqqFW6TZoPcPAUEH5Q&#10;bAL5+05XzW4eR3fOFLvZaHbFwbfOCoiXETC0lVOtrQWcvz6eU2A+SKukdhYF3NDDrnx8KGSu3GSP&#10;eD2FmlGI9bkU0ITQ55z7qkEj/dL1aGn37QYjA7VDzdUgJwo3midR9MKNbC1daGSP+war7jQaAdXh&#10;oLq5n84/3bjWR/5+y+LPvRBPi/ltCyzgHP5h+NMndSjJ6eJGqzzTApLVJiNUwHq1eQVGRJJGVFxo&#10;ksYZ8LLg9z+UvwAAAP//AwBQSwECLQAUAAYACAAAACEAtoM4kv4AAADhAQAAEwAAAAAAAAAAAAAA&#10;AAAAAAAAW0NvbnRlbnRfVHlwZXNdLnhtbFBLAQItABQABgAIAAAAIQA4/SH/1gAAAJQBAAALAAAA&#10;AAAAAAAAAAAAAC8BAABfcmVscy8ucmVsc1BLAQItABQABgAIAAAAIQDdhI5bAwIAAE4EAAAOAAAA&#10;AAAAAAAAAAAAAC4CAABkcnMvZTJvRG9jLnhtbFBLAQItABQABgAIAAAAIQB1thn43wAAAAsBAAAP&#10;AAAAAAAAAAAAAAAAAF0EAABkcnMvZG93bnJldi54bWxQSwUGAAAAAAQABADzAAAAaQUAAAAA&#10;" strokecolor="red" strokeweight="1.5pt">
                <v:stroke endarrow="block" joinstyle="miter"/>
              </v:shape>
            </w:pict>
          </mc:Fallback>
        </mc:AlternateContent>
      </w:r>
      <w:r w:rsidR="008D3C79" w:rsidRPr="006247AF">
        <w:rPr>
          <w:noProof/>
          <w:lang w:val="es-MX" w:eastAsia="es-MX"/>
        </w:rPr>
        <w:drawing>
          <wp:inline distT="0" distB="0" distL="0" distR="0" wp14:anchorId="005EE8AA" wp14:editId="2922D365">
            <wp:extent cx="3968151" cy="3061970"/>
            <wp:effectExtent l="38100" t="38100" r="89535" b="10033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47281" b="8344"/>
                    <a:stretch/>
                  </pic:blipFill>
                  <pic:spPr bwMode="auto">
                    <a:xfrm>
                      <a:off x="0" y="0"/>
                      <a:ext cx="3978360" cy="3069848"/>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061F10" w:rsidRPr="006247AF" w:rsidRDefault="00061F10" w:rsidP="004D772E">
      <w:pPr>
        <w:autoSpaceDE w:val="0"/>
        <w:autoSpaceDN w:val="0"/>
        <w:adjustRightInd w:val="0"/>
        <w:spacing w:line="360" w:lineRule="auto"/>
        <w:jc w:val="both"/>
        <w:rPr>
          <w:rFonts w:ascii="Palatino Linotype" w:hAnsi="Palatino Linotype" w:cs="Arial"/>
        </w:rPr>
      </w:pPr>
      <w:r w:rsidRPr="006247AF">
        <w:rPr>
          <w:rFonts w:ascii="Palatino Linotype" w:hAnsi="Palatino Linotype" w:cs="Arial"/>
          <w:bCs/>
        </w:rPr>
        <w:lastRenderedPageBreak/>
        <w:t xml:space="preserve">Atento a ello, primeramente es importante señalar que </w:t>
      </w:r>
      <w:r w:rsidRPr="006247AF">
        <w:rPr>
          <w:rFonts w:ascii="Palatino Linotype" w:hAnsi="Palatino Linotype" w:cs="Arial"/>
        </w:rPr>
        <w:t>el artículo 4, párrafo segundo, de la Ley de Transparencia y Acceso a la Información Pública del Estado de México y Municipios, dispone:</w:t>
      </w:r>
    </w:p>
    <w:p w:rsidR="001C4D29" w:rsidRPr="006247AF" w:rsidRDefault="001C4D29" w:rsidP="004D772E">
      <w:pPr>
        <w:autoSpaceDE w:val="0"/>
        <w:autoSpaceDN w:val="0"/>
        <w:adjustRightInd w:val="0"/>
        <w:spacing w:line="360" w:lineRule="auto"/>
        <w:jc w:val="both"/>
        <w:rPr>
          <w:rFonts w:ascii="Palatino Linotype" w:hAnsi="Palatino Linotype" w:cs="Arial"/>
        </w:rPr>
      </w:pPr>
    </w:p>
    <w:p w:rsidR="00061F10" w:rsidRPr="006247AF" w:rsidRDefault="00061F10" w:rsidP="004D772E">
      <w:pPr>
        <w:ind w:left="567" w:right="567"/>
        <w:jc w:val="both"/>
        <w:rPr>
          <w:rFonts w:ascii="Palatino Linotype" w:hAnsi="Palatino Linotype" w:cs="Arial"/>
          <w:i/>
        </w:rPr>
      </w:pPr>
      <w:r w:rsidRPr="006247AF">
        <w:rPr>
          <w:rFonts w:ascii="Palatino Linotype" w:hAnsi="Palatino Linotype" w:cs="Arial"/>
          <w:i/>
        </w:rPr>
        <w:t>“</w:t>
      </w:r>
      <w:r w:rsidRPr="006247AF">
        <w:rPr>
          <w:rFonts w:ascii="Palatino Linotype" w:hAnsi="Palatino Linotype" w:cs="Arial"/>
          <w:b/>
          <w:i/>
        </w:rPr>
        <w:t xml:space="preserve">Artículo 4. </w:t>
      </w:r>
      <w:r w:rsidRPr="006247AF">
        <w:rPr>
          <w:rFonts w:ascii="Palatino Linotype" w:hAnsi="Palatino Linotype" w:cs="Arial"/>
          <w:i/>
        </w:rPr>
        <w:t xml:space="preserve">… </w:t>
      </w:r>
    </w:p>
    <w:p w:rsidR="00061F10" w:rsidRPr="006247AF" w:rsidRDefault="00061F10" w:rsidP="004D772E">
      <w:pPr>
        <w:ind w:left="567" w:right="567"/>
        <w:jc w:val="both"/>
        <w:rPr>
          <w:rFonts w:ascii="Palatino Linotype" w:hAnsi="Palatino Linotype" w:cs="Arial"/>
          <w:i/>
        </w:rPr>
      </w:pPr>
      <w:r w:rsidRPr="006247AF">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rsidR="00061F10" w:rsidRPr="006247AF" w:rsidRDefault="00061F10" w:rsidP="004D772E">
      <w:pPr>
        <w:ind w:left="567" w:right="567"/>
        <w:jc w:val="both"/>
        <w:rPr>
          <w:rFonts w:ascii="Palatino Linotype" w:hAnsi="Palatino Linotype" w:cs="Arial"/>
          <w:i/>
        </w:rPr>
      </w:pPr>
    </w:p>
    <w:p w:rsidR="00061F10" w:rsidRPr="006247AF" w:rsidRDefault="00061F10" w:rsidP="004D772E">
      <w:pPr>
        <w:ind w:left="567" w:right="567"/>
        <w:jc w:val="both"/>
        <w:rPr>
          <w:rFonts w:ascii="Palatino Linotype" w:hAnsi="Palatino Linotype" w:cs="Arial"/>
          <w:i/>
        </w:rPr>
      </w:pPr>
      <w:r w:rsidRPr="006247AF">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rsidR="00061F10" w:rsidRPr="006247AF" w:rsidRDefault="00061F10" w:rsidP="004D772E">
      <w:pPr>
        <w:pStyle w:val="Sinespaciado"/>
        <w:rPr>
          <w:rFonts w:ascii="Palatino Linotype" w:hAnsi="Palatino Linotype"/>
        </w:rPr>
      </w:pPr>
    </w:p>
    <w:p w:rsidR="00061F10" w:rsidRPr="006247AF" w:rsidRDefault="00061F10" w:rsidP="004D772E">
      <w:pPr>
        <w:spacing w:line="360" w:lineRule="auto"/>
        <w:jc w:val="both"/>
        <w:rPr>
          <w:rFonts w:ascii="Palatino Linotype" w:hAnsi="Palatino Linotype" w:cs="Arial"/>
          <w:i/>
        </w:rPr>
      </w:pPr>
      <w:r w:rsidRPr="006247AF">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061F10" w:rsidRPr="006247AF" w:rsidRDefault="00061F10" w:rsidP="004D772E">
      <w:pPr>
        <w:spacing w:line="360" w:lineRule="auto"/>
        <w:jc w:val="both"/>
        <w:rPr>
          <w:rFonts w:ascii="Palatino Linotype" w:hAnsi="Palatino Linotype" w:cs="Arial"/>
        </w:rPr>
      </w:pPr>
    </w:p>
    <w:p w:rsidR="00061F10" w:rsidRPr="006247AF" w:rsidRDefault="00061F10" w:rsidP="004D772E">
      <w:pPr>
        <w:spacing w:line="360" w:lineRule="auto"/>
        <w:jc w:val="both"/>
        <w:rPr>
          <w:rFonts w:ascii="Palatino Linotype" w:hAnsi="Palatino Linotype" w:cs="Arial"/>
          <w:i/>
        </w:rPr>
      </w:pPr>
      <w:r w:rsidRPr="006247A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061F10" w:rsidRPr="006247AF" w:rsidRDefault="00061F10" w:rsidP="004D772E">
      <w:pPr>
        <w:ind w:left="567" w:right="567"/>
        <w:jc w:val="both"/>
        <w:rPr>
          <w:rFonts w:ascii="Palatino Linotype" w:hAnsi="Palatino Linotype" w:cs="Arial"/>
          <w:i/>
        </w:rPr>
      </w:pPr>
    </w:p>
    <w:p w:rsidR="00061F10" w:rsidRPr="006247AF" w:rsidRDefault="00061F10" w:rsidP="004D772E">
      <w:pPr>
        <w:ind w:left="567" w:right="567"/>
        <w:jc w:val="both"/>
        <w:rPr>
          <w:rFonts w:ascii="Palatino Linotype" w:hAnsi="Palatino Linotype" w:cs="Arial"/>
          <w:i/>
        </w:rPr>
      </w:pPr>
      <w:r w:rsidRPr="006247AF">
        <w:rPr>
          <w:rFonts w:ascii="Palatino Linotype" w:hAnsi="Palatino Linotype" w:cs="Arial"/>
          <w:i/>
        </w:rPr>
        <w:lastRenderedPageBreak/>
        <w:t>“</w:t>
      </w:r>
      <w:r w:rsidRPr="006247AF">
        <w:rPr>
          <w:rFonts w:ascii="Palatino Linotype" w:hAnsi="Palatino Linotype" w:cs="Arial"/>
          <w:b/>
          <w:i/>
        </w:rPr>
        <w:t>Artículo 12.</w:t>
      </w:r>
      <w:r w:rsidRPr="006247AF">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rsidR="00061F10" w:rsidRPr="006247AF" w:rsidRDefault="00061F10" w:rsidP="004D772E">
      <w:pPr>
        <w:ind w:left="567" w:right="567"/>
        <w:jc w:val="both"/>
        <w:rPr>
          <w:rFonts w:ascii="Palatino Linotype" w:hAnsi="Palatino Linotype" w:cs="Arial"/>
          <w:b/>
          <w:i/>
          <w:u w:val="single"/>
        </w:rPr>
      </w:pPr>
    </w:p>
    <w:p w:rsidR="00061F10" w:rsidRPr="006247AF" w:rsidRDefault="00061F10" w:rsidP="004D772E">
      <w:pPr>
        <w:ind w:left="567" w:right="567"/>
        <w:jc w:val="both"/>
        <w:rPr>
          <w:rFonts w:ascii="Palatino Linotype" w:hAnsi="Palatino Linotype" w:cs="Arial"/>
          <w:i/>
        </w:rPr>
      </w:pPr>
      <w:r w:rsidRPr="006247AF">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6247AF">
        <w:rPr>
          <w:rFonts w:ascii="Palatino Linotype" w:hAnsi="Palatino Linotype" w:cs="Arial"/>
          <w:i/>
        </w:rPr>
        <w:t>”</w:t>
      </w:r>
    </w:p>
    <w:p w:rsidR="00061F10" w:rsidRPr="006247AF" w:rsidRDefault="00061F10" w:rsidP="004D772E">
      <w:pPr>
        <w:tabs>
          <w:tab w:val="left" w:pos="709"/>
        </w:tabs>
        <w:spacing w:line="360" w:lineRule="auto"/>
        <w:contextualSpacing/>
        <w:jc w:val="both"/>
        <w:rPr>
          <w:rFonts w:ascii="Palatino Linotype" w:hAnsi="Palatino Linotype" w:cs="Arial"/>
        </w:rPr>
      </w:pPr>
    </w:p>
    <w:p w:rsidR="00061F10" w:rsidRPr="006247AF" w:rsidRDefault="00061F10" w:rsidP="004D772E">
      <w:pPr>
        <w:tabs>
          <w:tab w:val="left" w:pos="709"/>
        </w:tabs>
        <w:spacing w:line="360" w:lineRule="auto"/>
        <w:contextualSpacing/>
        <w:jc w:val="both"/>
        <w:rPr>
          <w:rFonts w:ascii="Palatino Linotype" w:hAnsi="Palatino Linotype" w:cs="Arial"/>
        </w:rPr>
      </w:pPr>
      <w:r w:rsidRPr="006247A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061F10" w:rsidRPr="006247AF" w:rsidRDefault="00061F10" w:rsidP="004D772E">
      <w:pPr>
        <w:spacing w:line="360" w:lineRule="auto"/>
        <w:jc w:val="both"/>
        <w:rPr>
          <w:rFonts w:ascii="Palatino Linotype" w:hAnsi="Palatino Linotype" w:cs="Arial"/>
        </w:rPr>
      </w:pPr>
    </w:p>
    <w:p w:rsidR="00061F10" w:rsidRPr="006247AF" w:rsidRDefault="00061F10" w:rsidP="004D772E">
      <w:pPr>
        <w:spacing w:line="360" w:lineRule="auto"/>
        <w:jc w:val="both"/>
        <w:rPr>
          <w:rFonts w:ascii="Palatino Linotype" w:hAnsi="Palatino Linotype" w:cs="Arial"/>
        </w:rPr>
      </w:pPr>
      <w:r w:rsidRPr="006247AF">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6247A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247AF">
        <w:rPr>
          <w:rFonts w:ascii="Palatino Linotype" w:hAnsi="Palatino Linotype" w:cs="Arial"/>
        </w:rPr>
        <w:t xml:space="preserve"> de los Sujetos Obligados; los que, podrán estar en cualquier medio, sea escrito, impreso, sonoro, visual, </w:t>
      </w:r>
      <w:r w:rsidRPr="006247AF">
        <w:rPr>
          <w:rFonts w:ascii="Palatino Linotype" w:hAnsi="Palatino Linotype" w:cs="Arial"/>
        </w:rPr>
        <w:lastRenderedPageBreak/>
        <w:t xml:space="preserve">electrónico, informático u holográfico, de conformidad con el artículo 3, fracción XI, de la Ley de la materia, el cual dispone lo siguiente: </w:t>
      </w:r>
    </w:p>
    <w:p w:rsidR="00061F10" w:rsidRPr="006247AF" w:rsidRDefault="00061F10" w:rsidP="004D772E">
      <w:pPr>
        <w:spacing w:line="360" w:lineRule="auto"/>
        <w:jc w:val="both"/>
        <w:rPr>
          <w:rFonts w:ascii="Palatino Linotype" w:hAnsi="Palatino Linotype" w:cs="Arial"/>
        </w:rPr>
      </w:pPr>
    </w:p>
    <w:p w:rsidR="00061F10" w:rsidRPr="006247AF" w:rsidRDefault="00061F10" w:rsidP="004D772E">
      <w:pPr>
        <w:ind w:left="851" w:right="902"/>
        <w:jc w:val="both"/>
        <w:rPr>
          <w:rFonts w:ascii="Palatino Linotype" w:hAnsi="Palatino Linotype" w:cs="Arial"/>
          <w:i/>
          <w:sz w:val="2"/>
        </w:rPr>
      </w:pPr>
    </w:p>
    <w:p w:rsidR="00061F10" w:rsidRPr="006247AF" w:rsidRDefault="00061F10" w:rsidP="004D772E">
      <w:pPr>
        <w:ind w:left="567" w:right="567"/>
        <w:jc w:val="both"/>
        <w:rPr>
          <w:rFonts w:ascii="Palatino Linotype" w:hAnsi="Palatino Linotype" w:cs="Arial"/>
          <w:i/>
        </w:rPr>
      </w:pPr>
      <w:r w:rsidRPr="006247AF">
        <w:rPr>
          <w:rFonts w:ascii="Palatino Linotype" w:hAnsi="Palatino Linotype" w:cs="Arial"/>
          <w:i/>
        </w:rPr>
        <w:t>“</w:t>
      </w:r>
      <w:r w:rsidRPr="006247AF">
        <w:rPr>
          <w:rFonts w:ascii="Palatino Linotype" w:hAnsi="Palatino Linotype" w:cs="Arial"/>
          <w:b/>
          <w:i/>
        </w:rPr>
        <w:t xml:space="preserve">Artículo 3. </w:t>
      </w:r>
      <w:r w:rsidRPr="006247AF">
        <w:rPr>
          <w:rFonts w:ascii="Palatino Linotype" w:hAnsi="Palatino Linotype" w:cs="Arial"/>
          <w:i/>
        </w:rPr>
        <w:t>Para los efectos de la presente Ley se entenderá por:</w:t>
      </w:r>
    </w:p>
    <w:p w:rsidR="00061F10" w:rsidRPr="006247AF" w:rsidRDefault="00061F10" w:rsidP="004D772E">
      <w:pPr>
        <w:ind w:left="567" w:right="567"/>
        <w:jc w:val="both"/>
        <w:rPr>
          <w:rFonts w:ascii="Palatino Linotype" w:hAnsi="Palatino Linotype" w:cs="Arial"/>
          <w:i/>
        </w:rPr>
      </w:pPr>
      <w:r w:rsidRPr="006247AF">
        <w:rPr>
          <w:rFonts w:ascii="Palatino Linotype" w:hAnsi="Palatino Linotype" w:cs="Arial"/>
          <w:i/>
        </w:rPr>
        <w:t>(…)</w:t>
      </w:r>
    </w:p>
    <w:p w:rsidR="00061F10" w:rsidRPr="006247AF" w:rsidRDefault="00061F10" w:rsidP="004D772E">
      <w:pPr>
        <w:ind w:left="567" w:right="567"/>
        <w:jc w:val="both"/>
        <w:rPr>
          <w:rFonts w:ascii="Palatino Linotype" w:hAnsi="Palatino Linotype" w:cs="Arial"/>
          <w:i/>
        </w:rPr>
      </w:pPr>
      <w:r w:rsidRPr="006247AF">
        <w:rPr>
          <w:rFonts w:ascii="Palatino Linotype" w:hAnsi="Palatino Linotype" w:cs="Arial"/>
          <w:b/>
          <w:i/>
        </w:rPr>
        <w:t>XI. Documento:</w:t>
      </w:r>
      <w:r w:rsidRPr="006247AF">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6247AF">
        <w:rPr>
          <w:rFonts w:ascii="Palatino Linotype" w:hAnsi="Palatino Linotype" w:cs="Arial"/>
          <w:b/>
          <w:i/>
          <w:u w:val="single"/>
        </w:rPr>
        <w:t>Los documentos podrán estar en cualquier medio, sea escrito, impreso, sonoro, visual, electrónico, informático u holográfico</w:t>
      </w:r>
      <w:r w:rsidRPr="006247AF">
        <w:rPr>
          <w:rFonts w:ascii="Palatino Linotype" w:hAnsi="Palatino Linotype" w:cs="Arial"/>
          <w:i/>
        </w:rPr>
        <w:t>;</w:t>
      </w:r>
    </w:p>
    <w:p w:rsidR="00061F10" w:rsidRPr="006247AF" w:rsidRDefault="00061F10" w:rsidP="004D772E">
      <w:pPr>
        <w:ind w:left="567" w:right="567"/>
        <w:jc w:val="both"/>
        <w:rPr>
          <w:rFonts w:ascii="Palatino Linotype" w:hAnsi="Palatino Linotype" w:cs="Arial"/>
          <w:i/>
        </w:rPr>
      </w:pPr>
      <w:r w:rsidRPr="006247AF">
        <w:rPr>
          <w:rFonts w:ascii="Palatino Linotype" w:hAnsi="Palatino Linotype" w:cs="Arial"/>
          <w:i/>
        </w:rPr>
        <w:t>(…)”</w:t>
      </w:r>
    </w:p>
    <w:p w:rsidR="00061F10" w:rsidRPr="006247AF" w:rsidRDefault="00061F10" w:rsidP="004D772E">
      <w:pPr>
        <w:ind w:left="851" w:right="902"/>
        <w:jc w:val="both"/>
        <w:rPr>
          <w:rFonts w:ascii="Palatino Linotype" w:hAnsi="Palatino Linotype" w:cs="Arial"/>
        </w:rPr>
      </w:pPr>
    </w:p>
    <w:p w:rsidR="00061F10" w:rsidRPr="006247AF" w:rsidRDefault="00061F10" w:rsidP="004D772E">
      <w:pPr>
        <w:spacing w:line="360" w:lineRule="auto"/>
        <w:ind w:right="49"/>
        <w:contextualSpacing/>
        <w:jc w:val="both"/>
        <w:rPr>
          <w:rFonts w:ascii="Palatino Linotype" w:hAnsi="Palatino Linotype" w:cs="Arial"/>
        </w:rPr>
      </w:pPr>
      <w:r w:rsidRPr="006247AF">
        <w:rPr>
          <w:rFonts w:ascii="Palatino Linotype" w:hAnsi="Palatino Linotype" w:cs="Arial"/>
        </w:rPr>
        <w:t xml:space="preserve">Además, </w:t>
      </w:r>
      <w:r w:rsidRPr="006247A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061F10" w:rsidRPr="006247AF" w:rsidRDefault="00061F10" w:rsidP="004D772E">
      <w:pPr>
        <w:spacing w:line="360" w:lineRule="auto"/>
        <w:ind w:right="49"/>
        <w:contextualSpacing/>
        <w:jc w:val="both"/>
        <w:rPr>
          <w:rFonts w:ascii="Palatino Linotype" w:hAnsi="Palatino Linotype" w:cs="Arial"/>
        </w:rPr>
      </w:pPr>
    </w:p>
    <w:p w:rsidR="00061F10" w:rsidRPr="006247AF" w:rsidRDefault="00061F10" w:rsidP="004D772E">
      <w:pPr>
        <w:spacing w:line="360" w:lineRule="auto"/>
        <w:ind w:right="49"/>
        <w:contextualSpacing/>
        <w:jc w:val="both"/>
        <w:rPr>
          <w:rFonts w:ascii="Palatino Linotype" w:eastAsia="MS Mincho" w:hAnsi="Palatino Linotype" w:cs="Tahoma"/>
        </w:rPr>
      </w:pPr>
      <w:r w:rsidRPr="006247AF">
        <w:rPr>
          <w:rFonts w:ascii="Palatino Linotype" w:hAnsi="Palatino Linotype" w:cs="Arial"/>
        </w:rPr>
        <w:lastRenderedPageBreak/>
        <w:t xml:space="preserve">De la misma forma, </w:t>
      </w:r>
      <w:r w:rsidRPr="006247AF">
        <w:rPr>
          <w:rFonts w:ascii="Palatino Linotype" w:eastAsia="MS Mincho" w:hAnsi="Palatino Linotype"/>
        </w:rPr>
        <w:t>de acuerdo al contenido del artículo 160,</w:t>
      </w:r>
      <w:r w:rsidRPr="006247AF">
        <w:rPr>
          <w:rFonts w:ascii="Palatino Linotype" w:hAnsi="Palatino Linotype" w:cs="Arial"/>
        </w:rPr>
        <w:t xml:space="preserve"> de la Ley </w:t>
      </w:r>
      <w:r w:rsidRPr="006247AF">
        <w:rPr>
          <w:rFonts w:ascii="Palatino Linotype" w:eastAsia="MS Mincho" w:hAnsi="Palatino Linotype" w:cs="Tahoma"/>
        </w:rPr>
        <w:t>General de Transparencia y Acceso a la Información Pública que a la letra dispone:</w:t>
      </w:r>
    </w:p>
    <w:p w:rsidR="00061F10" w:rsidRPr="006247AF" w:rsidRDefault="00061F10" w:rsidP="004D772E"/>
    <w:p w:rsidR="00061F10" w:rsidRPr="006247AF" w:rsidRDefault="00061F10" w:rsidP="004D772E">
      <w:pPr>
        <w:ind w:left="851" w:right="616"/>
        <w:contextualSpacing/>
        <w:jc w:val="both"/>
        <w:rPr>
          <w:rFonts w:ascii="Palatino Linotype" w:hAnsi="Palatino Linotype" w:cs="Arial"/>
          <w:i/>
          <w:lang w:eastAsia="gl-ES"/>
        </w:rPr>
      </w:pPr>
      <w:r w:rsidRPr="006247AF">
        <w:rPr>
          <w:rFonts w:ascii="Palatino Linotype" w:hAnsi="Palatino Linotype" w:cs="Arial"/>
          <w:b/>
          <w:i/>
          <w:lang w:eastAsia="gl-ES"/>
        </w:rPr>
        <w:t>Artículo 160</w:t>
      </w:r>
      <w:r w:rsidRPr="006247AF">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061F10" w:rsidRPr="006247AF" w:rsidRDefault="00061F10" w:rsidP="004D772E">
      <w:pPr>
        <w:ind w:left="851" w:right="616"/>
        <w:contextualSpacing/>
        <w:jc w:val="both"/>
        <w:rPr>
          <w:rFonts w:ascii="Palatino Linotype" w:hAnsi="Palatino Linotype" w:cs="Arial"/>
          <w:i/>
          <w:lang w:eastAsia="gl-ES"/>
        </w:rPr>
      </w:pPr>
    </w:p>
    <w:p w:rsidR="00061F10" w:rsidRPr="006247AF" w:rsidRDefault="00061F10" w:rsidP="004D772E">
      <w:pPr>
        <w:spacing w:line="360" w:lineRule="auto"/>
        <w:jc w:val="both"/>
        <w:rPr>
          <w:rFonts w:ascii="Palatino Linotype" w:hAnsi="Palatino Linotype" w:cs="Arial"/>
          <w:color w:val="222222"/>
          <w:szCs w:val="19"/>
        </w:rPr>
      </w:pPr>
      <w:r w:rsidRPr="006247AF">
        <w:rPr>
          <w:rFonts w:ascii="Palatino Linotype" w:hAnsi="Palatino Linotype"/>
          <w:color w:val="000000"/>
        </w:rPr>
        <w:t xml:space="preserve">Sirve como apoyo </w:t>
      </w:r>
      <w:r w:rsidRPr="006247AF">
        <w:rPr>
          <w:rFonts w:ascii="Palatino Linotype" w:hAnsi="Palatino Linotype" w:cs="Arial"/>
          <w:color w:val="222222"/>
          <w:szCs w:val="19"/>
        </w:rPr>
        <w:t>a lo anterior, el criterio 09-10, emitido por el Pleno del entonces Instituto Federal de Acceso a la Información y Protección de Datos, que a la letra dice:</w:t>
      </w:r>
    </w:p>
    <w:p w:rsidR="00061F10" w:rsidRPr="006247AF" w:rsidRDefault="00061F10" w:rsidP="004D772E">
      <w:pPr>
        <w:pStyle w:val="Sinespaciado"/>
        <w:rPr>
          <w:lang w:eastAsia="es-MX"/>
        </w:rPr>
      </w:pPr>
    </w:p>
    <w:p w:rsidR="00061F10" w:rsidRPr="006247AF" w:rsidRDefault="00061F10" w:rsidP="004D772E">
      <w:pPr>
        <w:shd w:val="clear" w:color="auto" w:fill="FFFFFF"/>
        <w:tabs>
          <w:tab w:val="left" w:pos="8647"/>
        </w:tabs>
        <w:ind w:left="851" w:right="900"/>
        <w:jc w:val="both"/>
        <w:rPr>
          <w:rFonts w:ascii="Palatino Linotype" w:hAnsi="Palatino Linotype" w:cs="Arial"/>
          <w:i/>
          <w:iCs/>
          <w:color w:val="222222"/>
        </w:rPr>
      </w:pPr>
      <w:r w:rsidRPr="006247AF">
        <w:rPr>
          <w:rFonts w:ascii="Palatino Linotype" w:hAnsi="Palatino Linotype" w:cs="Arial"/>
          <w:b/>
          <w:bCs/>
          <w:i/>
          <w:iCs/>
          <w:color w:val="222222"/>
        </w:rPr>
        <w:t>“Las dependencias y entidades no están obligadas a generar documentos ad hoc para responder una solicitud de acceso a la información. </w:t>
      </w:r>
      <w:r w:rsidRPr="006247AF">
        <w:rPr>
          <w:rFonts w:ascii="Palatino Linotype" w:hAnsi="Palatino Linotype" w:cs="Arial"/>
          <w:i/>
          <w:iCs/>
          <w:color w:val="2222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rsidR="00061F10" w:rsidRPr="006247AF" w:rsidRDefault="00061F10" w:rsidP="004D772E">
      <w:pPr>
        <w:spacing w:line="360" w:lineRule="auto"/>
        <w:contextualSpacing/>
        <w:jc w:val="both"/>
        <w:rPr>
          <w:rFonts w:ascii="Palatino Linotype" w:hAnsi="Palatino Linotype" w:cs="Arial"/>
          <w:bCs/>
        </w:rPr>
      </w:pPr>
    </w:p>
    <w:p w:rsidR="00061F10" w:rsidRPr="006247AF" w:rsidRDefault="00061F10" w:rsidP="004D772E">
      <w:pPr>
        <w:spacing w:line="360" w:lineRule="auto"/>
        <w:jc w:val="both"/>
        <w:rPr>
          <w:rFonts w:ascii="Palatino Linotype" w:hAnsi="Palatino Linotype" w:cs="Arial"/>
        </w:rPr>
      </w:pPr>
      <w:r w:rsidRPr="006247AF">
        <w:rPr>
          <w:rFonts w:ascii="Palatino Linotype" w:hAnsi="Palatino Linotype" w:cs="Arial"/>
        </w:rPr>
        <w:t xml:space="preserve">Expuesto lo anterior, se procede al análisis de la totalidad de las constancias que integran el expediente electrónico del </w:t>
      </w:r>
      <w:r w:rsidRPr="006247AF">
        <w:rPr>
          <w:rFonts w:ascii="Palatino Linotype" w:hAnsi="Palatino Linotype" w:cs="Arial"/>
          <w:b/>
        </w:rPr>
        <w:t>SAIMEX</w:t>
      </w:r>
      <w:r w:rsidRPr="006247AF">
        <w:rPr>
          <w:rFonts w:ascii="Palatino Linotype" w:hAnsi="Palatino Linotype" w:cs="Arial"/>
        </w:rPr>
        <w:t xml:space="preserve">, a efecto de determinar si con la información remitida por </w:t>
      </w:r>
      <w:r w:rsidRPr="006247AF">
        <w:rPr>
          <w:rFonts w:ascii="Palatino Linotype" w:hAnsi="Palatino Linotype" w:cs="Arial"/>
          <w:b/>
        </w:rPr>
        <w:t>el Sujeto Obligado</w:t>
      </w:r>
      <w:r w:rsidRPr="006247AF">
        <w:rPr>
          <w:rFonts w:ascii="Palatino Linotype" w:hAnsi="Palatino Linotype" w:cs="Arial"/>
        </w:rPr>
        <w:t xml:space="preserve"> a través de su respuesta se colma lo requerido en dicha solicitud.</w:t>
      </w:r>
    </w:p>
    <w:p w:rsidR="00061F10" w:rsidRPr="006247AF" w:rsidRDefault="00061F10" w:rsidP="004D772E">
      <w:pPr>
        <w:spacing w:line="360" w:lineRule="auto"/>
        <w:rPr>
          <w:rFonts w:ascii="Palatino Linotype" w:hAnsi="Palatino Linotype"/>
          <w:color w:val="000000"/>
        </w:rPr>
      </w:pPr>
    </w:p>
    <w:p w:rsidR="00061F10" w:rsidRPr="006247AF" w:rsidRDefault="00061F10" w:rsidP="004D772E">
      <w:pPr>
        <w:spacing w:line="360" w:lineRule="auto"/>
        <w:jc w:val="both"/>
        <w:rPr>
          <w:rFonts w:ascii="Palatino Linotype" w:hAnsi="Palatino Linotype" w:cs="Arial"/>
        </w:rPr>
      </w:pPr>
      <w:r w:rsidRPr="006247AF">
        <w:rPr>
          <w:rFonts w:ascii="Palatino Linotype" w:hAnsi="Palatino Linotype" w:cs="Arial"/>
        </w:rPr>
        <w:t xml:space="preserve">Primeramente cabe recordar que al particular le interesa conocer </w:t>
      </w:r>
      <w:r w:rsidR="001C4D29" w:rsidRPr="006247AF">
        <w:rPr>
          <w:rFonts w:ascii="Palatino Linotype" w:hAnsi="Palatino Linotype" w:cs="Arial"/>
          <w:b/>
          <w:i/>
        </w:rPr>
        <w:t>todos los oficios firmados por la o el titular del Instituto de Transporte en el año 2022</w:t>
      </w:r>
      <w:r w:rsidRPr="006247AF">
        <w:rPr>
          <w:rFonts w:ascii="Palatino Linotype" w:hAnsi="Palatino Linotype" w:cs="Arial"/>
        </w:rPr>
        <w:t xml:space="preserve">, y de la respuesta </w:t>
      </w:r>
      <w:r w:rsidRPr="006247AF">
        <w:rPr>
          <w:rFonts w:ascii="Palatino Linotype" w:hAnsi="Palatino Linotype" w:cs="Arial"/>
        </w:rPr>
        <w:lastRenderedPageBreak/>
        <w:t xml:space="preserve">remitida por el </w:t>
      </w:r>
      <w:r w:rsidRPr="006247AF">
        <w:rPr>
          <w:rFonts w:ascii="Palatino Linotype" w:hAnsi="Palatino Linotype" w:cs="Arial"/>
          <w:b/>
        </w:rPr>
        <w:t xml:space="preserve">Titular de la Unidad de Transparencia,  </w:t>
      </w:r>
      <w:r w:rsidRPr="006247AF">
        <w:rPr>
          <w:rFonts w:ascii="Palatino Linotype" w:hAnsi="Palatino Linotype" w:cs="Arial"/>
        </w:rPr>
        <w:t xml:space="preserve"> se advierte que </w:t>
      </w:r>
      <w:r w:rsidR="001C4D29" w:rsidRPr="006247AF">
        <w:rPr>
          <w:rFonts w:ascii="Palatino Linotype" w:hAnsi="Palatino Linotype" w:cs="Arial"/>
        </w:rPr>
        <w:t xml:space="preserve">se pretende un cambio de modalidad para la entrega de la misma, toda vez que de acuerdo a lo manifestado por el Servidor Público Habilitado, la </w:t>
      </w:r>
      <w:r w:rsidR="001C4D29" w:rsidRPr="006247AF">
        <w:rPr>
          <w:rFonts w:ascii="Palatino Linotype" w:hAnsi="Palatino Linotype" w:cs="Arial"/>
          <w:b/>
        </w:rPr>
        <w:t>información solicitada comprende 534 archivos</w:t>
      </w:r>
      <w:r w:rsidR="001C4D29" w:rsidRPr="006247AF">
        <w:rPr>
          <w:rFonts w:ascii="Palatino Linotype" w:hAnsi="Palatino Linotype" w:cs="Arial"/>
        </w:rPr>
        <w:t xml:space="preserve">, la cual se puso a </w:t>
      </w:r>
      <w:r w:rsidR="001C4D29" w:rsidRPr="006247AF">
        <w:rPr>
          <w:rFonts w:ascii="Palatino Linotype" w:hAnsi="Palatino Linotype" w:cs="Arial"/>
          <w:b/>
        </w:rPr>
        <w:t>disposición de los solicitantes en las oficinas del Instituto del Transporte del Estado de México</w:t>
      </w:r>
      <w:r w:rsidRPr="006247AF">
        <w:rPr>
          <w:rFonts w:ascii="Palatino Linotype" w:hAnsi="Palatino Linotype" w:cs="Arial"/>
        </w:rPr>
        <w:t>.</w:t>
      </w:r>
    </w:p>
    <w:p w:rsidR="00061F10" w:rsidRPr="006247AF" w:rsidRDefault="00061F10" w:rsidP="004D772E">
      <w:pPr>
        <w:autoSpaceDE w:val="0"/>
        <w:autoSpaceDN w:val="0"/>
        <w:adjustRightInd w:val="0"/>
        <w:spacing w:line="360" w:lineRule="auto"/>
        <w:jc w:val="both"/>
        <w:rPr>
          <w:rFonts w:ascii="Palatino Linotype" w:hAnsi="Palatino Linotype" w:cs="Arial"/>
        </w:rPr>
      </w:pPr>
    </w:p>
    <w:p w:rsidR="00061F10" w:rsidRPr="006247AF" w:rsidRDefault="001C4D29" w:rsidP="004D772E">
      <w:pPr>
        <w:spacing w:line="360" w:lineRule="auto"/>
        <w:jc w:val="both"/>
        <w:rPr>
          <w:rFonts w:ascii="Palatino Linotype" w:hAnsi="Palatino Linotype" w:cs="Palatino Linotype"/>
          <w:color w:val="000000"/>
          <w:lang w:val="es-ES_tradnl"/>
        </w:rPr>
      </w:pPr>
      <w:r w:rsidRPr="006247AF">
        <w:rPr>
          <w:rFonts w:ascii="Palatino Linotype" w:eastAsia="Calibri" w:hAnsi="Palatino Linotype"/>
          <w:lang w:val="es-ES"/>
        </w:rPr>
        <w:t xml:space="preserve">Posteriormente la Subdirectora de Normatividad y Capacitación del Instituto del Transporte del Estado de México, manifestó que debido a que la información requerida comprende 534 archivos aproximadamente, se pone a disposición de los solicitantes mediante dispositivo magnético “CD”, lo anterior fundado y motivado en la Ley de Transparencia y Acceso a la Información Pública del Estado de México y Municipios; no obstante, de los documentos remitidos en informe justificado, se advierte, primeramente que fue remitido de manera parcial, ya que como quedo especificado en párrafos anteriores, del archivo electrónico denominado “drive-download-20240511T023328Z-001.zip”, se advierten únicamente los señalados con el número </w:t>
      </w:r>
      <w:r w:rsidRPr="006247AF">
        <w:rPr>
          <w:rFonts w:ascii="Palatino Linotype" w:hAnsi="Palatino Linotype" w:cs="Palatino Linotype"/>
          <w:color w:val="000000"/>
          <w:lang w:val="es-ES_tradnl"/>
        </w:rPr>
        <w:t>382.2022 al 534.2022, correspondientes a los meses de septiembre, octubre, noviembre y diciembre del año dos mil veintidós</w:t>
      </w:r>
      <w:r w:rsidR="00F92148" w:rsidRPr="006247AF">
        <w:rPr>
          <w:rFonts w:ascii="Palatino Linotype" w:hAnsi="Palatino Linotype" w:cs="Palatino Linotype"/>
          <w:color w:val="000000"/>
          <w:lang w:val="es-ES_tradnl"/>
        </w:rPr>
        <w:t xml:space="preserve">, </w:t>
      </w:r>
      <w:r w:rsidR="00F92148" w:rsidRPr="006247AF">
        <w:rPr>
          <w:rFonts w:ascii="Palatino Linotype" w:hAnsi="Palatino Linotype" w:cs="Arial"/>
          <w:bCs/>
          <w:color w:val="000000" w:themeColor="text1"/>
          <w:lang w:val="es-ES" w:eastAsia="es-ES"/>
        </w:rPr>
        <w:t>pues se encuentran inconsistencias en los números consecutivos de los archivos remitidos y referidos por el Servidor Público Habilitado del Instituto de Transporte, es decir, no se encuentran cronológicamente</w:t>
      </w:r>
      <w:r w:rsidRPr="006247AF">
        <w:rPr>
          <w:rFonts w:ascii="Palatino Linotype" w:hAnsi="Palatino Linotype" w:cs="Palatino Linotype"/>
          <w:color w:val="000000"/>
          <w:lang w:val="es-ES_tradnl"/>
        </w:rPr>
        <w:t>. Además de no haber realizado una correcta versión pública de los datos contenidos en los citados oficios.</w:t>
      </w:r>
    </w:p>
    <w:p w:rsidR="001C4D29" w:rsidRPr="006247AF" w:rsidRDefault="001C4D29" w:rsidP="004D772E">
      <w:pPr>
        <w:spacing w:line="360" w:lineRule="auto"/>
        <w:jc w:val="both"/>
        <w:rPr>
          <w:rFonts w:ascii="Palatino Linotype" w:hAnsi="Palatino Linotype" w:cs="Palatino Linotype"/>
          <w:color w:val="000000"/>
          <w:lang w:val="es-ES_tradnl"/>
        </w:rPr>
      </w:pPr>
    </w:p>
    <w:p w:rsidR="00F92148" w:rsidRPr="006247AF" w:rsidRDefault="00F92148" w:rsidP="004D772E">
      <w:pPr>
        <w:spacing w:line="360" w:lineRule="auto"/>
        <w:contextualSpacing/>
        <w:jc w:val="both"/>
        <w:rPr>
          <w:rFonts w:ascii="Palatino Linotype" w:eastAsia="Calibri" w:hAnsi="Palatino Linotype"/>
        </w:rPr>
      </w:pPr>
      <w:r w:rsidRPr="006247AF">
        <w:rPr>
          <w:rFonts w:ascii="Palatino Linotype" w:eastAsia="Calibri" w:hAnsi="Palatino Linotype"/>
        </w:rPr>
        <w:t xml:space="preserve">Por lo que, en primera instancia de se observa que los documentos remitidos, </w:t>
      </w:r>
      <w:r w:rsidRPr="006247AF">
        <w:rPr>
          <w:rFonts w:ascii="Palatino Linotype" w:hAnsi="Palatino Linotype" w:cs="Arial"/>
          <w:lang w:val="es-ES" w:eastAsia="es-ES"/>
        </w:rPr>
        <w:t xml:space="preserve">no se realizó una correcta versión pública de los mismos, ni tampoco fueron remitidos los señalados </w:t>
      </w:r>
      <w:r w:rsidRPr="006247AF">
        <w:rPr>
          <w:rFonts w:ascii="Palatino Linotype" w:hAnsi="Palatino Linotype" w:cs="Arial"/>
          <w:lang w:val="es-ES" w:eastAsia="es-ES"/>
        </w:rPr>
        <w:lastRenderedPageBreak/>
        <w:t xml:space="preserve">tanto en respuesta como en informe justificado, lo cual deja en total incertidumbre al particular, violentando con su respuesta el Derecho de Acceso a la Información. </w:t>
      </w:r>
    </w:p>
    <w:p w:rsidR="00F92148" w:rsidRPr="006247AF" w:rsidRDefault="00F92148" w:rsidP="004D772E">
      <w:pPr>
        <w:spacing w:line="360" w:lineRule="auto"/>
        <w:contextualSpacing/>
        <w:jc w:val="both"/>
        <w:rPr>
          <w:rFonts w:ascii="Palatino Linotype" w:hAnsi="Palatino Linotype" w:cs="Arial"/>
          <w:bCs/>
          <w:color w:val="000000" w:themeColor="text1"/>
          <w:lang w:val="es-ES" w:eastAsia="es-ES"/>
        </w:rPr>
      </w:pPr>
    </w:p>
    <w:p w:rsidR="00F92148" w:rsidRPr="006247AF" w:rsidRDefault="00F92148" w:rsidP="004D772E">
      <w:pPr>
        <w:spacing w:line="360" w:lineRule="auto"/>
        <w:contextualSpacing/>
        <w:jc w:val="both"/>
        <w:rPr>
          <w:rFonts w:ascii="Palatino Linotype" w:hAnsi="Palatino Linotype" w:cs="Arial"/>
          <w:bCs/>
          <w:color w:val="000000" w:themeColor="text1"/>
          <w:lang w:val="es-ES" w:eastAsia="es-ES"/>
        </w:rPr>
      </w:pPr>
      <w:r w:rsidRPr="006247AF">
        <w:rPr>
          <w:rFonts w:ascii="Palatino Linotype" w:hAnsi="Palatino Linotype" w:cs="Arial"/>
          <w:bCs/>
          <w:color w:val="000000" w:themeColor="text1"/>
          <w:lang w:val="es-ES" w:eastAsia="es-ES"/>
        </w:rPr>
        <w:t>En conclusión, el Sujeto Obligado al momento en que dé respuesta a cualquier solicitud de acceso a la información deberá revisar y verificar que la documentación que remitió en su respuesta y que resultó parcial, sea entregada de manera adecuada, para que este Instituto tenga por satisfecho el derecho de acceso a la información ejercido por el Recurrente.</w:t>
      </w:r>
    </w:p>
    <w:p w:rsidR="00F92148" w:rsidRPr="006247AF" w:rsidRDefault="00F92148" w:rsidP="004D772E">
      <w:pPr>
        <w:spacing w:line="360" w:lineRule="auto"/>
        <w:jc w:val="both"/>
        <w:rPr>
          <w:rFonts w:ascii="Palatino Linotype" w:hAnsi="Palatino Linotype" w:cs="Palatino Linotype"/>
          <w:color w:val="000000"/>
          <w:lang w:val="es-ES_tradnl"/>
        </w:rPr>
      </w:pPr>
    </w:p>
    <w:p w:rsidR="005E575B" w:rsidRPr="006247AF" w:rsidRDefault="005E575B" w:rsidP="004D772E">
      <w:pPr>
        <w:spacing w:line="360" w:lineRule="auto"/>
        <w:jc w:val="both"/>
        <w:rPr>
          <w:rFonts w:ascii="Palatino Linotype" w:hAnsi="Palatino Linotype"/>
        </w:rPr>
      </w:pPr>
      <w:r w:rsidRPr="006247AF">
        <w:rPr>
          <w:rFonts w:ascii="Palatino Linotype" w:hAnsi="Palatino Linotype"/>
        </w:rPr>
        <w:t>Atento a lo anterior, no se omite mencionar que conforme al numeral 134 de la Ley de Transparencia Local, los acuerdos de clasificación:</w:t>
      </w:r>
    </w:p>
    <w:p w:rsidR="005E575B" w:rsidRPr="006247AF" w:rsidRDefault="005E575B" w:rsidP="004D772E">
      <w:pPr>
        <w:spacing w:line="360" w:lineRule="auto"/>
        <w:jc w:val="both"/>
        <w:rPr>
          <w:rFonts w:ascii="Palatino Linotype" w:hAnsi="Palatino Linotype"/>
        </w:rPr>
      </w:pPr>
    </w:p>
    <w:p w:rsidR="005E575B" w:rsidRPr="006247AF" w:rsidRDefault="005E575B" w:rsidP="004D772E">
      <w:pPr>
        <w:pStyle w:val="Prrafodelista"/>
        <w:numPr>
          <w:ilvl w:val="0"/>
          <w:numId w:val="5"/>
        </w:numPr>
        <w:ind w:left="567" w:hanging="283"/>
      </w:pPr>
      <w:r w:rsidRPr="006247AF">
        <w:t xml:space="preserve">No podrán clasificar documentos antes de que se genere la información. </w:t>
      </w:r>
    </w:p>
    <w:p w:rsidR="005E575B" w:rsidRPr="006247AF" w:rsidRDefault="005E575B" w:rsidP="004D772E">
      <w:pPr>
        <w:pStyle w:val="Prrafodelista"/>
        <w:numPr>
          <w:ilvl w:val="0"/>
          <w:numId w:val="5"/>
        </w:numPr>
        <w:ind w:left="567" w:hanging="283"/>
      </w:pPr>
      <w:r w:rsidRPr="006247AF">
        <w:t xml:space="preserve">No podrán clasificar de manera general o particular. </w:t>
      </w:r>
    </w:p>
    <w:p w:rsidR="005E575B" w:rsidRPr="006247AF" w:rsidRDefault="005E575B" w:rsidP="004D772E">
      <w:pPr>
        <w:pStyle w:val="Prrafodelista"/>
        <w:numPr>
          <w:ilvl w:val="0"/>
          <w:numId w:val="5"/>
        </w:numPr>
        <w:ind w:left="567" w:hanging="283"/>
        <w:rPr>
          <w:b/>
          <w:bCs/>
          <w:u w:val="single"/>
        </w:rPr>
      </w:pPr>
      <w:r w:rsidRPr="006247AF">
        <w:rPr>
          <w:b/>
          <w:bCs/>
          <w:u w:val="single"/>
        </w:rPr>
        <w:t xml:space="preserve">Deberán de realizar un análisis por caso por caso, distinguiendo la naturaleza de los documentos y diferenciando entre aquellos que son susceptibles de recurrirse o modificarse (no definitivos), aquellos que no se recurren en tiempo (consentidos), así como aquellos respecto de los cuales ya se adoptó una decisión de fondo (firmes). </w:t>
      </w:r>
    </w:p>
    <w:p w:rsidR="005E575B" w:rsidRPr="006247AF" w:rsidRDefault="005E575B" w:rsidP="004D772E">
      <w:pPr>
        <w:spacing w:line="360" w:lineRule="auto"/>
        <w:jc w:val="both"/>
        <w:rPr>
          <w:rFonts w:ascii="Palatino Linotype" w:hAnsi="Palatino Linotype" w:cs="Palatino Linotype"/>
          <w:color w:val="000000"/>
          <w:lang w:val="es-ES_tradnl"/>
        </w:rPr>
      </w:pPr>
    </w:p>
    <w:p w:rsidR="001C4D29" w:rsidRPr="006247AF" w:rsidRDefault="005E575B" w:rsidP="004D772E">
      <w:pPr>
        <w:spacing w:line="360" w:lineRule="auto"/>
        <w:jc w:val="both"/>
        <w:rPr>
          <w:rFonts w:ascii="Palatino Linotype" w:eastAsia="Calibri" w:hAnsi="Palatino Linotype"/>
          <w:lang w:val="es-ES"/>
        </w:rPr>
      </w:pPr>
      <w:r w:rsidRPr="006247AF">
        <w:rPr>
          <w:rFonts w:ascii="Palatino Linotype" w:hAnsi="Palatino Linotype" w:cs="Palatino Linotype"/>
          <w:color w:val="000000"/>
          <w:lang w:val="es-ES_tradnl"/>
        </w:rPr>
        <w:t xml:space="preserve">Correlativo a lo anterior, es preciso señalar con relación a la respuesta emitida por </w:t>
      </w:r>
      <w:r w:rsidR="001C4D29" w:rsidRPr="006247AF">
        <w:rPr>
          <w:rFonts w:ascii="Palatino Linotype" w:hAnsi="Palatino Linotype" w:cs="Palatino Linotype"/>
          <w:color w:val="000000"/>
          <w:lang w:val="es-ES_tradnl"/>
        </w:rPr>
        <w:t>el Sujeto Obligado</w:t>
      </w:r>
      <w:r w:rsidRPr="006247AF">
        <w:rPr>
          <w:rFonts w:ascii="Palatino Linotype" w:hAnsi="Palatino Linotype" w:cs="Palatino Linotype"/>
          <w:color w:val="000000"/>
          <w:lang w:val="es-ES_tradnl"/>
        </w:rPr>
        <w:t>,</w:t>
      </w:r>
      <w:r w:rsidR="001C4D29" w:rsidRPr="006247AF">
        <w:rPr>
          <w:rFonts w:ascii="Palatino Linotype" w:hAnsi="Palatino Linotype" w:cs="Palatino Linotype"/>
          <w:color w:val="000000"/>
          <w:lang w:val="es-ES_tradnl"/>
        </w:rPr>
        <w:t xml:space="preserve"> tanto en respuesta como en informe justificado pretende un cambio de modalidad de la información peticionada, sin haber cumplido con cada uno de los parámetros exigidos por la Ley.</w:t>
      </w:r>
    </w:p>
    <w:p w:rsidR="004D37E4" w:rsidRPr="006247AF" w:rsidRDefault="004D37E4" w:rsidP="004D772E">
      <w:pPr>
        <w:spacing w:line="360" w:lineRule="auto"/>
        <w:contextualSpacing/>
        <w:jc w:val="both"/>
        <w:rPr>
          <w:rFonts w:ascii="Palatino Linotype" w:hAnsi="Palatino Linotype"/>
        </w:rPr>
      </w:pPr>
      <w:r w:rsidRPr="006247AF">
        <w:rPr>
          <w:rFonts w:ascii="Palatino Linotype" w:hAnsi="Palatino Linotype"/>
        </w:rPr>
        <w:lastRenderedPageBreak/>
        <w:t>En este sentido, de las constancias que obran en el presente recurso de revisión, se advierte que el particular al momento de formular su solicitud de información, en el formato previamente establecido para tal efecto, señaló como modalidad de entrega en la solicitud de información a través del Sistema de Acceso a la Información Mexiquense (SAIMEX), tal como se advierte en la siguiente imagen:</w:t>
      </w:r>
    </w:p>
    <w:p w:rsidR="004D37E4" w:rsidRPr="006247AF" w:rsidRDefault="004D37E4" w:rsidP="004D772E">
      <w:pPr>
        <w:spacing w:line="360" w:lineRule="auto"/>
        <w:jc w:val="both"/>
        <w:rPr>
          <w:rFonts w:ascii="Palatino Linotype" w:eastAsia="Calibri" w:hAnsi="Palatino Linotype"/>
          <w:lang w:val="es-ES"/>
        </w:rPr>
      </w:pPr>
    </w:p>
    <w:p w:rsidR="004D37E4" w:rsidRPr="006247AF" w:rsidRDefault="004D37E4" w:rsidP="004D772E">
      <w:pPr>
        <w:spacing w:line="360" w:lineRule="auto"/>
        <w:jc w:val="center"/>
        <w:rPr>
          <w:rFonts w:ascii="Palatino Linotype" w:eastAsia="Calibri" w:hAnsi="Palatino Linotype"/>
          <w:lang w:val="es-ES"/>
        </w:rPr>
      </w:pPr>
      <w:r w:rsidRPr="006247AF">
        <w:rPr>
          <w:rFonts w:ascii="Palatino Linotype" w:hAnsi="Palatino Linotype" w:cs="Arial"/>
          <w:noProof/>
        </w:rPr>
        <mc:AlternateContent>
          <mc:Choice Requires="wps">
            <w:drawing>
              <wp:anchor distT="0" distB="0" distL="114300" distR="114300" simplePos="0" relativeHeight="251670528" behindDoc="0" locked="0" layoutInCell="1" allowOverlap="1" wp14:anchorId="69C8B00D" wp14:editId="5316CAA6">
                <wp:simplePos x="0" y="0"/>
                <wp:positionH relativeFrom="column">
                  <wp:posOffset>25880</wp:posOffset>
                </wp:positionH>
                <wp:positionV relativeFrom="paragraph">
                  <wp:posOffset>1254293</wp:posOffset>
                </wp:positionV>
                <wp:extent cx="1657350" cy="742950"/>
                <wp:effectExtent l="19050" t="19050" r="19050" b="19050"/>
                <wp:wrapNone/>
                <wp:docPr id="6" name="Elipse 6"/>
                <wp:cNvGraphicFramePr/>
                <a:graphic xmlns:a="http://schemas.openxmlformats.org/drawingml/2006/main">
                  <a:graphicData uri="http://schemas.microsoft.com/office/word/2010/wordprocessingShape">
                    <wps:wsp>
                      <wps:cNvSpPr/>
                      <wps:spPr>
                        <a:xfrm>
                          <a:off x="0" y="0"/>
                          <a:ext cx="1657350" cy="7429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2FC20" id="Elipse 6" o:spid="_x0000_s1026" style="position:absolute;margin-left:2.05pt;margin-top:98.75pt;width:130.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BnzmwIAAI8FAAAOAAAAZHJzL2Uyb0RvYy54bWysVE1v2zAMvQ/YfxB0X51k+WiNOkXQLsOA&#10;og3WDj0rshQbkEVNUuJkv36UZLtBV+wwLAeFMslH8onk9c2xUeQgrKtBF3R8MaJEaA5lrXcF/fG8&#10;/nRJifNMl0yBFgU9CUdvlh8/XLcmFxOoQJXCEgTRLm9NQSvvTZ5ljleiYe4CjNColGAb5vFqd1lp&#10;WYvojcomo9E8a8GWxgIXzuHXu6Sky4gvpeD+UUonPFEFxdx8PG08t+HMltcs31lmqpp3abB/yKJh&#10;tcagA9Qd84zsbf0HVFNzCw6kv+DQZCBlzUWsAasZj95U81QxI2ItSI4zA03u/8Hyh8PGkros6JwS&#10;zRp8oi+qNk6QeeCmNS5Hkyezsd3NoRgKPUrbhH8sgRwjn6eBT3H0hOPH8Xy2+DxD2jnqFtPJFcoI&#10;k716G+v8VwENCUJBhYqxI5PscO98su6tQjwN61op/M5ypUlb0MnlbDGLHg5UXQZtUDq7294qSw4M&#10;X369HuGvi31mhpkojQmFMlNhUfInJVKA70IiOVjKJEUIbSkGWMa50H6cVBUrRYo2Ow/We8SylUbA&#10;gCwxywG7A+gtE0iPnRjo7IOriF09OI/+llhyHjxiZNB+cG5qDfY9AIVVdZGTfU9SoiawtIXyhK1j&#10;Ic2UM3xd4yPeM+c3zOIQ4bvjYvCPeEgF+FLQSZRUYH+99z3YY2+jlpIWh7Kg7ueeWUGJ+qax66/G&#10;02mY4niZzhYTvNhzzfZco/fNLeDrj3EFGR7FYO9VL0oLzQvuj1WIiiqmOcYuKPe2v9z6tCxwA3Gx&#10;WkUznFzD/L1+MjyAB1ZDhz4fX5g1XSd7nIEH6AeY5W+6OdkGTw2rvQdZx1Z/5bXjG6c+Nk63ocJa&#10;Ob9Hq9c9uvwNAAD//wMAUEsDBBQABgAIAAAAIQAcgnJV3wAAAAkBAAAPAAAAZHJzL2Rvd25yZXYu&#10;eG1sTI/BTsMwEETvSPyDtUjcqJPStDSNUyGkXpCQQlrubrxNIuJ1iJ028PUsp3LcmdHsm2w72U6c&#10;cfCtIwXxLAKBVDnTUq3gsN89PIHwQZPRnSNU8I0etvntTaZT4y70jucy1IJLyKdaQRNCn0rpqwat&#10;9jPXI7F3coPVgc+hlmbQFy63nZxH0VJa3RJ/aHSPLw1Wn+VoFZT718jsDm9fJ7+iov/4Kca2KZS6&#10;v5ueNyACTuEahj98RoecmY5uJONFp2ARc5Dl9SoBwf58mbByVPAYLxKQeSb/L8h/AQAA//8DAFBL&#10;AQItABQABgAIAAAAIQC2gziS/gAAAOEBAAATAAAAAAAAAAAAAAAAAAAAAABbQ29udGVudF9UeXBl&#10;c10ueG1sUEsBAi0AFAAGAAgAAAAhADj9If/WAAAAlAEAAAsAAAAAAAAAAAAAAAAALwEAAF9yZWxz&#10;Ly5yZWxzUEsBAi0AFAAGAAgAAAAhAPD0GfObAgAAjwUAAA4AAAAAAAAAAAAAAAAALgIAAGRycy9l&#10;Mm9Eb2MueG1sUEsBAi0AFAAGAAgAAAAhAByCclXfAAAACQEAAA8AAAAAAAAAAAAAAAAA9QQAAGRy&#10;cy9kb3ducmV2LnhtbFBLBQYAAAAABAAEAPMAAAABBgAAAAA=&#10;" filled="f" strokecolor="red" strokeweight="2.25pt">
                <v:stroke joinstyle="miter"/>
              </v:oval>
            </w:pict>
          </mc:Fallback>
        </mc:AlternateContent>
      </w:r>
      <w:r w:rsidRPr="006247AF">
        <w:rPr>
          <w:rFonts w:ascii="Palatino Linotype" w:hAnsi="Palatino Linotype"/>
          <w:noProof/>
        </w:rPr>
        <mc:AlternateContent>
          <mc:Choice Requires="wps">
            <w:drawing>
              <wp:anchor distT="0" distB="0" distL="114300" distR="114300" simplePos="0" relativeHeight="251672576" behindDoc="0" locked="0" layoutInCell="1" allowOverlap="1" wp14:anchorId="60DB68BA" wp14:editId="5C4D8F58">
                <wp:simplePos x="0" y="0"/>
                <wp:positionH relativeFrom="column">
                  <wp:posOffset>129684</wp:posOffset>
                </wp:positionH>
                <wp:positionV relativeFrom="paragraph">
                  <wp:posOffset>95801</wp:posOffset>
                </wp:positionV>
                <wp:extent cx="4314825" cy="428625"/>
                <wp:effectExtent l="19050" t="19050" r="28575" b="28575"/>
                <wp:wrapNone/>
                <wp:docPr id="5" name="Rectángulo 5"/>
                <wp:cNvGraphicFramePr/>
                <a:graphic xmlns:a="http://schemas.openxmlformats.org/drawingml/2006/main">
                  <a:graphicData uri="http://schemas.microsoft.com/office/word/2010/wordprocessingShape">
                    <wps:wsp>
                      <wps:cNvSpPr/>
                      <wps:spPr>
                        <a:xfrm>
                          <a:off x="0" y="0"/>
                          <a:ext cx="4314825" cy="4286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4E8CF" id="Rectángulo 5" o:spid="_x0000_s1026" style="position:absolute;margin-left:10.2pt;margin-top:7.55pt;width:339.7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QnogIAAJEFAAAOAAAAZHJzL2Uyb0RvYy54bWysVMFu2zAMvQ/YPwi6r068pM2MOkXQIsOA&#10;oivaDj0rshQbkEVNUuJkf7Nv2Y+Nkmw36IodhuWgUCb5SD6RvLw6tIrshXUN6JJOzyaUCM2havS2&#10;pN+e1h8WlDjPdMUUaFHSo3D0avn+3WVnCpFDDaoSliCIdkVnSlp7b4osc7wWLXNnYIRGpQTbMo9X&#10;u80qyzpEb1WWTybnWQe2Mha4cA6/3iQlXUZ8KQX3X6V0whNVUszNx9PGcxPObHnJiq1lpm54nwb7&#10;hyxa1mgMOkLdMM/IzjZ/QLUNt+BA+jMObQZSNlzEGrCa6eRVNY81MyLWguQ4M9Lk/h8sv9vfW9JU&#10;JZ1TolmLT/SApP36qbc7BWQeCOqMK9Du0dzb/uZQDNUepG3DP9ZBDpHU40iqOHjC8ePs43S2yBGd&#10;o26WL85RRpjsxdtY5z8LaEkQSmoxfuSS7W+dT6aDSQimYd0ohd9ZoTTpSpov5hfz6OFANVXQBqWz&#10;2821smTP8O3X6wn++sAnZpiG0phNqDFVFSV/VCIFeBAS6cE68hQhNKYYYRnnQvtpUtWsEina/DTY&#10;4BFrVhoBA7LELEfsHmCwTCADdmKgtw+uIvb16Dz5W2LJefSIkUH70bltNNi3ABRW1UdO9gNJiZrA&#10;0gaqIzaPhTRVzvB1gy94y5y/ZxbHCAcOV4P/iodUgC8FvURJDfbHW9+DPXY3ainpcCxL6r7vmBWU&#10;qC8a+/7TdDYLcxwvs/lFjhd7qtmcavSuvQZ8/SkuIcOjGOy9GkRpoX3GDbIKUVHFNMfYJeXeDpdr&#10;n9YF7iAuVqtohrNrmL/Vj4YH8MBq6NCnwzOzpm9jjwNwB8MIs+JVNyfb4KlhtfMgm9jqL7z2fOPc&#10;x8bpd1RYLKf3aPWySZe/AQAA//8DAFBLAwQUAAYACAAAACEABzolUN4AAAAIAQAADwAAAGRycy9k&#10;b3ducmV2LnhtbEyPwU7DMBBE70j8g7VIXBB1GkHUpHEqRIW4VSKg9rqJt0mEvY5itw18PeYEx9kZ&#10;zbwtN7M14kyTHxwrWC4SEMSt0wN3Cj7eX+5XIHxA1mgck4Iv8rCprq9KLLS78Bud69CJWMK+QAV9&#10;CGMhpW97sugXbiSO3tFNFkOUUyf1hJdYbo1MkySTFgeOCz2O9NxT+1mfrIJmP5rv49Ye5n2dMe5e&#10;d8jbO6Vub+anNYhAc/gLwy9+RIcqMjXuxNoLoyBNHmIy3h+XIKKf5XkOolGwSjOQVSn/P1D9AAAA&#10;//8DAFBLAQItABQABgAIAAAAIQC2gziS/gAAAOEBAAATAAAAAAAAAAAAAAAAAAAAAABbQ29udGVu&#10;dF9UeXBlc10ueG1sUEsBAi0AFAAGAAgAAAAhADj9If/WAAAAlAEAAAsAAAAAAAAAAAAAAAAALwEA&#10;AF9yZWxzLy5yZWxzUEsBAi0AFAAGAAgAAAAhABvuJCeiAgAAkQUAAA4AAAAAAAAAAAAAAAAALgIA&#10;AGRycy9lMm9Eb2MueG1sUEsBAi0AFAAGAAgAAAAhAAc6JVDeAAAACAEAAA8AAAAAAAAAAAAAAAAA&#10;/AQAAGRycy9kb3ducmV2LnhtbFBLBQYAAAAABAAEAPMAAAAHBgAAAAA=&#10;" filled="f" strokecolor="red" strokeweight="2.25pt"/>
            </w:pict>
          </mc:Fallback>
        </mc:AlternateContent>
      </w:r>
      <w:r w:rsidRPr="006247AF">
        <w:rPr>
          <w:noProof/>
        </w:rPr>
        <w:drawing>
          <wp:inline distT="0" distB="0" distL="0" distR="0" wp14:anchorId="5626329E" wp14:editId="1270C266">
            <wp:extent cx="5746896" cy="1949569"/>
            <wp:effectExtent l="133350" t="95250" r="139700" b="8890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073" t="50085" r="22096" b="16863"/>
                    <a:stretch/>
                  </pic:blipFill>
                  <pic:spPr bwMode="auto">
                    <a:xfrm>
                      <a:off x="0" y="0"/>
                      <a:ext cx="5801684" cy="1968155"/>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4D37E4" w:rsidRPr="006247AF" w:rsidRDefault="004D37E4" w:rsidP="004D772E">
      <w:pPr>
        <w:spacing w:line="360" w:lineRule="auto"/>
        <w:jc w:val="both"/>
        <w:rPr>
          <w:rFonts w:ascii="Palatino Linotype" w:eastAsia="Calibri" w:hAnsi="Palatino Linotype"/>
          <w:lang w:val="es-ES"/>
        </w:rPr>
      </w:pPr>
    </w:p>
    <w:p w:rsidR="004D37E4" w:rsidRPr="006247AF" w:rsidRDefault="004D37E4" w:rsidP="004D772E">
      <w:pPr>
        <w:tabs>
          <w:tab w:val="left" w:pos="7938"/>
        </w:tabs>
        <w:spacing w:line="360" w:lineRule="auto"/>
        <w:jc w:val="both"/>
        <w:rPr>
          <w:rFonts w:ascii="Palatino Linotype" w:hAnsi="Palatino Linotype" w:cs="Arial"/>
        </w:rPr>
      </w:pPr>
      <w:r w:rsidRPr="006247AF">
        <w:rPr>
          <w:rFonts w:ascii="Palatino Linotype" w:hAnsi="Palatino Linotype" w:cs="Arial"/>
        </w:rPr>
        <w:t xml:space="preserve">Como podemos apreciar de la documental en análisis, el </w:t>
      </w:r>
      <w:r w:rsidRPr="006247AF">
        <w:rPr>
          <w:rFonts w:ascii="Palatino Linotype" w:hAnsi="Palatino Linotype" w:cs="Arial"/>
          <w:b/>
        </w:rPr>
        <w:t>Sujeto Obligado</w:t>
      </w:r>
      <w:r w:rsidRPr="006247AF">
        <w:rPr>
          <w:rFonts w:ascii="Palatino Linotype" w:hAnsi="Palatino Linotype" w:cs="Arial"/>
        </w:rPr>
        <w:t xml:space="preserve"> no niega contar con la información solicitada, por el contrario, acepta de forma expresa poseerla, </w:t>
      </w:r>
      <w:r w:rsidRPr="006247AF">
        <w:rPr>
          <w:rFonts w:ascii="Palatino Linotype" w:hAnsi="Palatino Linotype" w:cs="Arial"/>
          <w:lang w:val="es-419"/>
        </w:rPr>
        <w:t xml:space="preserve">al cambiar de modalidad y manifestar que se le entregará la información en consulta directa, </w:t>
      </w:r>
      <w:r w:rsidRPr="006247AF">
        <w:rPr>
          <w:rFonts w:ascii="Palatino Linotype" w:hAnsi="Palatino Linotype" w:cs="Arial"/>
        </w:rPr>
        <w:t xml:space="preserve">en consecuencia, se omite el estudio de la fuente obligacional que impone al sujeto obligado a generarla, </w:t>
      </w:r>
      <w:r w:rsidRPr="006247AF">
        <w:rPr>
          <w:rFonts w:ascii="Palatino Linotype" w:hAnsi="Palatino Linotype" w:cs="Arial"/>
          <w:lang w:val="es-419"/>
        </w:rPr>
        <w:t>administrarla o poseerla</w:t>
      </w:r>
      <w:r w:rsidRPr="006247AF">
        <w:rPr>
          <w:rFonts w:ascii="Palatino Linotype" w:hAnsi="Palatino Linotype" w:cs="Arial"/>
        </w:rPr>
        <w:t>.</w:t>
      </w:r>
    </w:p>
    <w:p w:rsidR="004D37E4" w:rsidRPr="006247AF" w:rsidRDefault="004D37E4" w:rsidP="004D772E">
      <w:pPr>
        <w:tabs>
          <w:tab w:val="left" w:pos="7938"/>
        </w:tabs>
        <w:spacing w:line="360" w:lineRule="auto"/>
        <w:jc w:val="both"/>
        <w:rPr>
          <w:rFonts w:ascii="Palatino Linotype" w:hAnsi="Palatino Linotype"/>
          <w:color w:val="000000"/>
          <w:lang w:val="es-419" w:eastAsia="es-419"/>
        </w:rPr>
      </w:pPr>
    </w:p>
    <w:p w:rsidR="004D37E4" w:rsidRPr="006247AF" w:rsidRDefault="004D37E4" w:rsidP="004D772E">
      <w:pPr>
        <w:tabs>
          <w:tab w:val="left" w:pos="7938"/>
        </w:tabs>
        <w:spacing w:line="360" w:lineRule="auto"/>
        <w:jc w:val="both"/>
        <w:rPr>
          <w:rFonts w:ascii="Palatino Linotype" w:hAnsi="Palatino Linotype" w:cs="Arial"/>
          <w:lang w:val="es-419"/>
        </w:rPr>
      </w:pPr>
      <w:r w:rsidRPr="006247AF">
        <w:rPr>
          <w:rFonts w:ascii="Palatino Linotype" w:hAnsi="Palatino Linotype" w:cs="Arial"/>
          <w:lang w:val="es-419"/>
        </w:rPr>
        <w:t xml:space="preserve">De lo anterior se colige que, el hecho de que el Sujeto Obligado haya manifestado a la parte Recurrente que la información solicitada podrá ser puesta a su disposición en consulta directa, comprueba fehacientemente que dicha autoridad acepta que la genera, posee y/o administra los documentos solicitados, en ejercicio de sus funciones de derecho </w:t>
      </w:r>
      <w:r w:rsidRPr="006247AF">
        <w:rPr>
          <w:rFonts w:ascii="Palatino Linotype" w:hAnsi="Palatino Linotype" w:cs="Arial"/>
          <w:lang w:val="es-419"/>
        </w:rPr>
        <w:lastRenderedPageBreak/>
        <w:t>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w:t>
      </w:r>
    </w:p>
    <w:p w:rsidR="004D37E4" w:rsidRPr="006247AF" w:rsidRDefault="004D37E4" w:rsidP="004D772E">
      <w:pPr>
        <w:tabs>
          <w:tab w:val="left" w:pos="7938"/>
        </w:tabs>
        <w:spacing w:line="360" w:lineRule="auto"/>
        <w:jc w:val="both"/>
        <w:rPr>
          <w:rFonts w:ascii="Palatino Linotype" w:hAnsi="Palatino Linotype" w:cs="Arial"/>
          <w:lang w:val="es-419"/>
        </w:rPr>
      </w:pPr>
    </w:p>
    <w:p w:rsidR="004D37E4" w:rsidRPr="006247AF" w:rsidRDefault="004D37E4" w:rsidP="004D772E">
      <w:pPr>
        <w:tabs>
          <w:tab w:val="left" w:pos="7938"/>
        </w:tabs>
        <w:spacing w:line="360" w:lineRule="auto"/>
        <w:jc w:val="both"/>
        <w:rPr>
          <w:rFonts w:ascii="Palatino Linotype" w:hAnsi="Palatino Linotype" w:cs="Arial"/>
        </w:rPr>
      </w:pPr>
      <w:r w:rsidRPr="006247AF">
        <w:rPr>
          <w:rFonts w:ascii="Palatino Linotype" w:hAnsi="Palatino Linotype" w:cs="Arial"/>
        </w:rPr>
        <w:t>A efecto de llevar a cabo un cambio de modalidad el sujeto obligado debía además de solicitar incidencia a la Dirección General de Informática de este Instituto, demostrar porque cada</w:t>
      </w:r>
      <w:r w:rsidRPr="006247AF">
        <w:rPr>
          <w:rFonts w:ascii="Palatino Linotype" w:hAnsi="Palatino Linotype" w:cs="Arial"/>
          <w:lang w:val="es-419"/>
        </w:rPr>
        <w:t xml:space="preserve"> oficio emitido</w:t>
      </w:r>
      <w:r w:rsidRPr="006247AF">
        <w:rPr>
          <w:rFonts w:ascii="Palatino Linotype" w:hAnsi="Palatino Linotype" w:cs="Arial"/>
        </w:rPr>
        <w:t xml:space="preserve"> escaneado en lo individual no podía cargarse al SAIMEX</w:t>
      </w:r>
      <w:r w:rsidRPr="006247AF">
        <w:rPr>
          <w:rFonts w:ascii="Palatino Linotype" w:hAnsi="Palatino Linotype" w:cs="Arial"/>
          <w:lang w:val="es-419"/>
        </w:rPr>
        <w:t>.</w:t>
      </w:r>
      <w:r w:rsidRPr="006247AF">
        <w:rPr>
          <w:rFonts w:ascii="Palatino Linotype" w:hAnsi="Palatino Linotype" w:cs="Arial"/>
        </w:rPr>
        <w:t xml:space="preserve"> </w:t>
      </w:r>
    </w:p>
    <w:p w:rsidR="004D37E4" w:rsidRPr="006247AF" w:rsidRDefault="004D37E4" w:rsidP="004D772E">
      <w:pPr>
        <w:spacing w:line="360" w:lineRule="auto"/>
        <w:jc w:val="both"/>
        <w:rPr>
          <w:rFonts w:ascii="Palatino Linotype" w:eastAsia="Calibri" w:hAnsi="Palatino Linotype"/>
          <w:lang w:val="es-ES"/>
        </w:rPr>
      </w:pPr>
    </w:p>
    <w:p w:rsidR="004D37E4" w:rsidRPr="006247AF" w:rsidRDefault="004D37E4" w:rsidP="004D772E">
      <w:pPr>
        <w:spacing w:line="360" w:lineRule="auto"/>
        <w:jc w:val="both"/>
        <w:rPr>
          <w:rFonts w:ascii="Palatino Linotype" w:hAnsi="Palatino Linotype" w:cs="Arial"/>
          <w:lang w:val="es-ES" w:eastAsia="es-ES"/>
        </w:rPr>
      </w:pPr>
      <w:r w:rsidRPr="006247AF">
        <w:rPr>
          <w:rFonts w:ascii="Palatino Linotype" w:hAnsi="Palatino Linotype" w:cs="Arial"/>
          <w:lang w:val="es-ES" w:eastAsia="es-ES"/>
        </w:rPr>
        <w:t xml:space="preserve">Asimismo, </w:t>
      </w:r>
      <w:r w:rsidRPr="006247AF">
        <w:rPr>
          <w:rFonts w:ascii="Palatino Linotype" w:hAnsi="Palatino Linotype"/>
          <w:lang w:val="es-ES_tradnl" w:eastAsia="es-ES"/>
        </w:rPr>
        <w:t xml:space="preserve">es de destacar que la información fue requerida a través del </w:t>
      </w:r>
      <w:r w:rsidRPr="006247AF">
        <w:rPr>
          <w:rFonts w:ascii="Palatino Linotype" w:hAnsi="Palatino Linotype"/>
          <w:b/>
          <w:lang w:val="es-ES_tradnl" w:eastAsia="es-ES"/>
        </w:rPr>
        <w:t>SAIMEX</w:t>
      </w:r>
      <w:r w:rsidRPr="006247AF">
        <w:rPr>
          <w:rFonts w:ascii="Palatino Linotype" w:hAnsi="Palatino Linotype"/>
          <w:lang w:val="es-ES_tradnl" w:eastAsia="es-ES"/>
        </w:rPr>
        <w:t xml:space="preserve">; sin embargo, el </w:t>
      </w:r>
      <w:r w:rsidRPr="006247AF">
        <w:rPr>
          <w:rFonts w:ascii="Palatino Linotype" w:hAnsi="Palatino Linotype"/>
          <w:b/>
          <w:lang w:val="es-ES_tradnl" w:eastAsia="es-ES"/>
        </w:rPr>
        <w:t xml:space="preserve">Sujeto Obligado </w:t>
      </w:r>
      <w:r w:rsidRPr="006247AF">
        <w:rPr>
          <w:rFonts w:ascii="Palatino Linotype" w:hAnsi="Palatino Linotype"/>
          <w:lang w:val="es-ES_tradnl" w:eastAsia="es-ES"/>
        </w:rPr>
        <w:t xml:space="preserve">pretende realizar un cambio de modalidad para la entrega de la información, por lo tanto, la actuación del </w:t>
      </w:r>
      <w:r w:rsidRPr="006247AF">
        <w:rPr>
          <w:rFonts w:ascii="Palatino Linotype" w:hAnsi="Palatino Linotype"/>
          <w:b/>
          <w:lang w:val="es-ES_tradnl" w:eastAsia="es-ES"/>
        </w:rPr>
        <w:t xml:space="preserve">Sujeto Obligado </w:t>
      </w:r>
      <w:r w:rsidRPr="006247AF">
        <w:rPr>
          <w:rFonts w:ascii="Palatino Linotype" w:eastAsia="MS Mincho" w:hAnsi="Palatino Linotype" w:cs="Arial"/>
          <w:szCs w:val="23"/>
          <w:lang w:val="es-ES_tradnl" w:eastAsia="es-ES"/>
        </w:rPr>
        <w:t xml:space="preserve">constituye una afectación al derecho humano de acceso a la información pública del particular, toda vez que pretendió cambiar la modalidad de entrega de la información; </w:t>
      </w:r>
      <w:r w:rsidRPr="006247AF">
        <w:rPr>
          <w:rFonts w:ascii="Palatino Linotype" w:hAnsi="Palatino Linotype" w:cs="Arial"/>
          <w:lang w:val="es-ES" w:eastAsia="es-ES"/>
        </w:rPr>
        <w:t xml:space="preserve">de esta forma, solamente intenta realizar el cambio de modalidad ya que como se ha dicho, el particular mencionó que la manera de entrega de la información sería a través del </w:t>
      </w:r>
      <w:r w:rsidRPr="006247AF">
        <w:rPr>
          <w:rFonts w:ascii="Palatino Linotype" w:hAnsi="Palatino Linotype" w:cs="Arial"/>
          <w:b/>
          <w:lang w:val="es-ES" w:eastAsia="es-ES"/>
        </w:rPr>
        <w:t>SAIMEX</w:t>
      </w:r>
      <w:r w:rsidRPr="006247AF">
        <w:rPr>
          <w:rFonts w:ascii="Palatino Linotype" w:hAnsi="Palatino Linotype" w:cs="Arial"/>
          <w:lang w:val="es-ES" w:eastAsia="es-ES"/>
        </w:rPr>
        <w:t>,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rsidR="004D37E4" w:rsidRPr="006247AF" w:rsidRDefault="004D37E4" w:rsidP="004D772E">
      <w:pPr>
        <w:rPr>
          <w:sz w:val="14"/>
          <w:lang w:eastAsia="es-ES"/>
        </w:rPr>
      </w:pPr>
    </w:p>
    <w:p w:rsidR="004D37E4" w:rsidRPr="006247AF" w:rsidRDefault="004D37E4" w:rsidP="004D772E">
      <w:pPr>
        <w:rPr>
          <w:sz w:val="14"/>
          <w:lang w:eastAsia="es-ES"/>
        </w:rPr>
      </w:pPr>
    </w:p>
    <w:p w:rsidR="004D37E4" w:rsidRPr="006247AF" w:rsidRDefault="004D37E4" w:rsidP="004D772E">
      <w:pPr>
        <w:tabs>
          <w:tab w:val="left" w:pos="709"/>
        </w:tabs>
        <w:spacing w:line="276" w:lineRule="auto"/>
        <w:ind w:left="567" w:right="567"/>
        <w:jc w:val="both"/>
        <w:rPr>
          <w:rFonts w:ascii="Palatino Linotype" w:hAnsi="Palatino Linotype" w:cs="Arial"/>
          <w:i/>
          <w:lang w:val="es-ES" w:eastAsia="es-ES"/>
        </w:rPr>
      </w:pPr>
      <w:r w:rsidRPr="006247AF">
        <w:rPr>
          <w:rFonts w:ascii="Palatino Linotype" w:hAnsi="Palatino Linotype" w:cs="Arial"/>
          <w:b/>
          <w:i/>
          <w:lang w:val="es-ES" w:eastAsia="es-ES"/>
        </w:rPr>
        <w:t>“Artículo 164.</w:t>
      </w:r>
      <w:r w:rsidRPr="006247AF">
        <w:rPr>
          <w:rFonts w:ascii="Palatino Linotype" w:hAnsi="Palatino Linotype" w:cs="Arial"/>
          <w:i/>
          <w:lang w:val="es-ES" w:eastAsia="es-ES"/>
        </w:rPr>
        <w:t xml:space="preserve"> </w:t>
      </w:r>
      <w:r w:rsidRPr="006247AF">
        <w:rPr>
          <w:rFonts w:ascii="Palatino Linotype" w:hAnsi="Palatino Linotype" w:cs="Arial"/>
          <w:b/>
          <w:i/>
          <w:u w:val="single"/>
          <w:lang w:val="es-ES" w:eastAsia="es-ES"/>
        </w:rPr>
        <w:t>El acceso se dará en la modalidad de entrega y, en su caso, de envío elegidos por el solicitante.</w:t>
      </w:r>
      <w:r w:rsidRPr="006247AF">
        <w:rPr>
          <w:rFonts w:ascii="Palatino Linotype" w:hAnsi="Palatino Linotype" w:cs="Arial"/>
          <w:i/>
          <w:lang w:val="es-ES" w:eastAsia="es-ES"/>
        </w:rPr>
        <w:t xml:space="preserve"> Cuando la información no pueda entregarse o </w:t>
      </w:r>
      <w:r w:rsidRPr="006247AF">
        <w:rPr>
          <w:rFonts w:ascii="Palatino Linotype" w:hAnsi="Palatino Linotype" w:cs="Arial"/>
          <w:i/>
          <w:lang w:val="es-ES" w:eastAsia="es-ES"/>
        </w:rPr>
        <w:lastRenderedPageBreak/>
        <w:t xml:space="preserve">enviarse en la modalidad solicitada, el sujeto obligado deberá ofrecer otra u otras modalidades de entrega. </w:t>
      </w:r>
    </w:p>
    <w:p w:rsidR="004D37E4" w:rsidRPr="006247AF" w:rsidRDefault="004D37E4" w:rsidP="004D772E">
      <w:pPr>
        <w:tabs>
          <w:tab w:val="left" w:pos="709"/>
        </w:tabs>
        <w:spacing w:line="276" w:lineRule="auto"/>
        <w:ind w:left="567" w:right="567"/>
        <w:jc w:val="both"/>
        <w:rPr>
          <w:rFonts w:ascii="Palatino Linotype" w:hAnsi="Palatino Linotype" w:cs="Arial"/>
          <w:b/>
          <w:i/>
          <w:u w:val="single"/>
          <w:lang w:val="es-ES" w:eastAsia="es-ES"/>
        </w:rPr>
      </w:pPr>
    </w:p>
    <w:p w:rsidR="004D37E4" w:rsidRPr="006247AF" w:rsidRDefault="004D37E4" w:rsidP="004D772E">
      <w:pPr>
        <w:tabs>
          <w:tab w:val="left" w:pos="709"/>
        </w:tabs>
        <w:spacing w:line="276" w:lineRule="auto"/>
        <w:ind w:left="567" w:right="567"/>
        <w:jc w:val="both"/>
        <w:rPr>
          <w:rFonts w:ascii="Palatino Linotype" w:hAnsi="Palatino Linotype" w:cs="Arial"/>
          <w:i/>
          <w:lang w:val="es-ES" w:eastAsia="es-ES"/>
        </w:rPr>
      </w:pPr>
      <w:r w:rsidRPr="006247AF">
        <w:rPr>
          <w:rFonts w:ascii="Palatino Linotype" w:hAnsi="Palatino Linotype" w:cs="Arial"/>
          <w:b/>
          <w:i/>
          <w:u w:val="single"/>
          <w:lang w:val="es-ES" w:eastAsia="es-ES"/>
        </w:rPr>
        <w:t>En cualquier caso, se deberá fundar y motivar la necesidad de ofrecer otras modalidades.</w:t>
      </w:r>
      <w:r w:rsidRPr="006247AF">
        <w:rPr>
          <w:rFonts w:ascii="Palatino Linotype" w:hAnsi="Palatino Linotype" w:cs="Arial"/>
          <w:i/>
          <w:lang w:val="es-ES" w:eastAsia="es-ES"/>
        </w:rPr>
        <w:t>”</w:t>
      </w:r>
    </w:p>
    <w:p w:rsidR="004D37E4" w:rsidRPr="006247AF" w:rsidRDefault="004D37E4" w:rsidP="004D772E">
      <w:pPr>
        <w:spacing w:line="360" w:lineRule="auto"/>
        <w:contextualSpacing/>
        <w:jc w:val="both"/>
        <w:rPr>
          <w:rFonts w:ascii="Palatino Linotype" w:hAnsi="Palatino Linotype"/>
          <w:lang w:val="es-ES" w:eastAsia="es-ES"/>
        </w:rPr>
      </w:pPr>
    </w:p>
    <w:p w:rsidR="004D37E4" w:rsidRPr="006247AF" w:rsidRDefault="004D37E4" w:rsidP="004D772E">
      <w:pPr>
        <w:spacing w:line="360" w:lineRule="auto"/>
        <w:contextualSpacing/>
        <w:jc w:val="both"/>
        <w:rPr>
          <w:rFonts w:ascii="Palatino Linotype" w:hAnsi="Palatino Linotype"/>
          <w:b/>
          <w:lang w:val="es-ES" w:eastAsia="es-ES"/>
        </w:rPr>
      </w:pPr>
      <w:r w:rsidRPr="006247AF">
        <w:rPr>
          <w:rFonts w:ascii="Palatino Linotype" w:hAnsi="Palatino Linotype"/>
          <w:lang w:val="es-ES" w:eastAsia="es-ES"/>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w:t>
      </w:r>
      <w:r w:rsidRPr="006247AF">
        <w:rPr>
          <w:rFonts w:ascii="Palatino Linotype" w:hAnsi="Palatino Linotype"/>
          <w:b/>
          <w:lang w:val="es-ES" w:eastAsia="es-ES"/>
        </w:rPr>
        <w:t xml:space="preserve">Sujeto Obligado </w:t>
      </w:r>
      <w:r w:rsidRPr="006247AF">
        <w:rPr>
          <w:rFonts w:ascii="Palatino Linotype" w:hAnsi="Palatino Linotype"/>
          <w:lang w:val="es-ES" w:eastAsia="es-ES"/>
        </w:rPr>
        <w:t xml:space="preserve">podrá garantizar la entrega a través de cualquier otro medio, siempre y cuando funde y motive la razón para hacerlo. </w:t>
      </w:r>
    </w:p>
    <w:p w:rsidR="004D37E4" w:rsidRPr="006247AF" w:rsidRDefault="004D37E4" w:rsidP="004D772E">
      <w:pPr>
        <w:spacing w:line="360" w:lineRule="auto"/>
        <w:contextualSpacing/>
        <w:jc w:val="both"/>
        <w:rPr>
          <w:rFonts w:ascii="Palatino Linotype" w:hAnsi="Palatino Linotype"/>
          <w:b/>
          <w:lang w:val="es-ES" w:eastAsia="es-ES"/>
        </w:rPr>
      </w:pPr>
    </w:p>
    <w:p w:rsidR="004D37E4" w:rsidRPr="006247AF" w:rsidRDefault="004D37E4" w:rsidP="004D772E">
      <w:pPr>
        <w:spacing w:line="360" w:lineRule="auto"/>
        <w:contextualSpacing/>
        <w:jc w:val="both"/>
        <w:rPr>
          <w:rFonts w:ascii="Palatino Linotype" w:hAnsi="Palatino Linotype"/>
          <w:lang w:val="es-ES" w:eastAsia="es-ES"/>
        </w:rPr>
      </w:pPr>
      <w:r w:rsidRPr="006247AF">
        <w:rPr>
          <w:rFonts w:ascii="Palatino Linotype" w:hAnsi="Palatino Linotype"/>
          <w:lang w:val="es-ES" w:eastAsia="es-ES"/>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rsidR="004D37E4" w:rsidRPr="006247AF" w:rsidRDefault="004D37E4" w:rsidP="004D772E">
      <w:pPr>
        <w:spacing w:line="360" w:lineRule="auto"/>
        <w:contextualSpacing/>
        <w:jc w:val="both"/>
        <w:rPr>
          <w:rFonts w:ascii="Palatino Linotype" w:hAnsi="Palatino Linotype" w:cs="Arial"/>
          <w:color w:val="222222"/>
          <w:lang w:val="es-ES"/>
        </w:rPr>
      </w:pPr>
    </w:p>
    <w:p w:rsidR="004D37E4" w:rsidRPr="006247AF" w:rsidRDefault="004D37E4" w:rsidP="004D772E">
      <w:pPr>
        <w:spacing w:line="360" w:lineRule="auto"/>
        <w:contextualSpacing/>
        <w:jc w:val="both"/>
        <w:rPr>
          <w:rFonts w:ascii="Palatino Linotype" w:hAnsi="Palatino Linotype" w:cs="Arial"/>
          <w:color w:val="222222"/>
          <w:lang w:val="es-ES"/>
        </w:rPr>
      </w:pPr>
      <w:r w:rsidRPr="006247AF">
        <w:rPr>
          <w:rFonts w:ascii="Palatino Linotype" w:hAnsi="Palatino Linotype" w:cs="Arial"/>
          <w:color w:val="222222"/>
          <w:lang w:val="es-ES"/>
        </w:rPr>
        <w:t>Han sido vastos los estudios doctrinarios relativos a estos derechos fundamentales y al principio de legalidad en ellos contenidos; como ejemplo, el procesalista José Ovalle Fabela, en su obra “</w:t>
      </w:r>
      <w:r w:rsidRPr="006247AF">
        <w:rPr>
          <w:rFonts w:ascii="Palatino Linotype" w:hAnsi="Palatino Linotype" w:cs="Arial"/>
          <w:b/>
          <w:color w:val="222222"/>
          <w:lang w:val="es-ES"/>
        </w:rPr>
        <w:t>Garantías Constitucionales del Proceso”</w:t>
      </w:r>
      <w:r w:rsidRPr="006247AF">
        <w:rPr>
          <w:rFonts w:ascii="Palatino Linotype" w:hAnsi="Palatino Linotype" w:cs="Arial"/>
          <w:color w:val="222222"/>
          <w:lang w:val="es-ES"/>
        </w:rPr>
        <w:t xml:space="preserve">, refiere que </w:t>
      </w:r>
      <w:r w:rsidRPr="006247AF">
        <w:rPr>
          <w:rFonts w:ascii="Palatino Linotype" w:hAnsi="Palatino Linotype" w:cs="Arial"/>
          <w:i/>
          <w:color w:val="222222"/>
          <w:lang w:val="es-ES"/>
        </w:rPr>
        <w:t xml:space="preserve">“...la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w:t>
      </w:r>
      <w:r w:rsidRPr="006247AF">
        <w:rPr>
          <w:rFonts w:ascii="Palatino Linotype" w:hAnsi="Palatino Linotype" w:cs="Arial"/>
          <w:i/>
          <w:color w:val="222222"/>
          <w:lang w:val="es-ES"/>
        </w:rPr>
        <w:lastRenderedPageBreak/>
        <w:t>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6247AF">
        <w:rPr>
          <w:vertAlign w:val="superscript"/>
          <w:lang w:val="es-ES" w:eastAsia="es-ES"/>
        </w:rPr>
        <w:footnoteReference w:id="2"/>
      </w:r>
    </w:p>
    <w:p w:rsidR="004D37E4" w:rsidRPr="006247AF" w:rsidRDefault="004D37E4" w:rsidP="004D772E">
      <w:pPr>
        <w:spacing w:line="360" w:lineRule="auto"/>
        <w:contextualSpacing/>
        <w:jc w:val="both"/>
        <w:rPr>
          <w:rFonts w:ascii="Palatino Linotype" w:hAnsi="Palatino Linotype" w:cs="Arial"/>
          <w:color w:val="222222"/>
          <w:lang w:val="es-ES"/>
        </w:rPr>
      </w:pPr>
      <w:r w:rsidRPr="006247AF">
        <w:rPr>
          <w:rFonts w:ascii="Palatino Linotype" w:hAnsi="Palatino Linotype" w:cs="Arial"/>
          <w:color w:val="222222"/>
          <w:lang w:val="es-ES"/>
        </w:rPr>
        <w:t>Por su parte, el intérprete judicial del país ha establecido una jurisprudencia respecto a qué debe entenderse por fundamentación y motivación, en los siguientes términos:</w:t>
      </w:r>
    </w:p>
    <w:p w:rsidR="004D37E4" w:rsidRPr="006247AF" w:rsidRDefault="004D37E4" w:rsidP="004D772E">
      <w:pPr>
        <w:pStyle w:val="Sinespaciado"/>
        <w:rPr>
          <w:sz w:val="2"/>
          <w:lang w:val="es-ES" w:eastAsia="es-MX"/>
        </w:rPr>
      </w:pPr>
    </w:p>
    <w:p w:rsidR="004D37E4" w:rsidRPr="006247AF" w:rsidRDefault="004D37E4" w:rsidP="004D772E">
      <w:pPr>
        <w:rPr>
          <w:rFonts w:ascii="Palatino Linotype" w:hAnsi="Palatino Linotype"/>
        </w:rPr>
      </w:pPr>
    </w:p>
    <w:p w:rsidR="004D37E4" w:rsidRPr="006247AF" w:rsidRDefault="004D37E4" w:rsidP="004D772E">
      <w:pPr>
        <w:ind w:left="567" w:right="567"/>
        <w:contextualSpacing/>
        <w:jc w:val="both"/>
        <w:rPr>
          <w:rFonts w:ascii="Palatino Linotype" w:hAnsi="Palatino Linotype" w:cs="Arial"/>
          <w:i/>
          <w:color w:val="000000"/>
          <w:lang w:val="es-ES" w:eastAsia="es-ES"/>
        </w:rPr>
      </w:pPr>
      <w:r w:rsidRPr="006247AF">
        <w:rPr>
          <w:rFonts w:ascii="Palatino Linotype" w:hAnsi="Palatino Linotype" w:cs="Arial"/>
          <w:b/>
          <w:i/>
          <w:color w:val="000000"/>
          <w:lang w:val="es-ES" w:eastAsia="es-ES"/>
        </w:rPr>
        <w:t>FUNDAMENTACIÓN Y MOTIVACIÓN.</w:t>
      </w:r>
      <w:r w:rsidRPr="006247AF">
        <w:rPr>
          <w:rFonts w:ascii="Palatino Linotype" w:hAnsi="Palatino Linotype" w:cs="Arial"/>
          <w:i/>
          <w:color w:val="000000"/>
          <w:lang w:val="es-ES" w:eastAsia="es-ES"/>
        </w:rPr>
        <w:t xml:space="preserve"> La </w:t>
      </w:r>
      <w:r w:rsidRPr="006247AF">
        <w:rPr>
          <w:rFonts w:ascii="Palatino Linotype" w:hAnsi="Palatino Linotype" w:cs="Arial"/>
          <w:i/>
          <w:color w:val="000000"/>
          <w:u w:val="single"/>
          <w:lang w:val="es-ES" w:eastAsia="es-ES"/>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6247AF">
        <w:rPr>
          <w:rFonts w:ascii="Palatino Linotype" w:hAnsi="Palatino Linotype" w:cs="Arial"/>
          <w:i/>
          <w:color w:val="000000"/>
          <w:lang w:val="es-ES" w:eastAsia="es-ES"/>
        </w:rPr>
        <w:t>.</w:t>
      </w:r>
    </w:p>
    <w:p w:rsidR="004D37E4" w:rsidRPr="006247AF" w:rsidRDefault="004D37E4" w:rsidP="004D772E">
      <w:pPr>
        <w:spacing w:line="360" w:lineRule="auto"/>
        <w:ind w:left="567" w:right="567"/>
        <w:contextualSpacing/>
        <w:jc w:val="both"/>
        <w:rPr>
          <w:rFonts w:ascii="Palatino Linotype" w:hAnsi="Palatino Linotype" w:cs="Arial"/>
          <w:i/>
          <w:color w:val="000000"/>
          <w:lang w:val="es-ES" w:eastAsia="es-ES"/>
        </w:rPr>
      </w:pPr>
    </w:p>
    <w:p w:rsidR="004D37E4" w:rsidRPr="006247AF" w:rsidRDefault="004D37E4" w:rsidP="004D772E">
      <w:pPr>
        <w:ind w:left="567" w:right="567"/>
        <w:contextualSpacing/>
        <w:jc w:val="both"/>
        <w:rPr>
          <w:rFonts w:ascii="Palatino Linotype" w:hAnsi="Palatino Linotype" w:cs="Arial"/>
          <w:i/>
          <w:color w:val="000000"/>
          <w:sz w:val="20"/>
          <w:lang w:val="es-ES" w:eastAsia="es-ES"/>
        </w:rPr>
      </w:pPr>
      <w:r w:rsidRPr="006247AF">
        <w:rPr>
          <w:rFonts w:ascii="Palatino Linotype" w:hAnsi="Palatino Linotype" w:cs="Arial"/>
          <w:b/>
          <w:i/>
          <w:color w:val="000000"/>
          <w:sz w:val="20"/>
          <w:lang w:val="es-ES" w:eastAsia="es-ES"/>
        </w:rPr>
        <w:t>SEGUNDO TRIBUNAL COLEGIADO DEL SEXTO CIRCUITO</w:t>
      </w:r>
      <w:r w:rsidRPr="006247AF">
        <w:rPr>
          <w:rFonts w:ascii="Palatino Linotype" w:hAnsi="Palatino Linotype" w:cs="Arial"/>
          <w:i/>
          <w:color w:val="000000"/>
          <w:sz w:val="20"/>
          <w:lang w:val="es-ES" w:eastAsia="es-ES"/>
        </w:rPr>
        <w:t>.</w:t>
      </w:r>
    </w:p>
    <w:p w:rsidR="004D37E4" w:rsidRPr="006247AF" w:rsidRDefault="004D37E4" w:rsidP="004D772E">
      <w:pPr>
        <w:ind w:left="567" w:right="567"/>
        <w:contextualSpacing/>
        <w:jc w:val="both"/>
        <w:rPr>
          <w:rFonts w:ascii="Palatino Linotype" w:hAnsi="Palatino Linotype" w:cs="Arial"/>
          <w:i/>
          <w:color w:val="000000"/>
          <w:sz w:val="20"/>
          <w:lang w:val="es-ES" w:eastAsia="es-ES"/>
        </w:rPr>
      </w:pPr>
      <w:r w:rsidRPr="006247AF">
        <w:rPr>
          <w:rFonts w:ascii="Palatino Linotype" w:hAnsi="Palatino Linotype" w:cs="Arial"/>
          <w:i/>
          <w:color w:val="000000"/>
          <w:sz w:val="20"/>
          <w:lang w:val="es-ES" w:eastAsia="es-ES"/>
        </w:rPr>
        <w:t>Amparo directo 194/88. Bufete Industrial Construcciones, S.A. de C.V. 28 de junio de 1988. Unanimidad de votos. Ponente: Gustavo Calvillo Rangel. Secretario: Jorge Alberto González Álvarez.</w:t>
      </w:r>
    </w:p>
    <w:p w:rsidR="004D37E4" w:rsidRPr="006247AF" w:rsidRDefault="004D37E4" w:rsidP="004D772E">
      <w:pPr>
        <w:ind w:left="567" w:right="567"/>
        <w:contextualSpacing/>
        <w:jc w:val="both"/>
        <w:rPr>
          <w:rFonts w:ascii="Palatino Linotype" w:hAnsi="Palatino Linotype" w:cs="Arial"/>
          <w:i/>
          <w:color w:val="000000"/>
          <w:lang w:val="es-ES" w:eastAsia="es-ES"/>
        </w:rPr>
      </w:pPr>
    </w:p>
    <w:p w:rsidR="004D37E4" w:rsidRPr="006247AF" w:rsidRDefault="004D37E4" w:rsidP="004D772E">
      <w:pPr>
        <w:ind w:left="567" w:right="567"/>
        <w:contextualSpacing/>
        <w:jc w:val="both"/>
        <w:rPr>
          <w:rFonts w:ascii="Palatino Linotype" w:hAnsi="Palatino Linotype" w:cs="Arial"/>
          <w:i/>
          <w:color w:val="000000"/>
          <w:sz w:val="20"/>
          <w:lang w:val="es-ES" w:eastAsia="es-ES"/>
        </w:rPr>
      </w:pPr>
      <w:r w:rsidRPr="006247AF">
        <w:rPr>
          <w:rFonts w:ascii="Palatino Linotype" w:hAnsi="Palatino Linotype" w:cs="Arial"/>
          <w:i/>
          <w:color w:val="000000"/>
          <w:sz w:val="20"/>
          <w:lang w:val="es-ES" w:eastAsia="es-ES"/>
        </w:rPr>
        <w:t>Revisión fiscal 103/88. Instituto Mexicano del Seguro Social. 18 de octubre de 1988. Unanimidad de votos. Ponente: Arnoldo Nájera Virgen. Secretario: Alejandro Esponda Rincón.</w:t>
      </w:r>
    </w:p>
    <w:p w:rsidR="004D37E4" w:rsidRPr="006247AF" w:rsidRDefault="004D37E4" w:rsidP="004D772E">
      <w:pPr>
        <w:rPr>
          <w:lang w:eastAsia="es-ES"/>
        </w:rPr>
      </w:pPr>
    </w:p>
    <w:p w:rsidR="004D37E4" w:rsidRPr="006247AF" w:rsidRDefault="004D37E4" w:rsidP="004D772E">
      <w:pPr>
        <w:ind w:left="567" w:right="618"/>
        <w:contextualSpacing/>
        <w:jc w:val="both"/>
        <w:rPr>
          <w:rFonts w:ascii="Palatino Linotype" w:hAnsi="Palatino Linotype" w:cs="Arial"/>
          <w:i/>
          <w:color w:val="000000"/>
          <w:sz w:val="20"/>
          <w:lang w:val="es-ES" w:eastAsia="es-ES"/>
        </w:rPr>
      </w:pPr>
      <w:r w:rsidRPr="006247AF">
        <w:rPr>
          <w:rFonts w:ascii="Palatino Linotype" w:hAnsi="Palatino Linotype" w:cs="Arial"/>
          <w:i/>
          <w:color w:val="000000"/>
          <w:sz w:val="20"/>
          <w:lang w:val="es-ES" w:eastAsia="es-ES"/>
        </w:rPr>
        <w:t>Amparo en revisión 333/88. Adilia Romero. 26 de octubre de 1988. Unanimidad de votos. Ponente: Arnoldo Nájera Virgen. Secretario: Enrique Crispín Campos Ramírez.</w:t>
      </w:r>
    </w:p>
    <w:p w:rsidR="004D37E4" w:rsidRPr="006247AF" w:rsidRDefault="004D37E4" w:rsidP="004D772E">
      <w:pPr>
        <w:ind w:left="567"/>
        <w:rPr>
          <w:lang w:eastAsia="es-ES"/>
        </w:rPr>
      </w:pPr>
    </w:p>
    <w:p w:rsidR="004D37E4" w:rsidRPr="006247AF" w:rsidRDefault="004D37E4" w:rsidP="004D772E">
      <w:pPr>
        <w:ind w:left="567" w:right="618"/>
        <w:contextualSpacing/>
        <w:jc w:val="both"/>
        <w:rPr>
          <w:rFonts w:ascii="Palatino Linotype" w:hAnsi="Palatino Linotype" w:cs="Arial"/>
          <w:i/>
          <w:color w:val="000000"/>
          <w:sz w:val="20"/>
          <w:lang w:val="es-ES" w:eastAsia="es-ES"/>
        </w:rPr>
      </w:pPr>
      <w:r w:rsidRPr="006247AF">
        <w:rPr>
          <w:rFonts w:ascii="Palatino Linotype" w:hAnsi="Palatino Linotype" w:cs="Arial"/>
          <w:i/>
          <w:color w:val="000000"/>
          <w:sz w:val="20"/>
          <w:lang w:val="es-ES" w:eastAsia="es-ES"/>
        </w:rPr>
        <w:t>Amparo en revisión 597/95. Emilio Maurer Bretón. 15 de noviembre de 1995. Unanimidad de votos. Ponente: Clementina Ramírez Moguel Goyzueta. Secretario: Gonzalo Carrera Molina.</w:t>
      </w:r>
    </w:p>
    <w:p w:rsidR="004D37E4" w:rsidRPr="006247AF" w:rsidRDefault="004D37E4" w:rsidP="004D772E">
      <w:pPr>
        <w:ind w:left="567"/>
        <w:rPr>
          <w:lang w:eastAsia="es-ES"/>
        </w:rPr>
      </w:pPr>
    </w:p>
    <w:p w:rsidR="004D37E4" w:rsidRPr="006247AF" w:rsidRDefault="004D37E4" w:rsidP="004D772E">
      <w:pPr>
        <w:ind w:left="567" w:right="618"/>
        <w:contextualSpacing/>
        <w:jc w:val="both"/>
        <w:rPr>
          <w:rFonts w:ascii="Palatino Linotype" w:hAnsi="Palatino Linotype" w:cs="Arial"/>
          <w:i/>
          <w:color w:val="000000"/>
          <w:sz w:val="20"/>
          <w:lang w:val="es-ES" w:eastAsia="es-ES"/>
        </w:rPr>
      </w:pPr>
      <w:r w:rsidRPr="006247AF">
        <w:rPr>
          <w:rFonts w:ascii="Palatino Linotype" w:hAnsi="Palatino Linotype" w:cs="Arial"/>
          <w:i/>
          <w:color w:val="000000"/>
          <w:sz w:val="20"/>
          <w:lang w:val="es-ES" w:eastAsia="es-ES"/>
        </w:rPr>
        <w:t>Amparo directo 7/96. Pedro Vicente López Miro. 21 de febrero de 1996. Unanimidad de votos. Ponente: María Eugenia Estela Martínez Cardiel. Secretario: Enrique Baigts Muñoz.</w:t>
      </w:r>
    </w:p>
    <w:p w:rsidR="004D37E4" w:rsidRPr="006247AF" w:rsidRDefault="004D37E4" w:rsidP="004D772E">
      <w:pPr>
        <w:rPr>
          <w:sz w:val="6"/>
        </w:rPr>
      </w:pPr>
    </w:p>
    <w:p w:rsidR="004D37E4" w:rsidRPr="006247AF" w:rsidRDefault="004D37E4" w:rsidP="004D772E">
      <w:pPr>
        <w:spacing w:line="360" w:lineRule="auto"/>
        <w:contextualSpacing/>
        <w:jc w:val="both"/>
        <w:rPr>
          <w:rFonts w:ascii="Palatino Linotype" w:hAnsi="Palatino Linotype" w:cs="Arial"/>
          <w:color w:val="222222"/>
          <w:lang w:val="es-ES"/>
        </w:rPr>
      </w:pPr>
    </w:p>
    <w:p w:rsidR="004D37E4" w:rsidRPr="006247AF" w:rsidRDefault="004D37E4" w:rsidP="004D772E">
      <w:pPr>
        <w:spacing w:line="360" w:lineRule="auto"/>
        <w:contextualSpacing/>
        <w:jc w:val="both"/>
        <w:rPr>
          <w:rFonts w:ascii="Palatino Linotype" w:hAnsi="Palatino Linotype" w:cs="Arial"/>
          <w:color w:val="222222"/>
          <w:lang w:val="es-ES"/>
        </w:rPr>
      </w:pPr>
      <w:r w:rsidRPr="006247AF">
        <w:rPr>
          <w:rFonts w:ascii="Palatino Linotype" w:hAnsi="Palatino Linotype" w:cs="Arial"/>
          <w:color w:val="222222"/>
          <w:lang w:val="es-ES"/>
        </w:rPr>
        <w:t xml:space="preserve">Así, en un acto de autoridad se cumple con la debida fundamentación cuando se cita el precepto legal aplicable al caso concreto y la debida motivación cuando se expresan las </w:t>
      </w:r>
      <w:r w:rsidRPr="006247AF">
        <w:rPr>
          <w:rFonts w:ascii="Palatino Linotype" w:hAnsi="Palatino Linotype" w:cs="Arial"/>
          <w:color w:val="222222"/>
          <w:lang w:val="es-ES"/>
        </w:rPr>
        <w:lastRenderedPageBreak/>
        <w:t>razones, motivos o circunstancias que tomó en cuenta la autoridad para adecuar el hecho a los fundamentos de derecho.</w:t>
      </w:r>
    </w:p>
    <w:p w:rsidR="004D37E4" w:rsidRPr="006247AF" w:rsidRDefault="004D37E4" w:rsidP="004D772E">
      <w:pPr>
        <w:spacing w:line="360" w:lineRule="auto"/>
        <w:contextualSpacing/>
        <w:jc w:val="both"/>
        <w:rPr>
          <w:rFonts w:ascii="Palatino Linotype" w:hAnsi="Palatino Linotype" w:cs="Arial"/>
          <w:color w:val="222222"/>
          <w:lang w:val="es-ES"/>
        </w:rPr>
      </w:pPr>
    </w:p>
    <w:p w:rsidR="004D37E4" w:rsidRPr="006247AF" w:rsidRDefault="004D37E4" w:rsidP="004D772E">
      <w:pPr>
        <w:spacing w:line="360" w:lineRule="auto"/>
        <w:contextualSpacing/>
        <w:jc w:val="both"/>
        <w:rPr>
          <w:rFonts w:ascii="Palatino Linotype" w:hAnsi="Palatino Linotype" w:cs="Arial"/>
          <w:color w:val="222222"/>
          <w:lang w:val="es-ES"/>
        </w:rPr>
      </w:pPr>
      <w:r w:rsidRPr="006247AF">
        <w:rPr>
          <w:rFonts w:ascii="Palatino Linotype" w:hAnsi="Palatino Linotype" w:cs="Arial"/>
          <w:color w:val="222222"/>
          <w:lang w:val="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rsidR="004D37E4" w:rsidRPr="006247AF" w:rsidRDefault="004D37E4" w:rsidP="004D772E">
      <w:pPr>
        <w:spacing w:line="360" w:lineRule="auto"/>
        <w:jc w:val="both"/>
        <w:rPr>
          <w:rFonts w:ascii="Palatino Linotype" w:hAnsi="Palatino Linotype"/>
          <w:lang w:val="es-ES" w:eastAsia="es-ES"/>
        </w:rPr>
      </w:pPr>
    </w:p>
    <w:p w:rsidR="004D37E4" w:rsidRPr="006247AF" w:rsidRDefault="004D37E4" w:rsidP="004D772E">
      <w:pPr>
        <w:spacing w:line="360" w:lineRule="auto"/>
        <w:contextualSpacing/>
        <w:jc w:val="both"/>
        <w:rPr>
          <w:rFonts w:ascii="Palatino Linotype" w:hAnsi="Palatino Linotype" w:cs="Arial"/>
          <w:color w:val="222222"/>
          <w:lang w:val="es-419"/>
        </w:rPr>
      </w:pPr>
      <w:r w:rsidRPr="006247AF">
        <w:rPr>
          <w:rFonts w:ascii="Palatino Linotype" w:hAnsi="Palatino Linotype" w:cs="Arial"/>
          <w:color w:val="222222"/>
          <w:lang w:val="es-419"/>
        </w:rPr>
        <w:t xml:space="preserve">Cabe destacar que en fecha </w:t>
      </w:r>
      <w:r w:rsidR="004A2FC2" w:rsidRPr="006247AF">
        <w:rPr>
          <w:rFonts w:ascii="Palatino Linotype" w:hAnsi="Palatino Linotype" w:cs="Arial"/>
          <w:color w:val="222222"/>
          <w:lang w:val="es-419"/>
        </w:rPr>
        <w:t>cuatro</w:t>
      </w:r>
      <w:r w:rsidRPr="006247AF">
        <w:rPr>
          <w:rFonts w:ascii="Palatino Linotype" w:hAnsi="Palatino Linotype" w:cs="Arial"/>
          <w:color w:val="222222"/>
          <w:lang w:val="es-419"/>
        </w:rPr>
        <w:t xml:space="preserve"> de o</w:t>
      </w:r>
      <w:r w:rsidR="004A2FC2" w:rsidRPr="006247AF">
        <w:rPr>
          <w:rFonts w:ascii="Palatino Linotype" w:hAnsi="Palatino Linotype" w:cs="Arial"/>
          <w:color w:val="222222"/>
          <w:lang w:val="es-419"/>
        </w:rPr>
        <w:t>ctubre</w:t>
      </w:r>
      <w:r w:rsidRPr="006247AF">
        <w:rPr>
          <w:rFonts w:ascii="Palatino Linotype" w:hAnsi="Palatino Linotype" w:cs="Arial"/>
          <w:color w:val="222222"/>
          <w:lang w:val="es-419"/>
        </w:rPr>
        <w:t xml:space="preserve"> de dos mil veinticuatro, se le invitó al Sujeto Obligado vía correo institucional a manifestar la imposibilidad técnica para proporcionar la información en la modalidad requerida mediante el registro de un reporte de incidencias ante la Dirección General de Informática de este Instituto, a efecto de que reciba el apoyo técnico correspondiente para el caso de que la información solicitada sobrepasará las capacidades técnicas del Sistema de Acceso de la Información Mexiquense (SAIMEX), asimismo, en fecha</w:t>
      </w:r>
      <w:r w:rsidR="004D772E" w:rsidRPr="006247AF">
        <w:rPr>
          <w:rFonts w:ascii="Palatino Linotype" w:hAnsi="Palatino Linotype" w:cs="Arial"/>
          <w:color w:val="222222"/>
          <w:lang w:val="es-419"/>
        </w:rPr>
        <w:t xml:space="preserve"> nueve de octubre de dos mil veinticuatro</w:t>
      </w:r>
      <w:r w:rsidRPr="006247AF">
        <w:rPr>
          <w:rFonts w:ascii="Palatino Linotype" w:hAnsi="Palatino Linotype" w:cs="Arial"/>
          <w:color w:val="222222"/>
          <w:lang w:val="es-419"/>
        </w:rPr>
        <w:t>, se le consultó a la Dirección General de Informática de este Instituto, si existía alguna incidencia registrada realizada en el recurso de revisión en que se resuelve, para lo cual dicha Dirección refirió que no se tiene reportado llamada alguna, ni tampoco se tiene registro de incidencia por parte de</w:t>
      </w:r>
      <w:r w:rsidR="004A2FC2" w:rsidRPr="006247AF">
        <w:rPr>
          <w:rFonts w:ascii="Palatino Linotype" w:hAnsi="Palatino Linotype" w:cs="Arial"/>
          <w:color w:val="222222"/>
          <w:lang w:val="es-419"/>
        </w:rPr>
        <w:t xml:space="preserve"> </w:t>
      </w:r>
      <w:r w:rsidRPr="006247AF">
        <w:rPr>
          <w:rFonts w:ascii="Palatino Linotype" w:hAnsi="Palatino Linotype" w:cs="Arial"/>
          <w:color w:val="222222"/>
          <w:lang w:val="es-419"/>
        </w:rPr>
        <w:t>l</w:t>
      </w:r>
      <w:r w:rsidR="004A2FC2" w:rsidRPr="006247AF">
        <w:rPr>
          <w:rFonts w:ascii="Palatino Linotype" w:hAnsi="Palatino Linotype" w:cs="Arial"/>
          <w:color w:val="222222"/>
          <w:lang w:val="es-419"/>
        </w:rPr>
        <w:t>a</w:t>
      </w:r>
      <w:r w:rsidRPr="006247AF">
        <w:rPr>
          <w:rFonts w:ascii="Palatino Linotype" w:hAnsi="Palatino Linotype" w:cs="Arial"/>
          <w:color w:val="222222"/>
          <w:lang w:val="es-419"/>
        </w:rPr>
        <w:t xml:space="preserve"> </w:t>
      </w:r>
      <w:r w:rsidR="004A2FC2" w:rsidRPr="006247AF">
        <w:rPr>
          <w:rFonts w:ascii="Palatino Linotype" w:hAnsi="Palatino Linotype" w:cs="Arial"/>
          <w:color w:val="222222"/>
          <w:lang w:val="es-419"/>
        </w:rPr>
        <w:t>Secretaría de Movilidad</w:t>
      </w:r>
      <w:r w:rsidRPr="006247AF">
        <w:rPr>
          <w:rFonts w:ascii="Palatino Linotype" w:hAnsi="Palatino Linotype" w:cs="Arial"/>
          <w:color w:val="222222"/>
          <w:lang w:val="es-419"/>
        </w:rPr>
        <w:t>.</w:t>
      </w:r>
    </w:p>
    <w:p w:rsidR="004D772E" w:rsidRPr="006247AF" w:rsidRDefault="004D772E" w:rsidP="004D772E">
      <w:pPr>
        <w:spacing w:line="360" w:lineRule="auto"/>
        <w:contextualSpacing/>
        <w:jc w:val="both"/>
        <w:rPr>
          <w:rFonts w:ascii="Palatino Linotype" w:hAnsi="Palatino Linotype" w:cs="Arial"/>
          <w:color w:val="222222"/>
          <w:lang w:val="es-419"/>
        </w:rPr>
      </w:pPr>
    </w:p>
    <w:p w:rsidR="004D37E4" w:rsidRPr="006247AF" w:rsidRDefault="004D37E4" w:rsidP="004D772E">
      <w:pPr>
        <w:spacing w:line="360" w:lineRule="auto"/>
        <w:jc w:val="both"/>
        <w:rPr>
          <w:rFonts w:ascii="Palatino Linotype" w:hAnsi="Palatino Linotype"/>
          <w:i/>
          <w:lang w:val="es-ES" w:eastAsia="es-ES"/>
        </w:rPr>
      </w:pPr>
      <w:r w:rsidRPr="006247AF">
        <w:rPr>
          <w:rFonts w:ascii="Palatino Linotype" w:hAnsi="Palatino Linotype"/>
          <w:lang w:val="es-ES" w:eastAsia="es-ES"/>
        </w:rPr>
        <w:t>En vista de las consideraciones señaladas, se advierte que el</w:t>
      </w:r>
      <w:r w:rsidRPr="006247AF">
        <w:rPr>
          <w:rFonts w:ascii="Palatino Linotype" w:hAnsi="Palatino Linotype"/>
          <w:b/>
          <w:lang w:val="es-ES" w:eastAsia="es-ES"/>
        </w:rPr>
        <w:t xml:space="preserve"> Sujeto Obligado</w:t>
      </w:r>
      <w:r w:rsidRPr="006247AF">
        <w:rPr>
          <w:rFonts w:ascii="Palatino Linotype" w:hAnsi="Palatino Linotype"/>
          <w:lang w:val="es-ES" w:eastAsia="es-ES"/>
        </w:rPr>
        <w:t xml:space="preserve">, no justifica en ningún momento de forma fundada y motiva su cambio de modalidad de entrega de la información de vía </w:t>
      </w:r>
      <w:r w:rsidRPr="006247AF">
        <w:rPr>
          <w:rFonts w:ascii="Palatino Linotype" w:hAnsi="Palatino Linotype"/>
          <w:b/>
          <w:i/>
          <w:lang w:val="es-ES" w:eastAsia="es-ES"/>
        </w:rPr>
        <w:t>SAIMEX</w:t>
      </w:r>
      <w:r w:rsidRPr="006247AF">
        <w:rPr>
          <w:rFonts w:ascii="Palatino Linotype" w:hAnsi="Palatino Linotype"/>
          <w:lang w:val="es-ES" w:eastAsia="es-ES"/>
        </w:rPr>
        <w:t xml:space="preserve"> a </w:t>
      </w:r>
      <w:r w:rsidRPr="006247AF">
        <w:rPr>
          <w:rFonts w:ascii="Palatino Linotype" w:hAnsi="Palatino Linotype"/>
          <w:b/>
          <w:i/>
          <w:lang w:val="es-ES" w:eastAsia="es-ES"/>
        </w:rPr>
        <w:t>CONSULTA DIRECTA</w:t>
      </w:r>
      <w:r w:rsidRPr="006247AF">
        <w:rPr>
          <w:rFonts w:ascii="Palatino Linotype" w:hAnsi="Palatino Linotype"/>
          <w:lang w:val="es-ES" w:eastAsia="es-ES"/>
        </w:rPr>
        <w:t xml:space="preserve">. </w:t>
      </w:r>
    </w:p>
    <w:p w:rsidR="004D37E4" w:rsidRPr="006247AF" w:rsidRDefault="004D37E4" w:rsidP="004D772E">
      <w:pPr>
        <w:tabs>
          <w:tab w:val="left" w:pos="709"/>
        </w:tabs>
        <w:spacing w:line="360" w:lineRule="auto"/>
        <w:jc w:val="both"/>
        <w:rPr>
          <w:rFonts w:ascii="Palatino Linotype" w:hAnsi="Palatino Linotype" w:cs="Arial"/>
          <w:lang w:val="es-ES" w:eastAsia="es-ES"/>
        </w:rPr>
      </w:pPr>
    </w:p>
    <w:p w:rsidR="004D37E4" w:rsidRPr="006247AF" w:rsidRDefault="004D37E4" w:rsidP="004D772E">
      <w:pPr>
        <w:tabs>
          <w:tab w:val="left" w:pos="709"/>
        </w:tabs>
        <w:spacing w:line="360" w:lineRule="auto"/>
        <w:jc w:val="both"/>
        <w:rPr>
          <w:rFonts w:ascii="Palatino Linotype" w:hAnsi="Palatino Linotype"/>
          <w:lang w:val="es-ES" w:eastAsia="es-ES"/>
        </w:rPr>
      </w:pPr>
      <w:r w:rsidRPr="006247AF">
        <w:rPr>
          <w:rFonts w:ascii="Palatino Linotype" w:hAnsi="Palatino Linotype" w:cs="Arial"/>
          <w:lang w:val="es-ES" w:eastAsia="es-ES"/>
        </w:rPr>
        <w:lastRenderedPageBreak/>
        <w:t xml:space="preserve">Por tal razón, este Órgano Garante en uso de las facultades que la propia legislación le otorga deberá ordenar la entrega de la información solicitada, dada la aceptación del </w:t>
      </w:r>
      <w:r w:rsidRPr="006247AF">
        <w:rPr>
          <w:rFonts w:ascii="Palatino Linotype" w:hAnsi="Palatino Linotype" w:cs="Arial"/>
          <w:b/>
          <w:lang w:val="es-ES" w:eastAsia="es-ES"/>
        </w:rPr>
        <w:t>Sujeto Obligado</w:t>
      </w:r>
      <w:r w:rsidRPr="006247AF">
        <w:rPr>
          <w:rFonts w:ascii="Palatino Linotype" w:hAnsi="Palatino Linotype" w:cs="Arial"/>
          <w:lang w:val="es-ES" w:eastAsia="es-ES"/>
        </w:rPr>
        <w:t xml:space="preserve"> de generar, poseer o administrarla, es decir, de tener conocimiento de lo requerido</w:t>
      </w:r>
      <w:r w:rsidRPr="006247AF">
        <w:rPr>
          <w:rFonts w:ascii="Palatino Linotype" w:hAnsi="Palatino Linotype"/>
          <w:lang w:val="es-ES" w:eastAsia="es-ES"/>
        </w:rPr>
        <w:t xml:space="preserve">. En los casos en que esto no sea posible, el </w:t>
      </w:r>
      <w:r w:rsidRPr="006247AF">
        <w:rPr>
          <w:rFonts w:ascii="Palatino Linotype" w:hAnsi="Palatino Linotype"/>
          <w:b/>
          <w:lang w:val="es-ES" w:eastAsia="es-ES"/>
        </w:rPr>
        <w:t xml:space="preserve">Sujeto Obligado </w:t>
      </w:r>
      <w:r w:rsidRPr="006247AF">
        <w:rPr>
          <w:rFonts w:ascii="Palatino Linotype" w:hAnsi="Palatino Linotype"/>
          <w:lang w:val="es-ES" w:eastAsia="es-ES"/>
        </w:rPr>
        <w:t xml:space="preserve">podrá garantizar la entrega a través de cualquier otro medio, siempre y cuando funde y motive la razón para hacerlo. </w:t>
      </w:r>
    </w:p>
    <w:p w:rsidR="004D37E4" w:rsidRPr="006247AF" w:rsidRDefault="004D37E4" w:rsidP="004D772E">
      <w:pPr>
        <w:tabs>
          <w:tab w:val="left" w:pos="709"/>
        </w:tabs>
        <w:spacing w:line="360" w:lineRule="auto"/>
        <w:jc w:val="both"/>
        <w:rPr>
          <w:rFonts w:ascii="Palatino Linotype" w:hAnsi="Palatino Linotype"/>
          <w:lang w:val="es-ES" w:eastAsia="es-ES"/>
        </w:rPr>
      </w:pPr>
    </w:p>
    <w:p w:rsidR="004D37E4" w:rsidRPr="006247AF" w:rsidRDefault="004D37E4" w:rsidP="004D772E">
      <w:pPr>
        <w:tabs>
          <w:tab w:val="left" w:pos="709"/>
        </w:tabs>
        <w:spacing w:line="360" w:lineRule="auto"/>
        <w:jc w:val="both"/>
        <w:rPr>
          <w:rFonts w:ascii="Palatino Linotype" w:hAnsi="Palatino Linotype"/>
          <w:lang w:val="es-ES" w:eastAsia="es-ES"/>
        </w:rPr>
      </w:pPr>
      <w:r w:rsidRPr="006247AF">
        <w:rPr>
          <w:rFonts w:ascii="Palatino Linotype" w:hAnsi="Palatino Linotype"/>
          <w:lang w:val="es-ES" w:eastAsia="es-ES"/>
        </w:rPr>
        <w:t xml:space="preserve">La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rsidR="004D37E4" w:rsidRPr="006247AF" w:rsidRDefault="004D37E4" w:rsidP="004D772E">
      <w:pPr>
        <w:tabs>
          <w:tab w:val="left" w:pos="709"/>
        </w:tabs>
        <w:spacing w:line="360" w:lineRule="auto"/>
        <w:jc w:val="both"/>
        <w:rPr>
          <w:rFonts w:ascii="Palatino Linotype" w:hAnsi="Palatino Linotype"/>
          <w:lang w:val="es-ES" w:eastAsia="es-ES"/>
        </w:rPr>
      </w:pPr>
    </w:p>
    <w:p w:rsidR="004D37E4" w:rsidRPr="006247AF" w:rsidRDefault="004D37E4" w:rsidP="004D772E">
      <w:pPr>
        <w:tabs>
          <w:tab w:val="left" w:pos="709"/>
        </w:tabs>
        <w:spacing w:line="360" w:lineRule="auto"/>
        <w:jc w:val="both"/>
        <w:rPr>
          <w:rFonts w:ascii="Palatino Linotype" w:hAnsi="Palatino Linotype" w:cs="Arial"/>
          <w:lang w:val="es-ES" w:eastAsia="es-ES"/>
        </w:rPr>
      </w:pPr>
      <w:r w:rsidRPr="006247AF">
        <w:rPr>
          <w:rFonts w:ascii="Palatino Linotype" w:hAnsi="Palatino Linotype"/>
          <w:lang w:val="es-ES" w:eastAsia="es-ES"/>
        </w:rPr>
        <w:t xml:space="preserve">Ahora bien, la ley de la materia señala en su artículo 158, los casos en que de manera excepcional se puede proceder al cambio de modalidad: </w:t>
      </w:r>
    </w:p>
    <w:p w:rsidR="004D37E4" w:rsidRPr="006247AF" w:rsidRDefault="004D37E4" w:rsidP="004D772E">
      <w:pPr>
        <w:rPr>
          <w:sz w:val="16"/>
          <w:lang w:eastAsia="es-CO"/>
        </w:rPr>
      </w:pPr>
    </w:p>
    <w:p w:rsidR="004D37E4" w:rsidRPr="006247AF" w:rsidRDefault="004D37E4" w:rsidP="004D772E">
      <w:pPr>
        <w:ind w:left="567" w:right="567"/>
        <w:jc w:val="both"/>
        <w:rPr>
          <w:rFonts w:ascii="Palatino Linotype" w:hAnsi="Palatino Linotype"/>
          <w:i/>
          <w:lang w:val="es-ES" w:eastAsia="es-ES"/>
        </w:rPr>
      </w:pPr>
      <w:r w:rsidRPr="006247AF">
        <w:rPr>
          <w:rFonts w:ascii="Palatino Linotype" w:hAnsi="Palatino Linotype"/>
          <w:i/>
          <w:lang w:val="es-ES" w:eastAsia="es-ES"/>
        </w:rPr>
        <w:t>“</w:t>
      </w:r>
      <w:r w:rsidRPr="006247AF">
        <w:rPr>
          <w:rFonts w:ascii="Palatino Linotype" w:hAnsi="Palatino Linotype"/>
          <w:b/>
          <w:i/>
          <w:lang w:val="es-ES" w:eastAsia="es-ES"/>
        </w:rPr>
        <w:t>Artículo 158.</w:t>
      </w:r>
      <w:r w:rsidRPr="006247AF">
        <w:rPr>
          <w:rFonts w:ascii="Palatino Linotype" w:hAnsi="Palatino Linotype"/>
          <w:i/>
          <w:lang w:val="es-ES" w:eastAsia="es-ES"/>
        </w:rPr>
        <w:t xml:space="preserve"> De manera excepcional, cuando </w:t>
      </w:r>
      <w:r w:rsidRPr="006247AF">
        <w:rPr>
          <w:rFonts w:ascii="Palatino Linotype" w:hAnsi="Palatino Linotype"/>
          <w:b/>
          <w:i/>
          <w:u w:val="single"/>
          <w:lang w:val="es-ES" w:eastAsia="es-ES"/>
        </w:rPr>
        <w:t>de forma fundada y motivada</w:t>
      </w:r>
      <w:r w:rsidRPr="006247AF">
        <w:rPr>
          <w:rFonts w:ascii="Palatino Linotype" w:hAnsi="Palatino Linotype"/>
          <w:i/>
          <w:lang w:val="es-ES" w:eastAsia="es-ES"/>
        </w:rPr>
        <w:t xml:space="preserve"> así lo determine el sujeto obligado, en aquellos casos en que la información solicitada que ya se encuentre en su posesión implique análisis, estudio o procesamiento de documentos cuya entrega o reproducción sobrepase </w:t>
      </w:r>
      <w:r w:rsidRPr="006247AF">
        <w:rPr>
          <w:rFonts w:ascii="Palatino Linotype" w:hAnsi="Palatino Linotype"/>
          <w:b/>
          <w:i/>
          <w:u w:val="single"/>
          <w:lang w:val="es-ES" w:eastAsia="es-ES"/>
        </w:rPr>
        <w:t>las capacidades técnicas administrativas</w:t>
      </w:r>
      <w:r w:rsidRPr="006247AF">
        <w:rPr>
          <w:rFonts w:ascii="Palatino Linotype" w:hAnsi="Palatino Linotype"/>
          <w:i/>
          <w:lang w:val="es-ES" w:eastAsia="es-ES"/>
        </w:rPr>
        <w:t xml:space="preserve"> </w:t>
      </w:r>
      <w:r w:rsidRPr="006247AF">
        <w:rPr>
          <w:rFonts w:ascii="Palatino Linotype" w:hAnsi="Palatino Linotype"/>
          <w:b/>
          <w:i/>
          <w:u w:val="single"/>
          <w:lang w:val="es-ES" w:eastAsia="es-ES"/>
        </w:rPr>
        <w:t>y humanas del sujeto obligado</w:t>
      </w:r>
      <w:r w:rsidRPr="006247AF">
        <w:rPr>
          <w:rFonts w:ascii="Palatino Linotype" w:hAnsi="Palatino Linotype"/>
          <w:i/>
          <w:lang w:val="es-ES" w:eastAsia="es-ES"/>
        </w:rPr>
        <w:t xml:space="preserve"> para cumplir con la solicitud, en los plazos establecidos para dichos efectos, se podrá poner a disposición del solicitante los documentos en </w:t>
      </w:r>
      <w:r w:rsidRPr="006247AF">
        <w:rPr>
          <w:rFonts w:ascii="Palatino Linotype" w:hAnsi="Palatino Linotype"/>
          <w:b/>
          <w:i/>
          <w:lang w:val="es-ES" w:eastAsia="es-ES"/>
        </w:rPr>
        <w:t>consulta directa,</w:t>
      </w:r>
      <w:r w:rsidRPr="006247AF">
        <w:rPr>
          <w:rFonts w:ascii="Palatino Linotype" w:hAnsi="Palatino Linotype"/>
          <w:i/>
          <w:lang w:val="es-ES" w:eastAsia="es-ES"/>
        </w:rPr>
        <w:t xml:space="preserve"> salvo la información clasificada.</w:t>
      </w:r>
    </w:p>
    <w:p w:rsidR="004D37E4" w:rsidRPr="006247AF" w:rsidRDefault="004D37E4" w:rsidP="004D772E">
      <w:pPr>
        <w:ind w:left="567" w:right="567"/>
        <w:jc w:val="both"/>
        <w:rPr>
          <w:rFonts w:ascii="Palatino Linotype" w:hAnsi="Palatino Linotype"/>
          <w:i/>
          <w:lang w:val="es-ES" w:eastAsia="es-ES"/>
        </w:rPr>
      </w:pPr>
      <w:r w:rsidRPr="006247AF">
        <w:rPr>
          <w:rFonts w:ascii="Palatino Linotype" w:hAnsi="Palatino Linotype"/>
          <w:i/>
          <w:lang w:val="es-ES" w:eastAsia="es-ES"/>
        </w:rPr>
        <w:t>En todo caso, se facilitará su copia simple o certificada, así como su reproducción por cualquier medio disponible en las instalaciones del sujeto obligado o que, en su caso, aporte el solicitante.”</w:t>
      </w:r>
    </w:p>
    <w:p w:rsidR="004D37E4" w:rsidRPr="006247AF" w:rsidRDefault="004D37E4" w:rsidP="004D772E">
      <w:pPr>
        <w:pStyle w:val="Sinespaciado"/>
        <w:ind w:left="567" w:right="567"/>
      </w:pPr>
    </w:p>
    <w:p w:rsidR="004D37E4" w:rsidRPr="006247AF" w:rsidRDefault="004D37E4" w:rsidP="004D772E">
      <w:pPr>
        <w:tabs>
          <w:tab w:val="left" w:pos="709"/>
        </w:tabs>
        <w:spacing w:line="360" w:lineRule="auto"/>
        <w:jc w:val="both"/>
        <w:rPr>
          <w:rFonts w:ascii="Palatino Linotype" w:hAnsi="Palatino Linotype" w:cs="Arial"/>
          <w:lang w:val="es-ES" w:eastAsia="es-ES"/>
        </w:rPr>
      </w:pPr>
      <w:r w:rsidRPr="006247AF">
        <w:rPr>
          <w:rFonts w:ascii="Palatino Linotype" w:hAnsi="Palatino Linotype" w:cs="Arial"/>
          <w:lang w:val="es-ES" w:eastAsia="es-ES"/>
        </w:rPr>
        <w:lastRenderedPageBreak/>
        <w:t xml:space="preserve">Sobre lo anterior, es de señalar que el Órgano Garante Nacional, a través de diversas resoluciones de los Recursos de Inconformidad, entre las cuales se encuentran el </w:t>
      </w:r>
      <w:r w:rsidRPr="006247AF">
        <w:rPr>
          <w:rFonts w:ascii="Palatino Linotype" w:hAnsi="Palatino Linotype" w:cs="Arial"/>
          <w:b/>
          <w:i/>
          <w:lang w:val="es-ES" w:eastAsia="es-ES"/>
        </w:rPr>
        <w:t>RIA</w:t>
      </w:r>
      <w:r w:rsidRPr="006247AF">
        <w:rPr>
          <w:rFonts w:ascii="Palatino Linotype" w:hAnsi="Palatino Linotype" w:cs="Arial"/>
          <w:lang w:val="es-ES" w:eastAsia="es-ES"/>
        </w:rPr>
        <w:t xml:space="preserve"> </w:t>
      </w:r>
      <w:r w:rsidRPr="006247AF">
        <w:rPr>
          <w:rFonts w:ascii="Palatino Linotype" w:hAnsi="Palatino Linotype" w:cs="Arial"/>
          <w:b/>
          <w:i/>
          <w:lang w:val="es-ES" w:eastAsia="es-ES"/>
        </w:rPr>
        <w:t>136/20</w:t>
      </w:r>
      <w:r w:rsidRPr="006247AF">
        <w:rPr>
          <w:rFonts w:ascii="Palatino Linotype" w:hAnsi="Palatino Linotype" w:cs="Arial"/>
          <w:lang w:val="es-ES" w:eastAsia="es-ES"/>
        </w:rPr>
        <w:t xml:space="preserve">, </w:t>
      </w:r>
      <w:r w:rsidRPr="006247AF">
        <w:rPr>
          <w:rFonts w:ascii="Palatino Linotype" w:hAnsi="Palatino Linotype" w:cs="Arial"/>
          <w:b/>
          <w:i/>
          <w:lang w:val="es-ES" w:eastAsia="es-ES"/>
        </w:rPr>
        <w:t>RIA 140/20</w:t>
      </w:r>
      <w:r w:rsidRPr="006247AF">
        <w:rPr>
          <w:rFonts w:ascii="Palatino Linotype" w:hAnsi="Palatino Linotype" w:cs="Arial"/>
          <w:lang w:val="es-ES" w:eastAsia="es-ES"/>
        </w:rPr>
        <w:t xml:space="preserve">, </w:t>
      </w:r>
      <w:r w:rsidRPr="006247AF">
        <w:rPr>
          <w:rFonts w:ascii="Palatino Linotype" w:hAnsi="Palatino Linotype" w:cs="Arial"/>
          <w:b/>
          <w:i/>
          <w:lang w:val="es-ES" w:eastAsia="es-ES"/>
        </w:rPr>
        <w:t>RIA 153/20</w:t>
      </w:r>
      <w:r w:rsidRPr="006247AF">
        <w:rPr>
          <w:rFonts w:ascii="Palatino Linotype" w:hAnsi="Palatino Linotype" w:cs="Arial"/>
          <w:lang w:val="es-ES" w:eastAsia="es-ES"/>
        </w:rPr>
        <w:t xml:space="preserve">, </w:t>
      </w:r>
      <w:r w:rsidRPr="006247AF">
        <w:rPr>
          <w:rFonts w:ascii="Palatino Linotype" w:hAnsi="Palatino Linotype" w:cs="Arial"/>
          <w:b/>
          <w:i/>
          <w:lang w:val="es-ES" w:eastAsia="es-ES"/>
        </w:rPr>
        <w:t>RIA 237/20</w:t>
      </w:r>
      <w:r w:rsidRPr="006247AF">
        <w:rPr>
          <w:rFonts w:ascii="Palatino Linotype" w:hAnsi="Palatino Linotype" w:cs="Arial"/>
          <w:lang w:val="es-ES" w:eastAsia="es-ES"/>
        </w:rPr>
        <w:t xml:space="preserve">, </w:t>
      </w:r>
      <w:r w:rsidRPr="006247AF">
        <w:rPr>
          <w:rFonts w:ascii="Palatino Linotype" w:hAnsi="Palatino Linotype" w:cs="Arial"/>
          <w:b/>
          <w:i/>
          <w:lang w:val="es-ES" w:eastAsia="es-ES"/>
        </w:rPr>
        <w:t>RIA 257/20</w:t>
      </w:r>
      <w:r w:rsidRPr="006247AF">
        <w:rPr>
          <w:rFonts w:ascii="Palatino Linotype" w:hAnsi="Palatino Linotype" w:cs="Arial"/>
          <w:lang w:val="es-ES" w:eastAsia="es-ES"/>
        </w:rPr>
        <w:t xml:space="preserve">, </w:t>
      </w:r>
      <w:r w:rsidRPr="006247AF">
        <w:rPr>
          <w:rFonts w:ascii="Palatino Linotype" w:hAnsi="Palatino Linotype" w:cs="Arial"/>
          <w:b/>
          <w:i/>
          <w:lang w:val="es-ES" w:eastAsia="es-ES"/>
        </w:rPr>
        <w:t>RIA 258/20</w:t>
      </w:r>
      <w:r w:rsidRPr="006247AF">
        <w:rPr>
          <w:rFonts w:ascii="Palatino Linotype" w:hAnsi="Palatino Linotype" w:cs="Arial"/>
          <w:lang w:val="es-ES" w:eastAsia="es-ES"/>
        </w:rPr>
        <w:t xml:space="preserve">,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rsidR="004D37E4" w:rsidRPr="006247AF" w:rsidRDefault="004D37E4" w:rsidP="004D772E">
      <w:pPr>
        <w:tabs>
          <w:tab w:val="left" w:pos="709"/>
        </w:tabs>
        <w:spacing w:line="360" w:lineRule="auto"/>
        <w:jc w:val="both"/>
        <w:rPr>
          <w:rFonts w:ascii="Palatino Linotype" w:hAnsi="Palatino Linotype" w:cs="Arial"/>
          <w:lang w:val="es-ES" w:eastAsia="es-ES"/>
        </w:rPr>
      </w:pPr>
    </w:p>
    <w:p w:rsidR="004D37E4" w:rsidRPr="006247AF" w:rsidRDefault="004D37E4" w:rsidP="004D772E">
      <w:pPr>
        <w:tabs>
          <w:tab w:val="left" w:pos="709"/>
        </w:tabs>
        <w:spacing w:line="360" w:lineRule="auto"/>
        <w:jc w:val="both"/>
        <w:rPr>
          <w:rFonts w:ascii="Palatino Linotype" w:hAnsi="Palatino Linotype" w:cs="Arial"/>
          <w:lang w:val="es-ES" w:eastAsia="es-ES"/>
        </w:rPr>
      </w:pPr>
      <w:r w:rsidRPr="006247AF">
        <w:rPr>
          <w:rFonts w:ascii="Palatino Linotype" w:hAnsi="Palatino Linotype" w:cs="Arial"/>
          <w:lang w:val="es-ES" w:eastAsia="es-ES"/>
        </w:rPr>
        <w:t>Además, precisan que no se debe ceñir el cambio de modalidad, directamente a consulta directa, sino que los sujetos obligados, deben de buscar la posibilidad de proporcionarla en las otras formas que establecen en la Ley, ya sean electrónicas o físicas.</w:t>
      </w:r>
    </w:p>
    <w:p w:rsidR="004D37E4" w:rsidRPr="006247AF" w:rsidRDefault="004D37E4" w:rsidP="004D772E">
      <w:pPr>
        <w:tabs>
          <w:tab w:val="left" w:pos="709"/>
        </w:tabs>
        <w:spacing w:line="360" w:lineRule="auto"/>
        <w:jc w:val="both"/>
        <w:rPr>
          <w:rFonts w:ascii="Palatino Linotype" w:hAnsi="Palatino Linotype"/>
          <w:lang w:val="es-ES" w:eastAsia="es-ES"/>
        </w:rPr>
      </w:pPr>
    </w:p>
    <w:p w:rsidR="004D37E4" w:rsidRPr="006247AF" w:rsidRDefault="004D37E4" w:rsidP="004D772E">
      <w:pPr>
        <w:rPr>
          <w:sz w:val="2"/>
          <w:lang w:val="es-ES" w:eastAsia="es-ES"/>
        </w:rPr>
      </w:pPr>
    </w:p>
    <w:p w:rsidR="004D37E4" w:rsidRPr="006247AF" w:rsidRDefault="004D37E4" w:rsidP="004D772E">
      <w:pPr>
        <w:spacing w:line="360" w:lineRule="auto"/>
        <w:jc w:val="both"/>
        <w:rPr>
          <w:rFonts w:ascii="Palatino Linotype" w:hAnsi="Palatino Linotype" w:cs="Arial"/>
        </w:rPr>
      </w:pPr>
      <w:r w:rsidRPr="006247AF">
        <w:rPr>
          <w:rFonts w:ascii="Palatino Linotype" w:hAnsi="Palatino Linotype"/>
        </w:rPr>
        <w:t>De lo anterior, se desprende que, el</w:t>
      </w:r>
      <w:r w:rsidRPr="006247AF">
        <w:rPr>
          <w:rFonts w:ascii="Palatino Linotype" w:hAnsi="Palatino Linotype"/>
          <w:b/>
        </w:rPr>
        <w:t xml:space="preserve"> Sujeto Obligado</w:t>
      </w:r>
      <w:r w:rsidRPr="006247AF">
        <w:rPr>
          <w:rFonts w:ascii="Palatino Linotype" w:hAnsi="Palatino Linotype"/>
        </w:rPr>
        <w:t xml:space="preserve"> no procedió al cambio de modalidad de manera fundada y motivada, y además que el cambio de vía a </w:t>
      </w:r>
      <w:r w:rsidRPr="006247AF">
        <w:rPr>
          <w:rFonts w:ascii="Palatino Linotype" w:hAnsi="Palatino Linotype"/>
          <w:b/>
          <w:i/>
        </w:rPr>
        <w:t>consulta directa</w:t>
      </w:r>
      <w:r w:rsidRPr="006247AF">
        <w:rPr>
          <w:rFonts w:ascii="Palatino Linotype" w:hAnsi="Palatino Linotype"/>
        </w:rPr>
        <w:t>, está fuera de la legalidad que establece la Ley en la materia y es por ello que, en el presente asunto no se justifica el cambio de modalidad, y con el objeto de reparar la afectación al derecho humano de acceso a la información tutelado por este Órgano Garante, deberá remitir</w:t>
      </w:r>
      <w:r w:rsidR="004A2FC2" w:rsidRPr="006247AF">
        <w:rPr>
          <w:rFonts w:ascii="Palatino Linotype" w:hAnsi="Palatino Linotype"/>
        </w:rPr>
        <w:t xml:space="preserve"> la información solicitada por </w:t>
      </w:r>
      <w:r w:rsidRPr="006247AF">
        <w:rPr>
          <w:rFonts w:ascii="Palatino Linotype" w:hAnsi="Palatino Linotype"/>
        </w:rPr>
        <w:t>l</w:t>
      </w:r>
      <w:r w:rsidR="004A2FC2" w:rsidRPr="006247AF">
        <w:rPr>
          <w:rFonts w:ascii="Palatino Linotype" w:hAnsi="Palatino Linotype"/>
        </w:rPr>
        <w:t>a</w:t>
      </w:r>
      <w:r w:rsidRPr="006247AF">
        <w:rPr>
          <w:rFonts w:ascii="Palatino Linotype" w:hAnsi="Palatino Linotype"/>
        </w:rPr>
        <w:t xml:space="preserve"> ahora </w:t>
      </w:r>
      <w:r w:rsidR="004A2FC2" w:rsidRPr="006247AF">
        <w:rPr>
          <w:rFonts w:ascii="Palatino Linotype" w:hAnsi="Palatino Linotype"/>
        </w:rPr>
        <w:t xml:space="preserve">parte </w:t>
      </w:r>
      <w:r w:rsidRPr="006247AF">
        <w:rPr>
          <w:rFonts w:ascii="Palatino Linotype" w:hAnsi="Palatino Linotype"/>
          <w:b/>
        </w:rPr>
        <w:t>Recurrente</w:t>
      </w:r>
      <w:r w:rsidRPr="006247AF">
        <w:rPr>
          <w:rFonts w:ascii="Palatino Linotype" w:hAnsi="Palatino Linotype"/>
        </w:rPr>
        <w:t>.</w:t>
      </w:r>
    </w:p>
    <w:p w:rsidR="004D37E4" w:rsidRPr="006247AF" w:rsidRDefault="004D37E4" w:rsidP="004D772E">
      <w:pPr>
        <w:spacing w:line="360" w:lineRule="auto"/>
        <w:jc w:val="both"/>
        <w:rPr>
          <w:rFonts w:ascii="Palatino Linotype" w:hAnsi="Palatino Linotype" w:cs="Arial"/>
        </w:rPr>
      </w:pPr>
      <w:r w:rsidRPr="006247AF">
        <w:rPr>
          <w:rFonts w:ascii="Palatino Linotype" w:hAnsi="Palatino Linotype" w:cs="Arial"/>
        </w:rPr>
        <w:t xml:space="preserve">Por lo anterior, es de concluirse en este punto, que el </w:t>
      </w:r>
      <w:r w:rsidRPr="006247AF">
        <w:rPr>
          <w:rFonts w:ascii="Palatino Linotype" w:hAnsi="Palatino Linotype" w:cs="Arial"/>
          <w:b/>
        </w:rPr>
        <w:t>Sujeto Obligado</w:t>
      </w:r>
      <w:r w:rsidRPr="006247AF">
        <w:rPr>
          <w:rFonts w:ascii="Palatino Linotype" w:hAnsi="Palatino Linotype" w:cs="Arial"/>
        </w:rPr>
        <w:t xml:space="preserve"> no acredita la necesidad del cambio de modalidad de la entrega de información, en consecuencia, es dable ordenar la entrega de la información en la vía peticionada, es decir a través del </w:t>
      </w:r>
      <w:r w:rsidRPr="006247AF">
        <w:rPr>
          <w:rFonts w:ascii="Palatino Linotype" w:hAnsi="Palatino Linotype" w:cs="Arial"/>
          <w:b/>
        </w:rPr>
        <w:t>SAIMEX</w:t>
      </w:r>
      <w:r w:rsidRPr="006247AF">
        <w:rPr>
          <w:rFonts w:ascii="Palatino Linotype" w:hAnsi="Palatino Linotype" w:cs="Arial"/>
        </w:rPr>
        <w:t>, al no tenerse por cumplidos los requisitos de procedencia.</w:t>
      </w:r>
    </w:p>
    <w:p w:rsidR="004D37E4" w:rsidRPr="006247AF" w:rsidRDefault="004D37E4" w:rsidP="004D772E">
      <w:pPr>
        <w:spacing w:line="360" w:lineRule="auto"/>
        <w:jc w:val="both"/>
        <w:rPr>
          <w:rFonts w:ascii="Palatino Linotype" w:hAnsi="Palatino Linotype"/>
          <w:lang w:val="es-ES"/>
        </w:rPr>
      </w:pPr>
    </w:p>
    <w:p w:rsidR="004D37E4" w:rsidRPr="006247AF" w:rsidRDefault="004D37E4" w:rsidP="004D772E">
      <w:pPr>
        <w:spacing w:line="360" w:lineRule="auto"/>
        <w:jc w:val="both"/>
        <w:rPr>
          <w:rFonts w:ascii="Palatino Linotype" w:hAnsi="Palatino Linotype"/>
          <w:lang w:val="es-ES" w:eastAsia="es-ES"/>
        </w:rPr>
      </w:pPr>
      <w:r w:rsidRPr="006247AF">
        <w:rPr>
          <w:rFonts w:ascii="Palatino Linotype" w:hAnsi="Palatino Linotype"/>
          <w:lang w:val="es-ES"/>
        </w:rPr>
        <w:lastRenderedPageBreak/>
        <w:t xml:space="preserve">Bajo ese contexto, se considera que con el pronunciamiento realizado desde su respuesta primigenia por el </w:t>
      </w:r>
      <w:r w:rsidRPr="006247AF">
        <w:rPr>
          <w:rFonts w:ascii="Palatino Linotype" w:hAnsi="Palatino Linotype"/>
          <w:b/>
          <w:lang w:val="es-ES"/>
        </w:rPr>
        <w:t>Sujeto Obligado</w:t>
      </w:r>
      <w:r w:rsidRPr="006247AF">
        <w:rPr>
          <w:rFonts w:ascii="Palatino Linotype" w:hAnsi="Palatino Linotype"/>
          <w:lang w:val="es-ES"/>
        </w:rPr>
        <w:t>, no colma con la</w:t>
      </w:r>
      <w:r w:rsidRPr="006247AF">
        <w:rPr>
          <w:rFonts w:ascii="Palatino Linotype" w:hAnsi="Palatino Linotype"/>
          <w:lang w:val="es-ES" w:eastAsia="es-ES"/>
        </w:rPr>
        <w:t xml:space="preserve"> información solicitada por el particular.</w:t>
      </w:r>
    </w:p>
    <w:p w:rsidR="004D772E" w:rsidRPr="006247AF" w:rsidRDefault="004D772E" w:rsidP="004D772E">
      <w:pPr>
        <w:spacing w:line="360" w:lineRule="auto"/>
        <w:jc w:val="both"/>
        <w:rPr>
          <w:rFonts w:ascii="Palatino Linotype" w:hAnsi="Palatino Linotype"/>
          <w:b/>
          <w:i/>
          <w:sz w:val="28"/>
        </w:rPr>
      </w:pPr>
    </w:p>
    <w:p w:rsidR="004D772E" w:rsidRPr="006247AF" w:rsidRDefault="004D772E" w:rsidP="004D772E">
      <w:pPr>
        <w:numPr>
          <w:ilvl w:val="0"/>
          <w:numId w:val="7"/>
        </w:numPr>
        <w:spacing w:line="360" w:lineRule="auto"/>
        <w:jc w:val="both"/>
        <w:rPr>
          <w:rFonts w:ascii="Palatino Linotype" w:hAnsi="Palatino Linotype"/>
          <w:b/>
          <w:i/>
          <w:sz w:val="28"/>
          <w:szCs w:val="28"/>
          <w:u w:val="single"/>
          <w:lang w:eastAsia="es-ES"/>
        </w:rPr>
      </w:pPr>
      <w:r w:rsidRPr="006247AF">
        <w:rPr>
          <w:rFonts w:ascii="Palatino Linotype" w:hAnsi="Palatino Linotype"/>
          <w:b/>
          <w:i/>
          <w:sz w:val="28"/>
          <w:szCs w:val="28"/>
          <w:u w:val="single"/>
          <w:lang w:eastAsia="es-ES"/>
        </w:rPr>
        <w:t>De la Versión Pública.</w:t>
      </w:r>
    </w:p>
    <w:p w:rsidR="004D772E" w:rsidRPr="006247AF" w:rsidRDefault="004D772E" w:rsidP="004D772E">
      <w:pPr>
        <w:spacing w:line="360" w:lineRule="auto"/>
        <w:jc w:val="both"/>
        <w:rPr>
          <w:rFonts w:ascii="Palatino Linotype" w:eastAsia="Arial Unicode MS" w:hAnsi="Palatino Linotype"/>
          <w:lang w:val="es-ES" w:eastAsia="es-ES"/>
        </w:rPr>
      </w:pPr>
      <w:r w:rsidRPr="006247AF">
        <w:rPr>
          <w:rFonts w:ascii="Palatino Linotype" w:eastAsia="Arial Unicode MS" w:hAnsi="Palatino Linotype"/>
          <w:lang w:val="es-ES" w:eastAsia="es-ES"/>
        </w:rPr>
        <w:t xml:space="preserve">Toda vez que los documentos referidos anteriormente y atendiendo al requerimiento del ciudadano, este Órgano Garante determina ordenar que la entrega de la información al </w:t>
      </w:r>
      <w:r w:rsidRPr="006247AF">
        <w:rPr>
          <w:rFonts w:ascii="Palatino Linotype" w:eastAsia="Arial Unicode MS" w:hAnsi="Palatino Linotype"/>
          <w:b/>
          <w:lang w:val="es-ES" w:eastAsia="es-ES"/>
        </w:rPr>
        <w:t>Recurrente</w:t>
      </w:r>
      <w:r w:rsidRPr="006247AF">
        <w:rPr>
          <w:rFonts w:ascii="Palatino Linotype" w:eastAsia="Arial Unicode MS" w:hAnsi="Palatino Linotype"/>
          <w:lang w:val="es-ES" w:eastAsia="es-ES"/>
        </w:rPr>
        <w:t xml:space="preserve"> se haga en </w:t>
      </w:r>
      <w:r w:rsidRPr="006247AF">
        <w:rPr>
          <w:rFonts w:ascii="Palatino Linotype" w:eastAsia="Arial Unicode MS" w:hAnsi="Palatino Linotype"/>
          <w:b/>
          <w:i/>
          <w:lang w:val="es-ES" w:eastAsia="es-ES"/>
        </w:rPr>
        <w:t>versión pública</w:t>
      </w:r>
      <w:r w:rsidRPr="006247AF">
        <w:rPr>
          <w:rFonts w:ascii="Palatino Linotype" w:eastAsia="Arial Unicode MS" w:hAnsi="Palatino Linotype"/>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rsidR="004D772E" w:rsidRPr="006247AF" w:rsidRDefault="004D772E" w:rsidP="004D772E">
      <w:pPr>
        <w:spacing w:line="360" w:lineRule="auto"/>
        <w:jc w:val="both"/>
        <w:rPr>
          <w:rFonts w:ascii="Palatino Linotype" w:hAnsi="Palatino Linotype"/>
          <w:bCs/>
          <w:lang w:eastAsia="es-ES"/>
        </w:rPr>
      </w:pPr>
    </w:p>
    <w:p w:rsidR="004D772E" w:rsidRPr="006247AF" w:rsidRDefault="004D772E" w:rsidP="004D772E">
      <w:pPr>
        <w:spacing w:line="360" w:lineRule="auto"/>
        <w:jc w:val="both"/>
        <w:rPr>
          <w:rFonts w:ascii="Palatino Linotype" w:hAnsi="Palatino Linotype"/>
          <w:lang w:eastAsia="es-ES"/>
        </w:rPr>
      </w:pPr>
      <w:r w:rsidRPr="006247AF">
        <w:rPr>
          <w:rFonts w:ascii="Palatino Linotype" w:hAnsi="Palatino Linotype"/>
          <w:bCs/>
          <w:lang w:eastAsia="es-ES"/>
        </w:rPr>
        <w:t>A este respecto, los</w:t>
      </w:r>
      <w:r w:rsidRPr="006247AF">
        <w:rPr>
          <w:rFonts w:ascii="Palatino Linotype" w:hAnsi="Palatino Linotype"/>
          <w:lang w:eastAsia="es-ES"/>
        </w:rPr>
        <w:t xml:space="preserve"> artículos 3, fracciones IX, XX, XXI y XLV; 51 y 52, de la Ley de Transparencia y Acceso a la Información Pública del Estado de México y Municipios establecen:</w:t>
      </w:r>
    </w:p>
    <w:p w:rsidR="004D772E" w:rsidRPr="006247AF" w:rsidRDefault="004D772E" w:rsidP="004D772E">
      <w:pPr>
        <w:rPr>
          <w:noProof/>
          <w:lang w:eastAsia="es-ES"/>
        </w:rPr>
      </w:pPr>
    </w:p>
    <w:p w:rsidR="004D772E" w:rsidRPr="006247AF" w:rsidRDefault="004D772E" w:rsidP="004D772E">
      <w:pPr>
        <w:ind w:left="567" w:right="616"/>
        <w:jc w:val="both"/>
        <w:rPr>
          <w:rFonts w:ascii="Palatino Linotype" w:hAnsi="Palatino Linotype"/>
          <w:i/>
          <w:lang w:eastAsia="es-ES"/>
        </w:rPr>
      </w:pPr>
      <w:r w:rsidRPr="006247AF">
        <w:rPr>
          <w:rFonts w:ascii="Palatino Linotype" w:hAnsi="Palatino Linotype" w:cs="Arial"/>
          <w:b/>
          <w:bCs/>
          <w:i/>
          <w:noProof/>
          <w:lang w:eastAsia="es-ES"/>
        </w:rPr>
        <w:t>“</w:t>
      </w:r>
      <w:r w:rsidRPr="006247AF">
        <w:rPr>
          <w:rFonts w:ascii="Palatino Linotype" w:hAnsi="Palatino Linotype" w:cs="Arial"/>
          <w:b/>
          <w:bCs/>
          <w:i/>
        </w:rPr>
        <w:t>Artículo</w:t>
      </w:r>
      <w:r w:rsidRPr="006247AF">
        <w:rPr>
          <w:rFonts w:ascii="Palatino Linotype" w:hAnsi="Palatino Linotype" w:cs="Arial"/>
          <w:b/>
          <w:bCs/>
          <w:i/>
          <w:lang w:eastAsia="es-ES"/>
        </w:rPr>
        <w:t xml:space="preserve"> 3. </w:t>
      </w:r>
      <w:r w:rsidRPr="006247AF">
        <w:rPr>
          <w:rFonts w:ascii="Palatino Linotype" w:hAnsi="Palatino Linotype"/>
          <w:i/>
          <w:lang w:eastAsia="es-ES"/>
        </w:rPr>
        <w:t xml:space="preserve">Para los efectos de la presente Ley se entenderá por: </w:t>
      </w:r>
    </w:p>
    <w:p w:rsidR="004D772E" w:rsidRPr="006247AF" w:rsidRDefault="004D772E" w:rsidP="004D772E">
      <w:pPr>
        <w:rPr>
          <w:lang w:eastAsia="es-ES"/>
        </w:rPr>
      </w:pPr>
    </w:p>
    <w:p w:rsidR="004D772E" w:rsidRPr="006247AF" w:rsidRDefault="004D772E" w:rsidP="004D772E">
      <w:pPr>
        <w:ind w:left="567" w:right="616"/>
        <w:jc w:val="both"/>
        <w:rPr>
          <w:rFonts w:ascii="Palatino Linotype" w:hAnsi="Palatino Linotype" w:cs="Arial"/>
          <w:i/>
          <w:lang w:eastAsia="es-ES"/>
        </w:rPr>
      </w:pPr>
      <w:r w:rsidRPr="006247AF">
        <w:rPr>
          <w:rFonts w:ascii="Palatino Linotype" w:hAnsi="Palatino Linotype" w:cs="Arial"/>
          <w:b/>
          <w:i/>
          <w:lang w:eastAsia="es-ES"/>
        </w:rPr>
        <w:t>IX.</w:t>
      </w:r>
      <w:r w:rsidRPr="006247AF">
        <w:rPr>
          <w:rFonts w:ascii="Palatino Linotype" w:hAnsi="Palatino Linotype" w:cs="Arial"/>
          <w:i/>
          <w:lang w:eastAsia="es-ES"/>
        </w:rPr>
        <w:t xml:space="preserve"> </w:t>
      </w:r>
      <w:r w:rsidRPr="006247AF">
        <w:rPr>
          <w:rFonts w:ascii="Palatino Linotype" w:hAnsi="Palatino Linotype" w:cs="Arial"/>
          <w:b/>
          <w:i/>
          <w:lang w:eastAsia="es-ES"/>
        </w:rPr>
        <w:t xml:space="preserve">Datos personales: </w:t>
      </w:r>
      <w:r w:rsidRPr="006247AF">
        <w:rPr>
          <w:rFonts w:ascii="Palatino Linotype" w:hAnsi="Palatino Linotype" w:cs="Arial"/>
          <w:i/>
          <w:lang w:eastAsia="es-ES"/>
        </w:rPr>
        <w:t xml:space="preserve">La información concerniente a una persona, identificada o identificable según lo dispuesto por la Ley de Protección de Datos Personales del Estado de México; </w:t>
      </w:r>
    </w:p>
    <w:p w:rsidR="004D772E" w:rsidRPr="006247AF" w:rsidRDefault="004D772E" w:rsidP="004D772E">
      <w:pPr>
        <w:ind w:left="567" w:right="616"/>
        <w:jc w:val="both"/>
        <w:rPr>
          <w:rFonts w:ascii="Palatino Linotype" w:hAnsi="Palatino Linotype" w:cs="Arial"/>
          <w:i/>
          <w:lang w:eastAsia="es-ES"/>
        </w:rPr>
      </w:pPr>
    </w:p>
    <w:p w:rsidR="004D772E" w:rsidRPr="006247AF" w:rsidRDefault="004D772E" w:rsidP="004D772E">
      <w:pPr>
        <w:ind w:left="567" w:right="616"/>
        <w:jc w:val="both"/>
        <w:rPr>
          <w:rFonts w:ascii="Palatino Linotype" w:hAnsi="Palatino Linotype" w:cs="Arial"/>
          <w:i/>
          <w:lang w:eastAsia="es-ES"/>
        </w:rPr>
      </w:pPr>
      <w:r w:rsidRPr="006247AF">
        <w:rPr>
          <w:rFonts w:ascii="Palatino Linotype" w:hAnsi="Palatino Linotype" w:cs="Arial"/>
          <w:b/>
          <w:i/>
          <w:lang w:eastAsia="es-ES"/>
        </w:rPr>
        <w:t>XX.</w:t>
      </w:r>
      <w:r w:rsidRPr="006247AF">
        <w:rPr>
          <w:rFonts w:ascii="Palatino Linotype" w:hAnsi="Palatino Linotype" w:cs="Arial"/>
          <w:i/>
          <w:lang w:eastAsia="es-ES"/>
        </w:rPr>
        <w:t xml:space="preserve"> </w:t>
      </w:r>
      <w:r w:rsidRPr="006247AF">
        <w:rPr>
          <w:rFonts w:ascii="Palatino Linotype" w:hAnsi="Palatino Linotype" w:cs="Arial"/>
          <w:b/>
          <w:i/>
          <w:lang w:eastAsia="es-ES"/>
        </w:rPr>
        <w:t>Información clasificada:</w:t>
      </w:r>
      <w:r w:rsidRPr="006247AF">
        <w:rPr>
          <w:rFonts w:ascii="Palatino Linotype" w:hAnsi="Palatino Linotype" w:cs="Arial"/>
          <w:i/>
          <w:lang w:eastAsia="es-ES"/>
        </w:rPr>
        <w:t xml:space="preserve"> Aquella considerada por la presente Ley como reservada o confidencial; </w:t>
      </w:r>
    </w:p>
    <w:p w:rsidR="004D772E" w:rsidRPr="006247AF" w:rsidRDefault="004D772E" w:rsidP="004D772E">
      <w:pPr>
        <w:ind w:left="567" w:right="616"/>
        <w:jc w:val="both"/>
        <w:rPr>
          <w:rFonts w:ascii="Palatino Linotype" w:hAnsi="Palatino Linotype" w:cs="Arial"/>
          <w:i/>
          <w:lang w:eastAsia="es-ES"/>
        </w:rPr>
      </w:pPr>
    </w:p>
    <w:p w:rsidR="004D772E" w:rsidRPr="006247AF" w:rsidRDefault="004D772E" w:rsidP="004D772E">
      <w:pPr>
        <w:ind w:left="567" w:right="616"/>
        <w:jc w:val="both"/>
        <w:rPr>
          <w:rFonts w:ascii="Palatino Linotype" w:hAnsi="Palatino Linotype" w:cs="Arial"/>
          <w:i/>
          <w:lang w:eastAsia="es-ES"/>
        </w:rPr>
      </w:pPr>
      <w:r w:rsidRPr="006247AF">
        <w:rPr>
          <w:rFonts w:ascii="Palatino Linotype" w:hAnsi="Palatino Linotype" w:cs="Arial"/>
          <w:b/>
          <w:i/>
          <w:lang w:eastAsia="es-ES"/>
        </w:rPr>
        <w:t>XXI.</w:t>
      </w:r>
      <w:r w:rsidRPr="006247AF">
        <w:rPr>
          <w:rFonts w:ascii="Palatino Linotype" w:hAnsi="Palatino Linotype" w:cs="Arial"/>
          <w:i/>
          <w:lang w:eastAsia="es-ES"/>
        </w:rPr>
        <w:t xml:space="preserve"> </w:t>
      </w:r>
      <w:r w:rsidRPr="006247AF">
        <w:rPr>
          <w:rFonts w:ascii="Palatino Linotype" w:hAnsi="Palatino Linotype" w:cs="Arial"/>
          <w:b/>
          <w:i/>
          <w:lang w:eastAsia="es-ES"/>
        </w:rPr>
        <w:t>Información confidencial</w:t>
      </w:r>
      <w:r w:rsidRPr="006247AF">
        <w:rPr>
          <w:rFonts w:ascii="Palatino Linotype" w:hAnsi="Palatino Linotype" w:cs="Arial"/>
          <w:i/>
          <w:lang w:eastAsia="es-ES"/>
        </w:rPr>
        <w:t xml:space="preserve">: Se considera como información confidencial los secretos bancario, fiduciario, industrial, comercial, fiscal, bursátil y postal, cuya </w:t>
      </w:r>
      <w:r w:rsidRPr="006247AF">
        <w:rPr>
          <w:rFonts w:ascii="Palatino Linotype" w:hAnsi="Palatino Linotype" w:cs="Arial"/>
          <w:i/>
          <w:lang w:eastAsia="es-ES"/>
        </w:rPr>
        <w:lastRenderedPageBreak/>
        <w:t xml:space="preserve">titularidad corresponda a particulares, sujetos de derecho internacional o a sujetos obligados cuando no involucren el ejercicio de recursos públicos; </w:t>
      </w:r>
    </w:p>
    <w:p w:rsidR="004D772E" w:rsidRPr="006247AF" w:rsidRDefault="004D772E" w:rsidP="004D772E">
      <w:pPr>
        <w:ind w:left="567" w:right="616"/>
        <w:jc w:val="both"/>
        <w:rPr>
          <w:rFonts w:ascii="Palatino Linotype" w:hAnsi="Palatino Linotype" w:cs="Arial"/>
          <w:i/>
          <w:lang w:eastAsia="es-ES"/>
        </w:rPr>
      </w:pPr>
    </w:p>
    <w:p w:rsidR="004D772E" w:rsidRPr="006247AF" w:rsidRDefault="004D772E" w:rsidP="004D772E">
      <w:pPr>
        <w:ind w:left="567" w:right="616"/>
        <w:jc w:val="both"/>
        <w:rPr>
          <w:rFonts w:ascii="Palatino Linotype" w:hAnsi="Palatino Linotype" w:cs="Arial"/>
          <w:i/>
          <w:lang w:eastAsia="es-ES"/>
        </w:rPr>
      </w:pPr>
      <w:r w:rsidRPr="006247AF">
        <w:rPr>
          <w:rFonts w:ascii="Palatino Linotype" w:hAnsi="Palatino Linotype" w:cs="Arial"/>
          <w:b/>
          <w:i/>
          <w:lang w:eastAsia="es-ES"/>
        </w:rPr>
        <w:t>XLV. Versión pública:</w:t>
      </w:r>
      <w:r w:rsidRPr="006247AF">
        <w:rPr>
          <w:rFonts w:ascii="Palatino Linotype" w:hAnsi="Palatino Linotype" w:cs="Arial"/>
          <w:i/>
          <w:lang w:eastAsia="es-ES"/>
        </w:rPr>
        <w:t xml:space="preserve"> Documento en el que se elimine, suprime o borra la información clasificada como reservada o confidencial para permitir su acceso. </w:t>
      </w:r>
    </w:p>
    <w:p w:rsidR="004D772E" w:rsidRPr="006247AF" w:rsidRDefault="004D772E" w:rsidP="004D772E">
      <w:pPr>
        <w:ind w:left="567" w:right="616"/>
        <w:jc w:val="both"/>
        <w:rPr>
          <w:rFonts w:ascii="Palatino Linotype" w:hAnsi="Palatino Linotype" w:cs="Arial"/>
          <w:i/>
          <w:lang w:eastAsia="es-ES"/>
        </w:rPr>
      </w:pPr>
    </w:p>
    <w:p w:rsidR="004D772E" w:rsidRPr="006247AF" w:rsidRDefault="004D772E" w:rsidP="004D772E">
      <w:pPr>
        <w:ind w:left="567" w:right="616"/>
        <w:jc w:val="both"/>
        <w:rPr>
          <w:rFonts w:ascii="Palatino Linotype" w:hAnsi="Palatino Linotype" w:cs="Arial"/>
          <w:i/>
          <w:lang w:eastAsia="es-ES"/>
        </w:rPr>
      </w:pPr>
      <w:r w:rsidRPr="006247AF">
        <w:rPr>
          <w:rFonts w:ascii="Palatino Linotype" w:hAnsi="Palatino Linotype" w:cs="Arial"/>
          <w:b/>
          <w:i/>
          <w:lang w:eastAsia="es-ES"/>
        </w:rPr>
        <w:t>Artículo 51.</w:t>
      </w:r>
      <w:r w:rsidRPr="006247AF">
        <w:rPr>
          <w:rFonts w:ascii="Palatino Linotype"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247AF">
        <w:rPr>
          <w:rFonts w:ascii="Palatino Linotype" w:hAnsi="Palatino Linotype" w:cs="Arial"/>
          <w:b/>
          <w:i/>
          <w:lang w:eastAsia="es-ES"/>
        </w:rPr>
        <w:t xml:space="preserve">y tendrá la responsabilidad de verificar en cada caso que la misma no sea confidencial o reservada. </w:t>
      </w:r>
      <w:r w:rsidRPr="006247AF">
        <w:rPr>
          <w:rFonts w:ascii="Palatino Linotype" w:hAnsi="Palatino Linotype" w:cs="Arial"/>
          <w:i/>
          <w:lang w:eastAsia="es-ES"/>
        </w:rPr>
        <w:t xml:space="preserve">Dicha Unidad contará con las facultades internas necesarias para gestionar la atención a las solicitudes de información en los términos de la Ley General y la presente Ley. </w:t>
      </w:r>
    </w:p>
    <w:p w:rsidR="004D772E" w:rsidRPr="006247AF" w:rsidRDefault="004D772E" w:rsidP="004D772E">
      <w:pPr>
        <w:ind w:left="567" w:right="616"/>
        <w:jc w:val="both"/>
        <w:rPr>
          <w:rFonts w:ascii="Palatino Linotype" w:hAnsi="Palatino Linotype" w:cs="Arial"/>
          <w:i/>
          <w:lang w:eastAsia="es-ES"/>
        </w:rPr>
      </w:pPr>
    </w:p>
    <w:p w:rsidR="004D772E" w:rsidRPr="006247AF" w:rsidRDefault="004D772E" w:rsidP="004D772E">
      <w:pPr>
        <w:ind w:left="567" w:right="616"/>
        <w:jc w:val="both"/>
        <w:rPr>
          <w:rFonts w:ascii="Palatino Linotype" w:hAnsi="Palatino Linotype" w:cs="Arial"/>
          <w:bCs/>
          <w:i/>
          <w:noProof/>
          <w:lang w:eastAsia="es-ES"/>
        </w:rPr>
      </w:pPr>
      <w:r w:rsidRPr="006247AF">
        <w:rPr>
          <w:rFonts w:ascii="Palatino Linotype" w:hAnsi="Palatino Linotype" w:cs="Arial"/>
          <w:b/>
          <w:i/>
          <w:lang w:eastAsia="es-ES"/>
        </w:rPr>
        <w:t>Artículo 52.</w:t>
      </w:r>
      <w:r w:rsidRPr="006247AF">
        <w:rPr>
          <w:rFonts w:ascii="Palatino Linotype"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6247AF">
        <w:rPr>
          <w:rFonts w:ascii="Palatino Linotype" w:hAnsi="Palatino Linotype" w:cs="Arial"/>
          <w:bCs/>
          <w:i/>
          <w:noProof/>
          <w:lang w:eastAsia="es-ES"/>
        </w:rPr>
        <w:t>”</w:t>
      </w:r>
    </w:p>
    <w:p w:rsidR="004D772E" w:rsidRPr="006247AF" w:rsidRDefault="004D772E" w:rsidP="004D772E">
      <w:pPr>
        <w:rPr>
          <w:noProof/>
          <w:lang w:eastAsia="es-ES"/>
        </w:rPr>
      </w:pPr>
    </w:p>
    <w:p w:rsidR="004D772E" w:rsidRPr="006247AF" w:rsidRDefault="004D772E" w:rsidP="004D772E">
      <w:pPr>
        <w:spacing w:line="360" w:lineRule="auto"/>
        <w:jc w:val="both"/>
        <w:rPr>
          <w:rFonts w:ascii="Palatino Linotype" w:hAnsi="Palatino Linotype"/>
          <w:lang w:eastAsia="es-ES"/>
        </w:rPr>
      </w:pPr>
      <w:r w:rsidRPr="006247AF">
        <w:rPr>
          <w:rFonts w:ascii="Palatino Linotype" w:hAnsi="Palatino Linotype"/>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rsidR="004D772E" w:rsidRPr="006247AF" w:rsidRDefault="004D772E" w:rsidP="004D772E">
      <w:pPr>
        <w:ind w:left="567" w:right="616"/>
        <w:jc w:val="both"/>
        <w:rPr>
          <w:rFonts w:ascii="Palatino Linotype" w:hAnsi="Palatino Linotype"/>
          <w:lang w:eastAsia="es-ES"/>
        </w:rPr>
      </w:pPr>
    </w:p>
    <w:p w:rsidR="004D772E" w:rsidRPr="006247AF" w:rsidRDefault="004D772E" w:rsidP="004D772E">
      <w:pPr>
        <w:ind w:left="567" w:right="616"/>
        <w:jc w:val="both"/>
        <w:rPr>
          <w:rFonts w:ascii="Palatino Linotype" w:eastAsia="Arial Unicode MS" w:hAnsi="Palatino Linotype" w:cs="Arial"/>
          <w:i/>
          <w:lang w:eastAsia="es-ES"/>
        </w:rPr>
      </w:pPr>
      <w:r w:rsidRPr="006247AF">
        <w:rPr>
          <w:rFonts w:ascii="Palatino Linotype" w:eastAsia="Arial Unicode MS" w:hAnsi="Palatino Linotype" w:cs="Arial"/>
          <w:i/>
          <w:lang w:eastAsia="es-ES"/>
        </w:rPr>
        <w:lastRenderedPageBreak/>
        <w:t>“</w:t>
      </w:r>
      <w:r w:rsidRPr="006247AF">
        <w:rPr>
          <w:rFonts w:ascii="Palatino Linotype" w:eastAsia="Arial Unicode MS" w:hAnsi="Palatino Linotype" w:cs="Arial"/>
          <w:b/>
          <w:i/>
          <w:lang w:eastAsia="es-ES"/>
        </w:rPr>
        <w:t>Artículo</w:t>
      </w:r>
      <w:r w:rsidRPr="006247AF">
        <w:rPr>
          <w:rFonts w:ascii="Palatino Linotype" w:eastAsia="Arial Unicode MS" w:hAnsi="Palatino Linotype" w:cs="Arial"/>
          <w:i/>
          <w:lang w:eastAsia="es-ES"/>
        </w:rPr>
        <w:t xml:space="preserve"> </w:t>
      </w:r>
      <w:r w:rsidRPr="006247AF">
        <w:rPr>
          <w:rFonts w:ascii="Palatino Linotype" w:eastAsia="Arial Unicode MS" w:hAnsi="Palatino Linotype" w:cs="Arial"/>
          <w:b/>
          <w:i/>
          <w:lang w:eastAsia="es-ES"/>
        </w:rPr>
        <w:t>22</w:t>
      </w:r>
      <w:r w:rsidRPr="006247AF">
        <w:rPr>
          <w:rFonts w:ascii="Palatino Linotype" w:eastAsia="Arial Unicode MS" w:hAnsi="Palatino Linotype" w:cs="Arial"/>
          <w:i/>
          <w:lang w:eastAsia="es-ES"/>
        </w:rPr>
        <w:t>. Todo tratamiento de datos personales que efectúe el responsable deberá estar justificado por finalidades concretas, lícitas, explícitas y legítimas, relacionadas con las atribuciones que la normatividad aplicable les confiera.</w:t>
      </w:r>
    </w:p>
    <w:p w:rsidR="004D772E" w:rsidRPr="006247AF" w:rsidRDefault="004D772E" w:rsidP="004D772E">
      <w:pPr>
        <w:ind w:left="567" w:right="616"/>
        <w:jc w:val="both"/>
        <w:rPr>
          <w:rFonts w:ascii="Palatino Linotype" w:eastAsia="Arial Unicode MS" w:hAnsi="Palatino Linotype" w:cs="Arial"/>
          <w:i/>
          <w:lang w:eastAsia="es-ES"/>
        </w:rPr>
      </w:pPr>
    </w:p>
    <w:p w:rsidR="004D772E" w:rsidRPr="006247AF" w:rsidRDefault="004D772E" w:rsidP="004D772E">
      <w:pPr>
        <w:ind w:left="567" w:right="616"/>
        <w:jc w:val="both"/>
        <w:rPr>
          <w:rFonts w:ascii="Palatino Linotype" w:eastAsia="Arial Unicode MS" w:hAnsi="Palatino Linotype" w:cs="Arial"/>
          <w:i/>
          <w:lang w:eastAsia="es-ES"/>
        </w:rPr>
      </w:pPr>
      <w:r w:rsidRPr="006247AF">
        <w:rPr>
          <w:rFonts w:ascii="Palatino Linotype" w:eastAsia="Arial Unicode MS" w:hAnsi="Palatino Linotype" w:cs="Arial"/>
          <w:i/>
          <w:lang w:eastAsia="es-ES"/>
        </w:rPr>
        <w:t>El responsable podrá tratar datos personales para finalidades distintas a aquéllas establecidas en el aviso de privacidad, en los casos siguientes:</w:t>
      </w:r>
    </w:p>
    <w:p w:rsidR="004D772E" w:rsidRPr="006247AF" w:rsidRDefault="004D772E" w:rsidP="004D772E">
      <w:pPr>
        <w:ind w:left="567" w:right="616"/>
        <w:jc w:val="both"/>
        <w:rPr>
          <w:rFonts w:ascii="Palatino Linotype" w:eastAsia="Arial Unicode MS" w:hAnsi="Palatino Linotype" w:cs="Arial"/>
          <w:i/>
          <w:lang w:eastAsia="es-ES"/>
        </w:rPr>
      </w:pPr>
    </w:p>
    <w:p w:rsidR="004D772E" w:rsidRPr="006247AF" w:rsidRDefault="004D772E" w:rsidP="004D772E">
      <w:pPr>
        <w:ind w:left="567" w:right="616"/>
        <w:jc w:val="both"/>
        <w:rPr>
          <w:rFonts w:ascii="Palatino Linotype" w:eastAsia="Arial Unicode MS" w:hAnsi="Palatino Linotype" w:cs="Arial"/>
          <w:i/>
          <w:lang w:eastAsia="es-ES"/>
        </w:rPr>
      </w:pPr>
      <w:r w:rsidRPr="006247AF">
        <w:rPr>
          <w:rFonts w:ascii="Palatino Linotype" w:eastAsia="Arial Unicode MS" w:hAnsi="Palatino Linotype" w:cs="Arial"/>
          <w:i/>
          <w:lang w:eastAsia="es-ES"/>
        </w:rPr>
        <w:t>I. Cuente con atribuciones conferidas en ley y medie el consentimiento del titular.</w:t>
      </w:r>
    </w:p>
    <w:p w:rsidR="004D772E" w:rsidRPr="006247AF" w:rsidRDefault="004D772E" w:rsidP="004D772E">
      <w:pPr>
        <w:ind w:left="567" w:right="616"/>
        <w:jc w:val="both"/>
        <w:rPr>
          <w:rFonts w:ascii="Palatino Linotype" w:eastAsia="Arial Unicode MS" w:hAnsi="Palatino Linotype" w:cs="Arial"/>
          <w:i/>
          <w:lang w:eastAsia="es-ES"/>
        </w:rPr>
      </w:pPr>
      <w:r w:rsidRPr="006247AF">
        <w:rPr>
          <w:rFonts w:ascii="Palatino Linotype" w:eastAsia="Arial Unicode MS" w:hAnsi="Palatino Linotype" w:cs="Arial"/>
          <w:i/>
          <w:lang w:eastAsia="es-ES"/>
        </w:rPr>
        <w:t>II. Se trate de una persona reportada como desaparecida, en los términos previstos en la presente Ley y demás disposiciones legales aplicables...</w:t>
      </w:r>
    </w:p>
    <w:p w:rsidR="004D772E" w:rsidRPr="006247AF" w:rsidRDefault="004D772E" w:rsidP="004D772E">
      <w:pPr>
        <w:ind w:left="567" w:right="616"/>
        <w:jc w:val="both"/>
        <w:rPr>
          <w:rFonts w:ascii="Palatino Linotype" w:eastAsia="Arial Unicode MS" w:hAnsi="Palatino Linotype" w:cs="Arial"/>
          <w:i/>
          <w:lang w:eastAsia="es-ES"/>
        </w:rPr>
      </w:pPr>
    </w:p>
    <w:p w:rsidR="004D772E" w:rsidRPr="006247AF" w:rsidRDefault="004D772E" w:rsidP="004D772E">
      <w:pPr>
        <w:ind w:left="567" w:right="616"/>
        <w:jc w:val="both"/>
        <w:rPr>
          <w:rFonts w:ascii="Palatino Linotype" w:eastAsia="Arial Unicode MS" w:hAnsi="Palatino Linotype" w:cs="Arial"/>
          <w:i/>
          <w:lang w:eastAsia="es-ES"/>
        </w:rPr>
      </w:pPr>
      <w:r w:rsidRPr="006247AF">
        <w:rPr>
          <w:rFonts w:ascii="Palatino Linotype" w:eastAsia="Arial Unicode MS" w:hAnsi="Palatino Linotype" w:cs="Arial"/>
          <w:b/>
          <w:i/>
          <w:lang w:eastAsia="es-ES"/>
        </w:rPr>
        <w:t>Artículo</w:t>
      </w:r>
      <w:r w:rsidRPr="006247AF">
        <w:rPr>
          <w:rFonts w:ascii="Palatino Linotype" w:eastAsia="Arial Unicode MS" w:hAnsi="Palatino Linotype" w:cs="Arial"/>
          <w:i/>
          <w:lang w:eastAsia="es-ES"/>
        </w:rPr>
        <w:t xml:space="preserve"> </w:t>
      </w:r>
      <w:r w:rsidRPr="006247AF">
        <w:rPr>
          <w:rFonts w:ascii="Palatino Linotype" w:eastAsia="Arial Unicode MS" w:hAnsi="Palatino Linotype" w:cs="Arial"/>
          <w:b/>
          <w:i/>
          <w:lang w:eastAsia="es-ES"/>
        </w:rPr>
        <w:t>38</w:t>
      </w:r>
      <w:r w:rsidRPr="006247AF">
        <w:rPr>
          <w:rFonts w:ascii="Palatino Linotype" w:eastAsia="Arial Unicode MS" w:hAnsi="Palatino Linotype" w:cs="Arial"/>
          <w:i/>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rsidR="004D772E" w:rsidRPr="006247AF" w:rsidRDefault="004D772E" w:rsidP="004D772E">
      <w:pPr>
        <w:spacing w:line="360" w:lineRule="auto"/>
        <w:jc w:val="both"/>
        <w:rPr>
          <w:rFonts w:ascii="Palatino Linotype" w:hAnsi="Palatino Linotype"/>
          <w:lang w:eastAsia="es-ES"/>
        </w:rPr>
      </w:pPr>
    </w:p>
    <w:p w:rsidR="004D772E" w:rsidRPr="006247AF" w:rsidRDefault="004D772E" w:rsidP="004D772E">
      <w:pPr>
        <w:spacing w:line="360" w:lineRule="auto"/>
        <w:jc w:val="both"/>
        <w:rPr>
          <w:rFonts w:ascii="Palatino Linotype" w:hAnsi="Palatino Linotype"/>
          <w:lang w:eastAsia="es-ES"/>
        </w:rPr>
      </w:pPr>
      <w:r w:rsidRPr="006247AF">
        <w:rPr>
          <w:rFonts w:ascii="Palatino Linotype" w:hAnsi="Palatino Linotype"/>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rsidR="004D772E" w:rsidRPr="006247AF" w:rsidRDefault="004D772E" w:rsidP="004D772E">
      <w:pPr>
        <w:spacing w:line="360" w:lineRule="auto"/>
        <w:jc w:val="both"/>
        <w:rPr>
          <w:rFonts w:ascii="Palatino Linotype" w:hAnsi="Palatino Linotype"/>
          <w:lang w:eastAsia="es-ES"/>
        </w:rPr>
      </w:pPr>
    </w:p>
    <w:p w:rsidR="004D772E" w:rsidRPr="006247AF" w:rsidRDefault="004D772E" w:rsidP="004D772E">
      <w:pPr>
        <w:spacing w:line="360" w:lineRule="auto"/>
        <w:jc w:val="both"/>
        <w:rPr>
          <w:rFonts w:ascii="Palatino Linotype" w:eastAsia="Arial Unicode MS" w:hAnsi="Palatino Linotype"/>
          <w:lang w:val="es-ES" w:eastAsia="es-ES"/>
        </w:rPr>
      </w:pPr>
      <w:r w:rsidRPr="006247AF">
        <w:rPr>
          <w:rFonts w:ascii="Palatino Linotype" w:eastAsia="Arial Unicode MS" w:hAnsi="Palatino Linotype"/>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w:t>
      </w:r>
      <w:r w:rsidRPr="006247AF">
        <w:rPr>
          <w:rFonts w:ascii="Palatino Linotype" w:eastAsia="Arial Unicode MS" w:hAnsi="Palatino Linotype"/>
          <w:lang w:val="es-ES" w:eastAsia="es-ES"/>
        </w:rPr>
        <w:lastRenderedPageBreak/>
        <w:t xml:space="preserve">que debe ser protegida por </w:t>
      </w:r>
      <w:r w:rsidRPr="006247AF">
        <w:rPr>
          <w:rFonts w:ascii="Palatino Linotype" w:eastAsia="Arial Unicode MS" w:hAnsi="Palatino Linotype"/>
          <w:color w:val="000000"/>
        </w:rPr>
        <w:t>el Sujeto Obligado</w:t>
      </w:r>
      <w:r w:rsidRPr="006247AF">
        <w:rPr>
          <w:rFonts w:ascii="Palatino Linotype" w:eastAsia="Arial Unicode MS" w:hAnsi="Palatino Linotype"/>
          <w:lang w:val="es-ES" w:eastAsia="es-ES"/>
        </w:rPr>
        <w:t xml:space="preserve">, en ese contexto, todo dato personal susceptible de clasificación debe ser protegido. </w:t>
      </w:r>
    </w:p>
    <w:p w:rsidR="004D772E" w:rsidRPr="006247AF" w:rsidRDefault="004D772E" w:rsidP="004D772E">
      <w:pPr>
        <w:spacing w:line="360" w:lineRule="auto"/>
        <w:jc w:val="both"/>
        <w:rPr>
          <w:rFonts w:ascii="Palatino Linotype" w:eastAsia="Arial Unicode MS" w:hAnsi="Palatino Linotype"/>
          <w:lang w:val="es-ES" w:eastAsia="es-ES"/>
        </w:rPr>
      </w:pPr>
    </w:p>
    <w:p w:rsidR="004D772E" w:rsidRPr="006247AF" w:rsidRDefault="004D772E" w:rsidP="004D772E">
      <w:pPr>
        <w:spacing w:line="360" w:lineRule="auto"/>
        <w:jc w:val="both"/>
        <w:rPr>
          <w:rFonts w:ascii="Palatino Linotype" w:hAnsi="Palatino Linotype"/>
          <w:lang w:val="es-ES" w:eastAsia="es-ES"/>
        </w:rPr>
      </w:pPr>
      <w:r w:rsidRPr="006247AF">
        <w:rPr>
          <w:rFonts w:ascii="Palatino Linotype" w:hAnsi="Palatino Linotype"/>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rsidR="004D772E" w:rsidRPr="006247AF" w:rsidRDefault="004D772E" w:rsidP="004D772E">
      <w:pPr>
        <w:ind w:left="567" w:right="616"/>
        <w:jc w:val="both"/>
        <w:rPr>
          <w:rFonts w:ascii="Palatino Linotype" w:hAnsi="Palatino Linotype"/>
          <w:i/>
        </w:rPr>
      </w:pPr>
      <w:r w:rsidRPr="006247AF">
        <w:rPr>
          <w:rFonts w:ascii="Palatino Linotype" w:hAnsi="Palatino Linotype"/>
          <w:i/>
        </w:rPr>
        <w:t>"</w:t>
      </w:r>
      <w:r w:rsidRPr="006247AF">
        <w:rPr>
          <w:rFonts w:ascii="Palatino Linotype" w:hAnsi="Palatino Linotype"/>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6247AF">
        <w:rPr>
          <w:rFonts w:ascii="Palatino Linotype" w:hAnsi="Palatino Linotype"/>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rsidR="004D772E" w:rsidRPr="006247AF" w:rsidRDefault="004D772E" w:rsidP="004D772E">
      <w:pPr>
        <w:spacing w:line="360" w:lineRule="auto"/>
        <w:jc w:val="both"/>
        <w:rPr>
          <w:rFonts w:ascii="Palatino Linotype" w:hAnsi="Palatino Linotype"/>
          <w:lang w:val="es-ES_tradnl" w:eastAsia="es-ES"/>
        </w:rPr>
      </w:pPr>
    </w:p>
    <w:p w:rsidR="004D772E" w:rsidRPr="006247AF" w:rsidRDefault="004D772E" w:rsidP="004D772E">
      <w:pPr>
        <w:spacing w:line="360" w:lineRule="auto"/>
        <w:jc w:val="both"/>
        <w:rPr>
          <w:rFonts w:ascii="Palatino Linotype" w:hAnsi="Palatino Linotype"/>
          <w:lang w:val="es-ES" w:eastAsia="es-ES"/>
        </w:rPr>
      </w:pPr>
      <w:r w:rsidRPr="006247AF">
        <w:rPr>
          <w:rFonts w:ascii="Palatino Linotype" w:hAnsi="Palatino Linotype"/>
          <w:lang w:val="es-ES_tradnl" w:eastAsia="es-ES"/>
        </w:rPr>
        <w:t xml:space="preserve">Por ende, en el presente caso el Sujeto Obligado sólo podrá testar los datos referidos con antelación, clasificación que tiene que efectuar mediante las formalidades que la Ley </w:t>
      </w:r>
      <w:r w:rsidRPr="006247AF">
        <w:rPr>
          <w:rFonts w:ascii="Palatino Linotype" w:hAnsi="Palatino Linotype"/>
          <w:lang w:val="es-ES_tradnl" w:eastAsia="es-ES"/>
        </w:rPr>
        <w:lastRenderedPageBreak/>
        <w:t xml:space="preserve">impone, es decir, </w:t>
      </w:r>
      <w:r w:rsidRPr="006247AF">
        <w:rPr>
          <w:rFonts w:ascii="Palatino Linotype" w:hAnsi="Palatino Linotype"/>
          <w:lang w:val="es-ES" w:eastAsia="es-ES"/>
        </w:rPr>
        <w:t>resulta necesario que el Comité de Transparencia d</w:t>
      </w:r>
      <w:r w:rsidRPr="006247AF">
        <w:rPr>
          <w:rFonts w:ascii="Palatino Linotype" w:hAnsi="Palatino Linotype"/>
          <w:lang w:val="es-ES_tradnl" w:eastAsia="es-ES"/>
        </w:rPr>
        <w:t xml:space="preserve">el Sujeto Obligado </w:t>
      </w:r>
      <w:r w:rsidRPr="006247AF">
        <w:rPr>
          <w:rFonts w:ascii="Palatino Linotype" w:hAnsi="Palatino Linotype"/>
          <w:lang w:val="es-ES" w:eastAsia="es-ES"/>
        </w:rPr>
        <w:t>emita el Acuerdo de Clasificación correspondiente</w:t>
      </w:r>
      <w:r w:rsidRPr="006247AF">
        <w:rPr>
          <w:rFonts w:ascii="Palatino Linotype" w:hAnsi="Palatino Linotype"/>
          <w:lang w:val="es-ES_tradnl" w:eastAsia="es-ES"/>
        </w:rPr>
        <w:t xml:space="preserve"> debidamente fundado y motivado, </w:t>
      </w:r>
      <w:r w:rsidRPr="006247AF">
        <w:rPr>
          <w:rFonts w:ascii="Palatino Linotype" w:hAnsi="Palatino Linotype"/>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6247AF">
        <w:rPr>
          <w:rFonts w:ascii="Palatino Linotype" w:hAnsi="Palatino Linotype"/>
          <w:b/>
          <w:lang w:val="es-ES" w:eastAsia="es-ES"/>
        </w:rPr>
        <w:t>LINEAMIENTOS GENERALES EN MATERIA DE CLASIFICACIÓN Y DESCLASIFICACIÓN DE LA INFORMACIÓN, ASÍ COMO PARA LA ELABORACIÓN DE VERSIONES PÚBLICAS</w:t>
      </w:r>
      <w:r w:rsidRPr="006247AF">
        <w:rPr>
          <w:rFonts w:ascii="Palatino Linotype" w:hAnsi="Palatino Linotype"/>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rsidR="004D772E" w:rsidRPr="006247AF" w:rsidRDefault="004D772E" w:rsidP="004D772E">
      <w:pPr>
        <w:spacing w:line="360" w:lineRule="auto"/>
        <w:jc w:val="both"/>
        <w:rPr>
          <w:rFonts w:ascii="Palatino Linotype" w:hAnsi="Palatino Linotype"/>
          <w:lang w:val="es-ES" w:eastAsia="es-ES"/>
        </w:rPr>
      </w:pPr>
    </w:p>
    <w:p w:rsidR="004D772E" w:rsidRPr="006247AF" w:rsidRDefault="004D772E" w:rsidP="004D772E">
      <w:pPr>
        <w:spacing w:line="360" w:lineRule="auto"/>
        <w:jc w:val="both"/>
        <w:rPr>
          <w:rFonts w:ascii="Palatino Linotype" w:eastAsia="Palatino Linotype" w:hAnsi="Palatino Linotype" w:cs="Tahoma"/>
          <w:color w:val="000000"/>
          <w:lang w:val="es-ES"/>
        </w:rPr>
      </w:pPr>
      <w:r w:rsidRPr="006247AF">
        <w:rPr>
          <w:rFonts w:ascii="Palatino Linotype" w:eastAsia="Palatino Linotype" w:hAnsi="Palatino Linotype" w:cs="Tahoma"/>
          <w:color w:val="000000"/>
          <w:lang w:val="es-E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deben ser considerados confidenciales, en términos del artículo 143, fracción I, de la Ley de Transparencia y Acceso a la Información Pública del Estado de México y Municipios, o públicos.</w:t>
      </w:r>
    </w:p>
    <w:p w:rsidR="004D772E" w:rsidRPr="006247AF" w:rsidRDefault="004D772E" w:rsidP="004D772E">
      <w:pPr>
        <w:spacing w:line="360" w:lineRule="auto"/>
        <w:jc w:val="both"/>
        <w:rPr>
          <w:rFonts w:ascii="Palatino Linotype" w:eastAsia="Palatino Linotype" w:hAnsi="Palatino Linotype" w:cs="Tahoma"/>
          <w:color w:val="000000"/>
          <w:lang w:val="es-ES"/>
        </w:rPr>
      </w:pPr>
    </w:p>
    <w:p w:rsidR="0018459A" w:rsidRPr="006247AF" w:rsidRDefault="0018459A" w:rsidP="004D772E">
      <w:pPr>
        <w:spacing w:line="360" w:lineRule="auto"/>
        <w:jc w:val="both"/>
        <w:rPr>
          <w:rFonts w:ascii="Palatino Linotype" w:eastAsia="Palatino Linotype" w:hAnsi="Palatino Linotype" w:cs="Tahoma"/>
          <w:color w:val="000000"/>
          <w:lang w:val="es-ES"/>
        </w:rPr>
      </w:pPr>
    </w:p>
    <w:p w:rsidR="004D772E" w:rsidRPr="006247AF" w:rsidRDefault="004D772E" w:rsidP="004D772E">
      <w:pPr>
        <w:numPr>
          <w:ilvl w:val="0"/>
          <w:numId w:val="8"/>
        </w:numPr>
        <w:spacing w:line="360" w:lineRule="auto"/>
        <w:contextualSpacing/>
        <w:jc w:val="both"/>
        <w:rPr>
          <w:rFonts w:ascii="Palatino Linotype" w:eastAsia="Calibri" w:hAnsi="Palatino Linotype" w:cs="Tahoma"/>
          <w:bCs/>
          <w:iCs/>
          <w:color w:val="000000"/>
          <w:u w:val="single"/>
        </w:rPr>
      </w:pPr>
      <w:r w:rsidRPr="006247AF">
        <w:rPr>
          <w:rFonts w:ascii="Palatino Linotype" w:eastAsia="Calibri" w:hAnsi="Palatino Linotype" w:cs="Tahoma"/>
          <w:b/>
          <w:bCs/>
          <w:color w:val="000000"/>
          <w:u w:val="single"/>
        </w:rPr>
        <w:lastRenderedPageBreak/>
        <w:t>Firma</w:t>
      </w:r>
      <w:r w:rsidRPr="006247AF">
        <w:rPr>
          <w:rFonts w:ascii="Palatino Linotype" w:eastAsia="Calibri" w:hAnsi="Palatino Linotype" w:cs="Tahoma"/>
          <w:bCs/>
          <w:iCs/>
          <w:color w:val="000000"/>
          <w:u w:val="single"/>
        </w:rPr>
        <w:t xml:space="preserve"> </w:t>
      </w:r>
      <w:r w:rsidRPr="006247AF">
        <w:rPr>
          <w:rFonts w:ascii="Palatino Linotype" w:eastAsia="Calibri" w:hAnsi="Palatino Linotype" w:cs="Tahoma"/>
          <w:b/>
          <w:bCs/>
          <w:iCs/>
          <w:color w:val="000000"/>
          <w:u w:val="single"/>
        </w:rPr>
        <w:t>de particulares.</w:t>
      </w:r>
    </w:p>
    <w:p w:rsidR="004D772E" w:rsidRPr="006247AF" w:rsidRDefault="004D772E" w:rsidP="004D772E">
      <w:pPr>
        <w:spacing w:line="360" w:lineRule="auto"/>
        <w:ind w:right="-93"/>
        <w:jc w:val="both"/>
        <w:rPr>
          <w:rFonts w:ascii="Palatino Linotype" w:eastAsia="Calibri" w:hAnsi="Palatino Linotype" w:cs="Tahoma"/>
          <w:bCs/>
          <w:lang w:val="es-ES"/>
        </w:rPr>
      </w:pPr>
      <w:r w:rsidRPr="006247AF">
        <w:rPr>
          <w:rFonts w:ascii="Palatino Linotype" w:eastAsia="Calibri" w:hAnsi="Palatino Linotype" w:cs="Tahoma"/>
          <w:bCs/>
          <w:color w:val="000000"/>
          <w:lang w:val="es-ES"/>
        </w:rPr>
        <w:t>En principio, cabe señalar que la firma corresponde de aquellas personas físicas que fueron a solicitar un trámite</w:t>
      </w:r>
      <w:r w:rsidRPr="006247AF">
        <w:rPr>
          <w:rFonts w:ascii="Palatino Linotype" w:eastAsia="Calibri" w:hAnsi="Palatino Linotype" w:cs="Tahoma"/>
          <w:bCs/>
          <w:color w:val="000000"/>
          <w:lang w:val="x-none"/>
        </w:rPr>
        <w:t xml:space="preserve"> o servicio al Sujeto Obligado</w:t>
      </w:r>
      <w:r w:rsidRPr="006247AF">
        <w:rPr>
          <w:rFonts w:ascii="Palatino Linotype" w:eastAsia="Calibri" w:hAnsi="Palatino Linotype" w:cs="Tahoma"/>
          <w:bCs/>
          <w:color w:val="000000"/>
          <w:lang w:val="es-ES"/>
        </w:rPr>
        <w:t>, por lo que, no se trata de empleados o servidores públicos de este, sino de particulares.</w:t>
      </w:r>
    </w:p>
    <w:p w:rsidR="004D772E" w:rsidRPr="006247AF" w:rsidRDefault="004D772E" w:rsidP="004D772E">
      <w:pPr>
        <w:spacing w:line="360" w:lineRule="auto"/>
        <w:ind w:right="-93"/>
        <w:jc w:val="both"/>
        <w:rPr>
          <w:rFonts w:ascii="Palatino Linotype" w:eastAsia="Calibri" w:hAnsi="Palatino Linotype" w:cs="Tahoma"/>
          <w:bCs/>
          <w:color w:val="000000"/>
          <w:lang w:val="es-ES"/>
        </w:rPr>
      </w:pPr>
    </w:p>
    <w:p w:rsidR="004D772E" w:rsidRPr="006247AF" w:rsidRDefault="004D772E" w:rsidP="004D772E">
      <w:pPr>
        <w:spacing w:line="360" w:lineRule="auto"/>
        <w:ind w:right="-93"/>
        <w:jc w:val="both"/>
        <w:rPr>
          <w:rFonts w:ascii="Palatino Linotype" w:eastAsia="Calibri" w:hAnsi="Palatino Linotype" w:cs="Tahoma"/>
          <w:bCs/>
          <w:color w:val="000000"/>
          <w:lang w:val="es-ES"/>
        </w:rPr>
      </w:pPr>
      <w:r w:rsidRPr="006247AF">
        <w:rPr>
          <w:rFonts w:ascii="Palatino Linotype" w:eastAsia="Calibri" w:hAnsi="Palatino Linotype" w:cs="Tahoma"/>
          <w:bCs/>
          <w:color w:val="000000"/>
          <w:lang w:val="es-ES"/>
        </w:rPr>
        <w:t>En ese contexto, la firma es considerada un dato personal, al tratarse de información gráfica a través de la cual su titular exterioriza su voluntad en actos públicos y privados; por lo que, al tratarse de un dato concerniente a una persona física, es considerada confidencial, ya que también haría identificable a los individuos en cuestión.</w:t>
      </w:r>
    </w:p>
    <w:p w:rsidR="004D772E" w:rsidRPr="006247AF" w:rsidRDefault="004D772E" w:rsidP="004D772E">
      <w:pPr>
        <w:spacing w:line="360" w:lineRule="auto"/>
        <w:ind w:right="-93"/>
        <w:jc w:val="both"/>
        <w:rPr>
          <w:rFonts w:ascii="Palatino Linotype" w:eastAsia="Calibri" w:hAnsi="Palatino Linotype" w:cs="Tahoma"/>
          <w:bCs/>
          <w:color w:val="000000"/>
          <w:lang w:val="es-ES"/>
        </w:rPr>
      </w:pPr>
    </w:p>
    <w:p w:rsidR="004D772E" w:rsidRPr="006247AF" w:rsidRDefault="004D772E" w:rsidP="004D772E">
      <w:pPr>
        <w:spacing w:line="360" w:lineRule="auto"/>
        <w:ind w:right="-93"/>
        <w:jc w:val="both"/>
        <w:rPr>
          <w:rFonts w:ascii="Palatino Linotype" w:eastAsia="Calibri" w:hAnsi="Palatino Linotype" w:cs="Tahoma"/>
          <w:bCs/>
          <w:color w:val="000000"/>
          <w:lang w:val="es-ES"/>
        </w:rPr>
      </w:pPr>
      <w:r w:rsidRPr="006247AF">
        <w:rPr>
          <w:rFonts w:ascii="Palatino Linotype" w:eastAsia="Calibri" w:hAnsi="Palatino Linotype" w:cs="Tahoma"/>
          <w:bCs/>
          <w:color w:val="000000"/>
          <w:lang w:val="es-ES"/>
        </w:rPr>
        <w:t>Además, es un dato que exterioriza su voluntad para solicitar un tr</w:t>
      </w:r>
      <w:r w:rsidRPr="006247AF">
        <w:rPr>
          <w:rFonts w:ascii="Palatino Linotype" w:eastAsia="Calibri" w:hAnsi="Palatino Linotype" w:cs="Tahoma"/>
          <w:bCs/>
          <w:color w:val="000000"/>
          <w:lang w:val="x-none"/>
        </w:rPr>
        <w:t>ámite o servicio al Sujeto Obligado</w:t>
      </w:r>
      <w:r w:rsidRPr="006247AF">
        <w:rPr>
          <w:rFonts w:ascii="Palatino Linotype" w:eastAsia="Calibri" w:hAnsi="Palatino Linotype" w:cs="Tahoma"/>
          <w:bCs/>
          <w:color w:val="000000"/>
          <w:lang w:val="es-ES"/>
        </w:rPr>
        <w:t>; por lo que, se actualiza la causal de clasificación establecida en el artículo 143, fracción I, de la Ley de Transparencia y Acceso a la Información Pública del Estado de México y Municipios.</w:t>
      </w:r>
    </w:p>
    <w:p w:rsidR="004D772E" w:rsidRPr="006247AF" w:rsidRDefault="004D772E" w:rsidP="004D772E">
      <w:pPr>
        <w:spacing w:line="360" w:lineRule="auto"/>
        <w:ind w:right="-93"/>
        <w:jc w:val="both"/>
        <w:rPr>
          <w:rFonts w:ascii="Palatino Linotype" w:eastAsia="Calibri" w:hAnsi="Palatino Linotype" w:cs="Tahoma"/>
          <w:bCs/>
          <w:lang w:val="es-ES"/>
        </w:rPr>
      </w:pPr>
    </w:p>
    <w:p w:rsidR="004D772E" w:rsidRPr="006247AF" w:rsidRDefault="004D772E" w:rsidP="004D772E">
      <w:pPr>
        <w:numPr>
          <w:ilvl w:val="0"/>
          <w:numId w:val="8"/>
        </w:numPr>
        <w:spacing w:line="360" w:lineRule="auto"/>
        <w:jc w:val="both"/>
        <w:rPr>
          <w:rFonts w:ascii="Palatino Linotype" w:eastAsia="Calibri" w:hAnsi="Palatino Linotype" w:cs="Tahoma"/>
          <w:b/>
          <w:bCs/>
          <w:iCs/>
          <w:color w:val="000000"/>
          <w:u w:val="single"/>
          <w:lang w:val="es-ES_tradnl"/>
        </w:rPr>
      </w:pPr>
      <w:r w:rsidRPr="006247AF">
        <w:rPr>
          <w:rFonts w:ascii="Palatino Linotype" w:eastAsia="Calibri" w:hAnsi="Palatino Linotype" w:cs="Tahoma"/>
          <w:b/>
          <w:bCs/>
          <w:iCs/>
          <w:color w:val="000000"/>
          <w:u w:val="single"/>
          <w:lang w:val="es-ES_tradnl"/>
        </w:rPr>
        <w:t xml:space="preserve">Firma de los servidores públicos </w:t>
      </w:r>
    </w:p>
    <w:p w:rsidR="004D772E" w:rsidRPr="006247AF" w:rsidRDefault="004D772E" w:rsidP="004D772E">
      <w:pPr>
        <w:spacing w:line="360" w:lineRule="auto"/>
        <w:jc w:val="both"/>
        <w:rPr>
          <w:rFonts w:ascii="Palatino Linotype" w:eastAsia="Calibri" w:hAnsi="Palatino Linotype" w:cs="Tahoma"/>
          <w:bCs/>
          <w:color w:val="000000"/>
        </w:rPr>
      </w:pPr>
      <w:r w:rsidRPr="006247AF">
        <w:rPr>
          <w:rFonts w:ascii="Palatino Linotype" w:eastAsia="Calibri" w:hAnsi="Palatino Linotype" w:cs="Tahoma"/>
          <w:bCs/>
          <w:color w:val="000000"/>
        </w:rPr>
        <w:t xml:space="preserve">Al respecto, cabe precisar que si bien la firma, por regla general, es un dato personal confidencial, también lo es que, da cuenta de las obligaciones del servidor público para ingresar al servicio público. </w:t>
      </w:r>
    </w:p>
    <w:p w:rsidR="004D772E" w:rsidRPr="006247AF" w:rsidRDefault="004D772E" w:rsidP="004D772E">
      <w:pPr>
        <w:spacing w:line="360" w:lineRule="auto"/>
        <w:jc w:val="both"/>
        <w:rPr>
          <w:rFonts w:ascii="Palatino Linotype" w:eastAsia="Calibri" w:hAnsi="Palatino Linotype" w:cs="Tahoma"/>
          <w:bCs/>
          <w:color w:val="000000"/>
        </w:rPr>
      </w:pPr>
    </w:p>
    <w:p w:rsidR="004D772E" w:rsidRPr="006247AF" w:rsidRDefault="004D772E" w:rsidP="004D772E">
      <w:pPr>
        <w:spacing w:line="360" w:lineRule="auto"/>
        <w:jc w:val="both"/>
        <w:rPr>
          <w:rFonts w:ascii="Palatino Linotype" w:eastAsia="Calibri" w:hAnsi="Palatino Linotype" w:cs="Tahoma"/>
          <w:bCs/>
          <w:color w:val="000000"/>
        </w:rPr>
      </w:pPr>
      <w:r w:rsidRPr="006247AF">
        <w:rPr>
          <w:rFonts w:ascii="Palatino Linotype" w:eastAsia="Calibri" w:hAnsi="Palatino Linotype" w:cs="Tahoma"/>
          <w:bCs/>
          <w:color w:val="000000"/>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w:t>
      </w:r>
      <w:r w:rsidRPr="006247AF">
        <w:rPr>
          <w:rFonts w:ascii="Palatino Linotype" w:eastAsia="Calibri" w:hAnsi="Palatino Linotype" w:cs="Tahoma"/>
          <w:bCs/>
          <w:color w:val="000000"/>
        </w:rPr>
        <w:lastRenderedPageBreak/>
        <w:t xml:space="preserve">caso, pues, por una parte, corresponde a la os requisitos que el servidor público debió cumplir para ingresar al servicio público. </w:t>
      </w:r>
    </w:p>
    <w:p w:rsidR="004D772E" w:rsidRPr="006247AF" w:rsidRDefault="004D772E" w:rsidP="004D772E">
      <w:pPr>
        <w:spacing w:line="360" w:lineRule="auto"/>
        <w:jc w:val="both"/>
        <w:rPr>
          <w:rFonts w:ascii="Palatino Linotype" w:eastAsia="Calibri" w:hAnsi="Palatino Linotype" w:cs="Tahoma"/>
          <w:bCs/>
          <w:color w:val="000000"/>
        </w:rPr>
      </w:pPr>
    </w:p>
    <w:p w:rsidR="004D772E" w:rsidRPr="006247AF" w:rsidRDefault="004D772E" w:rsidP="004D772E">
      <w:pPr>
        <w:spacing w:line="360" w:lineRule="auto"/>
        <w:jc w:val="both"/>
        <w:rPr>
          <w:rFonts w:ascii="Palatino Linotype" w:eastAsia="Calibri" w:hAnsi="Palatino Linotype" w:cs="Tahoma"/>
          <w:bCs/>
          <w:color w:val="000000"/>
        </w:rPr>
      </w:pPr>
      <w:r w:rsidRPr="006247AF">
        <w:rPr>
          <w:rFonts w:ascii="Palatino Linotype" w:eastAsia="Calibri" w:hAnsi="Palatino Linotype" w:cs="Tahoma"/>
          <w:bCs/>
          <w:color w:val="000000"/>
        </w:rPr>
        <w:t xml:space="preserve">Situación que se robustece, con el </w:t>
      </w:r>
      <w:r w:rsidRPr="006247AF">
        <w:rPr>
          <w:rFonts w:ascii="Palatino Linotype" w:eastAsia="Calibri" w:hAnsi="Palatino Linotype" w:cs="Tahoma"/>
          <w:bCs/>
          <w:color w:val="000000"/>
          <w:lang w:val="es-ES"/>
        </w:rPr>
        <w:t xml:space="preserve">Criterio de Interpretación, de la Segunda Época, con número de registro </w:t>
      </w:r>
      <w:r w:rsidRPr="006247AF">
        <w:rPr>
          <w:rFonts w:ascii="Palatino Linotype" w:eastAsia="Calibri" w:hAnsi="Palatino Linotype" w:cs="Tahoma"/>
          <w:bCs/>
          <w:color w:val="000000"/>
        </w:rPr>
        <w:t>SO/002/2019, emitido por el Instituto Nacional de Transparencia, Acceso a la Información y Protección de Datos Personales, que establece lo siguiente:</w:t>
      </w:r>
    </w:p>
    <w:p w:rsidR="004D772E" w:rsidRPr="006247AF" w:rsidRDefault="004D772E" w:rsidP="004D772E">
      <w:pPr>
        <w:spacing w:line="360" w:lineRule="auto"/>
        <w:jc w:val="both"/>
        <w:rPr>
          <w:rFonts w:ascii="Palatino Linotype" w:eastAsia="Calibri" w:hAnsi="Palatino Linotype" w:cs="Tahoma"/>
          <w:bCs/>
          <w:color w:val="000000"/>
        </w:rPr>
      </w:pPr>
    </w:p>
    <w:p w:rsidR="004D772E" w:rsidRPr="006247AF" w:rsidRDefault="004D772E" w:rsidP="004D772E">
      <w:pPr>
        <w:ind w:left="567" w:right="567"/>
        <w:jc w:val="both"/>
        <w:rPr>
          <w:rFonts w:ascii="Palatino Linotype" w:eastAsia="Calibri" w:hAnsi="Palatino Linotype" w:cs="Tahoma"/>
          <w:bCs/>
          <w:i/>
          <w:color w:val="000000"/>
          <w:szCs w:val="20"/>
        </w:rPr>
      </w:pPr>
      <w:r w:rsidRPr="006247AF">
        <w:rPr>
          <w:rFonts w:ascii="Palatino Linotype" w:eastAsia="Calibri" w:hAnsi="Palatino Linotype" w:cs="Tahoma"/>
          <w:b/>
          <w:bCs/>
          <w:i/>
          <w:color w:val="000000"/>
          <w:szCs w:val="20"/>
        </w:rPr>
        <w:t>“Firma y rúbrica de servidores públicos.</w:t>
      </w:r>
      <w:r w:rsidRPr="006247AF">
        <w:rPr>
          <w:rFonts w:ascii="Palatino Linotype" w:eastAsia="Calibri" w:hAnsi="Palatino Linotype" w:cs="Tahoma"/>
          <w:bCs/>
          <w:i/>
          <w:color w:val="000000"/>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4D772E" w:rsidRPr="006247AF" w:rsidRDefault="004D772E" w:rsidP="004D772E">
      <w:pPr>
        <w:spacing w:line="360" w:lineRule="auto"/>
        <w:jc w:val="both"/>
        <w:rPr>
          <w:rFonts w:ascii="Palatino Linotype" w:eastAsia="Calibri" w:hAnsi="Palatino Linotype" w:cs="Tahoma"/>
          <w:bCs/>
          <w:color w:val="000000"/>
          <w:lang w:val="es-ES"/>
        </w:rPr>
      </w:pPr>
    </w:p>
    <w:p w:rsidR="004D772E" w:rsidRPr="006247AF" w:rsidRDefault="004D772E" w:rsidP="004D772E">
      <w:pPr>
        <w:spacing w:line="360" w:lineRule="auto"/>
        <w:jc w:val="both"/>
        <w:rPr>
          <w:rFonts w:ascii="Palatino Linotype" w:eastAsia="Calibri" w:hAnsi="Palatino Linotype" w:cs="Tahoma"/>
          <w:bCs/>
          <w:color w:val="000000"/>
          <w:lang w:val="es-ES"/>
        </w:rPr>
      </w:pPr>
      <w:r w:rsidRPr="006247AF">
        <w:rPr>
          <w:rFonts w:ascii="Palatino Linotype" w:eastAsia="Calibri" w:hAnsi="Palatino Linotype" w:cs="Tahoma"/>
          <w:bCs/>
          <w:color w:val="000000"/>
          <w:lang w:val="es-ES"/>
        </w:rPr>
        <w:t xml:space="preserve">Conforme a lo expuesto, no procede la clasificación, en términos del artículo 143, fracción I de la Ley de Transparencia y Acceso a la Información Pública del Estado de México y Municipios, en las solicitudes de empleo de los servidores públicos. </w:t>
      </w:r>
    </w:p>
    <w:p w:rsidR="004D772E" w:rsidRPr="006247AF" w:rsidRDefault="004D772E" w:rsidP="004D772E">
      <w:pPr>
        <w:spacing w:line="360" w:lineRule="auto"/>
        <w:jc w:val="both"/>
        <w:rPr>
          <w:rFonts w:ascii="Palatino Linotype" w:hAnsi="Palatino Linotype"/>
          <w:lang w:val="es-ES" w:eastAsia="es-ES"/>
        </w:rPr>
      </w:pPr>
    </w:p>
    <w:p w:rsidR="004D772E" w:rsidRPr="006247AF" w:rsidRDefault="004D772E" w:rsidP="004D772E">
      <w:pPr>
        <w:spacing w:line="360" w:lineRule="auto"/>
        <w:jc w:val="both"/>
        <w:rPr>
          <w:rFonts w:ascii="Palatino Linotype" w:hAnsi="Palatino Linotype"/>
          <w:b/>
          <w:lang w:val="es-ES" w:eastAsia="es-ES"/>
        </w:rPr>
      </w:pPr>
      <w:r w:rsidRPr="006247AF">
        <w:rPr>
          <w:rFonts w:ascii="Palatino Linotype" w:hAnsi="Palatino Linotype"/>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6247AF">
        <w:rPr>
          <w:rFonts w:ascii="Palatino Linotype" w:hAnsi="Palatino Linotype"/>
          <w:b/>
          <w:lang w:val="es-ES" w:eastAsia="es-ES"/>
        </w:rPr>
        <w:t>Registro Federal de Contribuyentes</w:t>
      </w:r>
      <w:r w:rsidRPr="006247AF">
        <w:rPr>
          <w:rFonts w:ascii="Palatino Linotype" w:hAnsi="Palatino Linotype"/>
          <w:lang w:val="es-ES" w:eastAsia="es-ES"/>
        </w:rPr>
        <w:t xml:space="preserve"> </w:t>
      </w:r>
      <w:r w:rsidRPr="006247AF">
        <w:rPr>
          <w:rFonts w:ascii="Palatino Linotype" w:hAnsi="Palatino Linotype"/>
          <w:i/>
          <w:lang w:val="es-ES" w:eastAsia="es-ES"/>
        </w:rPr>
        <w:t>(RFC)</w:t>
      </w:r>
      <w:r w:rsidRPr="006247AF">
        <w:rPr>
          <w:rFonts w:ascii="Palatino Linotype" w:hAnsi="Palatino Linotype"/>
          <w:lang w:val="es-ES" w:eastAsia="es-ES"/>
        </w:rPr>
        <w:t xml:space="preserve"> y la </w:t>
      </w:r>
      <w:r w:rsidRPr="006247AF">
        <w:rPr>
          <w:rFonts w:ascii="Palatino Linotype" w:hAnsi="Palatino Linotype"/>
          <w:b/>
          <w:lang w:val="es-ES" w:eastAsia="es-ES"/>
        </w:rPr>
        <w:t>Clave Única de Registro de Población</w:t>
      </w:r>
      <w:r w:rsidRPr="006247AF">
        <w:rPr>
          <w:rFonts w:ascii="Palatino Linotype" w:hAnsi="Palatino Linotype"/>
          <w:lang w:val="es-ES" w:eastAsia="es-ES"/>
        </w:rPr>
        <w:t xml:space="preserve"> </w:t>
      </w:r>
      <w:r w:rsidRPr="006247AF">
        <w:rPr>
          <w:rFonts w:ascii="Palatino Linotype" w:hAnsi="Palatino Linotype"/>
          <w:i/>
          <w:lang w:val="es-ES" w:eastAsia="es-ES"/>
        </w:rPr>
        <w:t>(CURP)</w:t>
      </w:r>
      <w:r w:rsidRPr="006247AF">
        <w:rPr>
          <w:rFonts w:ascii="Palatino Linotype" w:hAnsi="Palatino Linotype"/>
          <w:lang w:val="es-ES" w:eastAsia="es-ES"/>
        </w:rPr>
        <w:t>.</w:t>
      </w:r>
    </w:p>
    <w:p w:rsidR="004D772E" w:rsidRPr="006247AF" w:rsidRDefault="004D772E" w:rsidP="004D772E">
      <w:pPr>
        <w:spacing w:line="360" w:lineRule="auto"/>
        <w:jc w:val="both"/>
        <w:rPr>
          <w:rFonts w:ascii="Palatino Linotype" w:hAnsi="Palatino Linotype"/>
          <w:b/>
          <w:lang w:val="es-ES" w:eastAsia="es-ES"/>
        </w:rPr>
      </w:pPr>
    </w:p>
    <w:p w:rsidR="004D772E" w:rsidRPr="006247AF" w:rsidRDefault="004D772E" w:rsidP="004D772E">
      <w:pPr>
        <w:spacing w:line="360" w:lineRule="auto"/>
        <w:jc w:val="both"/>
        <w:rPr>
          <w:rFonts w:ascii="Palatino Linotype" w:hAnsi="Palatino Linotype"/>
          <w:lang w:val="es-ES" w:eastAsia="es-ES"/>
        </w:rPr>
      </w:pPr>
      <w:r w:rsidRPr="006247AF">
        <w:rPr>
          <w:rFonts w:ascii="Palatino Linotype" w:hAnsi="Palatino Linotype"/>
          <w:lang w:val="es-ES"/>
        </w:rPr>
        <w:t xml:space="preserve">Por cuanto hace al </w:t>
      </w:r>
      <w:r w:rsidRPr="006247AF">
        <w:rPr>
          <w:rFonts w:ascii="Palatino Linotype" w:hAnsi="Palatino Linotype"/>
          <w:b/>
          <w:lang w:val="es-ES"/>
        </w:rPr>
        <w:t>Registro Federal de Contribuyentes</w:t>
      </w:r>
      <w:r w:rsidRPr="006247AF">
        <w:rPr>
          <w:rFonts w:ascii="Palatino Linotype" w:hAnsi="Palatino Linotype"/>
          <w:lang w:val="es-ES"/>
        </w:rPr>
        <w:t xml:space="preserve"> </w:t>
      </w:r>
      <w:r w:rsidRPr="006247AF">
        <w:rPr>
          <w:rFonts w:ascii="Palatino Linotype" w:hAnsi="Palatino Linotype"/>
          <w:b/>
          <w:lang w:val="es-ES"/>
        </w:rPr>
        <w:t>de las personas físicas</w:t>
      </w:r>
      <w:r w:rsidRPr="006247AF">
        <w:rPr>
          <w:rFonts w:ascii="Palatino Linotype" w:hAnsi="Palatino Linotype"/>
          <w:lang w:val="es-ES"/>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w:t>
      </w:r>
      <w:r w:rsidRPr="006247AF">
        <w:rPr>
          <w:rFonts w:ascii="Palatino Linotype" w:hAnsi="Palatino Linotype"/>
          <w:lang w:val="es-ES"/>
        </w:rPr>
        <w:lastRenderedPageBreak/>
        <w:t>apellido; seguida de la primera letra del segundo apellido y por último la primera letra del nombre, posterior la fecha de nacimiento año/mes/día</w:t>
      </w:r>
      <w:r w:rsidRPr="006247AF">
        <w:rPr>
          <w:rFonts w:ascii="Palatino Linotype" w:hAnsi="Palatino Linotype"/>
          <w:lang w:val="es-ES" w:eastAsia="es-ES"/>
        </w:rPr>
        <w:t xml:space="preserve"> y finalmente la homoclave; la cual para su obtención es necesario acreditar personalidad, fecha de nacimiento entre otros con documentos oficiales.</w:t>
      </w:r>
    </w:p>
    <w:p w:rsidR="004D772E" w:rsidRPr="006247AF" w:rsidRDefault="004D772E" w:rsidP="004D772E">
      <w:pPr>
        <w:rPr>
          <w:lang w:val="es-ES"/>
        </w:rPr>
      </w:pPr>
    </w:p>
    <w:p w:rsidR="004D772E" w:rsidRPr="006247AF" w:rsidRDefault="004D772E" w:rsidP="004D772E">
      <w:pPr>
        <w:spacing w:line="360" w:lineRule="auto"/>
        <w:jc w:val="both"/>
        <w:rPr>
          <w:rFonts w:ascii="Palatino Linotype" w:hAnsi="Palatino Linotype"/>
          <w:lang w:val="es-ES"/>
        </w:rPr>
      </w:pPr>
      <w:r w:rsidRPr="006247AF">
        <w:rPr>
          <w:rFonts w:ascii="Palatino Linotype" w:hAnsi="Palatino Linotype"/>
          <w:lang w:val="es-ES"/>
        </w:rPr>
        <w:t>Al respecto, el Instituto Nacional Transparencia, Acceso a la Información y Protección de Datos Personales (INAI) a través del Criterio 19/17, señala literalmente lo siguiente:</w:t>
      </w:r>
    </w:p>
    <w:p w:rsidR="004D772E" w:rsidRPr="006247AF" w:rsidRDefault="004D772E" w:rsidP="004D772E">
      <w:pPr>
        <w:ind w:left="567" w:right="616"/>
        <w:jc w:val="both"/>
        <w:rPr>
          <w:rFonts w:ascii="Palatino Linotype" w:hAnsi="Palatino Linotype"/>
          <w:i/>
          <w:lang w:val="es-ES" w:eastAsia="es-ES"/>
        </w:rPr>
      </w:pPr>
    </w:p>
    <w:p w:rsidR="004D772E" w:rsidRPr="006247AF" w:rsidRDefault="004D772E" w:rsidP="004D772E">
      <w:pPr>
        <w:ind w:left="567" w:right="616"/>
        <w:jc w:val="both"/>
        <w:rPr>
          <w:rFonts w:ascii="Palatino Linotype" w:hAnsi="Palatino Linotype"/>
          <w:i/>
          <w:lang w:val="es-ES" w:eastAsia="es-ES"/>
        </w:rPr>
      </w:pPr>
      <w:r w:rsidRPr="006247AF">
        <w:rPr>
          <w:rFonts w:ascii="Palatino Linotype" w:hAnsi="Palatino Linotype"/>
          <w:i/>
          <w:lang w:val="es-ES" w:eastAsia="es-ES"/>
        </w:rPr>
        <w:t>“</w:t>
      </w:r>
      <w:r w:rsidRPr="006247AF">
        <w:rPr>
          <w:rFonts w:ascii="Palatino Linotype" w:hAnsi="Palatino Linotype"/>
          <w:b/>
          <w:i/>
          <w:lang w:val="es-ES" w:eastAsia="es-ES"/>
        </w:rPr>
        <w:t>Registro Federal de Contribuyentes (RFC) de personas físicas</w:t>
      </w:r>
      <w:r w:rsidRPr="006247AF">
        <w:rPr>
          <w:rFonts w:ascii="Palatino Linotype" w:hAnsi="Palatino Linotype"/>
          <w:i/>
          <w:lang w:val="es-ES" w:eastAsia="es-ES"/>
        </w:rPr>
        <w:t>. El RFC es una clave de carácter fiscal, única e irrepetible, que permite identificar al titular, su edad y fecha de nacimiento, por lo que es un dato personal de carácter confidencial.</w:t>
      </w:r>
    </w:p>
    <w:p w:rsidR="004D772E" w:rsidRPr="006247AF" w:rsidRDefault="004D772E" w:rsidP="004D772E">
      <w:pPr>
        <w:rPr>
          <w:lang w:val="es-ES" w:eastAsia="es-ES"/>
        </w:rPr>
      </w:pPr>
    </w:p>
    <w:p w:rsidR="004D772E" w:rsidRPr="006247AF" w:rsidRDefault="004D772E" w:rsidP="004D772E">
      <w:pPr>
        <w:rPr>
          <w:lang w:val="es-ES" w:eastAsia="es-ES"/>
        </w:rPr>
      </w:pPr>
    </w:p>
    <w:p w:rsidR="004D772E" w:rsidRPr="006247AF" w:rsidRDefault="004D772E" w:rsidP="004D772E">
      <w:pPr>
        <w:spacing w:line="360" w:lineRule="auto"/>
        <w:jc w:val="both"/>
        <w:rPr>
          <w:rFonts w:ascii="Palatino Linotype" w:hAnsi="Palatino Linotype"/>
        </w:rPr>
      </w:pPr>
      <w:r w:rsidRPr="006247AF">
        <w:rPr>
          <w:rFonts w:ascii="Palatino Linotype" w:hAnsi="Palatino Linotype"/>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6247AF">
        <w:rPr>
          <w:rFonts w:ascii="Palatino Linotype" w:eastAsia="Arial Unicode MS" w:hAnsi="Palatino Linotype"/>
          <w:lang w:val="es-ES" w:eastAsia="es-ES"/>
        </w:rPr>
        <w:t>4 fracción XI de la Ley de Protección de Datos Personales en Posesión de los Sujetos Obligados del Estado de México y Municipios</w:t>
      </w:r>
      <w:r w:rsidRPr="006247AF">
        <w:rPr>
          <w:rFonts w:ascii="Palatino Linotype" w:hAnsi="Palatino Linotype"/>
        </w:rPr>
        <w:t>.</w:t>
      </w:r>
    </w:p>
    <w:p w:rsidR="004D772E" w:rsidRPr="006247AF" w:rsidRDefault="004D772E" w:rsidP="004D772E">
      <w:pPr>
        <w:spacing w:line="360" w:lineRule="auto"/>
        <w:jc w:val="both"/>
        <w:rPr>
          <w:rFonts w:ascii="Palatino Linotype" w:hAnsi="Palatino Linotype"/>
        </w:rPr>
      </w:pPr>
    </w:p>
    <w:p w:rsidR="004D772E" w:rsidRPr="006247AF" w:rsidRDefault="004D772E" w:rsidP="004D772E">
      <w:pPr>
        <w:spacing w:line="360" w:lineRule="auto"/>
        <w:jc w:val="both"/>
        <w:rPr>
          <w:rFonts w:ascii="Palatino Linotype" w:hAnsi="Palatino Linotype"/>
        </w:rPr>
      </w:pPr>
      <w:r w:rsidRPr="006247AF">
        <w:rPr>
          <w:rFonts w:ascii="Palatino Linotype" w:hAnsi="Palatino Linotype"/>
          <w:lang w:val="es-ES"/>
        </w:rPr>
        <w:t xml:space="preserve">Por cuanto hace a la </w:t>
      </w:r>
      <w:r w:rsidRPr="006247AF">
        <w:rPr>
          <w:rFonts w:ascii="Palatino Linotype" w:hAnsi="Palatino Linotype"/>
          <w:b/>
          <w:lang w:val="es-ES" w:eastAsia="es-ES"/>
        </w:rPr>
        <w:t xml:space="preserve">Clave Única de Registro de Población, </w:t>
      </w:r>
      <w:r w:rsidRPr="006247AF">
        <w:rPr>
          <w:rFonts w:ascii="Palatino Linotype" w:hAnsi="Palatino Linotype"/>
          <w:lang w:val="es-ES"/>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4D772E" w:rsidRPr="006247AF" w:rsidRDefault="004D772E" w:rsidP="004D772E">
      <w:pPr>
        <w:rPr>
          <w:lang w:val="es-ES"/>
        </w:rPr>
      </w:pPr>
    </w:p>
    <w:p w:rsidR="004D772E" w:rsidRPr="006247AF" w:rsidRDefault="004D772E" w:rsidP="004D772E">
      <w:pPr>
        <w:spacing w:line="360" w:lineRule="auto"/>
        <w:jc w:val="both"/>
        <w:rPr>
          <w:rFonts w:ascii="Palatino Linotype" w:hAnsi="Palatino Linotype"/>
          <w:lang w:val="es-ES"/>
        </w:rPr>
      </w:pPr>
      <w:r w:rsidRPr="006247AF">
        <w:rPr>
          <w:rFonts w:ascii="Palatino Linotype" w:hAnsi="Palatino Linotype"/>
          <w:lang w:val="es-ES"/>
        </w:rPr>
        <w:lastRenderedPageBreak/>
        <w:t>Lo anterior, tiene sustento en los artículos 86 y 91, de la Ley General de Población, la cual señala lo siguiente:</w:t>
      </w:r>
    </w:p>
    <w:p w:rsidR="004D772E" w:rsidRPr="006247AF" w:rsidRDefault="004D772E" w:rsidP="004D772E">
      <w:pPr>
        <w:ind w:left="709" w:right="757"/>
        <w:jc w:val="both"/>
        <w:rPr>
          <w:rFonts w:ascii="Palatino Linotype" w:hAnsi="Palatino Linotype" w:cs="Arial,Bold"/>
          <w:b/>
          <w:bCs/>
          <w:i/>
          <w:lang w:val="es-ES"/>
        </w:rPr>
      </w:pPr>
    </w:p>
    <w:p w:rsidR="004D772E" w:rsidRPr="006247AF" w:rsidRDefault="004D772E" w:rsidP="004D772E">
      <w:pPr>
        <w:ind w:left="709" w:right="757"/>
        <w:jc w:val="both"/>
        <w:rPr>
          <w:rFonts w:ascii="Palatino Linotype" w:hAnsi="Palatino Linotype" w:cs="Arial"/>
          <w:i/>
          <w:lang w:val="es-ES"/>
        </w:rPr>
      </w:pPr>
      <w:r w:rsidRPr="006247AF">
        <w:rPr>
          <w:rFonts w:ascii="Palatino Linotype" w:hAnsi="Palatino Linotype" w:cs="Arial,Bold"/>
          <w:b/>
          <w:bCs/>
          <w:i/>
          <w:lang w:val="es-ES"/>
        </w:rPr>
        <w:t xml:space="preserve">“Artículo 86. </w:t>
      </w:r>
      <w:r w:rsidRPr="006247AF">
        <w:rPr>
          <w:rFonts w:ascii="Palatino Linotype" w:hAnsi="Palatino Linotype" w:cs="Arial"/>
          <w:i/>
          <w:lang w:val="es-ES"/>
        </w:rPr>
        <w:t>El Registro Nacional de Población tiene como finalidad registrar a cada una de las personas que integran la población del país, con los datos que permitan certificar y acreditar fehacientemente su identidad.</w:t>
      </w:r>
    </w:p>
    <w:p w:rsidR="004D772E" w:rsidRPr="006247AF" w:rsidRDefault="004D772E" w:rsidP="004D772E">
      <w:pPr>
        <w:ind w:left="709" w:right="757"/>
        <w:jc w:val="both"/>
        <w:rPr>
          <w:rFonts w:ascii="Palatino Linotype" w:hAnsi="Palatino Linotype" w:cs="Arial"/>
          <w:i/>
          <w:lang w:val="es-ES"/>
        </w:rPr>
      </w:pPr>
    </w:p>
    <w:p w:rsidR="004D772E" w:rsidRPr="006247AF" w:rsidRDefault="004D772E" w:rsidP="004D772E">
      <w:pPr>
        <w:ind w:left="709" w:right="757"/>
        <w:jc w:val="both"/>
        <w:rPr>
          <w:rFonts w:ascii="Palatino Linotype" w:hAnsi="Palatino Linotype" w:cs="Arial"/>
          <w:i/>
          <w:lang w:val="es-ES"/>
        </w:rPr>
      </w:pPr>
      <w:r w:rsidRPr="006247AF">
        <w:rPr>
          <w:rFonts w:ascii="Palatino Linotype" w:hAnsi="Palatino Linotype" w:cs="Arial,Bold"/>
          <w:b/>
          <w:bCs/>
          <w:i/>
          <w:lang w:val="es-ES"/>
        </w:rPr>
        <w:t xml:space="preserve">Artículo 91. </w:t>
      </w:r>
      <w:r w:rsidRPr="006247AF">
        <w:rPr>
          <w:rFonts w:ascii="Palatino Linotype" w:hAnsi="Palatino Linotype" w:cs="Arial"/>
          <w:i/>
          <w:lang w:val="es-ES"/>
        </w:rPr>
        <w:t>Al incorporar a una persona en el Registro Nacional de Población, se le asignará una clave que se denominará Clave Única de Registro de Población. Esta servirá para registrarla e identificarla en forma individual.”</w:t>
      </w:r>
    </w:p>
    <w:p w:rsidR="004D772E" w:rsidRPr="006247AF" w:rsidRDefault="004D772E" w:rsidP="004D772E">
      <w:pPr>
        <w:ind w:left="709" w:right="757"/>
        <w:jc w:val="both"/>
        <w:rPr>
          <w:rFonts w:ascii="Palatino Linotype" w:hAnsi="Palatino Linotype" w:cs="Arial"/>
          <w:i/>
          <w:lang w:val="es-ES"/>
        </w:rPr>
      </w:pPr>
    </w:p>
    <w:p w:rsidR="004D772E" w:rsidRPr="006247AF" w:rsidRDefault="004D772E" w:rsidP="004D772E">
      <w:pPr>
        <w:rPr>
          <w:lang w:val="es-ES" w:eastAsia="es-ES"/>
        </w:rPr>
      </w:pPr>
    </w:p>
    <w:p w:rsidR="004D772E" w:rsidRPr="006247AF" w:rsidRDefault="004D772E" w:rsidP="004D772E">
      <w:pPr>
        <w:spacing w:line="360" w:lineRule="auto"/>
        <w:jc w:val="both"/>
        <w:rPr>
          <w:rFonts w:ascii="Palatino Linotype" w:hAnsi="Palatino Linotype"/>
          <w:lang w:val="es-ES"/>
        </w:rPr>
      </w:pPr>
      <w:r w:rsidRPr="006247AF">
        <w:rPr>
          <w:rFonts w:ascii="Palatino Linotype" w:hAnsi="Palatino Linotype"/>
          <w:lang w:val="es-ES"/>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4D772E" w:rsidRPr="006247AF" w:rsidRDefault="004D772E" w:rsidP="004D772E">
      <w:pPr>
        <w:rPr>
          <w:lang w:val="es-ES"/>
        </w:rPr>
      </w:pPr>
    </w:p>
    <w:p w:rsidR="004D772E" w:rsidRPr="006247AF" w:rsidRDefault="004D772E" w:rsidP="004D772E">
      <w:pPr>
        <w:spacing w:line="360" w:lineRule="auto"/>
        <w:jc w:val="both"/>
        <w:rPr>
          <w:rFonts w:ascii="Palatino Linotype" w:hAnsi="Palatino Linotype"/>
          <w:lang w:val="es-ES"/>
        </w:rPr>
      </w:pPr>
      <w:r w:rsidRPr="006247AF">
        <w:rPr>
          <w:rFonts w:ascii="Palatino Linotype" w:hAnsi="Palatino Linotype"/>
          <w:lang w:val="es-ES"/>
        </w:rPr>
        <w:t>Al respecto, el Instituto Nacional de Transparencia, Acceso a la Información y Protección de Datos Personales (INAI) a través del Criterio 18/17, señala literalmente lo siguiente:</w:t>
      </w:r>
    </w:p>
    <w:p w:rsidR="004D772E" w:rsidRPr="006247AF" w:rsidRDefault="004D772E" w:rsidP="004D772E">
      <w:pPr>
        <w:rPr>
          <w:lang w:val="es-ES"/>
        </w:rPr>
      </w:pPr>
    </w:p>
    <w:p w:rsidR="004D772E" w:rsidRPr="006247AF" w:rsidRDefault="004D772E" w:rsidP="004D772E">
      <w:pPr>
        <w:ind w:left="567" w:right="616"/>
        <w:jc w:val="both"/>
        <w:rPr>
          <w:rFonts w:ascii="Palatino Linotype" w:hAnsi="Palatino Linotype"/>
          <w:i/>
          <w:lang w:val="es-ES"/>
        </w:rPr>
      </w:pPr>
      <w:r w:rsidRPr="006247AF">
        <w:rPr>
          <w:rFonts w:ascii="Palatino Linotype" w:hAnsi="Palatino Linotype"/>
          <w:b/>
          <w:i/>
          <w:lang w:val="es-ES"/>
        </w:rPr>
        <w:t>Clave Única de Registro de Población (CURP)</w:t>
      </w:r>
      <w:r w:rsidRPr="006247AF">
        <w:rPr>
          <w:rFonts w:ascii="Palatino Linotype" w:hAnsi="Palatino Linotype"/>
          <w:i/>
          <w:lang w:val="es-E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w:t>
      </w:r>
      <w:r w:rsidRPr="006247AF">
        <w:rPr>
          <w:rFonts w:ascii="Palatino Linotype" w:hAnsi="Palatino Linotype"/>
          <w:i/>
          <w:lang w:val="es-ES"/>
        </w:rPr>
        <w:lastRenderedPageBreak/>
        <w:t>persona física del resto de los habitantes del país, por lo que la CURP está considerada como información confidencial.</w:t>
      </w:r>
    </w:p>
    <w:p w:rsidR="004D772E" w:rsidRPr="006247AF" w:rsidRDefault="004D772E" w:rsidP="004D772E">
      <w:pPr>
        <w:ind w:left="567" w:right="616"/>
        <w:jc w:val="both"/>
        <w:rPr>
          <w:rFonts w:ascii="Palatino Linotype" w:hAnsi="Palatino Linotype" w:cs="Arial"/>
          <w:bCs/>
          <w:i/>
          <w:lang w:val="es-ES"/>
        </w:rPr>
      </w:pPr>
    </w:p>
    <w:p w:rsidR="004D772E" w:rsidRPr="006247AF" w:rsidRDefault="004D772E" w:rsidP="004D772E">
      <w:pPr>
        <w:spacing w:line="360" w:lineRule="auto"/>
        <w:jc w:val="both"/>
        <w:rPr>
          <w:rFonts w:ascii="Palatino Linotype" w:hAnsi="Palatino Linotype"/>
          <w:lang w:val="es-ES"/>
        </w:rPr>
      </w:pPr>
      <w:r w:rsidRPr="006247AF">
        <w:rPr>
          <w:rFonts w:ascii="Palatino Linotype" w:hAnsi="Palatino Linotype"/>
          <w:lang w:val="es-ES"/>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4D772E" w:rsidRPr="006247AF" w:rsidRDefault="004D772E" w:rsidP="004D772E">
      <w:pPr>
        <w:spacing w:line="360" w:lineRule="auto"/>
        <w:jc w:val="both"/>
        <w:rPr>
          <w:rFonts w:ascii="Palatino Linotype" w:hAnsi="Palatino Linotype"/>
          <w:lang w:val="es-ES"/>
        </w:rPr>
      </w:pPr>
    </w:p>
    <w:p w:rsidR="004D772E" w:rsidRPr="006247AF" w:rsidRDefault="004D772E" w:rsidP="004D772E">
      <w:pPr>
        <w:numPr>
          <w:ilvl w:val="0"/>
          <w:numId w:val="8"/>
        </w:numPr>
        <w:spacing w:line="360" w:lineRule="auto"/>
        <w:jc w:val="both"/>
        <w:rPr>
          <w:rFonts w:ascii="Palatino Linotype" w:eastAsia="Calibri" w:hAnsi="Palatino Linotype" w:cs="Tahoma"/>
          <w:b/>
          <w:bCs/>
          <w:iCs/>
          <w:color w:val="000000"/>
          <w:u w:val="single"/>
        </w:rPr>
      </w:pPr>
      <w:r w:rsidRPr="006247AF">
        <w:rPr>
          <w:rFonts w:ascii="Palatino Linotype" w:hAnsi="Palatino Linotype" w:cs="Tahoma"/>
          <w:b/>
          <w:bCs/>
          <w:iCs/>
          <w:color w:val="000000"/>
          <w:u w:val="single"/>
        </w:rPr>
        <w:t>Domicilio particular.</w:t>
      </w:r>
    </w:p>
    <w:p w:rsidR="004D772E" w:rsidRPr="006247AF" w:rsidRDefault="004D772E" w:rsidP="004D772E">
      <w:pPr>
        <w:spacing w:line="360" w:lineRule="auto"/>
        <w:jc w:val="both"/>
        <w:rPr>
          <w:rFonts w:ascii="Palatino Linotype" w:hAnsi="Palatino Linotype" w:cs="Tahoma"/>
          <w:bCs/>
          <w:iCs/>
          <w:color w:val="000000"/>
          <w:lang w:val="es-ES"/>
        </w:rPr>
      </w:pPr>
      <w:r w:rsidRPr="006247AF">
        <w:rPr>
          <w:rFonts w:ascii="Palatino Linotype" w:eastAsia="Calibri" w:hAnsi="Palatino Linotype" w:cs="Tahoma"/>
          <w:bCs/>
          <w:iCs/>
          <w:color w:val="000000"/>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rsidR="004D772E" w:rsidRPr="006247AF" w:rsidRDefault="004D772E" w:rsidP="004D772E">
      <w:pPr>
        <w:spacing w:line="360" w:lineRule="auto"/>
        <w:jc w:val="both"/>
        <w:rPr>
          <w:rFonts w:ascii="Palatino Linotype" w:eastAsia="Calibri" w:hAnsi="Palatino Linotype" w:cs="Tahoma"/>
          <w:bCs/>
          <w:iCs/>
          <w:color w:val="000000"/>
          <w:lang w:val="es-ES"/>
        </w:rPr>
      </w:pPr>
    </w:p>
    <w:p w:rsidR="004D772E" w:rsidRPr="006247AF" w:rsidRDefault="004D772E" w:rsidP="004D772E">
      <w:pPr>
        <w:spacing w:line="360" w:lineRule="auto"/>
        <w:jc w:val="both"/>
        <w:rPr>
          <w:rFonts w:ascii="Palatino Linotype" w:eastAsia="Calibri" w:hAnsi="Palatino Linotype" w:cs="Tahoma"/>
          <w:b/>
          <w:bCs/>
          <w:iCs/>
          <w:color w:val="000000"/>
          <w:lang w:val="es-ES"/>
        </w:rPr>
      </w:pPr>
      <w:r w:rsidRPr="006247AF">
        <w:rPr>
          <w:rFonts w:ascii="Palatino Linotype" w:eastAsia="Calibri" w:hAnsi="Palatino Linotype" w:cs="Tahoma"/>
          <w:bCs/>
          <w:iCs/>
          <w:color w:val="000000"/>
          <w:lang w:val="es-ES"/>
        </w:rPr>
        <w:t>De la misma manera, lo establece el artículo 29 del Código Civil Federal, al precisar que el domicilio de personas físicas</w:t>
      </w:r>
      <w:r w:rsidRPr="006247AF">
        <w:rPr>
          <w:rFonts w:ascii="Palatino Linotype" w:eastAsia="Calibri" w:hAnsi="Palatino Linotype" w:cs="Tahoma"/>
          <w:b/>
          <w:bCs/>
          <w:iCs/>
          <w:color w:val="000000"/>
          <w:lang w:val="es-ES"/>
        </w:rPr>
        <w:t>, es el lugar donde residen habitualmente, el lugar del centro principal de sus negocios, donde residan o el lugar donde se encuentren.</w:t>
      </w:r>
    </w:p>
    <w:p w:rsidR="004D772E" w:rsidRPr="006247AF" w:rsidRDefault="004D772E" w:rsidP="004D772E">
      <w:pPr>
        <w:spacing w:line="360" w:lineRule="auto"/>
        <w:jc w:val="both"/>
        <w:rPr>
          <w:rFonts w:ascii="Palatino Linotype" w:eastAsia="Calibri" w:hAnsi="Palatino Linotype" w:cs="Tahoma"/>
          <w:b/>
          <w:bCs/>
          <w:iCs/>
          <w:color w:val="000000"/>
        </w:rPr>
      </w:pPr>
    </w:p>
    <w:p w:rsidR="004D772E" w:rsidRPr="006247AF" w:rsidRDefault="004D772E" w:rsidP="004D772E">
      <w:pPr>
        <w:spacing w:line="360" w:lineRule="auto"/>
        <w:jc w:val="both"/>
        <w:rPr>
          <w:rFonts w:ascii="Palatino Linotype" w:eastAsia="Calibri" w:hAnsi="Palatino Linotype" w:cs="Tahoma"/>
          <w:bCs/>
          <w:iCs/>
          <w:color w:val="000000"/>
          <w:lang w:val="es-ES"/>
        </w:rPr>
      </w:pPr>
      <w:r w:rsidRPr="006247AF">
        <w:rPr>
          <w:rFonts w:ascii="Palatino Linotype" w:eastAsia="Calibri" w:hAnsi="Palatino Linotype" w:cs="Tahoma"/>
          <w:bCs/>
          <w:iCs/>
          <w:color w:val="000000"/>
          <w:lang w:val="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w:t>
      </w:r>
      <w:r w:rsidRPr="006247AF">
        <w:rPr>
          <w:rFonts w:ascii="Palatino Linotype" w:eastAsia="Calibri" w:hAnsi="Palatino Linotype" w:cs="Tahoma"/>
          <w:bCs/>
          <w:iCs/>
          <w:color w:val="000000"/>
          <w:lang w:val="es-ES"/>
        </w:rPr>
        <w:lastRenderedPageBreak/>
        <w:t>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rsidR="0018459A" w:rsidRPr="006247AF" w:rsidRDefault="0018459A" w:rsidP="004D772E">
      <w:pPr>
        <w:spacing w:line="360" w:lineRule="auto"/>
        <w:jc w:val="both"/>
        <w:rPr>
          <w:rFonts w:ascii="Palatino Linotype" w:hAnsi="Palatino Linotype" w:cs="Tahoma"/>
          <w:bCs/>
          <w:iCs/>
          <w:color w:val="000000"/>
          <w:lang w:val="es-ES"/>
        </w:rPr>
      </w:pPr>
    </w:p>
    <w:p w:rsidR="004D772E" w:rsidRPr="006247AF" w:rsidRDefault="004D772E" w:rsidP="004D772E">
      <w:pPr>
        <w:numPr>
          <w:ilvl w:val="0"/>
          <w:numId w:val="8"/>
        </w:numPr>
        <w:spacing w:line="360" w:lineRule="auto"/>
        <w:contextualSpacing/>
        <w:jc w:val="both"/>
        <w:rPr>
          <w:rFonts w:ascii="Palatino Linotype" w:eastAsia="Calibri" w:hAnsi="Palatino Linotype" w:cs="Tahoma"/>
          <w:color w:val="000000"/>
          <w:u w:val="single"/>
        </w:rPr>
      </w:pPr>
      <w:r w:rsidRPr="006247AF">
        <w:rPr>
          <w:rFonts w:ascii="Palatino Linotype" w:eastAsia="Calibri" w:hAnsi="Palatino Linotype" w:cs="Tahoma"/>
          <w:b/>
          <w:color w:val="000000"/>
          <w:u w:val="single"/>
        </w:rPr>
        <w:t>Teléfono y celular particular.</w:t>
      </w:r>
    </w:p>
    <w:p w:rsidR="004D772E" w:rsidRPr="006247AF" w:rsidRDefault="004D772E" w:rsidP="004D772E">
      <w:pPr>
        <w:spacing w:line="360" w:lineRule="auto"/>
        <w:jc w:val="both"/>
        <w:rPr>
          <w:rFonts w:ascii="Palatino Linotype" w:eastAsia="Calibri" w:hAnsi="Palatino Linotype" w:cs="Tahoma"/>
          <w:color w:val="000000"/>
        </w:rPr>
      </w:pPr>
      <w:r w:rsidRPr="006247AF">
        <w:rPr>
          <w:rFonts w:ascii="Palatino Linotype" w:eastAsia="Calibri" w:hAnsi="Palatino Linotype" w:cs="Tahoma"/>
          <w:color w:val="000000"/>
        </w:rPr>
        <w:t xml:space="preserve">El número asignado a un teléfono particular o celular permite localizar a una persona física identificada o identificable, ya sea a través de un dispositivo móvil o bien, en un lugar como el domicilio. </w:t>
      </w:r>
    </w:p>
    <w:p w:rsidR="004D772E" w:rsidRPr="006247AF" w:rsidRDefault="004D772E" w:rsidP="004D772E">
      <w:pPr>
        <w:spacing w:line="360" w:lineRule="auto"/>
        <w:jc w:val="both"/>
        <w:rPr>
          <w:rFonts w:ascii="Palatino Linotype" w:eastAsia="Calibri" w:hAnsi="Palatino Linotype" w:cs="Tahoma"/>
          <w:color w:val="000000"/>
        </w:rPr>
      </w:pPr>
    </w:p>
    <w:p w:rsidR="004D772E" w:rsidRPr="006247AF" w:rsidRDefault="004D772E" w:rsidP="004D772E">
      <w:pPr>
        <w:spacing w:line="360" w:lineRule="auto"/>
        <w:jc w:val="both"/>
        <w:rPr>
          <w:rFonts w:ascii="Palatino Linotype" w:eastAsia="Calibri" w:hAnsi="Palatino Linotype" w:cs="Tahoma"/>
          <w:color w:val="000000"/>
        </w:rPr>
      </w:pPr>
      <w:r w:rsidRPr="006247AF">
        <w:rPr>
          <w:rFonts w:ascii="Palatino Linotype" w:eastAsia="Calibri" w:hAnsi="Palatino Linotype" w:cs="Tahoma"/>
          <w:color w:val="000000"/>
        </w:rPr>
        <w:t>En ese sentido y de la revisión de las fichas de registro, se logra vislumbrar que el número telefónico proporcionado por los participantes, fue entregado como medio de contacto, para poder ser localizados de manera privada; por lo que, la titularidad del mismo, corresponde a la persona física en su calidad de particular.</w:t>
      </w:r>
    </w:p>
    <w:p w:rsidR="004D772E" w:rsidRPr="006247AF" w:rsidRDefault="004D772E" w:rsidP="004D772E">
      <w:pPr>
        <w:spacing w:line="360" w:lineRule="auto"/>
        <w:jc w:val="both"/>
        <w:rPr>
          <w:rFonts w:ascii="Palatino Linotype" w:eastAsia="Calibri" w:hAnsi="Palatino Linotype" w:cs="Tahoma"/>
          <w:color w:val="000000"/>
        </w:rPr>
      </w:pPr>
    </w:p>
    <w:p w:rsidR="004D772E" w:rsidRPr="006247AF" w:rsidRDefault="004D772E" w:rsidP="004D772E">
      <w:pPr>
        <w:spacing w:line="360" w:lineRule="auto"/>
        <w:jc w:val="both"/>
        <w:rPr>
          <w:rFonts w:ascii="Palatino Linotype" w:eastAsia="Calibri" w:hAnsi="Palatino Linotype" w:cs="Tahoma"/>
          <w:color w:val="000000"/>
        </w:rPr>
      </w:pPr>
      <w:r w:rsidRPr="006247AF">
        <w:rPr>
          <w:rFonts w:ascii="Palatino Linotype" w:eastAsia="Calibri" w:hAnsi="Palatino Linotype" w:cs="Tahoma"/>
          <w:color w:val="000000"/>
        </w:rPr>
        <w:t>En tales consideraciones, dicho dato personal es susceptible de ser clasificado como confidencial, con fundamento en el artículo 143, fracción I de la Ley de Transparencia y Acceso a la Información Pública del Estado de México y Municipios.</w:t>
      </w:r>
    </w:p>
    <w:p w:rsidR="004D772E" w:rsidRPr="006247AF" w:rsidRDefault="004D772E" w:rsidP="004D772E">
      <w:pPr>
        <w:spacing w:line="360" w:lineRule="auto"/>
        <w:jc w:val="both"/>
        <w:rPr>
          <w:rFonts w:ascii="Palatino Linotype" w:eastAsia="Calibri" w:hAnsi="Palatino Linotype" w:cs="Tahoma"/>
          <w:color w:val="000000"/>
        </w:rPr>
      </w:pPr>
    </w:p>
    <w:p w:rsidR="004D772E" w:rsidRPr="006247AF" w:rsidRDefault="004D772E" w:rsidP="004D772E">
      <w:pPr>
        <w:numPr>
          <w:ilvl w:val="0"/>
          <w:numId w:val="8"/>
        </w:numPr>
        <w:tabs>
          <w:tab w:val="left" w:pos="2325"/>
        </w:tabs>
        <w:spacing w:line="360" w:lineRule="auto"/>
        <w:contextualSpacing/>
        <w:jc w:val="both"/>
        <w:rPr>
          <w:rFonts w:ascii="Palatino Linotype" w:eastAsia="Calibri" w:hAnsi="Palatino Linotype" w:cs="Tahoma"/>
          <w:b/>
          <w:bCs/>
          <w:color w:val="000000"/>
          <w:u w:val="single"/>
        </w:rPr>
      </w:pPr>
      <w:r w:rsidRPr="006247AF">
        <w:rPr>
          <w:rFonts w:ascii="Palatino Linotype" w:eastAsia="Calibri" w:hAnsi="Palatino Linotype" w:cs="Tahoma"/>
          <w:b/>
          <w:bCs/>
          <w:color w:val="000000"/>
          <w:u w:val="single"/>
        </w:rPr>
        <w:t>Placas de vehículos institucionales.</w:t>
      </w:r>
    </w:p>
    <w:p w:rsidR="004D772E" w:rsidRPr="006247AF" w:rsidRDefault="004D772E" w:rsidP="004D772E">
      <w:pPr>
        <w:tabs>
          <w:tab w:val="left" w:pos="284"/>
          <w:tab w:val="left" w:pos="567"/>
        </w:tabs>
        <w:spacing w:line="360" w:lineRule="auto"/>
        <w:contextualSpacing/>
        <w:jc w:val="both"/>
        <w:rPr>
          <w:rFonts w:ascii="Palatino Linotype" w:eastAsia="Calibri" w:hAnsi="Palatino Linotype" w:cs="Tahoma"/>
          <w:iCs/>
          <w:color w:val="000000"/>
          <w:lang w:eastAsia="es-ES_tradnl"/>
        </w:rPr>
      </w:pPr>
      <w:r w:rsidRPr="006247AF">
        <w:rPr>
          <w:rFonts w:ascii="Palatino Linotype" w:eastAsia="Calibri" w:hAnsi="Palatino Linotype" w:cs="Arial"/>
          <w:color w:val="000000"/>
        </w:rPr>
        <w:t>Sobre este dato, es de señalar que conforme</w:t>
      </w:r>
      <w:r w:rsidRPr="006247AF">
        <w:rPr>
          <w:rFonts w:ascii="Palatino Linotype" w:eastAsia="Calibri" w:hAnsi="Palatino Linotype" w:cs="Tahoma"/>
          <w:iCs/>
          <w:color w:val="000000"/>
          <w:lang w:eastAsia="es-ES_tradnl"/>
        </w:rPr>
        <w:t xml:space="preserve"> al artículo 8.11 del Código Administrativo del Estado de México, fracción IV, señala que el tránsito de los vehículos se condiciona al </w:t>
      </w:r>
      <w:r w:rsidRPr="006247AF">
        <w:rPr>
          <w:rFonts w:ascii="Palatino Linotype" w:eastAsia="Calibri" w:hAnsi="Palatino Linotype" w:cs="Tahoma"/>
          <w:iCs/>
          <w:color w:val="000000"/>
          <w:lang w:eastAsia="es-ES_tradnl"/>
        </w:rPr>
        <w:lastRenderedPageBreak/>
        <w:t xml:space="preserve">cumplimiento de diversos requisitos entre los cuales se encuentran las placas de matriculación o permisos vigentes. </w:t>
      </w:r>
    </w:p>
    <w:p w:rsidR="004D772E" w:rsidRPr="006247AF" w:rsidRDefault="004D772E" w:rsidP="004D772E">
      <w:pPr>
        <w:tabs>
          <w:tab w:val="left" w:pos="284"/>
          <w:tab w:val="left" w:pos="567"/>
        </w:tabs>
        <w:spacing w:line="360" w:lineRule="auto"/>
        <w:contextualSpacing/>
        <w:jc w:val="both"/>
        <w:rPr>
          <w:rFonts w:ascii="Palatino Linotype" w:eastAsia="Calibri" w:hAnsi="Palatino Linotype" w:cs="Tahoma"/>
          <w:iCs/>
          <w:color w:val="000000"/>
          <w:lang w:eastAsia="es-ES_tradnl"/>
        </w:rPr>
      </w:pPr>
    </w:p>
    <w:p w:rsidR="004D772E" w:rsidRPr="006247AF" w:rsidRDefault="004D772E" w:rsidP="004D772E">
      <w:pPr>
        <w:spacing w:line="360" w:lineRule="auto"/>
        <w:jc w:val="both"/>
        <w:rPr>
          <w:rFonts w:ascii="Palatino Linotype" w:eastAsia="Calibri" w:hAnsi="Palatino Linotype" w:cs="Tahoma"/>
          <w:color w:val="000000"/>
        </w:rPr>
      </w:pPr>
      <w:r w:rsidRPr="006247AF">
        <w:rPr>
          <w:rFonts w:ascii="Palatino Linotype" w:eastAsia="Calibri" w:hAnsi="Palatino Linotype" w:cs="Tahoma"/>
          <w:bCs/>
          <w:color w:val="000000"/>
        </w:rPr>
        <w:t xml:space="preserve">En ese tenor, se consultó el Manual de Procedimientos de trámites y servicios al contribuyente de los Centros de Servicios Fiscales, publicado en el Periódico Oficial “Gaceta del Gobierno el cuatro de agosto de dos mil dieciséis (consultable en la liga electrónica chrome-extension://efaidnbmnnnibpcajpcglclefindmkaj/https://sfpya.edomexico.gob.mx/recaudacion/ReadFile.jsp?File=Manual_procedimientos_2016.pdf) en el que se encuentran diversos trámites incluidos los de control vehicular identificado con el número 3, los cuales tienen como objetivo mejorar la calidad en la atención que se brinda al contribuyente, así como disminuir el porcentaje de trámites de control vehicular no concluidos, mediante la recepción correcta de la documentación, conforme a la Guía de Requisitos de Trámites y Servicios vigente, para una atención eficiente. Y dentro de su alcance refiere que aplica a todos los servidores públicos responsables de la recepción de los trámites control vehicular </w:t>
      </w:r>
      <w:r w:rsidRPr="006247AF">
        <w:rPr>
          <w:rFonts w:ascii="Palatino Linotype" w:eastAsia="Calibri" w:hAnsi="Palatino Linotype" w:cs="Tahoma"/>
          <w:color w:val="000000"/>
        </w:rPr>
        <w:t>en los Centros de Servicios Fiscales dependientes de la Dirección General de Recaudación de la Subsecretaría de Ingresos de la Secretaría de Finanzas del Gobierno del Estado de México.</w:t>
      </w:r>
    </w:p>
    <w:p w:rsidR="004D772E" w:rsidRPr="006247AF" w:rsidRDefault="004D772E" w:rsidP="004D772E">
      <w:pPr>
        <w:spacing w:line="360" w:lineRule="auto"/>
        <w:jc w:val="both"/>
        <w:rPr>
          <w:rFonts w:ascii="Palatino Linotype" w:eastAsia="Calibri" w:hAnsi="Palatino Linotype" w:cs="Tahoma"/>
          <w:color w:val="000000"/>
        </w:rPr>
      </w:pPr>
    </w:p>
    <w:p w:rsidR="004D772E" w:rsidRPr="006247AF" w:rsidRDefault="004D772E" w:rsidP="004D772E">
      <w:pPr>
        <w:spacing w:line="360" w:lineRule="auto"/>
        <w:jc w:val="both"/>
        <w:rPr>
          <w:rFonts w:ascii="Palatino Linotype" w:eastAsia="Calibri" w:hAnsi="Palatino Linotype" w:cs="Tahoma"/>
          <w:iCs/>
          <w:color w:val="000000"/>
          <w:lang w:eastAsia="es-ES_tradnl"/>
        </w:rPr>
      </w:pPr>
      <w:r w:rsidRPr="006247AF">
        <w:rPr>
          <w:rFonts w:ascii="Palatino Linotype" w:eastAsia="Calibri" w:hAnsi="Palatino Linotype" w:cs="Tahoma"/>
          <w:bCs/>
          <w:color w:val="000000"/>
        </w:rPr>
        <w:t>Dentro del manual citado en el párrafo anterior, dentro del numeral en cita (3) establece las políticas del trámite dentro de la que se encuentra el alta de vehículos nuevos</w:t>
      </w:r>
      <w:r w:rsidRPr="006247AF">
        <w:rPr>
          <w:rFonts w:ascii="Palatino Linotype" w:eastAsia="Calibri" w:hAnsi="Palatino Linotype" w:cs="Tahoma"/>
          <w:iCs/>
          <w:color w:val="000000"/>
          <w:lang w:eastAsia="es-ES_tradnl"/>
        </w:rPr>
        <w:t>, a cargo de la Secretaría de Finanzas a través de los Centros de Servicios Fiscales de la Dirección General de Recaudación, mismo que permite a los propietarios de vehículos nuevos, obtener:</w:t>
      </w:r>
    </w:p>
    <w:p w:rsidR="004D772E" w:rsidRPr="006247AF" w:rsidRDefault="004D772E" w:rsidP="004D772E">
      <w:pPr>
        <w:spacing w:line="360" w:lineRule="auto"/>
        <w:ind w:left="284" w:right="-93"/>
        <w:jc w:val="both"/>
        <w:rPr>
          <w:rFonts w:ascii="Palatino Linotype" w:eastAsia="Calibri" w:hAnsi="Palatino Linotype" w:cs="Tahoma"/>
          <w:iCs/>
          <w:color w:val="000000"/>
          <w:lang w:eastAsia="es-ES_tradnl"/>
        </w:rPr>
      </w:pPr>
      <w:r w:rsidRPr="006247AF">
        <w:rPr>
          <w:rFonts w:ascii="Palatino Linotype" w:eastAsia="Calibri" w:hAnsi="Palatino Linotype" w:cs="Tahoma"/>
          <w:iCs/>
          <w:color w:val="000000"/>
          <w:lang w:eastAsia="es-ES_tradnl"/>
        </w:rPr>
        <w:lastRenderedPageBreak/>
        <w:t xml:space="preserve">1) Placa(s)  </w:t>
      </w:r>
    </w:p>
    <w:p w:rsidR="004D772E" w:rsidRPr="006247AF" w:rsidRDefault="004D772E" w:rsidP="004D772E">
      <w:pPr>
        <w:spacing w:line="360" w:lineRule="auto"/>
        <w:ind w:left="284" w:right="-93"/>
        <w:jc w:val="both"/>
        <w:rPr>
          <w:rFonts w:ascii="Palatino Linotype" w:eastAsia="Calibri" w:hAnsi="Palatino Linotype" w:cs="Tahoma"/>
          <w:iCs/>
          <w:color w:val="000000"/>
          <w:lang w:eastAsia="es-ES_tradnl"/>
        </w:rPr>
      </w:pPr>
      <w:r w:rsidRPr="006247AF">
        <w:rPr>
          <w:rFonts w:ascii="Palatino Linotype" w:eastAsia="Calibri" w:hAnsi="Palatino Linotype" w:cs="Tahoma"/>
          <w:iCs/>
          <w:color w:val="000000"/>
          <w:lang w:eastAsia="es-ES_tradnl"/>
        </w:rPr>
        <w:t xml:space="preserve">2) Tarjeta Circulación  </w:t>
      </w:r>
    </w:p>
    <w:p w:rsidR="004D772E" w:rsidRPr="006247AF" w:rsidRDefault="004D772E" w:rsidP="004D772E">
      <w:pPr>
        <w:spacing w:line="360" w:lineRule="auto"/>
        <w:ind w:left="284" w:right="-93"/>
        <w:jc w:val="both"/>
        <w:rPr>
          <w:rFonts w:ascii="Palatino Linotype" w:eastAsia="Calibri" w:hAnsi="Palatino Linotype" w:cs="Tahoma"/>
          <w:iCs/>
          <w:color w:val="000000"/>
          <w:lang w:eastAsia="es-ES_tradnl"/>
        </w:rPr>
      </w:pPr>
      <w:r w:rsidRPr="006247AF">
        <w:rPr>
          <w:rFonts w:ascii="Palatino Linotype" w:eastAsia="Calibri" w:hAnsi="Palatino Linotype" w:cs="Tahoma"/>
          <w:iCs/>
          <w:color w:val="000000"/>
          <w:lang w:eastAsia="es-ES_tradnl"/>
        </w:rPr>
        <w:t>3) En su caso, calcomanía</w:t>
      </w:r>
    </w:p>
    <w:p w:rsidR="004D772E" w:rsidRPr="006247AF" w:rsidRDefault="004D772E" w:rsidP="004D772E">
      <w:pPr>
        <w:spacing w:line="360" w:lineRule="auto"/>
        <w:ind w:left="284" w:right="-93"/>
        <w:jc w:val="both"/>
        <w:rPr>
          <w:rFonts w:ascii="Palatino Linotype" w:eastAsia="Calibri" w:hAnsi="Palatino Linotype" w:cs="Tahoma"/>
          <w:iCs/>
          <w:color w:val="000000"/>
          <w:lang w:eastAsia="es-ES_tradnl"/>
        </w:rPr>
      </w:pPr>
    </w:p>
    <w:p w:rsidR="004D772E" w:rsidRPr="006247AF" w:rsidRDefault="004D772E" w:rsidP="004D772E">
      <w:pPr>
        <w:spacing w:line="360" w:lineRule="auto"/>
        <w:jc w:val="both"/>
        <w:rPr>
          <w:rFonts w:ascii="Palatino Linotype" w:eastAsia="Calibri" w:hAnsi="Palatino Linotype" w:cs="Tahoma"/>
          <w:color w:val="000000"/>
        </w:rPr>
      </w:pPr>
      <w:r w:rsidRPr="006247AF">
        <w:rPr>
          <w:rFonts w:ascii="Palatino Linotype" w:eastAsia="Calibri" w:hAnsi="Palatino Linotype" w:cs="Tahoma"/>
          <w:bCs/>
          <w:color w:val="000000"/>
        </w:rPr>
        <w:t>Derivado de lo anterior, se observa que es requisito contar con las placas para poder transitar, por lo que no se advierte motivo alguno para clasificar este dato, po</w:t>
      </w:r>
      <w:r w:rsidRPr="006247AF">
        <w:rPr>
          <w:rFonts w:ascii="Palatino Linotype" w:eastAsia="Calibri" w:hAnsi="Palatino Linotype" w:cs="Tahoma"/>
          <w:color w:val="000000"/>
        </w:rPr>
        <w:t>r lo que, dicho dato, no actualiza la causal de clasificación establecida en el artículo 143, fracción I, de la Ley de Transparencia y Acceso a la Información Pública del Estado de México y Municipios.</w:t>
      </w:r>
    </w:p>
    <w:p w:rsidR="004D772E" w:rsidRPr="006247AF" w:rsidRDefault="004D772E" w:rsidP="004D772E">
      <w:pPr>
        <w:tabs>
          <w:tab w:val="left" w:pos="2325"/>
        </w:tabs>
        <w:spacing w:line="360" w:lineRule="auto"/>
        <w:contextualSpacing/>
        <w:jc w:val="both"/>
        <w:rPr>
          <w:rFonts w:ascii="Palatino Linotype" w:eastAsia="Calibri" w:hAnsi="Palatino Linotype" w:cs="Tahoma"/>
          <w:b/>
          <w:bCs/>
          <w:color w:val="000000"/>
        </w:rPr>
      </w:pPr>
    </w:p>
    <w:p w:rsidR="004D772E" w:rsidRPr="006247AF" w:rsidRDefault="004D772E" w:rsidP="004D772E">
      <w:pPr>
        <w:numPr>
          <w:ilvl w:val="0"/>
          <w:numId w:val="8"/>
        </w:numPr>
        <w:tabs>
          <w:tab w:val="left" w:pos="2325"/>
        </w:tabs>
        <w:spacing w:line="360" w:lineRule="auto"/>
        <w:contextualSpacing/>
        <w:jc w:val="both"/>
        <w:rPr>
          <w:rFonts w:ascii="Palatino Linotype" w:eastAsia="Calibri" w:hAnsi="Palatino Linotype" w:cs="Tahoma"/>
          <w:b/>
          <w:bCs/>
          <w:color w:val="000000"/>
          <w:u w:val="single"/>
        </w:rPr>
      </w:pPr>
      <w:r w:rsidRPr="006247AF">
        <w:rPr>
          <w:rFonts w:ascii="Palatino Linotype" w:eastAsia="Calibri" w:hAnsi="Palatino Linotype" w:cs="Tahoma"/>
          <w:b/>
          <w:bCs/>
          <w:color w:val="000000"/>
          <w:u w:val="single"/>
        </w:rPr>
        <w:t>Correo electrónico particular.</w:t>
      </w:r>
    </w:p>
    <w:p w:rsidR="004D772E" w:rsidRPr="006247AF" w:rsidRDefault="004D772E" w:rsidP="004D772E">
      <w:pPr>
        <w:spacing w:line="360" w:lineRule="auto"/>
        <w:jc w:val="both"/>
        <w:rPr>
          <w:rFonts w:ascii="Palatino Linotype" w:eastAsia="Calibri" w:hAnsi="Palatino Linotype" w:cs="Tahoma"/>
          <w:bCs/>
          <w:color w:val="000000"/>
          <w:lang w:val="es-ES"/>
        </w:rPr>
      </w:pPr>
      <w:r w:rsidRPr="006247AF">
        <w:rPr>
          <w:rFonts w:ascii="Palatino Linotype" w:eastAsia="Calibri" w:hAnsi="Palatino Linotype" w:cs="Tahoma"/>
          <w:bCs/>
          <w:color w:val="000000"/>
          <w:lang w:val="es-ES"/>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rsidR="004D772E" w:rsidRPr="006247AF" w:rsidRDefault="004D772E" w:rsidP="004D772E">
      <w:pPr>
        <w:spacing w:line="360" w:lineRule="auto"/>
        <w:jc w:val="both"/>
        <w:rPr>
          <w:rFonts w:ascii="Palatino Linotype" w:eastAsia="Calibri" w:hAnsi="Palatino Linotype" w:cs="Tahoma"/>
          <w:bCs/>
          <w:color w:val="000000"/>
          <w:lang w:val="es-ES"/>
        </w:rPr>
      </w:pPr>
    </w:p>
    <w:p w:rsidR="004D772E" w:rsidRPr="006247AF" w:rsidRDefault="004D772E" w:rsidP="004D772E">
      <w:pPr>
        <w:tabs>
          <w:tab w:val="left" w:pos="2325"/>
        </w:tabs>
        <w:spacing w:line="360" w:lineRule="auto"/>
        <w:jc w:val="both"/>
        <w:rPr>
          <w:rFonts w:ascii="Palatino Linotype" w:eastAsia="Calibri" w:hAnsi="Palatino Linotype" w:cs="Tahoma"/>
          <w:bCs/>
          <w:color w:val="000000"/>
          <w:lang w:val="es-ES"/>
        </w:rPr>
      </w:pPr>
      <w:r w:rsidRPr="006247AF">
        <w:rPr>
          <w:rFonts w:ascii="Palatino Linotype" w:eastAsia="Calibri" w:hAnsi="Palatino Linotype" w:cs="Tahoma"/>
          <w:bCs/>
          <w:color w:val="000000"/>
          <w:lang w:val="es-ES"/>
        </w:rPr>
        <w:t>En ese sentido, cabe señalar que el correo electrónico no institucional, es decir de particulares, corresponde a un dato personal que actualiza la causal de clasificación establecida en el artículo 143, fracción I de la Ley de Transparencia y Acceso a la Información Pública del Estado de México y Municipios.</w:t>
      </w:r>
    </w:p>
    <w:p w:rsidR="0018459A" w:rsidRPr="006247AF" w:rsidRDefault="0018459A" w:rsidP="004D772E">
      <w:pPr>
        <w:spacing w:line="360" w:lineRule="auto"/>
        <w:jc w:val="both"/>
        <w:rPr>
          <w:rFonts w:ascii="Palatino Linotype" w:hAnsi="Palatino Linotype"/>
          <w:sz w:val="28"/>
          <w:lang w:val="es-ES"/>
        </w:rPr>
      </w:pPr>
    </w:p>
    <w:p w:rsidR="004D772E" w:rsidRPr="006247AF" w:rsidRDefault="004D772E" w:rsidP="004D772E">
      <w:pPr>
        <w:numPr>
          <w:ilvl w:val="0"/>
          <w:numId w:val="8"/>
        </w:numPr>
        <w:spacing w:line="360" w:lineRule="auto"/>
        <w:jc w:val="both"/>
        <w:rPr>
          <w:rFonts w:ascii="Palatino Linotype" w:eastAsia="Calibri" w:hAnsi="Palatino Linotype"/>
          <w:b/>
          <w:bCs/>
          <w:iCs/>
          <w:color w:val="000000"/>
          <w:lang w:val="es-ES_tradnl"/>
        </w:rPr>
      </w:pPr>
      <w:r w:rsidRPr="006247AF">
        <w:rPr>
          <w:rFonts w:ascii="Palatino Linotype" w:eastAsia="Calibri" w:hAnsi="Palatino Linotype"/>
          <w:b/>
          <w:bCs/>
          <w:iCs/>
          <w:color w:val="000000"/>
          <w:lang w:val="es-ES_tradnl"/>
        </w:rPr>
        <w:t>Nombre de particulares.</w:t>
      </w:r>
    </w:p>
    <w:p w:rsidR="004D772E" w:rsidRPr="006247AF" w:rsidRDefault="004D772E" w:rsidP="004D772E">
      <w:pPr>
        <w:spacing w:line="360" w:lineRule="auto"/>
        <w:jc w:val="both"/>
        <w:rPr>
          <w:rFonts w:ascii="Palatino Linotype" w:eastAsia="Calibri" w:hAnsi="Palatino Linotype" w:cs="Tahoma"/>
          <w:b/>
          <w:bCs/>
          <w:lang w:val="es-ES_tradnl"/>
        </w:rPr>
      </w:pPr>
      <w:r w:rsidRPr="006247AF">
        <w:rPr>
          <w:rFonts w:ascii="Palatino Linotype" w:eastAsia="Calibri" w:hAnsi="Palatino Linotype" w:cs="Tahoma"/>
          <w:bCs/>
          <w:color w:val="000000"/>
        </w:rPr>
        <w:lastRenderedPageBreak/>
        <w:t xml:space="preserve">Al respecto, se considera que el nombre se integra </w:t>
      </w:r>
      <w:r w:rsidRPr="006247AF">
        <w:rPr>
          <w:rFonts w:ascii="Palatino Linotype" w:eastAsia="Calibri" w:hAnsi="Palatino Linotype" w:cs="Tahoma"/>
          <w:bCs/>
          <w:color w:val="000000"/>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6247AF">
        <w:rPr>
          <w:rFonts w:ascii="Palatino Linotype" w:eastAsia="Calibri" w:hAnsi="Palatino Linotype" w:cs="Tahoma"/>
          <w:bCs/>
          <w:i/>
          <w:color w:val="000000"/>
          <w:lang w:val="es-ES_tradnl"/>
        </w:rPr>
        <w:t>per se</w:t>
      </w:r>
      <w:r w:rsidRPr="006247AF">
        <w:rPr>
          <w:rFonts w:ascii="Palatino Linotype" w:eastAsia="Calibri" w:hAnsi="Palatino Linotype" w:cs="Tahoma"/>
          <w:bCs/>
          <w:color w:val="000000"/>
          <w:lang w:val="es-ES_tradnl"/>
        </w:rPr>
        <w:t xml:space="preserve"> es un elemento que hace a una persona física identificada o identificable, por lo que, </w:t>
      </w:r>
      <w:r w:rsidRPr="006247AF">
        <w:rPr>
          <w:rFonts w:ascii="Palatino Linotype" w:eastAsia="Calibri" w:hAnsi="Palatino Linotype" w:cs="Tahoma"/>
          <w:b/>
          <w:bCs/>
          <w:color w:val="000000"/>
          <w:lang w:val="es-ES_tradnl"/>
        </w:rPr>
        <w:t>se considera un dato personal.</w:t>
      </w:r>
    </w:p>
    <w:p w:rsidR="004D772E" w:rsidRPr="006247AF" w:rsidRDefault="004D772E" w:rsidP="004D772E">
      <w:pPr>
        <w:spacing w:line="360" w:lineRule="auto"/>
        <w:jc w:val="both"/>
        <w:rPr>
          <w:rFonts w:ascii="Palatino Linotype" w:eastAsia="Calibri" w:hAnsi="Palatino Linotype" w:cs="Tahoma"/>
          <w:b/>
          <w:bCs/>
          <w:color w:val="000000"/>
        </w:rPr>
      </w:pPr>
    </w:p>
    <w:p w:rsidR="004D772E" w:rsidRPr="006247AF" w:rsidRDefault="004D772E" w:rsidP="004D772E">
      <w:pPr>
        <w:spacing w:line="360" w:lineRule="auto"/>
        <w:ind w:right="-93"/>
        <w:jc w:val="both"/>
        <w:rPr>
          <w:rFonts w:ascii="Palatino Linotype" w:eastAsia="Calibri" w:hAnsi="Palatino Linotype" w:cs="Tahoma"/>
          <w:b/>
          <w:bCs/>
          <w:color w:val="000000"/>
          <w:lang w:val="es-ES"/>
        </w:rPr>
      </w:pPr>
      <w:r w:rsidRPr="006247AF">
        <w:rPr>
          <w:rFonts w:ascii="Palatino Linotype" w:eastAsia="Calibri" w:hAnsi="Palatino Linotype" w:cs="Tahoma"/>
          <w:bCs/>
          <w:color w:val="000000"/>
        </w:rPr>
        <w:t xml:space="preserve">Al respecto </w:t>
      </w:r>
      <w:r w:rsidRPr="006247AF">
        <w:rPr>
          <w:rFonts w:ascii="Palatino Linotype" w:eastAsia="Calibri" w:hAnsi="Palatino Linotype" w:cs="Tahoma"/>
          <w:bCs/>
          <w:color w:val="000000"/>
          <w:lang w:val="es-ES"/>
        </w:rPr>
        <w:t xml:space="preserve">cabe señalar lo previsto en la tesis aislada número 1a. CCXIV/2009, emitida por la Primera Sala de la Suprema Corte de Justicia de la Nación, publicada </w:t>
      </w:r>
      <w:r w:rsidRPr="006247AF">
        <w:rPr>
          <w:rFonts w:ascii="Palatino Linotype" w:eastAsia="Calibri" w:hAnsi="Palatino Linotype" w:cs="Tahoma"/>
          <w:bCs/>
          <w:iCs/>
          <w:color w:val="000000"/>
          <w:lang w:val="es-ES"/>
        </w:rPr>
        <w:t xml:space="preserve">en la Gaceta del Semanario Judicial de la Federación, Tomo XXX, de diciembre de 2009, página 277, de la Novena Época, previamente referida, que establece el derecho a la vida privada </w:t>
      </w:r>
      <w:r w:rsidRPr="006247AF">
        <w:rPr>
          <w:rFonts w:ascii="Palatino Linotype" w:eastAsia="Calibri" w:hAnsi="Palatino Linotype" w:cs="Tahoma"/>
          <w:bCs/>
          <w:color w:val="000000"/>
          <w:lang w:val="es-ES"/>
        </w:rPr>
        <w:t xml:space="preserve">de una persona. De conformidad con lo señalado, se colige que </w:t>
      </w:r>
      <w:r w:rsidRPr="006247AF">
        <w:rPr>
          <w:rFonts w:ascii="Palatino Linotype" w:eastAsia="Calibri" w:hAnsi="Palatino Linotype" w:cs="Tahoma"/>
          <w:b/>
          <w:bCs/>
          <w:color w:val="000000"/>
          <w:lang w:val="es-ES"/>
        </w:rPr>
        <w:t>las actividades que realicen los particulares, dentro del ámbito privado, o dentro de la esfera particular, es información que debe protegerse.</w:t>
      </w:r>
    </w:p>
    <w:p w:rsidR="004D772E" w:rsidRPr="006247AF" w:rsidRDefault="004D772E" w:rsidP="004D772E">
      <w:pPr>
        <w:spacing w:line="360" w:lineRule="auto"/>
        <w:ind w:right="-93"/>
        <w:jc w:val="both"/>
        <w:rPr>
          <w:rFonts w:ascii="Palatino Linotype" w:eastAsia="Calibri" w:hAnsi="Palatino Linotype" w:cs="Tahoma"/>
          <w:bCs/>
          <w:color w:val="000000"/>
          <w:lang w:val="es-ES"/>
        </w:rPr>
      </w:pPr>
    </w:p>
    <w:p w:rsidR="004D772E" w:rsidRPr="006247AF" w:rsidRDefault="004D772E" w:rsidP="004D772E">
      <w:pPr>
        <w:numPr>
          <w:ilvl w:val="0"/>
          <w:numId w:val="9"/>
        </w:numPr>
        <w:spacing w:line="360" w:lineRule="auto"/>
        <w:ind w:right="-93"/>
        <w:contextualSpacing/>
        <w:jc w:val="both"/>
        <w:rPr>
          <w:rFonts w:ascii="Palatino Linotype" w:eastAsia="Calibri" w:hAnsi="Palatino Linotype" w:cs="Tahoma"/>
          <w:b/>
          <w:color w:val="000000"/>
        </w:rPr>
      </w:pPr>
      <w:r w:rsidRPr="006247AF">
        <w:rPr>
          <w:rFonts w:ascii="Palatino Linotype" w:eastAsia="Calibri" w:hAnsi="Palatino Linotype" w:cs="Tahoma"/>
          <w:b/>
          <w:color w:val="000000"/>
        </w:rPr>
        <w:t>Firma de Particulares.</w:t>
      </w:r>
    </w:p>
    <w:p w:rsidR="004D772E" w:rsidRPr="006247AF" w:rsidRDefault="004D772E" w:rsidP="004D772E">
      <w:pPr>
        <w:spacing w:line="360" w:lineRule="auto"/>
        <w:ind w:right="-93"/>
        <w:jc w:val="both"/>
        <w:rPr>
          <w:rFonts w:ascii="Palatino Linotype" w:eastAsia="Calibri" w:hAnsi="Palatino Linotype" w:cs="Tahoma"/>
          <w:bCs/>
          <w:color w:val="000000"/>
        </w:rPr>
      </w:pPr>
      <w:r w:rsidRPr="006247AF">
        <w:rPr>
          <w:rFonts w:ascii="Palatino Linotype" w:eastAsia="Calibri" w:hAnsi="Palatino Linotype" w:cs="Tahoma"/>
          <w:bCs/>
          <w:color w:val="000000"/>
        </w:rPr>
        <w:t>La firma es una inscripción manuscrita que indica el nombre de una persona que entiende ser suyas las declaraciones del acto, de esta manera hace a una persona física identificada o identificable, por lo que, tratándose de Particulares la firma es un dato personal confidencial, que, además, en el presente caso actúa desde su ámbito privado.</w:t>
      </w:r>
    </w:p>
    <w:p w:rsidR="004D772E" w:rsidRPr="006247AF" w:rsidRDefault="004D772E" w:rsidP="004D772E">
      <w:pPr>
        <w:spacing w:line="360" w:lineRule="auto"/>
        <w:ind w:right="-93"/>
        <w:jc w:val="both"/>
        <w:rPr>
          <w:rFonts w:ascii="Palatino Linotype" w:eastAsia="Calibri" w:hAnsi="Palatino Linotype" w:cs="Tahoma"/>
          <w:bCs/>
          <w:color w:val="000000"/>
        </w:rPr>
      </w:pPr>
    </w:p>
    <w:p w:rsidR="004D772E" w:rsidRPr="006247AF" w:rsidRDefault="004D772E" w:rsidP="004D772E">
      <w:pPr>
        <w:spacing w:line="360" w:lineRule="auto"/>
        <w:ind w:right="-93"/>
        <w:jc w:val="both"/>
        <w:rPr>
          <w:rFonts w:ascii="Palatino Linotype" w:eastAsia="Calibri" w:hAnsi="Palatino Linotype" w:cs="Tahoma"/>
          <w:bCs/>
          <w:color w:val="000000"/>
        </w:rPr>
      </w:pPr>
      <w:r w:rsidRPr="006247AF">
        <w:rPr>
          <w:rFonts w:ascii="Palatino Linotype" w:eastAsia="Calibri" w:hAnsi="Palatino Linotype" w:cs="Tahoma"/>
          <w:bCs/>
          <w:color w:val="000000"/>
        </w:rPr>
        <w:t>Conforme a lo expuesto, en el presente caso, procede la clasificación, en términos del artículo 143, fracción I de la Ley de Transparencia y Acceso a la Información Pública del Estado de México y Municipios, de la firma de particulares o representantes legales.</w:t>
      </w:r>
    </w:p>
    <w:p w:rsidR="004D772E" w:rsidRPr="006247AF" w:rsidRDefault="004D772E" w:rsidP="004D772E">
      <w:pPr>
        <w:spacing w:line="360" w:lineRule="auto"/>
        <w:ind w:right="-93"/>
        <w:jc w:val="both"/>
        <w:rPr>
          <w:rFonts w:ascii="Palatino Linotype" w:eastAsia="Calibri" w:hAnsi="Palatino Linotype" w:cs="Tahoma"/>
          <w:bCs/>
          <w:color w:val="000000"/>
        </w:rPr>
      </w:pPr>
      <w:r w:rsidRPr="006247AF">
        <w:rPr>
          <w:rFonts w:ascii="Palatino Linotype" w:eastAsia="Calibri" w:hAnsi="Palatino Linotype" w:cs="Tahoma"/>
          <w:bCs/>
          <w:color w:val="000000"/>
        </w:rPr>
        <w:lastRenderedPageBreak/>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rsidR="004D772E" w:rsidRPr="006247AF" w:rsidRDefault="004D772E" w:rsidP="004D772E">
      <w:pPr>
        <w:spacing w:line="360" w:lineRule="auto"/>
        <w:jc w:val="both"/>
        <w:rPr>
          <w:rFonts w:ascii="Palatino Linotype" w:hAnsi="Palatino Linotype"/>
          <w:lang w:val="es-ES"/>
        </w:rPr>
      </w:pPr>
    </w:p>
    <w:p w:rsidR="004D772E" w:rsidRPr="006247AF" w:rsidRDefault="004D772E" w:rsidP="004D772E">
      <w:pPr>
        <w:spacing w:line="360" w:lineRule="auto"/>
        <w:jc w:val="both"/>
        <w:rPr>
          <w:rFonts w:ascii="Palatino Linotype" w:hAnsi="Palatino Linotype"/>
        </w:rPr>
      </w:pPr>
      <w:r w:rsidRPr="006247AF">
        <w:rPr>
          <w:rFonts w:ascii="Palatino Linotype" w:hAnsi="Palatino Linotype"/>
          <w:lang w:val="es-ES_tradnl" w:eastAsia="es-ES"/>
        </w:rPr>
        <w:t xml:space="preserve">Por ende, en el presente caso el Sujeto Obligado debe </w:t>
      </w:r>
      <w:r w:rsidRPr="006247AF">
        <w:rPr>
          <w:rFonts w:ascii="Palatino Linotype" w:hAnsi="Palatino Linotype"/>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6247AF">
        <w:rPr>
          <w:rFonts w:ascii="Palatino Linotype" w:hAnsi="Palatino Linotype"/>
          <w:lang w:val="es-ES_tradnl" w:eastAsia="es-ES"/>
        </w:rPr>
        <w:t xml:space="preserve">el Sujeto Obligado </w:t>
      </w:r>
      <w:r w:rsidRPr="006247AF">
        <w:rPr>
          <w:rFonts w:ascii="Palatino Linotype" w:hAnsi="Palatino Linotype"/>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6247AF">
        <w:rPr>
          <w:rFonts w:ascii="Palatino Linotype" w:hAnsi="Palatino Linotype"/>
          <w:lang w:val="es-ES_tradnl" w:eastAsia="es-ES"/>
        </w:rPr>
        <w:t>el Sujeto Obligado</w:t>
      </w:r>
      <w:r w:rsidRPr="006247AF">
        <w:rPr>
          <w:rFonts w:ascii="Palatino Linotype" w:hAnsi="Palatino Linotype"/>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4D772E" w:rsidRPr="006247AF" w:rsidRDefault="004D772E" w:rsidP="004D772E">
      <w:pPr>
        <w:spacing w:line="360" w:lineRule="auto"/>
        <w:jc w:val="both"/>
        <w:rPr>
          <w:rFonts w:ascii="Palatino Linotype" w:hAnsi="Palatino Linotype"/>
        </w:rPr>
      </w:pPr>
    </w:p>
    <w:p w:rsidR="004D772E" w:rsidRPr="006247AF" w:rsidRDefault="004D772E" w:rsidP="004D772E">
      <w:pPr>
        <w:spacing w:line="360" w:lineRule="auto"/>
        <w:jc w:val="both"/>
        <w:rPr>
          <w:rFonts w:ascii="Palatino Linotype" w:eastAsia="Calibri" w:hAnsi="Palatino Linotype"/>
          <w:lang w:eastAsia="es-ES"/>
        </w:rPr>
      </w:pPr>
      <w:r w:rsidRPr="006247AF">
        <w:rPr>
          <w:rFonts w:ascii="Palatino Linotype" w:eastAsia="Calibri" w:hAnsi="Palatino Linotype"/>
          <w:lang w:eastAsia="es-ES"/>
        </w:rPr>
        <w:t xml:space="preserve">Así, es que </w:t>
      </w:r>
      <w:r w:rsidRPr="006247AF">
        <w:rPr>
          <w:rFonts w:ascii="Palatino Linotype" w:hAnsi="Palatino Linotype"/>
          <w:lang w:val="es-ES_tradnl" w:eastAsia="es-ES"/>
        </w:rPr>
        <w:t xml:space="preserve">el Sujeto Obligado </w:t>
      </w:r>
      <w:r w:rsidRPr="006247AF">
        <w:rPr>
          <w:rFonts w:ascii="Palatino Linotype" w:eastAsia="Calibri" w:hAnsi="Palatino Linotype"/>
          <w:lang w:eastAsia="es-ES"/>
        </w:rPr>
        <w:t xml:space="preserve">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w:t>
      </w:r>
      <w:r w:rsidRPr="006247AF">
        <w:rPr>
          <w:rFonts w:ascii="Palatino Linotype" w:eastAsia="Calibri" w:hAnsi="Palatino Linotype"/>
          <w:lang w:eastAsia="es-ES"/>
        </w:rPr>
        <w:lastRenderedPageBreak/>
        <w:t>Lineamientos citados, para fundar la clasificación de la información se debe señalar el artículo, fracción, inciso, párrafo o numeral de la Ley que expresamente le otorga el carácter de confidencial.</w:t>
      </w:r>
    </w:p>
    <w:p w:rsidR="004D772E" w:rsidRPr="006247AF" w:rsidRDefault="004D772E" w:rsidP="004D772E">
      <w:pPr>
        <w:spacing w:line="360" w:lineRule="auto"/>
        <w:jc w:val="both"/>
        <w:rPr>
          <w:rFonts w:ascii="Palatino Linotype" w:hAnsi="Palatino Linotype"/>
          <w:lang w:eastAsia="es-ES"/>
        </w:rPr>
      </w:pPr>
    </w:p>
    <w:p w:rsidR="004D772E" w:rsidRPr="006247AF" w:rsidRDefault="004D772E" w:rsidP="004D772E">
      <w:pPr>
        <w:spacing w:line="360" w:lineRule="auto"/>
        <w:jc w:val="both"/>
        <w:rPr>
          <w:rFonts w:ascii="Palatino Linotype" w:hAnsi="Palatino Linotype"/>
          <w:lang w:eastAsia="es-ES"/>
        </w:rPr>
      </w:pPr>
      <w:r w:rsidRPr="006247AF">
        <w:rPr>
          <w:rFonts w:ascii="Palatino Linotype" w:hAnsi="Palatino Linotype"/>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rsidR="004D772E" w:rsidRPr="006247AF" w:rsidRDefault="004D772E" w:rsidP="004D772E">
      <w:pPr>
        <w:rPr>
          <w:rFonts w:ascii="Palatino Linotype" w:hAnsi="Palatino Linotype"/>
          <w:lang w:eastAsia="es-ES"/>
        </w:rPr>
      </w:pPr>
    </w:p>
    <w:p w:rsidR="004D772E" w:rsidRPr="006247AF" w:rsidRDefault="004D772E" w:rsidP="004D772E">
      <w:pPr>
        <w:ind w:left="567" w:right="616"/>
        <w:jc w:val="both"/>
        <w:rPr>
          <w:rFonts w:ascii="Palatino Linotype" w:hAnsi="Palatino Linotype"/>
          <w:i/>
        </w:rPr>
      </w:pPr>
      <w:r w:rsidRPr="006247AF">
        <w:rPr>
          <w:rFonts w:ascii="Palatino Linotype" w:hAnsi="Palatino Linotype"/>
          <w:b/>
          <w:i/>
        </w:rPr>
        <w:t xml:space="preserve">“Artículo 49. </w:t>
      </w:r>
      <w:r w:rsidRPr="006247AF">
        <w:rPr>
          <w:rFonts w:ascii="Palatino Linotype" w:hAnsi="Palatino Linotype"/>
          <w:i/>
        </w:rPr>
        <w:t>Los Comités de Transparencia tendrán las siguientes atribuciones:</w:t>
      </w:r>
    </w:p>
    <w:p w:rsidR="004D772E" w:rsidRPr="006247AF" w:rsidRDefault="004D772E" w:rsidP="004D772E">
      <w:pPr>
        <w:ind w:left="567" w:right="616"/>
        <w:jc w:val="both"/>
        <w:rPr>
          <w:rFonts w:ascii="Palatino Linotype" w:hAnsi="Palatino Linotype"/>
          <w:i/>
        </w:rPr>
      </w:pPr>
      <w:r w:rsidRPr="006247AF">
        <w:rPr>
          <w:rFonts w:ascii="Palatino Linotype" w:hAnsi="Palatino Linotype"/>
          <w:b/>
          <w:i/>
        </w:rPr>
        <w:t>VIII.</w:t>
      </w:r>
      <w:r w:rsidRPr="006247AF">
        <w:rPr>
          <w:rFonts w:ascii="Palatino Linotype" w:hAnsi="Palatino Linotype"/>
          <w:i/>
        </w:rPr>
        <w:t xml:space="preserve"> Aprobar, modificar o revocar la clasificación de la información;</w:t>
      </w:r>
    </w:p>
    <w:p w:rsidR="004D772E" w:rsidRPr="006247AF" w:rsidRDefault="004D772E" w:rsidP="004D772E">
      <w:pPr>
        <w:ind w:left="567" w:right="616"/>
        <w:jc w:val="both"/>
        <w:rPr>
          <w:rFonts w:ascii="Palatino Linotype" w:hAnsi="Palatino Linotype"/>
          <w:i/>
        </w:rPr>
      </w:pPr>
    </w:p>
    <w:p w:rsidR="004D772E" w:rsidRPr="006247AF" w:rsidRDefault="004D772E" w:rsidP="004D772E">
      <w:pPr>
        <w:ind w:left="567" w:right="616"/>
        <w:jc w:val="both"/>
        <w:rPr>
          <w:rFonts w:ascii="Palatino Linotype" w:hAnsi="Palatino Linotype"/>
          <w:i/>
        </w:rPr>
      </w:pPr>
      <w:r w:rsidRPr="006247AF">
        <w:rPr>
          <w:rFonts w:ascii="Palatino Linotype" w:hAnsi="Palatino Linotype"/>
          <w:b/>
          <w:i/>
        </w:rPr>
        <w:t>Artículo 132.</w:t>
      </w:r>
      <w:r w:rsidRPr="006247AF">
        <w:rPr>
          <w:rFonts w:ascii="Palatino Linotype" w:hAnsi="Palatino Linotype"/>
          <w:i/>
        </w:rPr>
        <w:t xml:space="preserve"> La clasificación de la información se llevará a cabo en el momento en que:</w:t>
      </w:r>
    </w:p>
    <w:p w:rsidR="004D772E" w:rsidRPr="006247AF" w:rsidRDefault="004D772E" w:rsidP="004D772E">
      <w:pPr>
        <w:ind w:left="567" w:right="616"/>
        <w:jc w:val="both"/>
        <w:rPr>
          <w:rFonts w:ascii="Palatino Linotype" w:hAnsi="Palatino Linotype"/>
          <w:b/>
          <w:i/>
        </w:rPr>
      </w:pPr>
    </w:p>
    <w:p w:rsidR="004D772E" w:rsidRPr="006247AF" w:rsidRDefault="004D772E" w:rsidP="004D772E">
      <w:pPr>
        <w:ind w:left="567" w:right="616"/>
        <w:jc w:val="both"/>
        <w:rPr>
          <w:rFonts w:ascii="Palatino Linotype" w:hAnsi="Palatino Linotype"/>
          <w:i/>
        </w:rPr>
      </w:pPr>
      <w:r w:rsidRPr="006247AF">
        <w:rPr>
          <w:rFonts w:ascii="Palatino Linotype" w:hAnsi="Palatino Linotype"/>
          <w:b/>
          <w:i/>
        </w:rPr>
        <w:t>I.</w:t>
      </w:r>
      <w:r w:rsidRPr="006247AF">
        <w:rPr>
          <w:rFonts w:ascii="Palatino Linotype" w:hAnsi="Palatino Linotype"/>
          <w:i/>
        </w:rPr>
        <w:t xml:space="preserve"> Se reciba una solicitud de acceso a la información;</w:t>
      </w:r>
    </w:p>
    <w:p w:rsidR="004D772E" w:rsidRPr="006247AF" w:rsidRDefault="004D772E" w:rsidP="004D772E">
      <w:pPr>
        <w:ind w:left="567" w:right="616"/>
        <w:jc w:val="both"/>
        <w:rPr>
          <w:rFonts w:ascii="Palatino Linotype" w:hAnsi="Palatino Linotype"/>
          <w:i/>
        </w:rPr>
      </w:pPr>
      <w:r w:rsidRPr="006247AF">
        <w:rPr>
          <w:rFonts w:ascii="Palatino Linotype" w:hAnsi="Palatino Linotype"/>
          <w:b/>
          <w:i/>
        </w:rPr>
        <w:t>II.</w:t>
      </w:r>
      <w:r w:rsidRPr="006247AF">
        <w:rPr>
          <w:rFonts w:ascii="Palatino Linotype" w:hAnsi="Palatino Linotype"/>
          <w:i/>
        </w:rPr>
        <w:t xml:space="preserve"> Se determine mediante resolución de autoridad competente; o</w:t>
      </w:r>
    </w:p>
    <w:p w:rsidR="004D772E" w:rsidRPr="006247AF" w:rsidRDefault="004D772E" w:rsidP="004D772E">
      <w:pPr>
        <w:ind w:left="567" w:right="616"/>
        <w:jc w:val="both"/>
        <w:rPr>
          <w:rFonts w:ascii="Palatino Linotype" w:hAnsi="Palatino Linotype"/>
          <w:b/>
          <w:i/>
        </w:rPr>
      </w:pPr>
      <w:r w:rsidRPr="006247AF">
        <w:rPr>
          <w:rFonts w:ascii="Palatino Linotype" w:hAnsi="Palatino Linotype"/>
          <w:i/>
        </w:rPr>
        <w:t>III. Se generen versiones públicas para dar cumplimiento a las obligaciones de transparencia previstas en esta Ley.</w:t>
      </w:r>
      <w:r w:rsidRPr="006247AF">
        <w:rPr>
          <w:rFonts w:ascii="Palatino Linotype" w:hAnsi="Palatino Linotype"/>
          <w:b/>
          <w:i/>
        </w:rPr>
        <w:t>”</w:t>
      </w:r>
    </w:p>
    <w:p w:rsidR="0018459A" w:rsidRPr="006247AF" w:rsidRDefault="0018459A" w:rsidP="004D772E">
      <w:pPr>
        <w:ind w:left="567" w:right="616"/>
        <w:jc w:val="both"/>
        <w:rPr>
          <w:rFonts w:ascii="Palatino Linotype" w:hAnsi="Palatino Linotype"/>
          <w:b/>
          <w:i/>
        </w:rPr>
      </w:pPr>
    </w:p>
    <w:p w:rsidR="004D772E" w:rsidRPr="006247AF" w:rsidRDefault="004D772E" w:rsidP="004D772E">
      <w:pPr>
        <w:spacing w:line="360" w:lineRule="auto"/>
        <w:jc w:val="both"/>
        <w:rPr>
          <w:rFonts w:ascii="Palatino Linotype" w:hAnsi="Palatino Linotype"/>
          <w:lang w:eastAsia="es-ES"/>
        </w:rPr>
      </w:pPr>
      <w:r w:rsidRPr="006247AF">
        <w:rPr>
          <w:rFonts w:ascii="Palatino Linotype" w:hAnsi="Palatino Linotype"/>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w:t>
      </w:r>
      <w:r w:rsidRPr="006247AF">
        <w:rPr>
          <w:rFonts w:ascii="Palatino Linotype" w:hAnsi="Palatino Linotype"/>
          <w:lang w:eastAsia="es-ES"/>
        </w:rPr>
        <w:lastRenderedPageBreak/>
        <w:t xml:space="preserve">información relacionada con la vida privada de particulares mediante el debido Acuerdo fundado y motivado en el que </w:t>
      </w:r>
      <w:r w:rsidRPr="006247AF">
        <w:rPr>
          <w:rFonts w:ascii="Palatino Linotype" w:hAnsi="Palatino Linotype"/>
          <w:lang w:val="es-ES_tradnl" w:eastAsia="es-ES"/>
        </w:rPr>
        <w:t>el Sujeto Obligado</w:t>
      </w:r>
      <w:r w:rsidRPr="006247AF">
        <w:rPr>
          <w:rFonts w:ascii="Palatino Linotype" w:hAnsi="Palatino Linotype"/>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rsidR="004D772E" w:rsidRPr="006247AF" w:rsidRDefault="004D772E" w:rsidP="004D772E">
      <w:pPr>
        <w:spacing w:line="360" w:lineRule="auto"/>
        <w:jc w:val="both"/>
        <w:rPr>
          <w:rFonts w:ascii="Palatino Linotype" w:hAnsi="Palatino Linotype"/>
          <w:lang w:eastAsia="es-ES"/>
        </w:rPr>
      </w:pPr>
    </w:p>
    <w:p w:rsidR="004D772E" w:rsidRPr="006247AF" w:rsidRDefault="004D772E" w:rsidP="004D772E">
      <w:pPr>
        <w:spacing w:line="360" w:lineRule="auto"/>
        <w:jc w:val="both"/>
        <w:rPr>
          <w:rFonts w:ascii="Palatino Linotype" w:hAnsi="Palatino Linotype"/>
          <w:lang w:eastAsia="es-ES"/>
        </w:rPr>
      </w:pPr>
      <w:r w:rsidRPr="006247AF">
        <w:rPr>
          <w:rFonts w:ascii="Palatino Linotype" w:hAnsi="Palatino Linotype"/>
          <w:lang w:eastAsia="es-ES"/>
        </w:rPr>
        <w:t>Por tanto, la fundamentación y motivación consiste en la obligación que tiene todo ente público de expresar los preceptos jurídicos aplicables al asunto motivo del acto y las razones o argumentos de su actuar.</w:t>
      </w:r>
    </w:p>
    <w:p w:rsidR="004D772E" w:rsidRPr="006247AF" w:rsidRDefault="004D772E" w:rsidP="004D772E">
      <w:pPr>
        <w:spacing w:line="360" w:lineRule="auto"/>
        <w:jc w:val="both"/>
        <w:rPr>
          <w:rFonts w:ascii="Palatino Linotype" w:hAnsi="Palatino Linotype"/>
          <w:lang w:eastAsia="es-ES"/>
        </w:rPr>
      </w:pPr>
    </w:p>
    <w:p w:rsidR="004D772E" w:rsidRPr="006247AF" w:rsidRDefault="004D772E" w:rsidP="004D772E">
      <w:pPr>
        <w:spacing w:line="360" w:lineRule="auto"/>
        <w:jc w:val="both"/>
        <w:rPr>
          <w:rFonts w:ascii="Palatino Linotype" w:hAnsi="Palatino Linotype"/>
          <w:lang w:eastAsia="es-ES"/>
        </w:rPr>
      </w:pPr>
      <w:r w:rsidRPr="006247AF">
        <w:rPr>
          <w:rFonts w:ascii="Palatino Linotype" w:hAnsi="Palatino Linotype"/>
          <w:lang w:eastAsia="es-ES"/>
        </w:rPr>
        <w:t>Al respecto, el máximo tribunal del país ha establecido jurisprudencia respecto a qué debe entenderse por fundamentación y motivación, en los siguientes términos:</w:t>
      </w:r>
    </w:p>
    <w:p w:rsidR="004D772E" w:rsidRPr="006247AF" w:rsidRDefault="004D772E" w:rsidP="004D772E"/>
    <w:p w:rsidR="004D772E" w:rsidRPr="006247AF" w:rsidRDefault="004D772E" w:rsidP="004D772E">
      <w:pPr>
        <w:ind w:left="567" w:right="616"/>
        <w:jc w:val="both"/>
        <w:rPr>
          <w:rFonts w:ascii="Palatino Linotype" w:hAnsi="Palatino Linotype"/>
          <w:i/>
          <w:lang w:eastAsia="es-ES"/>
        </w:rPr>
      </w:pPr>
      <w:r w:rsidRPr="006247AF">
        <w:rPr>
          <w:rFonts w:ascii="Palatino Linotype" w:hAnsi="Palatino Linotype"/>
          <w:b/>
          <w:i/>
          <w:lang w:eastAsia="es-ES"/>
        </w:rPr>
        <w:t xml:space="preserve">FUNDAMENTACIÓN Y MOTIVACIÓN. </w:t>
      </w:r>
      <w:r w:rsidRPr="006247AF">
        <w:rPr>
          <w:rFonts w:ascii="Palatino Linotype" w:hAnsi="Palatino Linotype"/>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4D772E" w:rsidRPr="006247AF" w:rsidRDefault="004D772E" w:rsidP="004D772E">
      <w:pPr>
        <w:rPr>
          <w:sz w:val="32"/>
          <w:lang w:eastAsia="es-ES"/>
        </w:rPr>
      </w:pPr>
    </w:p>
    <w:p w:rsidR="004D772E" w:rsidRPr="006247AF" w:rsidRDefault="004D772E" w:rsidP="004D772E">
      <w:pPr>
        <w:spacing w:line="360" w:lineRule="auto"/>
        <w:jc w:val="both"/>
        <w:rPr>
          <w:rFonts w:ascii="Palatino Linotype" w:hAnsi="Palatino Linotype"/>
          <w:lang w:eastAsia="es-ES"/>
        </w:rPr>
      </w:pPr>
      <w:r w:rsidRPr="006247AF">
        <w:rPr>
          <w:rFonts w:ascii="Palatino Linotype" w:hAnsi="Palatino Linotype"/>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4D772E" w:rsidRPr="006247AF" w:rsidRDefault="004D772E" w:rsidP="004D772E">
      <w:pPr>
        <w:spacing w:line="360" w:lineRule="auto"/>
        <w:jc w:val="both"/>
        <w:rPr>
          <w:rFonts w:ascii="Palatino Linotype" w:hAnsi="Palatino Linotype"/>
          <w:lang w:eastAsia="es-ES"/>
        </w:rPr>
      </w:pPr>
    </w:p>
    <w:p w:rsidR="004D772E" w:rsidRPr="006247AF" w:rsidRDefault="004D772E" w:rsidP="004D772E">
      <w:pPr>
        <w:spacing w:line="360" w:lineRule="auto"/>
        <w:jc w:val="both"/>
        <w:rPr>
          <w:rFonts w:ascii="Palatino Linotype" w:hAnsi="Palatino Linotype"/>
          <w:lang w:eastAsia="es-ES"/>
        </w:rPr>
      </w:pPr>
      <w:r w:rsidRPr="006247AF">
        <w:rPr>
          <w:rFonts w:ascii="Palatino Linotype" w:hAnsi="Palatino Linotype"/>
          <w:lang w:eastAsia="es-ES"/>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rsidR="004D772E" w:rsidRPr="006247AF" w:rsidRDefault="004D772E" w:rsidP="004D772E">
      <w:pPr>
        <w:rPr>
          <w:lang w:eastAsia="es-ES"/>
        </w:rPr>
      </w:pPr>
    </w:p>
    <w:p w:rsidR="004D772E" w:rsidRPr="006247AF" w:rsidRDefault="004D772E" w:rsidP="004D772E">
      <w:pPr>
        <w:ind w:left="567" w:right="616"/>
        <w:jc w:val="both"/>
        <w:rPr>
          <w:rFonts w:ascii="Palatino Linotype" w:hAnsi="Palatino Linotype"/>
          <w:i/>
          <w:lang w:eastAsia="es-ES"/>
        </w:rPr>
      </w:pPr>
      <w:r w:rsidRPr="006247AF">
        <w:rPr>
          <w:rFonts w:ascii="Palatino Linotype" w:hAnsi="Palatino Linotype"/>
          <w:b/>
          <w:i/>
          <w:lang w:eastAsia="es-ES"/>
        </w:rPr>
        <w:t>FUNDAMENTACIÓN Y MOTIVACIÓN. EL ASPECTO FORMAL DE LA GARANTÍA Y SU FINALIDAD SE TRADUCEN EN EXPLICAR, JUSTIFICAR, POSIBILITAR LA DEFENSA Y COMUNICAR LA DECISIÓN</w:t>
      </w:r>
      <w:r w:rsidRPr="006247AF">
        <w:rPr>
          <w:rFonts w:ascii="Palatino Linotype" w:hAnsi="Palatino Linotype"/>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18459A" w:rsidRPr="006247AF" w:rsidRDefault="0018459A" w:rsidP="004D772E">
      <w:pPr>
        <w:ind w:left="567" w:right="616"/>
        <w:jc w:val="both"/>
        <w:rPr>
          <w:rFonts w:ascii="Palatino Linotype" w:hAnsi="Palatino Linotype"/>
          <w:i/>
          <w:lang w:eastAsia="es-ES"/>
        </w:rPr>
      </w:pPr>
    </w:p>
    <w:p w:rsidR="004D772E" w:rsidRPr="006247AF" w:rsidRDefault="004D772E" w:rsidP="004D772E">
      <w:pPr>
        <w:spacing w:line="360" w:lineRule="auto"/>
        <w:jc w:val="both"/>
        <w:rPr>
          <w:rFonts w:ascii="Palatino Linotype" w:hAnsi="Palatino Linotype"/>
          <w:lang w:eastAsia="es-ES"/>
        </w:rPr>
      </w:pPr>
      <w:r w:rsidRPr="006247AF">
        <w:rPr>
          <w:rFonts w:ascii="Palatino Linotype" w:hAnsi="Palatino Linotype"/>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4D772E" w:rsidRPr="006247AF" w:rsidRDefault="004D772E" w:rsidP="004D772E">
      <w:pPr>
        <w:spacing w:line="360" w:lineRule="auto"/>
        <w:jc w:val="both"/>
        <w:rPr>
          <w:rFonts w:ascii="Palatino Linotype" w:hAnsi="Palatino Linotype"/>
          <w:lang w:eastAsia="es-ES"/>
        </w:rPr>
      </w:pPr>
    </w:p>
    <w:p w:rsidR="004D772E" w:rsidRPr="006247AF" w:rsidRDefault="004D772E" w:rsidP="004D772E">
      <w:pPr>
        <w:spacing w:line="360" w:lineRule="auto"/>
        <w:jc w:val="both"/>
        <w:rPr>
          <w:rFonts w:ascii="Palatino Linotype" w:hAnsi="Palatino Linotype"/>
          <w:lang w:val="es-ES" w:eastAsia="es-ES"/>
        </w:rPr>
      </w:pPr>
      <w:r w:rsidRPr="006247AF">
        <w:rPr>
          <w:rFonts w:ascii="Palatino Linotype" w:hAnsi="Palatino Linotype"/>
          <w:lang w:val="es-ES" w:eastAsia="es-ES"/>
        </w:rPr>
        <w:lastRenderedPageBreak/>
        <w:t>Por lo tanto, la entrega de documentos en su versión pública debe acompañarse necesariamente del Acuerdo del Comité de Transparencia del Sujeto Obligado</w:t>
      </w:r>
      <w:r w:rsidRPr="006247AF">
        <w:rPr>
          <w:rFonts w:ascii="Palatino Linotype" w:hAnsi="Palatino Linotype"/>
          <w:b/>
          <w:lang w:val="es-ES" w:eastAsia="es-ES"/>
        </w:rPr>
        <w:t xml:space="preserve"> </w:t>
      </w:r>
      <w:r w:rsidRPr="006247AF">
        <w:rPr>
          <w:rFonts w:ascii="Palatino Linotype" w:hAnsi="Palatino Linotype"/>
          <w:lang w:val="es-ES"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4D37E4" w:rsidRPr="006247AF" w:rsidRDefault="004D37E4" w:rsidP="004D772E">
      <w:pPr>
        <w:spacing w:line="360" w:lineRule="auto"/>
        <w:jc w:val="both"/>
        <w:rPr>
          <w:rFonts w:ascii="Palatino Linotype" w:eastAsia="Calibri" w:hAnsi="Palatino Linotype"/>
          <w:lang w:val="es-ES"/>
        </w:rPr>
      </w:pPr>
    </w:p>
    <w:p w:rsidR="00061F10" w:rsidRPr="006247AF" w:rsidRDefault="00061F10" w:rsidP="004D772E">
      <w:pPr>
        <w:spacing w:line="360" w:lineRule="auto"/>
        <w:jc w:val="both"/>
        <w:rPr>
          <w:rFonts w:ascii="Palatino Linotype" w:hAnsi="Palatino Linotype"/>
        </w:rPr>
      </w:pPr>
      <w:r w:rsidRPr="006247AF">
        <w:rPr>
          <w:rFonts w:ascii="Palatino Linotype" w:hAnsi="Palatino Linotype" w:cs="Arial"/>
        </w:rPr>
        <w:t>Final</w:t>
      </w:r>
      <w:r w:rsidRPr="006247AF">
        <w:rPr>
          <w:rFonts w:ascii="Palatino Linotype" w:hAnsi="Palatino Linotype"/>
        </w:rPr>
        <w:t xml:space="preserve">mente, y en mérito de lo expuesto en líneas anteriores, resultan fundados los motivos de inconformidad vertidos por </w:t>
      </w:r>
      <w:r w:rsidRPr="006247AF">
        <w:rPr>
          <w:rFonts w:ascii="Palatino Linotype" w:hAnsi="Palatino Linotype"/>
          <w:b/>
        </w:rPr>
        <w:t xml:space="preserve">la </w:t>
      </w:r>
      <w:r w:rsidR="00077FFE" w:rsidRPr="006247AF">
        <w:rPr>
          <w:rFonts w:ascii="Palatino Linotype" w:hAnsi="Palatino Linotype"/>
          <w:b/>
        </w:rPr>
        <w:t xml:space="preserve">parte </w:t>
      </w:r>
      <w:r w:rsidRPr="006247AF">
        <w:rPr>
          <w:rFonts w:ascii="Palatino Linotype" w:hAnsi="Palatino Linotype"/>
          <w:b/>
        </w:rPr>
        <w:t>Recurrente</w:t>
      </w:r>
      <w:r w:rsidRPr="006247AF">
        <w:rPr>
          <w:rFonts w:ascii="Palatino Linotype" w:hAnsi="Palatino Linotype"/>
        </w:rPr>
        <w:t xml:space="preserve">, por ello con fundamento en la </w:t>
      </w:r>
      <w:r w:rsidRPr="006247AF">
        <w:rPr>
          <w:rFonts w:ascii="Palatino Linotype" w:hAnsi="Palatino Linotype"/>
          <w:i/>
        </w:rPr>
        <w:t>primera hipótesis</w:t>
      </w:r>
      <w:r w:rsidRPr="006247AF">
        <w:rPr>
          <w:rFonts w:ascii="Palatino Linotype" w:hAnsi="Palatino Linotype"/>
        </w:rPr>
        <w:t xml:space="preserve"> del artículo 186, fracción III, de la Ley de Transparencia y Acceso a la Información Pública del Estado de México y Municipios, se </w:t>
      </w:r>
      <w:r w:rsidR="00077FFE" w:rsidRPr="006247AF">
        <w:rPr>
          <w:rFonts w:ascii="Palatino Linotype" w:hAnsi="Palatino Linotype"/>
          <w:b/>
          <w:bCs/>
        </w:rPr>
        <w:t>REVO</w:t>
      </w:r>
      <w:r w:rsidRPr="006247AF">
        <w:rPr>
          <w:rFonts w:ascii="Palatino Linotype" w:hAnsi="Palatino Linotype"/>
          <w:b/>
        </w:rPr>
        <w:t xml:space="preserve">CA </w:t>
      </w:r>
      <w:r w:rsidRPr="006247AF">
        <w:rPr>
          <w:rFonts w:ascii="Palatino Linotype" w:hAnsi="Palatino Linotype"/>
        </w:rPr>
        <w:t xml:space="preserve">la respuesta a la solicitud de información </w:t>
      </w:r>
      <w:r w:rsidR="00077FFE" w:rsidRPr="006247AF">
        <w:rPr>
          <w:rFonts w:ascii="Palatino Linotype" w:hAnsi="Palatino Linotype" w:cs="Arial"/>
          <w:b/>
        </w:rPr>
        <w:t>00227/SMOV/IP/2024</w:t>
      </w:r>
      <w:r w:rsidRPr="006247AF">
        <w:rPr>
          <w:rFonts w:ascii="Palatino Linotype" w:hAnsi="Palatino Linotype" w:cs="Arial"/>
        </w:rPr>
        <w:t xml:space="preserve">, </w:t>
      </w:r>
      <w:r w:rsidRPr="006247AF">
        <w:rPr>
          <w:rFonts w:ascii="Palatino Linotype" w:hAnsi="Palatino Linotype"/>
        </w:rPr>
        <w:t>que ha sido materia del presente fallo.</w:t>
      </w:r>
    </w:p>
    <w:p w:rsidR="00061F10" w:rsidRPr="006247AF" w:rsidRDefault="00061F10" w:rsidP="004D772E">
      <w:pPr>
        <w:pStyle w:val="Sinespaciado"/>
        <w:spacing w:line="360" w:lineRule="auto"/>
        <w:jc w:val="both"/>
        <w:rPr>
          <w:rFonts w:ascii="Palatino Linotype" w:hAnsi="Palatino Linotype"/>
        </w:rPr>
      </w:pPr>
      <w:r w:rsidRPr="006247AF">
        <w:rPr>
          <w:rFonts w:ascii="Palatino Linotype" w:hAnsi="Palatino Linotype"/>
        </w:rPr>
        <w:t>Por lo antes expuesto y fundado es de resolverse y,</w:t>
      </w:r>
    </w:p>
    <w:p w:rsidR="00061F10" w:rsidRPr="006247AF" w:rsidRDefault="00061F10" w:rsidP="004D772E">
      <w:pPr>
        <w:pStyle w:val="Sinespaciado"/>
        <w:spacing w:line="360" w:lineRule="auto"/>
        <w:jc w:val="center"/>
        <w:rPr>
          <w:rFonts w:ascii="Palatino Linotype" w:hAnsi="Palatino Linotype"/>
          <w:b/>
          <w:bCs/>
          <w:spacing w:val="60"/>
          <w:szCs w:val="28"/>
          <w:lang w:val="es-ES_tradnl"/>
        </w:rPr>
      </w:pPr>
    </w:p>
    <w:p w:rsidR="00061F10" w:rsidRPr="006247AF" w:rsidRDefault="00061F10" w:rsidP="004D772E">
      <w:pPr>
        <w:pStyle w:val="Sinespaciado"/>
        <w:spacing w:line="360" w:lineRule="auto"/>
        <w:jc w:val="center"/>
        <w:rPr>
          <w:rFonts w:ascii="Palatino Linotype" w:hAnsi="Palatino Linotype"/>
          <w:b/>
          <w:bCs/>
          <w:spacing w:val="60"/>
          <w:sz w:val="28"/>
          <w:szCs w:val="28"/>
          <w:lang w:val="es-ES_tradnl"/>
        </w:rPr>
      </w:pPr>
      <w:r w:rsidRPr="006247AF">
        <w:rPr>
          <w:rFonts w:ascii="Palatino Linotype" w:hAnsi="Palatino Linotype"/>
          <w:b/>
          <w:bCs/>
          <w:spacing w:val="60"/>
          <w:sz w:val="28"/>
          <w:szCs w:val="28"/>
          <w:lang w:val="es-ES_tradnl"/>
        </w:rPr>
        <w:t>SE    RESUELVE</w:t>
      </w:r>
    </w:p>
    <w:p w:rsidR="00061F10" w:rsidRPr="006247AF" w:rsidRDefault="00061F10" w:rsidP="004D772E">
      <w:pPr>
        <w:autoSpaceDE w:val="0"/>
        <w:autoSpaceDN w:val="0"/>
        <w:adjustRightInd w:val="0"/>
        <w:spacing w:line="360" w:lineRule="auto"/>
        <w:jc w:val="both"/>
        <w:rPr>
          <w:rFonts w:ascii="Palatino Linotype" w:hAnsi="Palatino Linotype" w:cs="Arial"/>
          <w:b/>
          <w:szCs w:val="28"/>
          <w:lang w:val="es-ES_tradnl"/>
        </w:rPr>
      </w:pPr>
    </w:p>
    <w:p w:rsidR="00061F10" w:rsidRPr="006247AF" w:rsidRDefault="00061F10" w:rsidP="004D772E">
      <w:pPr>
        <w:autoSpaceDE w:val="0"/>
        <w:autoSpaceDN w:val="0"/>
        <w:adjustRightInd w:val="0"/>
        <w:spacing w:line="360" w:lineRule="auto"/>
        <w:jc w:val="both"/>
        <w:rPr>
          <w:rFonts w:ascii="Palatino Linotype" w:hAnsi="Palatino Linotype" w:cs="Arial"/>
        </w:rPr>
      </w:pPr>
      <w:r w:rsidRPr="006247AF">
        <w:rPr>
          <w:rFonts w:ascii="Palatino Linotype" w:hAnsi="Palatino Linotype" w:cs="Arial"/>
          <w:b/>
          <w:sz w:val="28"/>
          <w:szCs w:val="28"/>
          <w:lang w:val="es-ES_tradnl"/>
        </w:rPr>
        <w:t>PRIMERO.</w:t>
      </w:r>
      <w:r w:rsidRPr="006247AF">
        <w:rPr>
          <w:rFonts w:ascii="Palatino Linotype" w:hAnsi="Palatino Linotype" w:cs="Arial"/>
          <w:lang w:val="es-ES_tradnl"/>
        </w:rPr>
        <w:t xml:space="preserve"> </w:t>
      </w:r>
      <w:r w:rsidRPr="006247AF">
        <w:rPr>
          <w:rFonts w:ascii="Palatino Linotype" w:hAnsi="Palatino Linotype" w:cs="Arial"/>
        </w:rPr>
        <w:t>Se</w:t>
      </w:r>
      <w:r w:rsidRPr="006247AF">
        <w:rPr>
          <w:rFonts w:ascii="Palatino Linotype" w:hAnsi="Palatino Linotype" w:cs="Arial"/>
          <w:b/>
        </w:rPr>
        <w:t xml:space="preserve"> </w:t>
      </w:r>
      <w:r w:rsidR="00077FFE" w:rsidRPr="006247AF">
        <w:rPr>
          <w:rFonts w:ascii="Palatino Linotype" w:hAnsi="Palatino Linotype" w:cs="Arial"/>
          <w:b/>
        </w:rPr>
        <w:t>REVO</w:t>
      </w:r>
      <w:r w:rsidRPr="006247AF">
        <w:rPr>
          <w:rFonts w:ascii="Palatino Linotype" w:hAnsi="Palatino Linotype" w:cs="Arial"/>
          <w:b/>
        </w:rPr>
        <w:t xml:space="preserve">CA </w:t>
      </w:r>
      <w:r w:rsidRPr="006247AF">
        <w:rPr>
          <w:rFonts w:ascii="Palatino Linotype" w:eastAsia="Arial Unicode MS" w:hAnsi="Palatino Linotype" w:cs="Arial"/>
        </w:rPr>
        <w:t xml:space="preserve">la respuesta entregada por </w:t>
      </w:r>
      <w:r w:rsidRPr="006247AF">
        <w:rPr>
          <w:rFonts w:ascii="Palatino Linotype" w:eastAsia="Arial Unicode MS" w:hAnsi="Palatino Linotype" w:cs="Arial"/>
          <w:bCs/>
        </w:rPr>
        <w:t>el</w:t>
      </w:r>
      <w:r w:rsidRPr="006247AF">
        <w:rPr>
          <w:rFonts w:ascii="Palatino Linotype" w:eastAsia="Arial Unicode MS" w:hAnsi="Palatino Linotype" w:cs="Arial"/>
          <w:b/>
        </w:rPr>
        <w:t xml:space="preserve"> Sujeto Obligado </w:t>
      </w:r>
      <w:r w:rsidRPr="006247AF">
        <w:rPr>
          <w:rFonts w:ascii="Palatino Linotype" w:eastAsia="Arial Unicode MS" w:hAnsi="Palatino Linotype" w:cs="Arial"/>
        </w:rPr>
        <w:t xml:space="preserve">a la solicitud de información número </w:t>
      </w:r>
      <w:r w:rsidR="00077FFE" w:rsidRPr="006247AF">
        <w:rPr>
          <w:rFonts w:ascii="Palatino Linotype" w:hAnsi="Palatino Linotype" w:cs="Arial"/>
          <w:b/>
        </w:rPr>
        <w:t>00227/SMOV/IP/2024</w:t>
      </w:r>
      <w:r w:rsidRPr="006247AF">
        <w:rPr>
          <w:rFonts w:ascii="Palatino Linotype" w:hAnsi="Palatino Linotype" w:cs="Arial"/>
        </w:rPr>
        <w:t xml:space="preserve">, por resultar parcialmente fundados los </w:t>
      </w:r>
      <w:r w:rsidRPr="006247AF">
        <w:rPr>
          <w:rFonts w:ascii="Palatino Linotype" w:hAnsi="Palatino Linotype" w:cs="Arial"/>
        </w:rPr>
        <w:lastRenderedPageBreak/>
        <w:t xml:space="preserve">motivos de inconformidad vertidos por la </w:t>
      </w:r>
      <w:r w:rsidR="00077FFE" w:rsidRPr="006247AF">
        <w:rPr>
          <w:rFonts w:ascii="Palatino Linotype" w:hAnsi="Palatino Linotype" w:cs="Arial"/>
        </w:rPr>
        <w:t xml:space="preserve">parte </w:t>
      </w:r>
      <w:r w:rsidRPr="006247AF">
        <w:rPr>
          <w:rFonts w:ascii="Palatino Linotype" w:hAnsi="Palatino Linotype" w:cs="Arial"/>
          <w:b/>
        </w:rPr>
        <w:t>Recurrente</w:t>
      </w:r>
      <w:r w:rsidRPr="006247AF">
        <w:rPr>
          <w:rFonts w:ascii="Palatino Linotype" w:hAnsi="Palatino Linotype" w:cs="Arial"/>
        </w:rPr>
        <w:t xml:space="preserve">, en términos del Considerando </w:t>
      </w:r>
      <w:r w:rsidR="00077FFE" w:rsidRPr="006247AF">
        <w:rPr>
          <w:rFonts w:ascii="Palatino Linotype" w:hAnsi="Palatino Linotype" w:cs="Arial"/>
          <w:b/>
        </w:rPr>
        <w:t>QUIN</w:t>
      </w:r>
      <w:r w:rsidRPr="006247AF">
        <w:rPr>
          <w:rFonts w:ascii="Palatino Linotype" w:hAnsi="Palatino Linotype" w:cs="Arial"/>
          <w:b/>
        </w:rPr>
        <w:t>TO</w:t>
      </w:r>
      <w:r w:rsidRPr="006247AF">
        <w:rPr>
          <w:rFonts w:ascii="Palatino Linotype" w:hAnsi="Palatino Linotype" w:cs="Arial"/>
        </w:rPr>
        <w:t xml:space="preserve"> de esta resolución.</w:t>
      </w:r>
    </w:p>
    <w:p w:rsidR="00061F10" w:rsidRPr="006247AF" w:rsidRDefault="00061F10" w:rsidP="004D772E">
      <w:pPr>
        <w:spacing w:line="360" w:lineRule="auto"/>
        <w:jc w:val="both"/>
        <w:rPr>
          <w:rFonts w:ascii="Palatino Linotype" w:hAnsi="Palatino Linotype" w:cs="Arial"/>
          <w:b/>
          <w:szCs w:val="28"/>
        </w:rPr>
      </w:pPr>
    </w:p>
    <w:p w:rsidR="00061F10" w:rsidRPr="006247AF" w:rsidRDefault="00061F10" w:rsidP="004D772E">
      <w:pPr>
        <w:autoSpaceDE w:val="0"/>
        <w:autoSpaceDN w:val="0"/>
        <w:adjustRightInd w:val="0"/>
        <w:spacing w:line="360" w:lineRule="auto"/>
        <w:ind w:right="49"/>
        <w:jc w:val="both"/>
        <w:rPr>
          <w:rFonts w:ascii="Palatino Linotype" w:hAnsi="Palatino Linotype" w:cs="Arial"/>
        </w:rPr>
      </w:pPr>
      <w:r w:rsidRPr="006247AF">
        <w:rPr>
          <w:rFonts w:ascii="Palatino Linotype" w:hAnsi="Palatino Linotype" w:cs="Arial"/>
          <w:b/>
          <w:sz w:val="28"/>
          <w:szCs w:val="28"/>
        </w:rPr>
        <w:t>SEGUNDO</w:t>
      </w:r>
      <w:r w:rsidRPr="006247AF">
        <w:rPr>
          <w:rFonts w:ascii="Palatino Linotype" w:hAnsi="Palatino Linotype" w:cs="Arial"/>
          <w:b/>
        </w:rPr>
        <w:t>.</w:t>
      </w:r>
      <w:r w:rsidRPr="006247AF">
        <w:rPr>
          <w:rFonts w:ascii="Palatino Linotype" w:hAnsi="Palatino Linotype" w:cs="Arial"/>
        </w:rPr>
        <w:t xml:space="preserve"> Se </w:t>
      </w:r>
      <w:r w:rsidRPr="006247AF">
        <w:rPr>
          <w:rFonts w:ascii="Palatino Linotype" w:hAnsi="Palatino Linotype" w:cs="Arial"/>
          <w:b/>
        </w:rPr>
        <w:t>ORDENA</w:t>
      </w:r>
      <w:r w:rsidRPr="006247AF">
        <w:rPr>
          <w:rFonts w:ascii="Palatino Linotype" w:hAnsi="Palatino Linotype" w:cs="Arial"/>
        </w:rPr>
        <w:t xml:space="preserve"> al </w:t>
      </w:r>
      <w:r w:rsidRPr="006247AF">
        <w:rPr>
          <w:rFonts w:ascii="Palatino Linotype" w:hAnsi="Palatino Linotype" w:cs="Arial"/>
          <w:b/>
        </w:rPr>
        <w:t xml:space="preserve">Sujeto Obligado, </w:t>
      </w:r>
      <w:r w:rsidRPr="006247AF">
        <w:rPr>
          <w:rFonts w:ascii="Palatino Linotype" w:hAnsi="Palatino Linotype" w:cs="Arial"/>
        </w:rPr>
        <w:t xml:space="preserve">realizar una búsqueda exhaustiva y razonable a fin de entregar a la </w:t>
      </w:r>
      <w:r w:rsidR="00077FFE" w:rsidRPr="006247AF">
        <w:rPr>
          <w:rFonts w:ascii="Palatino Linotype" w:hAnsi="Palatino Linotype" w:cs="Arial"/>
        </w:rPr>
        <w:t xml:space="preserve">parte </w:t>
      </w:r>
      <w:r w:rsidRPr="006247AF">
        <w:rPr>
          <w:rFonts w:ascii="Palatino Linotype" w:hAnsi="Palatino Linotype" w:cs="Arial"/>
          <w:b/>
        </w:rPr>
        <w:t xml:space="preserve">Recurrente, </w:t>
      </w:r>
      <w:r w:rsidRPr="006247AF">
        <w:rPr>
          <w:rFonts w:ascii="Palatino Linotype" w:hAnsi="Palatino Linotype" w:cs="Arial"/>
        </w:rPr>
        <w:t xml:space="preserve">a través del Sistema de Acceso a la Información Mexiquense </w:t>
      </w:r>
      <w:r w:rsidRPr="006247AF">
        <w:rPr>
          <w:rFonts w:ascii="Palatino Linotype" w:hAnsi="Palatino Linotype" w:cs="Arial"/>
          <w:b/>
        </w:rPr>
        <w:t>(SAIMEX)</w:t>
      </w:r>
      <w:r w:rsidRPr="006247AF">
        <w:rPr>
          <w:rFonts w:ascii="Palatino Linotype" w:hAnsi="Palatino Linotype" w:cs="Arial"/>
        </w:rPr>
        <w:t>, donde conste lo siguiente:</w:t>
      </w:r>
    </w:p>
    <w:p w:rsidR="00061F10" w:rsidRPr="006247AF" w:rsidRDefault="00061F10" w:rsidP="004D772E">
      <w:pPr>
        <w:autoSpaceDE w:val="0"/>
        <w:autoSpaceDN w:val="0"/>
        <w:adjustRightInd w:val="0"/>
        <w:spacing w:line="360" w:lineRule="auto"/>
        <w:ind w:right="49"/>
        <w:jc w:val="both"/>
        <w:rPr>
          <w:rFonts w:ascii="Palatino Linotype" w:hAnsi="Palatino Linotype" w:cs="Arial"/>
        </w:rPr>
      </w:pPr>
    </w:p>
    <w:p w:rsidR="00061F10" w:rsidRPr="006247AF" w:rsidRDefault="00AC309C" w:rsidP="004D772E">
      <w:pPr>
        <w:pStyle w:val="Prrafodelista"/>
        <w:numPr>
          <w:ilvl w:val="0"/>
          <w:numId w:val="6"/>
        </w:numPr>
        <w:rPr>
          <w:rFonts w:eastAsiaTheme="minorHAnsi" w:cstheme="minorBidi"/>
          <w:szCs w:val="22"/>
        </w:rPr>
      </w:pPr>
      <w:r w:rsidRPr="006247AF">
        <w:rPr>
          <w:color w:val="000000"/>
        </w:rPr>
        <w:t>L</w:t>
      </w:r>
      <w:r w:rsidR="00077FFE" w:rsidRPr="006247AF">
        <w:rPr>
          <w:color w:val="000000"/>
        </w:rPr>
        <w:t xml:space="preserve">os oficios firmados por el </w:t>
      </w:r>
      <w:r w:rsidR="00077FFE" w:rsidRPr="006247AF">
        <w:rPr>
          <w:b/>
          <w:color w:val="000000"/>
        </w:rPr>
        <w:t>Titular del Instituto de Transporte</w:t>
      </w:r>
      <w:r w:rsidRPr="006247AF">
        <w:rPr>
          <w:b/>
          <w:color w:val="000000"/>
        </w:rPr>
        <w:t xml:space="preserve">, </w:t>
      </w:r>
      <w:r w:rsidRPr="006247AF">
        <w:rPr>
          <w:color w:val="000000"/>
        </w:rPr>
        <w:t>remitidos en informe justificado en versión pública correcta; así como los oficios faltantes,</w:t>
      </w:r>
      <w:r w:rsidR="00077FFE" w:rsidRPr="006247AF">
        <w:rPr>
          <w:color w:val="000000"/>
        </w:rPr>
        <w:t xml:space="preserve"> </w:t>
      </w:r>
      <w:r w:rsidRPr="006247AF">
        <w:rPr>
          <w:color w:val="000000"/>
        </w:rPr>
        <w:t>del periodo comprendido del uno</w:t>
      </w:r>
      <w:r w:rsidR="00077FFE" w:rsidRPr="006247AF">
        <w:rPr>
          <w:color w:val="000000"/>
        </w:rPr>
        <w:t xml:space="preserve"> de enero al </w:t>
      </w:r>
      <w:r w:rsidRPr="006247AF">
        <w:rPr>
          <w:color w:val="000000"/>
        </w:rPr>
        <w:t>treinta y uno</w:t>
      </w:r>
      <w:r w:rsidR="00077FFE" w:rsidRPr="006247AF">
        <w:rPr>
          <w:color w:val="000000"/>
        </w:rPr>
        <w:t xml:space="preserve"> de diciembre del año dos mil veintidós.</w:t>
      </w:r>
    </w:p>
    <w:p w:rsidR="00077FFE" w:rsidRPr="006247AF" w:rsidRDefault="00077FFE" w:rsidP="004D772E">
      <w:pPr>
        <w:tabs>
          <w:tab w:val="left" w:pos="720"/>
        </w:tabs>
        <w:ind w:left="709"/>
        <w:jc w:val="both"/>
        <w:rPr>
          <w:rFonts w:ascii="Palatino Linotype" w:hAnsi="Palatino Linotype"/>
          <w:i/>
          <w:sz w:val="22"/>
        </w:rPr>
      </w:pPr>
    </w:p>
    <w:p w:rsidR="00061F10" w:rsidRPr="006247AF" w:rsidRDefault="00061F10" w:rsidP="004D772E">
      <w:pPr>
        <w:tabs>
          <w:tab w:val="left" w:pos="720"/>
        </w:tabs>
        <w:ind w:left="709"/>
        <w:jc w:val="both"/>
        <w:rPr>
          <w:rFonts w:ascii="Palatino Linotype" w:hAnsi="Palatino Linotype"/>
          <w:i/>
          <w:sz w:val="22"/>
        </w:rPr>
      </w:pPr>
      <w:r w:rsidRPr="006247AF">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w:t>
      </w:r>
      <w:r w:rsidR="004D772E" w:rsidRPr="006247AF">
        <w:rPr>
          <w:rFonts w:ascii="Palatino Linotype" w:hAnsi="Palatino Linotype"/>
          <w:i/>
          <w:sz w:val="22"/>
        </w:rPr>
        <w:t>la parte</w:t>
      </w:r>
      <w:r w:rsidR="00077FFE" w:rsidRPr="006247AF">
        <w:rPr>
          <w:rFonts w:ascii="Palatino Linotype" w:hAnsi="Palatino Linotype"/>
          <w:i/>
          <w:sz w:val="22"/>
        </w:rPr>
        <w:t xml:space="preserve"> </w:t>
      </w:r>
      <w:r w:rsidRPr="006247AF">
        <w:rPr>
          <w:rFonts w:ascii="Palatino Linotype" w:hAnsi="Palatino Linotype"/>
          <w:b/>
          <w:i/>
          <w:sz w:val="22"/>
        </w:rPr>
        <w:t>Recurrente</w:t>
      </w:r>
      <w:r w:rsidRPr="006247AF">
        <w:rPr>
          <w:rFonts w:ascii="Palatino Linotype" w:hAnsi="Palatino Linotype"/>
          <w:i/>
          <w:sz w:val="22"/>
        </w:rPr>
        <w:t>.</w:t>
      </w:r>
    </w:p>
    <w:p w:rsidR="00AC309C" w:rsidRPr="006247AF" w:rsidRDefault="00AC309C" w:rsidP="004D772E">
      <w:pPr>
        <w:tabs>
          <w:tab w:val="left" w:pos="720"/>
        </w:tabs>
        <w:ind w:left="709"/>
        <w:jc w:val="both"/>
        <w:rPr>
          <w:rFonts w:ascii="Palatino Linotype" w:hAnsi="Palatino Linotype"/>
          <w:i/>
          <w:sz w:val="22"/>
        </w:rPr>
      </w:pPr>
    </w:p>
    <w:p w:rsidR="00AC309C" w:rsidRPr="006247AF" w:rsidRDefault="00AC309C" w:rsidP="00AC309C">
      <w:pPr>
        <w:tabs>
          <w:tab w:val="left" w:pos="9022"/>
        </w:tabs>
        <w:ind w:left="709"/>
        <w:jc w:val="both"/>
        <w:rPr>
          <w:rFonts w:ascii="Palatino Linotype" w:hAnsi="Palatino Linotype" w:cs="Arial"/>
          <w:i/>
          <w:lang w:val="es-ES" w:eastAsia="es-ES"/>
        </w:rPr>
      </w:pPr>
      <w:r w:rsidRPr="006247AF">
        <w:rPr>
          <w:rFonts w:ascii="Palatino Linotype" w:hAnsi="Palatino Linotype" w:cs="Arial"/>
          <w:i/>
          <w:lang w:val="es-ES" w:eastAsia="es-ES"/>
        </w:rPr>
        <w:t xml:space="preserve">Para el caso de la información que alguno de los oficios que se ordena su entrega referidos en el </w:t>
      </w:r>
      <w:r w:rsidRPr="006247AF">
        <w:rPr>
          <w:rFonts w:ascii="Palatino Linotype" w:hAnsi="Palatino Linotype" w:cs="Arial"/>
          <w:b/>
          <w:i/>
          <w:lang w:val="es-ES" w:eastAsia="es-ES"/>
        </w:rPr>
        <w:t>Resolutivo Segundo</w:t>
      </w:r>
      <w:r w:rsidRPr="006247AF">
        <w:rPr>
          <w:rFonts w:ascii="Palatino Linotype" w:hAnsi="Palatino Linotype" w:cs="Arial"/>
          <w:i/>
          <w:lang w:val="es-ES" w:eastAsia="es-ES"/>
        </w:rPr>
        <w:t xml:space="preserve">, haya sido cancelado dentro del plazo solicitado, o no se haya generado oficio alguno en algún día del plazo que se ordena, bastará que así se lo haga saber el </w:t>
      </w:r>
      <w:r w:rsidRPr="006247AF">
        <w:rPr>
          <w:rFonts w:ascii="Palatino Linotype" w:hAnsi="Palatino Linotype" w:cs="Arial"/>
          <w:b/>
          <w:i/>
          <w:lang w:val="es-ES" w:eastAsia="es-ES"/>
        </w:rPr>
        <w:t>Sujeto Obligado</w:t>
      </w:r>
      <w:r w:rsidRPr="006247AF">
        <w:rPr>
          <w:rFonts w:ascii="Palatino Linotype" w:hAnsi="Palatino Linotype" w:cs="Arial"/>
          <w:i/>
          <w:lang w:val="es-ES" w:eastAsia="es-ES"/>
        </w:rPr>
        <w:t xml:space="preserve"> a la parte </w:t>
      </w:r>
      <w:r w:rsidRPr="006247AF">
        <w:rPr>
          <w:rFonts w:ascii="Palatino Linotype" w:hAnsi="Palatino Linotype" w:cs="Arial"/>
          <w:b/>
          <w:i/>
          <w:lang w:val="es-ES" w:eastAsia="es-ES"/>
        </w:rPr>
        <w:t xml:space="preserve">Recurrente </w:t>
      </w:r>
      <w:r w:rsidRPr="006247AF">
        <w:rPr>
          <w:rFonts w:ascii="Palatino Linotype" w:hAnsi="Palatino Linotype" w:cs="Arial"/>
          <w:i/>
          <w:lang w:val="es-ES" w:eastAsia="es-ES"/>
        </w:rPr>
        <w:t>de manera fundada y motivada en términos de lo señalado por el segundo párrafo del artículo 19 de la Ley en la materia.</w:t>
      </w:r>
    </w:p>
    <w:p w:rsidR="00AC309C" w:rsidRPr="006247AF" w:rsidRDefault="00AC309C" w:rsidP="004D772E">
      <w:pPr>
        <w:tabs>
          <w:tab w:val="left" w:pos="720"/>
        </w:tabs>
        <w:ind w:left="709"/>
        <w:jc w:val="both"/>
        <w:rPr>
          <w:rFonts w:ascii="Palatino Linotype" w:hAnsi="Palatino Linotype"/>
          <w:i/>
          <w:sz w:val="22"/>
        </w:rPr>
      </w:pPr>
    </w:p>
    <w:p w:rsidR="00061F10" w:rsidRPr="006247AF" w:rsidRDefault="00061F10" w:rsidP="004D772E">
      <w:pPr>
        <w:autoSpaceDE w:val="0"/>
        <w:autoSpaceDN w:val="0"/>
        <w:adjustRightInd w:val="0"/>
        <w:spacing w:line="360" w:lineRule="auto"/>
        <w:ind w:right="49"/>
        <w:jc w:val="both"/>
        <w:rPr>
          <w:rFonts w:ascii="Palatino Linotype" w:hAnsi="Palatino Linotype" w:cs="Arial"/>
          <w:b/>
          <w:szCs w:val="28"/>
          <w:lang w:val="es-ES_tradnl"/>
        </w:rPr>
      </w:pPr>
    </w:p>
    <w:p w:rsidR="00061F10" w:rsidRPr="006247AF" w:rsidRDefault="00061F10" w:rsidP="004D772E">
      <w:pPr>
        <w:autoSpaceDE w:val="0"/>
        <w:autoSpaceDN w:val="0"/>
        <w:adjustRightInd w:val="0"/>
        <w:spacing w:line="360" w:lineRule="auto"/>
        <w:ind w:right="49"/>
        <w:jc w:val="both"/>
        <w:rPr>
          <w:rFonts w:ascii="Palatino Linotype" w:hAnsi="Palatino Linotype" w:cs="Arial"/>
          <w:b/>
          <w:szCs w:val="32"/>
          <w:lang w:val="es-ES_tradnl"/>
        </w:rPr>
      </w:pPr>
      <w:r w:rsidRPr="006247AF">
        <w:rPr>
          <w:rFonts w:ascii="Palatino Linotype" w:hAnsi="Palatino Linotype" w:cs="Arial"/>
          <w:b/>
          <w:sz w:val="28"/>
          <w:szCs w:val="28"/>
          <w:lang w:val="es-ES_tradnl"/>
        </w:rPr>
        <w:t xml:space="preserve">TERCERO. </w:t>
      </w:r>
      <w:r w:rsidRPr="006247AF">
        <w:rPr>
          <w:rFonts w:ascii="Palatino Linotype" w:hAnsi="Palatino Linotype" w:cs="Arial"/>
          <w:b/>
          <w:szCs w:val="32"/>
          <w:lang w:val="es-ES_tradnl"/>
        </w:rPr>
        <w:t>NOTIFÍQUESE</w:t>
      </w:r>
      <w:r w:rsidRPr="006247AF">
        <w:rPr>
          <w:rFonts w:ascii="Palatino Linotype" w:hAnsi="Palatino Linotype" w:cs="Arial"/>
          <w:b/>
          <w:sz w:val="36"/>
          <w:szCs w:val="32"/>
          <w:lang w:val="es-ES_tradnl"/>
        </w:rPr>
        <w:t xml:space="preserve"> </w:t>
      </w:r>
      <w:r w:rsidRPr="006247AF">
        <w:rPr>
          <w:rFonts w:ascii="Palatino Linotype" w:hAnsi="Palatino Linotype" w:cs="Arial"/>
          <w:szCs w:val="32"/>
          <w:lang w:val="es-ES_tradnl"/>
        </w:rPr>
        <w:t xml:space="preserve">la presente resolución al Titular de la Unidad de Transparencia del Sujeto Obligado, a través del Sistema de Acceso a la Información Mexiquense (SAIMEX), para que conforme al artículo 186 último párrafo, 189 segundo </w:t>
      </w:r>
      <w:r w:rsidRPr="006247AF">
        <w:rPr>
          <w:rFonts w:ascii="Palatino Linotype" w:hAnsi="Palatino Linotype" w:cs="Arial"/>
          <w:szCs w:val="32"/>
          <w:lang w:val="es-ES_tradnl"/>
        </w:rPr>
        <w:lastRenderedPageBreak/>
        <w:t xml:space="preserve">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6247AF">
        <w:rPr>
          <w:rFonts w:ascii="Palatino Linotype" w:hAnsi="Palatino Linotype" w:cs="Arial"/>
          <w:b/>
          <w:szCs w:val="32"/>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61F10" w:rsidRPr="006247AF" w:rsidRDefault="00061F10" w:rsidP="004D772E">
      <w:pPr>
        <w:autoSpaceDE w:val="0"/>
        <w:autoSpaceDN w:val="0"/>
        <w:adjustRightInd w:val="0"/>
        <w:spacing w:line="360" w:lineRule="auto"/>
        <w:ind w:right="49"/>
        <w:jc w:val="both"/>
        <w:rPr>
          <w:rFonts w:ascii="Palatino Linotype" w:hAnsi="Palatino Linotype" w:cs="Arial"/>
          <w:b/>
          <w:szCs w:val="32"/>
          <w:lang w:val="es-ES_tradnl"/>
        </w:rPr>
      </w:pPr>
    </w:p>
    <w:p w:rsidR="00061F10" w:rsidRPr="006247AF" w:rsidRDefault="00061F10" w:rsidP="004D772E">
      <w:pPr>
        <w:spacing w:line="360" w:lineRule="auto"/>
        <w:jc w:val="both"/>
        <w:rPr>
          <w:rFonts w:ascii="Palatino Linotype" w:hAnsi="Palatino Linotype" w:cs="Arial"/>
          <w:bCs/>
          <w:szCs w:val="32"/>
        </w:rPr>
      </w:pPr>
      <w:r w:rsidRPr="006247AF">
        <w:rPr>
          <w:rFonts w:ascii="Palatino Linotype" w:hAnsi="Palatino Linotype" w:cs="Arial"/>
          <w:b/>
          <w:bCs/>
          <w:sz w:val="28"/>
          <w:szCs w:val="28"/>
        </w:rPr>
        <w:t>CUARTO.</w:t>
      </w:r>
      <w:r w:rsidRPr="006247AF">
        <w:rPr>
          <w:rFonts w:ascii="Palatino Linotype" w:hAnsi="Palatino Linotype" w:cs="Arial"/>
          <w:bCs/>
          <w:szCs w:val="28"/>
        </w:rPr>
        <w:t xml:space="preserve"> </w:t>
      </w:r>
      <w:r w:rsidRPr="006247AF">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6247AF">
        <w:rPr>
          <w:rFonts w:ascii="Palatino Linotype" w:hAnsi="Palatino Linotype" w:cs="Arial"/>
          <w:b/>
          <w:bCs/>
          <w:szCs w:val="32"/>
        </w:rPr>
        <w:t>Sujeto Obligado</w:t>
      </w:r>
      <w:r w:rsidRPr="006247AF">
        <w:rPr>
          <w:rFonts w:ascii="Palatino Linotype" w:hAnsi="Palatino Linotype" w:cs="Arial"/>
          <w:bCs/>
          <w:szCs w:val="32"/>
        </w:rPr>
        <w:t xml:space="preserve"> de manera fundada y motivada, podrá solicitar una ampliación de plazo para el cumplimiento de la presente resolución.</w:t>
      </w:r>
    </w:p>
    <w:p w:rsidR="00061F10" w:rsidRPr="006247AF" w:rsidRDefault="00061F10" w:rsidP="004D772E">
      <w:pPr>
        <w:spacing w:line="360" w:lineRule="auto"/>
        <w:jc w:val="both"/>
        <w:rPr>
          <w:rFonts w:ascii="Palatino Linotype" w:hAnsi="Palatino Linotype" w:cs="Arial"/>
          <w:bCs/>
          <w:szCs w:val="32"/>
        </w:rPr>
      </w:pPr>
    </w:p>
    <w:p w:rsidR="00061F10" w:rsidRPr="006247AF" w:rsidRDefault="00061F10" w:rsidP="004D772E">
      <w:pPr>
        <w:autoSpaceDE w:val="0"/>
        <w:autoSpaceDN w:val="0"/>
        <w:adjustRightInd w:val="0"/>
        <w:spacing w:line="360" w:lineRule="auto"/>
        <w:jc w:val="both"/>
        <w:rPr>
          <w:rFonts w:ascii="Palatino Linotype" w:hAnsi="Palatino Linotype" w:cs="Arial"/>
        </w:rPr>
      </w:pPr>
      <w:r w:rsidRPr="006247AF">
        <w:rPr>
          <w:rFonts w:ascii="Palatino Linotype" w:hAnsi="Palatino Linotype" w:cs="Arial"/>
          <w:b/>
          <w:sz w:val="28"/>
        </w:rPr>
        <w:t xml:space="preserve">QUINTO. </w:t>
      </w:r>
      <w:r w:rsidRPr="006247AF">
        <w:rPr>
          <w:rFonts w:ascii="Palatino Linotype" w:hAnsi="Palatino Linotype" w:cs="Arial"/>
          <w:b/>
        </w:rPr>
        <w:t xml:space="preserve">NOTIFÍQUESE </w:t>
      </w:r>
      <w:r w:rsidRPr="006247AF">
        <w:rPr>
          <w:rFonts w:ascii="Palatino Linotype" w:hAnsi="Palatino Linotype" w:cs="Arial"/>
          <w:b/>
          <w:bCs/>
        </w:rPr>
        <w:t xml:space="preserve">a </w:t>
      </w:r>
      <w:r w:rsidRPr="006247AF">
        <w:rPr>
          <w:rFonts w:ascii="Palatino Linotype" w:hAnsi="Palatino Linotype" w:cs="Arial"/>
          <w:b/>
        </w:rPr>
        <w:t xml:space="preserve">la </w:t>
      </w:r>
      <w:r w:rsidR="00077FFE" w:rsidRPr="006247AF">
        <w:rPr>
          <w:rFonts w:ascii="Palatino Linotype" w:hAnsi="Palatino Linotype" w:cs="Arial"/>
          <w:b/>
        </w:rPr>
        <w:t xml:space="preserve">parte </w:t>
      </w:r>
      <w:r w:rsidRPr="006247AF">
        <w:rPr>
          <w:rFonts w:ascii="Palatino Linotype" w:hAnsi="Palatino Linotype" w:cs="Arial"/>
          <w:b/>
        </w:rPr>
        <w:t xml:space="preserve">Recurrente </w:t>
      </w:r>
      <w:r w:rsidRPr="006247AF">
        <w:rPr>
          <w:rFonts w:ascii="Palatino Linotype" w:hAnsi="Palatino Linotype" w:cs="Arial"/>
        </w:rPr>
        <w:t xml:space="preserve">la presente resolución </w:t>
      </w:r>
      <w:r w:rsidRPr="006247AF">
        <w:rPr>
          <w:rFonts w:ascii="Palatino Linotype" w:hAnsi="Palatino Linotype" w:cs="Arial"/>
          <w:bCs/>
        </w:rPr>
        <w:t>vía Sistema de Acceso a la Información Mexiquense</w:t>
      </w:r>
      <w:r w:rsidRPr="006247AF">
        <w:rPr>
          <w:rFonts w:ascii="Palatino Linotype" w:hAnsi="Palatino Linotype" w:cs="Arial"/>
          <w:b/>
        </w:rPr>
        <w:t xml:space="preserve"> (SAIMEX) </w:t>
      </w:r>
      <w:r w:rsidRPr="006247AF">
        <w:rPr>
          <w:rFonts w:ascii="Palatino Linotype" w:hAnsi="Palatino Linotype" w:cs="Arial"/>
        </w:rPr>
        <w:t>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rsidR="0018459A" w:rsidRPr="006247AF" w:rsidRDefault="0018459A" w:rsidP="004D772E">
      <w:pPr>
        <w:spacing w:line="360" w:lineRule="auto"/>
        <w:jc w:val="both"/>
        <w:rPr>
          <w:rFonts w:ascii="Palatino Linotype" w:hAnsi="Palatino Linotype" w:cs="Arial"/>
        </w:rPr>
      </w:pPr>
    </w:p>
    <w:p w:rsidR="0018459A" w:rsidRPr="006247AF" w:rsidRDefault="0018459A" w:rsidP="0018459A">
      <w:pPr>
        <w:spacing w:line="360" w:lineRule="auto"/>
        <w:jc w:val="both"/>
        <w:rPr>
          <w:rFonts w:ascii="Palatino Linotype" w:hAnsi="Palatino Linotype" w:cs="Arial"/>
        </w:rPr>
      </w:pPr>
    </w:p>
    <w:p w:rsidR="0018459A" w:rsidRPr="006247AF" w:rsidRDefault="0018459A" w:rsidP="0018459A">
      <w:pPr>
        <w:spacing w:line="360" w:lineRule="auto"/>
        <w:jc w:val="both"/>
        <w:rPr>
          <w:rFonts w:ascii="Palatino Linotype" w:hAnsi="Palatino Linotype" w:cs="Arial"/>
        </w:rPr>
      </w:pPr>
    </w:p>
    <w:p w:rsidR="0018459A" w:rsidRPr="006247AF" w:rsidRDefault="0018459A" w:rsidP="0018459A">
      <w:pPr>
        <w:spacing w:line="360" w:lineRule="auto"/>
        <w:jc w:val="both"/>
        <w:rPr>
          <w:rFonts w:ascii="Palatino Linotype" w:hAnsi="Palatino Linotype" w:cs="Arial"/>
        </w:rPr>
      </w:pPr>
    </w:p>
    <w:p w:rsidR="0018459A" w:rsidRPr="006247AF" w:rsidRDefault="00061F10" w:rsidP="0018459A">
      <w:pPr>
        <w:spacing w:line="360" w:lineRule="auto"/>
        <w:jc w:val="both"/>
        <w:rPr>
          <w:rFonts w:ascii="Palatino Linotype" w:hAnsi="Palatino Linotype"/>
        </w:rPr>
      </w:pPr>
      <w:r w:rsidRPr="006247AF">
        <w:rPr>
          <w:rFonts w:ascii="Palatino Linotype" w:hAnsi="Palatino Linotype" w:cs="Arial"/>
        </w:rPr>
        <w:lastRenderedPageBreak/>
        <w:t>ASÍ LO ACORDÓ, POR UNANIMIDAD DE VOTOS, EL PLENO DEL</w:t>
      </w:r>
      <w:r w:rsidRPr="006247AF">
        <w:rPr>
          <w:rFonts w:ascii="Palatino Linotype" w:eastAsia="Arial Unicode MS" w:hAnsi="Palatino Linotype" w:cs="Arial"/>
        </w:rPr>
        <w:t xml:space="preserve"> INSTITUTO DE TRANSPARENCIA, ACCESO A LA INFORMACIÓN PÚBLICA Y PROTECCIÓN DE DATOS PERSONALES DEL ESTADO DE MÉXICO Y MUNICIPIOS</w:t>
      </w:r>
      <w:r w:rsidRPr="006247AF">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Pr="006247AF">
        <w:rPr>
          <w:rFonts w:ascii="Palatino Linotype" w:hAnsi="Palatino Linotype" w:cs="Arial"/>
          <w:b/>
        </w:rPr>
        <w:t xml:space="preserve">TRIGÉSIMA </w:t>
      </w:r>
      <w:r w:rsidR="00077FFE" w:rsidRPr="006247AF">
        <w:rPr>
          <w:rFonts w:ascii="Palatino Linotype" w:hAnsi="Palatino Linotype" w:cs="Arial"/>
          <w:b/>
        </w:rPr>
        <w:t>SÉPTIMA</w:t>
      </w:r>
      <w:r w:rsidRPr="006247AF">
        <w:rPr>
          <w:rFonts w:ascii="Palatino Linotype" w:hAnsi="Palatino Linotype" w:cs="Arial"/>
        </w:rPr>
        <w:t xml:space="preserve"> SESIÓN ORDINARIA CELEBRADA EL </w:t>
      </w:r>
      <w:r w:rsidR="00AC309C" w:rsidRPr="006247AF">
        <w:rPr>
          <w:rFonts w:ascii="Palatino Linotype" w:hAnsi="Palatino Linotype" w:cs="Arial"/>
          <w:b/>
        </w:rPr>
        <w:t>DIECI</w:t>
      </w:r>
      <w:r w:rsidR="00077FFE" w:rsidRPr="006247AF">
        <w:rPr>
          <w:rFonts w:ascii="Palatino Linotype" w:hAnsi="Palatino Linotype" w:cs="Arial"/>
          <w:b/>
        </w:rPr>
        <w:t>SÉIS</w:t>
      </w:r>
      <w:r w:rsidRPr="006247AF">
        <w:rPr>
          <w:rFonts w:ascii="Palatino Linotype" w:hAnsi="Palatino Linotype" w:cs="Arial"/>
          <w:b/>
        </w:rPr>
        <w:t xml:space="preserve"> DE </w:t>
      </w:r>
      <w:r w:rsidR="00077FFE" w:rsidRPr="006247AF">
        <w:rPr>
          <w:rFonts w:ascii="Palatino Linotype" w:hAnsi="Palatino Linotype" w:cs="Arial"/>
          <w:b/>
        </w:rPr>
        <w:t>OCTU</w:t>
      </w:r>
      <w:r w:rsidRPr="006247AF">
        <w:rPr>
          <w:rFonts w:ascii="Palatino Linotype" w:hAnsi="Palatino Linotype" w:cs="Arial"/>
          <w:b/>
        </w:rPr>
        <w:t>BRE DE DOS MIL VEINTICUATRO</w:t>
      </w:r>
      <w:r w:rsidRPr="006247AF">
        <w:rPr>
          <w:rFonts w:ascii="Palatino Linotype" w:hAnsi="Palatino Linotype" w:cs="Arial"/>
        </w:rPr>
        <w:t>, ANTE EL SECRETARIO TÉCNICO DEL PLENO, ALEXIS TAPIA RAMÍREZ. ----------------------------------------------------------------------------------------</w:t>
      </w:r>
      <w:r w:rsidRPr="006247AF">
        <w:rPr>
          <w:rFonts w:ascii="Palatino Linotype" w:hAnsi="Palatino Linotype"/>
        </w:rPr>
        <w:t>----------------------------------------------------------------------------------------------------------------------------------------------------------------------------------------------------------------------------------------------------------------------------------------------------------------------------------------------------------------------------</w:t>
      </w:r>
      <w:r w:rsidR="00077FFE" w:rsidRPr="006247AF">
        <w:rPr>
          <w:rFonts w:ascii="Palatino Linotype" w:hAnsi="Palatino Linotype"/>
        </w:rPr>
        <w:t>------------------------------------------------------------------------------------------------------------------------------------------------------------------------------------------------------------------------------------------------------------------------------------------------------------------------------------------------------------------------------------------------------------------------------------------------------------------------------------</w:t>
      </w:r>
      <w:r w:rsidR="0018459A" w:rsidRPr="006247AF">
        <w:rPr>
          <w:rFonts w:ascii="Palatino Linotype" w:hAnsi="Palatino Linotype"/>
        </w:rPr>
        <w:t>------------------------------------------------------------------------------------------------------------------------------------------------------------------------------------------------------------------------------------------</w:t>
      </w:r>
    </w:p>
    <w:p w:rsidR="0018459A" w:rsidRPr="006247AF" w:rsidRDefault="0018459A" w:rsidP="0018459A">
      <w:pPr>
        <w:spacing w:line="360" w:lineRule="auto"/>
        <w:jc w:val="both"/>
        <w:rPr>
          <w:rFonts w:ascii="Palatino Linotype" w:hAnsi="Palatino Linotype"/>
        </w:rPr>
      </w:pPr>
      <w:r w:rsidRPr="006247AF">
        <w:rPr>
          <w:rFonts w:ascii="Palatino Linotype" w:hAnsi="Palatino Linotype"/>
        </w:rPr>
        <w:t>------------------------------------------------------------------------------------------------------------------------------------------------------------------------------------------------------------------------------------------------------------------------------------------------------------------------------------------------------------------------------------------------------------------------------------------------------------------------------------</w:t>
      </w:r>
    </w:p>
    <w:p w:rsidR="0018459A" w:rsidRPr="006247AF" w:rsidRDefault="0018459A" w:rsidP="0018459A">
      <w:pPr>
        <w:spacing w:line="360" w:lineRule="auto"/>
        <w:jc w:val="both"/>
        <w:rPr>
          <w:rFonts w:ascii="Palatino Linotype" w:hAnsi="Palatino Linotype"/>
        </w:rPr>
      </w:pPr>
      <w:r w:rsidRPr="006247AF">
        <w:rPr>
          <w:rFonts w:ascii="Palatino Linotype" w:hAnsi="Palatino Linotype"/>
        </w:rPr>
        <w:t>---------------------------------------------------------------------------------------------------------------------</w:t>
      </w:r>
    </w:p>
    <w:p w:rsidR="00061F10" w:rsidRDefault="00061F10" w:rsidP="004D772E">
      <w:pPr>
        <w:spacing w:line="360" w:lineRule="auto"/>
        <w:jc w:val="both"/>
        <w:rPr>
          <w:rFonts w:ascii="Palatino Linotype" w:hAnsi="Palatino Linotype"/>
          <w:bCs/>
          <w:sz w:val="18"/>
          <w:szCs w:val="18"/>
        </w:rPr>
      </w:pPr>
      <w:r w:rsidRPr="006247AF">
        <w:rPr>
          <w:rFonts w:ascii="Palatino Linotype" w:hAnsi="Palatino Linotype"/>
          <w:bCs/>
          <w:sz w:val="18"/>
          <w:szCs w:val="18"/>
        </w:rPr>
        <w:t>JMV/CCR/</w:t>
      </w:r>
      <w:r w:rsidR="003A2520" w:rsidRPr="006247AF">
        <w:rPr>
          <w:rFonts w:ascii="Palatino Linotype" w:hAnsi="Palatino Linotype"/>
          <w:bCs/>
          <w:sz w:val="18"/>
          <w:szCs w:val="18"/>
        </w:rPr>
        <w:t>BPAC</w:t>
      </w:r>
      <w:bookmarkStart w:id="0" w:name="_GoBack"/>
      <w:bookmarkEnd w:id="0"/>
    </w:p>
    <w:p w:rsidR="00061F10" w:rsidRPr="002C3EC8" w:rsidRDefault="00061F10" w:rsidP="004D772E">
      <w:pPr>
        <w:spacing w:line="360" w:lineRule="auto"/>
        <w:jc w:val="both"/>
        <w:rPr>
          <w:rFonts w:ascii="Palatino Linotype" w:eastAsia="Calibri" w:hAnsi="Palatino Linotype"/>
          <w:lang w:eastAsia="es-ES"/>
        </w:rPr>
      </w:pPr>
    </w:p>
    <w:p w:rsidR="00061F10" w:rsidRPr="00706006" w:rsidRDefault="00061F10" w:rsidP="004D772E"/>
    <w:p w:rsidR="00061F10" w:rsidRDefault="00061F10" w:rsidP="004D772E"/>
    <w:p w:rsidR="00061F10" w:rsidRDefault="00061F10" w:rsidP="004D772E"/>
    <w:p w:rsidR="00BF6D1B" w:rsidRDefault="00BF6D1B" w:rsidP="004D772E"/>
    <w:sectPr w:rsidR="00BF6D1B" w:rsidSect="00EB68C8">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48" w:rsidRDefault="00F92148" w:rsidP="00061F10">
      <w:r>
        <w:separator/>
      </w:r>
    </w:p>
  </w:endnote>
  <w:endnote w:type="continuationSeparator" w:id="0">
    <w:p w:rsidR="00F92148" w:rsidRDefault="00F92148" w:rsidP="0006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48" w:rsidRPr="00871A91" w:rsidRDefault="00F92148" w:rsidP="00EB68C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247AF">
      <w:rPr>
        <w:rFonts w:ascii="Palatino Linotype" w:hAnsi="Palatino Linotype"/>
        <w:b/>
        <w:bCs/>
        <w:noProof/>
        <w:sz w:val="20"/>
      </w:rPr>
      <w:t>52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247AF">
      <w:rPr>
        <w:rFonts w:ascii="Palatino Linotype" w:hAnsi="Palatino Linotype"/>
        <w:b/>
        <w:bCs/>
        <w:noProof/>
        <w:sz w:val="20"/>
      </w:rPr>
      <w:t>53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48" w:rsidRPr="00871A91" w:rsidRDefault="00F92148" w:rsidP="00EB68C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247A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247AF">
      <w:rPr>
        <w:rFonts w:ascii="Palatino Linotype" w:hAnsi="Palatino Linotype"/>
        <w:b/>
        <w:bCs/>
        <w:noProof/>
        <w:sz w:val="20"/>
      </w:rPr>
      <w:t>53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48" w:rsidRDefault="00F92148" w:rsidP="00061F10">
      <w:r>
        <w:separator/>
      </w:r>
    </w:p>
  </w:footnote>
  <w:footnote w:type="continuationSeparator" w:id="0">
    <w:p w:rsidR="00F92148" w:rsidRDefault="00F92148" w:rsidP="00061F10">
      <w:r>
        <w:continuationSeparator/>
      </w:r>
    </w:p>
  </w:footnote>
  <w:footnote w:id="1">
    <w:p w:rsidR="00F92148" w:rsidRPr="005552A8" w:rsidRDefault="00F92148" w:rsidP="00061F10">
      <w:pPr>
        <w:jc w:val="both"/>
        <w:rPr>
          <w:rFonts w:ascii="Palatino Linotype"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F92148" w:rsidRPr="005552A8" w:rsidRDefault="00F92148" w:rsidP="00061F10">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F92148" w:rsidRPr="007C3435" w:rsidRDefault="00F92148" w:rsidP="004D37E4">
      <w:pPr>
        <w:pStyle w:val="Textonotapie"/>
        <w:jc w:val="both"/>
        <w:rPr>
          <w:rFonts w:ascii="Palatino Linotype" w:hAnsi="Palatino Linotype"/>
          <w:i/>
          <w:sz w:val="18"/>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7C3435">
        <w:rPr>
          <w:rFonts w:ascii="Palatino Linotype" w:hAnsi="Palatino Linotype"/>
          <w:i/>
          <w:sz w:val="18"/>
        </w:rPr>
        <w:t>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48" w:rsidRDefault="006247AF">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92148" w:rsidRPr="00F70BDE" w:rsidTr="001C7130">
      <w:trPr>
        <w:trHeight w:val="227"/>
      </w:trPr>
      <w:tc>
        <w:tcPr>
          <w:tcW w:w="5103" w:type="dxa"/>
          <w:hideMark/>
        </w:tcPr>
        <w:p w:rsidR="00F92148" w:rsidRPr="00F70BDE" w:rsidRDefault="00F92148" w:rsidP="00EB68C8">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F92148" w:rsidRPr="00F70BDE" w:rsidRDefault="00F92148" w:rsidP="00061F10">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2185/INFOEM/IP/RR/2024</w:t>
          </w:r>
        </w:p>
      </w:tc>
    </w:tr>
    <w:tr w:rsidR="00F92148" w:rsidRPr="00F70BDE" w:rsidTr="001C7130">
      <w:trPr>
        <w:trHeight w:val="242"/>
      </w:trPr>
      <w:tc>
        <w:tcPr>
          <w:tcW w:w="5103" w:type="dxa"/>
          <w:hideMark/>
        </w:tcPr>
        <w:p w:rsidR="00F92148" w:rsidRPr="00F70BDE" w:rsidRDefault="00F92148" w:rsidP="00EB68C8">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F92148" w:rsidRPr="00F70BDE" w:rsidRDefault="00F92148" w:rsidP="00EB68C8">
          <w:pPr>
            <w:spacing w:after="120"/>
            <w:ind w:left="-70" w:right="68"/>
            <w:jc w:val="right"/>
            <w:rPr>
              <w:rFonts w:ascii="Palatino Linotype" w:hAnsi="Palatino Linotype" w:cs="Arial"/>
            </w:rPr>
          </w:pPr>
          <w:r>
            <w:rPr>
              <w:rFonts w:ascii="Palatino Linotype" w:hAnsi="Palatino Linotype" w:cs="Arial"/>
            </w:rPr>
            <w:t>Secretaría de Movilidad</w:t>
          </w:r>
        </w:p>
      </w:tc>
    </w:tr>
    <w:tr w:rsidR="00F92148" w:rsidRPr="00F70BDE" w:rsidTr="001C7130">
      <w:trPr>
        <w:trHeight w:val="342"/>
      </w:trPr>
      <w:tc>
        <w:tcPr>
          <w:tcW w:w="5103" w:type="dxa"/>
          <w:hideMark/>
        </w:tcPr>
        <w:p w:rsidR="00F92148" w:rsidRPr="00F70BDE" w:rsidRDefault="00F92148" w:rsidP="00EB68C8">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F92148" w:rsidRPr="00F70BDE" w:rsidRDefault="00F92148" w:rsidP="00EB68C8">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rsidR="00F92148" w:rsidRPr="00871A91" w:rsidRDefault="006247AF">
    <w:pPr>
      <w:pStyle w:val="Encabezado"/>
      <w:rPr>
        <w:sz w:val="2"/>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F9214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92148" w:rsidRPr="00F70BDE" w:rsidTr="00EB68C8">
      <w:trPr>
        <w:trHeight w:val="227"/>
      </w:trPr>
      <w:tc>
        <w:tcPr>
          <w:tcW w:w="5103" w:type="dxa"/>
          <w:hideMark/>
        </w:tcPr>
        <w:p w:rsidR="00F92148" w:rsidRPr="00F70BDE" w:rsidRDefault="00F92148" w:rsidP="00EB68C8">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F92148" w:rsidRPr="00F70BDE" w:rsidRDefault="00F92148" w:rsidP="00061F10">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2185/INFOEM/IP/RR/2024</w:t>
          </w:r>
        </w:p>
      </w:tc>
    </w:tr>
    <w:tr w:rsidR="00F92148" w:rsidRPr="00F70BDE" w:rsidTr="00EB68C8">
      <w:trPr>
        <w:trHeight w:val="227"/>
      </w:trPr>
      <w:tc>
        <w:tcPr>
          <w:tcW w:w="5103" w:type="dxa"/>
        </w:tcPr>
        <w:p w:rsidR="00F92148" w:rsidRPr="00F70BDE" w:rsidRDefault="00F92148" w:rsidP="00EB68C8">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rsidR="00F92148" w:rsidRPr="00947733" w:rsidRDefault="00331F25" w:rsidP="00EB68C8">
          <w:pPr>
            <w:spacing w:after="120"/>
            <w:ind w:left="-486" w:right="68" w:firstLine="558"/>
            <w:jc w:val="right"/>
            <w:rPr>
              <w:rFonts w:ascii="Palatino Linotype" w:hAnsi="Palatino Linotype" w:cs="Arial"/>
              <w:bCs/>
            </w:rPr>
          </w:pPr>
          <w:r>
            <w:rPr>
              <w:rFonts w:ascii="Palatino Linotype" w:hAnsi="Palatino Linotype" w:cs="Arial"/>
              <w:bCs/>
            </w:rPr>
            <w:t>XXXX</w:t>
          </w:r>
        </w:p>
      </w:tc>
    </w:tr>
    <w:tr w:rsidR="00F92148" w:rsidRPr="00F70BDE" w:rsidTr="00EB68C8">
      <w:trPr>
        <w:trHeight w:val="242"/>
      </w:trPr>
      <w:tc>
        <w:tcPr>
          <w:tcW w:w="5103" w:type="dxa"/>
          <w:hideMark/>
        </w:tcPr>
        <w:p w:rsidR="00F92148" w:rsidRPr="00F70BDE" w:rsidRDefault="00F92148" w:rsidP="00EB68C8">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F92148" w:rsidRPr="00F70BDE" w:rsidRDefault="00F92148" w:rsidP="00061F10">
          <w:pPr>
            <w:spacing w:after="120"/>
            <w:ind w:left="-70" w:right="68"/>
            <w:jc w:val="right"/>
            <w:rPr>
              <w:rFonts w:ascii="Palatino Linotype" w:hAnsi="Palatino Linotype" w:cs="Arial"/>
            </w:rPr>
          </w:pPr>
          <w:r w:rsidRPr="00947733">
            <w:rPr>
              <w:rFonts w:ascii="Palatino Linotype" w:hAnsi="Palatino Linotype" w:cs="Arial"/>
            </w:rPr>
            <w:t>S</w:t>
          </w:r>
          <w:r>
            <w:rPr>
              <w:rFonts w:ascii="Palatino Linotype" w:hAnsi="Palatino Linotype" w:cs="Arial"/>
            </w:rPr>
            <w:t>ecretaría de Movilidad</w:t>
          </w:r>
        </w:p>
      </w:tc>
    </w:tr>
    <w:tr w:rsidR="00F92148" w:rsidRPr="00F70BDE" w:rsidTr="00EB68C8">
      <w:trPr>
        <w:trHeight w:val="342"/>
      </w:trPr>
      <w:tc>
        <w:tcPr>
          <w:tcW w:w="5103" w:type="dxa"/>
          <w:hideMark/>
        </w:tcPr>
        <w:p w:rsidR="00F92148" w:rsidRPr="00F70BDE" w:rsidRDefault="00F92148" w:rsidP="00EB68C8">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F92148" w:rsidRPr="00F70BDE" w:rsidRDefault="00F92148" w:rsidP="00EB68C8">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rsidR="00F92148" w:rsidRPr="00871A91" w:rsidRDefault="00F92148">
    <w:pPr>
      <w:pStyle w:val="Encabezado"/>
      <w:rPr>
        <w:sz w:val="2"/>
      </w:rPr>
    </w:pPr>
    <w:r>
      <w:rPr>
        <w:noProof/>
        <w:lang w:val="es-MX" w:eastAsia="es-MX"/>
      </w:rPr>
      <w:drawing>
        <wp:anchor distT="0" distB="0" distL="114300" distR="114300" simplePos="0" relativeHeight="251656704" behindDoc="1" locked="0" layoutInCell="0" allowOverlap="1" wp14:anchorId="579A41B8" wp14:editId="53D80363">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6B58"/>
    <w:multiLevelType w:val="hybridMultilevel"/>
    <w:tmpl w:val="90C0C0E2"/>
    <w:lvl w:ilvl="0" w:tplc="12801046">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BE4B77"/>
    <w:multiLevelType w:val="hybridMultilevel"/>
    <w:tmpl w:val="A9686E64"/>
    <w:lvl w:ilvl="0" w:tplc="0B0AF0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4F5D43"/>
    <w:multiLevelType w:val="hybridMultilevel"/>
    <w:tmpl w:val="D222FE08"/>
    <w:lvl w:ilvl="0" w:tplc="A58C7188">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E264F5"/>
    <w:multiLevelType w:val="hybridMultilevel"/>
    <w:tmpl w:val="CCA46BDC"/>
    <w:lvl w:ilvl="0" w:tplc="725A67A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0F6F20"/>
    <w:multiLevelType w:val="hybridMultilevel"/>
    <w:tmpl w:val="8F82F2AC"/>
    <w:lvl w:ilvl="0" w:tplc="82766BF8">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6060B8"/>
    <w:multiLevelType w:val="hybridMultilevel"/>
    <w:tmpl w:val="37AE9E3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10"/>
    <w:rsid w:val="000016B5"/>
    <w:rsid w:val="00061F10"/>
    <w:rsid w:val="00077FFE"/>
    <w:rsid w:val="000D47AB"/>
    <w:rsid w:val="0018459A"/>
    <w:rsid w:val="001C4D29"/>
    <w:rsid w:val="001C7130"/>
    <w:rsid w:val="00331F25"/>
    <w:rsid w:val="00392749"/>
    <w:rsid w:val="003A2520"/>
    <w:rsid w:val="004A2FC2"/>
    <w:rsid w:val="004D37E4"/>
    <w:rsid w:val="004D772E"/>
    <w:rsid w:val="005E575B"/>
    <w:rsid w:val="006247AF"/>
    <w:rsid w:val="008D3C79"/>
    <w:rsid w:val="00922188"/>
    <w:rsid w:val="00AC309C"/>
    <w:rsid w:val="00B519EB"/>
    <w:rsid w:val="00BF6D1B"/>
    <w:rsid w:val="00C12154"/>
    <w:rsid w:val="00C37510"/>
    <w:rsid w:val="00D10055"/>
    <w:rsid w:val="00D56A89"/>
    <w:rsid w:val="00DC6E83"/>
    <w:rsid w:val="00E76016"/>
    <w:rsid w:val="00EB68C8"/>
    <w:rsid w:val="00F92148"/>
    <w:rsid w:val="00FD4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EC49267-8665-4CB0-9C46-D75F2AA4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10"/>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F10"/>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061F1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1F10"/>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061F10"/>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1F10"/>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1F10"/>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61F10"/>
    <w:rPr>
      <w:rFonts w:cs="Times New Roman"/>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61F10"/>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61F10"/>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061F10"/>
    <w:rPr>
      <w:vertAlign w:val="superscript"/>
    </w:rPr>
  </w:style>
  <w:style w:type="character" w:customStyle="1" w:styleId="apple-converted-space">
    <w:name w:val="apple-converted-space"/>
    <w:basedOn w:val="Fuentedeprrafopredeter"/>
    <w:rsid w:val="00061F10"/>
  </w:style>
  <w:style w:type="paragraph" w:styleId="Sinespaciado">
    <w:name w:val="No Spacing"/>
    <w:aliases w:val="Francesa,INAI"/>
    <w:link w:val="SinespaciadoCar"/>
    <w:uiPriority w:val="1"/>
    <w:qFormat/>
    <w:rsid w:val="00061F10"/>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061F1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4D37E4"/>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4D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4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53</Pages>
  <Words>13021</Words>
  <Characters>71616</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INFOEM492</cp:lastModifiedBy>
  <cp:revision>19</cp:revision>
  <dcterms:created xsi:type="dcterms:W3CDTF">2024-10-04T02:33:00Z</dcterms:created>
  <dcterms:modified xsi:type="dcterms:W3CDTF">2024-11-05T21:29:00Z</dcterms:modified>
</cp:coreProperties>
</file>