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18" w:rsidRDefault="00E02518">
      <w:pPr>
        <w:widowControl w:val="0"/>
        <w:pBdr>
          <w:top w:val="nil"/>
          <w:left w:val="nil"/>
          <w:bottom w:val="nil"/>
          <w:right w:val="nil"/>
          <w:between w:val="nil"/>
        </w:pBdr>
        <w:spacing w:line="276" w:lineRule="auto"/>
      </w:pP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Resolución del Pleno del Instituto de Transparencia, Acceso a la Información Pública y </w:t>
      </w:r>
      <w:r>
        <w:rPr>
          <w:rFonts w:ascii="Palatino Linotype" w:eastAsia="Palatino Linotype" w:hAnsi="Palatino Linotype" w:cs="Palatino Linotype"/>
          <w:sz w:val="22"/>
          <w:szCs w:val="22"/>
        </w:rPr>
        <w:t xml:space="preserve">Protección de Datos Personales del Estado de México y Municipios, con domicilio en Metepec, Estado de México, de fecha dieciséis de octubre de dos mil veinticuatro.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 xml:space="preserve">VISTO </w:t>
      </w:r>
      <w:r>
        <w:rPr>
          <w:rFonts w:ascii="Palatino Linotype" w:eastAsia="Palatino Linotype" w:hAnsi="Palatino Linotype" w:cs="Palatino Linotype"/>
          <w:color w:val="000000"/>
          <w:sz w:val="22"/>
          <w:szCs w:val="22"/>
        </w:rPr>
        <w:t xml:space="preserve">el expediente conformado con motivo del Recurso de Revisión </w:t>
      </w:r>
      <w:r>
        <w:rPr>
          <w:rFonts w:ascii="Palatino Linotype" w:eastAsia="Palatino Linotype" w:hAnsi="Palatino Linotype" w:cs="Palatino Linotype"/>
          <w:b/>
          <w:color w:val="000000"/>
          <w:sz w:val="22"/>
          <w:szCs w:val="22"/>
        </w:rPr>
        <w:t xml:space="preserve">01821/INFOEM/IP/RR/2024 </w:t>
      </w:r>
      <w:r>
        <w:rPr>
          <w:rFonts w:ascii="Palatino Linotype" w:eastAsia="Palatino Linotype" w:hAnsi="Palatino Linotype" w:cs="Palatino Linotype"/>
          <w:color w:val="000000"/>
          <w:sz w:val="22"/>
          <w:szCs w:val="22"/>
        </w:rPr>
        <w:t xml:space="preserve">interpuesto por </w:t>
      </w:r>
      <w:r>
        <w:rPr>
          <w:rFonts w:ascii="Palatino Linotype" w:eastAsia="Palatino Linotype" w:hAnsi="Palatino Linotype" w:cs="Palatino Linotype"/>
          <w:b/>
          <w:color w:val="000000"/>
          <w:sz w:val="22"/>
          <w:szCs w:val="22"/>
        </w:rPr>
        <w:t xml:space="preserve">un Particular, </w:t>
      </w:r>
      <w:r>
        <w:rPr>
          <w:rFonts w:ascii="Palatino Linotype" w:eastAsia="Palatino Linotype" w:hAnsi="Palatino Linotype" w:cs="Palatino Linotype"/>
          <w:color w:val="000000"/>
          <w:sz w:val="22"/>
          <w:szCs w:val="22"/>
        </w:rPr>
        <w:t xml:space="preserve">en lo subsecuente la persona </w:t>
      </w:r>
      <w:r>
        <w:rPr>
          <w:rFonts w:ascii="Palatino Linotype" w:eastAsia="Palatino Linotype" w:hAnsi="Palatino Linotype" w:cs="Palatino Linotype"/>
          <w:color w:val="0D0D0D"/>
          <w:sz w:val="22"/>
          <w:szCs w:val="22"/>
        </w:rPr>
        <w:t>Recurrente o Particular</w:t>
      </w:r>
      <w:r>
        <w:rPr>
          <w:rFonts w:ascii="Palatino Linotype" w:eastAsia="Palatino Linotype" w:hAnsi="Palatino Linotype" w:cs="Palatino Linotype"/>
          <w:color w:val="000000"/>
          <w:sz w:val="22"/>
          <w:szCs w:val="22"/>
        </w:rPr>
        <w:t xml:space="preserve">, en contra de la respuesta del Sujeto Obligado, </w:t>
      </w:r>
      <w:r>
        <w:rPr>
          <w:rFonts w:ascii="Palatino Linotype" w:eastAsia="Palatino Linotype" w:hAnsi="Palatino Linotype" w:cs="Palatino Linotype"/>
          <w:b/>
          <w:sz w:val="22"/>
          <w:szCs w:val="22"/>
        </w:rPr>
        <w:t>Ayuntamiento de Cuautitlán</w:t>
      </w:r>
      <w:r>
        <w:rPr>
          <w:rFonts w:ascii="Palatino Linotype" w:eastAsia="Palatino Linotype" w:hAnsi="Palatino Linotype" w:cs="Palatino Linotype"/>
          <w:color w:val="000000"/>
          <w:sz w:val="22"/>
          <w:szCs w:val="22"/>
        </w:rPr>
        <w:t>, se em</w:t>
      </w:r>
      <w:r>
        <w:rPr>
          <w:rFonts w:ascii="Palatino Linotype" w:eastAsia="Palatino Linotype" w:hAnsi="Palatino Linotype" w:cs="Palatino Linotype"/>
          <w:color w:val="000000"/>
          <w:sz w:val="22"/>
          <w:szCs w:val="22"/>
        </w:rPr>
        <w:t>ite la presente resolución, con base en los antecedentes y considerandos que a continuación se exponen:</w:t>
      </w:r>
    </w:p>
    <w:p w:rsidR="00E02518" w:rsidRDefault="00E02518">
      <w:pPr>
        <w:tabs>
          <w:tab w:val="left" w:pos="2835"/>
        </w:tabs>
        <w:spacing w:line="360" w:lineRule="auto"/>
        <w:ind w:right="-93"/>
        <w:jc w:val="both"/>
        <w:rPr>
          <w:rFonts w:ascii="Palatino Linotype" w:eastAsia="Palatino Linotype" w:hAnsi="Palatino Linotype" w:cs="Palatino Linotype"/>
          <w:sz w:val="22"/>
          <w:szCs w:val="22"/>
        </w:rPr>
      </w:pPr>
    </w:p>
    <w:p w:rsidR="00E02518" w:rsidRDefault="001447D8">
      <w:pPr>
        <w:spacing w:line="360" w:lineRule="auto"/>
        <w:ind w:right="-93"/>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A N T E C E D E N T E S</w:t>
      </w:r>
    </w:p>
    <w:p w:rsidR="00E02518" w:rsidRDefault="00E02518">
      <w:pPr>
        <w:spacing w:line="360" w:lineRule="auto"/>
        <w:ind w:right="-93"/>
        <w:jc w:val="both"/>
        <w:rPr>
          <w:rFonts w:ascii="Palatino Linotype" w:eastAsia="Palatino Linotype" w:hAnsi="Palatino Linotype" w:cs="Palatino Linotype"/>
          <w:sz w:val="22"/>
          <w:szCs w:val="22"/>
        </w:rPr>
      </w:pPr>
    </w:p>
    <w:p w:rsidR="00E02518" w:rsidRDefault="001447D8">
      <w:pPr>
        <w:tabs>
          <w:tab w:val="left" w:pos="5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 Presentación de la solicitud de información</w:t>
      </w:r>
    </w:p>
    <w:p w:rsidR="00E02518" w:rsidRDefault="00E02518">
      <w:pPr>
        <w:tabs>
          <w:tab w:val="left" w:pos="567"/>
        </w:tabs>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ocho de febrero de dos mil veinticuatro, el Particular presentó una solicit</w:t>
      </w:r>
      <w:r>
        <w:rPr>
          <w:rFonts w:ascii="Palatino Linotype" w:eastAsia="Palatino Linotype" w:hAnsi="Palatino Linotype" w:cs="Palatino Linotype"/>
          <w:sz w:val="22"/>
          <w:szCs w:val="22"/>
        </w:rPr>
        <w:t>ud de acceso a la información pública, vía Plataforma Nacional de Transparencia (PNT), sin embargo, se alojó en el Sistema de Acceso a la Información Mexiquense, en lo sucesivo SAIMEX, por ser el sistema a través del cual, se da atención y seguimiento a la</w:t>
      </w:r>
      <w:r>
        <w:rPr>
          <w:rFonts w:ascii="Palatino Linotype" w:eastAsia="Palatino Linotype" w:hAnsi="Palatino Linotype" w:cs="Palatino Linotype"/>
          <w:sz w:val="22"/>
          <w:szCs w:val="22"/>
        </w:rPr>
        <w:t>s solicitudes de información, respecto a los Sujetos Obligados del Estado de México; ante Ayuntamiento de Cuautitlán, en los siguientes términos:</w:t>
      </w:r>
    </w:p>
    <w:p w:rsidR="00E02518" w:rsidRDefault="00E02518">
      <w:pPr>
        <w:spacing w:line="360" w:lineRule="auto"/>
        <w:ind w:right="567"/>
        <w:rPr>
          <w:rFonts w:ascii="Palatino Linotype" w:eastAsia="Palatino Linotype" w:hAnsi="Palatino Linotype" w:cs="Palatino Linotype"/>
          <w:b/>
          <w:sz w:val="22"/>
          <w:szCs w:val="22"/>
        </w:rPr>
      </w:pPr>
    </w:p>
    <w:p w:rsidR="00E02518" w:rsidRDefault="001447D8">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Folio de la solicitud: 00025/CUAUTIT/IP/2024</w:t>
      </w:r>
    </w:p>
    <w:p w:rsidR="00E02518" w:rsidRDefault="001447D8">
      <w:pPr>
        <w:tabs>
          <w:tab w:val="left" w:pos="567"/>
        </w:tabs>
        <w:spacing w:line="360" w:lineRule="auto"/>
        <w:ind w:left="567" w:right="539"/>
        <w:jc w:val="both"/>
        <w:rPr>
          <w:rFonts w:ascii="Palatino Linotype" w:eastAsia="Palatino Linotype" w:hAnsi="Palatino Linotype" w:cs="Palatino Linotype"/>
          <w:b/>
        </w:rPr>
      </w:pPr>
      <w:r>
        <w:rPr>
          <w:rFonts w:ascii="Palatino Linotype" w:eastAsia="Palatino Linotype" w:hAnsi="Palatino Linotype" w:cs="Palatino Linotype"/>
          <w:b/>
        </w:rPr>
        <w:t>DESCRIPCIÓN CLARA Y PRECISA DE LA INFORMACIÓN SOLICITADA</w:t>
      </w:r>
    </w:p>
    <w:p w:rsidR="00E02518" w:rsidRDefault="001447D8">
      <w:pPr>
        <w:tabs>
          <w:tab w:val="left" w:pos="567"/>
        </w:tabs>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i/>
        </w:rPr>
        <w:t>“Apreciables funcionarios; En uso de mi propio derecho como ciudadano, tengo a bien solicitar respetuosamente a ustedes lo siguiente: Nota: toda la información solicitada serán del periodo 2010 a la fecha de recepción de la presente solicitud y deberá pres</w:t>
      </w:r>
      <w:r>
        <w:rPr>
          <w:rFonts w:ascii="Palatino Linotype" w:eastAsia="Palatino Linotype" w:hAnsi="Palatino Linotype" w:cs="Palatino Linotype"/>
          <w:i/>
        </w:rPr>
        <w:t xml:space="preserve">entarse en copia certíficada, así como en </w:t>
      </w:r>
      <w:r>
        <w:rPr>
          <w:rFonts w:ascii="Palatino Linotype" w:eastAsia="Palatino Linotype" w:hAnsi="Palatino Linotype" w:cs="Palatino Linotype"/>
          <w:i/>
        </w:rPr>
        <w:lastRenderedPageBreak/>
        <w:t>formato pdf, a excepción del reporte solicitado en formato excel.</w:t>
      </w:r>
      <w:r>
        <w:rPr>
          <w:rFonts w:ascii="Palatino Linotype" w:eastAsia="Palatino Linotype" w:hAnsi="Palatino Linotype" w:cs="Palatino Linotype"/>
          <w:b/>
          <w:i/>
        </w:rPr>
        <w:t xml:space="preserve"> 1.</w:t>
      </w:r>
      <w:r>
        <w:rPr>
          <w:rFonts w:ascii="Palatino Linotype" w:eastAsia="Palatino Linotype" w:hAnsi="Palatino Linotype" w:cs="Palatino Linotype"/>
          <w:i/>
        </w:rPr>
        <w:t xml:space="preserve"> Toda la documentación en copia electrónica, que acredite la debida entrega legal del fraccionamiento "Parque San Mateo" Por parte de la inmobilia</w:t>
      </w:r>
      <w:r>
        <w:rPr>
          <w:rFonts w:ascii="Palatino Linotype" w:eastAsia="Palatino Linotype" w:hAnsi="Palatino Linotype" w:cs="Palatino Linotype"/>
          <w:i/>
        </w:rPr>
        <w:t xml:space="preserve">ria "Casas HOMEX" o mejor conocido como "Casas BETA" a ese ayuntamiento. </w:t>
      </w:r>
      <w:r>
        <w:rPr>
          <w:rFonts w:ascii="Palatino Linotype" w:eastAsia="Palatino Linotype" w:hAnsi="Palatino Linotype" w:cs="Palatino Linotype"/>
          <w:b/>
          <w:i/>
        </w:rPr>
        <w:t>2</w:t>
      </w:r>
      <w:r>
        <w:rPr>
          <w:rFonts w:ascii="Palatino Linotype" w:eastAsia="Palatino Linotype" w:hAnsi="Palatino Linotype" w:cs="Palatino Linotype"/>
          <w:i/>
        </w:rPr>
        <w:t>. Reporte en en formato a partir del año 2010 a la fecha de recepción de la presente solicitud, en archivo excel en el que se detalle: a) la cantidad de delitos cometidos en ese frac</w:t>
      </w:r>
      <w:r>
        <w:rPr>
          <w:rFonts w:ascii="Palatino Linotype" w:eastAsia="Palatino Linotype" w:hAnsi="Palatino Linotype" w:cs="Palatino Linotype"/>
          <w:i/>
        </w:rPr>
        <w:t xml:space="preserve">cionamiento "Parque San Mateo" C.P. 54830 b) tipo de delito cometido c) en que calle y colonia se llevó cometió el delito d) </w:t>
      </w:r>
      <w:r>
        <w:rPr>
          <w:rFonts w:ascii="Palatino Linotype" w:eastAsia="Palatino Linotype" w:hAnsi="Palatino Linotype" w:cs="Palatino Linotype"/>
          <w:b/>
          <w:i/>
        </w:rPr>
        <w:t>que seguimiento o que estatus tiene el delito cometido o bien especifique para cada caso, y qué seguimiento y resolición se le brin</w:t>
      </w:r>
      <w:r>
        <w:rPr>
          <w:rFonts w:ascii="Palatino Linotype" w:eastAsia="Palatino Linotype" w:hAnsi="Palatino Linotype" w:cs="Palatino Linotype"/>
          <w:b/>
          <w:i/>
        </w:rPr>
        <w:t>do a cada caso, en caso de que siga en proceso, también especificarl</w:t>
      </w:r>
      <w:r>
        <w:rPr>
          <w:rFonts w:ascii="Palatino Linotype" w:eastAsia="Palatino Linotype" w:hAnsi="Palatino Linotype" w:cs="Palatino Linotype"/>
          <w:i/>
        </w:rPr>
        <w:t xml:space="preserve">o. </w:t>
      </w:r>
      <w:r>
        <w:rPr>
          <w:rFonts w:ascii="Palatino Linotype" w:eastAsia="Palatino Linotype" w:hAnsi="Palatino Linotype" w:cs="Palatino Linotype"/>
          <w:b/>
          <w:i/>
        </w:rPr>
        <w:t>3.</w:t>
      </w:r>
      <w:r>
        <w:rPr>
          <w:rFonts w:ascii="Palatino Linotype" w:eastAsia="Palatino Linotype" w:hAnsi="Palatino Linotype" w:cs="Palatino Linotype"/>
          <w:i/>
        </w:rPr>
        <w:t xml:space="preserve"> También se requiere un informe detallado certificado en el cual detalle la cantidad de denuncias presentadas por parte de los residentes del Fraccionamiento de Parque San Mateo C.P. </w:t>
      </w:r>
      <w:r>
        <w:rPr>
          <w:rFonts w:ascii="Palatino Linotype" w:eastAsia="Palatino Linotype" w:hAnsi="Palatino Linotype" w:cs="Palatino Linotype"/>
          <w:i/>
        </w:rPr>
        <w:t>54830 en el cual se detalle principalmente: a) aquellas a las que se refieran a fraude por entrega irregular de casas a los residentes b) aquellas a las que se refieran a la falta de documentación que los acredite como titulares de las viviendas de los res</w:t>
      </w:r>
      <w:r>
        <w:rPr>
          <w:rFonts w:ascii="Palatino Linotype" w:eastAsia="Palatino Linotype" w:hAnsi="Palatino Linotype" w:cs="Palatino Linotype"/>
          <w:i/>
        </w:rPr>
        <w:t>identes en ese Fraccionamiento c) reporte en formato excel por año y ubicación "calle, colonia" con detalle de denuncias por invasión de propiedad. Para los puntos 2 y 3 de la presente solicitud, presente las acciones y evidencias "certificadas" que ha rea</w:t>
      </w:r>
      <w:r>
        <w:rPr>
          <w:rFonts w:ascii="Palatino Linotype" w:eastAsia="Palatino Linotype" w:hAnsi="Palatino Linotype" w:cs="Palatino Linotype"/>
          <w:i/>
        </w:rPr>
        <w:t>lizado ese ayuntamiento para combatir las denuncias y delitos en ellos citados. 4. copia digital certificada del documento que acredite que las casas que se construyeron en el Fraccionamiento Parque San Mateo C.P. 54830 se encuentren debidamente registrada</w:t>
      </w:r>
      <w:r>
        <w:rPr>
          <w:rFonts w:ascii="Palatino Linotype" w:eastAsia="Palatino Linotype" w:hAnsi="Palatino Linotype" w:cs="Palatino Linotype"/>
          <w:i/>
        </w:rPr>
        <w:t>s en el registro público de la propiedad (RPP) 5. Del fraude cometido por casas Homex y casas"BETA", así como de su declaración en quiebra en el año 2013, reporte en excel en que especifique el detalle y tipo de seguimiento que le dio ese ayuntamiento, der</w:t>
      </w:r>
      <w:r>
        <w:rPr>
          <w:rFonts w:ascii="Palatino Linotype" w:eastAsia="Palatino Linotype" w:hAnsi="Palatino Linotype" w:cs="Palatino Linotype"/>
          <w:i/>
        </w:rPr>
        <w:t>ivado de los incumplimientos por parte de esa inmobiliaria, incorporando para cada cosa la copia digital certificada de la evidencia documental donde se acredite la misma. Por último, en el caso de que la capacidad de la información supere lo permitido par</w:t>
      </w:r>
      <w:r>
        <w:rPr>
          <w:rFonts w:ascii="Palatino Linotype" w:eastAsia="Palatino Linotype" w:hAnsi="Palatino Linotype" w:cs="Palatino Linotype"/>
          <w:i/>
        </w:rPr>
        <w:t>a el envío de la misma. solicito a usted, tenga a bien proporcionar una liga drive donde se almacene toda la información requerida. Sin otro particular, agradezco el apoyo para hacer valer mi derecho de acceso a la información.” (sic.)</w:t>
      </w:r>
    </w:p>
    <w:p w:rsidR="00E02518" w:rsidRDefault="00E02518">
      <w:pPr>
        <w:tabs>
          <w:tab w:val="left" w:pos="567"/>
        </w:tabs>
        <w:spacing w:line="360" w:lineRule="auto"/>
        <w:ind w:left="567" w:right="567"/>
        <w:rPr>
          <w:rFonts w:ascii="Palatino Linotype" w:eastAsia="Palatino Linotype" w:hAnsi="Palatino Linotype" w:cs="Palatino Linotype"/>
          <w:i/>
        </w:rPr>
      </w:pPr>
    </w:p>
    <w:p w:rsidR="00E02518" w:rsidRDefault="001447D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Medio para recibir </w:t>
      </w:r>
      <w:r>
        <w:rPr>
          <w:rFonts w:ascii="Palatino Linotype" w:eastAsia="Palatino Linotype" w:hAnsi="Palatino Linotype" w:cs="Palatino Linotype"/>
          <w:b/>
          <w:color w:val="000000"/>
        </w:rPr>
        <w:t xml:space="preserve">información o notificaciones </w:t>
      </w:r>
    </w:p>
    <w:p w:rsidR="00E02518" w:rsidRDefault="001447D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“Correo electrónico”</w:t>
      </w:r>
    </w:p>
    <w:p w:rsidR="00E02518" w:rsidRDefault="00E0251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p>
    <w:p w:rsidR="00E02518" w:rsidRDefault="001447D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Indique cómo desea recibir la información </w:t>
      </w:r>
    </w:p>
    <w:p w:rsidR="00E02518" w:rsidRDefault="001447D8">
      <w:pPr>
        <w:pBdr>
          <w:top w:val="nil"/>
          <w:left w:val="nil"/>
          <w:bottom w:val="nil"/>
          <w:right w:val="nil"/>
          <w:between w:val="nil"/>
        </w:pBdr>
        <w:tabs>
          <w:tab w:val="left" w:pos="567"/>
        </w:tabs>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“Copia Certificada”</w:t>
      </w:r>
    </w:p>
    <w:p w:rsidR="00E02518" w:rsidRDefault="00E02518">
      <w:pPr>
        <w:tabs>
          <w:tab w:val="left" w:pos="4667"/>
        </w:tabs>
        <w:spacing w:line="360" w:lineRule="auto"/>
        <w:jc w:val="both"/>
        <w:rPr>
          <w:rFonts w:ascii="Palatino Linotype" w:eastAsia="Palatino Linotype" w:hAnsi="Palatino Linotype" w:cs="Palatino Linotype"/>
          <w:b/>
          <w:color w:val="000000"/>
          <w:sz w:val="22"/>
          <w:szCs w:val="22"/>
        </w:rPr>
      </w:pPr>
    </w:p>
    <w:p w:rsidR="00E02518" w:rsidRDefault="001447D8">
      <w:pPr>
        <w:tabs>
          <w:tab w:val="left" w:pos="4667"/>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II. Prórroga para atender su solicitud de información</w:t>
      </w:r>
    </w:p>
    <w:p w:rsidR="00E02518" w:rsidRDefault="00E02518">
      <w:pPr>
        <w:tabs>
          <w:tab w:val="left" w:pos="4667"/>
        </w:tabs>
        <w:spacing w:line="360" w:lineRule="auto"/>
        <w:jc w:val="both"/>
        <w:rPr>
          <w:rFonts w:ascii="Palatino Linotype" w:eastAsia="Palatino Linotype" w:hAnsi="Palatino Linotype" w:cs="Palatino Linotype"/>
          <w:b/>
          <w:sz w:val="22"/>
          <w:szCs w:val="22"/>
        </w:rPr>
      </w:pPr>
    </w:p>
    <w:p w:rsidR="00E02518" w:rsidRDefault="001447D8">
      <w:pPr>
        <w:tabs>
          <w:tab w:val="left" w:pos="46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veintinueve de febrero de dos mil veinticuatro, el Sujeto Obligado, a través de SAIMEX informó al Particular que se aprobó la prórroga para dar respuesta a la solicitud de información; sin embargo, no añadió el Acuerdo del Comité de Transparencia</w:t>
      </w:r>
      <w:r>
        <w:rPr>
          <w:rFonts w:ascii="Palatino Linotype" w:eastAsia="Palatino Linotype" w:hAnsi="Palatino Linotype" w:cs="Palatino Linotype"/>
          <w:sz w:val="22"/>
          <w:szCs w:val="22"/>
        </w:rPr>
        <w:t xml:space="preserve"> mediante el cual se aprobó dicha prórroga, por lo que se </w:t>
      </w:r>
      <w:r>
        <w:rPr>
          <w:rFonts w:ascii="Palatino Linotype" w:eastAsia="Palatino Linotype" w:hAnsi="Palatino Linotype" w:cs="Palatino Linotype"/>
          <w:b/>
          <w:sz w:val="22"/>
          <w:szCs w:val="22"/>
          <w:u w:val="single"/>
        </w:rPr>
        <w:t xml:space="preserve">insta al Sujeto Obligado para que en futuras ocasiones remita el acuerdo mediante el cual se aprobó la prórroga. </w:t>
      </w:r>
      <w:r>
        <w:rPr>
          <w:rFonts w:ascii="Palatino Linotype" w:eastAsia="Palatino Linotype" w:hAnsi="Palatino Linotype" w:cs="Palatino Linotype"/>
          <w:sz w:val="22"/>
          <w:szCs w:val="22"/>
        </w:rPr>
        <w:t xml:space="preserve"> </w:t>
      </w:r>
    </w:p>
    <w:p w:rsidR="00E02518" w:rsidRDefault="00E02518">
      <w:pPr>
        <w:spacing w:line="360" w:lineRule="auto"/>
        <w:jc w:val="both"/>
        <w:rPr>
          <w:rFonts w:ascii="Palatino Linotype" w:eastAsia="Palatino Linotype" w:hAnsi="Palatino Linotype" w:cs="Palatino Linotype"/>
          <w:b/>
          <w:color w:val="000000"/>
          <w:sz w:val="22"/>
          <w:szCs w:val="22"/>
        </w:rPr>
      </w:pPr>
    </w:p>
    <w:p w:rsidR="00E02518" w:rsidRDefault="001447D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III. Respuesta del Sujeto Obligado</w:t>
      </w:r>
    </w:p>
    <w:p w:rsidR="00E02518" w:rsidRDefault="00E02518">
      <w:pPr>
        <w:spacing w:line="360" w:lineRule="auto"/>
        <w:jc w:val="both"/>
        <w:rPr>
          <w:rFonts w:ascii="Palatino Linotype" w:eastAsia="Palatino Linotype" w:hAnsi="Palatino Linotype" w:cs="Palatino Linotype"/>
          <w:b/>
          <w:color w:val="000000"/>
          <w:sz w:val="22"/>
          <w:szCs w:val="22"/>
        </w:rPr>
      </w:pPr>
    </w:p>
    <w:p w:rsidR="00E02518" w:rsidRDefault="001447D8">
      <w:pPr>
        <w:tabs>
          <w:tab w:val="left" w:pos="567"/>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fecha doce de marzo de dos mil veinticuatro, el Sujeto Obligado notificó la respuesta a la solicitud de acceso a la información, a través del SAIMEX, en los siguientes términos:</w:t>
      </w:r>
    </w:p>
    <w:p w:rsidR="00E02518" w:rsidRDefault="00E02518">
      <w:pPr>
        <w:tabs>
          <w:tab w:val="left" w:pos="567"/>
        </w:tabs>
        <w:spacing w:line="360" w:lineRule="auto"/>
        <w:jc w:val="both"/>
        <w:rPr>
          <w:rFonts w:ascii="Palatino Linotype" w:eastAsia="Palatino Linotype" w:hAnsi="Palatino Linotype" w:cs="Palatino Linotype"/>
          <w:sz w:val="22"/>
          <w:szCs w:val="22"/>
        </w:rPr>
      </w:pPr>
    </w:p>
    <w:p w:rsidR="00E02518" w:rsidRDefault="001447D8">
      <w:pPr>
        <w:numPr>
          <w:ilvl w:val="0"/>
          <w:numId w:val="11"/>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Oficios suscritos por el Titular de la Unidad de Transparencia, en el que</w:t>
      </w:r>
      <w:r>
        <w:rPr>
          <w:rFonts w:ascii="Palatino Linotype" w:eastAsia="Palatino Linotype" w:hAnsi="Palatino Linotype" w:cs="Palatino Linotype"/>
          <w:color w:val="000000"/>
          <w:sz w:val="22"/>
          <w:szCs w:val="22"/>
        </w:rPr>
        <w:t xml:space="preserve"> requirió al Director de Seguridad Pública y Tránsito, así como al Director de Desarrollo Urbano, del Sujeto Obligado la información para atender la solicitud.</w:t>
      </w:r>
    </w:p>
    <w:p w:rsidR="00E02518" w:rsidRDefault="001447D8">
      <w:pPr>
        <w:numPr>
          <w:ilvl w:val="0"/>
          <w:numId w:val="11"/>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Oficio suscrito por el Director de Seguridad Pública y Tránsito Municipal, en el que remitió al</w:t>
      </w:r>
      <w:r>
        <w:rPr>
          <w:rFonts w:ascii="Palatino Linotype" w:eastAsia="Palatino Linotype" w:hAnsi="Palatino Linotype" w:cs="Palatino Linotype"/>
          <w:color w:val="000000"/>
          <w:sz w:val="22"/>
          <w:szCs w:val="22"/>
        </w:rPr>
        <w:t xml:space="preserve"> Titular de la Unidad de Transparencia la respuesta del Titular del Centro de Mando.</w:t>
      </w:r>
    </w:p>
    <w:p w:rsidR="00E02518" w:rsidRDefault="001447D8">
      <w:pPr>
        <w:numPr>
          <w:ilvl w:val="0"/>
          <w:numId w:val="11"/>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Oficio suscrito por el </w:t>
      </w:r>
      <w:r>
        <w:rPr>
          <w:rFonts w:ascii="Palatino Linotype" w:eastAsia="Palatino Linotype" w:hAnsi="Palatino Linotype" w:cs="Palatino Linotype"/>
          <w:b/>
          <w:color w:val="000000"/>
          <w:sz w:val="22"/>
          <w:szCs w:val="22"/>
        </w:rPr>
        <w:t>Jefe de Departamento del Centro de Mando</w:t>
      </w:r>
      <w:r>
        <w:rPr>
          <w:rFonts w:ascii="Palatino Linotype" w:eastAsia="Palatino Linotype" w:hAnsi="Palatino Linotype" w:cs="Palatino Linotype"/>
          <w:color w:val="000000"/>
          <w:sz w:val="22"/>
          <w:szCs w:val="22"/>
        </w:rPr>
        <w:t xml:space="preserve"> del Sujeto Obligado, mediante el cual señaló una liga de internet en formato cerrado para acceder a la página oficial del Secretariado Ejecutivo del Sistema Nacional de Seguridad Pública, en la que se podría observar la incidencia delictiva.</w:t>
      </w:r>
    </w:p>
    <w:p w:rsidR="00E02518" w:rsidRDefault="001447D8">
      <w:pPr>
        <w:numPr>
          <w:ilvl w:val="0"/>
          <w:numId w:val="11"/>
        </w:numPr>
        <w:pBdr>
          <w:top w:val="nil"/>
          <w:left w:val="nil"/>
          <w:bottom w:val="nil"/>
          <w:right w:val="nil"/>
          <w:between w:val="nil"/>
        </w:pBdr>
        <w:tabs>
          <w:tab w:val="left" w:pos="567"/>
        </w:tabs>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Oficio Suscri</w:t>
      </w:r>
      <w:r>
        <w:rPr>
          <w:rFonts w:ascii="Palatino Linotype" w:eastAsia="Palatino Linotype" w:hAnsi="Palatino Linotype" w:cs="Palatino Linotype"/>
          <w:color w:val="000000"/>
          <w:sz w:val="22"/>
          <w:szCs w:val="22"/>
        </w:rPr>
        <w:t xml:space="preserve">to por el </w:t>
      </w:r>
      <w:r>
        <w:rPr>
          <w:rFonts w:ascii="Palatino Linotype" w:eastAsia="Palatino Linotype" w:hAnsi="Palatino Linotype" w:cs="Palatino Linotype"/>
          <w:b/>
          <w:color w:val="000000"/>
          <w:sz w:val="22"/>
          <w:szCs w:val="22"/>
        </w:rPr>
        <w:t>Director de Desarrollo Urbano</w:t>
      </w:r>
      <w:r>
        <w:rPr>
          <w:rFonts w:ascii="Palatino Linotype" w:eastAsia="Palatino Linotype" w:hAnsi="Palatino Linotype" w:cs="Palatino Linotype"/>
          <w:color w:val="000000"/>
          <w:sz w:val="22"/>
          <w:szCs w:val="22"/>
        </w:rPr>
        <w:t>; en el que señaló que respecto al punto 1, realizó una búsqueda exhaustiva y razonable en los archivos físicos y digitales que obran en su unidad administrativa y no identificó documentos que correspondan a una entre</w:t>
      </w:r>
      <w:r>
        <w:rPr>
          <w:rFonts w:ascii="Palatino Linotype" w:eastAsia="Palatino Linotype" w:hAnsi="Palatino Linotype" w:cs="Palatino Linotype"/>
          <w:color w:val="000000"/>
          <w:sz w:val="22"/>
          <w:szCs w:val="22"/>
        </w:rPr>
        <w:t>ga recepción legal del conjunto urbano “Ex Hacienda San Mateo” y que, respecto al punto 4; que no cuenta con facultades registrales por lo que no tiene en sus archivos la información solicitada, por lo que se recomienda ingresar la petición ante el Institu</w:t>
      </w:r>
      <w:r>
        <w:rPr>
          <w:rFonts w:ascii="Palatino Linotype" w:eastAsia="Palatino Linotype" w:hAnsi="Palatino Linotype" w:cs="Palatino Linotype"/>
          <w:color w:val="000000"/>
          <w:sz w:val="22"/>
          <w:szCs w:val="22"/>
        </w:rPr>
        <w:t>to de la Función Registral.</w:t>
      </w:r>
    </w:p>
    <w:p w:rsidR="00E02518" w:rsidRDefault="00E02518">
      <w:pPr>
        <w:tabs>
          <w:tab w:val="left" w:pos="567"/>
        </w:tabs>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IV. Interposición del Recurso de Revisión</w:t>
      </w:r>
    </w:p>
    <w:p w:rsidR="00E02518" w:rsidRDefault="00E02518">
      <w:pPr>
        <w:spacing w:line="360" w:lineRule="auto"/>
        <w:jc w:val="both"/>
        <w:rPr>
          <w:rFonts w:ascii="Palatino Linotype" w:eastAsia="Palatino Linotype" w:hAnsi="Palatino Linotype" w:cs="Palatino Linotype"/>
          <w:b/>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nueve de abril de dos mil veinticuatro, se recibió en este Instituto, a través del SAIMEX, el Recurso de Revisión interpuesto por el Particular, en los siguientes términos: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t>ACTO I</w:t>
      </w:r>
      <w:r>
        <w:rPr>
          <w:rFonts w:ascii="Palatino Linotype" w:eastAsia="Palatino Linotype" w:hAnsi="Palatino Linotype" w:cs="Palatino Linotype"/>
          <w:b/>
        </w:rPr>
        <w:t>MPUGNADO</w:t>
      </w:r>
      <w:r>
        <w:rPr>
          <w:rFonts w:ascii="Palatino Linotype" w:eastAsia="Palatino Linotype" w:hAnsi="Palatino Linotype" w:cs="Palatino Linotype"/>
          <w:b/>
        </w:rPr>
        <w:tab/>
      </w: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“Desde el 08 de febrero, remití una solicitud de información de lo siguiente, y hasta el momento no he recibido ninguna respuesta, me pueden apoyar para requerir al ayuntamiento de Cuautitlán, entregue la información. toda vez que la resultante e</w:t>
      </w:r>
      <w:r>
        <w:rPr>
          <w:rFonts w:ascii="Palatino Linotype" w:eastAsia="Palatino Linotype" w:hAnsi="Palatino Linotype" w:cs="Palatino Linotype"/>
          <w:i/>
        </w:rPr>
        <w:t>s necesaria para un proceso jurídico que demuestre que hay vicios ocultos en un fraccionamiento inmobiliario.” (sic.)</w:t>
      </w:r>
    </w:p>
    <w:p w:rsidR="00E02518" w:rsidRDefault="00E02518">
      <w:pPr>
        <w:spacing w:line="360" w:lineRule="auto"/>
        <w:ind w:left="567" w:right="537"/>
        <w:jc w:val="both"/>
        <w:rPr>
          <w:rFonts w:ascii="Palatino Linotype" w:eastAsia="Palatino Linotype" w:hAnsi="Palatino Linotype" w:cs="Palatino Linotype"/>
        </w:rPr>
      </w:pPr>
    </w:p>
    <w:p w:rsidR="00E02518" w:rsidRDefault="001447D8">
      <w:pPr>
        <w:spacing w:line="360" w:lineRule="auto"/>
        <w:ind w:left="567" w:right="537"/>
        <w:jc w:val="both"/>
        <w:rPr>
          <w:rFonts w:ascii="Palatino Linotype" w:eastAsia="Palatino Linotype" w:hAnsi="Palatino Linotype" w:cs="Palatino Linotype"/>
          <w:b/>
        </w:rPr>
      </w:pPr>
      <w:r>
        <w:rPr>
          <w:rFonts w:ascii="Palatino Linotype" w:eastAsia="Palatino Linotype" w:hAnsi="Palatino Linotype" w:cs="Palatino Linotype"/>
          <w:b/>
        </w:rPr>
        <w:t>RAZONES O MOTIVOS DE LA INCONFORMIDAD</w:t>
      </w:r>
      <w:r>
        <w:rPr>
          <w:rFonts w:ascii="Palatino Linotype" w:eastAsia="Palatino Linotype" w:hAnsi="Palatino Linotype" w:cs="Palatino Linotype"/>
          <w:b/>
        </w:rPr>
        <w:tab/>
      </w:r>
    </w:p>
    <w:p w:rsidR="00E02518" w:rsidRDefault="001447D8">
      <w:pPr>
        <w:tabs>
          <w:tab w:val="left" w:pos="4667"/>
        </w:tabs>
        <w:spacing w:line="360" w:lineRule="auto"/>
        <w:ind w:left="567" w:right="537"/>
        <w:jc w:val="both"/>
        <w:rPr>
          <w:rFonts w:ascii="Palatino Linotype" w:eastAsia="Palatino Linotype" w:hAnsi="Palatino Linotype" w:cs="Palatino Linotype"/>
        </w:rPr>
      </w:pPr>
      <w:r>
        <w:rPr>
          <w:rFonts w:ascii="Palatino Linotype" w:eastAsia="Palatino Linotype" w:hAnsi="Palatino Linotype" w:cs="Palatino Linotype"/>
        </w:rPr>
        <w:t>No señaló manifestaciones de informalidad</w:t>
      </w:r>
    </w:p>
    <w:p w:rsidR="00E02518" w:rsidRDefault="00E02518">
      <w:pPr>
        <w:tabs>
          <w:tab w:val="left" w:pos="4667"/>
        </w:tabs>
        <w:spacing w:line="360" w:lineRule="auto"/>
        <w:ind w:right="537"/>
        <w:jc w:val="both"/>
        <w:rPr>
          <w:rFonts w:ascii="Palatino Linotype" w:eastAsia="Palatino Linotype" w:hAnsi="Palatino Linotype" w:cs="Palatino Linotype"/>
          <w:sz w:val="22"/>
          <w:szCs w:val="22"/>
        </w:rPr>
      </w:pPr>
    </w:p>
    <w:p w:rsidR="00E02518" w:rsidRDefault="001447D8">
      <w:pPr>
        <w:tabs>
          <w:tab w:val="left" w:pos="4667"/>
        </w:tabs>
        <w:spacing w:line="360" w:lineRule="auto"/>
        <w:ind w:right="537"/>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El Particular adjuntó un archivo en un formato en el que no fue posible advertir su contenido. </w:t>
      </w:r>
    </w:p>
    <w:p w:rsidR="00E02518" w:rsidRDefault="00E02518">
      <w:pPr>
        <w:tabs>
          <w:tab w:val="left" w:pos="4667"/>
        </w:tabs>
        <w:spacing w:line="360" w:lineRule="auto"/>
        <w:ind w:right="537"/>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V. Trámite del Recurso de Revisión ante el Instituto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a) Turno del Medio de Impugnación. </w:t>
      </w:r>
      <w:r>
        <w:rPr>
          <w:rFonts w:ascii="Palatino Linotype" w:eastAsia="Palatino Linotype" w:hAnsi="Palatino Linotype" w:cs="Palatino Linotype"/>
          <w:color w:val="000000"/>
          <w:sz w:val="22"/>
          <w:szCs w:val="22"/>
        </w:rPr>
        <w:t>El nueve de abril de dos mil veinticuatro, el SAIMEX, asignó el número</w:t>
      </w:r>
      <w:r>
        <w:rPr>
          <w:rFonts w:ascii="Palatino Linotype" w:eastAsia="Palatino Linotype" w:hAnsi="Palatino Linotype" w:cs="Palatino Linotype"/>
          <w:color w:val="000000"/>
          <w:sz w:val="22"/>
          <w:szCs w:val="22"/>
        </w:rPr>
        <w:t xml:space="preserve"> de expediente </w:t>
      </w:r>
      <w:r>
        <w:rPr>
          <w:rFonts w:ascii="Palatino Linotype" w:eastAsia="Palatino Linotype" w:hAnsi="Palatino Linotype" w:cs="Palatino Linotype"/>
          <w:b/>
          <w:color w:val="000000"/>
          <w:sz w:val="22"/>
          <w:szCs w:val="22"/>
        </w:rPr>
        <w:t xml:space="preserve">01821/INFOEM/IP/RR/2024, </w:t>
      </w:r>
      <w:r>
        <w:rPr>
          <w:rFonts w:ascii="Palatino Linotype" w:eastAsia="Palatino Linotype" w:hAnsi="Palatino Linotype" w:cs="Palatino Linotype"/>
          <w:color w:val="000000"/>
          <w:sz w:val="22"/>
          <w:szCs w:val="22"/>
        </w:rPr>
        <w:t xml:space="preserve">al medio de impugnación que nos ocupan, con base en el sistema aprobado por el Pleno de este Órgano Garante y se turnó al Comisionado Ponente Luis Gustavo Parra Noriega, para los efectos del artículo 185, fracción I </w:t>
      </w:r>
      <w:r>
        <w:rPr>
          <w:rFonts w:ascii="Palatino Linotype" w:eastAsia="Palatino Linotype" w:hAnsi="Palatino Linotype" w:cs="Palatino Linotype"/>
          <w:color w:val="000000"/>
          <w:sz w:val="22"/>
          <w:szCs w:val="22"/>
        </w:rPr>
        <w:t>de la Ley de Transparencia y Acceso a la Información Pública del Estado de México y Municipios.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b) Admisión del Recurso de Revisión. </w:t>
      </w:r>
      <w:r>
        <w:rPr>
          <w:rFonts w:ascii="Palatino Linotype" w:eastAsia="Palatino Linotype" w:hAnsi="Palatino Linotype" w:cs="Palatino Linotype"/>
          <w:color w:val="000000"/>
          <w:sz w:val="22"/>
          <w:szCs w:val="22"/>
        </w:rPr>
        <w:t>El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doce de abril de dos mil veinticuatro, se acordó la admisión del Recurso de Revisión interpuestos por la persona Recurr</w:t>
      </w:r>
      <w:r>
        <w:rPr>
          <w:rFonts w:ascii="Palatino Linotype" w:eastAsia="Palatino Linotype" w:hAnsi="Palatino Linotype" w:cs="Palatino Linotype"/>
          <w:color w:val="000000"/>
          <w:sz w:val="22"/>
          <w:szCs w:val="22"/>
        </w:rPr>
        <w:t xml:space="preserve">ente en contra del Sujeto Obligado, en términos del artículo 185, fracciones I y II de la Ley de Transparencia y Acceso a la Información Pública del Estado de México y Municipios, el cual </w:t>
      </w:r>
      <w:r>
        <w:rPr>
          <w:rFonts w:ascii="Palatino Linotype" w:eastAsia="Palatino Linotype" w:hAnsi="Palatino Linotype" w:cs="Palatino Linotype"/>
          <w:b/>
          <w:color w:val="000000"/>
          <w:sz w:val="22"/>
          <w:szCs w:val="22"/>
        </w:rPr>
        <w:t>fue notificada a las partes en el quince de abril del mismo año</w:t>
      </w:r>
      <w:r>
        <w:rPr>
          <w:rFonts w:ascii="Palatino Linotype" w:eastAsia="Palatino Linotype" w:hAnsi="Palatino Linotype" w:cs="Palatino Linotype"/>
          <w:color w:val="000000"/>
          <w:sz w:val="22"/>
          <w:szCs w:val="22"/>
        </w:rPr>
        <w:t>, a t</w:t>
      </w:r>
      <w:r>
        <w:rPr>
          <w:rFonts w:ascii="Palatino Linotype" w:eastAsia="Palatino Linotype" w:hAnsi="Palatino Linotype" w:cs="Palatino Linotype"/>
          <w:color w:val="000000"/>
          <w:sz w:val="22"/>
          <w:szCs w:val="22"/>
        </w:rPr>
        <w:t>ravés del SAIMEX, en el que se les otorgó un plazo de siete días hábiles posteriores a la misma, para que manifestaran lo que a su derecho conviniera y formularan alegatos.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c) Informe Justificado y Manifestaciones de la parte Recurrente. </w:t>
      </w:r>
      <w:r>
        <w:rPr>
          <w:rFonts w:ascii="Palatino Linotype" w:eastAsia="Palatino Linotype" w:hAnsi="Palatino Linotype" w:cs="Palatino Linotype"/>
          <w:sz w:val="22"/>
          <w:szCs w:val="22"/>
        </w:rPr>
        <w:t>De las constancia</w:t>
      </w:r>
      <w:r>
        <w:rPr>
          <w:rFonts w:ascii="Palatino Linotype" w:eastAsia="Palatino Linotype" w:hAnsi="Palatino Linotype" w:cs="Palatino Linotype"/>
          <w:sz w:val="22"/>
          <w:szCs w:val="22"/>
        </w:rPr>
        <w:t>s del SAIMEX, se advierte que el Sujeto Obligado fue omiso en rendir informe justificado y la persona Recurrente omitió realizar manifestaciones que a su derecho asistiera.</w:t>
      </w:r>
    </w:p>
    <w:p w:rsidR="00E02518" w:rsidRDefault="00E02518">
      <w:pPr>
        <w:spacing w:line="360" w:lineRule="auto"/>
        <w:jc w:val="both"/>
        <w:rPr>
          <w:rFonts w:ascii="Palatino Linotype" w:eastAsia="Palatino Linotype" w:hAnsi="Palatino Linotype" w:cs="Palatino Linotype"/>
          <w:b/>
          <w:color w:val="000000"/>
          <w:sz w:val="22"/>
          <w:szCs w:val="22"/>
        </w:rPr>
      </w:pPr>
    </w:p>
    <w:p w:rsidR="00E02518" w:rsidRDefault="001447D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 Ampliación de plazo </w:t>
      </w:r>
      <w:r>
        <w:rPr>
          <w:rFonts w:ascii="Palatino Linotype" w:eastAsia="Palatino Linotype" w:hAnsi="Palatino Linotype" w:cs="Palatino Linotype"/>
          <w:b/>
          <w:color w:val="000000"/>
          <w:sz w:val="22"/>
          <w:szCs w:val="22"/>
        </w:rPr>
        <w:t xml:space="preserve">para resolver. </w:t>
      </w:r>
      <w:r>
        <w:rPr>
          <w:rFonts w:ascii="Palatino Linotype" w:eastAsia="Palatino Linotype" w:hAnsi="Palatino Linotype" w:cs="Palatino Linotype"/>
          <w:color w:val="000000"/>
          <w:sz w:val="22"/>
          <w:szCs w:val="22"/>
        </w:rPr>
        <w:t xml:space="preserve">El treinta de mayo de dos mil veinticuatro, el Comisionado Ponente, con fundamento en lo dispuesto por el artículo 181, párrafo tercero, de </w:t>
      </w:r>
      <w:r>
        <w:rPr>
          <w:rFonts w:ascii="Palatino Linotype" w:eastAsia="Palatino Linotype" w:hAnsi="Palatino Linotype" w:cs="Palatino Linotype"/>
          <w:color w:val="000000"/>
          <w:sz w:val="22"/>
          <w:szCs w:val="22"/>
        </w:rPr>
        <w:lastRenderedPageBreak/>
        <w:t>la Ley de Transparencia y Acceso a la Información Pública del Estado de México y Municipios, acordó ampliar por un p</w:t>
      </w:r>
      <w:r>
        <w:rPr>
          <w:rFonts w:ascii="Palatino Linotype" w:eastAsia="Palatino Linotype" w:hAnsi="Palatino Linotype" w:cs="Palatino Linotype"/>
          <w:color w:val="000000"/>
          <w:sz w:val="22"/>
          <w:szCs w:val="22"/>
        </w:rPr>
        <w:t>eriodo de quince días hábiles, el plazo para resolver el Recurso de Revisión que nos ocupa; acto que fue notificado a las partes el treinta y uno de mayo del mismo año, mediante el SAIMEX.</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organismo garante no pasa por alto justificar, que el plazo p</w:t>
      </w:r>
      <w:r>
        <w:rPr>
          <w:rFonts w:ascii="Palatino Linotype" w:eastAsia="Palatino Linotype" w:hAnsi="Palatino Linotype" w:cs="Palatino Linotype"/>
          <w:color w:val="000000"/>
          <w:sz w:val="22"/>
          <w:szCs w:val="22"/>
        </w:rPr>
        <w:t xml:space="preserve">ara emitir resolución en el presente asunto encuentra justificación en el alto número de recursos de revisión recibidos, circunstancia atípica que ha rebasado las capacidades técnicas y humanas del personal encargado de la proyección de las resoluciones a </w:t>
      </w:r>
      <w:r>
        <w:rPr>
          <w:rFonts w:ascii="Palatino Linotype" w:eastAsia="Palatino Linotype" w:hAnsi="Palatino Linotype" w:cs="Palatino Linotype"/>
          <w:color w:val="000000"/>
          <w:sz w:val="22"/>
          <w:szCs w:val="22"/>
        </w:rPr>
        <w:t>dichos medios de impugnación.</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ello, es menester precisar que, si bien se ha excedido el plazo para resolver el presente medio de impugnación, de conformidad con la ley de la materia, el plazo para emitir resolución se encuentra justificado en los elem</w:t>
      </w:r>
      <w:r>
        <w:rPr>
          <w:rFonts w:ascii="Palatino Linotype" w:eastAsia="Palatino Linotype" w:hAnsi="Palatino Linotype" w:cs="Palatino Linotype"/>
          <w:color w:val="000000"/>
          <w:sz w:val="22"/>
          <w:szCs w:val="22"/>
        </w:rPr>
        <w:t>entos para medir su razonabilidad de asuntos conforme a los parámetros establecidos por diversos órganos jurisdiccionales federales, aplicables también en procedimientos análogos, como el que nos ocupa.</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Así, en términos de lo que establecen los artículos </w:t>
      </w:r>
      <w:r>
        <w:rPr>
          <w:rFonts w:ascii="Palatino Linotype" w:eastAsia="Palatino Linotype" w:hAnsi="Palatino Linotype" w:cs="Palatino Linotype"/>
          <w:color w:val="000000"/>
          <w:sz w:val="22"/>
          <w:szCs w:val="22"/>
        </w:rPr>
        <w:t>8.1 y 25 de la Convención Americana sobre Derechos Humanos, los recursos deben ser sencillos y resolverse en el menor tiempo posible, tomando en consideración la dilación total del procedimiento; esto es, en un plazo razonable.</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ese sentido, el legislad</w:t>
      </w:r>
      <w:r>
        <w:rPr>
          <w:rFonts w:ascii="Palatino Linotype" w:eastAsia="Palatino Linotype" w:hAnsi="Palatino Linotype" w:cs="Palatino Linotype"/>
          <w:color w:val="000000"/>
          <w:sz w:val="22"/>
          <w:szCs w:val="22"/>
        </w:rPr>
        <w:t>or fijó los términos procesales en las leyes, de manera general, sin que pudiera prever la variada gama de casos que son resueltos por los órganos jurisdiccionales o cuasi jurisdiccionales, tanto por la complejidad de los hechos, como por el número de caso</w:t>
      </w:r>
      <w:r>
        <w:rPr>
          <w:rFonts w:ascii="Palatino Linotype" w:eastAsia="Palatino Linotype" w:hAnsi="Palatino Linotype" w:cs="Palatino Linotype"/>
          <w:color w:val="000000"/>
          <w:sz w:val="22"/>
          <w:szCs w:val="22"/>
        </w:rPr>
        <w:t>s que conocen.</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Por ello, excepcionalmente, si un asunto es resuelto con posterioridad a los plazos señalados por la norma debe analizarse la razonabilidad del tiempo necesario para su resolución, atentos a los siguientes criterios: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Complejidad del 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Actividad Procesal del interesado:</w:t>
      </w:r>
      <w:r>
        <w:rPr>
          <w:rFonts w:ascii="Palatino Linotype" w:eastAsia="Palatino Linotype" w:hAnsi="Palatino Linotype" w:cs="Palatino Linotype"/>
          <w:color w:val="000000"/>
          <w:sz w:val="22"/>
          <w:szCs w:val="22"/>
        </w:rPr>
        <w:t xml:space="preserve"> Acciones u omisiones del interesado.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Conducta de la Autoridad</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Las Acciones u omisiones realizadas en el procedimiento. Así como si la autoridad actuó con la debida diligencia.</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numPr>
          <w:ilvl w:val="0"/>
          <w:numId w:val="9"/>
        </w:num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La afectación generada en la situación jurídica de la persona involucrada en el proceso: </w:t>
      </w:r>
      <w:r>
        <w:rPr>
          <w:rFonts w:ascii="Palatino Linotype" w:eastAsia="Palatino Linotype" w:hAnsi="Palatino Linotype" w:cs="Palatino Linotype"/>
          <w:color w:val="000000"/>
          <w:sz w:val="22"/>
          <w:szCs w:val="22"/>
        </w:rPr>
        <w:t>Violación a sus derechos humanos.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 modo que, cu</w:t>
      </w:r>
      <w:r>
        <w:rPr>
          <w:rFonts w:ascii="Palatino Linotype" w:eastAsia="Palatino Linotype" w:hAnsi="Palatino Linotype" w:cs="Palatino Linotype"/>
          <w:color w:val="000000"/>
          <w:sz w:val="22"/>
          <w:szCs w:val="22"/>
        </w:rPr>
        <w:t>ando se trate de un asunto excepcional, por alguna o todas las características mencionadas o bien, cuando el ingreso de asuntos al órgano jurisdiccional o cuasi jurisdiccional respectivo supere notoriamente al que podría considerarse normal, debe concluirs</w:t>
      </w:r>
      <w:r>
        <w:rPr>
          <w:rFonts w:ascii="Palatino Linotype" w:eastAsia="Palatino Linotype" w:hAnsi="Palatino Linotype" w:cs="Palatino Linotype"/>
          <w:color w:val="000000"/>
          <w:sz w:val="22"/>
          <w:szCs w:val="22"/>
        </w:rPr>
        <w:t>e que es una excluyente de responsabilidad en relación con la actuación del funcionario, como ha acontecido en el caso que nos ocupa.</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Argumento que encuentra sustento en la jurisprudencia P./J. 32/92 emitida por el Pleno de la Suprema Corte de Justicia de</w:t>
      </w:r>
      <w:r>
        <w:rPr>
          <w:rFonts w:ascii="Palatino Linotype" w:eastAsia="Palatino Linotype" w:hAnsi="Palatino Linotype" w:cs="Palatino Linotype"/>
          <w:color w:val="000000"/>
          <w:sz w:val="22"/>
          <w:szCs w:val="22"/>
        </w:rPr>
        <w:t xml:space="preserve"> la Nación de rubro “</w:t>
      </w:r>
      <w:r>
        <w:rPr>
          <w:rFonts w:ascii="Palatino Linotype" w:eastAsia="Palatino Linotype" w:hAnsi="Palatino Linotype" w:cs="Palatino Linotype"/>
          <w:b/>
          <w:color w:val="000000"/>
          <w:sz w:val="22"/>
          <w:szCs w:val="22"/>
        </w:rPr>
        <w:t xml:space="preserve">TÉRMINOS PROCESALES. PARA DETERMINAR SI UN FUNCIONARIO JUDICIAL ACTUÓ INDEBIDAMENTE POR NO RESPETARLOS SE DEBE ATENDER AL PRESUPUESTO QUE CONSIDERÓ EL </w:t>
      </w:r>
      <w:r>
        <w:rPr>
          <w:rFonts w:ascii="Palatino Linotype" w:eastAsia="Palatino Linotype" w:hAnsi="Palatino Linotype" w:cs="Palatino Linotype"/>
          <w:b/>
          <w:color w:val="000000"/>
          <w:sz w:val="22"/>
          <w:szCs w:val="22"/>
        </w:rPr>
        <w:lastRenderedPageBreak/>
        <w:t>LEGISLADOR AL FIJARLOS Y LAS CARACTERÍSTICAS DEL CASO</w:t>
      </w:r>
      <w:r>
        <w:rPr>
          <w:rFonts w:ascii="Palatino Linotype" w:eastAsia="Palatino Linotype" w:hAnsi="Palatino Linotype" w:cs="Palatino Linotype"/>
          <w:color w:val="000000"/>
          <w:sz w:val="22"/>
          <w:szCs w:val="22"/>
        </w:rPr>
        <w:t>.”, visible en la Gaceta del Se</w:t>
      </w:r>
      <w:r>
        <w:rPr>
          <w:rFonts w:ascii="Palatino Linotype" w:eastAsia="Palatino Linotype" w:hAnsi="Palatino Linotype" w:cs="Palatino Linotype"/>
          <w:color w:val="000000"/>
          <w:sz w:val="22"/>
          <w:szCs w:val="22"/>
        </w:rPr>
        <w:t>minario Judicial de la Federación con el registro digital 205635.</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w:t>
      </w:r>
      <w:r>
        <w:rPr>
          <w:rFonts w:ascii="Palatino Linotype" w:eastAsia="Palatino Linotype" w:hAnsi="Palatino Linotype" w:cs="Palatino Linotype"/>
          <w:color w:val="000000"/>
          <w:sz w:val="22"/>
          <w:szCs w:val="22"/>
        </w:rPr>
        <w:t>ad de los recursos materiales y humanos con que cuenta este Instituto para atender la enorme demanda de usuarios que acuden para que se les garantice su Derecho de acceso a la información Pública y Protección de Datos Personales, aunado a la complejidad de</w:t>
      </w:r>
      <w:r>
        <w:rPr>
          <w:rFonts w:ascii="Palatino Linotype" w:eastAsia="Palatino Linotype" w:hAnsi="Palatino Linotype" w:cs="Palatino Linotype"/>
          <w:color w:val="000000"/>
          <w:sz w:val="22"/>
          <w:szCs w:val="22"/>
        </w:rPr>
        <w:t xml:space="preserve"> los hechos a los que se refieren, así como al volumen del expediente, la extensión de los escritos y pruebas aportadas y desahogadas por las partes; lo que impide la tramitación de los recursos dentro de los términos legales previamente establecidos por l</w:t>
      </w:r>
      <w:r>
        <w:rPr>
          <w:rFonts w:ascii="Palatino Linotype" w:eastAsia="Palatino Linotype" w:hAnsi="Palatino Linotype" w:cs="Palatino Linotype"/>
          <w:color w:val="000000"/>
          <w:sz w:val="22"/>
          <w:szCs w:val="22"/>
        </w:rPr>
        <w:t>a Ley, por tratarse de causas de fuerza mayor.</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PL</w:t>
      </w:r>
      <w:r>
        <w:rPr>
          <w:rFonts w:ascii="Palatino Linotype" w:eastAsia="Palatino Linotype" w:hAnsi="Palatino Linotype" w:cs="Palatino Linotype"/>
          <w:b/>
          <w:color w:val="000000"/>
          <w:sz w:val="22"/>
          <w:szCs w:val="22"/>
        </w:rPr>
        <w:t>AZO RAZONABLE PARA RESOLVER. DIMENSIÓN Y EFECTOS DE ESTE CONCEPTO CUANDO SE ADUCE EXCESIVA CARGA DE TRABAJO</w:t>
      </w:r>
      <w:r>
        <w:rPr>
          <w:rFonts w:ascii="Palatino Linotype" w:eastAsia="Palatino Linotype" w:hAnsi="Palatino Linotype" w:cs="Palatino Linotype"/>
          <w:color w:val="000000"/>
          <w:sz w:val="22"/>
          <w:szCs w:val="22"/>
        </w:rPr>
        <w:t>.” consultable en el Seminario Judicial de la Federación y su gaceta, con el registro digital 2002351.</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w:t>
      </w:r>
      <w:r>
        <w:rPr>
          <w:rFonts w:ascii="Palatino Linotype" w:eastAsia="Palatino Linotype" w:hAnsi="Palatino Linotype" w:cs="Palatino Linotype"/>
          <w:b/>
          <w:color w:val="000000"/>
          <w:sz w:val="22"/>
          <w:szCs w:val="22"/>
        </w:rPr>
        <w:t>PLAZO RAZONABLE PARA RESOLVER. CONCEPTO Y EL</w:t>
      </w:r>
      <w:r>
        <w:rPr>
          <w:rFonts w:ascii="Palatino Linotype" w:eastAsia="Palatino Linotype" w:hAnsi="Palatino Linotype" w:cs="Palatino Linotype"/>
          <w:b/>
          <w:color w:val="000000"/>
          <w:sz w:val="22"/>
          <w:szCs w:val="22"/>
        </w:rPr>
        <w:t>EMENTOS QUE LO INTEGRAN A LA LUZ DEL DERECHO INTERNACIONAL DE LOS DERECHOS HUMANOS</w:t>
      </w:r>
      <w:r>
        <w:rPr>
          <w:rFonts w:ascii="Palatino Linotype" w:eastAsia="Palatino Linotype" w:hAnsi="Palatino Linotype" w:cs="Palatino Linotype"/>
          <w:color w:val="000000"/>
          <w:sz w:val="22"/>
          <w:szCs w:val="22"/>
        </w:rPr>
        <w:t>.”, visible en el Seminario Judicial de la Federación y su gaceta, con el registro digital 2002350.</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Por ello, este organismo garante comprometido con la tutela de los derech</w:t>
      </w:r>
      <w:r>
        <w:rPr>
          <w:rFonts w:ascii="Palatino Linotype" w:eastAsia="Palatino Linotype" w:hAnsi="Palatino Linotype" w:cs="Palatino Linotype"/>
          <w:color w:val="000000"/>
          <w:sz w:val="22"/>
          <w:szCs w:val="22"/>
        </w:rPr>
        <w:t>os humanos confiados señala que este exceso del plazo legal para resolver el presente asunto, resulta de carácter excepcional.</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e) Cierre de instrucción. </w:t>
      </w:r>
      <w:r>
        <w:rPr>
          <w:rFonts w:ascii="Palatino Linotype" w:eastAsia="Palatino Linotype" w:hAnsi="Palatino Linotype" w:cs="Palatino Linotype"/>
          <w:sz w:val="22"/>
          <w:szCs w:val="22"/>
        </w:rPr>
        <w:t>El diez de octubre de dos mil veinticuatro, al no existir diligencias pendientes por desahogar, se emi</w:t>
      </w:r>
      <w:r>
        <w:rPr>
          <w:rFonts w:ascii="Palatino Linotype" w:eastAsia="Palatino Linotype" w:hAnsi="Palatino Linotype" w:cs="Palatino Linotype"/>
          <w:sz w:val="22"/>
          <w:szCs w:val="22"/>
        </w:rPr>
        <w:t>tió el acuerdo por medio del cual se declaró cerrada la instrucción y, se pasó el expediente a resolución, en términos de lo dispuesto en los artículos 185, fracciones VI y VIII, de la Ley de Transparencia y Acceso a la Información Pública del Estado de Mé</w:t>
      </w:r>
      <w:r>
        <w:rPr>
          <w:rFonts w:ascii="Palatino Linotype" w:eastAsia="Palatino Linotype" w:hAnsi="Palatino Linotype" w:cs="Palatino Linotype"/>
          <w:sz w:val="22"/>
          <w:szCs w:val="22"/>
        </w:rPr>
        <w:t xml:space="preserve">xico y Municipios; acto que fue notificado a las partes el mismo día, a través del SAIMEX. </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razón de que fue debidamente sustanciado el expediente electrónico y no existe diligencia pendiente de desahogo, se emite la Resolución que conforme a derecho p</w:t>
      </w:r>
      <w:r>
        <w:rPr>
          <w:rFonts w:ascii="Palatino Linotype" w:eastAsia="Palatino Linotype" w:hAnsi="Palatino Linotype" w:cs="Palatino Linotype"/>
          <w:color w:val="000000"/>
          <w:sz w:val="22"/>
          <w:szCs w:val="22"/>
        </w:rPr>
        <w:t xml:space="preserve">roceda, de acuerdo con los siguientes: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 O N S I D E R A N D O S</w:t>
      </w:r>
    </w:p>
    <w:p w:rsidR="00E02518" w:rsidRDefault="00E02518">
      <w:pPr>
        <w:spacing w:line="360" w:lineRule="auto"/>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color w:val="000000"/>
          <w:sz w:val="22"/>
          <w:szCs w:val="22"/>
        </w:rPr>
        <w:t>PRIMERO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Competencia</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El Instituto de Transparencia, Acceso a la Información Pública y Protección de Datos Personales del Estado de México y Municipios, es competente para conocer y resolver el presente recurso de revisión interpuesto por la parte recurrente, conforme a lo disp</w:t>
      </w:r>
      <w:r>
        <w:rPr>
          <w:rFonts w:ascii="Palatino Linotype" w:eastAsia="Palatino Linotype" w:hAnsi="Palatino Linotype" w:cs="Palatino Linotype"/>
          <w:color w:val="000000"/>
          <w:sz w:val="22"/>
          <w:szCs w:val="22"/>
        </w:rPr>
        <w:t xml:space="preserve">uesto en los artículos 6°, apartado A, de la Constitución Política de los Estados Unidos Mexicanos; 5°, párrafos trigésimo segundo, trigésimo tercero y trigésimo cuarto, fracciones I, II, III, IV y V de la Constitución Política del Estado Libre y Soberano </w:t>
      </w:r>
      <w:r>
        <w:rPr>
          <w:rFonts w:ascii="Palatino Linotype" w:eastAsia="Palatino Linotype" w:hAnsi="Palatino Linotype" w:cs="Palatino Linotype"/>
          <w:color w:val="000000"/>
          <w:sz w:val="22"/>
          <w:szCs w:val="22"/>
        </w:rPr>
        <w:t xml:space="preserve">de México; 1°, 8°, 9°, 10, 56 y 42, fracciones I, II y III, de la Ley General de Transparencia y Acceso a la Información Pública; 1°, 2°, </w:t>
      </w:r>
      <w:r>
        <w:rPr>
          <w:rFonts w:ascii="Palatino Linotype" w:eastAsia="Palatino Linotype" w:hAnsi="Palatino Linotype" w:cs="Palatino Linotype"/>
          <w:color w:val="000000"/>
          <w:sz w:val="22"/>
          <w:szCs w:val="22"/>
        </w:rPr>
        <w:lastRenderedPageBreak/>
        <w:t>fracciones II y IV; 13, 29, 36, fracciones I y II; 176, 178, 179, 181 párrafo tercero, 185, 188 y 189 de la Ley Transp</w:t>
      </w:r>
      <w:r>
        <w:rPr>
          <w:rFonts w:ascii="Palatino Linotype" w:eastAsia="Palatino Linotype" w:hAnsi="Palatino Linotype" w:cs="Palatino Linotype"/>
          <w:color w:val="000000"/>
          <w:sz w:val="22"/>
          <w:szCs w:val="22"/>
        </w:rPr>
        <w:t>arencia y Acceso a la Información Pública del Estado de México y Municipios; 7°, 9°, fracciones I y XXIII y 11 del Reglamento Interior del Instituto de Transparencia, Acceso a la Información Pública y Protección de Datos Personales del Estado de México y M</w:t>
      </w:r>
      <w:r>
        <w:rPr>
          <w:rFonts w:ascii="Palatino Linotype" w:eastAsia="Palatino Linotype" w:hAnsi="Palatino Linotype" w:cs="Palatino Linotype"/>
          <w:color w:val="000000"/>
          <w:sz w:val="22"/>
          <w:szCs w:val="22"/>
        </w:rPr>
        <w:t>unicipios.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SEGUNDO</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color w:val="000000"/>
          <w:sz w:val="22"/>
          <w:szCs w:val="22"/>
        </w:rPr>
        <w:t>Causales de improcedencia y sobreseimiento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las constancias que forma parte del Recurso de Revisión que se analiza, se advierte que previo al estudio del fondo de la </w:t>
      </w:r>
      <w:r>
        <w:rPr>
          <w:rFonts w:ascii="Palatino Linotype" w:eastAsia="Palatino Linotype" w:hAnsi="Palatino Linotype" w:cs="Palatino Linotype"/>
          <w:i/>
          <w:color w:val="000000"/>
          <w:sz w:val="22"/>
          <w:szCs w:val="22"/>
        </w:rPr>
        <w:t>litis</w:t>
      </w:r>
      <w:r>
        <w:rPr>
          <w:rFonts w:ascii="Palatino Linotype" w:eastAsia="Palatino Linotype" w:hAnsi="Palatino Linotype" w:cs="Palatino Linotype"/>
          <w:color w:val="000000"/>
          <w:sz w:val="22"/>
          <w:szCs w:val="22"/>
        </w:rPr>
        <w:t>, es necesario estudiar las causales de improcedencia y sobre</w:t>
      </w:r>
      <w:r>
        <w:rPr>
          <w:rFonts w:ascii="Palatino Linotype" w:eastAsia="Palatino Linotype" w:hAnsi="Palatino Linotype" w:cs="Palatino Linotype"/>
          <w:color w:val="000000"/>
          <w:sz w:val="22"/>
          <w:szCs w:val="22"/>
        </w:rPr>
        <w:t>seimiento que se adviertan, para determinar lo que en Derecho proceda.</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Causales de improcedencia</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Este Instituto realiza el estudio oficioso de las causales de improcedencia, por tratarse de una cuestión de orden público y de estudio preferente (acorde co</w:t>
      </w:r>
      <w:r>
        <w:rPr>
          <w:rFonts w:ascii="Palatino Linotype" w:eastAsia="Palatino Linotype" w:hAnsi="Palatino Linotype" w:cs="Palatino Linotype"/>
          <w:color w:val="000000"/>
          <w:sz w:val="22"/>
          <w:szCs w:val="22"/>
        </w:rPr>
        <w:t>n el Criterio orientador en la Tesis de Jurisprudencia “IMPROCEDENCIA.” (Semanario Judicial de la Federación, Quinta Época, 1985, pág. 262), el cual establece que debe examinarse previamente la procedencia del juicio de amparo, sea que las partes lo solici</w:t>
      </w:r>
      <w:r>
        <w:rPr>
          <w:rFonts w:ascii="Palatino Linotype" w:eastAsia="Palatino Linotype" w:hAnsi="Palatino Linotype" w:cs="Palatino Linotype"/>
          <w:color w:val="000000"/>
          <w:sz w:val="22"/>
          <w:szCs w:val="22"/>
        </w:rPr>
        <w:t>ten o no, por ser una cuestión de orden público; de tal suerte, deberá ser desechado cualquier Recurso de Revisión que actualice alguno de los supuestos establecidos en el artículo 191 de la Ley de Transparencia y Acceso a la Información Pública del Estado</w:t>
      </w:r>
      <w:r>
        <w:rPr>
          <w:rFonts w:ascii="Palatino Linotype" w:eastAsia="Palatino Linotype" w:hAnsi="Palatino Linotype" w:cs="Palatino Linotype"/>
          <w:color w:val="000000"/>
          <w:sz w:val="22"/>
          <w:szCs w:val="22"/>
        </w:rPr>
        <w:t xml:space="preserve"> de México y Municipios, por ser improcedente.</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el presente caso, </w:t>
      </w:r>
      <w:r>
        <w:rPr>
          <w:rFonts w:ascii="Palatino Linotype" w:eastAsia="Palatino Linotype" w:hAnsi="Palatino Linotype" w:cs="Palatino Linotype"/>
          <w:b/>
          <w:color w:val="000000"/>
          <w:sz w:val="22"/>
          <w:szCs w:val="22"/>
        </w:rPr>
        <w:t>no se actualiza ninguna de las causales de improcedencia</w:t>
      </w:r>
      <w:r>
        <w:rPr>
          <w:rFonts w:ascii="Palatino Linotype" w:eastAsia="Palatino Linotype" w:hAnsi="Palatino Linotype" w:cs="Palatino Linotype"/>
          <w:color w:val="000000"/>
          <w:sz w:val="22"/>
          <w:szCs w:val="22"/>
        </w:rPr>
        <w:t> establecidas en el ordenamiento jurídico previamente señalado, toda vez que: este Instituto no tiene conocimiento de que se encuen</w:t>
      </w:r>
      <w:r>
        <w:rPr>
          <w:rFonts w:ascii="Palatino Linotype" w:eastAsia="Palatino Linotype" w:hAnsi="Palatino Linotype" w:cs="Palatino Linotype"/>
          <w:color w:val="000000"/>
          <w:sz w:val="22"/>
          <w:szCs w:val="22"/>
        </w:rPr>
        <w:t xml:space="preserve">tre en trámite algún medio de defensa presentado por la </w:t>
      </w:r>
      <w:r>
        <w:rPr>
          <w:rFonts w:ascii="Palatino Linotype" w:eastAsia="Palatino Linotype" w:hAnsi="Palatino Linotype" w:cs="Palatino Linotype"/>
          <w:color w:val="000000"/>
          <w:sz w:val="22"/>
          <w:szCs w:val="22"/>
        </w:rPr>
        <w:lastRenderedPageBreak/>
        <w:t xml:space="preserve">persona Recurrente ante otra instancia; no existió prevención alguna; la veracidad de la respuesta no formó parte del agravio; ni se realizó una consulta o ampliación a los alcances del requerimiento </w:t>
      </w:r>
      <w:r>
        <w:rPr>
          <w:rFonts w:ascii="Palatino Linotype" w:eastAsia="Palatino Linotype" w:hAnsi="Palatino Linotype" w:cs="Palatino Linotype"/>
          <w:color w:val="000000"/>
          <w:sz w:val="22"/>
          <w:szCs w:val="22"/>
        </w:rPr>
        <w:t>informativo.</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Causales de sobreseimiento</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ser de previo y especial pronunciamiento, este Instituto analiza si se actualiza alguna causal de sobreseimiento.</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Sobre el tema, e</w:t>
      </w:r>
      <w:r>
        <w:rPr>
          <w:rFonts w:ascii="Palatino Linotype" w:eastAsia="Palatino Linotype" w:hAnsi="Palatino Linotype" w:cs="Palatino Linotype"/>
          <w:sz w:val="22"/>
          <w:szCs w:val="22"/>
        </w:rPr>
        <w:t>l artículo 192 de la Ley Transparencia y Acceso a la Información Pública del Estado de México y Municipios, señala las causales por las cuales se puede sobreseer en todo o en parte, el Recurso de Revisión; así, del análisis realizado por este Instituto, se</w:t>
      </w:r>
      <w:r>
        <w:rPr>
          <w:rFonts w:ascii="Palatino Linotype" w:eastAsia="Palatino Linotype" w:hAnsi="Palatino Linotype" w:cs="Palatino Linotype"/>
          <w:sz w:val="22"/>
          <w:szCs w:val="22"/>
        </w:rPr>
        <w:t xml:space="preserve"> advierte que no se actualiza algún supuesto de sobreseimiento; lo anterior, en virtud de que no hay constancias en el expediente en que se actúa, de que la Recurrente se haya desistido del recurso, haya fallecido, sobreviniera alguna causal de improcedenc</w:t>
      </w:r>
      <w:r>
        <w:rPr>
          <w:rFonts w:ascii="Palatino Linotype" w:eastAsia="Palatino Linotype" w:hAnsi="Palatino Linotype" w:cs="Palatino Linotype"/>
          <w:sz w:val="22"/>
          <w:szCs w:val="22"/>
        </w:rPr>
        <w:t>ia, que el Sujeto Obligado hubiese modificado o revocado el acto impugnado o bien, haya quedado sin materia.</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Por tales motivos, se considera procedente entrar al fondo del presente asunto. </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TERCERO. Determinación de la Controversia</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persona Particular</w:t>
      </w:r>
      <w:r>
        <w:rPr>
          <w:rFonts w:ascii="Palatino Linotype" w:eastAsia="Palatino Linotype" w:hAnsi="Palatino Linotype" w:cs="Palatino Linotype"/>
          <w:color w:val="000000"/>
          <w:sz w:val="22"/>
          <w:szCs w:val="22"/>
        </w:rPr>
        <w:t xml:space="preserve"> solicitó del periodo del 1° de enero del 2010 al 8 de febrero de 2024, en copia certificada, así como en formato </w:t>
      </w:r>
      <w:r>
        <w:rPr>
          <w:rFonts w:ascii="Palatino Linotype" w:eastAsia="Palatino Linotype" w:hAnsi="Palatino Linotype" w:cs="Palatino Linotype"/>
          <w:i/>
          <w:color w:val="000000"/>
          <w:sz w:val="22"/>
          <w:szCs w:val="22"/>
        </w:rPr>
        <w:t>pdf</w:t>
      </w:r>
      <w:r>
        <w:rPr>
          <w:rFonts w:ascii="Palatino Linotype" w:eastAsia="Palatino Linotype" w:hAnsi="Palatino Linotype" w:cs="Palatino Linotype"/>
          <w:color w:val="000000"/>
          <w:sz w:val="22"/>
          <w:szCs w:val="22"/>
        </w:rPr>
        <w:t>, a excepción del reporte solicitado en formato Excel; lo siguiente:</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1. Documentación que acredite la debida </w:t>
      </w:r>
      <w:r>
        <w:rPr>
          <w:rFonts w:ascii="Palatino Linotype" w:eastAsia="Palatino Linotype" w:hAnsi="Palatino Linotype" w:cs="Palatino Linotype"/>
          <w:b/>
          <w:color w:val="000000"/>
          <w:sz w:val="22"/>
          <w:szCs w:val="22"/>
        </w:rPr>
        <w:t>entrega legal por parte de la inmobiliaria señalada por la parte Solicitante, del fraccionamiento</w:t>
      </w:r>
      <w:r>
        <w:rPr>
          <w:rFonts w:ascii="Palatino Linotype" w:eastAsia="Palatino Linotype" w:hAnsi="Palatino Linotype" w:cs="Palatino Linotype"/>
          <w:color w:val="000000"/>
          <w:sz w:val="22"/>
          <w:szCs w:val="22"/>
        </w:rPr>
        <w:t xml:space="preserve"> identificado en la solicitud al Ayuntamiento.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2. Reporte en archivo </w:t>
      </w:r>
      <w:r>
        <w:rPr>
          <w:rFonts w:ascii="Palatino Linotype" w:eastAsia="Palatino Linotype" w:hAnsi="Palatino Linotype" w:cs="Palatino Linotype"/>
          <w:i/>
          <w:color w:val="000000"/>
          <w:sz w:val="22"/>
          <w:szCs w:val="22"/>
        </w:rPr>
        <w:t>Excel</w:t>
      </w:r>
      <w:r>
        <w:rPr>
          <w:rFonts w:ascii="Palatino Linotype" w:eastAsia="Palatino Linotype" w:hAnsi="Palatino Linotype" w:cs="Palatino Linotype"/>
          <w:color w:val="000000"/>
          <w:sz w:val="22"/>
          <w:szCs w:val="22"/>
        </w:rPr>
        <w:t xml:space="preserve"> en el que se detalle: </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la </w:t>
      </w:r>
      <w:r>
        <w:rPr>
          <w:rFonts w:ascii="Palatino Linotype" w:eastAsia="Palatino Linotype" w:hAnsi="Palatino Linotype" w:cs="Palatino Linotype"/>
          <w:b/>
          <w:color w:val="000000"/>
          <w:sz w:val="22"/>
          <w:szCs w:val="22"/>
        </w:rPr>
        <w:t>cantidad de delitos</w:t>
      </w:r>
      <w:r>
        <w:rPr>
          <w:rFonts w:ascii="Palatino Linotype" w:eastAsia="Palatino Linotype" w:hAnsi="Palatino Linotype" w:cs="Palatino Linotype"/>
          <w:color w:val="000000"/>
          <w:sz w:val="22"/>
          <w:szCs w:val="22"/>
        </w:rPr>
        <w:t xml:space="preserve"> cometidos en ese fraccionamiento </w:t>
      </w:r>
      <w:r>
        <w:rPr>
          <w:rFonts w:ascii="Palatino Linotype" w:eastAsia="Palatino Linotype" w:hAnsi="Palatino Linotype" w:cs="Palatino Linotype"/>
          <w:color w:val="000000"/>
          <w:sz w:val="22"/>
          <w:szCs w:val="22"/>
        </w:rPr>
        <w:t xml:space="preserve">"Parque San Mateo" C.P. 54830 </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b) </w:t>
      </w:r>
      <w:r>
        <w:rPr>
          <w:rFonts w:ascii="Palatino Linotype" w:eastAsia="Palatino Linotype" w:hAnsi="Palatino Linotype" w:cs="Palatino Linotype"/>
          <w:b/>
          <w:color w:val="000000"/>
          <w:sz w:val="22"/>
          <w:szCs w:val="22"/>
        </w:rPr>
        <w:t>tipo de delito</w:t>
      </w:r>
      <w:r>
        <w:rPr>
          <w:rFonts w:ascii="Palatino Linotype" w:eastAsia="Palatino Linotype" w:hAnsi="Palatino Linotype" w:cs="Palatino Linotype"/>
          <w:color w:val="000000"/>
          <w:sz w:val="22"/>
          <w:szCs w:val="22"/>
        </w:rPr>
        <w:t xml:space="preserve"> cometido </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en que </w:t>
      </w:r>
      <w:r>
        <w:rPr>
          <w:rFonts w:ascii="Palatino Linotype" w:eastAsia="Palatino Linotype" w:hAnsi="Palatino Linotype" w:cs="Palatino Linotype"/>
          <w:b/>
          <w:color w:val="000000"/>
          <w:sz w:val="22"/>
          <w:szCs w:val="22"/>
        </w:rPr>
        <w:t>calle y colonia</w:t>
      </w:r>
      <w:r>
        <w:rPr>
          <w:rFonts w:ascii="Palatino Linotype" w:eastAsia="Palatino Linotype" w:hAnsi="Palatino Linotype" w:cs="Palatino Linotype"/>
          <w:color w:val="000000"/>
          <w:sz w:val="22"/>
          <w:szCs w:val="22"/>
        </w:rPr>
        <w:t xml:space="preserve"> se llevó cometió el delito </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 que </w:t>
      </w:r>
      <w:r>
        <w:rPr>
          <w:rFonts w:ascii="Palatino Linotype" w:eastAsia="Palatino Linotype" w:hAnsi="Palatino Linotype" w:cs="Palatino Linotype"/>
          <w:b/>
          <w:color w:val="000000"/>
          <w:sz w:val="22"/>
          <w:szCs w:val="22"/>
        </w:rPr>
        <w:t>seguimiento o que estatus tiene el delito cometido</w:t>
      </w:r>
      <w:r>
        <w:rPr>
          <w:rFonts w:ascii="Palatino Linotype" w:eastAsia="Palatino Linotype" w:hAnsi="Palatino Linotype" w:cs="Palatino Linotype"/>
          <w:color w:val="000000"/>
          <w:sz w:val="22"/>
          <w:szCs w:val="22"/>
        </w:rPr>
        <w:t xml:space="preserve"> o bien especifique para cada caso, y qué </w:t>
      </w:r>
      <w:r>
        <w:rPr>
          <w:rFonts w:ascii="Palatino Linotype" w:eastAsia="Palatino Linotype" w:hAnsi="Palatino Linotype" w:cs="Palatino Linotype"/>
          <w:b/>
          <w:color w:val="000000"/>
          <w:sz w:val="22"/>
          <w:szCs w:val="22"/>
        </w:rPr>
        <w:t>seguimiento y resolución</w:t>
      </w:r>
      <w:r>
        <w:rPr>
          <w:rFonts w:ascii="Palatino Linotype" w:eastAsia="Palatino Linotype" w:hAnsi="Palatino Linotype" w:cs="Palatino Linotype"/>
          <w:color w:val="000000"/>
          <w:sz w:val="22"/>
          <w:szCs w:val="22"/>
        </w:rPr>
        <w:t xml:space="preserve"> se le brindo a cada caso, en caso de que siga en proceso, también especificarlo.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3. Informe detallado en el cual se detalle </w:t>
      </w:r>
      <w:r>
        <w:rPr>
          <w:rFonts w:ascii="Palatino Linotype" w:eastAsia="Palatino Linotype" w:hAnsi="Palatino Linotype" w:cs="Palatino Linotype"/>
          <w:b/>
          <w:color w:val="000000"/>
          <w:sz w:val="22"/>
          <w:szCs w:val="22"/>
        </w:rPr>
        <w:t xml:space="preserve">la cantidad de denuncias presentadas por parte de los residentes del Fraccionamiento </w:t>
      </w:r>
      <w:r>
        <w:rPr>
          <w:rFonts w:ascii="Palatino Linotype" w:eastAsia="Palatino Linotype" w:hAnsi="Palatino Linotype" w:cs="Palatino Linotype"/>
          <w:color w:val="000000"/>
          <w:sz w:val="22"/>
          <w:szCs w:val="22"/>
        </w:rPr>
        <w:t>identificado en la solicitud, en el que se d</w:t>
      </w:r>
      <w:r>
        <w:rPr>
          <w:rFonts w:ascii="Palatino Linotype" w:eastAsia="Palatino Linotype" w:hAnsi="Palatino Linotype" w:cs="Palatino Linotype"/>
          <w:color w:val="000000"/>
          <w:sz w:val="22"/>
          <w:szCs w:val="22"/>
        </w:rPr>
        <w:t xml:space="preserve">etalle lo siguiente: </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a) Las que se refieran a </w:t>
      </w:r>
      <w:r>
        <w:rPr>
          <w:rFonts w:ascii="Palatino Linotype" w:eastAsia="Palatino Linotype" w:hAnsi="Palatino Linotype" w:cs="Palatino Linotype"/>
          <w:b/>
          <w:color w:val="000000"/>
          <w:sz w:val="22"/>
          <w:szCs w:val="22"/>
        </w:rPr>
        <w:t>fraude por entrega</w:t>
      </w:r>
      <w:r>
        <w:rPr>
          <w:rFonts w:ascii="Palatino Linotype" w:eastAsia="Palatino Linotype" w:hAnsi="Palatino Linotype" w:cs="Palatino Linotype"/>
          <w:color w:val="000000"/>
          <w:sz w:val="22"/>
          <w:szCs w:val="22"/>
        </w:rPr>
        <w:t xml:space="preserve"> irregular de casas a los residentes</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b)Las que se refieran a la </w:t>
      </w:r>
      <w:r>
        <w:rPr>
          <w:rFonts w:ascii="Palatino Linotype" w:eastAsia="Palatino Linotype" w:hAnsi="Palatino Linotype" w:cs="Palatino Linotype"/>
          <w:b/>
          <w:color w:val="000000"/>
          <w:sz w:val="22"/>
          <w:szCs w:val="22"/>
        </w:rPr>
        <w:t>falta de documentación que los acredite como titulares</w:t>
      </w:r>
      <w:r>
        <w:rPr>
          <w:rFonts w:ascii="Palatino Linotype" w:eastAsia="Palatino Linotype" w:hAnsi="Palatino Linotype" w:cs="Palatino Linotype"/>
          <w:color w:val="000000"/>
          <w:sz w:val="22"/>
          <w:szCs w:val="22"/>
        </w:rPr>
        <w:t xml:space="preserve"> de las viviendas de los residentes en ese Fraccionamiento </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 </w:t>
      </w:r>
      <w:r>
        <w:rPr>
          <w:rFonts w:ascii="Palatino Linotype" w:eastAsia="Palatino Linotype" w:hAnsi="Palatino Linotype" w:cs="Palatino Linotype"/>
          <w:b/>
          <w:color w:val="000000"/>
          <w:sz w:val="22"/>
          <w:szCs w:val="22"/>
        </w:rPr>
        <w:t xml:space="preserve">Por año y </w:t>
      </w:r>
      <w:r>
        <w:rPr>
          <w:rFonts w:ascii="Palatino Linotype" w:eastAsia="Palatino Linotype" w:hAnsi="Palatino Linotype" w:cs="Palatino Linotype"/>
          <w:b/>
          <w:color w:val="000000"/>
          <w:sz w:val="22"/>
          <w:szCs w:val="22"/>
        </w:rPr>
        <w:t>ubicación "calle, colonia" con detalle de denuncias por invasión de propiedad</w:t>
      </w:r>
      <w:r>
        <w:rPr>
          <w:rFonts w:ascii="Palatino Linotype" w:eastAsia="Palatino Linotype" w:hAnsi="Palatino Linotype" w:cs="Palatino Linotype"/>
          <w:color w:val="000000"/>
          <w:sz w:val="22"/>
          <w:szCs w:val="22"/>
        </w:rPr>
        <w:t xml:space="preserve">.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Para los puntos 2 y 3 solicitó las acciones y evidencias "certificadas</w:t>
      </w:r>
      <w:r>
        <w:rPr>
          <w:rFonts w:ascii="Palatino Linotype" w:eastAsia="Palatino Linotype" w:hAnsi="Palatino Linotype" w:cs="Palatino Linotype"/>
          <w:b/>
          <w:color w:val="000000"/>
          <w:sz w:val="22"/>
          <w:szCs w:val="22"/>
        </w:rPr>
        <w:t>"</w:t>
      </w:r>
      <w:r>
        <w:rPr>
          <w:rFonts w:ascii="Palatino Linotype" w:eastAsia="Palatino Linotype" w:hAnsi="Palatino Linotype" w:cs="Palatino Linotype"/>
          <w:color w:val="000000"/>
          <w:sz w:val="22"/>
          <w:szCs w:val="22"/>
        </w:rPr>
        <w:t xml:space="preserve"> que realizó el Sujeto Obligado para combatir las denuncias y delitos en ellos citados.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4. Documento q</w:t>
      </w:r>
      <w:r>
        <w:rPr>
          <w:rFonts w:ascii="Palatino Linotype" w:eastAsia="Palatino Linotype" w:hAnsi="Palatino Linotype" w:cs="Palatino Linotype"/>
          <w:color w:val="000000"/>
          <w:sz w:val="22"/>
          <w:szCs w:val="22"/>
        </w:rPr>
        <w:t xml:space="preserve">ue acredite que las casas que se construyeron en el Fraccionamiento identificado en la solicitud </w:t>
      </w:r>
      <w:r>
        <w:rPr>
          <w:rFonts w:ascii="Palatino Linotype" w:eastAsia="Palatino Linotype" w:hAnsi="Palatino Linotype" w:cs="Palatino Linotype"/>
          <w:b/>
          <w:color w:val="000000"/>
          <w:sz w:val="22"/>
          <w:szCs w:val="22"/>
        </w:rPr>
        <w:t>se encuentran debidamente registradas en el registro público de la propiedad</w:t>
      </w:r>
      <w:r>
        <w:rPr>
          <w:rFonts w:ascii="Palatino Linotype" w:eastAsia="Palatino Linotype" w:hAnsi="Palatino Linotype" w:cs="Palatino Linotype"/>
          <w:color w:val="000000"/>
          <w:sz w:val="22"/>
          <w:szCs w:val="22"/>
        </w:rPr>
        <w:t xml:space="preserve">.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 xml:space="preserve">5. </w:t>
      </w:r>
      <w:r>
        <w:rPr>
          <w:rFonts w:ascii="Palatino Linotype" w:eastAsia="Palatino Linotype" w:hAnsi="Palatino Linotype" w:cs="Palatino Linotype"/>
          <w:b/>
          <w:i/>
          <w:color w:val="000000"/>
          <w:sz w:val="22"/>
          <w:szCs w:val="22"/>
        </w:rPr>
        <w:t>Del fraude cometido</w:t>
      </w:r>
      <w:r>
        <w:rPr>
          <w:rFonts w:ascii="Palatino Linotype" w:eastAsia="Palatino Linotype" w:hAnsi="Palatino Linotype" w:cs="Palatino Linotype"/>
          <w:color w:val="000000"/>
          <w:sz w:val="22"/>
          <w:szCs w:val="22"/>
        </w:rPr>
        <w:t xml:space="preserve"> por la inmobiliaria señalada en la solicitud, así como d</w:t>
      </w:r>
      <w:r>
        <w:rPr>
          <w:rFonts w:ascii="Palatino Linotype" w:eastAsia="Palatino Linotype" w:hAnsi="Palatino Linotype" w:cs="Palatino Linotype"/>
          <w:color w:val="000000"/>
          <w:sz w:val="22"/>
          <w:szCs w:val="22"/>
        </w:rPr>
        <w:t xml:space="preserve">e su </w:t>
      </w:r>
      <w:r>
        <w:rPr>
          <w:rFonts w:ascii="Palatino Linotype" w:eastAsia="Palatino Linotype" w:hAnsi="Palatino Linotype" w:cs="Palatino Linotype"/>
          <w:i/>
          <w:color w:val="000000"/>
          <w:sz w:val="22"/>
          <w:szCs w:val="22"/>
        </w:rPr>
        <w:t>declaración en quiebra</w:t>
      </w:r>
      <w:r>
        <w:rPr>
          <w:rFonts w:ascii="Palatino Linotype" w:eastAsia="Palatino Linotype" w:hAnsi="Palatino Linotype" w:cs="Palatino Linotype"/>
          <w:color w:val="000000"/>
          <w:sz w:val="22"/>
          <w:szCs w:val="22"/>
        </w:rPr>
        <w:t xml:space="preserve"> en el año 2013, reporte en excel en que especifique </w:t>
      </w:r>
      <w:r>
        <w:rPr>
          <w:rFonts w:ascii="Palatino Linotype" w:eastAsia="Palatino Linotype" w:hAnsi="Palatino Linotype" w:cs="Palatino Linotype"/>
          <w:b/>
          <w:color w:val="000000"/>
          <w:sz w:val="22"/>
          <w:szCs w:val="22"/>
        </w:rPr>
        <w:t>el detalle y tipo de seguimiento que le dio ese ayuntamiento</w:t>
      </w:r>
      <w:r>
        <w:rPr>
          <w:rFonts w:ascii="Palatino Linotype" w:eastAsia="Palatino Linotype" w:hAnsi="Palatino Linotype" w:cs="Palatino Linotype"/>
          <w:color w:val="000000"/>
          <w:sz w:val="22"/>
          <w:szCs w:val="22"/>
        </w:rPr>
        <w:t xml:space="preserve">, derivado de los incumplimientos por parte de esa inmobiliaria, incorporando para cada </w:t>
      </w:r>
      <w:r>
        <w:rPr>
          <w:rFonts w:ascii="Palatino Linotype" w:eastAsia="Palatino Linotype" w:hAnsi="Palatino Linotype" w:cs="Palatino Linotype"/>
          <w:b/>
          <w:color w:val="000000"/>
          <w:sz w:val="22"/>
          <w:szCs w:val="22"/>
        </w:rPr>
        <w:t>aspecto la evidencia documen</w:t>
      </w:r>
      <w:r>
        <w:rPr>
          <w:rFonts w:ascii="Palatino Linotype" w:eastAsia="Palatino Linotype" w:hAnsi="Palatino Linotype" w:cs="Palatino Linotype"/>
          <w:b/>
          <w:color w:val="000000"/>
          <w:sz w:val="22"/>
          <w:szCs w:val="22"/>
        </w:rPr>
        <w:t>tal donde se acredite la misma.</w:t>
      </w:r>
      <w:r>
        <w:rPr>
          <w:rFonts w:ascii="Palatino Linotype" w:eastAsia="Palatino Linotype" w:hAnsi="Palatino Linotype" w:cs="Palatino Linotype"/>
          <w:color w:val="000000"/>
          <w:sz w:val="22"/>
          <w:szCs w:val="22"/>
        </w:rPr>
        <w:t xml:space="preserve"> </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último, señaló que para el caso de que la capacidad de la información supere lo permitido para el envío se le proporcione una liga electrónica de </w:t>
      </w:r>
      <w:r>
        <w:rPr>
          <w:rFonts w:ascii="Palatino Linotype" w:eastAsia="Palatino Linotype" w:hAnsi="Palatino Linotype" w:cs="Palatino Linotype"/>
          <w:i/>
          <w:color w:val="000000"/>
          <w:sz w:val="22"/>
          <w:szCs w:val="22"/>
        </w:rPr>
        <w:t>drive</w:t>
      </w:r>
      <w:r>
        <w:rPr>
          <w:rFonts w:ascii="Palatino Linotype" w:eastAsia="Palatino Linotype" w:hAnsi="Palatino Linotype" w:cs="Palatino Linotype"/>
          <w:color w:val="000000"/>
          <w:sz w:val="22"/>
          <w:szCs w:val="22"/>
        </w:rPr>
        <w:t xml:space="preserve"> donde se almacene toda la información requerida.</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respuesta, med</w:t>
      </w:r>
      <w:r>
        <w:rPr>
          <w:rFonts w:ascii="Palatino Linotype" w:eastAsia="Palatino Linotype" w:hAnsi="Palatino Linotype" w:cs="Palatino Linotype"/>
          <w:color w:val="000000"/>
          <w:sz w:val="22"/>
          <w:szCs w:val="22"/>
        </w:rPr>
        <w:t>iante SAIMEX el Sujeto Obligado a través del Jefe de Departamento del Centro de Mando del Sujeto Obligado, mediante el cual señaló una liga de internet en formato cerrado para acceder a la página oficial del Secretariado Ejecutivo del Sistema Nacional de S</w:t>
      </w:r>
      <w:r>
        <w:rPr>
          <w:rFonts w:ascii="Palatino Linotype" w:eastAsia="Palatino Linotype" w:hAnsi="Palatino Linotype" w:cs="Palatino Linotype"/>
          <w:color w:val="000000"/>
          <w:sz w:val="22"/>
          <w:szCs w:val="22"/>
        </w:rPr>
        <w:t>eguridad Pública, en la que se podría observar la incidencia delictiva; y mediante el Director de Desarrollo Urbano; en el que señaló que respecto al punto 1, realizó una búsqueda exhaustiva y razonable en los archivos físicos y digitales que obran en su u</w:t>
      </w:r>
      <w:r>
        <w:rPr>
          <w:rFonts w:ascii="Palatino Linotype" w:eastAsia="Palatino Linotype" w:hAnsi="Palatino Linotype" w:cs="Palatino Linotype"/>
          <w:color w:val="000000"/>
          <w:sz w:val="22"/>
          <w:szCs w:val="22"/>
        </w:rPr>
        <w:t>nidad administrativa y no identificó documentos que correspondan a una entrega recepción legal del conjunto urbano “Ex Hacienda San Mateo” y que, respecto al punto 4; que no cuenta con facultades registrales por lo que no tiene en sus archivos la informaci</w:t>
      </w:r>
      <w:r>
        <w:rPr>
          <w:rFonts w:ascii="Palatino Linotype" w:eastAsia="Palatino Linotype" w:hAnsi="Palatino Linotype" w:cs="Palatino Linotype"/>
          <w:color w:val="000000"/>
          <w:sz w:val="22"/>
          <w:szCs w:val="22"/>
        </w:rPr>
        <w:t>ón solicitada, por lo que se recomienda ingresar la petición ante el Instituto de la Función Registral.</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Derivado de la respuesta, la persona Particular interpuso el Recurso de Revisión en el que señaló que no ha recibido ninguna respuesta por lo que solic</w:t>
      </w:r>
      <w:r>
        <w:rPr>
          <w:rFonts w:ascii="Palatino Linotype" w:eastAsia="Palatino Linotype" w:hAnsi="Palatino Linotype" w:cs="Palatino Linotype"/>
          <w:color w:val="000000"/>
          <w:sz w:val="22"/>
          <w:szCs w:val="22"/>
        </w:rPr>
        <w:t xml:space="preserve">ita que se remita la información ya que es necesaria para un proceso jurídico que acredite los vicios ocultos en un fraccionamiento inmobiliario. Durante la sustanciación del Recurso de Revisión ambas partes fueron omisas en remitir información adicional.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 xml:space="preserve">Así pues, de las constancias que integran el expediente, se advierte que </w:t>
      </w:r>
      <w:r>
        <w:rPr>
          <w:rFonts w:ascii="Palatino Linotype" w:eastAsia="Palatino Linotype" w:hAnsi="Palatino Linotype" w:cs="Palatino Linotype"/>
          <w:color w:val="000000"/>
          <w:sz w:val="22"/>
          <w:szCs w:val="22"/>
        </w:rPr>
        <w:t xml:space="preserve">en el asunto que nos ocupa se actualiza las causales de procedencia señaladas en el </w:t>
      </w:r>
      <w:r>
        <w:rPr>
          <w:rFonts w:ascii="Palatino Linotype" w:eastAsia="Palatino Linotype" w:hAnsi="Palatino Linotype" w:cs="Palatino Linotype"/>
          <w:sz w:val="22"/>
          <w:szCs w:val="22"/>
        </w:rPr>
        <w:t xml:space="preserve">artículo 179, fracciones II y V, de la Ley de la materia; es decir por la clasificación de la información y la entrega de la información incompleta. </w:t>
      </w:r>
    </w:p>
    <w:p w:rsidR="00E02518" w:rsidRDefault="00E02518">
      <w:pPr>
        <w:tabs>
          <w:tab w:val="left" w:pos="4962"/>
        </w:tabs>
        <w:spacing w:line="360" w:lineRule="auto"/>
        <w:jc w:val="both"/>
        <w:rPr>
          <w:rFonts w:ascii="Palatino Linotype" w:eastAsia="Palatino Linotype" w:hAnsi="Palatino Linotype" w:cs="Palatino Linotype"/>
          <w:b/>
          <w:sz w:val="22"/>
          <w:szCs w:val="22"/>
        </w:rPr>
      </w:pPr>
    </w:p>
    <w:p w:rsidR="00E02518" w:rsidRDefault="001447D8">
      <w:pPr>
        <w:tabs>
          <w:tab w:val="left" w:pos="4962"/>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lo consecuente es analizar el agravio manifestado por el ahora Recurrente, de conformidad con lo dispuesto por la Ley de Transparencia y Acceso a la Información Pública del Estado de México y Municipios y demás disposiciones legale</w:t>
      </w:r>
      <w:r>
        <w:rPr>
          <w:rFonts w:ascii="Palatino Linotype" w:eastAsia="Palatino Linotype" w:hAnsi="Palatino Linotype" w:cs="Palatino Linotype"/>
          <w:sz w:val="22"/>
          <w:szCs w:val="22"/>
        </w:rPr>
        <w:t>s aplicables a la materia que se resuelve.</w:t>
      </w:r>
    </w:p>
    <w:p w:rsidR="00E02518" w:rsidRDefault="00E02518">
      <w:pPr>
        <w:tabs>
          <w:tab w:val="left" w:pos="4962"/>
        </w:tabs>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CUARTO. Marco normativo aplicable en materia de transparencia y acceso a la información pública</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El artículo 6°, Apartado A), fracción I de la Constitución Política de los Estados Unidos Mexicanos, establece que </w:t>
      </w:r>
      <w:r>
        <w:rPr>
          <w:rFonts w:ascii="Palatino Linotype" w:eastAsia="Palatino Linotype" w:hAnsi="Palatino Linotype" w:cs="Palatino Linotype"/>
          <w:sz w:val="22"/>
          <w:szCs w:val="22"/>
        </w:rPr>
        <w:t>toda la información en posesión de cualquier autoridad es pública y sólo podrá ser reservada temporalmente por razones de interés público.</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La Ley General de Transparencia y Acceso a la Información Pública, publicada en el Diario Oficial de la Federación e</w:t>
      </w:r>
      <w:r>
        <w:rPr>
          <w:rFonts w:ascii="Palatino Linotype" w:eastAsia="Palatino Linotype" w:hAnsi="Palatino Linotype" w:cs="Palatino Linotype"/>
          <w:sz w:val="22"/>
          <w:szCs w:val="22"/>
        </w:rPr>
        <w:t>l 4 de mayo de 2015, dispone en su artículo 70, la información que se considera corresponde a las Obligaciones de Transparencia, la cual debe estar disponible para cualquier persona de manera permanente y actualizada.</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sentido, los Lineamientos téc</w:t>
      </w:r>
      <w:r>
        <w:rPr>
          <w:rFonts w:ascii="Palatino Linotype" w:eastAsia="Palatino Linotype" w:hAnsi="Palatino Linotype" w:cs="Palatino Linotype"/>
          <w:sz w:val="22"/>
          <w:szCs w:val="22"/>
        </w:rPr>
        <w:t>nicos generales para la publicación, homologación y estandarización de la información de las obligaciones establecidas en el título quinto y en la fracción IV del artículo 31 de la Ley General de Transparencia y Acceso a la Información Pública, que deben d</w:t>
      </w:r>
      <w:r>
        <w:rPr>
          <w:rFonts w:ascii="Palatino Linotype" w:eastAsia="Palatino Linotype" w:hAnsi="Palatino Linotype" w:cs="Palatino Linotype"/>
          <w:sz w:val="22"/>
          <w:szCs w:val="22"/>
        </w:rPr>
        <w:t xml:space="preserve">e difundir los sujetos obligados en los portales de Internet y en la </w:t>
      </w:r>
      <w:r>
        <w:rPr>
          <w:rFonts w:ascii="Palatino Linotype" w:eastAsia="Palatino Linotype" w:hAnsi="Palatino Linotype" w:cs="Palatino Linotype"/>
          <w:sz w:val="22"/>
          <w:szCs w:val="22"/>
        </w:rPr>
        <w:lastRenderedPageBreak/>
        <w:t>Plataforma Nacional de Transparencia, establecen los formatos para dar cumplimiento a las Obligaciones de Transparencia, así como los plazos de actualización.</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materia local, el artícu</w:t>
      </w:r>
      <w:r>
        <w:rPr>
          <w:rFonts w:ascii="Palatino Linotype" w:eastAsia="Palatino Linotype" w:hAnsi="Palatino Linotype" w:cs="Palatino Linotype"/>
          <w:sz w:val="22"/>
          <w:szCs w:val="22"/>
        </w:rPr>
        <w:t>lo 5°, fracción I, de la Constitución Política del Estado Libre y Soberano de México, es coincidente con la Constitución Federal, en el sentido de la publicidad de toda la información, con la única restricción de proteger el interés público, así como la in</w:t>
      </w:r>
      <w:r>
        <w:rPr>
          <w:rFonts w:ascii="Palatino Linotype" w:eastAsia="Palatino Linotype" w:hAnsi="Palatino Linotype" w:cs="Palatino Linotype"/>
          <w:sz w:val="22"/>
          <w:szCs w:val="22"/>
        </w:rPr>
        <w:t>formación referente a la intimidad de la vida privada y la imagen de las personas, con las excepciones que establezca la ley reglamentaria.</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su parte, la Ley de Transparencia y Acceso a la Información Pública del Estado de México y Municipios (Reglamen</w:t>
      </w:r>
      <w:r>
        <w:rPr>
          <w:rFonts w:ascii="Palatino Linotype" w:eastAsia="Palatino Linotype" w:hAnsi="Palatino Linotype" w:cs="Palatino Linotype"/>
          <w:sz w:val="22"/>
          <w:szCs w:val="22"/>
        </w:rPr>
        <w:t>taria del artículo 5° de la Constitución Local), establece lo siguiente: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12, que, quienes generen, recopilen, administren, manejen, procesen, archiven o conserven información pública serán responsables de la misma.</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18, que, los Su</w:t>
      </w:r>
      <w:r>
        <w:rPr>
          <w:rFonts w:ascii="Palatino Linotype" w:eastAsia="Palatino Linotype" w:hAnsi="Palatino Linotype" w:cs="Palatino Linotype"/>
          <w:sz w:val="22"/>
          <w:szCs w:val="22"/>
        </w:rPr>
        <w:t>jetos Obligados deberán documentar todo acto que derive del ejercicio de sus facultades, competencias o funciones, considerando desde su origen la eventual publicidad y reutilización de la información que generen.</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El artículo 19, que, se presume que la in</w:t>
      </w:r>
      <w:r>
        <w:rPr>
          <w:rFonts w:ascii="Palatino Linotype" w:eastAsia="Palatino Linotype" w:hAnsi="Palatino Linotype" w:cs="Palatino Linotype"/>
          <w:sz w:val="22"/>
          <w:szCs w:val="22"/>
        </w:rPr>
        <w:t>formación debe existir si se refiere a las facultades, competencias y funciones que los ordenamientos jurídicos aplicables otorgan a los sujetos obligados y en caso de que dichas facultades no se hayan ejercido, se deberá motivar la respuesta en función de</w:t>
      </w:r>
      <w:r>
        <w:rPr>
          <w:rFonts w:ascii="Palatino Linotype" w:eastAsia="Palatino Linotype" w:hAnsi="Palatino Linotype" w:cs="Palatino Linotype"/>
          <w:sz w:val="22"/>
          <w:szCs w:val="22"/>
        </w:rPr>
        <w:t xml:space="preserve"> las causas que motivaron tal circunstancia.</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QUINTO. Estudio de Fondo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Una vez expuesto lo anterior, es preciso realizar un cuatro comparativo en el que se expresen los requerimientos de información en contraposición con la respuesta proporciona por el Su</w:t>
      </w:r>
      <w:r>
        <w:rPr>
          <w:rFonts w:ascii="Palatino Linotype" w:eastAsia="Palatino Linotype" w:hAnsi="Palatino Linotype" w:cs="Palatino Linotype"/>
          <w:color w:val="000000"/>
          <w:sz w:val="22"/>
          <w:szCs w:val="22"/>
        </w:rPr>
        <w:t>jeto Obligado a fin de determinar los aspectos que fueron atendidos.</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tbl>
      <w:tblPr>
        <w:tblStyle w:val="a"/>
        <w:tblW w:w="90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160"/>
        <w:gridCol w:w="2191"/>
      </w:tblGrid>
      <w:tr w:rsidR="00E02518">
        <w:tc>
          <w:tcPr>
            <w:tcW w:w="3681" w:type="dxa"/>
            <w:shd w:val="clear" w:color="auto" w:fill="D0CECE"/>
            <w:vAlign w:val="center"/>
          </w:tcPr>
          <w:p w:rsidR="00E02518" w:rsidRDefault="001447D8">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SOLICITUD</w:t>
            </w:r>
          </w:p>
        </w:tc>
        <w:tc>
          <w:tcPr>
            <w:tcW w:w="3160" w:type="dxa"/>
            <w:shd w:val="clear" w:color="auto" w:fill="D0CECE"/>
            <w:vAlign w:val="center"/>
          </w:tcPr>
          <w:p w:rsidR="00E02518" w:rsidRDefault="001447D8">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RESPUESTA</w:t>
            </w:r>
          </w:p>
        </w:tc>
        <w:tc>
          <w:tcPr>
            <w:tcW w:w="2191" w:type="dxa"/>
            <w:shd w:val="clear" w:color="auto" w:fill="D0CECE"/>
            <w:vAlign w:val="center"/>
          </w:tcPr>
          <w:p w:rsidR="00E02518" w:rsidRDefault="001447D8">
            <w:pPr>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OBSERVACIONES</w:t>
            </w:r>
          </w:p>
        </w:tc>
      </w:tr>
      <w:tr w:rsidR="00E02518">
        <w:tc>
          <w:tcPr>
            <w:tcW w:w="368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1. Documentación que acredite la debida entrega legal por parte de la inmobiliaria señalada por la parte Solicitante, del fraccionamiento identificado en la solicitud al Ayuntamiento.</w:t>
            </w:r>
          </w:p>
        </w:tc>
        <w:tc>
          <w:tcPr>
            <w:tcW w:w="3160"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Director de Desarrollo Urbano, señaló que después de realizar la búsqued</w:t>
            </w:r>
            <w:r>
              <w:rPr>
                <w:rFonts w:ascii="Palatino Linotype" w:eastAsia="Palatino Linotype" w:hAnsi="Palatino Linotype" w:cs="Palatino Linotype"/>
                <w:color w:val="000000"/>
              </w:rPr>
              <w:t xml:space="preserve">a </w:t>
            </w:r>
            <w:r>
              <w:rPr>
                <w:rFonts w:ascii="Palatino Linotype" w:eastAsia="Palatino Linotype" w:hAnsi="Palatino Linotype" w:cs="Palatino Linotype"/>
                <w:b/>
                <w:color w:val="000000"/>
              </w:rPr>
              <w:t>no se identificó el documento</w:t>
            </w:r>
            <w:r>
              <w:rPr>
                <w:rFonts w:ascii="Palatino Linotype" w:eastAsia="Palatino Linotype" w:hAnsi="Palatino Linotype" w:cs="Palatino Linotype"/>
                <w:color w:val="000000"/>
              </w:rPr>
              <w:t xml:space="preserve"> que corresponde a una entrega legal del conjunto urbano </w:t>
            </w:r>
            <w:r>
              <w:rPr>
                <w:rFonts w:ascii="Palatino Linotype" w:eastAsia="Palatino Linotype" w:hAnsi="Palatino Linotype" w:cs="Palatino Linotype"/>
              </w:rPr>
              <w:t>“Ex Hacienda San Mateo”</w:t>
            </w:r>
            <w:r>
              <w:rPr>
                <w:rFonts w:ascii="Palatino Linotype" w:eastAsia="Palatino Linotype" w:hAnsi="Palatino Linotype" w:cs="Palatino Linotype"/>
                <w:color w:val="000000"/>
              </w:rPr>
              <w:t xml:space="preserve">. </w:t>
            </w:r>
          </w:p>
        </w:tc>
        <w:tc>
          <w:tcPr>
            <w:tcW w:w="219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colma, no corresponde al mismo fraccionamiento.</w:t>
            </w:r>
          </w:p>
        </w:tc>
      </w:tr>
      <w:tr w:rsidR="00E02518">
        <w:tc>
          <w:tcPr>
            <w:tcW w:w="368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2. Reporte en archivo </w:t>
            </w:r>
            <w:r>
              <w:rPr>
                <w:rFonts w:ascii="Palatino Linotype" w:eastAsia="Palatino Linotype" w:hAnsi="Palatino Linotype" w:cs="Palatino Linotype"/>
                <w:i/>
                <w:color w:val="000000"/>
              </w:rPr>
              <w:t>Excel</w:t>
            </w:r>
            <w:r>
              <w:rPr>
                <w:rFonts w:ascii="Palatino Linotype" w:eastAsia="Palatino Linotype" w:hAnsi="Palatino Linotype" w:cs="Palatino Linotype"/>
                <w:color w:val="000000"/>
              </w:rPr>
              <w:t xml:space="preserve"> en el que se detalle: </w:t>
            </w: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 la </w:t>
            </w:r>
            <w:r>
              <w:rPr>
                <w:rFonts w:ascii="Palatino Linotype" w:eastAsia="Palatino Linotype" w:hAnsi="Palatino Linotype" w:cs="Palatino Linotype"/>
                <w:b/>
                <w:color w:val="000000"/>
              </w:rPr>
              <w:t>cantidad de delitos</w:t>
            </w:r>
            <w:r>
              <w:rPr>
                <w:rFonts w:ascii="Palatino Linotype" w:eastAsia="Palatino Linotype" w:hAnsi="Palatino Linotype" w:cs="Palatino Linotype"/>
                <w:color w:val="000000"/>
              </w:rPr>
              <w:t xml:space="preserve"> cometidos en ese fraccionamiento identificado en la solicitud </w:t>
            </w: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 </w:t>
            </w:r>
            <w:r>
              <w:rPr>
                <w:rFonts w:ascii="Palatino Linotype" w:eastAsia="Palatino Linotype" w:hAnsi="Palatino Linotype" w:cs="Palatino Linotype"/>
                <w:b/>
                <w:color w:val="000000"/>
              </w:rPr>
              <w:t>tipo de delito</w:t>
            </w:r>
            <w:r>
              <w:rPr>
                <w:rFonts w:ascii="Palatino Linotype" w:eastAsia="Palatino Linotype" w:hAnsi="Palatino Linotype" w:cs="Palatino Linotype"/>
                <w:color w:val="000000"/>
              </w:rPr>
              <w:t xml:space="preserve"> cometido </w:t>
            </w: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 en que </w:t>
            </w:r>
            <w:r>
              <w:rPr>
                <w:rFonts w:ascii="Palatino Linotype" w:eastAsia="Palatino Linotype" w:hAnsi="Palatino Linotype" w:cs="Palatino Linotype"/>
                <w:b/>
                <w:color w:val="000000"/>
              </w:rPr>
              <w:t>calle y colonia</w:t>
            </w:r>
            <w:r>
              <w:rPr>
                <w:rFonts w:ascii="Palatino Linotype" w:eastAsia="Palatino Linotype" w:hAnsi="Palatino Linotype" w:cs="Palatino Linotype"/>
                <w:color w:val="000000"/>
              </w:rPr>
              <w:t xml:space="preserve"> se llevó cometió el delito </w:t>
            </w: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d) que </w:t>
            </w:r>
            <w:r>
              <w:rPr>
                <w:rFonts w:ascii="Palatino Linotype" w:eastAsia="Palatino Linotype" w:hAnsi="Palatino Linotype" w:cs="Palatino Linotype"/>
                <w:b/>
                <w:color w:val="000000"/>
              </w:rPr>
              <w:t>seguimiento o que estatus tiene el delito cometido</w:t>
            </w:r>
            <w:r>
              <w:rPr>
                <w:rFonts w:ascii="Palatino Linotype" w:eastAsia="Palatino Linotype" w:hAnsi="Palatino Linotype" w:cs="Palatino Linotype"/>
                <w:color w:val="000000"/>
              </w:rPr>
              <w:t xml:space="preserve"> o bien especifique para cada caso, y qué </w:t>
            </w:r>
            <w:r>
              <w:rPr>
                <w:rFonts w:ascii="Palatino Linotype" w:eastAsia="Palatino Linotype" w:hAnsi="Palatino Linotype" w:cs="Palatino Linotype"/>
                <w:b/>
                <w:color w:val="000000"/>
              </w:rPr>
              <w:t>seguimiento</w:t>
            </w:r>
            <w:r>
              <w:rPr>
                <w:rFonts w:ascii="Palatino Linotype" w:eastAsia="Palatino Linotype" w:hAnsi="Palatino Linotype" w:cs="Palatino Linotype"/>
                <w:b/>
                <w:color w:val="000000"/>
              </w:rPr>
              <w:t xml:space="preserve"> y resolución</w:t>
            </w:r>
            <w:r>
              <w:rPr>
                <w:rFonts w:ascii="Palatino Linotype" w:eastAsia="Palatino Linotype" w:hAnsi="Palatino Linotype" w:cs="Palatino Linotype"/>
                <w:color w:val="000000"/>
              </w:rPr>
              <w:t xml:space="preserve"> se le brindo a cada caso, en caso de que siga en proceso, también especificarlo. </w:t>
            </w:r>
          </w:p>
          <w:p w:rsidR="00E02518" w:rsidRDefault="00E02518">
            <w:pPr>
              <w:jc w:val="both"/>
              <w:rPr>
                <w:rFonts w:ascii="Palatino Linotype" w:eastAsia="Palatino Linotype" w:hAnsi="Palatino Linotype" w:cs="Palatino Linotype"/>
                <w:color w:val="000000"/>
              </w:rPr>
            </w:pP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Acciones y evidencias "certificadas</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que realizó el Sujeto Obligado para combatir las denuncias y delitos en ellos citados. </w:t>
            </w:r>
          </w:p>
          <w:p w:rsidR="00E02518" w:rsidRDefault="00E02518">
            <w:pPr>
              <w:jc w:val="both"/>
              <w:rPr>
                <w:rFonts w:ascii="Palatino Linotype" w:eastAsia="Palatino Linotype" w:hAnsi="Palatino Linotype" w:cs="Palatino Linotype"/>
                <w:color w:val="000000"/>
              </w:rPr>
            </w:pPr>
          </w:p>
        </w:tc>
        <w:tc>
          <w:tcPr>
            <w:tcW w:w="3160"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Jefe de Departamento del Centr</w:t>
            </w:r>
            <w:r>
              <w:rPr>
                <w:rFonts w:ascii="Palatino Linotype" w:eastAsia="Palatino Linotype" w:hAnsi="Palatino Linotype" w:cs="Palatino Linotype"/>
                <w:color w:val="000000"/>
              </w:rPr>
              <w:t xml:space="preserve">o de Mando, señaló una </w:t>
            </w:r>
            <w:r>
              <w:rPr>
                <w:rFonts w:ascii="Palatino Linotype" w:eastAsia="Palatino Linotype" w:hAnsi="Palatino Linotype" w:cs="Palatino Linotype"/>
                <w:b/>
                <w:color w:val="000000"/>
              </w:rPr>
              <w:t>liga en formato cerrado</w:t>
            </w:r>
            <w:r>
              <w:rPr>
                <w:rFonts w:ascii="Palatino Linotype" w:eastAsia="Palatino Linotype" w:hAnsi="Palatino Linotype" w:cs="Palatino Linotype"/>
                <w:color w:val="000000"/>
              </w:rPr>
              <w:t xml:space="preserve"> para consultar la página oficial del Secretariado Ejecutivo del Sistema Nacional de Seguridad Pública. </w:t>
            </w:r>
          </w:p>
        </w:tc>
        <w:tc>
          <w:tcPr>
            <w:tcW w:w="219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colma lo solicitado, puede entregar incidencia delictiva.</w:t>
            </w:r>
          </w:p>
          <w:p w:rsidR="00E02518" w:rsidRDefault="00E02518">
            <w:pPr>
              <w:jc w:val="both"/>
              <w:rPr>
                <w:rFonts w:ascii="Palatino Linotype" w:eastAsia="Palatino Linotype" w:hAnsi="Palatino Linotype" w:cs="Palatino Linotype"/>
                <w:color w:val="000000"/>
              </w:rPr>
            </w:pP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No es competente para conocer de la informa</w:t>
            </w:r>
            <w:r>
              <w:rPr>
                <w:rFonts w:ascii="Palatino Linotype" w:eastAsia="Palatino Linotype" w:hAnsi="Palatino Linotype" w:cs="Palatino Linotype"/>
                <w:color w:val="000000"/>
              </w:rPr>
              <w:t xml:space="preserve">ción de seguimiento y resolución de delitos, por lo que ese punto se tiene por atendido. </w:t>
            </w:r>
          </w:p>
          <w:p w:rsidR="00E02518" w:rsidRDefault="00E02518">
            <w:pPr>
              <w:jc w:val="both"/>
              <w:rPr>
                <w:rFonts w:ascii="Palatino Linotype" w:eastAsia="Palatino Linotype" w:hAnsi="Palatino Linotype" w:cs="Palatino Linotype"/>
                <w:color w:val="000000"/>
              </w:rPr>
            </w:pPr>
          </w:p>
        </w:tc>
      </w:tr>
      <w:tr w:rsidR="00E02518">
        <w:tc>
          <w:tcPr>
            <w:tcW w:w="368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3. Informe detallado en el cual se detalle </w:t>
            </w:r>
            <w:r>
              <w:rPr>
                <w:rFonts w:ascii="Palatino Linotype" w:eastAsia="Palatino Linotype" w:hAnsi="Palatino Linotype" w:cs="Palatino Linotype"/>
                <w:b/>
                <w:color w:val="000000"/>
              </w:rPr>
              <w:t xml:space="preserve">la cantidad de denuncias presentadas por parte de los residentes del Fraccionamiento </w:t>
            </w:r>
            <w:r>
              <w:rPr>
                <w:rFonts w:ascii="Palatino Linotype" w:eastAsia="Palatino Linotype" w:hAnsi="Palatino Linotype" w:cs="Palatino Linotype"/>
                <w:color w:val="000000"/>
              </w:rPr>
              <w:t xml:space="preserve">identificado en la solicitud, en el </w:t>
            </w:r>
            <w:r>
              <w:rPr>
                <w:rFonts w:ascii="Palatino Linotype" w:eastAsia="Palatino Linotype" w:hAnsi="Palatino Linotype" w:cs="Palatino Linotype"/>
                <w:color w:val="000000"/>
              </w:rPr>
              <w:t xml:space="preserve">que se detalle lo siguiente: </w:t>
            </w: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a) Las que se refieran a </w:t>
            </w:r>
            <w:r>
              <w:rPr>
                <w:rFonts w:ascii="Palatino Linotype" w:eastAsia="Palatino Linotype" w:hAnsi="Palatino Linotype" w:cs="Palatino Linotype"/>
                <w:b/>
                <w:color w:val="000000"/>
              </w:rPr>
              <w:t>fraude por entrega</w:t>
            </w:r>
            <w:r>
              <w:rPr>
                <w:rFonts w:ascii="Palatino Linotype" w:eastAsia="Palatino Linotype" w:hAnsi="Palatino Linotype" w:cs="Palatino Linotype"/>
                <w:color w:val="000000"/>
              </w:rPr>
              <w:t xml:space="preserve"> irregular de casas a los residentes</w:t>
            </w: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b) Las que se refieran a la </w:t>
            </w:r>
            <w:r>
              <w:rPr>
                <w:rFonts w:ascii="Palatino Linotype" w:eastAsia="Palatino Linotype" w:hAnsi="Palatino Linotype" w:cs="Palatino Linotype"/>
                <w:b/>
                <w:color w:val="000000"/>
              </w:rPr>
              <w:t>falta de documentación que los acredite como titulares</w:t>
            </w:r>
            <w:r>
              <w:rPr>
                <w:rFonts w:ascii="Palatino Linotype" w:eastAsia="Palatino Linotype" w:hAnsi="Palatino Linotype" w:cs="Palatino Linotype"/>
                <w:color w:val="000000"/>
              </w:rPr>
              <w:t xml:space="preserve"> de las viviendas de los residentes en ese Fraccionamiento </w:t>
            </w: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 </w:t>
            </w:r>
            <w:r>
              <w:rPr>
                <w:rFonts w:ascii="Palatino Linotype" w:eastAsia="Palatino Linotype" w:hAnsi="Palatino Linotype" w:cs="Palatino Linotype"/>
                <w:b/>
                <w:color w:val="000000"/>
              </w:rPr>
              <w:t>P</w:t>
            </w:r>
            <w:r>
              <w:rPr>
                <w:rFonts w:ascii="Palatino Linotype" w:eastAsia="Palatino Linotype" w:hAnsi="Palatino Linotype" w:cs="Palatino Linotype"/>
                <w:b/>
                <w:color w:val="000000"/>
              </w:rPr>
              <w:t>or año y ubicación "calle, colonia" con detalle de denuncias por invasión de propiedad</w:t>
            </w:r>
            <w:r>
              <w:rPr>
                <w:rFonts w:ascii="Palatino Linotype" w:eastAsia="Palatino Linotype" w:hAnsi="Palatino Linotype" w:cs="Palatino Linotype"/>
                <w:color w:val="000000"/>
              </w:rPr>
              <w:t xml:space="preserve">. </w:t>
            </w:r>
          </w:p>
          <w:p w:rsidR="00E02518" w:rsidRDefault="00E02518">
            <w:pPr>
              <w:jc w:val="both"/>
              <w:rPr>
                <w:rFonts w:ascii="Palatino Linotype" w:eastAsia="Palatino Linotype" w:hAnsi="Palatino Linotype" w:cs="Palatino Linotype"/>
                <w:color w:val="000000"/>
              </w:rPr>
            </w:pPr>
          </w:p>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Acciones y evidencias "certificadas</w:t>
            </w:r>
            <w:r>
              <w:rPr>
                <w:rFonts w:ascii="Palatino Linotype" w:eastAsia="Palatino Linotype" w:hAnsi="Palatino Linotype" w:cs="Palatino Linotype"/>
                <w:b/>
                <w:color w:val="000000"/>
              </w:rPr>
              <w:t>"</w:t>
            </w:r>
            <w:r>
              <w:rPr>
                <w:rFonts w:ascii="Palatino Linotype" w:eastAsia="Palatino Linotype" w:hAnsi="Palatino Linotype" w:cs="Palatino Linotype"/>
                <w:color w:val="000000"/>
              </w:rPr>
              <w:t xml:space="preserve"> que realizó el Sujeto Obligado para combatir las denuncias y delitos en ellos citados. </w:t>
            </w:r>
          </w:p>
          <w:p w:rsidR="00E02518" w:rsidRDefault="00E02518">
            <w:pPr>
              <w:jc w:val="both"/>
              <w:rPr>
                <w:rFonts w:ascii="Palatino Linotype" w:eastAsia="Palatino Linotype" w:hAnsi="Palatino Linotype" w:cs="Palatino Linotype"/>
                <w:color w:val="000000"/>
              </w:rPr>
            </w:pPr>
          </w:p>
        </w:tc>
        <w:tc>
          <w:tcPr>
            <w:tcW w:w="3160"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 xml:space="preserve">No se pronunció </w:t>
            </w:r>
          </w:p>
        </w:tc>
        <w:tc>
          <w:tcPr>
            <w:tcW w:w="219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tiene por atendido, el Sujeto Obligado no es competente.</w:t>
            </w:r>
          </w:p>
        </w:tc>
      </w:tr>
      <w:tr w:rsidR="00E02518">
        <w:tc>
          <w:tcPr>
            <w:tcW w:w="368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4. Documento que acredite que las casas que se construyeron en el Fraccionamiento identificado en la solicitud </w:t>
            </w:r>
            <w:r>
              <w:rPr>
                <w:rFonts w:ascii="Palatino Linotype" w:eastAsia="Palatino Linotype" w:hAnsi="Palatino Linotype" w:cs="Palatino Linotype"/>
                <w:b/>
                <w:color w:val="000000"/>
              </w:rPr>
              <w:t>se encuentran debidamente registradas en el registro público de la propiedad</w:t>
            </w:r>
            <w:r>
              <w:rPr>
                <w:rFonts w:ascii="Palatino Linotype" w:eastAsia="Palatino Linotype" w:hAnsi="Palatino Linotype" w:cs="Palatino Linotype"/>
                <w:color w:val="000000"/>
              </w:rPr>
              <w:t xml:space="preserve">. </w:t>
            </w:r>
          </w:p>
          <w:p w:rsidR="00E02518" w:rsidRDefault="00E02518">
            <w:pPr>
              <w:jc w:val="both"/>
              <w:rPr>
                <w:rFonts w:ascii="Palatino Linotype" w:eastAsia="Palatino Linotype" w:hAnsi="Palatino Linotype" w:cs="Palatino Linotype"/>
                <w:color w:val="000000"/>
              </w:rPr>
            </w:pPr>
          </w:p>
        </w:tc>
        <w:tc>
          <w:tcPr>
            <w:tcW w:w="3160"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Director de Desarrollo Urbano señaló que no tiene facultades registrales, que es competente el Instituto de la Función Registral.</w:t>
            </w:r>
          </w:p>
        </w:tc>
        <w:tc>
          <w:tcPr>
            <w:tcW w:w="219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tiene por atendido, el Sujeto Obligado no es competente.</w:t>
            </w:r>
          </w:p>
        </w:tc>
      </w:tr>
      <w:tr w:rsidR="00E02518">
        <w:tc>
          <w:tcPr>
            <w:tcW w:w="368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5. </w:t>
            </w:r>
            <w:r>
              <w:rPr>
                <w:rFonts w:ascii="Palatino Linotype" w:eastAsia="Palatino Linotype" w:hAnsi="Palatino Linotype" w:cs="Palatino Linotype"/>
                <w:b/>
                <w:i/>
                <w:color w:val="000000"/>
              </w:rPr>
              <w:t>Del fraude cometido</w:t>
            </w:r>
            <w:r>
              <w:rPr>
                <w:rFonts w:ascii="Palatino Linotype" w:eastAsia="Palatino Linotype" w:hAnsi="Palatino Linotype" w:cs="Palatino Linotype"/>
                <w:color w:val="000000"/>
              </w:rPr>
              <w:t xml:space="preserve"> por la inmobiliaria señalada en la soli</w:t>
            </w:r>
            <w:r>
              <w:rPr>
                <w:rFonts w:ascii="Palatino Linotype" w:eastAsia="Palatino Linotype" w:hAnsi="Palatino Linotype" w:cs="Palatino Linotype"/>
                <w:color w:val="000000"/>
              </w:rPr>
              <w:t xml:space="preserve">citud, así como de su </w:t>
            </w:r>
            <w:r>
              <w:rPr>
                <w:rFonts w:ascii="Palatino Linotype" w:eastAsia="Palatino Linotype" w:hAnsi="Palatino Linotype" w:cs="Palatino Linotype"/>
                <w:i/>
                <w:color w:val="000000"/>
              </w:rPr>
              <w:t>declaración en quiebra</w:t>
            </w:r>
            <w:r>
              <w:rPr>
                <w:rFonts w:ascii="Palatino Linotype" w:eastAsia="Palatino Linotype" w:hAnsi="Palatino Linotype" w:cs="Palatino Linotype"/>
                <w:color w:val="000000"/>
              </w:rPr>
              <w:t xml:space="preserve"> en el año 2013, reporte en excel en que especifique </w:t>
            </w:r>
            <w:r>
              <w:rPr>
                <w:rFonts w:ascii="Palatino Linotype" w:eastAsia="Palatino Linotype" w:hAnsi="Palatino Linotype" w:cs="Palatino Linotype"/>
                <w:b/>
                <w:color w:val="000000"/>
              </w:rPr>
              <w:t>el detalle y tipo de seguimiento que le dio ese ayuntamiento</w:t>
            </w:r>
            <w:r>
              <w:rPr>
                <w:rFonts w:ascii="Palatino Linotype" w:eastAsia="Palatino Linotype" w:hAnsi="Palatino Linotype" w:cs="Palatino Linotype"/>
                <w:color w:val="000000"/>
              </w:rPr>
              <w:t xml:space="preserve">, derivado de los incumplimientos por parte de esa inmobiliaria, incorporando para cada </w:t>
            </w:r>
            <w:r>
              <w:rPr>
                <w:rFonts w:ascii="Palatino Linotype" w:eastAsia="Palatino Linotype" w:hAnsi="Palatino Linotype" w:cs="Palatino Linotype"/>
                <w:b/>
                <w:color w:val="000000"/>
              </w:rPr>
              <w:t xml:space="preserve">aspecto la </w:t>
            </w:r>
            <w:r>
              <w:rPr>
                <w:rFonts w:ascii="Palatino Linotype" w:eastAsia="Palatino Linotype" w:hAnsi="Palatino Linotype" w:cs="Palatino Linotype"/>
                <w:b/>
                <w:color w:val="000000"/>
              </w:rPr>
              <w:t>evidencia documental donde se acredite la misma.</w:t>
            </w:r>
            <w:r>
              <w:rPr>
                <w:rFonts w:ascii="Palatino Linotype" w:eastAsia="Palatino Linotype" w:hAnsi="Palatino Linotype" w:cs="Palatino Linotype"/>
                <w:color w:val="000000"/>
              </w:rPr>
              <w:t xml:space="preserve"> </w:t>
            </w:r>
          </w:p>
          <w:p w:rsidR="00E02518" w:rsidRDefault="00E02518">
            <w:pPr>
              <w:jc w:val="both"/>
              <w:rPr>
                <w:rFonts w:ascii="Palatino Linotype" w:eastAsia="Palatino Linotype" w:hAnsi="Palatino Linotype" w:cs="Palatino Linotype"/>
                <w:color w:val="000000"/>
              </w:rPr>
            </w:pPr>
          </w:p>
        </w:tc>
        <w:tc>
          <w:tcPr>
            <w:tcW w:w="3160"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No se pronunció </w:t>
            </w:r>
          </w:p>
        </w:tc>
        <w:tc>
          <w:tcPr>
            <w:tcW w:w="2191" w:type="dxa"/>
          </w:tcPr>
          <w:p w:rsidR="00E02518" w:rsidRDefault="001447D8">
            <w:pPr>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Se debe entregar seguimiento a incumplimiento.</w:t>
            </w:r>
          </w:p>
        </w:tc>
      </w:tr>
    </w:tbl>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atención a lo anterior, se procede al análisis punto por punto, conforme a las siguientes consideraciones: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lastRenderedPageBreak/>
        <w:t>Acta entrega recepción</w:t>
      </w:r>
    </w:p>
    <w:p w:rsidR="00E02518" w:rsidRDefault="00E0251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Respecto al acta de entrega recepción, es preciso señalar que el Código Administrativo del Estado de México, prevé en su artículo 5.10, fracciones IV, V, VI,  que dentro de las atribuciones de los municipios se encuentra la de “</w:t>
      </w:r>
      <w:r>
        <w:rPr>
          <w:rFonts w:ascii="Palatino Linotype" w:eastAsia="Palatino Linotype" w:hAnsi="Palatino Linotype" w:cs="Palatino Linotype"/>
          <w:b/>
          <w:i/>
          <w:color w:val="000000"/>
          <w:sz w:val="22"/>
          <w:szCs w:val="22"/>
        </w:rPr>
        <w:t>Supervisar la ejecución de l</w:t>
      </w:r>
      <w:r>
        <w:rPr>
          <w:rFonts w:ascii="Palatino Linotype" w:eastAsia="Palatino Linotype" w:hAnsi="Palatino Linotype" w:cs="Palatino Linotype"/>
          <w:b/>
          <w:i/>
          <w:color w:val="000000"/>
          <w:sz w:val="22"/>
          <w:szCs w:val="22"/>
        </w:rPr>
        <w:t>as obras</w:t>
      </w:r>
      <w:r>
        <w:rPr>
          <w:rFonts w:ascii="Palatino Linotype" w:eastAsia="Palatino Linotype" w:hAnsi="Palatino Linotype" w:cs="Palatino Linotype"/>
          <w:i/>
          <w:color w:val="000000"/>
          <w:sz w:val="22"/>
          <w:szCs w:val="22"/>
        </w:rPr>
        <w:t xml:space="preserve"> de urbanización e infraestructura hidráulica y sanitaria que establezcan </w:t>
      </w:r>
      <w:r>
        <w:rPr>
          <w:rFonts w:ascii="Palatino Linotype" w:eastAsia="Palatino Linotype" w:hAnsi="Palatino Linotype" w:cs="Palatino Linotype"/>
          <w:b/>
          <w:i/>
          <w:color w:val="000000"/>
          <w:sz w:val="22"/>
          <w:szCs w:val="22"/>
        </w:rPr>
        <w:t>los acuerdos de autorización de conjuntos urbanos</w:t>
      </w:r>
      <w:r>
        <w:rPr>
          <w:rFonts w:ascii="Palatino Linotype" w:eastAsia="Palatino Linotype" w:hAnsi="Palatino Linotype" w:cs="Palatino Linotype"/>
          <w:i/>
          <w:color w:val="000000"/>
          <w:sz w:val="22"/>
          <w:szCs w:val="22"/>
        </w:rPr>
        <w:t xml:space="preserve">, subdivisiones y condominios, que sean de su ámbito de competencia, verificando que éstos cumplan las condiciones para la adecuada prestación de servicios públicos; </w:t>
      </w:r>
      <w:r>
        <w:rPr>
          <w:rFonts w:ascii="Palatino Linotype" w:eastAsia="Palatino Linotype" w:hAnsi="Palatino Linotype" w:cs="Palatino Linotype"/>
          <w:b/>
          <w:i/>
          <w:color w:val="000000"/>
          <w:sz w:val="22"/>
          <w:szCs w:val="22"/>
        </w:rPr>
        <w:t>Recibir,</w:t>
      </w:r>
      <w:r>
        <w:rPr>
          <w:rFonts w:ascii="Palatino Linotype" w:eastAsia="Palatino Linotype" w:hAnsi="Palatino Linotype" w:cs="Palatino Linotype"/>
          <w:i/>
          <w:color w:val="000000"/>
          <w:sz w:val="22"/>
          <w:szCs w:val="22"/>
        </w:rPr>
        <w:t xml:space="preserve"> conservar y operar </w:t>
      </w:r>
      <w:r>
        <w:rPr>
          <w:rFonts w:ascii="Palatino Linotype" w:eastAsia="Palatino Linotype" w:hAnsi="Palatino Linotype" w:cs="Palatino Linotype"/>
          <w:b/>
          <w:i/>
          <w:color w:val="000000"/>
          <w:sz w:val="22"/>
          <w:szCs w:val="22"/>
        </w:rPr>
        <w:t>las áreas de donación</w:t>
      </w:r>
      <w:r>
        <w:rPr>
          <w:rFonts w:ascii="Palatino Linotype" w:eastAsia="Palatino Linotype" w:hAnsi="Palatino Linotype" w:cs="Palatino Linotype"/>
          <w:i/>
          <w:color w:val="000000"/>
          <w:sz w:val="22"/>
          <w:szCs w:val="22"/>
        </w:rPr>
        <w:t xml:space="preserve"> establecidas a favor del municipio, </w:t>
      </w:r>
      <w:r>
        <w:rPr>
          <w:rFonts w:ascii="Palatino Linotype" w:eastAsia="Palatino Linotype" w:hAnsi="Palatino Linotype" w:cs="Palatino Linotype"/>
          <w:b/>
          <w:i/>
          <w:color w:val="000000"/>
          <w:sz w:val="22"/>
          <w:szCs w:val="22"/>
        </w:rPr>
        <w:t xml:space="preserve">así </w:t>
      </w:r>
      <w:r>
        <w:rPr>
          <w:rFonts w:ascii="Palatino Linotype" w:eastAsia="Palatino Linotype" w:hAnsi="Palatino Linotype" w:cs="Palatino Linotype"/>
          <w:b/>
          <w:i/>
          <w:color w:val="000000"/>
          <w:sz w:val="22"/>
          <w:szCs w:val="22"/>
        </w:rPr>
        <w:t>como, las obras de urbanización, infraestructura y equipamiento urbano de los conjuntos urbanos</w:t>
      </w:r>
      <w:r>
        <w:rPr>
          <w:rFonts w:ascii="Palatino Linotype" w:eastAsia="Palatino Linotype" w:hAnsi="Palatino Linotype" w:cs="Palatino Linotype"/>
          <w:i/>
          <w:color w:val="000000"/>
          <w:sz w:val="22"/>
          <w:szCs w:val="22"/>
        </w:rPr>
        <w:t xml:space="preserve">, subdivisiones y condominios; </w:t>
      </w:r>
      <w:r>
        <w:rPr>
          <w:rFonts w:ascii="Palatino Linotype" w:eastAsia="Palatino Linotype" w:hAnsi="Palatino Linotype" w:cs="Palatino Linotype"/>
          <w:b/>
          <w:i/>
          <w:color w:val="000000"/>
          <w:sz w:val="22"/>
          <w:szCs w:val="22"/>
        </w:rPr>
        <w:t>Expedi</w:t>
      </w:r>
      <w:r>
        <w:rPr>
          <w:rFonts w:ascii="Palatino Linotype" w:eastAsia="Palatino Linotype" w:hAnsi="Palatino Linotype" w:cs="Palatino Linotype"/>
          <w:i/>
          <w:color w:val="000000"/>
          <w:sz w:val="22"/>
          <w:szCs w:val="22"/>
        </w:rPr>
        <w:t xml:space="preserve">r cédulas informativas de zonificación, licencias de uso de suelo </w:t>
      </w:r>
      <w:r>
        <w:rPr>
          <w:rFonts w:ascii="Palatino Linotype" w:eastAsia="Palatino Linotype" w:hAnsi="Palatino Linotype" w:cs="Palatino Linotype"/>
          <w:b/>
          <w:i/>
          <w:color w:val="000000"/>
          <w:sz w:val="22"/>
          <w:szCs w:val="22"/>
        </w:rPr>
        <w:t xml:space="preserve">y licencias de construcción. </w:t>
      </w:r>
      <w:r>
        <w:rPr>
          <w:rFonts w:ascii="Palatino Linotype" w:eastAsia="Palatino Linotype" w:hAnsi="Palatino Linotype" w:cs="Palatino Linotype"/>
          <w:color w:val="000000"/>
          <w:sz w:val="22"/>
          <w:szCs w:val="22"/>
        </w:rPr>
        <w:t>En atención a lo anterior los</w:t>
      </w:r>
      <w:r>
        <w:rPr>
          <w:rFonts w:ascii="Palatino Linotype" w:eastAsia="Palatino Linotype" w:hAnsi="Palatino Linotype" w:cs="Palatino Linotype"/>
          <w:color w:val="000000"/>
          <w:sz w:val="22"/>
          <w:szCs w:val="22"/>
        </w:rPr>
        <w:t xml:space="preserve"> Municipios del estado tienen facultades para conocer de la información relacionada con los conjuntos urbanos.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Por su parte, el artículo 5.38 del mismo Código Administrativo de nuestra entidad, prevé los lineamientos para la autorización de los conjuntos </w:t>
      </w:r>
      <w:r>
        <w:rPr>
          <w:rFonts w:ascii="Palatino Linotype" w:eastAsia="Palatino Linotype" w:hAnsi="Palatino Linotype" w:cs="Palatino Linotype"/>
          <w:color w:val="000000"/>
          <w:sz w:val="22"/>
          <w:szCs w:val="22"/>
        </w:rPr>
        <w:t>urbanos, en los que señala en su fracción X, inciso n) que los titulares de los conjuntos urbanos tienen la obligación de dar aviso de la terminación de las obras de infraestructura, urbanización y equipamiento y hacer entrega de las mismas a las autoridad</w:t>
      </w:r>
      <w:r>
        <w:rPr>
          <w:rFonts w:ascii="Palatino Linotype" w:eastAsia="Palatino Linotype" w:hAnsi="Palatino Linotype" w:cs="Palatino Linotype"/>
          <w:color w:val="000000"/>
          <w:sz w:val="22"/>
          <w:szCs w:val="22"/>
        </w:rPr>
        <w:t>es municipales o estatales según corresponda; por lo que se prevé la obligación por parte de los titulares de los conjuntos urbanos para realizar la entrega formalmente ante los Municipios.</w:t>
      </w: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Ahora bien, el Reglamento del Libro Quinto del Código Administrati</w:t>
      </w:r>
      <w:r>
        <w:rPr>
          <w:rFonts w:ascii="Palatino Linotype" w:eastAsia="Palatino Linotype" w:hAnsi="Palatino Linotype" w:cs="Palatino Linotype"/>
          <w:color w:val="000000"/>
          <w:sz w:val="22"/>
          <w:szCs w:val="22"/>
        </w:rPr>
        <w:t xml:space="preserve">vo del Estado de México; prevé en su Titulo cuarto, las disposiciones de los conjuntos urbanos, dentro de los cuales se desprende en el articulo 49, que el titular del conjunto urbano será considera a aquella persona autorizada por parte de la Secretaria; </w:t>
      </w:r>
      <w:r>
        <w:rPr>
          <w:rFonts w:ascii="Palatino Linotype" w:eastAsia="Palatino Linotype" w:hAnsi="Palatino Linotype" w:cs="Palatino Linotype"/>
          <w:color w:val="000000"/>
          <w:sz w:val="22"/>
          <w:szCs w:val="22"/>
        </w:rPr>
        <w:t xml:space="preserve">por su parte, el artículo 133, prevé la entrega y recepción de las obras, en las que se considera que la entrega en caso de infraestructura primaria de </w:t>
      </w:r>
      <w:r>
        <w:rPr>
          <w:rFonts w:ascii="Palatino Linotype" w:eastAsia="Palatino Linotype" w:hAnsi="Palatino Linotype" w:cs="Palatino Linotype"/>
          <w:color w:val="000000"/>
          <w:sz w:val="22"/>
          <w:szCs w:val="22"/>
        </w:rPr>
        <w:lastRenderedPageBreak/>
        <w:t xml:space="preserve">fraccionamiento, conjuntos urbanos, entre otros, podrá ser de forma total o parcial; de igual forma que </w:t>
      </w:r>
      <w:r>
        <w:rPr>
          <w:rFonts w:ascii="Palatino Linotype" w:eastAsia="Palatino Linotype" w:hAnsi="Palatino Linotype" w:cs="Palatino Linotype"/>
          <w:color w:val="000000"/>
          <w:sz w:val="22"/>
          <w:szCs w:val="22"/>
        </w:rPr>
        <w:t>los titulares de la autorización del desarrollo deberán, previo a la entrega al municipio, retirar todas aquella obras provisionales que obstruyan las vías del desarrollo.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De igual forma, el artículo 134 de dicha normatividad, prevé que la entrega de las </w:t>
      </w:r>
      <w:r>
        <w:rPr>
          <w:rFonts w:ascii="Palatino Linotype" w:eastAsia="Palatino Linotype" w:hAnsi="Palatino Linotype" w:cs="Palatino Linotype"/>
          <w:color w:val="000000"/>
          <w:sz w:val="22"/>
          <w:szCs w:val="22"/>
        </w:rPr>
        <w:t xml:space="preserve">obras se sujetará a un procedimiento en el que se prevé que una vez cumplidos los requisitos de documentación, la </w:t>
      </w:r>
      <w:r>
        <w:rPr>
          <w:rFonts w:ascii="Palatino Linotype" w:eastAsia="Palatino Linotype" w:hAnsi="Palatino Linotype" w:cs="Palatino Linotype"/>
          <w:sz w:val="22"/>
          <w:szCs w:val="22"/>
        </w:rPr>
        <w:t>Secretaría</w:t>
      </w:r>
      <w:r>
        <w:rPr>
          <w:rFonts w:ascii="Palatino Linotype" w:eastAsia="Palatino Linotype" w:hAnsi="Palatino Linotype" w:cs="Palatino Linotype"/>
          <w:color w:val="000000"/>
          <w:sz w:val="22"/>
          <w:szCs w:val="22"/>
        </w:rPr>
        <w:t xml:space="preserve"> o instancia correspondiente elaborará el acta y comunicará al titular el monto y condiciones para entrega de garantía y una vez pre</w:t>
      </w:r>
      <w:r>
        <w:rPr>
          <w:rFonts w:ascii="Palatino Linotype" w:eastAsia="Palatino Linotype" w:hAnsi="Palatino Linotype" w:cs="Palatino Linotype"/>
          <w:color w:val="000000"/>
          <w:sz w:val="22"/>
          <w:szCs w:val="22"/>
        </w:rPr>
        <w:t>sentada la misma, se elaborará el acta y se remitirá al interesado y a la autoridad municipal para su suscripción; y a partir de ella, se deberá realizar la publicación en el Periódico Oficial Gaceta de Gobierno del acta circunstanciada, el municipio se en</w:t>
      </w:r>
      <w:r>
        <w:rPr>
          <w:rFonts w:ascii="Palatino Linotype" w:eastAsia="Palatino Linotype" w:hAnsi="Palatino Linotype" w:cs="Palatino Linotype"/>
          <w:color w:val="000000"/>
          <w:sz w:val="22"/>
          <w:szCs w:val="22"/>
        </w:rPr>
        <w:t>cargará de su mantenimiento y la presentación de los servicio; asimismo, para el caso de la entrega de obras de infraestructura primaria, deben ser tramitadas ante las instancias que las operaran y con la participación de las dependencias que avalaron o em</w:t>
      </w:r>
      <w:r>
        <w:rPr>
          <w:rFonts w:ascii="Palatino Linotype" w:eastAsia="Palatino Linotype" w:hAnsi="Palatino Linotype" w:cs="Palatino Linotype"/>
          <w:color w:val="000000"/>
          <w:sz w:val="22"/>
          <w:szCs w:val="22"/>
        </w:rPr>
        <w:t xml:space="preserve">itieron el dictamen respectivo.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Derivado de lo antes expuesto, es dable considerar que el Sujeto Obligado como Ayuntamiento miembro del Estado de México, cuenta con las atribuciones para conocer de la entrega recepción sobre conjuntos urbanos o fracciona</w:t>
      </w:r>
      <w:r>
        <w:rPr>
          <w:rFonts w:ascii="Palatino Linotype" w:eastAsia="Palatino Linotype" w:hAnsi="Palatino Linotype" w:cs="Palatino Linotype"/>
          <w:color w:val="000000"/>
          <w:sz w:val="22"/>
          <w:szCs w:val="22"/>
        </w:rPr>
        <w:t>mientos.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su parte y manera de referencia el Bando Municipal del Sujeto Obligado vigente, prevé en su artículo 92 fracción LII, que la Dirección de Desarrollo Urbano tiene a su cargo la atribución de verificar el registro de las áreas de donación que d</w:t>
      </w:r>
      <w:r>
        <w:rPr>
          <w:rFonts w:ascii="Palatino Linotype" w:eastAsia="Palatino Linotype" w:hAnsi="Palatino Linotype" w:cs="Palatino Linotype"/>
          <w:color w:val="000000"/>
          <w:sz w:val="22"/>
          <w:szCs w:val="22"/>
        </w:rPr>
        <w:t>erivan de las autorizaciones de conjuntos urbanos, por tanto, se advierte que el Sujeto Obligado es competente para conocer de la información solicitada.</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lastRenderedPageBreak/>
        <w:t>En este tenor, cabe señalar que el Sujeto Obligado a través de respuesta indicó que no cuenta con act</w:t>
      </w:r>
      <w:r>
        <w:rPr>
          <w:rFonts w:ascii="Palatino Linotype" w:eastAsia="Palatino Linotype" w:hAnsi="Palatino Linotype" w:cs="Palatino Linotype"/>
          <w:color w:val="000000"/>
          <w:sz w:val="22"/>
          <w:szCs w:val="22"/>
        </w:rPr>
        <w:t>a entrega recepción del conjunto urbano “Ex Hacienda San Mateo”; al respecto, es preciso mencionar que este Organismo Garante reviso los Bandos Municipales del Sujeto Obligado, y se advierte que por cuanto hace al vigente en el año 2016; en su artículo 20,</w:t>
      </w:r>
      <w:r>
        <w:rPr>
          <w:rFonts w:ascii="Palatino Linotype" w:eastAsia="Palatino Linotype" w:hAnsi="Palatino Linotype" w:cs="Palatino Linotype"/>
          <w:color w:val="000000"/>
          <w:sz w:val="22"/>
          <w:szCs w:val="22"/>
        </w:rPr>
        <w:t xml:space="preserve"> fracción V, numeral 44, se prevé el fraccionamiento Ex hacienda San Mateo o Parque San Mateo; sin embargo en el vigente al año 2024, se prevé en su artículo 14, fracción VI) de los Conjuntos Urbanos, en el inciso III y IV, a Ex hacienda San Mateo y al Par</w:t>
      </w:r>
      <w:r>
        <w:rPr>
          <w:rFonts w:ascii="Palatino Linotype" w:eastAsia="Palatino Linotype" w:hAnsi="Palatino Linotype" w:cs="Palatino Linotype"/>
          <w:color w:val="000000"/>
          <w:sz w:val="22"/>
          <w:szCs w:val="22"/>
        </w:rPr>
        <w:t>que San Mateo; por lo cual se advierte que en su momento, fueron diferenciados y ahora son considerados como diversos conjuntos urbanos y se debe tener en cuenta que el Particular solicitó la información del fraccionamiento "Parque San Mateo", por tanto, e</w:t>
      </w:r>
      <w:r>
        <w:rPr>
          <w:rFonts w:ascii="Palatino Linotype" w:eastAsia="Palatino Linotype" w:hAnsi="Palatino Linotype" w:cs="Palatino Linotype"/>
          <w:color w:val="000000"/>
          <w:sz w:val="22"/>
          <w:szCs w:val="22"/>
        </w:rPr>
        <w:t>l Sujeto Obligado no especificó sí se trata del mismo fraccionamiento.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Aunado a lo anterior es preciso señalar que se localizó un listado emitido por el Gobierno del Estado de México, de la secretaria de Desarrollo Urbano, correspondiente a las actas entr</w:t>
      </w:r>
      <w:r>
        <w:rPr>
          <w:rFonts w:ascii="Palatino Linotype" w:eastAsia="Palatino Linotype" w:hAnsi="Palatino Linotype" w:cs="Palatino Linotype"/>
          <w:color w:val="000000"/>
          <w:sz w:val="22"/>
          <w:szCs w:val="22"/>
        </w:rPr>
        <w:t xml:space="preserve">ega – recepción de obras de conjuntos urbanos, correspondiente al año 2012, en el que se observa la entrega de dos desarrollos ajo el nombre de </w:t>
      </w:r>
      <w:r>
        <w:rPr>
          <w:rFonts w:ascii="Palatino Linotype" w:eastAsia="Palatino Linotype" w:hAnsi="Palatino Linotype" w:cs="Palatino Linotype"/>
          <w:i/>
          <w:color w:val="000000"/>
          <w:sz w:val="22"/>
          <w:szCs w:val="22"/>
        </w:rPr>
        <w:t xml:space="preserve">Ex Hacienda San Mateo, </w:t>
      </w:r>
      <w:r>
        <w:rPr>
          <w:rFonts w:ascii="Palatino Linotype" w:eastAsia="Palatino Linotype" w:hAnsi="Palatino Linotype" w:cs="Palatino Linotype"/>
          <w:color w:val="000000"/>
          <w:sz w:val="22"/>
          <w:szCs w:val="22"/>
        </w:rPr>
        <w:t>en el que se advierte fecha de acuse al municipio del 11 de enero de 2012 y del 2 de mayo</w:t>
      </w:r>
      <w:r>
        <w:rPr>
          <w:rFonts w:ascii="Palatino Linotype" w:eastAsia="Palatino Linotype" w:hAnsi="Palatino Linotype" w:cs="Palatino Linotype"/>
          <w:color w:val="000000"/>
          <w:sz w:val="22"/>
          <w:szCs w:val="22"/>
        </w:rPr>
        <w:t xml:space="preserve"> del mismo año, asimismo se aprecia que corresponde a la empresa identificada por el Solicitante y que ambas actas tuvieron lugar de forma parcial; a saber: </w:t>
      </w:r>
      <w:hyperlink r:id="rId8">
        <w:r>
          <w:rPr>
            <w:rFonts w:ascii="Palatino Linotype" w:eastAsia="Palatino Linotype" w:hAnsi="Palatino Linotype" w:cs="Palatino Linotype"/>
            <w:color w:val="0563C1"/>
            <w:sz w:val="22"/>
            <w:szCs w:val="22"/>
            <w:u w:val="single"/>
          </w:rPr>
          <w:t>http://seduv.edomexico.</w:t>
        </w:r>
        <w:r>
          <w:rPr>
            <w:rFonts w:ascii="Palatino Linotype" w:eastAsia="Palatino Linotype" w:hAnsi="Palatino Linotype" w:cs="Palatino Linotype"/>
            <w:color w:val="0563C1"/>
            <w:sz w:val="22"/>
            <w:szCs w:val="22"/>
            <w:u w:val="single"/>
          </w:rPr>
          <w:t>gob.mx/licencias/entrega_2012.pdf</w:t>
        </w:r>
      </w:hyperlink>
      <w:r>
        <w:rPr>
          <w:rFonts w:ascii="Palatino Linotype" w:eastAsia="Palatino Linotype" w:hAnsi="Palatino Linotype" w:cs="Palatino Linotype"/>
          <w:color w:val="000000"/>
          <w:sz w:val="22"/>
          <w:szCs w:val="22"/>
        </w:rPr>
        <w:t xml:space="preserve">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este entendido y a fin de otorgar la debida atención a la solicitud de información, el Sujeto Obligado deberá realizar la búsqueda de la información conforme a lo solicitado, es decir respecto al fraccionamiento “Parque San Mateo” y especificar sí se tr</w:t>
      </w:r>
      <w:r>
        <w:rPr>
          <w:rFonts w:ascii="Palatino Linotype" w:eastAsia="Palatino Linotype" w:hAnsi="Palatino Linotype" w:cs="Palatino Linotype"/>
          <w:color w:val="000000"/>
          <w:sz w:val="22"/>
          <w:szCs w:val="22"/>
        </w:rPr>
        <w:t>ata del mismo que “Ex Hacienda San Mateo”, y entregar el acta entrega recepción, ya sea de forma parcial o total.</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Para el caso de ser necesarias las versiones públicas, deberá proporcionar el Acuerdo de Clasificación donde el Comité de Transparencia, conf</w:t>
      </w:r>
      <w:r>
        <w:rPr>
          <w:rFonts w:ascii="Palatino Linotype" w:eastAsia="Palatino Linotype" w:hAnsi="Palatino Linotype" w:cs="Palatino Linotype"/>
          <w:sz w:val="22"/>
          <w:szCs w:val="22"/>
        </w:rPr>
        <w:t>irme la eliminación de los datos clasificados como confidenciales, de conformidad con los artículos 49, fracciones II y VIII, 132, fracción II, 143, fracción I y 149, de la Ley de Transparencia y Acceso a la Información Pública del Estado de México y Munic</w:t>
      </w:r>
      <w:r>
        <w:rPr>
          <w:rFonts w:ascii="Palatino Linotype" w:eastAsia="Palatino Linotype" w:hAnsi="Palatino Linotype" w:cs="Palatino Linotype"/>
          <w:sz w:val="22"/>
          <w:szCs w:val="22"/>
        </w:rPr>
        <w:t>ipios.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Reporte sobre delitos cometidos en el fraccionamiento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Al respecto se debe tener en consideración que el Particular pretende conocer información relacionada con la cantidad de delitos, tipo de delitos, calle y colonia en la que llevo a cabo y el seguimiento o estatus que tiene el delito cometido y la resolució</w:t>
      </w:r>
      <w:r>
        <w:rPr>
          <w:rFonts w:ascii="Palatino Linotype" w:eastAsia="Palatino Linotype" w:hAnsi="Palatino Linotype" w:cs="Palatino Linotype"/>
          <w:color w:val="000000"/>
          <w:sz w:val="22"/>
          <w:szCs w:val="22"/>
        </w:rPr>
        <w:t xml:space="preserve">n correspondiente.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Precisado lo anterior, sobre la naturaleza de la información solicitada, específicamente por cuanto hace a la cantidad de delitos, tipo de delito y calle y colonia; es oportuno traer a colación los artículos 5, fracción II, XVII, 7, fr</w:t>
      </w:r>
      <w:r>
        <w:rPr>
          <w:rFonts w:ascii="Palatino Linotype" w:eastAsia="Palatino Linotype" w:hAnsi="Palatino Linotype" w:cs="Palatino Linotype"/>
          <w:color w:val="000000"/>
          <w:sz w:val="22"/>
          <w:szCs w:val="22"/>
        </w:rPr>
        <w:t>acción IX, 19, fracción I, 39, inciso b), fracción VI y XI, 118 de la Ley General del Sistema Nacional de Seguridad Pública, los numerales 125, fracción VIII y 142 de la Ley Orgánica Municipal del Estado de México; disposiciones legales que disponen a la l</w:t>
      </w:r>
      <w:r>
        <w:rPr>
          <w:rFonts w:ascii="Palatino Linotype" w:eastAsia="Palatino Linotype" w:hAnsi="Palatino Linotype" w:cs="Palatino Linotype"/>
          <w:color w:val="000000"/>
          <w:sz w:val="22"/>
          <w:szCs w:val="22"/>
        </w:rPr>
        <w:t xml:space="preserve">iteralidad lo siguiente: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ind w:left="567" w:right="53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Ley General del Sistema Nacional de Seguridad Pública</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5</w:t>
      </w:r>
      <w:r>
        <w:rPr>
          <w:rFonts w:ascii="Palatino Linotype" w:eastAsia="Palatino Linotype" w:hAnsi="Palatino Linotype" w:cs="Palatino Linotype"/>
          <w:i/>
          <w:color w:val="000000"/>
        </w:rPr>
        <w:t>.- Para los efectos de esta Ley, se entenderá por:</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Bases de Datos: Las bases de datos que constituyen subconjuntos sistematizados de la información contenida</w:t>
      </w:r>
      <w:r>
        <w:rPr>
          <w:rFonts w:ascii="Palatino Linotype" w:eastAsia="Palatino Linotype" w:hAnsi="Palatino Linotype" w:cs="Palatino Linotype"/>
          <w:i/>
          <w:color w:val="000000"/>
        </w:rPr>
        <w:t xml:space="preserve"> en Registros Nacionales en materias relativas a detenciones, armamento, equipo y personal de seguridad pública, medidas cautelares, soluciones alternas y formas de terminación </w:t>
      </w:r>
      <w:r>
        <w:rPr>
          <w:rFonts w:ascii="Palatino Linotype" w:eastAsia="Palatino Linotype" w:hAnsi="Palatino Linotype" w:cs="Palatino Linotype"/>
          <w:i/>
          <w:color w:val="000000"/>
        </w:rPr>
        <w:lastRenderedPageBreak/>
        <w:t>anticipada, así como las bases de datos del Ministerio Público y las institucio</w:t>
      </w:r>
      <w:r>
        <w:rPr>
          <w:rFonts w:ascii="Palatino Linotype" w:eastAsia="Palatino Linotype" w:hAnsi="Palatino Linotype" w:cs="Palatino Linotype"/>
          <w:i/>
          <w:color w:val="000000"/>
        </w:rPr>
        <w:t>nes policiales de los tres órdenes de gobierno relativas a la información criminalística, huellas dactilares de personas sujetas a un proceso o investigación penal, teléfonos celulares, personas sentenciadas y servicios de seguridad privada, así como las d</w:t>
      </w:r>
      <w:r>
        <w:rPr>
          <w:rFonts w:ascii="Palatino Linotype" w:eastAsia="Palatino Linotype" w:hAnsi="Palatino Linotype" w:cs="Palatino Linotype"/>
          <w:i/>
          <w:color w:val="000000"/>
        </w:rPr>
        <w:t>emás necesarias para la prevención, investigación y persecución de los delitos. El conjunto de bases de datos conformará el Sistema Nacional de Información;</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III a XVI…</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XVII. Sistema Nacional de Información: al Sistema Nacional de Información en Seguridad P</w:t>
      </w:r>
      <w:r>
        <w:rPr>
          <w:rFonts w:ascii="Palatino Linotype" w:eastAsia="Palatino Linotype" w:hAnsi="Palatino Linotype" w:cs="Palatino Linotype"/>
          <w:i/>
          <w:color w:val="000000"/>
        </w:rPr>
        <w:t>ública, el cual constituye el conjunto integrado, organizado y sistematizado de las Bases de Datos. Está integrado por elementos metodológicos y procedimentales que permiten a las Instituciones de Seguridad Pública su consulta e interconexión para el desem</w:t>
      </w:r>
      <w:r>
        <w:rPr>
          <w:rFonts w:ascii="Palatino Linotype" w:eastAsia="Palatino Linotype" w:hAnsi="Palatino Linotype" w:cs="Palatino Linotype"/>
          <w:i/>
          <w:color w:val="000000"/>
        </w:rPr>
        <w:t>peño de sus funciones.</w:t>
      </w:r>
    </w:p>
    <w:p w:rsidR="00E02518" w:rsidRDefault="00E02518">
      <w:pPr>
        <w:spacing w:line="360" w:lineRule="auto"/>
        <w:ind w:left="567" w:right="539"/>
        <w:jc w:val="both"/>
        <w:rPr>
          <w:rFonts w:ascii="Palatino Linotype" w:eastAsia="Palatino Linotype" w:hAnsi="Palatino Linotype" w:cs="Palatino Linotype"/>
          <w:i/>
          <w:color w:val="000000"/>
        </w:rPr>
      </w:pP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7.-</w:t>
      </w:r>
      <w:r>
        <w:rPr>
          <w:rFonts w:ascii="Palatino Linotype" w:eastAsia="Palatino Linotype" w:hAnsi="Palatino Linotype" w:cs="Palatino Linotype"/>
          <w:i/>
          <w:color w:val="000000"/>
        </w:rPr>
        <w:t xml:space="preserve"> Conforme a las bases que establece el artículo 21 de la Constitución Política de los Estados Unidos Mexicanos, las Instituciones de Seguridad Pública de la Federación, las entidades federativas y los Municipios, en el á</w:t>
      </w:r>
      <w:r>
        <w:rPr>
          <w:rFonts w:ascii="Palatino Linotype" w:eastAsia="Palatino Linotype" w:hAnsi="Palatino Linotype" w:cs="Palatino Linotype"/>
          <w:i/>
          <w:color w:val="000000"/>
        </w:rPr>
        <w:t>mbito de su competencia y en los términos de esta Ley, deberán coordinarse para:</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a VIII…</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IX. Generar, compartir, intercambiar, ingresar, almacenar y proveer información, archivos y contenidos a las Bases de Datos que integran el Sistema Nacional de Información, de conformidad con lo dispuesto en la legislación en la materia. </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Tratándose de man</w:t>
      </w:r>
      <w:r>
        <w:rPr>
          <w:rFonts w:ascii="Palatino Linotype" w:eastAsia="Palatino Linotype" w:hAnsi="Palatino Linotype" w:cs="Palatino Linotype"/>
          <w:i/>
          <w:color w:val="000000"/>
        </w:rPr>
        <w:t>ejo de datos que provengan del Registro Nacional de Detenciones se atendrá a lo dispuesto en la Ley Nacional del Registro de Detenciones;</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 a XVI…</w:t>
      </w:r>
    </w:p>
    <w:p w:rsidR="00E02518" w:rsidRDefault="00E02518">
      <w:pPr>
        <w:spacing w:line="360" w:lineRule="auto"/>
        <w:ind w:left="567" w:right="539"/>
        <w:jc w:val="both"/>
        <w:rPr>
          <w:rFonts w:ascii="Palatino Linotype" w:eastAsia="Palatino Linotype" w:hAnsi="Palatino Linotype" w:cs="Palatino Linotype"/>
          <w:i/>
          <w:color w:val="000000"/>
        </w:rPr>
      </w:pP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19.-</w:t>
      </w:r>
      <w:r>
        <w:rPr>
          <w:rFonts w:ascii="Palatino Linotype" w:eastAsia="Palatino Linotype" w:hAnsi="Palatino Linotype" w:cs="Palatino Linotype"/>
          <w:i/>
          <w:color w:val="000000"/>
        </w:rPr>
        <w:t xml:space="preserve"> El Centro Nacional de Información será el responsable de regular el Sistema Nacional de Inform</w:t>
      </w:r>
      <w:r>
        <w:rPr>
          <w:rFonts w:ascii="Palatino Linotype" w:eastAsia="Palatino Linotype" w:hAnsi="Palatino Linotype" w:cs="Palatino Linotype"/>
          <w:i/>
          <w:color w:val="000000"/>
        </w:rPr>
        <w:t xml:space="preserve">ación y tendrá, entre otras, las siguientes atribuciones: </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Determinar los criterios técnicos y de homologación de las Bases de Datos que conforman el Sistema Nacional de Información;</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II a VI…</w:t>
      </w:r>
    </w:p>
    <w:p w:rsidR="00E02518" w:rsidRDefault="00E02518">
      <w:pPr>
        <w:spacing w:line="360" w:lineRule="auto"/>
        <w:ind w:left="567" w:right="539"/>
        <w:jc w:val="both"/>
        <w:rPr>
          <w:rFonts w:ascii="Palatino Linotype" w:eastAsia="Palatino Linotype" w:hAnsi="Palatino Linotype" w:cs="Palatino Linotype"/>
          <w:i/>
          <w:color w:val="000000"/>
        </w:rPr>
      </w:pPr>
    </w:p>
    <w:p w:rsidR="00E02518" w:rsidRDefault="001447D8">
      <w:pPr>
        <w:spacing w:line="360" w:lineRule="auto"/>
        <w:ind w:left="567" w:right="539"/>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b/>
          <w:i/>
          <w:color w:val="000000"/>
          <w:u w:val="single"/>
        </w:rPr>
        <w:t>Artículo 39.- La concurrencia de facultades entre la Federación, las entidades federativas y los Municipios, quedará distribuida conforme a lo siguiente:</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A…</w:t>
      </w:r>
    </w:p>
    <w:p w:rsidR="00E02518" w:rsidRDefault="001447D8">
      <w:pPr>
        <w:spacing w:line="360" w:lineRule="auto"/>
        <w:ind w:left="567" w:right="539"/>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b/>
          <w:i/>
          <w:color w:val="000000"/>
          <w:u w:val="single"/>
        </w:rPr>
        <w:t>B. Corresponde a la Federación, a las entidades federativas y a los Municipios, en el ámbito de sus</w:t>
      </w:r>
      <w:r>
        <w:rPr>
          <w:rFonts w:ascii="Palatino Linotype" w:eastAsia="Palatino Linotype" w:hAnsi="Palatino Linotype" w:cs="Palatino Linotype"/>
          <w:b/>
          <w:i/>
          <w:color w:val="000000"/>
          <w:u w:val="single"/>
        </w:rPr>
        <w:t xml:space="preserve"> respectivas competencias:</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a V…</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VI. Designar a un responsable del control, suministro y adecuado manejo de la información a que se refiere esta Ley;</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XII a X…</w:t>
      </w:r>
    </w:p>
    <w:p w:rsidR="00E02518" w:rsidRDefault="001447D8">
      <w:pPr>
        <w:spacing w:line="360" w:lineRule="auto"/>
        <w:ind w:left="567" w:right="539"/>
        <w:jc w:val="both"/>
        <w:rPr>
          <w:rFonts w:ascii="Palatino Linotype" w:eastAsia="Palatino Linotype" w:hAnsi="Palatino Linotype" w:cs="Palatino Linotype"/>
          <w:b/>
          <w:i/>
          <w:color w:val="000000"/>
          <w:u w:val="single"/>
        </w:rPr>
      </w:pPr>
      <w:r>
        <w:rPr>
          <w:rFonts w:ascii="Palatino Linotype" w:eastAsia="Palatino Linotype" w:hAnsi="Palatino Linotype" w:cs="Palatino Linotype"/>
          <w:b/>
          <w:i/>
          <w:color w:val="000000"/>
          <w:u w:val="single"/>
        </w:rPr>
        <w:t>XI. Integrar y consultar la información relativa a la operación y Desarrollo Policial para el re</w:t>
      </w:r>
      <w:r>
        <w:rPr>
          <w:rFonts w:ascii="Palatino Linotype" w:eastAsia="Palatino Linotype" w:hAnsi="Palatino Linotype" w:cs="Palatino Linotype"/>
          <w:b/>
          <w:i/>
          <w:color w:val="000000"/>
          <w:u w:val="single"/>
        </w:rPr>
        <w:t xml:space="preserve">gistro y seguimiento en el Sistema Nacional de Información; </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XII a XV…</w:t>
      </w:r>
    </w:p>
    <w:p w:rsidR="00E02518" w:rsidRDefault="00E02518">
      <w:pPr>
        <w:spacing w:line="360" w:lineRule="auto"/>
        <w:ind w:left="567" w:right="539"/>
        <w:jc w:val="both"/>
        <w:rPr>
          <w:rFonts w:ascii="Palatino Linotype" w:eastAsia="Palatino Linotype" w:hAnsi="Palatino Linotype" w:cs="Palatino Linotype"/>
          <w:i/>
          <w:color w:val="000000"/>
        </w:rPr>
      </w:pP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118.-</w:t>
      </w:r>
      <w:r>
        <w:rPr>
          <w:rFonts w:ascii="Palatino Linotype" w:eastAsia="Palatino Linotype" w:hAnsi="Palatino Linotype" w:cs="Palatino Linotype"/>
          <w:i/>
          <w:color w:val="000000"/>
        </w:rPr>
        <w:t xml:space="preserve"> Las Bases de Datos que integran el Sistema Nacional de Información se actualizarán permanentemente y serán de consulta obligatoria para garantizar la efectividad en las </w:t>
      </w:r>
      <w:r>
        <w:rPr>
          <w:rFonts w:ascii="Palatino Linotype" w:eastAsia="Palatino Linotype" w:hAnsi="Palatino Linotype" w:cs="Palatino Linotype"/>
          <w:i/>
          <w:color w:val="000000"/>
        </w:rPr>
        <w:t xml:space="preserve">actividades de Seguridad Pública. </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Las Bases de Datos criminalísticas se conformarán de la información que aporten las instituciones de procuración de justicia y del sistema penitenciario, relativa a las investigaciones, órdenes de detención y aprehensión,</w:t>
      </w:r>
      <w:r>
        <w:rPr>
          <w:rFonts w:ascii="Palatino Linotype" w:eastAsia="Palatino Linotype" w:hAnsi="Palatino Linotype" w:cs="Palatino Linotype"/>
          <w:i/>
          <w:color w:val="000000"/>
        </w:rPr>
        <w:t xml:space="preserve"> procesos penales, sentencias o ejecución de penas.</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El Registro Nacional de Detenciones se vinculará con las Bases de Datos a que se refiere el presente artículo, mediante el número de identificación al que hace referencia la ley de la materia.</w:t>
      </w:r>
    </w:p>
    <w:p w:rsidR="00E02518" w:rsidRDefault="00E02518">
      <w:pPr>
        <w:spacing w:line="360" w:lineRule="auto"/>
        <w:ind w:left="567" w:right="539"/>
        <w:jc w:val="both"/>
        <w:rPr>
          <w:rFonts w:ascii="Palatino Linotype" w:eastAsia="Palatino Linotype" w:hAnsi="Palatino Linotype" w:cs="Palatino Linotype"/>
          <w:i/>
          <w:color w:val="000000"/>
        </w:rPr>
      </w:pPr>
    </w:p>
    <w:p w:rsidR="00E02518" w:rsidRDefault="001447D8">
      <w:pPr>
        <w:spacing w:line="360" w:lineRule="auto"/>
        <w:ind w:left="567" w:right="539"/>
        <w:jc w:val="both"/>
        <w:rPr>
          <w:rFonts w:ascii="Palatino Linotype" w:eastAsia="Palatino Linotype" w:hAnsi="Palatino Linotype" w:cs="Palatino Linotype"/>
          <w:b/>
          <w:i/>
          <w:color w:val="000000"/>
        </w:rPr>
      </w:pPr>
      <w:r>
        <w:rPr>
          <w:rFonts w:ascii="Palatino Linotype" w:eastAsia="Palatino Linotype" w:hAnsi="Palatino Linotype" w:cs="Palatino Linotype"/>
          <w:b/>
          <w:i/>
          <w:color w:val="000000"/>
        </w:rPr>
        <w:t>Ley Orgáni</w:t>
      </w:r>
      <w:r>
        <w:rPr>
          <w:rFonts w:ascii="Palatino Linotype" w:eastAsia="Palatino Linotype" w:hAnsi="Palatino Linotype" w:cs="Palatino Linotype"/>
          <w:b/>
          <w:i/>
          <w:color w:val="000000"/>
        </w:rPr>
        <w:t>ca Municipal del Estado de México</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125</w:t>
      </w:r>
      <w:r>
        <w:rPr>
          <w:rFonts w:ascii="Palatino Linotype" w:eastAsia="Palatino Linotype" w:hAnsi="Palatino Linotype" w:cs="Palatino Linotype"/>
          <w:i/>
          <w:color w:val="000000"/>
        </w:rPr>
        <w:t>.- Los municipios tendrán a su cargo la prestación, explotación, administración y conservación de los servicios públicos municipales, considerándose enunciativa y no limitativamente, los siguientes:</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a VII…</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lastRenderedPageBreak/>
        <w:t>VI</w:t>
      </w:r>
      <w:r>
        <w:rPr>
          <w:rFonts w:ascii="Palatino Linotype" w:eastAsia="Palatino Linotype" w:hAnsi="Palatino Linotype" w:cs="Palatino Linotype"/>
          <w:i/>
          <w:color w:val="000000"/>
        </w:rPr>
        <w:t>II. Seguridad pública y tránsito;</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IX a XI…</w:t>
      </w:r>
    </w:p>
    <w:p w:rsidR="00E02518" w:rsidRDefault="00E02518">
      <w:pPr>
        <w:spacing w:line="360" w:lineRule="auto"/>
        <w:ind w:left="567" w:right="539"/>
        <w:jc w:val="both"/>
        <w:rPr>
          <w:rFonts w:ascii="Palatino Linotype" w:eastAsia="Palatino Linotype" w:hAnsi="Palatino Linotype" w:cs="Palatino Linotype"/>
          <w:i/>
          <w:color w:val="000000"/>
        </w:rPr>
      </w:pP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142</w:t>
      </w:r>
      <w:r>
        <w:rPr>
          <w:rFonts w:ascii="Palatino Linotype" w:eastAsia="Palatino Linotype" w:hAnsi="Palatino Linotype" w:cs="Palatino Linotype"/>
          <w:i/>
          <w:color w:val="000000"/>
        </w:rPr>
        <w:t>.- Las funciones de seguridad pública del municipio en su respectivo ámbito de competencia, estarán a cargo de un Director de Seguridad Pública Municipal o su equivalente, el cual deberá ser nombrado en los términos y requisitos establecidos en la Ley de S</w:t>
      </w:r>
      <w:r>
        <w:rPr>
          <w:rFonts w:ascii="Palatino Linotype" w:eastAsia="Palatino Linotype" w:hAnsi="Palatino Linotype" w:cs="Palatino Linotype"/>
          <w:i/>
          <w:color w:val="000000"/>
        </w:rPr>
        <w:t>eguridad del Estado de México.</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 xml:space="preserve"> En cada municipio se deberán integrar cuerpos de seguridad pública, de bomberos y, en su caso, de tránsito, estos servidores públicos preferentemente serán vecinos del municipio, de los cuales el presidente municipal será el</w:t>
      </w:r>
      <w:r>
        <w:rPr>
          <w:rFonts w:ascii="Palatino Linotype" w:eastAsia="Palatino Linotype" w:hAnsi="Palatino Linotype" w:cs="Palatino Linotype"/>
          <w:i/>
          <w:color w:val="000000"/>
        </w:rPr>
        <w:t xml:space="preserve"> jefe inmediato”</w:t>
      </w:r>
    </w:p>
    <w:p w:rsidR="00E02518" w:rsidRDefault="00E02518">
      <w:pPr>
        <w:spacing w:line="360" w:lineRule="auto"/>
        <w:ind w:left="567" w:right="539"/>
        <w:jc w:val="both"/>
        <w:rPr>
          <w:rFonts w:ascii="Palatino Linotype" w:eastAsia="Palatino Linotype" w:hAnsi="Palatino Linotype" w:cs="Palatino Linotype"/>
          <w:i/>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ahí que deba arribarse a la premisa de que la Ley General del Sistema Nacional de Seguridad Pública </w:t>
      </w:r>
      <w:r>
        <w:rPr>
          <w:rFonts w:ascii="Palatino Linotype" w:eastAsia="Palatino Linotype" w:hAnsi="Palatino Linotype" w:cs="Palatino Linotype"/>
          <w:b/>
          <w:sz w:val="22"/>
          <w:szCs w:val="22"/>
        </w:rPr>
        <w:t>prevé un esquema de distribución de competencias entre la Federación, los Estados y los Municipio</w:t>
      </w:r>
      <w:r>
        <w:rPr>
          <w:rFonts w:ascii="Palatino Linotype" w:eastAsia="Palatino Linotype" w:hAnsi="Palatino Linotype" w:cs="Palatino Linotype"/>
          <w:sz w:val="22"/>
          <w:szCs w:val="22"/>
        </w:rPr>
        <w:t xml:space="preserve">s. Destacando con relación a estos últimos </w:t>
      </w:r>
      <w:r>
        <w:rPr>
          <w:rFonts w:ascii="Palatino Linotype" w:eastAsia="Palatino Linotype" w:hAnsi="Palatino Linotype" w:cs="Palatino Linotype"/>
          <w:b/>
          <w:sz w:val="22"/>
          <w:szCs w:val="22"/>
        </w:rPr>
        <w:t>la integración y actualización de diversas Bases de Datos</w:t>
      </w:r>
      <w:r>
        <w:rPr>
          <w:rFonts w:ascii="Palatino Linotype" w:eastAsia="Palatino Linotype" w:hAnsi="Palatino Linotype" w:cs="Palatino Linotype"/>
          <w:sz w:val="22"/>
          <w:szCs w:val="22"/>
        </w:rPr>
        <w:t>. Así las cosas, de la información requerida estriba dentro de las fronteras conceptuales del interés general y el alcance público, robustece lo anterior lo</w:t>
      </w:r>
      <w:r>
        <w:rPr>
          <w:rFonts w:ascii="Palatino Linotype" w:eastAsia="Palatino Linotype" w:hAnsi="Palatino Linotype" w:cs="Palatino Linotype"/>
          <w:sz w:val="22"/>
          <w:szCs w:val="22"/>
        </w:rPr>
        <w:t>s artículos 24, fracción XII y 92, fracción XXXIV de la Ley de Transparencia y Acceso a la Información Pública del Estado de México y Municipios, normatividad invocada cuyo contenido literal es el siguiente: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sz w:val="22"/>
          <w:szCs w:val="22"/>
        </w:rPr>
        <w:t>“</w:t>
      </w:r>
      <w:r>
        <w:rPr>
          <w:rFonts w:ascii="Palatino Linotype" w:eastAsia="Palatino Linotype" w:hAnsi="Palatino Linotype" w:cs="Palatino Linotype"/>
          <w:i/>
          <w:color w:val="000000"/>
        </w:rPr>
        <w:t>Artículo 24. Para el cumplimiento de los objet</w:t>
      </w:r>
      <w:r>
        <w:rPr>
          <w:rFonts w:ascii="Palatino Linotype" w:eastAsia="Palatino Linotype" w:hAnsi="Palatino Linotype" w:cs="Palatino Linotype"/>
          <w:i/>
          <w:color w:val="000000"/>
        </w:rPr>
        <w:t>ivos de esta Ley, los sujetos obligados deberán cumplir con las siguientes obligaciones, según corresponda, de acuerdo a su naturaleza:</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a XI…</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XII. Publicar y mantener actualizada la información relativa a las obligaciones generales de transparencia previ</w:t>
      </w:r>
      <w:r>
        <w:rPr>
          <w:rFonts w:ascii="Palatino Linotype" w:eastAsia="Palatino Linotype" w:hAnsi="Palatino Linotype" w:cs="Palatino Linotype"/>
          <w:i/>
          <w:color w:val="000000"/>
        </w:rPr>
        <w:t>stas en la presente Ley o determinadas así por el Instituto, y en general aquella que sea de interés público;</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XIII a XXV…</w:t>
      </w:r>
    </w:p>
    <w:p w:rsidR="00E02518" w:rsidRDefault="00E02518">
      <w:pPr>
        <w:spacing w:line="360" w:lineRule="auto"/>
        <w:ind w:left="567" w:right="539"/>
        <w:jc w:val="both"/>
        <w:rPr>
          <w:rFonts w:ascii="Palatino Linotype" w:eastAsia="Palatino Linotype" w:hAnsi="Palatino Linotype" w:cs="Palatino Linotype"/>
          <w:i/>
          <w:color w:val="000000"/>
        </w:rPr>
      </w:pP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b/>
          <w:i/>
          <w:color w:val="000000"/>
        </w:rPr>
        <w:t>Artículo 92.</w:t>
      </w:r>
      <w:r>
        <w:rPr>
          <w:rFonts w:ascii="Palatino Linotype" w:eastAsia="Palatino Linotype" w:hAnsi="Palatino Linotype" w:cs="Palatino Linotype"/>
          <w:i/>
          <w:color w:val="000000"/>
        </w:rPr>
        <w:t xml:space="preserve"> Los sujetos obligados deberán poner a disposición del público de manera permanente y actualizada de forma sencilla, prec</w:t>
      </w:r>
      <w:r>
        <w:rPr>
          <w:rFonts w:ascii="Palatino Linotype" w:eastAsia="Palatino Linotype" w:hAnsi="Palatino Linotype" w:cs="Palatino Linotype"/>
          <w:i/>
          <w:color w:val="000000"/>
        </w:rPr>
        <w:t>isa y entendible, en los respectivos medios electrónicos, de acuerdo con sus facultades, atribuciones, funciones u objeto social, según corresponda, la información, por lo menos, de los temas, documentos y políticas que a continuación se señalan:</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I a XXXII</w:t>
      </w:r>
      <w:r>
        <w:rPr>
          <w:rFonts w:ascii="Palatino Linotype" w:eastAsia="Palatino Linotype" w:hAnsi="Palatino Linotype" w:cs="Palatino Linotype"/>
          <w:i/>
          <w:color w:val="000000"/>
        </w:rPr>
        <w:t>I…</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XXXIV. Las estadísticas que generen en cumplimiento de sus facultades, competencias o funciones con la mayor desagregación posible</w:t>
      </w:r>
    </w:p>
    <w:p w:rsidR="00E02518" w:rsidRDefault="001447D8">
      <w:pPr>
        <w:spacing w:line="360" w:lineRule="auto"/>
        <w:ind w:left="567" w:right="539"/>
        <w:jc w:val="both"/>
        <w:rPr>
          <w:rFonts w:ascii="Palatino Linotype" w:eastAsia="Palatino Linotype" w:hAnsi="Palatino Linotype" w:cs="Palatino Linotype"/>
          <w:i/>
          <w:color w:val="000000"/>
        </w:rPr>
      </w:pPr>
      <w:r>
        <w:rPr>
          <w:rFonts w:ascii="Palatino Linotype" w:eastAsia="Palatino Linotype" w:hAnsi="Palatino Linotype" w:cs="Palatino Linotype"/>
          <w:i/>
          <w:color w:val="000000"/>
        </w:rPr>
        <w:t>XXXV a LII…”</w:t>
      </w:r>
    </w:p>
    <w:p w:rsidR="00E02518" w:rsidRDefault="00E02518">
      <w:pPr>
        <w:spacing w:line="360" w:lineRule="auto"/>
        <w:ind w:left="567" w:right="539"/>
        <w:jc w:val="both"/>
        <w:rPr>
          <w:rFonts w:ascii="Palatino Linotype" w:eastAsia="Palatino Linotype" w:hAnsi="Palatino Linotype" w:cs="Palatino Linotype"/>
          <w:i/>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forma complementaria, resulta de nuestro particular interés el criterio 008/2023 emitido por el Instituto</w:t>
      </w:r>
      <w:r>
        <w:rPr>
          <w:rFonts w:ascii="Palatino Linotype" w:eastAsia="Palatino Linotype" w:hAnsi="Palatino Linotype" w:cs="Palatino Linotype"/>
          <w:sz w:val="22"/>
          <w:szCs w:val="22"/>
        </w:rPr>
        <w:t xml:space="preserve"> Nacional de Transparencia, Acceso a la Información y Protección de Datos Personales, que a la letra dispone lo siguiente: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ind w:left="567" w:right="539"/>
        <w:jc w:val="both"/>
        <w:rPr>
          <w:rFonts w:ascii="Palatino Linotype" w:eastAsia="Palatino Linotype" w:hAnsi="Palatino Linotype" w:cs="Palatino Linotype"/>
          <w:b/>
          <w:i/>
          <w:color w:val="000000"/>
        </w:rPr>
      </w:pPr>
      <w:r>
        <w:rPr>
          <w:rFonts w:ascii="Palatino Linotype" w:eastAsia="Palatino Linotype" w:hAnsi="Palatino Linotype" w:cs="Palatino Linotype"/>
          <w:i/>
          <w:color w:val="000000"/>
        </w:rPr>
        <w:t>“</w:t>
      </w:r>
      <w:r>
        <w:rPr>
          <w:rFonts w:ascii="Palatino Linotype" w:eastAsia="Palatino Linotype" w:hAnsi="Palatino Linotype" w:cs="Palatino Linotype"/>
          <w:b/>
          <w:i/>
          <w:color w:val="000000"/>
        </w:rPr>
        <w:t>Ejercicio del derecho de Acceso a la Información Pública. La información estadística es de naturaleza pública, independientemente d</w:t>
      </w:r>
      <w:r>
        <w:rPr>
          <w:rFonts w:ascii="Palatino Linotype" w:eastAsia="Palatino Linotype" w:hAnsi="Palatino Linotype" w:cs="Palatino Linotype"/>
          <w:b/>
          <w:i/>
          <w:color w:val="000000"/>
        </w:rPr>
        <w:t xml:space="preserve">e la materia con la que se encuentre vinculada. </w:t>
      </w:r>
      <w:r>
        <w:rPr>
          <w:rFonts w:ascii="Palatino Linotype" w:eastAsia="Palatino Linotype" w:hAnsi="Palatino Linotype" w:cs="Palatino Linotype"/>
          <w:i/>
          <w:color w:val="000000"/>
        </w:rPr>
        <w:t xml:space="preserve">Considerando que la información estadística es el producto de un conjunto de resultados cuantitativos obtenidos de un proceso sistemático de captación de datos primarios obtenidos sobre hechos que constan en </w:t>
      </w:r>
      <w:r>
        <w:rPr>
          <w:rFonts w:ascii="Palatino Linotype" w:eastAsia="Palatino Linotype" w:hAnsi="Palatino Linotype" w:cs="Palatino Linotype"/>
          <w:i/>
          <w:color w:val="000000"/>
        </w:rPr>
        <w:t>documentos que los sujetos obligados poseen, derivado del ejercicio de sus atribuciones; con base en lo dispuesto por el artículo 70 fracción XLVIII de la Ley General de Transparencia y Acceso a la Información Pública, los sujetos obligados deberán poner a</w:t>
      </w:r>
      <w:r>
        <w:rPr>
          <w:rFonts w:ascii="Palatino Linotype" w:eastAsia="Palatino Linotype" w:hAnsi="Palatino Linotype" w:cs="Palatino Linotype"/>
          <w:i/>
          <w:color w:val="000000"/>
        </w:rPr>
        <w:t xml:space="preserve"> disposición del público, entre otra, la relativa a la que con base en la información estadística, responda a las preguntas hechas con más frecuencia por el público, por lo que es posible afirmar que la información estadística es de naturaleza pública, sie</w:t>
      </w:r>
      <w:r>
        <w:rPr>
          <w:rFonts w:ascii="Palatino Linotype" w:eastAsia="Palatino Linotype" w:hAnsi="Palatino Linotype" w:cs="Palatino Linotype"/>
          <w:i/>
          <w:color w:val="000000"/>
        </w:rPr>
        <w:t>mpre y cuando los datos estadísticos no se encuentren individualizados o personalizados a casos o situaciones específicas, que pudieran llegar a justificar su clasificación</w:t>
      </w:r>
      <w:r>
        <w:rPr>
          <w:rFonts w:ascii="Palatino Linotype" w:eastAsia="Palatino Linotype" w:hAnsi="Palatino Linotype" w:cs="Palatino Linotype"/>
          <w:b/>
          <w:i/>
          <w:color w:val="000000"/>
        </w:rPr>
        <w:t>.”</w:t>
      </w:r>
    </w:p>
    <w:p w:rsidR="00E02518" w:rsidRDefault="00E02518">
      <w:pPr>
        <w:spacing w:line="360" w:lineRule="auto"/>
        <w:ind w:left="567" w:right="539"/>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sz w:val="22"/>
          <w:szCs w:val="22"/>
        </w:rPr>
        <w:lastRenderedPageBreak/>
        <w:t>Con base en lo expuesto, se arriba a la conclusión de que la esfera competencial del Sujeto Obligado lo constriñe a generar, poseer y administrar la información estadística relacionada con los delitos cometidos en el territorio municipal, y de la cual pued</w:t>
      </w:r>
      <w:r>
        <w:rPr>
          <w:rFonts w:ascii="Palatino Linotype" w:eastAsia="Palatino Linotype" w:hAnsi="Palatino Linotype" w:cs="Palatino Linotype"/>
          <w:sz w:val="22"/>
          <w:szCs w:val="22"/>
        </w:rPr>
        <w:t>e conocer del tipo de delito y sí se llevaron a cabo dentro del fraccionamiento.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Al respecto, cabe señalar que el Sujeto Obligado en respuesta indicó una liga electrónica en formato no abierto, para acceder </w:t>
      </w:r>
      <w:r>
        <w:rPr>
          <w:rFonts w:ascii="Palatino Linotype" w:eastAsia="Palatino Linotype" w:hAnsi="Palatino Linotype" w:cs="Palatino Linotype"/>
          <w:sz w:val="22"/>
          <w:szCs w:val="22"/>
        </w:rPr>
        <w:t>a la página oficial del Secretariado Ejecutivo d</w:t>
      </w:r>
      <w:r>
        <w:rPr>
          <w:rFonts w:ascii="Palatino Linotype" w:eastAsia="Palatino Linotype" w:hAnsi="Palatino Linotype" w:cs="Palatino Linotype"/>
          <w:sz w:val="22"/>
          <w:szCs w:val="22"/>
        </w:rPr>
        <w:t>el Sistema Nacional de Seguridad Pública. Al respecto, es preciso establecer que al proporcionar información pública es necesario que sea en un formato que no tenga ninguna restricción en el acceso o reutilización, por lo que, es necesario que los datos di</w:t>
      </w:r>
      <w:r>
        <w:rPr>
          <w:rFonts w:ascii="Palatino Linotype" w:eastAsia="Palatino Linotype" w:hAnsi="Palatino Linotype" w:cs="Palatino Linotype"/>
          <w:sz w:val="22"/>
          <w:szCs w:val="22"/>
        </w:rPr>
        <w:t>gitales (como ligas electrónicas), se proporcionen en un formato abierto.</w:t>
      </w: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el artículo 3°, fracción VI y X, de la Ley General de Transparencia y Acceso a la Información Pública, con relación, al diverso 3°, fracciones VIII y XVI de la Ley</w:t>
      </w:r>
      <w:r>
        <w:rPr>
          <w:rFonts w:ascii="Palatino Linotype" w:eastAsia="Palatino Linotype" w:hAnsi="Palatino Linotype" w:cs="Palatino Linotype"/>
          <w:sz w:val="22"/>
          <w:szCs w:val="22"/>
        </w:rPr>
        <w:t xml:space="preserve"> de Transparencia y Acceso a la Información Pública del Estado de México y Municipios, precisan lo siguiente:</w:t>
      </w: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E02518" w:rsidRDefault="001447D8">
      <w:pPr>
        <w:numPr>
          <w:ilvl w:val="0"/>
          <w:numId w:val="1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Dato abierto:</w:t>
      </w:r>
      <w:r>
        <w:rPr>
          <w:rFonts w:ascii="Palatino Linotype" w:eastAsia="Palatino Linotype" w:hAnsi="Palatino Linotype" w:cs="Palatino Linotype"/>
          <w:sz w:val="22"/>
          <w:szCs w:val="22"/>
        </w:rPr>
        <w:t> Datos digitales de carácter público que son accesibles en línea que pueden ser usados, reutilizados y redistribuidos por cualquier persona, mismos que se conforman de diversas características, entre las cuales se encuentra que se encuentren en formatos ab</w:t>
      </w:r>
      <w:r>
        <w:rPr>
          <w:rFonts w:ascii="Palatino Linotype" w:eastAsia="Palatino Linotype" w:hAnsi="Palatino Linotype" w:cs="Palatino Linotype"/>
          <w:sz w:val="22"/>
          <w:szCs w:val="22"/>
        </w:rPr>
        <w:t>iertos.</w:t>
      </w: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E02518" w:rsidRDefault="001447D8">
      <w:pPr>
        <w:numPr>
          <w:ilvl w:val="0"/>
          <w:numId w:val="13"/>
        </w:num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Formato accesible:</w:t>
      </w:r>
      <w:r>
        <w:rPr>
          <w:rFonts w:ascii="Palatino Linotype" w:eastAsia="Palatino Linotype" w:hAnsi="Palatino Linotype" w:cs="Palatino Linotype"/>
          <w:sz w:val="22"/>
          <w:szCs w:val="22"/>
        </w:rPr>
        <w:t xml:space="preserve"> Conjunto de características técnicas y de presentación de la información que corresponden a la estructura lógica usada para almacenar datos de forma integral y facilitan su procesamiento digital, cuyas especificaciones estás </w:t>
      </w:r>
      <w:r>
        <w:rPr>
          <w:rFonts w:ascii="Palatino Linotype" w:eastAsia="Palatino Linotype" w:hAnsi="Palatino Linotype" w:cs="Palatino Linotype"/>
          <w:sz w:val="22"/>
          <w:szCs w:val="22"/>
        </w:rPr>
        <w:lastRenderedPageBreak/>
        <w:t>di</w:t>
      </w:r>
      <w:r>
        <w:rPr>
          <w:rFonts w:ascii="Palatino Linotype" w:eastAsia="Palatino Linotype" w:hAnsi="Palatino Linotype" w:cs="Palatino Linotype"/>
          <w:sz w:val="22"/>
          <w:szCs w:val="22"/>
        </w:rPr>
        <w:t>sponibles públicamente y que permite el acceso sin restricción de uso por parte de los usuarios.</w:t>
      </w: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considera que en el caso de que la información peticionada obre en ligas electrónicas, el Sujeto Obligado deberá privilegiar la en</w:t>
      </w:r>
      <w:r>
        <w:rPr>
          <w:rFonts w:ascii="Palatino Linotype" w:eastAsia="Palatino Linotype" w:hAnsi="Palatino Linotype" w:cs="Palatino Linotype"/>
          <w:sz w:val="22"/>
          <w:szCs w:val="22"/>
        </w:rPr>
        <w:t>trega de estas, en datos abiertos, es decir, en un formato que permita la accesibilidad y facilidad a los Particulares, para obtener la información contenida estas.</w:t>
      </w: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w:t>
      </w: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Al respecto, el artículo 161 de la Ley de Transparencia y Acceso a la Información Pública</w:t>
      </w:r>
      <w:r>
        <w:rPr>
          <w:rFonts w:ascii="Palatino Linotype" w:eastAsia="Palatino Linotype" w:hAnsi="Palatino Linotype" w:cs="Palatino Linotype"/>
          <w:sz w:val="22"/>
          <w:szCs w:val="22"/>
        </w:rPr>
        <w:t xml:space="preserve"> del Estado de México y Municipios, establece que cuando la documentación peticionada ya se encuentra disponible al público, entre otros, en formatos electrónicos disponibles en internet, los sujetos obligados cumplirán el derecho de acceso a la informació</w:t>
      </w:r>
      <w:r>
        <w:rPr>
          <w:rFonts w:ascii="Palatino Linotype" w:eastAsia="Palatino Linotype" w:hAnsi="Palatino Linotype" w:cs="Palatino Linotype"/>
          <w:sz w:val="22"/>
          <w:szCs w:val="22"/>
        </w:rPr>
        <w:t>n, cuando le hagan saber de manera precisa a los solicitantes, la fuente, el lugar y la forma en que se puede obtener la información.</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Como se logra observar, el Sujeto Obligado si bien señaló una página electrónica, omitió proporcionarla en formato abiert</w:t>
      </w:r>
      <w:r>
        <w:rPr>
          <w:rFonts w:ascii="Palatino Linotype" w:eastAsia="Palatino Linotype" w:hAnsi="Palatino Linotype" w:cs="Palatino Linotype"/>
          <w:sz w:val="22"/>
          <w:szCs w:val="22"/>
        </w:rPr>
        <w:t>o, lo cual implica la dificultad de acceder a la misma, pues se traduce al hecho de que la Particular tendría que colocar cada dígito alfanumérico, y cuya equivocación implicaría no acceder a la información contenida en las mismas. Sin menoscabar lo anteri</w:t>
      </w:r>
      <w:r>
        <w:rPr>
          <w:rFonts w:ascii="Palatino Linotype" w:eastAsia="Palatino Linotype" w:hAnsi="Palatino Linotype" w:cs="Palatino Linotype"/>
          <w:sz w:val="22"/>
          <w:szCs w:val="22"/>
        </w:rPr>
        <w:t xml:space="preserve">or, este Organismo Garante revisó la liga electrónica remitida, sin embargo, remite a una página Secretariado Ejecutivo del Sistema Nacional de Seguridad Pública, en la que se tiene que seleccionar el apartado de </w:t>
      </w:r>
      <w:r>
        <w:rPr>
          <w:rFonts w:ascii="Palatino Linotype" w:eastAsia="Palatino Linotype" w:hAnsi="Palatino Linotype" w:cs="Palatino Linotype"/>
          <w:i/>
          <w:sz w:val="22"/>
          <w:szCs w:val="22"/>
        </w:rPr>
        <w:t>Consulta la información de incidencia delic</w:t>
      </w:r>
      <w:r>
        <w:rPr>
          <w:rFonts w:ascii="Palatino Linotype" w:eastAsia="Palatino Linotype" w:hAnsi="Palatino Linotype" w:cs="Palatino Linotype"/>
          <w:i/>
          <w:sz w:val="22"/>
          <w:szCs w:val="22"/>
        </w:rPr>
        <w:t xml:space="preserve">tiva con corte al 31 de agosto de 2024 aquí., </w:t>
      </w:r>
      <w:r>
        <w:rPr>
          <w:rFonts w:ascii="Palatino Linotype" w:eastAsia="Palatino Linotype" w:hAnsi="Palatino Linotype" w:cs="Palatino Linotype"/>
          <w:sz w:val="22"/>
          <w:szCs w:val="22"/>
        </w:rPr>
        <w:t>la cual remite a otro menú para seleccionar la forma en la que se requiere la información, por tanto, se aprecia que no corresponde con lo solicitado.</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atención a lo antes expuesto, es dable considerar que e</w:t>
      </w:r>
      <w:r>
        <w:rPr>
          <w:rFonts w:ascii="Palatino Linotype" w:eastAsia="Palatino Linotype" w:hAnsi="Palatino Linotype" w:cs="Palatino Linotype"/>
          <w:sz w:val="22"/>
          <w:szCs w:val="22"/>
        </w:rPr>
        <w:t>l Sujeto Obligado tiene competencia para conocer de lo solicitado, por tanto es procedente ordenar la entrega de incidencia delictiva, al mayor grado de desagregación posible, por el periodo solicitado, para el caso de tener datos personales confidenciales</w:t>
      </w:r>
      <w:r>
        <w:rPr>
          <w:rFonts w:ascii="Palatino Linotype" w:eastAsia="Palatino Linotype" w:hAnsi="Palatino Linotype" w:cs="Palatino Linotype"/>
          <w:sz w:val="22"/>
          <w:szCs w:val="22"/>
        </w:rPr>
        <w:t>; para el caso de ser necesarias las versiones públicas, deberá proporcionar el Acuerdo de Clasificación donde el Comité de Transparencia, confirme la eliminación de los datos clasificados como confidenciales, de conformidad con los artículos 49, fraccione</w:t>
      </w:r>
      <w:r>
        <w:rPr>
          <w:rFonts w:ascii="Palatino Linotype" w:eastAsia="Palatino Linotype" w:hAnsi="Palatino Linotype" w:cs="Palatino Linotype"/>
          <w:sz w:val="22"/>
          <w:szCs w:val="22"/>
        </w:rPr>
        <w:t>s II y VIII, 132, fracción II, 143, fracción I y 149, de la Ley de Transparencia y Acceso a la Información Pública del Estado de México y Municipios.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igual forma, para el caso de que la información que se ordena entregar sobre la incidencia no obre en </w:t>
      </w:r>
      <w:r>
        <w:rPr>
          <w:rFonts w:ascii="Palatino Linotype" w:eastAsia="Palatino Linotype" w:hAnsi="Palatino Linotype" w:cs="Palatino Linotype"/>
          <w:sz w:val="22"/>
          <w:szCs w:val="22"/>
        </w:rPr>
        <w:t>los archivos del Sujeto Obligado, por no haber sido generada o no la tenga respecto al fraccionamiento, bastará con que lo haga del conocimiento del Recurrente, de manera precisa y clara.</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Cabe señalar que la parte Solicitante también requirió </w:t>
      </w:r>
      <w:r>
        <w:rPr>
          <w:rFonts w:ascii="Palatino Linotype" w:eastAsia="Palatino Linotype" w:hAnsi="Palatino Linotype" w:cs="Palatino Linotype"/>
          <w:b/>
          <w:sz w:val="22"/>
          <w:szCs w:val="22"/>
        </w:rPr>
        <w:t>las evidenci</w:t>
      </w:r>
      <w:r>
        <w:rPr>
          <w:rFonts w:ascii="Palatino Linotype" w:eastAsia="Palatino Linotype" w:hAnsi="Palatino Linotype" w:cs="Palatino Linotype"/>
          <w:b/>
          <w:sz w:val="22"/>
          <w:szCs w:val="22"/>
        </w:rPr>
        <w:t>as que den cuenta de las acciones y evidencias que realizó el Sujeto Obligado para combatir las denuncias o delitos</w:t>
      </w:r>
      <w:r>
        <w:rPr>
          <w:rFonts w:ascii="Palatino Linotype" w:eastAsia="Palatino Linotype" w:hAnsi="Palatino Linotype" w:cs="Palatino Linotype"/>
          <w:sz w:val="22"/>
          <w:szCs w:val="22"/>
        </w:rPr>
        <w:t xml:space="preserve"> señalados en el reporte solicitado en el punto que nos ocupa; al respecto se debe tener en cuenta que la información puede actualizar algún </w:t>
      </w:r>
      <w:r>
        <w:rPr>
          <w:rFonts w:ascii="Palatino Linotype" w:eastAsia="Palatino Linotype" w:hAnsi="Palatino Linotype" w:cs="Palatino Linotype"/>
          <w:sz w:val="22"/>
          <w:szCs w:val="22"/>
        </w:rPr>
        <w:t>supuesto de clasificación, al respecto, es importante señalar que el artículo 6°, Apartado A), fracción I de la Constitución Política de los Estados Unidos Mexicanos, establece que toda la información en posesión de cualquier autoridad, es pública y sólo p</w:t>
      </w:r>
      <w:r>
        <w:rPr>
          <w:rFonts w:ascii="Palatino Linotype" w:eastAsia="Palatino Linotype" w:hAnsi="Palatino Linotype" w:cs="Palatino Linotype"/>
          <w:sz w:val="22"/>
          <w:szCs w:val="22"/>
        </w:rPr>
        <w:t>odrá ser reservada temporalmente por razones de interés público.</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Entonces, se prevé que la información es pública salvo los casos de excepción que prevén las leyes; al respecto, la Ley de Transparencia y Acceso a la Información Pública del Estado de Méxic</w:t>
      </w:r>
      <w:r>
        <w:rPr>
          <w:rFonts w:ascii="Palatino Linotype" w:eastAsia="Palatino Linotype" w:hAnsi="Palatino Linotype" w:cs="Palatino Linotype"/>
          <w:sz w:val="22"/>
          <w:szCs w:val="22"/>
        </w:rPr>
        <w:t>o y Municipios en materia de clasificación hay dos supuestos, a saber, los siguientes: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Confidencial</w:t>
      </w:r>
      <w:r>
        <w:rPr>
          <w:rFonts w:ascii="Palatino Linotype" w:eastAsia="Palatino Linotype" w:hAnsi="Palatino Linotype" w:cs="Palatino Linotype"/>
          <w:color w:val="000000"/>
          <w:sz w:val="22"/>
          <w:szCs w:val="22"/>
        </w:rPr>
        <w:t>: Se trata de datos personales o de la vida privada de una persona física o jurídico-colectiva y encuentran su sustento legal en el artículo 143 de la Ley d</w:t>
      </w:r>
      <w:r>
        <w:rPr>
          <w:rFonts w:ascii="Palatino Linotype" w:eastAsia="Palatino Linotype" w:hAnsi="Palatino Linotype" w:cs="Palatino Linotype"/>
          <w:color w:val="000000"/>
          <w:sz w:val="22"/>
          <w:szCs w:val="22"/>
        </w:rPr>
        <w:t>e Transparencia y Acceso a la Información Pública del Estado de México y Municipios</w:t>
      </w:r>
    </w:p>
    <w:p w:rsidR="00E02518" w:rsidRDefault="00E0251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E02518" w:rsidRDefault="001447D8">
      <w:pPr>
        <w:numPr>
          <w:ilvl w:val="0"/>
          <w:numId w:val="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Reservada:</w:t>
      </w:r>
      <w:r>
        <w:rPr>
          <w:rFonts w:ascii="Palatino Linotype" w:eastAsia="Palatino Linotype" w:hAnsi="Palatino Linotype" w:cs="Palatino Linotype"/>
          <w:color w:val="000000"/>
          <w:sz w:val="22"/>
          <w:szCs w:val="22"/>
        </w:rPr>
        <w:t xml:space="preserve"> Es información de carácter público, que no puede ser proporcionada al actualizar alguna de las causales establecidas en el artículo 140 de la Ley de Transparencia y Acceso a la Información Pública del Estado de México y Municipios y demás aplicables.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As</w:t>
      </w:r>
      <w:r>
        <w:rPr>
          <w:rFonts w:ascii="Palatino Linotype" w:eastAsia="Palatino Linotype" w:hAnsi="Palatino Linotype" w:cs="Palatino Linotype"/>
          <w:sz w:val="22"/>
          <w:szCs w:val="22"/>
        </w:rPr>
        <w:t>í pues, existen dos supuestos para la restricción del acceso a la información; que implica que la información solicitada se trate de datos personales confidenciales o que se actualice algún supuesto de reserva.</w:t>
      </w:r>
    </w:p>
    <w:p w:rsidR="00E02518" w:rsidRDefault="00E02518">
      <w:pPr>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D0D0D"/>
          <w:sz w:val="22"/>
          <w:szCs w:val="22"/>
        </w:rPr>
        <w:t xml:space="preserve">Al respecto, cabe precisar, que conforme al </w:t>
      </w:r>
      <w:r>
        <w:rPr>
          <w:rFonts w:ascii="Palatino Linotype" w:eastAsia="Palatino Linotype" w:hAnsi="Palatino Linotype" w:cs="Palatino Linotype"/>
          <w:color w:val="0D0D0D"/>
          <w:sz w:val="22"/>
          <w:szCs w:val="22"/>
        </w:rPr>
        <w:t xml:space="preserve">artículo 20 de la Ley de Transparencia y Acceso a la Información Pública del Estado de México y Municipios, </w:t>
      </w:r>
      <w:r>
        <w:rPr>
          <w:rFonts w:ascii="Palatino Linotype" w:eastAsia="Palatino Linotype" w:hAnsi="Palatino Linotype" w:cs="Palatino Linotype"/>
          <w:b/>
          <w:color w:val="0D0D0D"/>
          <w:sz w:val="22"/>
          <w:szCs w:val="22"/>
        </w:rPr>
        <w:t>ante la negativa de acceso a la información o su inexistencia, el sujeto obligado deberá demostrar que encuentra en alguna de las excepciones establ</w:t>
      </w:r>
      <w:r>
        <w:rPr>
          <w:rFonts w:ascii="Palatino Linotype" w:eastAsia="Palatino Linotype" w:hAnsi="Palatino Linotype" w:cs="Palatino Linotype"/>
          <w:b/>
          <w:color w:val="0D0D0D"/>
          <w:sz w:val="22"/>
          <w:szCs w:val="22"/>
        </w:rPr>
        <w:t>ecidas en la normatividad aplicable.</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En ese sentido, según Trujillo, Humberto (2019), en el “Diccionario de Transparencia y Acceso a la Información Pública” (p. 201), </w:t>
      </w:r>
      <w:r>
        <w:rPr>
          <w:rFonts w:ascii="Palatino Linotype" w:eastAsia="Palatino Linotype" w:hAnsi="Palatino Linotype" w:cs="Palatino Linotype"/>
          <w:b/>
          <w:color w:val="0D0D0D"/>
          <w:sz w:val="22"/>
          <w:szCs w:val="22"/>
        </w:rPr>
        <w:t xml:space="preserve">la negativa de acceso a la información </w:t>
      </w:r>
      <w:r>
        <w:rPr>
          <w:rFonts w:ascii="Palatino Linotype" w:eastAsia="Palatino Linotype" w:hAnsi="Palatino Linotype" w:cs="Palatino Linotype"/>
          <w:color w:val="0D0D0D"/>
          <w:sz w:val="22"/>
          <w:szCs w:val="22"/>
        </w:rPr>
        <w:t>ocurre cuanto de manera fundada y motivada, una a</w:t>
      </w:r>
      <w:r>
        <w:rPr>
          <w:rFonts w:ascii="Palatino Linotype" w:eastAsia="Palatino Linotype" w:hAnsi="Palatino Linotype" w:cs="Palatino Linotype"/>
          <w:color w:val="0D0D0D"/>
          <w:sz w:val="22"/>
          <w:szCs w:val="22"/>
        </w:rPr>
        <w:t xml:space="preserve">utoridad la niega o la limita, por alguna de las siguientes razones: </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numPr>
          <w:ilvl w:val="0"/>
          <w:numId w:val="3"/>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lastRenderedPageBreak/>
        <w:t xml:space="preserve">La inexistencia de la información (p. 171): </w:t>
      </w:r>
      <w:r>
        <w:rPr>
          <w:rFonts w:ascii="Palatino Linotype" w:eastAsia="Palatino Linotype" w:hAnsi="Palatino Linotype" w:cs="Palatino Linotype"/>
          <w:color w:val="0D0D0D"/>
          <w:sz w:val="22"/>
          <w:szCs w:val="22"/>
        </w:rPr>
        <w:t>Sucede cuando la información solicitada no se encuentra en los archivos públicos o clasificados de los entes sujetos a las Leyes de Transpare</w:t>
      </w:r>
      <w:r>
        <w:rPr>
          <w:rFonts w:ascii="Palatino Linotype" w:eastAsia="Palatino Linotype" w:hAnsi="Palatino Linotype" w:cs="Palatino Linotype"/>
          <w:color w:val="0D0D0D"/>
          <w:sz w:val="22"/>
          <w:szCs w:val="22"/>
        </w:rPr>
        <w:t>ncia.</w:t>
      </w:r>
    </w:p>
    <w:p w:rsidR="00E02518" w:rsidRDefault="00E02518">
      <w:pPr>
        <w:spacing w:line="360" w:lineRule="auto"/>
        <w:ind w:left="720"/>
        <w:jc w:val="both"/>
        <w:rPr>
          <w:rFonts w:ascii="Palatino Linotype" w:eastAsia="Palatino Linotype" w:hAnsi="Palatino Linotype" w:cs="Palatino Linotype"/>
          <w:b/>
          <w:color w:val="0D0D0D"/>
          <w:sz w:val="22"/>
          <w:szCs w:val="22"/>
        </w:rPr>
      </w:pPr>
    </w:p>
    <w:p w:rsidR="00E02518" w:rsidRDefault="001447D8">
      <w:pPr>
        <w:numPr>
          <w:ilvl w:val="0"/>
          <w:numId w:val="3"/>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La incompetencia del Sujeto Obligado (p. 171): </w:t>
      </w:r>
      <w:r>
        <w:rPr>
          <w:rFonts w:ascii="Palatino Linotype" w:eastAsia="Palatino Linotype" w:hAnsi="Palatino Linotype" w:cs="Palatino Linotype"/>
          <w:color w:val="0D0D0D"/>
          <w:sz w:val="22"/>
          <w:szCs w:val="22"/>
        </w:rPr>
        <w:t>Ocurre cuando el Sujeto Obligado carece de atribuciones para poseer la información peticionada.</w:t>
      </w:r>
    </w:p>
    <w:p w:rsidR="00E02518" w:rsidRDefault="00E02518">
      <w:pPr>
        <w:spacing w:line="360" w:lineRule="auto"/>
        <w:ind w:left="720"/>
        <w:rPr>
          <w:rFonts w:ascii="Palatino Linotype" w:eastAsia="Palatino Linotype" w:hAnsi="Palatino Linotype" w:cs="Palatino Linotype"/>
          <w:b/>
          <w:color w:val="0D0D0D"/>
          <w:sz w:val="22"/>
          <w:szCs w:val="22"/>
        </w:rPr>
      </w:pPr>
    </w:p>
    <w:p w:rsidR="00E02518" w:rsidRDefault="001447D8">
      <w:pPr>
        <w:numPr>
          <w:ilvl w:val="0"/>
          <w:numId w:val="3"/>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La clasificación de la información (p. 70): </w:t>
      </w:r>
      <w:r>
        <w:rPr>
          <w:rFonts w:ascii="Palatino Linotype" w:eastAsia="Palatino Linotype" w:hAnsi="Palatino Linotype" w:cs="Palatino Linotype"/>
          <w:color w:val="0D0D0D"/>
          <w:sz w:val="22"/>
          <w:szCs w:val="22"/>
        </w:rPr>
        <w:t>Es el proceso o conjunto de acciones que realizan los sujetos obligados para establecer que determinada información se encuentra en alguno de los supuestos de reserva o confidencialidad establecidos en la legislación en materia de transparencia.</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En ese or</w:t>
      </w:r>
      <w:r>
        <w:rPr>
          <w:rFonts w:ascii="Palatino Linotype" w:eastAsia="Palatino Linotype" w:hAnsi="Palatino Linotype" w:cs="Palatino Linotype"/>
          <w:color w:val="0D0D0D"/>
          <w:sz w:val="22"/>
          <w:szCs w:val="22"/>
        </w:rPr>
        <w:t xml:space="preserve">den de ideas y en atención a lo anterior, es de señalar que las excepciones al derecho de acceso a la información, consisten en que la documentación sea inexistente, </w:t>
      </w:r>
      <w:r>
        <w:rPr>
          <w:rFonts w:ascii="Palatino Linotype" w:eastAsia="Palatino Linotype" w:hAnsi="Palatino Linotype" w:cs="Palatino Linotype"/>
          <w:b/>
          <w:color w:val="0D0D0D"/>
          <w:sz w:val="22"/>
          <w:szCs w:val="22"/>
        </w:rPr>
        <w:t>se encuentre clasificada</w:t>
      </w:r>
      <w:r>
        <w:rPr>
          <w:rFonts w:ascii="Palatino Linotype" w:eastAsia="Palatino Linotype" w:hAnsi="Palatino Linotype" w:cs="Palatino Linotype"/>
          <w:color w:val="0D0D0D"/>
          <w:sz w:val="22"/>
          <w:szCs w:val="22"/>
        </w:rPr>
        <w:t>, o bien, el Sujeto Obligado sea incompetente para contar con esta</w:t>
      </w:r>
      <w:r>
        <w:rPr>
          <w:rFonts w:ascii="Palatino Linotype" w:eastAsia="Palatino Linotype" w:hAnsi="Palatino Linotype" w:cs="Palatino Linotype"/>
          <w:color w:val="0D0D0D"/>
          <w:sz w:val="22"/>
          <w:szCs w:val="22"/>
        </w:rPr>
        <w:t xml:space="preserve">; esto es, la negativa de acceso a la información, recae cuando la documentación no se encuentre en los archivos del sujeto obligado, o bien exista, pero no pueda proporcionarse por contener datos </w:t>
      </w:r>
      <w:r>
        <w:rPr>
          <w:rFonts w:ascii="Palatino Linotype" w:eastAsia="Palatino Linotype" w:hAnsi="Palatino Linotype" w:cs="Palatino Linotype"/>
          <w:b/>
          <w:color w:val="0D0D0D"/>
          <w:sz w:val="22"/>
          <w:szCs w:val="22"/>
        </w:rPr>
        <w:t>confidenciales o reservados.</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Así, en los artículos 122, 12</w:t>
      </w:r>
      <w:r>
        <w:rPr>
          <w:rFonts w:ascii="Palatino Linotype" w:eastAsia="Palatino Linotype" w:hAnsi="Palatino Linotype" w:cs="Palatino Linotype"/>
          <w:color w:val="0D0D0D"/>
          <w:sz w:val="22"/>
          <w:szCs w:val="22"/>
        </w:rPr>
        <w:t xml:space="preserve">8 y 130 de la Ley Transparencia y Acceso a la Información Pública del Estado de México y Municipios, se prevé que </w:t>
      </w:r>
      <w:r>
        <w:rPr>
          <w:rFonts w:ascii="Palatino Linotype" w:eastAsia="Palatino Linotype" w:hAnsi="Palatino Linotype" w:cs="Palatino Linotype"/>
          <w:b/>
          <w:color w:val="0D0D0D"/>
          <w:sz w:val="22"/>
          <w:szCs w:val="22"/>
        </w:rPr>
        <w:t xml:space="preserve">la clasificación </w:t>
      </w:r>
      <w:r>
        <w:rPr>
          <w:rFonts w:ascii="Palatino Linotype" w:eastAsia="Palatino Linotype" w:hAnsi="Palatino Linotype" w:cs="Palatino Linotype"/>
          <w:color w:val="0D0D0D"/>
          <w:sz w:val="22"/>
          <w:szCs w:val="22"/>
        </w:rPr>
        <w:t>es el proceso mediante el cual los sujetos obligados determinan que la información en su poder, actualiza alguno de los supue</w:t>
      </w:r>
      <w:r>
        <w:rPr>
          <w:rFonts w:ascii="Palatino Linotype" w:eastAsia="Palatino Linotype" w:hAnsi="Palatino Linotype" w:cs="Palatino Linotype"/>
          <w:color w:val="0D0D0D"/>
          <w:sz w:val="22"/>
          <w:szCs w:val="22"/>
        </w:rPr>
        <w:t>stos de reserva o confidencialidad. Además, que dichos entes deberán aplicar de manera restrictiva y limitada, las excepciones al derecho de acceso a la información, por lo que, tendrán que acreditar la procedencia.</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Por lo cual, en los casos en que se nie</w:t>
      </w:r>
      <w:r>
        <w:rPr>
          <w:rFonts w:ascii="Palatino Linotype" w:eastAsia="Palatino Linotype" w:hAnsi="Palatino Linotype" w:cs="Palatino Linotype"/>
          <w:color w:val="0D0D0D"/>
          <w:sz w:val="22"/>
          <w:szCs w:val="22"/>
        </w:rPr>
        <w:t xml:space="preserve">gue el acceso a la información, por actualizarse alguno de los supuestos de clasificación, </w:t>
      </w:r>
      <w:r>
        <w:rPr>
          <w:rFonts w:ascii="Palatino Linotype" w:eastAsia="Palatino Linotype" w:hAnsi="Palatino Linotype" w:cs="Palatino Linotype"/>
          <w:b/>
          <w:color w:val="0D0D0D"/>
          <w:sz w:val="22"/>
          <w:szCs w:val="22"/>
        </w:rPr>
        <w:t xml:space="preserve">el Comité de Transparencia deberá confirmar, modificar o revocar la decisión; </w:t>
      </w:r>
      <w:r>
        <w:rPr>
          <w:rFonts w:ascii="Palatino Linotype" w:eastAsia="Palatino Linotype" w:hAnsi="Palatino Linotype" w:cs="Palatino Linotype"/>
          <w:color w:val="0D0D0D"/>
          <w:sz w:val="22"/>
          <w:szCs w:val="22"/>
        </w:rPr>
        <w:t>además, deberá motivar la confirmación de dicha situación, señalando las razones, motiv</w:t>
      </w:r>
      <w:r>
        <w:rPr>
          <w:rFonts w:ascii="Palatino Linotype" w:eastAsia="Palatino Linotype" w:hAnsi="Palatino Linotype" w:cs="Palatino Linotype"/>
          <w:color w:val="0D0D0D"/>
          <w:sz w:val="22"/>
          <w:szCs w:val="22"/>
        </w:rPr>
        <w:t>os o circunstancias especiales que llevaron al sujeto obligado a concluir que en el caso particular se ajusta al supuesto previsto por la norma legal invocada como fundamento.</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color w:val="0D0D0D"/>
          <w:sz w:val="22"/>
          <w:szCs w:val="22"/>
        </w:rPr>
        <w:t>Por su parte, según Bonifaz, Leticia (2016), en la “Ley General de Transparenci</w:t>
      </w:r>
      <w:r>
        <w:rPr>
          <w:rFonts w:ascii="Palatino Linotype" w:eastAsia="Palatino Linotype" w:hAnsi="Palatino Linotype" w:cs="Palatino Linotype"/>
          <w:color w:val="0D0D0D"/>
          <w:sz w:val="22"/>
          <w:szCs w:val="22"/>
        </w:rPr>
        <w:t xml:space="preserve">a y Acceso a la Información Pública Comentada” (p. 342), la </w:t>
      </w:r>
      <w:r>
        <w:rPr>
          <w:rFonts w:ascii="Palatino Linotype" w:eastAsia="Palatino Linotype" w:hAnsi="Palatino Linotype" w:cs="Palatino Linotype"/>
          <w:b/>
          <w:color w:val="0D0D0D"/>
          <w:sz w:val="22"/>
          <w:szCs w:val="22"/>
        </w:rPr>
        <w:t>clasificación de la información</w:t>
      </w:r>
      <w:r>
        <w:rPr>
          <w:rFonts w:ascii="Palatino Linotype" w:eastAsia="Palatino Linotype" w:hAnsi="Palatino Linotype" w:cs="Palatino Linotype"/>
          <w:color w:val="0D0D0D"/>
          <w:sz w:val="22"/>
          <w:szCs w:val="22"/>
        </w:rPr>
        <w:t>, ocurre cuando la autoridad niega el acceso a esta, por ser confidencial o reservada, para lo cual, los sujetos obligados, deberán realizar el proceso de clasificac</w:t>
      </w:r>
      <w:r>
        <w:rPr>
          <w:rFonts w:ascii="Palatino Linotype" w:eastAsia="Palatino Linotype" w:hAnsi="Palatino Linotype" w:cs="Palatino Linotype"/>
          <w:color w:val="0D0D0D"/>
          <w:sz w:val="22"/>
          <w:szCs w:val="22"/>
        </w:rPr>
        <w:t xml:space="preserve">ión, a la luz de los principios y disposiciones establecidas en las Leyes de Transparencia, fundando y motivando, </w:t>
      </w:r>
      <w:r>
        <w:rPr>
          <w:rFonts w:ascii="Palatino Linotype" w:eastAsia="Palatino Linotype" w:hAnsi="Palatino Linotype" w:cs="Palatino Linotype"/>
          <w:b/>
          <w:color w:val="0D0D0D"/>
          <w:sz w:val="22"/>
          <w:szCs w:val="22"/>
        </w:rPr>
        <w:t>de manera adecuada la negativa de información.</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Además, el artículo 131 de la Ley referida, así como el Quinto de los Lineamientos Generales e</w:t>
      </w:r>
      <w:r>
        <w:rPr>
          <w:rFonts w:ascii="Palatino Linotype" w:eastAsia="Palatino Linotype" w:hAnsi="Palatino Linotype" w:cs="Palatino Linotype"/>
          <w:color w:val="0D0D0D"/>
          <w:sz w:val="22"/>
          <w:szCs w:val="22"/>
        </w:rPr>
        <w:t xml:space="preserve">n Materia de Clasificación y Desclasificación de la Información, así como para la Elaboración de Versiones Públicas –Lineamientos Generales-, establecen que los sujetos obligados </w:t>
      </w:r>
      <w:r>
        <w:rPr>
          <w:rFonts w:ascii="Palatino Linotype" w:eastAsia="Palatino Linotype" w:hAnsi="Palatino Linotype" w:cs="Palatino Linotype"/>
          <w:b/>
          <w:color w:val="0D0D0D"/>
          <w:sz w:val="22"/>
          <w:szCs w:val="22"/>
        </w:rPr>
        <w:t>deberán fundar y motivar</w:t>
      </w:r>
      <w:r>
        <w:rPr>
          <w:rFonts w:ascii="Palatino Linotype" w:eastAsia="Palatino Linotype" w:hAnsi="Palatino Linotype" w:cs="Palatino Linotype"/>
          <w:color w:val="0D0D0D"/>
          <w:sz w:val="22"/>
          <w:szCs w:val="22"/>
        </w:rPr>
        <w:t xml:space="preserve"> debidamente la clasificación de la información.</w:t>
      </w:r>
    </w:p>
    <w:p w:rsidR="00E02518" w:rsidRDefault="00E02518">
      <w:pPr>
        <w:spacing w:line="360" w:lineRule="auto"/>
        <w:jc w:val="both"/>
        <w:rPr>
          <w:rFonts w:ascii="Palatino Linotype" w:eastAsia="Palatino Linotype" w:hAnsi="Palatino Linotype" w:cs="Palatino Linotype"/>
          <w:b/>
          <w:color w:val="0D0D0D"/>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Al </w:t>
      </w:r>
      <w:r>
        <w:rPr>
          <w:rFonts w:ascii="Palatino Linotype" w:eastAsia="Palatino Linotype" w:hAnsi="Palatino Linotype" w:cs="Palatino Linotype"/>
          <w:color w:val="0D0D0D"/>
          <w:sz w:val="22"/>
          <w:szCs w:val="22"/>
        </w:rPr>
        <w:t>respecto, el Octavo de los Lineamientos Generales, precisa lo siguiente:</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numPr>
          <w:ilvl w:val="0"/>
          <w:numId w:val="4"/>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t>Para fundar la clasificación</w:t>
      </w:r>
      <w:r>
        <w:rPr>
          <w:rFonts w:ascii="Palatino Linotype" w:eastAsia="Palatino Linotype" w:hAnsi="Palatino Linotype" w:cs="Palatino Linotype"/>
          <w:color w:val="0D0D0D"/>
          <w:sz w:val="22"/>
          <w:szCs w:val="22"/>
        </w:rPr>
        <w:t xml:space="preserve"> de la información se deberán señalar el artículo, fracción, inciso, párrafo o numeral de la Ley aplicable;</w:t>
      </w:r>
    </w:p>
    <w:p w:rsidR="00E02518" w:rsidRDefault="00E02518">
      <w:pPr>
        <w:spacing w:line="360" w:lineRule="auto"/>
        <w:ind w:left="720"/>
        <w:jc w:val="both"/>
        <w:rPr>
          <w:rFonts w:ascii="Palatino Linotype" w:eastAsia="Palatino Linotype" w:hAnsi="Palatino Linotype" w:cs="Palatino Linotype"/>
          <w:color w:val="0D0D0D"/>
          <w:sz w:val="22"/>
          <w:szCs w:val="22"/>
        </w:rPr>
      </w:pPr>
    </w:p>
    <w:p w:rsidR="00E02518" w:rsidRDefault="001447D8">
      <w:pPr>
        <w:numPr>
          <w:ilvl w:val="0"/>
          <w:numId w:val="4"/>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b/>
          <w:color w:val="0D0D0D"/>
          <w:sz w:val="22"/>
          <w:szCs w:val="22"/>
        </w:rPr>
        <w:lastRenderedPageBreak/>
        <w:t>Para motivar la clasificación</w:t>
      </w:r>
      <w:r>
        <w:rPr>
          <w:rFonts w:ascii="Palatino Linotype" w:eastAsia="Palatino Linotype" w:hAnsi="Palatino Linotype" w:cs="Palatino Linotype"/>
          <w:color w:val="0D0D0D"/>
          <w:sz w:val="22"/>
          <w:szCs w:val="22"/>
        </w:rPr>
        <w:t xml:space="preserve"> se deberán indi</w:t>
      </w:r>
      <w:r>
        <w:rPr>
          <w:rFonts w:ascii="Palatino Linotype" w:eastAsia="Palatino Linotype" w:hAnsi="Palatino Linotype" w:cs="Palatino Linotype"/>
          <w:color w:val="0D0D0D"/>
          <w:sz w:val="22"/>
          <w:szCs w:val="22"/>
        </w:rPr>
        <w:t>car las razones y circunstancias especiales que lo llevaron a concluir que el caso particular se ajusta al supuesto previsto por la norma legal invocada; la cual, en el caso de que se trate de información reservada, la motivación, deberá comprender el anál</w:t>
      </w:r>
      <w:r>
        <w:rPr>
          <w:rFonts w:ascii="Palatino Linotype" w:eastAsia="Palatino Linotype" w:hAnsi="Palatino Linotype" w:cs="Palatino Linotype"/>
          <w:color w:val="0D0D0D"/>
          <w:sz w:val="22"/>
          <w:szCs w:val="22"/>
        </w:rPr>
        <w:t>isis de la prueba de daño, así como, las circunstancias que justifican el establecimiento de determinado plazo de reserva.</w:t>
      </w:r>
    </w:p>
    <w:p w:rsidR="00E02518" w:rsidRDefault="00E02518">
      <w:pPr>
        <w:spacing w:line="360" w:lineRule="auto"/>
        <w:ind w:left="720"/>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Lo anterior, toma sustento en la fracción VII, del artículo 1.8, del Código Administrativo del Estado de México, que establece que t</w:t>
      </w:r>
      <w:r>
        <w:rPr>
          <w:rFonts w:ascii="Palatino Linotype" w:eastAsia="Palatino Linotype" w:hAnsi="Palatino Linotype" w:cs="Palatino Linotype"/>
          <w:color w:val="0D0D0D"/>
          <w:sz w:val="22"/>
          <w:szCs w:val="22"/>
        </w:rPr>
        <w:t>odo acto administrativo, debe estar fundado y motivado, esto es, que contenga con precisión, los preceptos legales aplicables, las circunstancias generales o especiales, razones particulares y causas que se hayan tomado en cuenta para la emisión del mismo;</w:t>
      </w:r>
      <w:r>
        <w:rPr>
          <w:rFonts w:ascii="Palatino Linotype" w:eastAsia="Palatino Linotype" w:hAnsi="Palatino Linotype" w:cs="Palatino Linotype"/>
          <w:color w:val="0D0D0D"/>
          <w:sz w:val="22"/>
          <w:szCs w:val="22"/>
        </w:rPr>
        <w:t xml:space="preserve"> asimismo, la Tesis aislada número I. 4o. P. 56 P, Octava Época, publicada en el Semanario Judicial de la Federación, Tomo XIV, noviembre de mil novecientos noventa y cuatro, (p. 450), que establece lo siguiente:</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ind w:left="567" w:right="567"/>
        <w:jc w:val="both"/>
        <w:rPr>
          <w:rFonts w:ascii="Palatino Linotype" w:eastAsia="Palatino Linotype" w:hAnsi="Palatino Linotype" w:cs="Palatino Linotype"/>
          <w:i/>
          <w:color w:val="0D0D0D"/>
        </w:rPr>
      </w:pPr>
      <w:r>
        <w:rPr>
          <w:rFonts w:ascii="Palatino Linotype" w:eastAsia="Palatino Linotype" w:hAnsi="Palatino Linotype" w:cs="Palatino Linotype"/>
          <w:b/>
          <w:i/>
          <w:color w:val="0D0D0D"/>
        </w:rPr>
        <w:t xml:space="preserve">“FUNDAMENTACION Y MOTIVACION, CONCEPTO DE. </w:t>
      </w:r>
      <w:r>
        <w:rPr>
          <w:rFonts w:ascii="Palatino Linotype" w:eastAsia="Palatino Linotype" w:hAnsi="Palatino Linotype" w:cs="Palatino Linotype"/>
          <w:i/>
          <w:color w:val="0D0D0D"/>
        </w:rPr>
        <w:t xml:space="preserve">La garantía de legalidad consagrada en el artículo 16 de nuestra Carta Magna, establece que todo acto de autoridad precisa encontrarse debidamente fundado y motivado, entendiéndose por lo primero la obligación de </w:t>
      </w:r>
      <w:r>
        <w:rPr>
          <w:rFonts w:ascii="Palatino Linotype" w:eastAsia="Palatino Linotype" w:hAnsi="Palatino Linotype" w:cs="Palatino Linotype"/>
          <w:i/>
          <w:color w:val="0D0D0D"/>
        </w:rPr>
        <w:t>la autoridad que lo emite, para citar los preceptos legales, sustantivos y adjetivos, en que se apoye la determinación adoptada; y por lo segundo, que exprese una serie de razonamientos lógico-jurídicos sobre el por qué consideró que el caso concreto se aj</w:t>
      </w:r>
      <w:r>
        <w:rPr>
          <w:rFonts w:ascii="Palatino Linotype" w:eastAsia="Palatino Linotype" w:hAnsi="Palatino Linotype" w:cs="Palatino Linotype"/>
          <w:i/>
          <w:color w:val="0D0D0D"/>
        </w:rPr>
        <w:t>usta a la hipótesis normativa.”</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Conforme a lo anterior, se advierte lo siguiente:</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numPr>
          <w:ilvl w:val="0"/>
          <w:numId w:val="6"/>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Fundamentación: </w:t>
      </w:r>
      <w:r>
        <w:rPr>
          <w:rFonts w:ascii="Palatino Linotype" w:eastAsia="Palatino Linotype" w:hAnsi="Palatino Linotype" w:cs="Palatino Linotype"/>
          <w:color w:val="0D0D0D"/>
          <w:sz w:val="22"/>
          <w:szCs w:val="22"/>
        </w:rPr>
        <w:t>Obligación de la autoridad que emite un acto, para citar los preceptos legales, sustantivos y adjetivos, en que se apoye para la determinación tomada.</w:t>
      </w:r>
    </w:p>
    <w:p w:rsidR="00E02518" w:rsidRDefault="00E02518">
      <w:pPr>
        <w:spacing w:line="360" w:lineRule="auto"/>
        <w:ind w:left="720"/>
        <w:jc w:val="both"/>
        <w:rPr>
          <w:rFonts w:ascii="Palatino Linotype" w:eastAsia="Palatino Linotype" w:hAnsi="Palatino Linotype" w:cs="Palatino Linotype"/>
          <w:b/>
          <w:color w:val="0D0D0D"/>
          <w:sz w:val="22"/>
          <w:szCs w:val="22"/>
        </w:rPr>
      </w:pPr>
    </w:p>
    <w:p w:rsidR="00E02518" w:rsidRDefault="001447D8">
      <w:pPr>
        <w:numPr>
          <w:ilvl w:val="0"/>
          <w:numId w:val="6"/>
        </w:numPr>
        <w:spacing w:line="360" w:lineRule="auto"/>
        <w:jc w:val="both"/>
        <w:rPr>
          <w:rFonts w:ascii="Palatino Linotype" w:eastAsia="Palatino Linotype" w:hAnsi="Palatino Linotype" w:cs="Palatino Linotype"/>
          <w:b/>
          <w:color w:val="0D0D0D"/>
          <w:sz w:val="22"/>
          <w:szCs w:val="22"/>
        </w:rPr>
      </w:pPr>
      <w:r>
        <w:rPr>
          <w:rFonts w:ascii="Palatino Linotype" w:eastAsia="Palatino Linotype" w:hAnsi="Palatino Linotype" w:cs="Palatino Linotype"/>
          <w:b/>
          <w:color w:val="0D0D0D"/>
          <w:sz w:val="22"/>
          <w:szCs w:val="22"/>
        </w:rPr>
        <w:t xml:space="preserve">Motivación: </w:t>
      </w:r>
      <w:r>
        <w:rPr>
          <w:rFonts w:ascii="Palatino Linotype" w:eastAsia="Palatino Linotype" w:hAnsi="Palatino Linotype" w:cs="Palatino Linotype"/>
          <w:color w:val="0D0D0D"/>
          <w:sz w:val="22"/>
          <w:szCs w:val="22"/>
        </w:rPr>
        <w:t>Razonamientos lógico-jurídicos sobre porque se consideró en el caso en concreto, que se ajusta a la hipótesis normativa.</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En ese orden de ideas, el Trigésimo tercero de los Lineamientos Generales, establece la forma en que se debe fundamentar y</w:t>
      </w:r>
      <w:r>
        <w:rPr>
          <w:rFonts w:ascii="Palatino Linotype" w:eastAsia="Palatino Linotype" w:hAnsi="Palatino Linotype" w:cs="Palatino Linotype"/>
          <w:color w:val="0D0D0D"/>
          <w:sz w:val="22"/>
          <w:szCs w:val="22"/>
        </w:rPr>
        <w:t xml:space="preserve"> motivar la reserva de la información, es decir, a través de los siguientes pasos:</w:t>
      </w:r>
    </w:p>
    <w:p w:rsidR="00E02518" w:rsidRDefault="00E02518">
      <w:pPr>
        <w:spacing w:line="360" w:lineRule="auto"/>
        <w:jc w:val="both"/>
        <w:rPr>
          <w:rFonts w:ascii="Palatino Linotype" w:eastAsia="Palatino Linotype" w:hAnsi="Palatino Linotype" w:cs="Palatino Linotype"/>
          <w:color w:val="0D0D0D"/>
          <w:sz w:val="22"/>
          <w:szCs w:val="22"/>
        </w:rPr>
      </w:pPr>
    </w:p>
    <w:p w:rsidR="00E02518" w:rsidRDefault="001447D8">
      <w:pPr>
        <w:numPr>
          <w:ilvl w:val="0"/>
          <w:numId w:val="8"/>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deberá fundar la clasificación, al citar la fracción y, en su caso, la causal aplicable de las Ley General de Transparencia y Acceso a la Información Pública o, en el pr</w:t>
      </w:r>
      <w:r>
        <w:rPr>
          <w:rFonts w:ascii="Palatino Linotype" w:eastAsia="Palatino Linotype" w:hAnsi="Palatino Linotype" w:cs="Palatino Linotype"/>
          <w:color w:val="0D0D0D"/>
          <w:sz w:val="22"/>
          <w:szCs w:val="22"/>
        </w:rPr>
        <w:t xml:space="preserve">esente caso, de la Ley de Transparencia y Acceso a la Información Pública del Estado de México y Municipios, vinculándola con el Lineamiento específico; </w:t>
      </w:r>
    </w:p>
    <w:p w:rsidR="00E02518" w:rsidRDefault="00E02518">
      <w:pPr>
        <w:spacing w:line="360" w:lineRule="auto"/>
        <w:ind w:left="720"/>
        <w:jc w:val="both"/>
        <w:rPr>
          <w:rFonts w:ascii="Palatino Linotype" w:eastAsia="Palatino Linotype" w:hAnsi="Palatino Linotype" w:cs="Palatino Linotype"/>
          <w:color w:val="0D0D0D"/>
          <w:sz w:val="22"/>
          <w:szCs w:val="22"/>
        </w:rPr>
      </w:pPr>
    </w:p>
    <w:p w:rsidR="00E02518" w:rsidRDefault="001447D8">
      <w:pPr>
        <w:numPr>
          <w:ilvl w:val="0"/>
          <w:numId w:val="8"/>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deberá motivar la clasificación, al señalar las circunstancias de modo, tiempo y lugar del daño</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color w:val="0D0D0D"/>
          <w:sz w:val="22"/>
          <w:szCs w:val="22"/>
        </w:rPr>
        <w:t>qu</w:t>
      </w:r>
      <w:r>
        <w:rPr>
          <w:rFonts w:ascii="Palatino Linotype" w:eastAsia="Palatino Linotype" w:hAnsi="Palatino Linotype" w:cs="Palatino Linotype"/>
          <w:color w:val="0D0D0D"/>
          <w:sz w:val="22"/>
          <w:szCs w:val="22"/>
        </w:rPr>
        <w:t>e acrediten el vínculo entre la difusión de la información y la afectación al interés público.</w:t>
      </w:r>
    </w:p>
    <w:p w:rsidR="00E02518" w:rsidRDefault="00E02518">
      <w:pPr>
        <w:ind w:left="720"/>
        <w:rPr>
          <w:rFonts w:ascii="Palatino Linotype" w:eastAsia="Palatino Linotype" w:hAnsi="Palatino Linotype" w:cs="Palatino Linotype"/>
          <w:color w:val="0D0D0D"/>
          <w:sz w:val="22"/>
          <w:szCs w:val="22"/>
        </w:rPr>
      </w:pPr>
    </w:p>
    <w:p w:rsidR="00E02518" w:rsidRDefault="001447D8">
      <w:pPr>
        <w:numPr>
          <w:ilvl w:val="0"/>
          <w:numId w:val="8"/>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tendrán que indicar las razones objetivas por las que la apertura de la información generaría una afectación, por medio del riesgo real, demostrable e identi</w:t>
      </w:r>
      <w:r>
        <w:rPr>
          <w:rFonts w:ascii="Palatino Linotype" w:eastAsia="Palatino Linotype" w:hAnsi="Palatino Linotype" w:cs="Palatino Linotype"/>
          <w:color w:val="0D0D0D"/>
          <w:sz w:val="22"/>
          <w:szCs w:val="22"/>
        </w:rPr>
        <w:t>ficable;</w:t>
      </w:r>
    </w:p>
    <w:p w:rsidR="00E02518" w:rsidRDefault="00E02518">
      <w:pPr>
        <w:ind w:left="720"/>
        <w:rPr>
          <w:rFonts w:ascii="Palatino Linotype" w:eastAsia="Palatino Linotype" w:hAnsi="Palatino Linotype" w:cs="Palatino Linotype"/>
          <w:color w:val="0D0D0D"/>
          <w:sz w:val="22"/>
          <w:szCs w:val="22"/>
        </w:rPr>
      </w:pPr>
    </w:p>
    <w:p w:rsidR="00E02518" w:rsidRDefault="001447D8">
      <w:pPr>
        <w:numPr>
          <w:ilvl w:val="0"/>
          <w:numId w:val="8"/>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Mediante un ejercicio de ponderación, se tendrá que acreditar que la publicidad de la información, generaría un riesgo de perjuicio que supera el interés público;</w:t>
      </w:r>
    </w:p>
    <w:p w:rsidR="00E02518" w:rsidRDefault="00E02518">
      <w:pPr>
        <w:spacing w:line="360" w:lineRule="auto"/>
        <w:ind w:left="720"/>
        <w:rPr>
          <w:rFonts w:ascii="Palatino Linotype" w:eastAsia="Palatino Linotype" w:hAnsi="Palatino Linotype" w:cs="Palatino Linotype"/>
          <w:color w:val="0D0D0D"/>
          <w:sz w:val="22"/>
          <w:szCs w:val="22"/>
        </w:rPr>
      </w:pPr>
    </w:p>
    <w:p w:rsidR="00E02518" w:rsidRDefault="001447D8">
      <w:pPr>
        <w:numPr>
          <w:ilvl w:val="0"/>
          <w:numId w:val="8"/>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 xml:space="preserve">Se elegirá la opción de excepción al acceso a la información que menos restrinja, </w:t>
      </w:r>
      <w:r>
        <w:rPr>
          <w:rFonts w:ascii="Palatino Linotype" w:eastAsia="Palatino Linotype" w:hAnsi="Palatino Linotype" w:cs="Palatino Linotype"/>
          <w:color w:val="0D0D0D"/>
          <w:sz w:val="22"/>
          <w:szCs w:val="22"/>
        </w:rPr>
        <w:t>la cual será adecuada y proporcional para la protección del interés público, y</w:t>
      </w:r>
    </w:p>
    <w:p w:rsidR="00E02518" w:rsidRDefault="00E02518">
      <w:pPr>
        <w:ind w:left="720"/>
        <w:rPr>
          <w:rFonts w:ascii="Palatino Linotype" w:eastAsia="Palatino Linotype" w:hAnsi="Palatino Linotype" w:cs="Palatino Linotype"/>
          <w:color w:val="0D0D0D"/>
          <w:sz w:val="22"/>
          <w:szCs w:val="22"/>
        </w:rPr>
      </w:pPr>
    </w:p>
    <w:p w:rsidR="00E02518" w:rsidRDefault="001447D8">
      <w:pPr>
        <w:numPr>
          <w:ilvl w:val="0"/>
          <w:numId w:val="8"/>
        </w:numPr>
        <w:spacing w:line="360" w:lineRule="auto"/>
        <w:jc w:val="both"/>
        <w:rPr>
          <w:rFonts w:ascii="Palatino Linotype" w:eastAsia="Palatino Linotype" w:hAnsi="Palatino Linotype" w:cs="Palatino Linotype"/>
          <w:color w:val="0D0D0D"/>
          <w:sz w:val="22"/>
          <w:szCs w:val="22"/>
        </w:rPr>
      </w:pPr>
      <w:r>
        <w:rPr>
          <w:rFonts w:ascii="Palatino Linotype" w:eastAsia="Palatino Linotype" w:hAnsi="Palatino Linotype" w:cs="Palatino Linotype"/>
          <w:color w:val="0D0D0D"/>
          <w:sz w:val="22"/>
          <w:szCs w:val="22"/>
        </w:rPr>
        <w:t>Se deberá desarrollar la prueba de daño con la mayor claridad y precisión posible.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atención a lo anterior, se advierte que el Sujeto Obligado no emitió pronunciamiento al respecto, sin embargo, se advierte que la información solicitada: </w:t>
      </w:r>
      <w:r>
        <w:rPr>
          <w:rFonts w:ascii="Palatino Linotype" w:eastAsia="Palatino Linotype" w:hAnsi="Palatino Linotype" w:cs="Palatino Linotype"/>
          <w:b/>
          <w:i/>
          <w:sz w:val="22"/>
          <w:szCs w:val="22"/>
        </w:rPr>
        <w:t>Acciones y evidencias "certificadas" que realizó el Sujeto Obligado para combatir las denuncias y d</w:t>
      </w:r>
      <w:r>
        <w:rPr>
          <w:rFonts w:ascii="Palatino Linotype" w:eastAsia="Palatino Linotype" w:hAnsi="Palatino Linotype" w:cs="Palatino Linotype"/>
          <w:b/>
          <w:i/>
          <w:sz w:val="22"/>
          <w:szCs w:val="22"/>
        </w:rPr>
        <w:t xml:space="preserve">elitos, </w:t>
      </w:r>
      <w:r>
        <w:rPr>
          <w:rFonts w:ascii="Palatino Linotype" w:eastAsia="Palatino Linotype" w:hAnsi="Palatino Linotype" w:cs="Palatino Linotype"/>
          <w:sz w:val="22"/>
          <w:szCs w:val="22"/>
        </w:rPr>
        <w:t>es</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una posible actualización del supuesto previsto en el artículo 140 fracción I de la Ley de Transparencia del Estado, (homólogo del artículo 113, fracción I de la Ley General de Transparencia y Acceso a la Información Pública), prevé lo siguiente</w:t>
      </w:r>
      <w:r>
        <w:rPr>
          <w:rFonts w:ascii="Palatino Linotype" w:eastAsia="Palatino Linotype" w:hAnsi="Palatino Linotype" w:cs="Palatino Linotype"/>
          <w:sz w:val="22"/>
          <w:szCs w:val="22"/>
        </w:rPr>
        <w:t>:</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ind w:left="709" w:right="53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“Artículo 140. El acceso a la información pública será restringido excepcionalmente, cuando por razones de interés público, ésta sea clasificada como reservada, conforme a los criterios siguientes: </w:t>
      </w:r>
    </w:p>
    <w:p w:rsidR="00E02518" w:rsidRDefault="001447D8">
      <w:pPr>
        <w:spacing w:line="360" w:lineRule="auto"/>
        <w:ind w:left="709" w:right="537"/>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 Comprometa la seguridad pública y cuente con un pro</w:t>
      </w:r>
      <w:r>
        <w:rPr>
          <w:rFonts w:ascii="Palatino Linotype" w:eastAsia="Palatino Linotype" w:hAnsi="Palatino Linotype" w:cs="Palatino Linotype"/>
          <w:i/>
          <w:sz w:val="22"/>
          <w:szCs w:val="22"/>
        </w:rPr>
        <w:t>pósito genuino y un efecto demostrable;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dicho precepto normativo se desprende que podrá clasificarse como información reservada aquella que comprometa la seguridad pública, puesto que se trata del seguimiento a delitos; por su parte, los Lineamientos Generales en Materia de Clasificación y De</w:t>
      </w:r>
      <w:r>
        <w:rPr>
          <w:rFonts w:ascii="Palatino Linotype" w:eastAsia="Palatino Linotype" w:hAnsi="Palatino Linotype" w:cs="Palatino Linotype"/>
          <w:sz w:val="22"/>
          <w:szCs w:val="22"/>
        </w:rPr>
        <w:t xml:space="preserve">sclasificación de la Información, así como para la Elaboración de Versiones Públicas, prevé en su apartado Décimo séptimo y décimo octavo, lo siguiente: </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b/>
          <w:i/>
        </w:rPr>
        <w:t>“Décimo séptimo</w:t>
      </w:r>
      <w:r>
        <w:rPr>
          <w:rFonts w:ascii="Palatino Linotype" w:eastAsia="Palatino Linotype" w:hAnsi="Palatino Linotype" w:cs="Palatino Linotype"/>
          <w:i/>
        </w:rPr>
        <w:t xml:space="preserve">. De conformidad con el </w:t>
      </w:r>
      <w:r>
        <w:rPr>
          <w:rFonts w:ascii="Palatino Linotype" w:eastAsia="Palatino Linotype" w:hAnsi="Palatino Linotype" w:cs="Palatino Linotype"/>
          <w:b/>
          <w:i/>
        </w:rPr>
        <w:t>artículo 113, fracción</w:t>
      </w:r>
      <w:r>
        <w:rPr>
          <w:rFonts w:ascii="Palatino Linotype" w:eastAsia="Palatino Linotype" w:hAnsi="Palatino Linotype" w:cs="Palatino Linotype"/>
          <w:i/>
        </w:rPr>
        <w:t xml:space="preserve"> I de la Ley General, podrá considerarse</w:t>
      </w:r>
      <w:r>
        <w:rPr>
          <w:rFonts w:ascii="Palatino Linotype" w:eastAsia="Palatino Linotype" w:hAnsi="Palatino Linotype" w:cs="Palatino Linotype"/>
          <w:i/>
        </w:rPr>
        <w:t xml:space="preserve"> como información reservada, aquella que de difundirse actualice o potencialice un riesgo o amenaza a la seguridad nacional cuando:</w:t>
      </w: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I al V…</w:t>
      </w:r>
    </w:p>
    <w:p w:rsidR="00E02518" w:rsidRDefault="001447D8">
      <w:pPr>
        <w:spacing w:line="360" w:lineRule="auto"/>
        <w:ind w:left="567" w:right="537"/>
        <w:jc w:val="both"/>
        <w:rPr>
          <w:rFonts w:ascii="Palatino Linotype" w:eastAsia="Palatino Linotype" w:hAnsi="Palatino Linotype" w:cs="Palatino Linotype"/>
          <w:b/>
          <w:i/>
        </w:rPr>
      </w:pPr>
      <w:r>
        <w:rPr>
          <w:rFonts w:ascii="Palatino Linotype" w:eastAsia="Palatino Linotype" w:hAnsi="Palatino Linotype" w:cs="Palatino Linotype"/>
          <w:b/>
          <w:i/>
        </w:rPr>
        <w:lastRenderedPageBreak/>
        <w:t>VI. Se ponga en peligro la coordinación interinstitucional en materia de seguridad nacional;</w:t>
      </w: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VII. Se puedan menoscab</w:t>
      </w:r>
      <w:r>
        <w:rPr>
          <w:rFonts w:ascii="Palatino Linotype" w:eastAsia="Palatino Linotype" w:hAnsi="Palatino Linotype" w:cs="Palatino Linotype"/>
          <w:i/>
        </w:rPr>
        <w:t>ar, obstaculizar o dificultar las estrategias o acciones para combatir la delincuencia organizada, la comisión de los delitos contra la seguridad de la nación, entendiéndose estos últimos como traición a la patria, espionaje, sedición, motín, rebelión, ter</w:t>
      </w:r>
      <w:r>
        <w:rPr>
          <w:rFonts w:ascii="Palatino Linotype" w:eastAsia="Palatino Linotype" w:hAnsi="Palatino Linotype" w:cs="Palatino Linotype"/>
          <w:i/>
        </w:rPr>
        <w:t>rorismo, sabotaje, conspiración, el tráfico ilegal de materiales nucleares, de armas químicas, biológicas y convencionales de destrucción masiva;</w:t>
      </w: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VIII al XI…</w:t>
      </w:r>
    </w:p>
    <w:p w:rsidR="00E02518" w:rsidRDefault="00E02518">
      <w:pPr>
        <w:spacing w:line="360" w:lineRule="auto"/>
        <w:ind w:left="567" w:right="537"/>
        <w:jc w:val="both"/>
        <w:rPr>
          <w:rFonts w:ascii="Palatino Linotype" w:eastAsia="Palatino Linotype" w:hAnsi="Palatino Linotype" w:cs="Palatino Linotype"/>
          <w:i/>
        </w:rPr>
      </w:pP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b/>
          <w:i/>
        </w:rPr>
        <w:t>Décimo octavo</w:t>
      </w:r>
      <w:r>
        <w:rPr>
          <w:rFonts w:ascii="Palatino Linotype" w:eastAsia="Palatino Linotype" w:hAnsi="Palatino Linotype" w:cs="Palatino Linotype"/>
          <w:i/>
        </w:rPr>
        <w:t>. De conformidad con el artículo 113, fracción I de la Ley General, podrá considerar</w:t>
      </w:r>
      <w:r>
        <w:rPr>
          <w:rFonts w:ascii="Palatino Linotype" w:eastAsia="Palatino Linotype" w:hAnsi="Palatino Linotype" w:cs="Palatino Linotype"/>
          <w:i/>
        </w:rPr>
        <w:t xml:space="preserve">se como información reservada, aquella que </w:t>
      </w:r>
      <w:r>
        <w:rPr>
          <w:rFonts w:ascii="Palatino Linotype" w:eastAsia="Palatino Linotype" w:hAnsi="Palatino Linotype" w:cs="Palatino Linotype"/>
          <w:b/>
          <w:i/>
        </w:rPr>
        <w:t>comprometa la seguridad pública</w:t>
      </w:r>
      <w:r>
        <w:rPr>
          <w:rFonts w:ascii="Palatino Linotype" w:eastAsia="Palatino Linotype" w:hAnsi="Palatino Linotype" w:cs="Palatino Linotype"/>
          <w:i/>
        </w:rPr>
        <w:t xml:space="preserve">, al poner en </w:t>
      </w:r>
      <w:r>
        <w:rPr>
          <w:rFonts w:ascii="Palatino Linotype" w:eastAsia="Palatino Linotype" w:hAnsi="Palatino Linotype" w:cs="Palatino Linotype"/>
          <w:b/>
          <w:i/>
        </w:rPr>
        <w:t>peligro las funciones a cargo de la Federación, la Ciudad de México, los Estados y los Municipios</w:t>
      </w:r>
      <w:r>
        <w:rPr>
          <w:rFonts w:ascii="Palatino Linotype" w:eastAsia="Palatino Linotype" w:hAnsi="Palatino Linotype" w:cs="Palatino Linotype"/>
          <w:i/>
        </w:rPr>
        <w:t xml:space="preserve">, tendientes a preservar y resguardar la vida, la salud, la integridad </w:t>
      </w:r>
      <w:r>
        <w:rPr>
          <w:rFonts w:ascii="Palatino Linotype" w:eastAsia="Palatino Linotype" w:hAnsi="Palatino Linotype" w:cs="Palatino Linotype"/>
          <w:i/>
        </w:rPr>
        <w:t xml:space="preserve">y el ejercicio de los derechos de las personas, así como para el mantenimiento del orden público. </w:t>
      </w:r>
    </w:p>
    <w:p w:rsidR="00E02518" w:rsidRDefault="00E02518">
      <w:pPr>
        <w:spacing w:line="360" w:lineRule="auto"/>
        <w:ind w:left="567" w:right="537"/>
        <w:jc w:val="both"/>
        <w:rPr>
          <w:rFonts w:ascii="Palatino Linotype" w:eastAsia="Palatino Linotype" w:hAnsi="Palatino Linotype" w:cs="Palatino Linotype"/>
          <w:i/>
        </w:rPr>
      </w:pP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Se pone en peligro el orden público cuando la difusión de la información </w:t>
      </w:r>
      <w:r>
        <w:rPr>
          <w:rFonts w:ascii="Palatino Linotype" w:eastAsia="Palatino Linotype" w:hAnsi="Palatino Linotype" w:cs="Palatino Linotype"/>
          <w:b/>
          <w:i/>
        </w:rPr>
        <w:t>pueda entorpecer los sistemas de coordinación interinstitucional en materia de segu</w:t>
      </w:r>
      <w:r>
        <w:rPr>
          <w:rFonts w:ascii="Palatino Linotype" w:eastAsia="Palatino Linotype" w:hAnsi="Palatino Linotype" w:cs="Palatino Linotype"/>
          <w:b/>
          <w:i/>
        </w:rPr>
        <w:t>ridad pública,</w:t>
      </w:r>
      <w:r>
        <w:rPr>
          <w:rFonts w:ascii="Palatino Linotype" w:eastAsia="Palatino Linotype" w:hAnsi="Palatino Linotype" w:cs="Palatino Linotype"/>
          <w:i/>
        </w:rPr>
        <w:t xml:space="preserve"> menoscabar o dificultar las estrategias contra la evasión de reos; o menoscabar o limitar la capacidad de las autoridades encaminadas a disuadir o prevenir disturbios sociales. </w:t>
      </w:r>
    </w:p>
    <w:p w:rsidR="00E02518" w:rsidRDefault="00E02518">
      <w:pPr>
        <w:spacing w:line="360" w:lineRule="auto"/>
        <w:ind w:left="567" w:right="537"/>
        <w:jc w:val="both"/>
        <w:rPr>
          <w:rFonts w:ascii="Palatino Linotype" w:eastAsia="Palatino Linotype" w:hAnsi="Palatino Linotype" w:cs="Palatino Linotype"/>
          <w:i/>
        </w:rPr>
      </w:pP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Asimismo, podrá considerarse como reservada aquella que revele</w:t>
      </w:r>
      <w:r>
        <w:rPr>
          <w:rFonts w:ascii="Palatino Linotype" w:eastAsia="Palatino Linotype" w:hAnsi="Palatino Linotype" w:cs="Palatino Linotype"/>
          <w:i/>
        </w:rPr>
        <w:t xml:space="preserve"> datos que pudieran ser aprovechados para conocer la capacidad de reacción de las instituciones encargadas de la seguridad pública, sus planes, estrategias, tecnología, información, sistemas de comunicaciones.”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contexto, es preciso que para el cas</w:t>
      </w:r>
      <w:r>
        <w:rPr>
          <w:rFonts w:ascii="Palatino Linotype" w:eastAsia="Palatino Linotype" w:hAnsi="Palatino Linotype" w:cs="Palatino Linotype"/>
          <w:sz w:val="22"/>
          <w:szCs w:val="22"/>
        </w:rPr>
        <w:t xml:space="preserve">o de que la información actualice algún supuesto de reserva, tal como el señalado anteriormente, toda vez que se trata de acciones relacionadas con el seguimiento a delitos cometidos dentro de un fraccionamiento, cuya publicación puede </w:t>
      </w:r>
      <w:r>
        <w:rPr>
          <w:rFonts w:ascii="Palatino Linotype" w:eastAsia="Palatino Linotype" w:hAnsi="Palatino Linotype" w:cs="Palatino Linotype"/>
          <w:sz w:val="22"/>
          <w:szCs w:val="22"/>
        </w:rPr>
        <w:lastRenderedPageBreak/>
        <w:t>entorpecer las estra</w:t>
      </w:r>
      <w:r>
        <w:rPr>
          <w:rFonts w:ascii="Palatino Linotype" w:eastAsia="Palatino Linotype" w:hAnsi="Palatino Linotype" w:cs="Palatino Linotype"/>
          <w:sz w:val="22"/>
          <w:szCs w:val="22"/>
        </w:rPr>
        <w:t>tegias de seguridad municipal, por lo que, en su caso, el Sujeto Obligado debe realizar la prueba de daño correspondiente.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considera que el Sujeto Obligado para actualizar la causal de reserva establecida en el artículo 140, fra</w:t>
      </w:r>
      <w:r>
        <w:rPr>
          <w:rFonts w:ascii="Palatino Linotype" w:eastAsia="Palatino Linotype" w:hAnsi="Palatino Linotype" w:cs="Palatino Linotype"/>
          <w:sz w:val="22"/>
          <w:szCs w:val="22"/>
        </w:rPr>
        <w:t>cción I, de la Ley de Transparencia y Acceso a la Información Pública del Estado de México y Municipios, deberá desarrollar su prueba de daño específica, en donde además deberá acreditar que la entrega de acciones y evidencias que realizó el Sujeto Obligad</w:t>
      </w:r>
      <w:r>
        <w:rPr>
          <w:rFonts w:ascii="Palatino Linotype" w:eastAsia="Palatino Linotype" w:hAnsi="Palatino Linotype" w:cs="Palatino Linotype"/>
          <w:sz w:val="22"/>
          <w:szCs w:val="22"/>
        </w:rPr>
        <w:t>o para combatir las denuncias y delitos podría poner en riesgo la seguridad pública al otorgar información sobre estrategias de seguridad o bien, poner en riesgo a quienes participaron.</w:t>
      </w:r>
    </w:p>
    <w:p w:rsidR="00E02518" w:rsidRDefault="00E02518">
      <w:pPr>
        <w:spacing w:line="360" w:lineRule="auto"/>
        <w:ind w:right="-28"/>
        <w:jc w:val="both"/>
        <w:rPr>
          <w:rFonts w:ascii="Palatino Linotype" w:eastAsia="Palatino Linotype" w:hAnsi="Palatino Linotype" w:cs="Palatino Linotype"/>
          <w:sz w:val="22"/>
          <w:szCs w:val="22"/>
        </w:rPr>
      </w:pPr>
    </w:p>
    <w:p w:rsidR="00E02518" w:rsidRDefault="001447D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Ahora bien, por cuanto hace a las resoluciones y el estatus que tiene el delito, se analizará en conjunto con en el punto siguiente. </w:t>
      </w:r>
    </w:p>
    <w:p w:rsidR="00E02518" w:rsidRDefault="00E02518">
      <w:pPr>
        <w:spacing w:line="360" w:lineRule="auto"/>
        <w:ind w:right="-28"/>
        <w:jc w:val="both"/>
        <w:rPr>
          <w:rFonts w:ascii="Palatino Linotype" w:eastAsia="Palatino Linotype" w:hAnsi="Palatino Linotype" w:cs="Palatino Linotype"/>
          <w:sz w:val="22"/>
          <w:szCs w:val="22"/>
        </w:rPr>
      </w:pPr>
    </w:p>
    <w:p w:rsidR="00E02518" w:rsidRDefault="001447D8">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Denuncias presentadas por parte de los residentes del fraccionamiento.</w:t>
      </w:r>
    </w:p>
    <w:p w:rsidR="00E02518" w:rsidRDefault="00E0251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por cuanto hace al informe de denunci</w:t>
      </w:r>
      <w:r>
        <w:rPr>
          <w:rFonts w:ascii="Palatino Linotype" w:eastAsia="Palatino Linotype" w:hAnsi="Palatino Linotype" w:cs="Palatino Linotype"/>
          <w:sz w:val="22"/>
          <w:szCs w:val="22"/>
        </w:rPr>
        <w:t>as que los integrantes del fraccionamiento realizaron con motivo de fraude, de falta de documentación o entrega irregular de casa y por denuncias por invasión a la propiedad,  y a las resoluciones y el estatus que tiene el delito, al respecto es preciso se</w:t>
      </w:r>
      <w:r>
        <w:rPr>
          <w:rFonts w:ascii="Palatino Linotype" w:eastAsia="Palatino Linotype" w:hAnsi="Palatino Linotype" w:cs="Palatino Linotype"/>
          <w:sz w:val="22"/>
          <w:szCs w:val="22"/>
        </w:rPr>
        <w:t xml:space="preserve">ñalar que de conformidad con el Código Penal del Estado, en su artículo 6, define al delito como la conducta típica, antijurídica, culpable y punible; y en su artículo 57 prevé que él es órgano jurisdiccional quien dicta la sentencia que estima justa para </w:t>
      </w:r>
      <w:r>
        <w:rPr>
          <w:rFonts w:ascii="Palatino Linotype" w:eastAsia="Palatino Linotype" w:hAnsi="Palatino Linotype" w:cs="Palatino Linotype"/>
          <w:sz w:val="22"/>
          <w:szCs w:val="22"/>
        </w:rPr>
        <w:t>cada delito; en atención a lo anterior, si bien el Sujeto Obligado puede conocer de información estadística de los delitos cometidos en su territorio, lo cierto, es que no conoce de las resoluciones a dichos delitos, ni de las denuncias presentadas por tal</w:t>
      </w:r>
      <w:r>
        <w:rPr>
          <w:rFonts w:ascii="Palatino Linotype" w:eastAsia="Palatino Linotype" w:hAnsi="Palatino Linotype" w:cs="Palatino Linotype"/>
          <w:sz w:val="22"/>
          <w:szCs w:val="22"/>
        </w:rPr>
        <w:t xml:space="preserve">es delitos, ya que es competencia del Poder Judicial emitir resoluciones correspondientes o bien, de la Fiscalía General de Justicia del </w:t>
      </w:r>
      <w:r>
        <w:rPr>
          <w:rFonts w:ascii="Palatino Linotype" w:eastAsia="Palatino Linotype" w:hAnsi="Palatino Linotype" w:cs="Palatino Linotype"/>
          <w:sz w:val="22"/>
          <w:szCs w:val="22"/>
        </w:rPr>
        <w:lastRenderedPageBreak/>
        <w:t xml:space="preserve">Estado de México, conocer de su estatus puesto que de conformidad con su misión, </w:t>
      </w:r>
      <w:r>
        <w:rPr>
          <w:rFonts w:ascii="Palatino Linotype" w:eastAsia="Palatino Linotype" w:hAnsi="Palatino Linotype" w:cs="Palatino Linotype"/>
          <w:i/>
          <w:sz w:val="22"/>
          <w:szCs w:val="22"/>
        </w:rPr>
        <w:t>es la institución de procuración de ju</w:t>
      </w:r>
      <w:r>
        <w:rPr>
          <w:rFonts w:ascii="Palatino Linotype" w:eastAsia="Palatino Linotype" w:hAnsi="Palatino Linotype" w:cs="Palatino Linotype"/>
          <w:i/>
          <w:sz w:val="22"/>
          <w:szCs w:val="22"/>
        </w:rPr>
        <w:t>sticia penal, independiente e imparcial,  que procura el acceso a la justicia conforme a derecho, para que se esclarezcan los hechos denunciados, mediante mecanismos  alternativos de solución de controversias o un debido proceso, y en su caso, se declare l</w:t>
      </w:r>
      <w:r>
        <w:rPr>
          <w:rFonts w:ascii="Palatino Linotype" w:eastAsia="Palatino Linotype" w:hAnsi="Palatino Linotype" w:cs="Palatino Linotype"/>
          <w:i/>
          <w:sz w:val="22"/>
          <w:szCs w:val="22"/>
        </w:rPr>
        <w:t>a existencia del delito, se castigue al culpable, se realice la reparación del daño y se proteja al inocente.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atención a lo anterior y a que el Sujeto Obligado no es competente para manifestarse sobre el estatus y la resolución de los delitos cometidos dentro del fraccionamiento, ni de las denuncias presentadas por los residentes con motivo de delitos como frau</w:t>
      </w:r>
      <w:r>
        <w:rPr>
          <w:rFonts w:ascii="Palatino Linotype" w:eastAsia="Palatino Linotype" w:hAnsi="Palatino Linotype" w:cs="Palatino Linotype"/>
          <w:sz w:val="22"/>
          <w:szCs w:val="22"/>
        </w:rPr>
        <w:t>de, deficiencias en la entrega de viviendas e invasión de propiedad, puesto que, de conformidad con el Código Penal del Estado de México, se prevén en los siguientes términos:</w:t>
      </w:r>
    </w:p>
    <w:p w:rsidR="00E02518" w:rsidRDefault="00E02518">
      <w:pPr>
        <w:spacing w:line="360" w:lineRule="auto"/>
        <w:ind w:left="567" w:right="537"/>
        <w:jc w:val="both"/>
        <w:rPr>
          <w:rFonts w:ascii="Palatino Linotype" w:eastAsia="Palatino Linotype" w:hAnsi="Palatino Linotype" w:cs="Palatino Linotype"/>
          <w:i/>
          <w:sz w:val="22"/>
          <w:szCs w:val="22"/>
        </w:rPr>
      </w:pP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“Artículo 305.- Comete el delito de fraude el que engañando a otro o aprovechán</w:t>
      </w:r>
      <w:r>
        <w:rPr>
          <w:rFonts w:ascii="Palatino Linotype" w:eastAsia="Palatino Linotype" w:hAnsi="Palatino Linotype" w:cs="Palatino Linotype"/>
          <w:i/>
        </w:rPr>
        <w:t>dose del error en que éste se halla, se haga ilícitamente de una cosa o alcance un lucro indebido para si o para otro.”</w:t>
      </w:r>
    </w:p>
    <w:p w:rsidR="00E02518" w:rsidRDefault="00E02518">
      <w:pPr>
        <w:spacing w:line="360" w:lineRule="auto"/>
        <w:ind w:left="567" w:right="537"/>
        <w:jc w:val="both"/>
        <w:rPr>
          <w:rFonts w:ascii="Palatino Linotype" w:eastAsia="Palatino Linotype" w:hAnsi="Palatino Linotype" w:cs="Palatino Linotype"/>
          <w:i/>
        </w:rPr>
      </w:pP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“CAPÍTULO V </w:t>
      </w: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 xml:space="preserve">DELITOS EN CONTRA DEL DESARROLLO URBANO </w:t>
      </w: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Artículo 189. Se impondrán de cuatro a diez años de prisión y de trescientos a mil días multa a quien fraccione o divida un inmueble en lotes y los comercialice, transfiera o prometa transferir la propiedad, la posesión o cualquier otro derecho, careciendo</w:t>
      </w:r>
      <w:r>
        <w:rPr>
          <w:rFonts w:ascii="Palatino Linotype" w:eastAsia="Palatino Linotype" w:hAnsi="Palatino Linotype" w:cs="Palatino Linotype"/>
          <w:i/>
        </w:rPr>
        <w:t xml:space="preserve"> del previo permiso, licencia o autorización de la autoridad administrativa correspondiente.</w:t>
      </w: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p>
    <w:p w:rsidR="00E02518" w:rsidRDefault="00E02518">
      <w:pPr>
        <w:spacing w:line="360" w:lineRule="auto"/>
        <w:ind w:left="567" w:right="537"/>
        <w:jc w:val="both"/>
        <w:rPr>
          <w:rFonts w:ascii="Palatino Linotype" w:eastAsia="Palatino Linotype" w:hAnsi="Palatino Linotype" w:cs="Palatino Linotype"/>
          <w:i/>
        </w:rPr>
      </w:pP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“Artículo 308.- Comete el delito de despojo:</w:t>
      </w: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I. El que de propia autoridad ocupe un inmueble ajeno o haga uso de él o de un derecho real que no le pertenezca</w:t>
      </w:r>
    </w:p>
    <w:p w:rsidR="00E02518" w:rsidRDefault="001447D8">
      <w:pPr>
        <w:spacing w:line="360" w:lineRule="auto"/>
        <w:ind w:left="567" w:right="537"/>
        <w:jc w:val="both"/>
        <w:rPr>
          <w:rFonts w:ascii="Palatino Linotype" w:eastAsia="Palatino Linotype" w:hAnsi="Palatino Linotype" w:cs="Palatino Linotype"/>
          <w:i/>
        </w:rPr>
      </w:pPr>
      <w:r>
        <w:rPr>
          <w:rFonts w:ascii="Palatino Linotype" w:eastAsia="Palatino Linotype" w:hAnsi="Palatino Linotype" w:cs="Palatino Linotype"/>
          <w:i/>
        </w:rPr>
        <w:t>…</w:t>
      </w:r>
      <w:r>
        <w:rPr>
          <w:rFonts w:ascii="Palatino Linotype" w:eastAsia="Palatino Linotype" w:hAnsi="Palatino Linotype" w:cs="Palatino Linotype"/>
          <w:i/>
        </w:rPr>
        <w:t>”</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lo cual, el Sujeto Obligado y resulta ser una notoria incompetencia no es preciso que remita el acuerdo de incompetencia, por tanto, </w:t>
      </w:r>
      <w:r>
        <w:rPr>
          <w:rFonts w:ascii="Palatino Linotype" w:eastAsia="Palatino Linotype" w:hAnsi="Palatino Linotype" w:cs="Palatino Linotype"/>
          <w:b/>
          <w:sz w:val="22"/>
          <w:szCs w:val="22"/>
        </w:rPr>
        <w:t>se tiene por atendido el punto en cuestión y por cuanto hace al estatus de los delitos y la resolución correspondien</w:t>
      </w:r>
      <w:r>
        <w:rPr>
          <w:rFonts w:ascii="Palatino Linotype" w:eastAsia="Palatino Linotype" w:hAnsi="Palatino Linotype" w:cs="Palatino Linotype"/>
          <w:b/>
          <w:sz w:val="22"/>
          <w:szCs w:val="22"/>
        </w:rPr>
        <w:t>te que fue solicitado ya no que el Sujeto Obligado no es competente para conocer de la información solicitada.</w:t>
      </w:r>
      <w:r>
        <w:rPr>
          <w:rFonts w:ascii="Palatino Linotype" w:eastAsia="Palatino Linotype" w:hAnsi="Palatino Linotype" w:cs="Palatino Linotype"/>
          <w:sz w:val="22"/>
          <w:szCs w:val="22"/>
        </w:rPr>
        <w:t xml:space="preserve">  </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Registro de casas ante el Registro Público de la Propiedad</w:t>
      </w:r>
    </w:p>
    <w:p w:rsidR="00E02518" w:rsidRDefault="00E0251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Por cuanto hace al registro de las casas ante el registro señalado en la solicitud</w:t>
      </w:r>
      <w:r>
        <w:rPr>
          <w:rFonts w:ascii="Palatino Linotype" w:eastAsia="Palatino Linotype" w:hAnsi="Palatino Linotype" w:cs="Palatino Linotype"/>
          <w:color w:val="000000"/>
          <w:sz w:val="22"/>
          <w:szCs w:val="22"/>
        </w:rPr>
        <w:t xml:space="preserve"> de información, es preciso señalar, que de conformidad con el artículo 5.38 del mismo Código Administrativo de nuestra entidad, en su fracción X, inciso j), se prevé que corresponde los titulares de los conjuntos urbanos la obligación de inscribir en el I</w:t>
      </w:r>
      <w:r>
        <w:rPr>
          <w:rFonts w:ascii="Palatino Linotype" w:eastAsia="Palatino Linotype" w:hAnsi="Palatino Linotype" w:cs="Palatino Linotype"/>
          <w:color w:val="000000"/>
          <w:sz w:val="22"/>
          <w:szCs w:val="22"/>
        </w:rPr>
        <w:t>nstituto de la Función Registral el acuerdo de autorización respectivo y sus planos correspondientes, así como comprobar ante la Secretaría el haber realizado dicha inscripción, dentro de los 90 días hábiles siguientes a la fecha de publicación de la autor</w:t>
      </w:r>
      <w:r>
        <w:rPr>
          <w:rFonts w:ascii="Palatino Linotype" w:eastAsia="Palatino Linotype" w:hAnsi="Palatino Linotype" w:cs="Palatino Linotype"/>
          <w:color w:val="000000"/>
          <w:sz w:val="22"/>
          <w:szCs w:val="22"/>
        </w:rPr>
        <w:t>ización en el Periódico Oficial “Gaceta del Gobierno”; por tanto, se advierte que es una facultad que debió llevar a cabo el titular del conjunto urbano.</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Aunado a lo anterior, el Instituto de la Función Registral, de conformidad con su página oficial es un Organismo Público Descentralizado que tiene por objeto realizar la función registral en la entidad y que, por tanto, seria competente para conocer de las</w:t>
      </w:r>
      <w:r>
        <w:rPr>
          <w:rFonts w:ascii="Palatino Linotype" w:eastAsia="Palatino Linotype" w:hAnsi="Palatino Linotype" w:cs="Palatino Linotype"/>
          <w:color w:val="000000"/>
          <w:sz w:val="22"/>
          <w:szCs w:val="22"/>
        </w:rPr>
        <w:t xml:space="preserve"> inscripciones registrales.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tabs>
          <w:tab w:val="left" w:pos="1528"/>
        </w:tabs>
        <w:spacing w:line="360" w:lineRule="auto"/>
        <w:jc w:val="both"/>
        <w:rPr>
          <w:rFonts w:ascii="Palatino Linotype" w:eastAsia="Palatino Linotype" w:hAnsi="Palatino Linotype" w:cs="Palatino Linotype"/>
          <w:i/>
          <w:sz w:val="22"/>
          <w:szCs w:val="22"/>
        </w:rPr>
      </w:pPr>
      <w:r>
        <w:rPr>
          <w:rFonts w:ascii="Palatino Linotype" w:eastAsia="Palatino Linotype" w:hAnsi="Palatino Linotype" w:cs="Palatino Linotype"/>
          <w:sz w:val="22"/>
          <w:szCs w:val="22"/>
        </w:rPr>
        <w:t xml:space="preserve">Al respecto cabe señalar que, en respuesta, el Sujeto Obligado manifestó que no cuenta con la competencia para conocer de la información, al respecto, sí bien no se emitió el acuerdo que declara la notoria incompetencia en términos de lo dispuesto por los </w:t>
      </w:r>
      <w:r>
        <w:rPr>
          <w:rFonts w:ascii="Palatino Linotype" w:eastAsia="Palatino Linotype" w:hAnsi="Palatino Linotype" w:cs="Palatino Linotype"/>
          <w:sz w:val="22"/>
          <w:szCs w:val="22"/>
        </w:rPr>
        <w:t xml:space="preserve">artículos 49 fracción II y 167 de la Ley de la materia, lo cierto es que resulta aplicable el criterio con clave de control SO/002/2020 emitido por el Instituto Nacional de Transparencia, Acceso a la Información y </w:t>
      </w:r>
      <w:r>
        <w:rPr>
          <w:rFonts w:ascii="Palatino Linotype" w:eastAsia="Palatino Linotype" w:hAnsi="Palatino Linotype" w:cs="Palatino Linotype"/>
          <w:sz w:val="22"/>
          <w:szCs w:val="22"/>
        </w:rPr>
        <w:lastRenderedPageBreak/>
        <w:t>Protección de Datos Personales (INAI), baj</w:t>
      </w:r>
      <w:r>
        <w:rPr>
          <w:rFonts w:ascii="Palatino Linotype" w:eastAsia="Palatino Linotype" w:hAnsi="Palatino Linotype" w:cs="Palatino Linotype"/>
          <w:sz w:val="22"/>
          <w:szCs w:val="22"/>
        </w:rPr>
        <w:t>o el rubro</w:t>
      </w:r>
      <w:r>
        <w:rPr>
          <w:rFonts w:ascii="Palatino Linotype" w:eastAsia="Palatino Linotype" w:hAnsi="Palatino Linotype" w:cs="Palatino Linotype"/>
          <w:b/>
          <w:i/>
          <w:sz w:val="22"/>
          <w:szCs w:val="22"/>
        </w:rPr>
        <w:t xml:space="preserve"> Declaración de incompetencia por parte del Comité, cuando no sea notoria o manifiesta</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en el que se determina que cuando la normatividad no delimita la competencia del Sujeto Obligado y resulte necesario efectuar un análisis mayor para determina</w:t>
      </w:r>
      <w:r>
        <w:rPr>
          <w:rFonts w:ascii="Palatino Linotype" w:eastAsia="Palatino Linotype" w:hAnsi="Palatino Linotype" w:cs="Palatino Linotype"/>
          <w:sz w:val="22"/>
          <w:szCs w:val="22"/>
        </w:rPr>
        <w:t xml:space="preserve">r la incompetencia, entonces, debe declararse a través del Comité de Transparencia. </w:t>
      </w:r>
      <w:r>
        <w:rPr>
          <w:rFonts w:ascii="Palatino Linotype" w:eastAsia="Palatino Linotype" w:hAnsi="Palatino Linotype" w:cs="Palatino Linotype"/>
          <w:i/>
          <w:sz w:val="22"/>
          <w:szCs w:val="22"/>
        </w:rPr>
        <w:t xml:space="preserve"> </w:t>
      </w:r>
    </w:p>
    <w:p w:rsidR="00E02518" w:rsidRDefault="00E02518">
      <w:pPr>
        <w:tabs>
          <w:tab w:val="left" w:pos="1528"/>
        </w:tabs>
        <w:spacing w:line="360" w:lineRule="auto"/>
        <w:jc w:val="both"/>
        <w:rPr>
          <w:rFonts w:ascii="Palatino Linotype" w:eastAsia="Palatino Linotype" w:hAnsi="Palatino Linotype" w:cs="Palatino Linotype"/>
          <w:i/>
          <w:sz w:val="22"/>
          <w:szCs w:val="22"/>
        </w:rPr>
      </w:pPr>
    </w:p>
    <w:p w:rsidR="00E02518" w:rsidRDefault="001447D8">
      <w:pPr>
        <w:tabs>
          <w:tab w:val="left" w:pos="1528"/>
        </w:tabs>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pues, en interpretación del criterio emitido por el INAI, se aprecia que la emisión de la declaratoria de incompetencia por parte del Comité de Transparencia, tiene </w:t>
      </w:r>
      <w:r>
        <w:rPr>
          <w:rFonts w:ascii="Palatino Linotype" w:eastAsia="Palatino Linotype" w:hAnsi="Palatino Linotype" w:cs="Palatino Linotype"/>
          <w:sz w:val="22"/>
          <w:szCs w:val="22"/>
        </w:rPr>
        <w:t>la finalidad de esclarecer la competencia derivada de una incertidumbre, es decir, cuando la competencia no es notoria, por tanto, el Comité de Transparencia debe emitir dichas declaratorias cuando no es notoriamente incompetente, o bien, cuando mediante e</w:t>
      </w:r>
      <w:r>
        <w:rPr>
          <w:rFonts w:ascii="Palatino Linotype" w:eastAsia="Palatino Linotype" w:hAnsi="Palatino Linotype" w:cs="Palatino Linotype"/>
          <w:sz w:val="22"/>
          <w:szCs w:val="22"/>
        </w:rPr>
        <w:t>l estudio correspondiente del caso en concreto se determine que existen facultades concurrentes entre dos o más sujetos obligados para generar, poseer o administrar la información solicitada.</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En este contexto normativo, el Sujeto Obligado a través del Dir</w:t>
      </w:r>
      <w:r>
        <w:rPr>
          <w:rFonts w:ascii="Palatino Linotype" w:eastAsia="Palatino Linotype" w:hAnsi="Palatino Linotype" w:cs="Palatino Linotype"/>
          <w:color w:val="000000"/>
          <w:sz w:val="22"/>
          <w:szCs w:val="22"/>
        </w:rPr>
        <w:t>ector de Desarrollo Urbano mencionó en respuesta que no tiene facultades registrales y que corresponde al Instituto de la Función Registral conocer de lo solicitado, por tanto, colmó el punto de análisis ante una notoria incompetencia.</w:t>
      </w:r>
    </w:p>
    <w:p w:rsidR="00E02518" w:rsidRDefault="001447D8">
      <w:pPr>
        <w:numPr>
          <w:ilvl w:val="0"/>
          <w:numId w:val="12"/>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Seguimiento del Ayun</w:t>
      </w:r>
      <w:r>
        <w:rPr>
          <w:rFonts w:ascii="Palatino Linotype" w:eastAsia="Palatino Linotype" w:hAnsi="Palatino Linotype" w:cs="Palatino Linotype"/>
          <w:b/>
          <w:color w:val="000000"/>
          <w:sz w:val="22"/>
          <w:szCs w:val="22"/>
        </w:rPr>
        <w:t>tamiento a un supuesto fraude y declaración de quiebra</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por cuanto hace al punto en cuestión, cabe señalar que la persona solicitante requiere la información relacionada con un supuesto fraude y una declaración de quiebra, y requiere la entrega</w:t>
      </w:r>
      <w:r>
        <w:rPr>
          <w:rFonts w:ascii="Palatino Linotype" w:eastAsia="Palatino Linotype" w:hAnsi="Palatino Linotype" w:cs="Palatino Linotype"/>
          <w:sz w:val="22"/>
          <w:szCs w:val="22"/>
        </w:rPr>
        <w:t xml:space="preserve"> de reportes de las acciones llevadas a cabo por el Sujeto Obligado en virtud del incumplimiento, al respecto cabe señalar que este Organismo Garante localizó una nota denominada: </w:t>
      </w:r>
      <w:r>
        <w:rPr>
          <w:rFonts w:ascii="Palatino Linotype" w:eastAsia="Palatino Linotype" w:hAnsi="Palatino Linotype" w:cs="Palatino Linotype"/>
          <w:b/>
          <w:i/>
          <w:sz w:val="22"/>
          <w:szCs w:val="22"/>
        </w:rPr>
        <w:t xml:space="preserve">Cuautitlán: 36 mil afectados por incumplimiento de constructoras, </w:t>
      </w:r>
      <w:r>
        <w:rPr>
          <w:rFonts w:ascii="Palatino Linotype" w:eastAsia="Palatino Linotype" w:hAnsi="Palatino Linotype" w:cs="Palatino Linotype"/>
          <w:b/>
          <w:sz w:val="22"/>
          <w:szCs w:val="22"/>
        </w:rPr>
        <w:t xml:space="preserve"> </w:t>
      </w:r>
      <w:r>
        <w:rPr>
          <w:rFonts w:ascii="Palatino Linotype" w:eastAsia="Palatino Linotype" w:hAnsi="Palatino Linotype" w:cs="Palatino Linotype"/>
          <w:sz w:val="22"/>
          <w:szCs w:val="22"/>
        </w:rPr>
        <w:t xml:space="preserve">de fecha </w:t>
      </w:r>
      <w:r>
        <w:rPr>
          <w:rFonts w:ascii="Palatino Linotype" w:eastAsia="Palatino Linotype" w:hAnsi="Palatino Linotype" w:cs="Palatino Linotype"/>
          <w:sz w:val="22"/>
          <w:szCs w:val="22"/>
        </w:rPr>
        <w:t>27 de julio de 2017; en el que se señala: “</w:t>
      </w:r>
      <w:r>
        <w:rPr>
          <w:rFonts w:ascii="Palatino Linotype" w:eastAsia="Palatino Linotype" w:hAnsi="Palatino Linotype" w:cs="Palatino Linotype"/>
          <w:i/>
          <w:sz w:val="22"/>
          <w:szCs w:val="22"/>
        </w:rPr>
        <w:t xml:space="preserve">La alcaldía de Cuautitlán acordó este año que no recibirá </w:t>
      </w:r>
      <w:r>
        <w:rPr>
          <w:rFonts w:ascii="Palatino Linotype" w:eastAsia="Palatino Linotype" w:hAnsi="Palatino Linotype" w:cs="Palatino Linotype"/>
          <w:i/>
          <w:sz w:val="22"/>
          <w:szCs w:val="22"/>
        </w:rPr>
        <w:lastRenderedPageBreak/>
        <w:t>conjuntos habitacionales inconclusos y ordenó a la dirección de desarrollo urbano que investigue los avances de las obras en 12 fraccionamientos, cuyos pob</w:t>
      </w:r>
      <w:r>
        <w:rPr>
          <w:rFonts w:ascii="Palatino Linotype" w:eastAsia="Palatino Linotype" w:hAnsi="Palatino Linotype" w:cs="Palatino Linotype"/>
          <w:i/>
          <w:sz w:val="22"/>
          <w:szCs w:val="22"/>
        </w:rPr>
        <w:t xml:space="preserve">ladores han advertido que las constructoras no han cumplido, informó Andrade Calderón.”, </w:t>
      </w:r>
      <w:r>
        <w:rPr>
          <w:rFonts w:ascii="Palatino Linotype" w:eastAsia="Palatino Linotype" w:hAnsi="Palatino Linotype" w:cs="Palatino Linotype"/>
          <w:sz w:val="22"/>
          <w:szCs w:val="22"/>
        </w:rPr>
        <w:t xml:space="preserve"> por lo cual se advierte que el Sujeto Obligado puede conocer del seguimiento a los incumplimientos por parte de la inmobiliaria señalada en la solicitud, ello sin asu</w:t>
      </w:r>
      <w:r>
        <w:rPr>
          <w:rFonts w:ascii="Palatino Linotype" w:eastAsia="Palatino Linotype" w:hAnsi="Palatino Linotype" w:cs="Palatino Linotype"/>
          <w:sz w:val="22"/>
          <w:szCs w:val="22"/>
        </w:rPr>
        <w:t>mir como cierto la existencia de un fraude o de una quiebra, puesto que dicha declaración se encuentra fuera de las funciones o atribuciones de este organismo Garante, puesto que la determinación de la existencia de un delito de fraude o de quiebra corresp</w:t>
      </w:r>
      <w:r>
        <w:rPr>
          <w:rFonts w:ascii="Palatino Linotype" w:eastAsia="Palatino Linotype" w:hAnsi="Palatino Linotype" w:cs="Palatino Linotype"/>
          <w:sz w:val="22"/>
          <w:szCs w:val="22"/>
        </w:rPr>
        <w:t xml:space="preserve">onde a otros entes institucionales. </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Por tanto, es procedente ordenar la entrega del seguimiento a los incumplimientos por parte de la inmobiliaria señalada en la solicitud, y su entrega en versión pública acompañada del Acuerdo de Clasificación donde el </w:t>
      </w:r>
      <w:r>
        <w:rPr>
          <w:rFonts w:ascii="Palatino Linotype" w:eastAsia="Palatino Linotype" w:hAnsi="Palatino Linotype" w:cs="Palatino Linotype"/>
          <w:sz w:val="22"/>
          <w:szCs w:val="22"/>
        </w:rPr>
        <w:t>Comité de Transparencia, confirme la eliminación de los datos clasificados como confidenciales, de conformidad con los artículos 49, fracciones II y VIII, 132, fracción II, 143, fracción I y 149, de la Ley de Transparencia y Acceso a la Información Pública</w:t>
      </w:r>
      <w:r>
        <w:rPr>
          <w:rFonts w:ascii="Palatino Linotype" w:eastAsia="Palatino Linotype" w:hAnsi="Palatino Linotype" w:cs="Palatino Linotype"/>
          <w:sz w:val="22"/>
          <w:szCs w:val="22"/>
        </w:rPr>
        <w:t xml:space="preserve"> del Estado de México y Municipios.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el caso de que, derivado de la búsqueda no localice la información solicitada, bastara que lo haga dele conocimiento del Particular de forma precisa y clara. </w:t>
      </w:r>
    </w:p>
    <w:p w:rsidR="00E02518" w:rsidRDefault="00E02518">
      <w:pPr>
        <w:tabs>
          <w:tab w:val="left" w:pos="4962"/>
        </w:tabs>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atención a lo antes expuesto es dable MODIFICAR la </w:t>
      </w:r>
      <w:r>
        <w:rPr>
          <w:rFonts w:ascii="Palatino Linotype" w:eastAsia="Palatino Linotype" w:hAnsi="Palatino Linotype" w:cs="Palatino Linotype"/>
          <w:sz w:val="22"/>
          <w:szCs w:val="22"/>
        </w:rPr>
        <w:t xml:space="preserve">respuesta inicial y ordenar la entrega de la información faltante, en los términos antes expuestos, observando las excepciones y las consideraciones para cada punto de análisis; además se deberá tomar en cuenta que la información solicitada se requirió en </w:t>
      </w:r>
      <w:r>
        <w:rPr>
          <w:rFonts w:ascii="Palatino Linotype" w:eastAsia="Palatino Linotype" w:hAnsi="Palatino Linotype" w:cs="Palatino Linotype"/>
          <w:sz w:val="22"/>
          <w:szCs w:val="22"/>
        </w:rPr>
        <w:t>formatos especificaos, sin embargo, el sujeto obligado los sujetos obligados sólo están constreñidos a proporcionar la información pública que obre en sus archivos, en el estado en el que se encuentre; por lo que, la entrega no comprende el procesamiento d</w:t>
      </w:r>
      <w:r>
        <w:rPr>
          <w:rFonts w:ascii="Palatino Linotype" w:eastAsia="Palatino Linotype" w:hAnsi="Palatino Linotype" w:cs="Palatino Linotype"/>
          <w:sz w:val="22"/>
          <w:szCs w:val="22"/>
        </w:rPr>
        <w:t xml:space="preserve">e la misma, ni presentarla conforme al interés del solicitante, tampoco deberá </w:t>
      </w:r>
      <w:r>
        <w:rPr>
          <w:rFonts w:ascii="Palatino Linotype" w:eastAsia="Palatino Linotype" w:hAnsi="Palatino Linotype" w:cs="Palatino Linotype"/>
          <w:sz w:val="22"/>
          <w:szCs w:val="22"/>
        </w:rPr>
        <w:lastRenderedPageBreak/>
        <w:t>generarla, resumirla, efectuar cálculos o practicar investigaciones, ello de conformidad con el artículo 12 de la Ley de Transparencia y Acceso a la Información Pública del Esta</w:t>
      </w:r>
      <w:r>
        <w:rPr>
          <w:rFonts w:ascii="Palatino Linotype" w:eastAsia="Palatino Linotype" w:hAnsi="Palatino Linotype" w:cs="Palatino Linotype"/>
          <w:sz w:val="22"/>
          <w:szCs w:val="22"/>
        </w:rPr>
        <w:t>do de México y Municipios.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De esta manera, el derecho de acceso a la información pública se satisface en aquellos casos en que se entregue el soporte documental en el que conste la información solicitada, sin necesidad de elaborar documentos </w:t>
      </w:r>
      <w:r>
        <w:rPr>
          <w:rFonts w:ascii="Palatino Linotype" w:eastAsia="Palatino Linotype" w:hAnsi="Palatino Linotype" w:cs="Palatino Linotype"/>
          <w:i/>
          <w:sz w:val="22"/>
          <w:szCs w:val="22"/>
        </w:rPr>
        <w:t>ad hoc</w:t>
      </w:r>
      <w:r>
        <w:rPr>
          <w:rFonts w:ascii="Palatino Linotype" w:eastAsia="Palatino Linotype" w:hAnsi="Palatino Linotype" w:cs="Palatino Linotype"/>
          <w:sz w:val="22"/>
          <w:szCs w:val="22"/>
        </w:rPr>
        <w:t>; lo cu</w:t>
      </w:r>
      <w:r>
        <w:rPr>
          <w:rFonts w:ascii="Palatino Linotype" w:eastAsia="Palatino Linotype" w:hAnsi="Palatino Linotype" w:cs="Palatino Linotype"/>
          <w:sz w:val="22"/>
          <w:szCs w:val="22"/>
        </w:rPr>
        <w:t>al, toma sustento en el artículo 160 de la Ley de Transparencia y Acceso a la Información Pública del Estado de México y Municipios, el cual refiere que los sujetos obligados deberán entregar la información que obre en sus archivos. Además, resulta aplicab</w:t>
      </w:r>
      <w:r>
        <w:rPr>
          <w:rFonts w:ascii="Palatino Linotype" w:eastAsia="Palatino Linotype" w:hAnsi="Palatino Linotype" w:cs="Palatino Linotype"/>
          <w:sz w:val="22"/>
          <w:szCs w:val="22"/>
        </w:rPr>
        <w:t xml:space="preserve">le el Criterio 03/17 del Instituto Nacional de Transparencia, Acceso a la Información y Protección de Datos Personales que a continuación se cita: </w:t>
      </w:r>
    </w:p>
    <w:p w:rsidR="00E02518" w:rsidRDefault="00E02518">
      <w:pPr>
        <w:spacing w:line="360" w:lineRule="auto"/>
        <w:jc w:val="both"/>
        <w:rPr>
          <w:rFonts w:ascii="Palatino Linotype" w:eastAsia="Palatino Linotype" w:hAnsi="Palatino Linotype" w:cs="Palatino Linotype"/>
          <w:b/>
          <w:i/>
          <w:sz w:val="22"/>
          <w:szCs w:val="22"/>
        </w:rPr>
      </w:pPr>
    </w:p>
    <w:p w:rsidR="00E02518" w:rsidRDefault="001447D8">
      <w:pPr>
        <w:spacing w:line="360" w:lineRule="auto"/>
        <w:ind w:left="567" w:right="616"/>
        <w:jc w:val="both"/>
        <w:rPr>
          <w:rFonts w:ascii="Palatino Linotype" w:eastAsia="Palatino Linotype" w:hAnsi="Palatino Linotype" w:cs="Palatino Linotype"/>
        </w:rPr>
      </w:pPr>
      <w:r>
        <w:rPr>
          <w:rFonts w:ascii="Palatino Linotype" w:eastAsia="Palatino Linotype" w:hAnsi="Palatino Linotype" w:cs="Palatino Linotype"/>
          <w:b/>
          <w:i/>
        </w:rPr>
        <w:t xml:space="preserve">“No existe obligación de elaborar documentos ad hoc para atender las solicitudes de acceso a la información. </w:t>
      </w:r>
      <w:r>
        <w:rPr>
          <w:rFonts w:ascii="Palatino Linotype" w:eastAsia="Palatino Linotype" w:hAnsi="Palatino Linotype" w:cs="Palatino Linotype"/>
          <w:i/>
        </w:rPr>
        <w:t xml:space="preserve">Los artículos 129 de la Ley General de Transparencia y Acceso a la Información Pública y 130, párrafo cuarto, de la Ley Federal de Transparencia y </w:t>
      </w:r>
      <w:r>
        <w:rPr>
          <w:rFonts w:ascii="Palatino Linotype" w:eastAsia="Palatino Linotype" w:hAnsi="Palatino Linotype" w:cs="Palatino Linotype"/>
          <w:i/>
        </w:rPr>
        <w:t>Acceso a la Información Pública, señalan que los sujetos obligados deberán otorgar acceso a los documentos que se encuentren en sus archivos o que estén obligados a documentar, de acuerdo con sus facultades, competencias o funciones, conforme a las caracte</w:t>
      </w:r>
      <w:r>
        <w:rPr>
          <w:rFonts w:ascii="Palatino Linotype" w:eastAsia="Palatino Linotype" w:hAnsi="Palatino Linotype" w:cs="Palatino Linotype"/>
          <w:i/>
        </w:rPr>
        <w:t xml:space="preserve">rísticas físicas de la información o del lugar donde se encuentre. Por lo anterior, los sujetos obligados deben garantizar el derecho de acceso a la información del particular, proporcionando la información con la que cuentan en el formato en que la misma </w:t>
      </w:r>
      <w:r>
        <w:rPr>
          <w:rFonts w:ascii="Palatino Linotype" w:eastAsia="Palatino Linotype" w:hAnsi="Palatino Linotype" w:cs="Palatino Linotype"/>
          <w:i/>
        </w:rPr>
        <w:t>obre en sus archivos; sin necesidad de elaborar documentos ad hoc para atender las solicitudes de información.”</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tales circunstancias, se concluye que los Sujetos Obligados únicamente se encuentran constreñidos a proporcionar los documentos que den cuen</w:t>
      </w:r>
      <w:r>
        <w:rPr>
          <w:rFonts w:ascii="Palatino Linotype" w:eastAsia="Palatino Linotype" w:hAnsi="Palatino Linotype" w:cs="Palatino Linotype"/>
          <w:sz w:val="22"/>
          <w:szCs w:val="22"/>
        </w:rPr>
        <w:t>ta de la información solicitada, como obren en sus archivos, sin tener que elaborarlos a las necesidades del Recurrente.</w:t>
      </w:r>
    </w:p>
    <w:p w:rsidR="00E02518" w:rsidRDefault="00E02518">
      <w:pPr>
        <w:tabs>
          <w:tab w:val="left" w:pos="4962"/>
        </w:tabs>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Ahora bien, es necesario precisar que el Particular señaló como modalidad de entrega de la información copias certificadas; por lo que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sz w:val="22"/>
          <w:szCs w:val="22"/>
        </w:rPr>
        <w:t>es necesario precisar que la fracción V, del artículo 155, de la Ley de Transparencia y Acceso a la Información Pública del Estado de México y Municipios, precisa que, entre los requisitos para presentar una solicitud de acceso, se encuentra señalar la m</w:t>
      </w:r>
      <w:r>
        <w:rPr>
          <w:rFonts w:ascii="Palatino Linotype" w:eastAsia="Palatino Linotype" w:hAnsi="Palatino Linotype" w:cs="Palatino Linotype"/>
          <w:sz w:val="22"/>
          <w:szCs w:val="22"/>
        </w:rPr>
        <w:t>odalidad de entrega de la información. Situación que toma relevancia, pues el diverso 164 de la Ley Local, establece que el acceso se dará en la modalidad de entrega y, en su caso, envió elegidos por el solicitante.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widowControl w:val="0"/>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Conforme a lo anterior, se logra vislum</w:t>
      </w:r>
      <w:r>
        <w:rPr>
          <w:rFonts w:ascii="Palatino Linotype" w:eastAsia="Palatino Linotype" w:hAnsi="Palatino Linotype" w:cs="Palatino Linotype"/>
          <w:sz w:val="22"/>
          <w:szCs w:val="22"/>
        </w:rPr>
        <w:t>brar que por regla general cuando una solicitud se presenta por medio del Sistema de Acceso a la Información Mexiquense, se entiende que acepta que las notificaciones se hagan por dichos sistemas, tan es así, que el Particular refirió dicho medio; sin emba</w:t>
      </w:r>
      <w:r>
        <w:rPr>
          <w:rFonts w:ascii="Palatino Linotype" w:eastAsia="Palatino Linotype" w:hAnsi="Palatino Linotype" w:cs="Palatino Linotype"/>
          <w:sz w:val="22"/>
          <w:szCs w:val="22"/>
        </w:rPr>
        <w:t>rgo, en el presente caso, se señaló como modalidad de entrega de información copias certificadas.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Así, este Instituto considera que, al no haberse proporcionado la información en la modalidad elegida, resulta procedente ordenar la entrega, en copias certi</w:t>
      </w:r>
      <w:r>
        <w:rPr>
          <w:rFonts w:ascii="Palatino Linotype" w:eastAsia="Palatino Linotype" w:hAnsi="Palatino Linotype" w:cs="Palatino Linotype"/>
          <w:color w:val="000000"/>
          <w:sz w:val="22"/>
          <w:szCs w:val="22"/>
        </w:rPr>
        <w:t>ficadas, previo de los costos de reproducción correspondientes, en términos del artículo 174 de la Ley de la materia.</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ind w:right="-28"/>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t xml:space="preserve">Para lo anterior, en atención al Vigésimo Sexto de los </w:t>
      </w:r>
      <w:r>
        <w:rPr>
          <w:rFonts w:ascii="Palatino Linotype" w:eastAsia="Palatino Linotype" w:hAnsi="Palatino Linotype" w:cs="Palatino Linotype"/>
          <w:sz w:val="22"/>
          <w:szCs w:val="22"/>
        </w:rPr>
        <w:t>Lineamientos para la operación del Sistema de Acceso a la Información Mexiquense (</w:t>
      </w:r>
      <w:r>
        <w:rPr>
          <w:rFonts w:ascii="Palatino Linotype" w:eastAsia="Palatino Linotype" w:hAnsi="Palatino Linotype" w:cs="Palatino Linotype"/>
          <w:sz w:val="22"/>
          <w:szCs w:val="22"/>
        </w:rPr>
        <w:t>SAIMEX) y del Sistema de Acceso, Rectificación, Cancelación y Oposición de Datos Personales del Estado de México (SARCOEM), el Sujeto Obligado deberá indicar a través de los sistemas electrónicos el nombre del servidor público que lo atenderá, domicilio de</w:t>
      </w:r>
      <w:r>
        <w:rPr>
          <w:rFonts w:ascii="Palatino Linotype" w:eastAsia="Palatino Linotype" w:hAnsi="Palatino Linotype" w:cs="Palatino Linotype"/>
          <w:sz w:val="22"/>
          <w:szCs w:val="22"/>
        </w:rPr>
        <w:t xml:space="preserve"> la Unidad de Transparencia, los días, horarios de atención, y en su caso los costos de reproducción.</w:t>
      </w:r>
    </w:p>
    <w:p w:rsidR="00E02518" w:rsidRDefault="00E02518">
      <w:pPr>
        <w:tabs>
          <w:tab w:val="left" w:pos="4962"/>
        </w:tabs>
        <w:spacing w:line="360" w:lineRule="auto"/>
        <w:jc w:val="both"/>
        <w:rPr>
          <w:rFonts w:ascii="Palatino Linotype" w:eastAsia="Palatino Linotype" w:hAnsi="Palatino Linotype" w:cs="Palatino Linotype"/>
          <w:sz w:val="22"/>
          <w:szCs w:val="22"/>
        </w:rPr>
      </w:pPr>
    </w:p>
    <w:p w:rsidR="00E02518" w:rsidRDefault="001447D8">
      <w:pPr>
        <w:tabs>
          <w:tab w:val="left" w:pos="4962"/>
        </w:tabs>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Versión Pública</w:t>
      </w:r>
    </w:p>
    <w:p w:rsidR="00E02518" w:rsidRDefault="00E02518">
      <w:pPr>
        <w:tabs>
          <w:tab w:val="left" w:pos="4962"/>
        </w:tabs>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Establecido lo anterior, y tal como se refirió en párrafos precedentes, de la naturaleza jurídica de los documentos requeridos por el Pa</w:t>
      </w:r>
      <w:r>
        <w:rPr>
          <w:rFonts w:ascii="Palatino Linotype" w:eastAsia="Palatino Linotype" w:hAnsi="Palatino Linotype" w:cs="Palatino Linotype"/>
          <w:sz w:val="22"/>
          <w:szCs w:val="22"/>
        </w:rPr>
        <w:t>rticular, se pueden desprender datos susceptibles de clasificación en términos del numeral 143 de la Ley de Transparencia y Acceso a la Información Pública del Estado de México y Municipios, por lo tanto, cabe mencionar que el artículo 6°, Apartado A), fra</w:t>
      </w:r>
      <w:r>
        <w:rPr>
          <w:rFonts w:ascii="Palatino Linotype" w:eastAsia="Palatino Linotype" w:hAnsi="Palatino Linotype" w:cs="Palatino Linotype"/>
          <w:sz w:val="22"/>
          <w:szCs w:val="22"/>
        </w:rPr>
        <w:t xml:space="preserve">cción II, de la Constitución Política de los Estados Unidos Mexicanos, prevé que la información que se refiere a la vida privada y los datos personales será protegida en los términos y con las excepciones que fijen las leyes. </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Igualmente, el segundo párra</w:t>
      </w:r>
      <w:r>
        <w:rPr>
          <w:rFonts w:ascii="Palatino Linotype" w:eastAsia="Palatino Linotype" w:hAnsi="Palatino Linotype" w:cs="Palatino Linotype"/>
          <w:sz w:val="22"/>
          <w:szCs w:val="22"/>
        </w:rPr>
        <w:t>fo del artículo 16 de dicho ordenamiento, dispone que toda persona tiene derecho a la protección de sus datos personales, al acceso, rectificación y cancelación de los mismos; así como, a manifestar su oposición, en los términos que fije la ley, la cual es</w:t>
      </w:r>
      <w:r>
        <w:rPr>
          <w:rFonts w:ascii="Palatino Linotype" w:eastAsia="Palatino Linotype" w:hAnsi="Palatino Linotype" w:cs="Palatino Linotype"/>
          <w:sz w:val="22"/>
          <w:szCs w:val="22"/>
        </w:rPr>
        <w:t xml:space="preserve">tablecerá los supuestos de excepción a los principios que rijan el tratamiento de datos, por razones de seguridad nacional, disposiciones de orden público, seguridad y salud públicas o para proteger los derechos de terceros. Acorde con lo anterior, la Ley </w:t>
      </w:r>
      <w:r>
        <w:rPr>
          <w:rFonts w:ascii="Palatino Linotype" w:eastAsia="Palatino Linotype" w:hAnsi="Palatino Linotype" w:cs="Palatino Linotype"/>
          <w:sz w:val="22"/>
          <w:szCs w:val="22"/>
        </w:rPr>
        <w:t>General de Transparencia y Acceso a la Información Pública, en su artículo 116, dispone que se considera información confidencial la que contenga datos personales concernientes a una persona física identificada o identificable.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la misma manera, el artí</w:t>
      </w:r>
      <w:r>
        <w:rPr>
          <w:rFonts w:ascii="Palatino Linotype" w:eastAsia="Palatino Linotype" w:hAnsi="Palatino Linotype" w:cs="Palatino Linotype"/>
          <w:sz w:val="22"/>
          <w:szCs w:val="22"/>
        </w:rPr>
        <w:t>culo 5°, fracciones I y II de la Constitución Política del Estado Libre y Soberano de México, prevé que toda la información en posesión de los Sujetos Obligados será pública; no obstante, aquella referente a la intimidad de la vida privada y la imagen de l</w:t>
      </w:r>
      <w:r>
        <w:rPr>
          <w:rFonts w:ascii="Palatino Linotype" w:eastAsia="Palatino Linotype" w:hAnsi="Palatino Linotype" w:cs="Palatino Linotype"/>
          <w:sz w:val="22"/>
          <w:szCs w:val="22"/>
        </w:rPr>
        <w:t>as personas, será protegida a través de un marco jurídico rígido, de tratamiento y manejo de datos personales.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Por su parte, el artículo 24, fracción VI, de la Ley de Transparencia y Acceso a la Información Pública del Estado de México y Municipios, preci</w:t>
      </w:r>
      <w:r>
        <w:rPr>
          <w:rFonts w:ascii="Palatino Linotype" w:eastAsia="Palatino Linotype" w:hAnsi="Palatino Linotype" w:cs="Palatino Linotype"/>
          <w:sz w:val="22"/>
          <w:szCs w:val="22"/>
        </w:rPr>
        <w:t>sa que los Sujetos Obligados serán los responsables de proteger y resguardar la información clasificada como reservada o confidencial.</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concordancia con lo previo, el artículo 143, fracción I, de la Ley previamente citada, establece que la información p</w:t>
      </w:r>
      <w:r>
        <w:rPr>
          <w:rFonts w:ascii="Palatino Linotype" w:eastAsia="Palatino Linotype" w:hAnsi="Palatino Linotype" w:cs="Palatino Linotype"/>
          <w:sz w:val="22"/>
          <w:szCs w:val="22"/>
        </w:rPr>
        <w:t>rivada y los datos personales, concernientes a una persona física o jurídica colectiva identificada o identificable son confidenciales.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Asimismo, el artículo 145 de la Ley de Transparencia y Acceso a la Información Pública del Estado de México y Municipios, prevé que para que los Sujetos Obligados puedan permitir el acceso a la información confidencial, requieren obtener el consentimiento </w:t>
      </w:r>
      <w:r>
        <w:rPr>
          <w:rFonts w:ascii="Palatino Linotype" w:eastAsia="Palatino Linotype" w:hAnsi="Palatino Linotype" w:cs="Palatino Linotype"/>
          <w:sz w:val="22"/>
          <w:szCs w:val="22"/>
        </w:rPr>
        <w:t>de los particulares titulares de la información, excepto cuando i) la información se encuentre en registros públicos o fuentes de acceso público, ii) por ley tenga el carácter de pública, iii) exista una orden judicial, iv) por razones de seguridad naciona</w:t>
      </w:r>
      <w:r>
        <w:rPr>
          <w:rFonts w:ascii="Palatino Linotype" w:eastAsia="Palatino Linotype" w:hAnsi="Palatino Linotype" w:cs="Palatino Linotype"/>
          <w:sz w:val="22"/>
          <w:szCs w:val="22"/>
        </w:rPr>
        <w:t>l y salubridad general o v) para proteger los derechos de terceros o cuando se transmita entre sujetos obligados en términos de los tratados y los acuerdos interinstitucionales.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términos de lo expuesto, la documentación y aquellos datos que se consider</w:t>
      </w:r>
      <w:r>
        <w:rPr>
          <w:rFonts w:ascii="Palatino Linotype" w:eastAsia="Palatino Linotype" w:hAnsi="Palatino Linotype" w:cs="Palatino Linotype"/>
          <w:sz w:val="22"/>
          <w:szCs w:val="22"/>
        </w:rPr>
        <w:t>en confidenciales, serán una limitante del derecho de acceso a la información, siempre y cuando:</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Se trate de datos personales o información privada; esto es, información concerniente a una persona física o jurídico colectiva y que esta sea identificada o </w:t>
      </w:r>
      <w:r>
        <w:rPr>
          <w:rFonts w:ascii="Palatino Linotype" w:eastAsia="Palatino Linotype" w:hAnsi="Palatino Linotype" w:cs="Palatino Linotype"/>
          <w:color w:val="000000"/>
          <w:sz w:val="22"/>
          <w:szCs w:val="22"/>
        </w:rPr>
        <w:t xml:space="preserve">identificable. </w:t>
      </w:r>
    </w:p>
    <w:p w:rsidR="00E02518" w:rsidRDefault="001447D8">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Para la difusión de los datos, se requiera el consentimiento del titular. </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En ese orden de ideas, de conformidad con el artículo 3°, fracción IX, de la Ley de Transparencia y Acceso a la Información Pública del Estado de México y Municipios, con relación el diverso 4°, fracciones XI y XII, de la Ley de Protección de Datos Persona</w:t>
      </w:r>
      <w:r>
        <w:rPr>
          <w:rFonts w:ascii="Palatino Linotype" w:eastAsia="Palatino Linotype" w:hAnsi="Palatino Linotype" w:cs="Palatino Linotype"/>
          <w:sz w:val="22"/>
          <w:szCs w:val="22"/>
        </w:rPr>
        <w:t>les en Posesión de Sujetos Obligados del Estado de México y Municipios, se advierte que son datos personales, la información concerniente a una persona física o jurídico colectiva identificada o identificable (cuando su identidad pueda determinarse directa</w:t>
      </w:r>
      <w:r>
        <w:rPr>
          <w:rFonts w:ascii="Palatino Linotype" w:eastAsia="Palatino Linotype" w:hAnsi="Palatino Linotype" w:cs="Palatino Linotype"/>
          <w:sz w:val="22"/>
          <w:szCs w:val="22"/>
        </w:rPr>
        <w:t xml:space="preserve"> o indirectamente a través de cualquier documento informativo físico o electrónico), establecida en cualquier formato o modalidad. </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Además, en el artículo 5° de dicho ordenamiento jurídico, establece que es la Ley aplicable para todo tratamiento de datos </w:t>
      </w:r>
      <w:r>
        <w:rPr>
          <w:rFonts w:ascii="Palatino Linotype" w:eastAsia="Palatino Linotype" w:hAnsi="Palatino Linotype" w:cs="Palatino Linotype"/>
          <w:sz w:val="22"/>
          <w:szCs w:val="22"/>
        </w:rPr>
        <w:t>personales.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orden de ideas, los artículos 6°, 7°, 8° y 14 de la Ley de Protección de Datos Personales en Posesión de Sujetos Obligados del Estado de México y Municipios disponen que los responsables del tratamiento de datos personales, deben observ</w:t>
      </w:r>
      <w:r>
        <w:rPr>
          <w:rFonts w:ascii="Palatino Linotype" w:eastAsia="Palatino Linotype" w:hAnsi="Palatino Linotype" w:cs="Palatino Linotype"/>
          <w:sz w:val="22"/>
          <w:szCs w:val="22"/>
        </w:rPr>
        <w:t>ar los principios de licitud, consentimiento, información, calidad, lealtad, finalidad, proporcionalidad y responsabilidad; además, que dicho tratamiento deberá obedecer exclusivamente a sus atribuciones legales y con el consentimiento de su titular, ademá</w:t>
      </w:r>
      <w:r>
        <w:rPr>
          <w:rFonts w:ascii="Palatino Linotype" w:eastAsia="Palatino Linotype" w:hAnsi="Palatino Linotype" w:cs="Palatino Linotype"/>
          <w:sz w:val="22"/>
          <w:szCs w:val="22"/>
        </w:rPr>
        <w:t>s de que debe estar justificado en ley (principio de finalidad).</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En este sentido, un dato personal es cualquier información que pueda hacer a una persona física o jurídica colectiva identificada e identificable. Asimismo, la doctrina desarrollada a nivel </w:t>
      </w:r>
      <w:r>
        <w:rPr>
          <w:rFonts w:ascii="Palatino Linotype" w:eastAsia="Palatino Linotype" w:hAnsi="Palatino Linotype" w:cs="Palatino Linotype"/>
          <w:sz w:val="22"/>
          <w:szCs w:val="22"/>
        </w:rPr>
        <w:t>internacional, respecto del tema de datos personales, establece que también las preferencias, gustos, cualidades, opiniones y creencias, constituyen datos personales. En este sentido, cualquier información que por sí sola o relacionada con otra permita hac</w:t>
      </w:r>
      <w:r>
        <w:rPr>
          <w:rFonts w:ascii="Palatino Linotype" w:eastAsia="Palatino Linotype" w:hAnsi="Palatino Linotype" w:cs="Palatino Linotype"/>
          <w:sz w:val="22"/>
          <w:szCs w:val="22"/>
        </w:rPr>
        <w:t>er identificable a una persona, es un dato personal, susceptible de ser clasificado.</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Por lo cual, la confidencialidad de los datos personales tiene por objetivo establecer el límite del derecho de acceso a la información a partir del derecho a la intimida</w:t>
      </w:r>
      <w:r>
        <w:rPr>
          <w:rFonts w:ascii="Palatino Linotype" w:eastAsia="Palatino Linotype" w:hAnsi="Palatino Linotype" w:cs="Palatino Linotype"/>
          <w:sz w:val="22"/>
          <w:szCs w:val="22"/>
        </w:rPr>
        <w:t>d y la vida privada de los individuos. Sobre el particular, el legislador realizó un análisis en donde se ponderaban dos derechos: el derecho a la intimidad y la protección de los datos personales versus el interés público de conocer el ejercicio de atribu</w:t>
      </w:r>
      <w:r>
        <w:rPr>
          <w:rFonts w:ascii="Palatino Linotype" w:eastAsia="Palatino Linotype" w:hAnsi="Palatino Linotype" w:cs="Palatino Linotype"/>
          <w:sz w:val="22"/>
          <w:szCs w:val="22"/>
        </w:rPr>
        <w:t>ciones y de recursos públicos de las instituciones y es a partir de ahí, en donde las instituciones públicas deben determinar la publicidad de su información.</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tal suerte, las instituciones públicas tienen la doble responsabilidad, por un lado, de prote</w:t>
      </w:r>
      <w:r>
        <w:rPr>
          <w:rFonts w:ascii="Palatino Linotype" w:eastAsia="Palatino Linotype" w:hAnsi="Palatino Linotype" w:cs="Palatino Linotype"/>
          <w:sz w:val="22"/>
          <w:szCs w:val="22"/>
        </w:rPr>
        <w:t>ger los datos personales y por otro, darles publicidad cuando la relevancia de esos datos sea de interés público.</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este orden de ideas, toda la información que transparente la gestión pública, favorezca la rendición de cuentas y contribuya a la democrat</w:t>
      </w:r>
      <w:r>
        <w:rPr>
          <w:rFonts w:ascii="Palatino Linotype" w:eastAsia="Palatino Linotype" w:hAnsi="Palatino Linotype" w:cs="Palatino Linotype"/>
          <w:sz w:val="22"/>
          <w:szCs w:val="22"/>
        </w:rPr>
        <w:t>ización del Estado Mexicano es, sin excepción, de naturaleza pública; tal es el caso de los salarios de todos los servidores públicos, la entrega de recursos públicos bajo cualquier esquema, el cumplimiento de requisitos legales, cumplimiento de atribucion</w:t>
      </w:r>
      <w:r>
        <w:rPr>
          <w:rFonts w:ascii="Palatino Linotype" w:eastAsia="Palatino Linotype" w:hAnsi="Palatino Linotype" w:cs="Palatino Linotype"/>
          <w:sz w:val="22"/>
          <w:szCs w:val="22"/>
        </w:rPr>
        <w:t>es, entre otros; información que necesariamente está vinculada con datos personales, que pierden la protección en beneficio del interés público (no por eso dejan de ser datos personales, sólo que no están protegidos en la confidencialidad).</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Dada la complejidad de la información cuando involucra datos personales, pudiera pensarse que se trata de dos derechos en colisión; por un lado, la garantía individual de conocer sobre el ejercicio de atribuciones de servidores públicos así como de recurso</w:t>
      </w:r>
      <w:r>
        <w:rPr>
          <w:rFonts w:ascii="Palatino Linotype" w:eastAsia="Palatino Linotype" w:hAnsi="Palatino Linotype" w:cs="Palatino Linotype"/>
          <w:sz w:val="22"/>
          <w:szCs w:val="22"/>
        </w:rPr>
        <w:t xml:space="preserve">s públicos y, por el otro, el derecho de las personas a la autodeterminación informativa y el derecho a la vida privada; tratándose de los datos personales que obran en los archivos de las instituciones públicas, la </w:t>
      </w:r>
      <w:r>
        <w:rPr>
          <w:rFonts w:ascii="Palatino Linotype" w:eastAsia="Palatino Linotype" w:hAnsi="Palatino Linotype" w:cs="Palatino Linotype"/>
          <w:sz w:val="22"/>
          <w:szCs w:val="22"/>
        </w:rPr>
        <w:lastRenderedPageBreak/>
        <w:t>regla es clara, ya que los datos persona</w:t>
      </w:r>
      <w:r>
        <w:rPr>
          <w:rFonts w:ascii="Palatino Linotype" w:eastAsia="Palatino Linotype" w:hAnsi="Palatino Linotype" w:cs="Palatino Linotype"/>
          <w:sz w:val="22"/>
          <w:szCs w:val="22"/>
        </w:rPr>
        <w:t xml:space="preserve">les que permiten verificar el desempeño de los servidores públicos y el cumplimiento de obligaciones legales, transparentan la gestión pública y favorecen la rendición de cuentas, constituyen información de naturaleza pública, en razón de que el beneficio </w:t>
      </w:r>
      <w:r>
        <w:rPr>
          <w:rFonts w:ascii="Palatino Linotype" w:eastAsia="Palatino Linotype" w:hAnsi="Palatino Linotype" w:cs="Palatino Linotype"/>
          <w:sz w:val="22"/>
          <w:szCs w:val="22"/>
        </w:rPr>
        <w:t>de su publicidad es mayor que el beneficio de su clasificación, aun tratándose de información personal.</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Ahora bien, cuando las personas tienen una relación comercial, laboral, de servicios, trámites o del tipo que sea, necesariamente por un tema de interé</w:t>
      </w:r>
      <w:r>
        <w:rPr>
          <w:rFonts w:ascii="Palatino Linotype" w:eastAsia="Palatino Linotype" w:hAnsi="Palatino Linotype" w:cs="Palatino Linotype"/>
          <w:sz w:val="22"/>
          <w:szCs w:val="22"/>
        </w:rPr>
        <w:t>s público, debe cederse un poco de privacidad, de tal forma que la gente en general pueda verificar el debido desempeño de los servidores públicos, la aplicación de la ley y el ejercicio de recursos públicos; sin embargo, esto obliga a un ejercicio de pond</w:t>
      </w:r>
      <w:r>
        <w:rPr>
          <w:rFonts w:ascii="Palatino Linotype" w:eastAsia="Palatino Linotype" w:hAnsi="Palatino Linotype" w:cs="Palatino Linotype"/>
          <w:sz w:val="22"/>
          <w:szCs w:val="22"/>
        </w:rPr>
        <w:t>eración en donde únicamente se privilegie la publicidad de los datos esenciales para la transparencia y rendición de cuentas, sin afectar la vida privada de las personas.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Bajo ese contexto, se analizarán de manera enunciativa más no limitativa algunos dat</w:t>
      </w:r>
      <w:r>
        <w:rPr>
          <w:rFonts w:ascii="Palatino Linotype" w:eastAsia="Palatino Linotype" w:hAnsi="Palatino Linotype" w:cs="Palatino Linotype"/>
          <w:sz w:val="22"/>
          <w:szCs w:val="22"/>
        </w:rPr>
        <w:t>os personales que pueden encontrarse dentro de los documentos que pueden dar cuenta de lo requerido por el Particular; esto es, verificar si actualizan la causal de clasificación establecida en el artículo 143, fracción I, de la Ley de Transparencia y Acce</w:t>
      </w:r>
      <w:r>
        <w:rPr>
          <w:rFonts w:ascii="Palatino Linotype" w:eastAsia="Palatino Linotype" w:hAnsi="Palatino Linotype" w:cs="Palatino Linotype"/>
          <w:sz w:val="22"/>
          <w:szCs w:val="22"/>
        </w:rPr>
        <w:t>so a la Información Pública del Estado de México y Municipios.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numPr>
          <w:ilvl w:val="0"/>
          <w:numId w:val="10"/>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Nombres de personas que no son servidores públicos</w:t>
      </w:r>
    </w:p>
    <w:p w:rsidR="00E02518" w:rsidRDefault="00E02518">
      <w:pPr>
        <w:spacing w:line="360" w:lineRule="auto"/>
        <w:ind w:right="-93"/>
        <w:jc w:val="both"/>
        <w:rPr>
          <w:rFonts w:ascii="Palatino Linotype" w:eastAsia="Palatino Linotype" w:hAnsi="Palatino Linotype" w:cs="Palatino Linotype"/>
          <w:sz w:val="22"/>
          <w:szCs w:val="22"/>
        </w:rPr>
      </w:pPr>
    </w:p>
    <w:p w:rsidR="00E02518" w:rsidRDefault="001447D8">
      <w:pPr>
        <w:spacing w:line="360" w:lineRule="auto"/>
        <w:ind w:right="-93"/>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Al respecto, se considera que el nombre se integra con el sustantivo propio y el primer apellido de los padres, en el orden que, de común ac</w:t>
      </w:r>
      <w:r>
        <w:rPr>
          <w:rFonts w:ascii="Palatino Linotype" w:eastAsia="Palatino Linotype" w:hAnsi="Palatino Linotype" w:cs="Palatino Linotype"/>
          <w:sz w:val="22"/>
          <w:szCs w:val="22"/>
        </w:rPr>
        <w:t xml:space="preserve">uerdo determinen; asimismo es la manifestación principal del derecho subjetivo a la personalidad y atributo de esta en términos del artículo 2.3 </w:t>
      </w:r>
      <w:r>
        <w:rPr>
          <w:rFonts w:ascii="Palatino Linotype" w:eastAsia="Palatino Linotype" w:hAnsi="Palatino Linotype" w:cs="Palatino Linotype"/>
          <w:sz w:val="22"/>
          <w:szCs w:val="22"/>
        </w:rPr>
        <w:lastRenderedPageBreak/>
        <w:t xml:space="preserve">del Código Civil del Estado de México, de tal suerte, el nombre </w:t>
      </w:r>
      <w:r>
        <w:rPr>
          <w:rFonts w:ascii="Palatino Linotype" w:eastAsia="Palatino Linotype" w:hAnsi="Palatino Linotype" w:cs="Palatino Linotype"/>
          <w:i/>
          <w:sz w:val="22"/>
          <w:szCs w:val="22"/>
        </w:rPr>
        <w:t>per se</w:t>
      </w:r>
      <w:r>
        <w:rPr>
          <w:rFonts w:ascii="Palatino Linotype" w:eastAsia="Palatino Linotype" w:hAnsi="Palatino Linotype" w:cs="Palatino Linotype"/>
          <w:sz w:val="22"/>
          <w:szCs w:val="22"/>
        </w:rPr>
        <w:t xml:space="preserve"> es un elemento que hace a una persona fí</w:t>
      </w:r>
      <w:r>
        <w:rPr>
          <w:rFonts w:ascii="Palatino Linotype" w:eastAsia="Palatino Linotype" w:hAnsi="Palatino Linotype" w:cs="Palatino Linotype"/>
          <w:sz w:val="22"/>
          <w:szCs w:val="22"/>
        </w:rPr>
        <w:t xml:space="preserve">sica identificada o identificable, por lo que, </w:t>
      </w:r>
      <w:r>
        <w:rPr>
          <w:rFonts w:ascii="Palatino Linotype" w:eastAsia="Palatino Linotype" w:hAnsi="Palatino Linotype" w:cs="Palatino Linotype"/>
          <w:b/>
          <w:sz w:val="22"/>
          <w:szCs w:val="22"/>
        </w:rPr>
        <w:t>se considera un dato personal.</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Sobre el tema, se tiene presente que este Instituto emitió el Criterio Relevante 01/18, de la Segunda Época de este Instituto, que establece que el nombre del titular de una licencia, es información confidencial, cuando no involucra aprovechamiento de recu</w:t>
      </w:r>
      <w:r>
        <w:rPr>
          <w:rFonts w:ascii="Palatino Linotype" w:eastAsia="Palatino Linotype" w:hAnsi="Palatino Linotype" w:cs="Palatino Linotype"/>
          <w:sz w:val="22"/>
          <w:szCs w:val="22"/>
        </w:rPr>
        <w:t>rsos públicos.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ind w:left="567" w:right="567"/>
        <w:jc w:val="both"/>
        <w:rPr>
          <w:rFonts w:ascii="Palatino Linotype" w:eastAsia="Palatino Linotype" w:hAnsi="Palatino Linotype" w:cs="Palatino Linotype"/>
          <w:i/>
        </w:rPr>
      </w:pPr>
      <w:r>
        <w:rPr>
          <w:rFonts w:ascii="Palatino Linotype" w:eastAsia="Palatino Linotype" w:hAnsi="Palatino Linotype" w:cs="Palatino Linotype"/>
          <w:b/>
          <w:i/>
        </w:rPr>
        <w:t>“Nombre del titular de una licencia que no involucre el aprovechamiento de bienes, servicios y/o recursos públicos, constituye un dato personal susceptible de clasificar como confidencial.</w:t>
      </w:r>
      <w:r>
        <w:rPr>
          <w:rFonts w:ascii="Palatino Linotype" w:eastAsia="Palatino Linotype" w:hAnsi="Palatino Linotype" w:cs="Palatino Linotype"/>
          <w:i/>
        </w:rPr>
        <w:t xml:space="preserve"> El artículo 1, párrafo segundo de la Constitución P</w:t>
      </w:r>
      <w:r>
        <w:rPr>
          <w:rFonts w:ascii="Palatino Linotype" w:eastAsia="Palatino Linotype" w:hAnsi="Palatino Linotype" w:cs="Palatino Linotype"/>
          <w:i/>
        </w:rPr>
        <w:t xml:space="preserve">olítica de los Estados Unidos Mexicanos determina que las normas relativas a los derechos humanos se interpretarán de conformidad con la Constitución y con los tratados internacionales de la materia favoreciendo en todo tiempo a las personas la protección </w:t>
      </w:r>
      <w:r>
        <w:rPr>
          <w:rFonts w:ascii="Palatino Linotype" w:eastAsia="Palatino Linotype" w:hAnsi="Palatino Linotype" w:cs="Palatino Linotype"/>
          <w:i/>
        </w:rPr>
        <w:t>más amplia, por su parte el artículo 6, apartado A, fracciones I y II, de dicho ordenamiento establece que toda información en posesión de los sujetos obligados es pública y sólo podrá limitarse de manera justificada por razones de interés público, segurid</w:t>
      </w:r>
      <w:r>
        <w:rPr>
          <w:rFonts w:ascii="Palatino Linotype" w:eastAsia="Palatino Linotype" w:hAnsi="Palatino Linotype" w:cs="Palatino Linotype"/>
          <w:i/>
        </w:rPr>
        <w:t>ad nacional, y para proteger la vida privada y datos personales en los términos precisados por las Leyes reglamentarias. Ahora bien, el artículo 92, fracción XXXII de la Ley de Transparencia y Acceso a la Información Pública del Estado de México y Municipi</w:t>
      </w:r>
      <w:r>
        <w:rPr>
          <w:rFonts w:ascii="Palatino Linotype" w:eastAsia="Palatino Linotype" w:hAnsi="Palatino Linotype" w:cs="Palatino Linotype"/>
          <w:i/>
        </w:rPr>
        <w:t>os, señala que el nombre de los titulares de las licencias es un dato de carácter público, no obstante, para su aplicación, dicho numeral debe ser interpretado de manera armónica y sistemática con el ordenamiento reglamentario de la materia de transparenci</w:t>
      </w:r>
      <w:r>
        <w:rPr>
          <w:rFonts w:ascii="Palatino Linotype" w:eastAsia="Palatino Linotype" w:hAnsi="Palatino Linotype" w:cs="Palatino Linotype"/>
          <w:i/>
        </w:rPr>
        <w:t>a y protección de datos personales, pues la intromisión a los datos personales de particulares únicamente se verá justificada cuando se involucre el aprovechamiento de bienes, servicios y/o recursos públicos en términos de lo dispuesto por los artículos 6,</w:t>
      </w:r>
      <w:r>
        <w:rPr>
          <w:rFonts w:ascii="Palatino Linotype" w:eastAsia="Palatino Linotype" w:hAnsi="Palatino Linotype" w:cs="Palatino Linotype"/>
          <w:i/>
        </w:rPr>
        <w:t xml:space="preserve"> 92, fracción XXXII, 122 y 143, fracción I, de la Ley de Transparencia referida en concordancia con lo establecido por los numerales 6 y 15 de la Ley de Protección de Datos Personales en Posesión de Sujetos Obligados de la entidad. En ese sentido, el nombr</w:t>
      </w:r>
      <w:r>
        <w:rPr>
          <w:rFonts w:ascii="Palatino Linotype" w:eastAsia="Palatino Linotype" w:hAnsi="Palatino Linotype" w:cs="Palatino Linotype"/>
          <w:i/>
        </w:rPr>
        <w:t xml:space="preserve">e de los titulares de licencias constituye un dato personal que debe ser tratado bajo los principios y términos de la ley reglamentaria de la materia, y para su publicidad se requerirá que la expedición de la licencia correspondiente involucre el </w:t>
      </w:r>
      <w:r>
        <w:rPr>
          <w:rFonts w:ascii="Palatino Linotype" w:eastAsia="Palatino Linotype" w:hAnsi="Palatino Linotype" w:cs="Palatino Linotype"/>
          <w:i/>
        </w:rPr>
        <w:lastRenderedPageBreak/>
        <w:t>aprovecha</w:t>
      </w:r>
      <w:r>
        <w:rPr>
          <w:rFonts w:ascii="Palatino Linotype" w:eastAsia="Palatino Linotype" w:hAnsi="Palatino Linotype" w:cs="Palatino Linotype"/>
          <w:i/>
        </w:rPr>
        <w:t>miento de bienes, servicios y/o recursos públicos, caso contrario se deberá clasificar como confidencial.”</w:t>
      </w:r>
    </w:p>
    <w:p w:rsidR="00E02518" w:rsidRDefault="00E02518">
      <w:pPr>
        <w:spacing w:line="360" w:lineRule="auto"/>
        <w:ind w:right="-93"/>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base en lo anterior, procede su eliminación de las versiones públicas, pues actualiza el supuesto previsto en el artículo 143 fracción I de la L</w:t>
      </w:r>
      <w:r>
        <w:rPr>
          <w:rFonts w:ascii="Palatino Linotype" w:eastAsia="Palatino Linotype" w:hAnsi="Palatino Linotype" w:cs="Palatino Linotype"/>
          <w:sz w:val="22"/>
          <w:szCs w:val="22"/>
        </w:rPr>
        <w:t>ey de Transparencia y Acceso a la Información Pública del Estado de México y Municipios.</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numPr>
          <w:ilvl w:val="0"/>
          <w:numId w:val="5"/>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 xml:space="preserve">Domicilio particular </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acuerdo a lo señalado en los artículos 2.3 y 2.5 del Código Civil del Estado de México, el domicilio es un atributo de la personalidad y un derecho de las personas; además que tiene como propósito que una persona pueda establecerse temporal o permanente</w:t>
      </w:r>
      <w:r>
        <w:rPr>
          <w:rFonts w:ascii="Palatino Linotype" w:eastAsia="Palatino Linotype" w:hAnsi="Palatino Linotype" w:cs="Palatino Linotype"/>
          <w:sz w:val="22"/>
          <w:szCs w:val="22"/>
        </w:rPr>
        <w:t xml:space="preserve">mente en un lugar determinado, para habitar, establecer su centro de trabajo o negocios. </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2"/>
          <w:szCs w:val="22"/>
        </w:rPr>
        <w:t>De la misma manera, lo establece el artículo 29 del Código Civil Federal, al precisar que el domicilio de personas físicas</w:t>
      </w:r>
      <w:r>
        <w:rPr>
          <w:rFonts w:ascii="Palatino Linotype" w:eastAsia="Palatino Linotype" w:hAnsi="Palatino Linotype" w:cs="Palatino Linotype"/>
          <w:b/>
          <w:sz w:val="22"/>
          <w:szCs w:val="22"/>
        </w:rPr>
        <w:t xml:space="preserve">, es el lugar donde residen habitualmente, </w:t>
      </w:r>
      <w:r>
        <w:rPr>
          <w:rFonts w:ascii="Palatino Linotype" w:eastAsia="Palatino Linotype" w:hAnsi="Palatino Linotype" w:cs="Palatino Linotype"/>
          <w:b/>
          <w:sz w:val="22"/>
          <w:szCs w:val="22"/>
        </w:rPr>
        <w:t>el lugar del centro principal de sus negocios, donde residan o el lugar donde se encuentren.</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Además, respecto al domicilio particular se presume que corresponde al lugar donde reside habitualmente</w:t>
      </w:r>
      <w:r>
        <w:rPr>
          <w:rFonts w:ascii="Palatino Linotype" w:eastAsia="Palatino Linotype" w:hAnsi="Palatino Linotype" w:cs="Palatino Linotype"/>
          <w:b/>
          <w:sz w:val="22"/>
          <w:szCs w:val="22"/>
        </w:rPr>
        <w:t>.</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En ese contexto, la dirección o domicilio es el lugar en</w:t>
      </w:r>
      <w:r>
        <w:rPr>
          <w:rFonts w:ascii="Palatino Linotype" w:eastAsia="Palatino Linotype" w:hAnsi="Palatino Linotype" w:cs="Palatino Linotype"/>
          <w:sz w:val="22"/>
          <w:szCs w:val="22"/>
        </w:rPr>
        <w:t xml:space="preserve"> donde reside habitualmente una persona física, por lo que, permite hacerlo identificable y ubicable, propiciando que pueda ser molestado en su casa o negocio, de este modo, los datos que permiten a cualquier individuo con esfuerzos mínimos identificar el </w:t>
      </w:r>
      <w:r>
        <w:rPr>
          <w:rFonts w:ascii="Palatino Linotype" w:eastAsia="Palatino Linotype" w:hAnsi="Palatino Linotype" w:cs="Palatino Linotype"/>
          <w:sz w:val="22"/>
          <w:szCs w:val="22"/>
        </w:rPr>
        <w:t xml:space="preserve">lugar de residencia o de trabajo constituye un dato personal y, por ende, confidencial, ya que incide directamente en la privacidad de personas </w:t>
      </w:r>
      <w:r>
        <w:rPr>
          <w:rFonts w:ascii="Palatino Linotype" w:eastAsia="Palatino Linotype" w:hAnsi="Palatino Linotype" w:cs="Palatino Linotype"/>
          <w:sz w:val="22"/>
          <w:szCs w:val="22"/>
        </w:rPr>
        <w:lastRenderedPageBreak/>
        <w:t>físicas identificadas y su difusión podría afectar la esfera privada de las mismas. Por lo tanto, se actualiza l</w:t>
      </w:r>
      <w:r>
        <w:rPr>
          <w:rFonts w:ascii="Palatino Linotype" w:eastAsia="Palatino Linotype" w:hAnsi="Palatino Linotype" w:cs="Palatino Linotype"/>
          <w:sz w:val="22"/>
          <w:szCs w:val="22"/>
        </w:rPr>
        <w:t>a clasificación de conformidad con la fracción I, del artículo 143 de la Ley de Transparencia y Acceso a la Información Pública del Estado de México y Municipios.</w:t>
      </w:r>
    </w:p>
    <w:p w:rsidR="00E02518" w:rsidRDefault="00E02518">
      <w:pPr>
        <w:tabs>
          <w:tab w:val="left" w:pos="4962"/>
        </w:tabs>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SEXTO. Decisión</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Con fundamento en el artículo 186, fracción III, de la Ley de Transparencia</w:t>
      </w:r>
      <w:r>
        <w:rPr>
          <w:rFonts w:ascii="Palatino Linotype" w:eastAsia="Palatino Linotype" w:hAnsi="Palatino Linotype" w:cs="Palatino Linotype"/>
          <w:sz w:val="22"/>
          <w:szCs w:val="22"/>
        </w:rPr>
        <w:t xml:space="preserve"> y Acceso a la Información Pública del Estado de México y Municipios, este Instituto considera procedente </w:t>
      </w:r>
      <w:r>
        <w:rPr>
          <w:rFonts w:ascii="Palatino Linotype" w:eastAsia="Palatino Linotype" w:hAnsi="Palatino Linotype" w:cs="Palatino Linotype"/>
          <w:b/>
          <w:sz w:val="22"/>
          <w:szCs w:val="22"/>
        </w:rPr>
        <w:t>MODIFICAR</w:t>
      </w:r>
      <w:r>
        <w:rPr>
          <w:rFonts w:ascii="Palatino Linotype" w:eastAsia="Palatino Linotype" w:hAnsi="Palatino Linotype" w:cs="Palatino Linotype"/>
          <w:sz w:val="22"/>
          <w:szCs w:val="22"/>
        </w:rPr>
        <w:t xml:space="preserve"> la respuesta otorgada por el Sujeto Obligado a la solicitud de información </w:t>
      </w:r>
      <w:r>
        <w:rPr>
          <w:rFonts w:ascii="Palatino Linotype" w:eastAsia="Palatino Linotype" w:hAnsi="Palatino Linotype" w:cs="Palatino Linotype"/>
          <w:b/>
          <w:color w:val="0D0D0D"/>
          <w:sz w:val="22"/>
          <w:szCs w:val="22"/>
        </w:rPr>
        <w:t>00025/CUAUTIT/IP/2024</w:t>
      </w:r>
      <w:r>
        <w:rPr>
          <w:rFonts w:ascii="Palatino Linotype" w:eastAsia="Palatino Linotype" w:hAnsi="Palatino Linotype" w:cs="Palatino Linotype"/>
          <w:sz w:val="22"/>
          <w:szCs w:val="22"/>
        </w:rPr>
        <w:t xml:space="preserve">, por resultar fundadas las razones o motivos de inconformidad hechos valer por el Recurrente, en el Recurso de Revisión </w:t>
      </w:r>
      <w:r>
        <w:rPr>
          <w:rFonts w:ascii="Palatino Linotype" w:eastAsia="Palatino Linotype" w:hAnsi="Palatino Linotype" w:cs="Palatino Linotype"/>
          <w:b/>
          <w:sz w:val="22"/>
          <w:szCs w:val="22"/>
        </w:rPr>
        <w:t>01821/INFOEM/IP/RR/2024</w:t>
      </w:r>
      <w:r>
        <w:rPr>
          <w:rFonts w:ascii="Palatino Linotype" w:eastAsia="Palatino Linotype" w:hAnsi="Palatino Linotype" w:cs="Palatino Linotype"/>
          <w:sz w:val="22"/>
          <w:szCs w:val="22"/>
        </w:rPr>
        <w:t xml:space="preserve">, en consecuencia procede </w:t>
      </w:r>
      <w:r>
        <w:rPr>
          <w:rFonts w:ascii="Palatino Linotype" w:eastAsia="Palatino Linotype" w:hAnsi="Palatino Linotype" w:cs="Palatino Linotype"/>
          <w:b/>
          <w:sz w:val="22"/>
          <w:szCs w:val="22"/>
        </w:rPr>
        <w:t xml:space="preserve">ORDENAR, </w:t>
      </w:r>
      <w:r>
        <w:rPr>
          <w:rFonts w:ascii="Palatino Linotype" w:eastAsia="Palatino Linotype" w:hAnsi="Palatino Linotype" w:cs="Palatino Linotype"/>
          <w:sz w:val="22"/>
          <w:szCs w:val="22"/>
        </w:rPr>
        <w:t>la entrega de la información faltante conforme a lo expuesto en el consideran</w:t>
      </w:r>
      <w:r>
        <w:rPr>
          <w:rFonts w:ascii="Palatino Linotype" w:eastAsia="Palatino Linotype" w:hAnsi="Palatino Linotype" w:cs="Palatino Linotype"/>
          <w:sz w:val="22"/>
          <w:szCs w:val="22"/>
        </w:rPr>
        <w:t xml:space="preserve">do anterior. </w:t>
      </w:r>
    </w:p>
    <w:p w:rsidR="00E02518" w:rsidRDefault="00E02518">
      <w:pPr>
        <w:tabs>
          <w:tab w:val="left" w:pos="4962"/>
        </w:tabs>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b/>
          <w:sz w:val="22"/>
          <w:szCs w:val="22"/>
          <w:u w:val="single"/>
        </w:rPr>
      </w:pPr>
      <w:r>
        <w:rPr>
          <w:rFonts w:ascii="Palatino Linotype" w:eastAsia="Palatino Linotype" w:hAnsi="Palatino Linotype" w:cs="Palatino Linotype"/>
          <w:b/>
          <w:sz w:val="22"/>
          <w:szCs w:val="22"/>
          <w:u w:val="single"/>
        </w:rPr>
        <w:t>Términos de la Resolución para el Recurrente</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Se hace del conocimiento al Particular que este Organismo Garante le otorgó la razón en virtud de que el Sujeto Obligado no entregó la información completa por lo que se ordena la entrega de lo f</w:t>
      </w:r>
      <w:r>
        <w:rPr>
          <w:rFonts w:ascii="Palatino Linotype" w:eastAsia="Palatino Linotype" w:hAnsi="Palatino Linotype" w:cs="Palatino Linotype"/>
          <w:sz w:val="22"/>
          <w:szCs w:val="22"/>
          <w:u w:val="single"/>
        </w:rPr>
        <w:t>altante.</w:t>
      </w:r>
    </w:p>
    <w:p w:rsidR="00E02518" w:rsidRDefault="00E02518">
      <w:pPr>
        <w:spacing w:line="360" w:lineRule="auto"/>
        <w:jc w:val="both"/>
        <w:rPr>
          <w:rFonts w:ascii="Palatino Linotype" w:eastAsia="Palatino Linotype" w:hAnsi="Palatino Linotype" w:cs="Palatino Linotype"/>
          <w:sz w:val="22"/>
          <w:szCs w:val="22"/>
          <w:u w:val="single"/>
        </w:rPr>
      </w:pPr>
    </w:p>
    <w:p w:rsidR="00E02518" w:rsidRDefault="001447D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t>Es necesario mencionar que para el caso de que, la información tenga datos personales será necesaria su entrega en versión pública, lo que significa que se testen los datos personales y se entregue acompañada de un acuerdo en el que se expresen l</w:t>
      </w:r>
      <w:r>
        <w:rPr>
          <w:rFonts w:ascii="Palatino Linotype" w:eastAsia="Palatino Linotype" w:hAnsi="Palatino Linotype" w:cs="Palatino Linotype"/>
          <w:sz w:val="22"/>
          <w:szCs w:val="22"/>
          <w:u w:val="single"/>
        </w:rPr>
        <w:t>as razones por las que se protegen dichos datos.</w:t>
      </w:r>
    </w:p>
    <w:p w:rsidR="00E02518" w:rsidRDefault="00E02518">
      <w:pPr>
        <w:spacing w:line="360" w:lineRule="auto"/>
        <w:jc w:val="both"/>
        <w:rPr>
          <w:rFonts w:ascii="Palatino Linotype" w:eastAsia="Palatino Linotype" w:hAnsi="Palatino Linotype" w:cs="Palatino Linotype"/>
          <w:sz w:val="22"/>
          <w:szCs w:val="22"/>
          <w:u w:val="single"/>
        </w:rPr>
      </w:pPr>
    </w:p>
    <w:p w:rsidR="00E02518" w:rsidRDefault="001447D8">
      <w:pPr>
        <w:spacing w:line="360" w:lineRule="auto"/>
        <w:jc w:val="both"/>
        <w:rPr>
          <w:rFonts w:ascii="Palatino Linotype" w:eastAsia="Palatino Linotype" w:hAnsi="Palatino Linotype" w:cs="Palatino Linotype"/>
          <w:sz w:val="22"/>
          <w:szCs w:val="22"/>
          <w:u w:val="single"/>
        </w:rPr>
      </w:pPr>
      <w:r>
        <w:rPr>
          <w:rFonts w:ascii="Palatino Linotype" w:eastAsia="Palatino Linotype" w:hAnsi="Palatino Linotype" w:cs="Palatino Linotype"/>
          <w:sz w:val="22"/>
          <w:szCs w:val="22"/>
          <w:u w:val="single"/>
        </w:rPr>
        <w:lastRenderedPageBreak/>
        <w:t>La labor del INFOEM, es apoyar a la población para acceder a la información pública y garantizar la protección de sus datos personales.</w:t>
      </w:r>
    </w:p>
    <w:p w:rsidR="00E02518" w:rsidRDefault="00E02518">
      <w:pPr>
        <w:tabs>
          <w:tab w:val="left" w:pos="4962"/>
        </w:tabs>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 E S U E L V E</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PRIMERO. </w:t>
      </w:r>
      <w:r>
        <w:rPr>
          <w:rFonts w:ascii="Palatino Linotype" w:eastAsia="Palatino Linotype" w:hAnsi="Palatino Linotype" w:cs="Palatino Linotype"/>
          <w:sz w:val="22"/>
          <w:szCs w:val="22"/>
        </w:rPr>
        <w:t xml:space="preserve">Se </w:t>
      </w:r>
      <w:r>
        <w:rPr>
          <w:rFonts w:ascii="Palatino Linotype" w:eastAsia="Palatino Linotype" w:hAnsi="Palatino Linotype" w:cs="Palatino Linotype"/>
          <w:b/>
          <w:sz w:val="22"/>
          <w:szCs w:val="22"/>
        </w:rPr>
        <w:t>MODIFICA</w:t>
      </w:r>
      <w:r>
        <w:rPr>
          <w:rFonts w:ascii="Palatino Linotype" w:eastAsia="Palatino Linotype" w:hAnsi="Palatino Linotype" w:cs="Palatino Linotype"/>
          <w:sz w:val="22"/>
          <w:szCs w:val="22"/>
        </w:rPr>
        <w:t xml:space="preserve"> la respuesta entregada por el </w:t>
      </w:r>
      <w:r>
        <w:rPr>
          <w:rFonts w:ascii="Palatino Linotype" w:eastAsia="Palatino Linotype" w:hAnsi="Palatino Linotype" w:cs="Palatino Linotype"/>
          <w:b/>
          <w:sz w:val="22"/>
          <w:szCs w:val="22"/>
        </w:rPr>
        <w:t xml:space="preserve">Ayuntamiento de Cuautitlán </w:t>
      </w:r>
      <w:r>
        <w:rPr>
          <w:rFonts w:ascii="Palatino Linotype" w:eastAsia="Palatino Linotype" w:hAnsi="Palatino Linotype" w:cs="Palatino Linotype"/>
          <w:sz w:val="22"/>
          <w:szCs w:val="22"/>
        </w:rPr>
        <w:t xml:space="preserve">a la solicitud de información </w:t>
      </w:r>
      <w:r>
        <w:rPr>
          <w:rFonts w:ascii="Palatino Linotype" w:eastAsia="Palatino Linotype" w:hAnsi="Palatino Linotype" w:cs="Palatino Linotype"/>
          <w:b/>
          <w:sz w:val="22"/>
          <w:szCs w:val="22"/>
        </w:rPr>
        <w:t xml:space="preserve">00025/CUAUTIT/IP/2024 </w:t>
      </w:r>
      <w:r>
        <w:rPr>
          <w:rFonts w:ascii="Palatino Linotype" w:eastAsia="Palatino Linotype" w:hAnsi="Palatino Linotype" w:cs="Palatino Linotype"/>
          <w:sz w:val="22"/>
          <w:szCs w:val="22"/>
        </w:rPr>
        <w:t xml:space="preserve">por resultar fundadas las razones o motivos de inconformidad hechos valer por el Recurrente en el Recurso de Revisión </w:t>
      </w:r>
      <w:r>
        <w:rPr>
          <w:rFonts w:ascii="Palatino Linotype" w:eastAsia="Palatino Linotype" w:hAnsi="Palatino Linotype" w:cs="Palatino Linotype"/>
          <w:b/>
          <w:color w:val="0D0D0D"/>
          <w:sz w:val="22"/>
          <w:szCs w:val="22"/>
        </w:rPr>
        <w:t>01821/INFOEM/IP/RR/2024</w:t>
      </w:r>
      <w:r>
        <w:rPr>
          <w:rFonts w:ascii="Palatino Linotype" w:eastAsia="Palatino Linotype" w:hAnsi="Palatino Linotype" w:cs="Palatino Linotype"/>
          <w:sz w:val="22"/>
          <w:szCs w:val="22"/>
        </w:rPr>
        <w:t>, en términos de los considerandos Q</w:t>
      </w:r>
      <w:r>
        <w:rPr>
          <w:rFonts w:ascii="Palatino Linotype" w:eastAsia="Palatino Linotype" w:hAnsi="Palatino Linotype" w:cs="Palatino Linotype"/>
          <w:sz w:val="22"/>
          <w:szCs w:val="22"/>
        </w:rPr>
        <w:t>UINTO y SEXTO de la presente Resolución.</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sz w:val="22"/>
          <w:szCs w:val="22"/>
        </w:rPr>
        <w:t xml:space="preserve">SEGUNDO. </w:t>
      </w:r>
      <w:r>
        <w:rPr>
          <w:rFonts w:ascii="Palatino Linotype" w:eastAsia="Palatino Linotype" w:hAnsi="Palatino Linotype" w:cs="Palatino Linotype"/>
          <w:color w:val="000000"/>
          <w:sz w:val="22"/>
          <w:szCs w:val="22"/>
        </w:rPr>
        <w:t xml:space="preserve">Se </w:t>
      </w:r>
      <w:r>
        <w:rPr>
          <w:rFonts w:ascii="Palatino Linotype" w:eastAsia="Palatino Linotype" w:hAnsi="Palatino Linotype" w:cs="Palatino Linotype"/>
          <w:b/>
          <w:color w:val="000000"/>
          <w:sz w:val="22"/>
          <w:szCs w:val="22"/>
        </w:rPr>
        <w:t>ORDENA</w:t>
      </w:r>
      <w:r>
        <w:rPr>
          <w:rFonts w:ascii="Palatino Linotype" w:eastAsia="Palatino Linotype" w:hAnsi="Palatino Linotype" w:cs="Palatino Linotype"/>
          <w:color w:val="000000"/>
          <w:sz w:val="22"/>
          <w:szCs w:val="22"/>
        </w:rPr>
        <w:t xml:space="preserve"> al Sujeto Obligado, a efecto de entregue, previa búsqueda exhaustiva y razonable, </w:t>
      </w:r>
      <w:r>
        <w:rPr>
          <w:rFonts w:ascii="Palatino Linotype" w:eastAsia="Palatino Linotype" w:hAnsi="Palatino Linotype" w:cs="Palatino Linotype"/>
          <w:b/>
          <w:color w:val="000000"/>
          <w:sz w:val="22"/>
          <w:szCs w:val="22"/>
        </w:rPr>
        <w:t>a través del SAIMEX, por correo electrónico y en copia certificada con costo</w:t>
      </w:r>
      <w:r>
        <w:rPr>
          <w:rFonts w:ascii="Palatino Linotype" w:eastAsia="Palatino Linotype" w:hAnsi="Palatino Linotype" w:cs="Palatino Linotype"/>
          <w:color w:val="000000"/>
          <w:sz w:val="22"/>
          <w:szCs w:val="22"/>
        </w:rPr>
        <w:t>, en su caso, en versión pública,</w:t>
      </w:r>
      <w:r>
        <w:rPr>
          <w:rFonts w:ascii="Palatino Linotype" w:eastAsia="Palatino Linotype" w:hAnsi="Palatino Linotype" w:cs="Palatino Linotype"/>
          <w:b/>
          <w:color w:val="000000"/>
          <w:sz w:val="22"/>
          <w:szCs w:val="22"/>
        </w:rPr>
        <w:t xml:space="preserve"> los documentos del periodo del 1° de enero del 2010 al 8 de febrero de 2024, donde</w:t>
      </w:r>
      <w:r>
        <w:rPr>
          <w:rFonts w:ascii="Palatino Linotype" w:eastAsia="Palatino Linotype" w:hAnsi="Palatino Linotype" w:cs="Palatino Linotype"/>
          <w:color w:val="000000"/>
          <w:sz w:val="22"/>
          <w:szCs w:val="22"/>
        </w:rPr>
        <w:t xml:space="preserve"> conste lo siguiente:</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Acta entrega recepción total o parcial</w:t>
      </w:r>
      <w:r>
        <w:rPr>
          <w:rFonts w:ascii="Palatino Linotype" w:eastAsia="Palatino Linotype" w:hAnsi="Palatino Linotype" w:cs="Palatino Linotype"/>
          <w:b/>
          <w:color w:val="000000"/>
          <w:sz w:val="22"/>
          <w:szCs w:val="22"/>
        </w:rPr>
        <w:t xml:space="preserve"> </w:t>
      </w:r>
      <w:r>
        <w:rPr>
          <w:rFonts w:ascii="Palatino Linotype" w:eastAsia="Palatino Linotype" w:hAnsi="Palatino Linotype" w:cs="Palatino Linotype"/>
          <w:color w:val="000000"/>
          <w:sz w:val="22"/>
          <w:szCs w:val="22"/>
        </w:rPr>
        <w:t>del fraccionamiento identificado en la solicitud al Ayuntamiento, en formato “PDF” o en aquel en que se haya ge</w:t>
      </w:r>
      <w:r>
        <w:rPr>
          <w:rFonts w:ascii="Palatino Linotype" w:eastAsia="Palatino Linotype" w:hAnsi="Palatino Linotype" w:cs="Palatino Linotype"/>
          <w:color w:val="000000"/>
          <w:sz w:val="22"/>
          <w:szCs w:val="22"/>
        </w:rPr>
        <w:t xml:space="preserve">nerado. </w:t>
      </w:r>
    </w:p>
    <w:p w:rsidR="00E02518" w:rsidRDefault="001447D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La incidencia delictiva y/o incidencia de faltas administrativas, al mayor grado de desagregación posible, correspondiente al fraccionamiento identificado en la solicitud y acciones y evidencias que realizó para combatir los delitos, en formato “x</w:t>
      </w:r>
      <w:r>
        <w:rPr>
          <w:rFonts w:ascii="Palatino Linotype" w:eastAsia="Palatino Linotype" w:hAnsi="Palatino Linotype" w:cs="Palatino Linotype"/>
          <w:color w:val="000000"/>
          <w:sz w:val="22"/>
          <w:szCs w:val="22"/>
        </w:rPr>
        <w:t>lsx” o en aquel en que se haya generado.</w:t>
      </w:r>
    </w:p>
    <w:p w:rsidR="00E02518" w:rsidRDefault="001447D8">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Documentos que acrediten el seguimiento que dio el Sujeto Obligado a un supuesto fraude, declaración de quiebra e incumplimiento por parte de la inmobiliaria identificada en la solicitud, en formato “PDF” o en aquel</w:t>
      </w:r>
      <w:r>
        <w:rPr>
          <w:rFonts w:ascii="Palatino Linotype" w:eastAsia="Palatino Linotype" w:hAnsi="Palatino Linotype" w:cs="Palatino Linotype"/>
          <w:color w:val="000000"/>
          <w:sz w:val="22"/>
          <w:szCs w:val="22"/>
        </w:rPr>
        <w:t xml:space="preserve"> en que se haya generado.</w:t>
      </w:r>
    </w:p>
    <w:p w:rsidR="00E02518" w:rsidRDefault="001447D8">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 </w:t>
      </w: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color w:val="000000"/>
          <w:sz w:val="22"/>
          <w:szCs w:val="22"/>
        </w:rPr>
        <w:lastRenderedPageBreak/>
        <w:t>De ser necesarias las versiones públicas, se deberá proporcionar el Acuerdo de Clasificación donde el Comité de Transparencia, confirme la eliminación de los datos confidenciales</w:t>
      </w:r>
      <w:r>
        <w:rPr>
          <w:rFonts w:ascii="Palatino Linotype" w:eastAsia="Palatino Linotype" w:hAnsi="Palatino Linotype" w:cs="Palatino Linotype"/>
          <w:sz w:val="22"/>
          <w:szCs w:val="22"/>
        </w:rPr>
        <w:t>, de acuerdo con los artículos 49, fracciones II y</w:t>
      </w:r>
      <w:r>
        <w:rPr>
          <w:rFonts w:ascii="Palatino Linotype" w:eastAsia="Palatino Linotype" w:hAnsi="Palatino Linotype" w:cs="Palatino Linotype"/>
          <w:sz w:val="22"/>
          <w:szCs w:val="22"/>
        </w:rPr>
        <w:t xml:space="preserve"> VIII, 132, fracción II, 143, fracción I y 149 de la Ley de Transparencia y Acceso a la Información Pública del Estado de México y Municipios. </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ind w:right="-93"/>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Para el caso de que la información que se ordena </w:t>
      </w:r>
      <w:r>
        <w:rPr>
          <w:rFonts w:ascii="Palatino Linotype" w:eastAsia="Palatino Linotype" w:hAnsi="Palatino Linotype" w:cs="Palatino Linotype"/>
          <w:sz w:val="22"/>
          <w:szCs w:val="22"/>
        </w:rPr>
        <w:t>entregar no obre en los archivos del Sujeto Obligado, por no haber sido generada, bastará con que lo haga del conocimiento del Recurrente, de manera precisa y clara.</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Para la entrega de las copias certificadas, el Sujeto Obligado, a través del Sistema de Acceso a la Información Mexiquense (SAIMEX), deberá indicar el domicilio de la Unidad de Transparencia, así como los días y horarios de atención, junto con el nombre de</w:t>
      </w:r>
      <w:r>
        <w:rPr>
          <w:rFonts w:ascii="Palatino Linotype" w:eastAsia="Palatino Linotype" w:hAnsi="Palatino Linotype" w:cs="Palatino Linotype"/>
          <w:sz w:val="22"/>
          <w:szCs w:val="22"/>
        </w:rPr>
        <w:t>l servidor público que le atenderá, el procedimiento de pago y el costo, de conformidad con el Vigésimo Sexto de los Lineamientos para la operación del Sistema de Acceso a la Información Mexiquense (SAIMEX) y del Sistema de Acceso, Rectificación, Cancelaci</w:t>
      </w:r>
      <w:r>
        <w:rPr>
          <w:rFonts w:ascii="Palatino Linotype" w:eastAsia="Palatino Linotype" w:hAnsi="Palatino Linotype" w:cs="Palatino Linotype"/>
          <w:sz w:val="22"/>
          <w:szCs w:val="22"/>
        </w:rPr>
        <w:t>ón y Oposición de Datos Personales del Estado de México (SARCOEM).</w:t>
      </w:r>
    </w:p>
    <w:p w:rsidR="00E02518" w:rsidRDefault="00E02518">
      <w:pPr>
        <w:spacing w:line="360" w:lineRule="auto"/>
        <w:jc w:val="both"/>
        <w:rPr>
          <w:rFonts w:ascii="Palatino Linotype" w:eastAsia="Palatino Linotype" w:hAnsi="Palatino Linotype" w:cs="Palatino Linotype"/>
          <w:b/>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 xml:space="preserve">TERCERO. NOTIFÍQUESE POR SAIMEX </w:t>
      </w:r>
      <w:r>
        <w:rPr>
          <w:rFonts w:ascii="Palatino Linotype" w:eastAsia="Palatino Linotype" w:hAnsi="Palatino Linotype" w:cs="Palatino Linotype"/>
          <w:sz w:val="22"/>
          <w:szCs w:val="22"/>
        </w:rPr>
        <w:t>la presente resolución al Titular de la Unidad de Transparencia del Sujeto Obligado, para que conforme al artículo 186, último párrafo, 189, segundo párrafo</w:t>
      </w:r>
      <w:r>
        <w:rPr>
          <w:rFonts w:ascii="Palatino Linotype" w:eastAsia="Palatino Linotype" w:hAnsi="Palatino Linotype" w:cs="Palatino Linotype"/>
          <w:sz w:val="22"/>
          <w:szCs w:val="22"/>
        </w:rPr>
        <w:t>, y 194 de la Ley de Transparencia y Acceso a la Información Pública del Estado de México y Municipios, dé cumplimiento a lo ordenado dentro del plazo de diez días hábiles e informe a este Instituto en un plazo de tres días hábiles siguientes sobre el cump</w:t>
      </w:r>
      <w:r>
        <w:rPr>
          <w:rFonts w:ascii="Palatino Linotype" w:eastAsia="Palatino Linotype" w:hAnsi="Palatino Linotype" w:cs="Palatino Linotype"/>
          <w:sz w:val="22"/>
          <w:szCs w:val="22"/>
        </w:rPr>
        <w:t>limiento dado a la presente y, se le apercibe que en caso de negarse a cumplir la presente resolución o hacerlo de manera parcial, se le impondrá una medida de apremio de conformidad con lo previsto en los artículos 198, 200, fracción III, 214, 215 y 216 d</w:t>
      </w:r>
      <w:r>
        <w:rPr>
          <w:rFonts w:ascii="Palatino Linotype" w:eastAsia="Palatino Linotype" w:hAnsi="Palatino Linotype" w:cs="Palatino Linotype"/>
          <w:sz w:val="22"/>
          <w:szCs w:val="22"/>
        </w:rPr>
        <w:t>e la Ley referida.</w:t>
      </w:r>
    </w:p>
    <w:p w:rsidR="00E02518" w:rsidRDefault="00E02518">
      <w:pPr>
        <w:spacing w:line="360" w:lineRule="auto"/>
        <w:jc w:val="both"/>
        <w:rPr>
          <w:rFonts w:ascii="Palatino Linotype" w:eastAsia="Palatino Linotype" w:hAnsi="Palatino Linotype" w:cs="Palatino Linotype"/>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De conformidad con el artículo 198 de la Ley de la materia, de considerarlo procedente, el Sujeto Obligado de manera fundada y motivada, podrá solicitar una ampliación de plazo para el cumplimiento de la presente resolución.</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b/>
          <w:color w:val="000000"/>
          <w:sz w:val="22"/>
          <w:szCs w:val="22"/>
        </w:rPr>
        <w:t>CUARTO. N</w:t>
      </w:r>
      <w:r>
        <w:rPr>
          <w:rFonts w:ascii="Palatino Linotype" w:eastAsia="Palatino Linotype" w:hAnsi="Palatino Linotype" w:cs="Palatino Linotype"/>
          <w:b/>
          <w:color w:val="000000"/>
          <w:sz w:val="22"/>
          <w:szCs w:val="22"/>
        </w:rPr>
        <w:t>OTIFÍQUESE</w:t>
      </w:r>
      <w:r>
        <w:rPr>
          <w:rFonts w:ascii="Palatino Linotype" w:eastAsia="Palatino Linotype" w:hAnsi="Palatino Linotype" w:cs="Palatino Linotype"/>
          <w:color w:val="000000"/>
          <w:sz w:val="22"/>
          <w:szCs w:val="22"/>
        </w:rPr>
        <w:t xml:space="preserve"> </w:t>
      </w:r>
      <w:r>
        <w:rPr>
          <w:rFonts w:ascii="Palatino Linotype" w:eastAsia="Palatino Linotype" w:hAnsi="Palatino Linotype" w:cs="Palatino Linotype"/>
          <w:b/>
          <w:sz w:val="22"/>
          <w:szCs w:val="22"/>
        </w:rPr>
        <w:t xml:space="preserve">POR SAIMEX Y POR CORREO ELECTRÓNICO </w:t>
      </w:r>
      <w:r>
        <w:rPr>
          <w:rFonts w:ascii="Palatino Linotype" w:eastAsia="Palatino Linotype" w:hAnsi="Palatino Linotype" w:cs="Palatino Linotype"/>
          <w:color w:val="000000"/>
          <w:sz w:val="22"/>
          <w:szCs w:val="22"/>
        </w:rPr>
        <w:t>al Recurrente la presente Resolución, asimismo, se hace de su conocimiento que de conformidad con lo establecido en el artículo 196 de la Ley de Transparencia y Acceso a la Información Pública del Estado de Mé</w:t>
      </w:r>
      <w:r>
        <w:rPr>
          <w:rFonts w:ascii="Palatino Linotype" w:eastAsia="Palatino Linotype" w:hAnsi="Palatino Linotype" w:cs="Palatino Linotype"/>
          <w:color w:val="000000"/>
          <w:sz w:val="22"/>
          <w:szCs w:val="22"/>
        </w:rPr>
        <w:t>xico y Municipios podrá promover el Juicio de Amparo en los términos de las leyes aplicables.</w:t>
      </w:r>
    </w:p>
    <w:p w:rsidR="00E02518" w:rsidRDefault="00E02518">
      <w:pPr>
        <w:spacing w:line="360" w:lineRule="auto"/>
        <w:jc w:val="both"/>
        <w:rPr>
          <w:rFonts w:ascii="Palatino Linotype" w:eastAsia="Palatino Linotype" w:hAnsi="Palatino Linotype" w:cs="Palatino Linotype"/>
          <w:color w:val="000000"/>
          <w:sz w:val="22"/>
          <w:szCs w:val="22"/>
        </w:rPr>
      </w:pPr>
    </w:p>
    <w:p w:rsidR="00E02518" w:rsidRDefault="001447D8">
      <w:pPr>
        <w:spacing w:line="360" w:lineRule="auto"/>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ASÍ LO RESUELVE, POR </w:t>
      </w:r>
      <w:r>
        <w:rPr>
          <w:rFonts w:ascii="Palatino Linotype" w:eastAsia="Palatino Linotype" w:hAnsi="Palatino Linotype" w:cs="Palatino Linotype"/>
          <w:b/>
          <w:sz w:val="22"/>
          <w:szCs w:val="22"/>
        </w:rPr>
        <w:t>UNANIMIDAD</w:t>
      </w:r>
      <w:r>
        <w:rPr>
          <w:rFonts w:ascii="Palatino Linotype" w:eastAsia="Palatino Linotype" w:hAnsi="Palatino Linotype" w:cs="Palatino Linotype"/>
          <w:sz w:val="22"/>
          <w:szCs w:val="22"/>
        </w:rPr>
        <w:t xml:space="preserve"> DE VOTOS EL PLENO DEL INSTITUTO DE TRANSPARENCIA, ACCESO A LA INFORMACIÓN PÚBLICA Y PROTECCIÓN DE DATOS PERSONALES DEL ESTADO DE </w:t>
      </w:r>
      <w:r>
        <w:rPr>
          <w:rFonts w:ascii="Palatino Linotype" w:eastAsia="Palatino Linotype" w:hAnsi="Palatino Linotype" w:cs="Palatino Linotype"/>
          <w:sz w:val="22"/>
          <w:szCs w:val="22"/>
        </w:rPr>
        <w:t>MÉXICO Y MUNICIPIOS, CONFORMADO POR LOS COMISIONADOS JOSÉ MARTÍNEZ VILCHIS, MARÍA DEL ROSARIO MEJÍA AYALA CON VOTO PARTICULAR, SHARON CRISTINA MORALES MARTÍNEZ, LUIS GUSTAVO PARRA NORIEGA CON VOTO PARTICULAR Y GUADALUPE RAMÍREZ PEÑA, EN LA TRIGÉSIMA SÉPTIM</w:t>
      </w:r>
      <w:r>
        <w:rPr>
          <w:rFonts w:ascii="Palatino Linotype" w:eastAsia="Palatino Linotype" w:hAnsi="Palatino Linotype" w:cs="Palatino Linotype"/>
          <w:sz w:val="22"/>
          <w:szCs w:val="22"/>
        </w:rPr>
        <w:t>A SES</w:t>
      </w:r>
      <w:r w:rsidR="00CE4048">
        <w:rPr>
          <w:rFonts w:ascii="Palatino Linotype" w:eastAsia="Palatino Linotype" w:hAnsi="Palatino Linotype" w:cs="Palatino Linotype"/>
          <w:sz w:val="22"/>
          <w:szCs w:val="22"/>
        </w:rPr>
        <w:t>IÓN ORDINARIA, CELEBRADA EL DIECISÉIS</w:t>
      </w:r>
      <w:r>
        <w:rPr>
          <w:rFonts w:ascii="Palatino Linotype" w:eastAsia="Palatino Linotype" w:hAnsi="Palatino Linotype" w:cs="Palatino Linotype"/>
          <w:sz w:val="22"/>
          <w:szCs w:val="22"/>
        </w:rPr>
        <w:t xml:space="preserve"> DE OCTUBRE DE DOS MIL VEINTICUATRO, ANTE EL SECRETARIO TÉCNICO DEL PLENO, ALEXIS TAPIA RAMÍREZ.</w:t>
      </w:r>
    </w:p>
    <w:p w:rsidR="00E02518" w:rsidRDefault="00E02518">
      <w:pPr>
        <w:tabs>
          <w:tab w:val="left" w:pos="4962"/>
        </w:tabs>
        <w:spacing w:line="360" w:lineRule="auto"/>
        <w:jc w:val="both"/>
        <w:rPr>
          <w:rFonts w:ascii="Palatino Linotype" w:eastAsia="Palatino Linotype" w:hAnsi="Palatino Linotype" w:cs="Palatino Linotype"/>
          <w:b/>
          <w:sz w:val="22"/>
          <w:szCs w:val="22"/>
        </w:rPr>
      </w:pPr>
    </w:p>
    <w:p w:rsidR="0064401C" w:rsidRDefault="0064401C">
      <w:pPr>
        <w:tabs>
          <w:tab w:val="left" w:pos="4962"/>
        </w:tabs>
        <w:spacing w:line="360" w:lineRule="auto"/>
        <w:jc w:val="both"/>
        <w:rPr>
          <w:rFonts w:ascii="Palatino Linotype" w:eastAsia="Palatino Linotype" w:hAnsi="Palatino Linotype" w:cs="Palatino Linotype"/>
          <w:b/>
          <w:sz w:val="22"/>
          <w:szCs w:val="22"/>
        </w:rPr>
      </w:pPr>
    </w:p>
    <w:p w:rsidR="0064401C" w:rsidRDefault="0064401C">
      <w:pPr>
        <w:tabs>
          <w:tab w:val="left" w:pos="4962"/>
        </w:tabs>
        <w:spacing w:line="360" w:lineRule="auto"/>
        <w:jc w:val="both"/>
        <w:rPr>
          <w:rFonts w:ascii="Palatino Linotype" w:eastAsia="Palatino Linotype" w:hAnsi="Palatino Linotype" w:cs="Palatino Linotype"/>
          <w:b/>
          <w:sz w:val="22"/>
          <w:szCs w:val="22"/>
        </w:rPr>
      </w:pPr>
    </w:p>
    <w:p w:rsidR="0064401C" w:rsidRDefault="0064401C">
      <w:pPr>
        <w:tabs>
          <w:tab w:val="left" w:pos="4962"/>
        </w:tabs>
        <w:spacing w:line="360" w:lineRule="auto"/>
        <w:jc w:val="both"/>
        <w:rPr>
          <w:rFonts w:ascii="Palatino Linotype" w:eastAsia="Palatino Linotype" w:hAnsi="Palatino Linotype" w:cs="Palatino Linotype"/>
          <w:b/>
          <w:sz w:val="22"/>
          <w:szCs w:val="22"/>
        </w:rPr>
      </w:pPr>
    </w:p>
    <w:p w:rsidR="0064401C" w:rsidRDefault="0064401C">
      <w:pPr>
        <w:tabs>
          <w:tab w:val="left" w:pos="4962"/>
        </w:tabs>
        <w:spacing w:line="360" w:lineRule="auto"/>
        <w:jc w:val="both"/>
        <w:rPr>
          <w:rFonts w:ascii="Palatino Linotype" w:eastAsia="Palatino Linotype" w:hAnsi="Palatino Linotype" w:cs="Palatino Linotype"/>
          <w:b/>
          <w:sz w:val="22"/>
          <w:szCs w:val="22"/>
        </w:rPr>
      </w:pPr>
    </w:p>
    <w:p w:rsidR="0064401C" w:rsidRDefault="0064401C">
      <w:pPr>
        <w:tabs>
          <w:tab w:val="left" w:pos="4962"/>
        </w:tabs>
        <w:spacing w:line="360" w:lineRule="auto"/>
        <w:jc w:val="both"/>
        <w:rPr>
          <w:rFonts w:ascii="Palatino Linotype" w:eastAsia="Palatino Linotype" w:hAnsi="Palatino Linotype" w:cs="Palatino Linotype"/>
          <w:b/>
          <w:sz w:val="22"/>
          <w:szCs w:val="22"/>
        </w:rPr>
      </w:pPr>
      <w:bookmarkStart w:id="0" w:name="_GoBack"/>
      <w:bookmarkEnd w:id="0"/>
    </w:p>
    <w:p w:rsidR="00E02518" w:rsidRDefault="00E02518">
      <w:pPr>
        <w:tabs>
          <w:tab w:val="left" w:pos="4962"/>
        </w:tabs>
        <w:spacing w:line="360" w:lineRule="auto"/>
        <w:jc w:val="both"/>
        <w:rPr>
          <w:rFonts w:ascii="Palatino Linotype" w:eastAsia="Palatino Linotype" w:hAnsi="Palatino Linotype" w:cs="Palatino Linotype"/>
          <w:sz w:val="22"/>
          <w:szCs w:val="22"/>
        </w:rPr>
      </w:pPr>
    </w:p>
    <w:p w:rsidR="00E02518" w:rsidRDefault="00E02518">
      <w:pPr>
        <w:tabs>
          <w:tab w:val="left" w:pos="4962"/>
        </w:tabs>
        <w:spacing w:line="360" w:lineRule="auto"/>
        <w:jc w:val="both"/>
        <w:rPr>
          <w:rFonts w:ascii="Palatino Linotype" w:eastAsia="Palatino Linotype" w:hAnsi="Palatino Linotype" w:cs="Palatino Linotype"/>
          <w:sz w:val="22"/>
          <w:szCs w:val="22"/>
        </w:rPr>
      </w:pPr>
    </w:p>
    <w:p w:rsidR="00E02518" w:rsidRDefault="00E02518">
      <w:pPr>
        <w:spacing w:line="360" w:lineRule="auto"/>
        <w:jc w:val="both"/>
        <w:rPr>
          <w:rFonts w:ascii="Palatino Linotype" w:eastAsia="Palatino Linotype" w:hAnsi="Palatino Linotype" w:cs="Palatino Linotype"/>
          <w:color w:val="000000"/>
          <w:sz w:val="22"/>
          <w:szCs w:val="22"/>
        </w:rPr>
      </w:pPr>
    </w:p>
    <w:sectPr w:rsidR="00E02518">
      <w:headerReference w:type="default" r:id="rId9"/>
      <w:footerReference w:type="default" r:id="rId10"/>
      <w:headerReference w:type="first" r:id="rId11"/>
      <w:footerReference w:type="first" r:id="rId12"/>
      <w:pgSz w:w="12240" w:h="15840"/>
      <w:pgMar w:top="851" w:right="1610"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7D8" w:rsidRDefault="001447D8">
      <w:r>
        <w:separator/>
      </w:r>
    </w:p>
  </w:endnote>
  <w:endnote w:type="continuationSeparator" w:id="0">
    <w:p w:rsidR="001447D8" w:rsidRDefault="00144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18" w:rsidRDefault="00E02518">
    <w:pPr>
      <w:pBdr>
        <w:top w:val="nil"/>
        <w:left w:val="nil"/>
        <w:bottom w:val="nil"/>
        <w:right w:val="nil"/>
        <w:between w:val="nil"/>
      </w:pBdr>
      <w:tabs>
        <w:tab w:val="center" w:pos="4419"/>
        <w:tab w:val="right" w:pos="8838"/>
      </w:tabs>
      <w:jc w:val="right"/>
      <w:rPr>
        <w:color w:val="000000"/>
        <w:sz w:val="26"/>
        <w:szCs w:val="26"/>
      </w:rPr>
    </w:pPr>
  </w:p>
  <w:p w:rsidR="00E02518" w:rsidRDefault="001447D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CE4048">
      <w:rPr>
        <w:b/>
        <w:color w:val="000000"/>
        <w:sz w:val="24"/>
        <w:szCs w:val="24"/>
      </w:rPr>
      <w:fldChar w:fldCharType="separate"/>
    </w:r>
    <w:r w:rsidR="0064401C">
      <w:rPr>
        <w:b/>
        <w:noProof/>
        <w:color w:val="000000"/>
        <w:sz w:val="24"/>
        <w:szCs w:val="24"/>
      </w:rPr>
      <w:t>54</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CE4048">
      <w:rPr>
        <w:b/>
        <w:color w:val="000000"/>
        <w:sz w:val="24"/>
        <w:szCs w:val="24"/>
      </w:rPr>
      <w:fldChar w:fldCharType="separate"/>
    </w:r>
    <w:r w:rsidR="0064401C">
      <w:rPr>
        <w:b/>
        <w:noProof/>
        <w:color w:val="000000"/>
        <w:sz w:val="24"/>
        <w:szCs w:val="24"/>
      </w:rPr>
      <w:t>54</w:t>
    </w:r>
    <w:r>
      <w:rPr>
        <w:b/>
        <w:color w:val="000000"/>
        <w:sz w:val="24"/>
        <w:szCs w:val="24"/>
      </w:rPr>
      <w:fldChar w:fldCharType="end"/>
    </w:r>
  </w:p>
  <w:p w:rsidR="00E02518" w:rsidRDefault="00E0251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18" w:rsidRDefault="00E02518">
    <w:pPr>
      <w:pBdr>
        <w:top w:val="nil"/>
        <w:left w:val="nil"/>
        <w:bottom w:val="nil"/>
        <w:right w:val="nil"/>
        <w:between w:val="nil"/>
      </w:pBdr>
      <w:tabs>
        <w:tab w:val="center" w:pos="4419"/>
        <w:tab w:val="right" w:pos="8838"/>
      </w:tabs>
      <w:jc w:val="right"/>
      <w:rPr>
        <w:color w:val="000000"/>
      </w:rPr>
    </w:pPr>
  </w:p>
  <w:p w:rsidR="00E02518" w:rsidRDefault="001447D8">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sidR="00CE4048">
      <w:rPr>
        <w:b/>
        <w:color w:val="000000"/>
        <w:sz w:val="24"/>
        <w:szCs w:val="24"/>
      </w:rPr>
      <w:fldChar w:fldCharType="separate"/>
    </w:r>
    <w:r w:rsidR="00CE4048">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sidR="00CE4048">
      <w:rPr>
        <w:b/>
        <w:color w:val="000000"/>
        <w:sz w:val="24"/>
        <w:szCs w:val="24"/>
      </w:rPr>
      <w:fldChar w:fldCharType="separate"/>
    </w:r>
    <w:r w:rsidR="00CE4048">
      <w:rPr>
        <w:b/>
        <w:noProof/>
        <w:color w:val="000000"/>
        <w:sz w:val="24"/>
        <w:szCs w:val="24"/>
      </w:rPr>
      <w:t>53</w:t>
    </w:r>
    <w:r>
      <w:rPr>
        <w:b/>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7D8" w:rsidRDefault="001447D8">
      <w:r>
        <w:separator/>
      </w:r>
    </w:p>
  </w:footnote>
  <w:footnote w:type="continuationSeparator" w:id="0">
    <w:p w:rsidR="001447D8" w:rsidRDefault="00144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18" w:rsidRDefault="00E0251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22"/>
        <w:szCs w:val="22"/>
      </w:rPr>
    </w:pPr>
  </w:p>
  <w:tbl>
    <w:tblPr>
      <w:tblStyle w:val="a0"/>
      <w:tblW w:w="9782" w:type="dxa"/>
      <w:tblInd w:w="0" w:type="dxa"/>
      <w:tblLayout w:type="fixed"/>
      <w:tblLook w:val="0400" w:firstRow="0" w:lastRow="0" w:firstColumn="0" w:lastColumn="0" w:noHBand="0" w:noVBand="1"/>
    </w:tblPr>
    <w:tblGrid>
      <w:gridCol w:w="2835"/>
      <w:gridCol w:w="6947"/>
    </w:tblGrid>
    <w:tr w:rsidR="00E02518">
      <w:trPr>
        <w:trHeight w:val="1412"/>
      </w:trPr>
      <w:tc>
        <w:tcPr>
          <w:tcW w:w="2835" w:type="dxa"/>
          <w:shd w:val="clear" w:color="auto" w:fill="auto"/>
        </w:tcPr>
        <w:p w:rsidR="00E02518" w:rsidRDefault="00E02518">
          <w:pPr>
            <w:tabs>
              <w:tab w:val="right" w:pos="4273"/>
            </w:tabs>
            <w:rPr>
              <w:rFonts w:ascii="Garamond" w:eastAsia="Garamond" w:hAnsi="Garamond" w:cs="Garamond"/>
              <w:sz w:val="16"/>
              <w:szCs w:val="16"/>
            </w:rPr>
          </w:pPr>
        </w:p>
      </w:tc>
      <w:tc>
        <w:tcPr>
          <w:tcW w:w="6947" w:type="dxa"/>
          <w:shd w:val="clear" w:color="auto" w:fill="auto"/>
        </w:tcPr>
        <w:p w:rsidR="00E02518" w:rsidRDefault="00E02518">
          <w:pPr>
            <w:widowControl w:val="0"/>
            <w:pBdr>
              <w:top w:val="nil"/>
              <w:left w:val="nil"/>
              <w:bottom w:val="nil"/>
              <w:right w:val="nil"/>
              <w:between w:val="nil"/>
            </w:pBdr>
            <w:spacing w:line="276" w:lineRule="auto"/>
            <w:rPr>
              <w:rFonts w:ascii="Garamond" w:eastAsia="Garamond" w:hAnsi="Garamond" w:cs="Garamond"/>
              <w:sz w:val="16"/>
              <w:szCs w:val="16"/>
            </w:rPr>
          </w:pPr>
        </w:p>
        <w:tbl>
          <w:tblPr>
            <w:tblStyle w:val="a1"/>
            <w:tblW w:w="5973" w:type="dxa"/>
            <w:tblInd w:w="24" w:type="dxa"/>
            <w:tblBorders>
              <w:top w:val="nil"/>
              <w:left w:val="nil"/>
              <w:bottom w:val="nil"/>
              <w:right w:val="nil"/>
              <w:insideH w:val="nil"/>
              <w:insideV w:val="nil"/>
            </w:tblBorders>
            <w:tblLayout w:type="fixed"/>
            <w:tblLook w:val="0400" w:firstRow="0" w:lastRow="0" w:firstColumn="0" w:lastColumn="0" w:noHBand="0" w:noVBand="1"/>
          </w:tblPr>
          <w:tblGrid>
            <w:gridCol w:w="2693"/>
            <w:gridCol w:w="3280"/>
          </w:tblGrid>
          <w:tr w:rsidR="00E02518">
            <w:trPr>
              <w:trHeight w:val="153"/>
            </w:trPr>
            <w:tc>
              <w:tcPr>
                <w:tcW w:w="2693" w:type="dxa"/>
              </w:tcPr>
              <w:p w:rsidR="00E02518" w:rsidRDefault="001447D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280" w:type="dxa"/>
              </w:tcPr>
              <w:p w:rsidR="00E02518" w:rsidRDefault="001447D8">
                <w:pPr>
                  <w:tabs>
                    <w:tab w:val="right" w:pos="8838"/>
                  </w:tabs>
                  <w:ind w:lef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01821/INFOEM/IP/RR/2024</w:t>
                </w:r>
              </w:p>
            </w:tc>
          </w:tr>
          <w:tr w:rsidR="00E02518">
            <w:trPr>
              <w:trHeight w:val="153"/>
            </w:trPr>
            <w:tc>
              <w:tcPr>
                <w:tcW w:w="2693" w:type="dxa"/>
              </w:tcPr>
              <w:p w:rsidR="00E02518" w:rsidRDefault="001447D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280" w:type="dxa"/>
              </w:tcPr>
              <w:p w:rsidR="00E02518" w:rsidRDefault="001447D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Cuautitlán</w:t>
                </w:r>
              </w:p>
            </w:tc>
          </w:tr>
          <w:tr w:rsidR="00E02518">
            <w:trPr>
              <w:trHeight w:val="147"/>
            </w:trPr>
            <w:tc>
              <w:tcPr>
                <w:tcW w:w="2693" w:type="dxa"/>
              </w:tcPr>
              <w:p w:rsidR="00E02518" w:rsidRDefault="001447D8">
                <w:pPr>
                  <w:tabs>
                    <w:tab w:val="right" w:pos="8838"/>
                  </w:tabs>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280" w:type="dxa"/>
              </w:tcPr>
              <w:p w:rsidR="00E02518" w:rsidRDefault="001447D8">
                <w:pPr>
                  <w:tabs>
                    <w:tab w:val="right" w:pos="8838"/>
                  </w:tabs>
                  <w:ind w:left="-108"/>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p w:rsidR="00E02518" w:rsidRDefault="00E02518">
                <w:pPr>
                  <w:tabs>
                    <w:tab w:val="right" w:pos="8838"/>
                  </w:tabs>
                  <w:ind w:left="-108"/>
                  <w:jc w:val="both"/>
                  <w:rPr>
                    <w:rFonts w:ascii="Palatino Linotype" w:eastAsia="Palatino Linotype" w:hAnsi="Palatino Linotype" w:cs="Palatino Linotype"/>
                    <w:b/>
                    <w:sz w:val="22"/>
                    <w:szCs w:val="22"/>
                  </w:rPr>
                </w:pPr>
              </w:p>
            </w:tc>
          </w:tr>
        </w:tbl>
        <w:p w:rsidR="00E02518" w:rsidRDefault="00E02518">
          <w:pPr>
            <w:tabs>
              <w:tab w:val="right" w:pos="8838"/>
            </w:tabs>
            <w:ind w:left="-28"/>
            <w:jc w:val="both"/>
            <w:rPr>
              <w:rFonts w:ascii="Arial" w:eastAsia="Arial" w:hAnsi="Arial" w:cs="Arial"/>
              <w:b/>
              <w:sz w:val="22"/>
              <w:szCs w:val="22"/>
            </w:rPr>
          </w:pPr>
        </w:p>
      </w:tc>
    </w:tr>
  </w:tbl>
  <w:p w:rsidR="00E02518" w:rsidRDefault="001447D8">
    <w:pPr>
      <w:pBdr>
        <w:top w:val="nil"/>
        <w:left w:val="nil"/>
        <w:bottom w:val="nil"/>
        <w:right w:val="nil"/>
        <w:between w:val="nil"/>
      </w:pBdr>
      <w:tabs>
        <w:tab w:val="center" w:pos="4419"/>
        <w:tab w:val="right" w:pos="8838"/>
      </w:tabs>
      <w:rPr>
        <w:color w:val="000000"/>
        <w:sz w:val="14"/>
        <w:szCs w:val="14"/>
      </w:rPr>
    </w:pPr>
    <w:r>
      <w:rPr>
        <w:rFonts w:ascii="Garamond" w:eastAsia="Garamond" w:hAnsi="Garamond" w:cs="Garamond"/>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MARCA DE AGUA - HOJA RESOLUCIÓN" style="position:absolute;margin-left:-78.85pt;margin-top:-125.1pt;width:663.5pt;height:12in;z-index:-251658240;mso-wrap-edited:f;mso-width-percent:0;mso-height-percent:0;mso-position-horizontal:absolute;mso-position-horizontal-relative:margin;mso-position-vertical:absolute;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518" w:rsidRDefault="001447D8">
    <w:r>
      <w:rPr>
        <w:rFonts w:ascii="Palatino Linotype" w:eastAsia="Palatino Linotype" w:hAnsi="Palatino Linotype" w:cs="Palatino Linotype"/>
        <w:b/>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margin-left:-79.2pt;margin-top:-118.8pt;width:663.5pt;height:12in;z-index:-251659264;mso-position-horizontal:absolute;mso-position-horizontal-relative:margin;mso-position-vertical:absolute;mso-position-vertical-relative:margin">
          <v:imagedata r:id="rId1" o:title="image2"/>
          <w10:wrap anchorx="margin" anchory="margin"/>
        </v:shape>
      </w:pict>
    </w:r>
  </w:p>
  <w:tbl>
    <w:tblPr>
      <w:tblStyle w:val="a2"/>
      <w:tblpPr w:leftFromText="141" w:rightFromText="141" w:vertAnchor="page" w:horzAnchor="margin" w:tblpY="556"/>
      <w:tblW w:w="925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972"/>
      <w:gridCol w:w="2693"/>
      <w:gridCol w:w="3591"/>
    </w:tblGrid>
    <w:tr w:rsidR="00E02518">
      <w:trPr>
        <w:trHeight w:val="466"/>
      </w:trPr>
      <w:tc>
        <w:tcPr>
          <w:tcW w:w="2972" w:type="dxa"/>
          <w:vAlign w:val="bottom"/>
        </w:tcPr>
        <w:p w:rsidR="00E02518" w:rsidRDefault="00E02518">
          <w:pPr>
            <w:tabs>
              <w:tab w:val="right" w:pos="8838"/>
            </w:tabs>
            <w:ind w:right="-105"/>
            <w:rPr>
              <w:rFonts w:ascii="Palatino Linotype" w:eastAsia="Palatino Linotype" w:hAnsi="Palatino Linotype" w:cs="Palatino Linotype"/>
              <w:b/>
              <w:sz w:val="22"/>
              <w:szCs w:val="22"/>
            </w:rPr>
          </w:pPr>
        </w:p>
      </w:tc>
      <w:tc>
        <w:tcPr>
          <w:tcW w:w="2693" w:type="dxa"/>
          <w:vAlign w:val="bottom"/>
        </w:tcPr>
        <w:p w:rsidR="00E02518" w:rsidRDefault="001447D8">
          <w:pPr>
            <w:tabs>
              <w:tab w:val="left" w:pos="1735"/>
              <w:tab w:val="right" w:pos="8838"/>
            </w:tabs>
            <w:ind w:left="-2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91" w:type="dxa"/>
          <w:vAlign w:val="bottom"/>
        </w:tcPr>
        <w:p w:rsidR="00E02518" w:rsidRDefault="001447D8">
          <w:pPr>
            <w:tabs>
              <w:tab w:val="left" w:pos="3435"/>
              <w:tab w:val="right" w:pos="8838"/>
            </w:tabs>
            <w:ind w:left="-28" w:right="39"/>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01821/INFOEM/IP/RR/2024</w:t>
          </w:r>
        </w:p>
      </w:tc>
    </w:tr>
    <w:tr w:rsidR="00E02518">
      <w:trPr>
        <w:trHeight w:val="119"/>
      </w:trPr>
      <w:tc>
        <w:tcPr>
          <w:tcW w:w="2972" w:type="dxa"/>
        </w:tcPr>
        <w:p w:rsidR="00E02518" w:rsidRDefault="00E02518">
          <w:pPr>
            <w:tabs>
              <w:tab w:val="right" w:pos="8838"/>
            </w:tabs>
            <w:ind w:right="-105"/>
            <w:rPr>
              <w:rFonts w:ascii="Palatino Linotype" w:eastAsia="Palatino Linotype" w:hAnsi="Palatino Linotype" w:cs="Palatino Linotype"/>
              <w:b/>
              <w:sz w:val="22"/>
              <w:szCs w:val="22"/>
            </w:rPr>
          </w:pPr>
        </w:p>
      </w:tc>
      <w:tc>
        <w:tcPr>
          <w:tcW w:w="2693" w:type="dxa"/>
        </w:tcPr>
        <w:p w:rsidR="00E02518" w:rsidRDefault="001447D8">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rPr>
            <w:t>Recurrente:</w:t>
          </w:r>
        </w:p>
      </w:tc>
      <w:tc>
        <w:tcPr>
          <w:tcW w:w="3591" w:type="dxa"/>
        </w:tcPr>
        <w:p w:rsidR="00E02518" w:rsidRDefault="00E02518">
          <w:pPr>
            <w:tabs>
              <w:tab w:val="right" w:pos="8838"/>
            </w:tabs>
            <w:ind w:right="171"/>
            <w:jc w:val="both"/>
            <w:rPr>
              <w:rFonts w:ascii="Palatino Linotype" w:eastAsia="Palatino Linotype" w:hAnsi="Palatino Linotype" w:cs="Palatino Linotype"/>
              <w:sz w:val="22"/>
              <w:szCs w:val="22"/>
            </w:rPr>
          </w:pPr>
        </w:p>
      </w:tc>
    </w:tr>
    <w:tr w:rsidR="00E02518">
      <w:trPr>
        <w:trHeight w:val="234"/>
      </w:trPr>
      <w:tc>
        <w:tcPr>
          <w:tcW w:w="2972" w:type="dxa"/>
        </w:tcPr>
        <w:p w:rsidR="00E02518" w:rsidRDefault="00E02518">
          <w:pPr>
            <w:tabs>
              <w:tab w:val="right" w:pos="8838"/>
            </w:tabs>
            <w:ind w:right="26"/>
            <w:rPr>
              <w:rFonts w:ascii="Palatino Linotype" w:eastAsia="Palatino Linotype" w:hAnsi="Palatino Linotype" w:cs="Palatino Linotype"/>
              <w:b/>
              <w:sz w:val="22"/>
              <w:szCs w:val="22"/>
            </w:rPr>
          </w:pPr>
        </w:p>
      </w:tc>
      <w:tc>
        <w:tcPr>
          <w:tcW w:w="2693" w:type="dxa"/>
        </w:tcPr>
        <w:p w:rsidR="00E02518" w:rsidRDefault="001447D8">
          <w:pPr>
            <w:tabs>
              <w:tab w:val="right" w:pos="8838"/>
            </w:tabs>
            <w:ind w:right="171"/>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91" w:type="dxa"/>
        </w:tcPr>
        <w:p w:rsidR="00E02518" w:rsidRDefault="001447D8">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Cuautitlán</w:t>
          </w:r>
        </w:p>
      </w:tc>
    </w:tr>
    <w:tr w:rsidR="00E02518">
      <w:trPr>
        <w:trHeight w:val="234"/>
      </w:trPr>
      <w:tc>
        <w:tcPr>
          <w:tcW w:w="2972" w:type="dxa"/>
        </w:tcPr>
        <w:p w:rsidR="00E02518" w:rsidRDefault="00E02518">
          <w:pPr>
            <w:tabs>
              <w:tab w:val="right" w:pos="8838"/>
            </w:tabs>
            <w:ind w:right="-105"/>
            <w:rPr>
              <w:rFonts w:ascii="Palatino Linotype" w:eastAsia="Palatino Linotype" w:hAnsi="Palatino Linotype" w:cs="Palatino Linotype"/>
              <w:b/>
              <w:sz w:val="22"/>
              <w:szCs w:val="22"/>
            </w:rPr>
          </w:pPr>
        </w:p>
      </w:tc>
      <w:tc>
        <w:tcPr>
          <w:tcW w:w="2693" w:type="dxa"/>
        </w:tcPr>
        <w:p w:rsidR="00E02518" w:rsidRDefault="001447D8">
          <w:pPr>
            <w:tabs>
              <w:tab w:val="right" w:pos="8838"/>
            </w:tabs>
            <w:ind w:right="-108"/>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3591" w:type="dxa"/>
        </w:tcPr>
        <w:p w:rsidR="00E02518" w:rsidRDefault="001447D8">
          <w:pPr>
            <w:tabs>
              <w:tab w:val="right" w:pos="8838"/>
            </w:tabs>
            <w:ind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Luis Gustavo Parra Noriega</w:t>
          </w:r>
        </w:p>
      </w:tc>
    </w:tr>
  </w:tbl>
  <w:p w:rsidR="00E02518" w:rsidRDefault="00E025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33C6D"/>
    <w:multiLevelType w:val="multilevel"/>
    <w:tmpl w:val="CBC61EF6"/>
    <w:lvl w:ilvl="0">
      <w:start w:val="4"/>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B140B2"/>
    <w:multiLevelType w:val="multilevel"/>
    <w:tmpl w:val="45BC9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E451CC"/>
    <w:multiLevelType w:val="multilevel"/>
    <w:tmpl w:val="6748B7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5A5F8E"/>
    <w:multiLevelType w:val="multilevel"/>
    <w:tmpl w:val="0DDAE7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9870C5"/>
    <w:multiLevelType w:val="multilevel"/>
    <w:tmpl w:val="28441E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39F3DE8"/>
    <w:multiLevelType w:val="multilevel"/>
    <w:tmpl w:val="5AA01C8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954AD6"/>
    <w:multiLevelType w:val="multilevel"/>
    <w:tmpl w:val="75DE24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11F386A"/>
    <w:multiLevelType w:val="multilevel"/>
    <w:tmpl w:val="DEA288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3045D52"/>
    <w:multiLevelType w:val="multilevel"/>
    <w:tmpl w:val="9D984E5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6C674C"/>
    <w:multiLevelType w:val="multilevel"/>
    <w:tmpl w:val="206C38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78B2A63"/>
    <w:multiLevelType w:val="multilevel"/>
    <w:tmpl w:val="A954A58A"/>
    <w:lvl w:ilvl="0">
      <w:start w:val="1"/>
      <w:numFmt w:val="decimal"/>
      <w:pStyle w:val="Listaconvietas2"/>
      <w:lvlText w:val="%1."/>
      <w:lvlJc w:val="left"/>
      <w:pPr>
        <w:ind w:left="720" w:hanging="360"/>
      </w:pPr>
    </w:lvl>
    <w:lvl w:ilvl="1">
      <w:start w:val="1"/>
      <w:numFmt w:val="decimal"/>
      <w:lvlText w:val="%1.%2."/>
      <w:lvlJc w:val="left"/>
      <w:pPr>
        <w:ind w:left="720" w:hanging="360"/>
      </w:pPr>
      <w:rPr>
        <w:color w:val="000000"/>
      </w:rPr>
    </w:lvl>
    <w:lvl w:ilvl="2">
      <w:start w:val="1"/>
      <w:numFmt w:val="decimal"/>
      <w:lvlText w:val="%1.%2.%3."/>
      <w:lvlJc w:val="left"/>
      <w:pPr>
        <w:ind w:left="1080" w:hanging="720"/>
      </w:pPr>
      <w:rPr>
        <w:color w:val="000000"/>
      </w:rPr>
    </w:lvl>
    <w:lvl w:ilvl="3">
      <w:start w:val="1"/>
      <w:numFmt w:val="decimal"/>
      <w:lvlText w:val="%1.%2.%3.%4."/>
      <w:lvlJc w:val="left"/>
      <w:pPr>
        <w:ind w:left="1080" w:hanging="720"/>
      </w:pPr>
      <w:rPr>
        <w:color w:val="000000"/>
      </w:rPr>
    </w:lvl>
    <w:lvl w:ilvl="4">
      <w:start w:val="1"/>
      <w:numFmt w:val="decimal"/>
      <w:lvlText w:val="%1.%2.%3.%4.%5."/>
      <w:lvlJc w:val="left"/>
      <w:pPr>
        <w:ind w:left="1440" w:hanging="1080"/>
      </w:pPr>
      <w:rPr>
        <w:color w:val="000000"/>
      </w:rPr>
    </w:lvl>
    <w:lvl w:ilvl="5">
      <w:start w:val="1"/>
      <w:numFmt w:val="decimal"/>
      <w:lvlText w:val="%1.%2.%3.%4.%5.%6."/>
      <w:lvlJc w:val="left"/>
      <w:pPr>
        <w:ind w:left="1440" w:hanging="1080"/>
      </w:pPr>
      <w:rPr>
        <w:color w:val="000000"/>
      </w:rPr>
    </w:lvl>
    <w:lvl w:ilvl="6">
      <w:start w:val="1"/>
      <w:numFmt w:val="decimal"/>
      <w:lvlText w:val="%1.%2.%3.%4.%5.%6.%7."/>
      <w:lvlJc w:val="left"/>
      <w:pPr>
        <w:ind w:left="1800" w:hanging="1440"/>
      </w:pPr>
      <w:rPr>
        <w:color w:val="000000"/>
      </w:rPr>
    </w:lvl>
    <w:lvl w:ilvl="7">
      <w:start w:val="1"/>
      <w:numFmt w:val="decimal"/>
      <w:lvlText w:val="%1.%2.%3.%4.%5.%6.%7.%8."/>
      <w:lvlJc w:val="left"/>
      <w:pPr>
        <w:ind w:left="1800" w:hanging="1440"/>
      </w:pPr>
      <w:rPr>
        <w:color w:val="000000"/>
      </w:rPr>
    </w:lvl>
    <w:lvl w:ilvl="8">
      <w:start w:val="1"/>
      <w:numFmt w:val="decimal"/>
      <w:lvlText w:val="%1.%2.%3.%4.%5.%6.%7.%8.%9."/>
      <w:lvlJc w:val="left"/>
      <w:pPr>
        <w:ind w:left="2160" w:hanging="1800"/>
      </w:pPr>
      <w:rPr>
        <w:color w:val="000000"/>
      </w:rPr>
    </w:lvl>
  </w:abstractNum>
  <w:abstractNum w:abstractNumId="11" w15:restartNumberingAfterBreak="0">
    <w:nsid w:val="667971B4"/>
    <w:multiLevelType w:val="multilevel"/>
    <w:tmpl w:val="B726B2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635999"/>
    <w:multiLevelType w:val="multilevel"/>
    <w:tmpl w:val="F76EE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0"/>
  </w:num>
  <w:num w:numId="3">
    <w:abstractNumId w:val="1"/>
  </w:num>
  <w:num w:numId="4">
    <w:abstractNumId w:val="7"/>
  </w:num>
  <w:num w:numId="5">
    <w:abstractNumId w:val="12"/>
  </w:num>
  <w:num w:numId="6">
    <w:abstractNumId w:val="6"/>
  </w:num>
  <w:num w:numId="7">
    <w:abstractNumId w:val="3"/>
  </w:num>
  <w:num w:numId="8">
    <w:abstractNumId w:val="4"/>
  </w:num>
  <w:num w:numId="9">
    <w:abstractNumId w:val="5"/>
  </w:num>
  <w:num w:numId="10">
    <w:abstractNumId w:val="9"/>
  </w:num>
  <w:num w:numId="11">
    <w:abstractNumId w:val="8"/>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518"/>
    <w:rsid w:val="001447D8"/>
    <w:rsid w:val="0064401C"/>
    <w:rsid w:val="00CE4048"/>
    <w:rsid w:val="00E025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838E432F-959D-4712-8303-3DDE85528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201"/>
    <w:rPr>
      <w:lang w:eastAsia="es-ES"/>
    </w:rPr>
  </w:style>
  <w:style w:type="paragraph" w:styleId="Ttulo1">
    <w:name w:val="heading 1"/>
    <w:basedOn w:val="Normal"/>
    <w:next w:val="Normal"/>
    <w:link w:val="Ttulo1Car"/>
    <w:uiPriority w:val="9"/>
    <w:qFormat/>
    <w:rsid w:val="00B312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uiPriority w:val="10"/>
    <w:qFormat/>
    <w:rsid w:val="00B31222"/>
    <w:pPr>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B31222"/>
    <w:rPr>
      <w:rFonts w:asciiTheme="majorHAnsi" w:eastAsiaTheme="majorEastAsia" w:hAnsiTheme="majorHAnsi" w:cstheme="majorBidi"/>
      <w:color w:val="2F5496" w:themeColor="accent1" w:themeShade="BF"/>
      <w:sz w:val="32"/>
      <w:szCs w:val="32"/>
      <w:lang w:val="es-ES" w:eastAsia="es-ES"/>
    </w:rPr>
  </w:style>
  <w:style w:type="paragraph" w:styleId="Encabezado">
    <w:name w:val="header"/>
    <w:basedOn w:val="Normal"/>
    <w:link w:val="EncabezadoCar"/>
    <w:uiPriority w:val="99"/>
    <w:unhideWhenUsed/>
    <w:rsid w:val="00B31222"/>
    <w:pPr>
      <w:tabs>
        <w:tab w:val="center" w:pos="4419"/>
        <w:tab w:val="right" w:pos="8838"/>
      </w:tabs>
    </w:pPr>
  </w:style>
  <w:style w:type="character" w:customStyle="1" w:styleId="EncabezadoCar">
    <w:name w:val="Encabezado Car"/>
    <w:basedOn w:val="Fuentedeprrafopredeter"/>
    <w:link w:val="Encabezado"/>
    <w:uiPriority w:val="99"/>
    <w:rsid w:val="00B3122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31222"/>
    <w:pPr>
      <w:tabs>
        <w:tab w:val="center" w:pos="4419"/>
        <w:tab w:val="right" w:pos="8838"/>
      </w:tabs>
    </w:pPr>
  </w:style>
  <w:style w:type="character" w:customStyle="1" w:styleId="PiedepginaCar">
    <w:name w:val="Pie de página Car"/>
    <w:basedOn w:val="Fuentedeprrafopredeter"/>
    <w:link w:val="Piedepgina"/>
    <w:uiPriority w:val="99"/>
    <w:rsid w:val="00B31222"/>
    <w:rPr>
      <w:rFonts w:ascii="Times New Roman" w:eastAsia="Times New Roman" w:hAnsi="Times New Roman" w:cs="Times New Roman"/>
      <w:sz w:val="20"/>
      <w:szCs w:val="20"/>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31222"/>
    <w:pPr>
      <w:ind w:left="720"/>
      <w:contextualSpacing/>
    </w:pPr>
    <w:rPr>
      <w:rFonts w:ascii="Century Gothic" w:hAnsi="Century Gothic"/>
      <w:sz w:val="22"/>
      <w:szCs w:val="24"/>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B31222"/>
    <w:rPr>
      <w:rFonts w:ascii="Century Gothic" w:eastAsia="Times New Roman" w:hAnsi="Century Gothic" w:cs="Times New Roman"/>
      <w:szCs w:val="24"/>
      <w:lang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B31222"/>
    <w:rPr>
      <w:color w:val="0563C1" w:themeColor="hyperlink"/>
      <w:u w:val="single"/>
    </w:rPr>
  </w:style>
  <w:style w:type="character" w:styleId="Refdenotaalpie">
    <w:name w:val="footnote reference"/>
    <w:aliases w:val="Ref,de nota al pie,ftref, BVI fnr,16 Point,Superscript 6 Point,(Diplomarbeit FZ),BVI fnr,Footnote Reference,Texto de nota al pie,Footnotes refss,Appel note de bas de page,Footnote number,referencia nota al pie,f,4_G,Texto nota al pie"/>
    <w:basedOn w:val="Fuentedeprrafopredeter"/>
    <w:uiPriority w:val="99"/>
    <w:unhideWhenUsed/>
    <w:qFormat/>
    <w:rsid w:val="00B31222"/>
    <w:rPr>
      <w:vertAlign w:val="superscript"/>
    </w:rPr>
  </w:style>
  <w:style w:type="paragraph" w:styleId="Textonotapie">
    <w:name w:val="footnote text"/>
    <w:aliases w:val="Footnote reference,FA Fu,Footnote Text Char Char Char Char Char,Footnote Text Char Char Char Char,Footnote Text Char Char Char,ADB,single space,footnote text,fn,ft,Footnote Text Char1,Footnote Text Char Char,FOOTNOTES,Schriftart: 9 pt,Ca"/>
    <w:basedOn w:val="Normal"/>
    <w:link w:val="TextonotapieCar"/>
    <w:uiPriority w:val="99"/>
    <w:unhideWhenUsed/>
    <w:qFormat/>
    <w:rsid w:val="00B31222"/>
    <w:rPr>
      <w:rFonts w:ascii="Calibri" w:eastAsia="Calibri" w:hAnsi="Calibri"/>
      <w:lang w:eastAsia="en-US"/>
    </w:rPr>
  </w:style>
  <w:style w:type="character" w:customStyle="1" w:styleId="TextonotapieCar">
    <w:name w:val="Texto nota pie Car"/>
    <w:aliases w:val="Footnote reference Car,FA Fu Car,Footnote Text Char Char Char Char Char Car,Footnote Text Char Char Char Char Car,Footnote Text Char Char Char Car,ADB Car,single space Car,footnote text Car,fn Car,ft Car,Footnote Text Char1 Car,Ca Car"/>
    <w:basedOn w:val="Fuentedeprrafopredeter"/>
    <w:link w:val="Textonotapie"/>
    <w:uiPriority w:val="99"/>
    <w:rsid w:val="00B31222"/>
    <w:rPr>
      <w:rFonts w:ascii="Calibri" w:eastAsia="Calibri" w:hAnsi="Calibri" w:cs="Times New Roman"/>
      <w:sz w:val="20"/>
      <w:szCs w:val="20"/>
    </w:rPr>
  </w:style>
  <w:style w:type="character" w:styleId="Hipervnculovisitado">
    <w:name w:val="FollowedHyperlink"/>
    <w:basedOn w:val="Fuentedeprrafopredeter"/>
    <w:uiPriority w:val="99"/>
    <w:semiHidden/>
    <w:unhideWhenUsed/>
    <w:rsid w:val="00B31222"/>
    <w:rPr>
      <w:color w:val="954F72" w:themeColor="followedHyperlink"/>
      <w:u w:val="single"/>
    </w:rPr>
  </w:style>
  <w:style w:type="table" w:styleId="Tablaconcuadrcula">
    <w:name w:val="Table Grid"/>
    <w:basedOn w:val="Tablanormal"/>
    <w:uiPriority w:val="39"/>
    <w:qFormat/>
    <w:rsid w:val="00B3122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312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1222"/>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B31222"/>
    <w:rPr>
      <w:sz w:val="16"/>
      <w:szCs w:val="16"/>
    </w:rPr>
  </w:style>
  <w:style w:type="paragraph" w:styleId="Textocomentario">
    <w:name w:val="annotation text"/>
    <w:basedOn w:val="Normal"/>
    <w:link w:val="TextocomentarioCar"/>
    <w:uiPriority w:val="99"/>
    <w:semiHidden/>
    <w:unhideWhenUsed/>
    <w:rsid w:val="00B31222"/>
  </w:style>
  <w:style w:type="character" w:customStyle="1" w:styleId="TextocomentarioCar">
    <w:name w:val="Texto comentario Car"/>
    <w:basedOn w:val="Fuentedeprrafopredeter"/>
    <w:link w:val="Textocomentario"/>
    <w:uiPriority w:val="99"/>
    <w:semiHidden/>
    <w:rsid w:val="00B3122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31222"/>
    <w:rPr>
      <w:b/>
      <w:bCs/>
    </w:rPr>
  </w:style>
  <w:style w:type="character" w:customStyle="1" w:styleId="AsuntodelcomentarioCar">
    <w:name w:val="Asunto del comentario Car"/>
    <w:basedOn w:val="TextocomentarioCar"/>
    <w:link w:val="Asuntodelcomentario"/>
    <w:uiPriority w:val="99"/>
    <w:semiHidden/>
    <w:rsid w:val="00B31222"/>
    <w:rPr>
      <w:rFonts w:ascii="Times New Roman" w:eastAsia="Times New Roman" w:hAnsi="Times New Roman" w:cs="Times New Roman"/>
      <w:b/>
      <w:bCs/>
      <w:sz w:val="20"/>
      <w:szCs w:val="20"/>
      <w:lang w:val="es-ES" w:eastAsia="es-ES"/>
    </w:rPr>
  </w:style>
  <w:style w:type="character" w:customStyle="1" w:styleId="Mencionar1">
    <w:name w:val="Mencionar1"/>
    <w:basedOn w:val="Fuentedeprrafopredeter"/>
    <w:uiPriority w:val="99"/>
    <w:semiHidden/>
    <w:unhideWhenUsed/>
    <w:rsid w:val="00B31222"/>
    <w:rPr>
      <w:color w:val="2B579A"/>
      <w:shd w:val="clear" w:color="auto" w:fill="E6E6E6"/>
    </w:rPr>
  </w:style>
  <w:style w:type="character" w:customStyle="1" w:styleId="Mencionar2">
    <w:name w:val="Mencionar2"/>
    <w:basedOn w:val="Fuentedeprrafopredeter"/>
    <w:uiPriority w:val="99"/>
    <w:semiHidden/>
    <w:unhideWhenUsed/>
    <w:rsid w:val="00B31222"/>
    <w:rPr>
      <w:color w:val="2B579A"/>
      <w:shd w:val="clear" w:color="auto" w:fill="E6E6E6"/>
    </w:rPr>
  </w:style>
  <w:style w:type="character" w:customStyle="1" w:styleId="maestrofonttexto">
    <w:name w:val="maestro_fonttexto"/>
    <w:basedOn w:val="Fuentedeprrafopredeter"/>
    <w:rsid w:val="00B31222"/>
  </w:style>
  <w:style w:type="character" w:styleId="Textoennegrita">
    <w:name w:val="Strong"/>
    <w:qFormat/>
    <w:rsid w:val="00B31222"/>
    <w:rPr>
      <w:b/>
      <w:bCs/>
    </w:rPr>
  </w:style>
  <w:style w:type="paragraph" w:styleId="HTMLconformatoprevio">
    <w:name w:val="HTML Preformatted"/>
    <w:basedOn w:val="Normal"/>
    <w:link w:val="HTMLconformatoprevioCar"/>
    <w:uiPriority w:val="99"/>
    <w:semiHidden/>
    <w:unhideWhenUsed/>
    <w:rsid w:val="00B31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MX"/>
    </w:rPr>
  </w:style>
  <w:style w:type="character" w:customStyle="1" w:styleId="HTMLconformatoprevioCar">
    <w:name w:val="HTML con formato previo Car"/>
    <w:basedOn w:val="Fuentedeprrafopredeter"/>
    <w:link w:val="HTMLconformatoprevio"/>
    <w:uiPriority w:val="99"/>
    <w:semiHidden/>
    <w:rsid w:val="00B31222"/>
    <w:rPr>
      <w:rFonts w:ascii="Courier New" w:eastAsia="Times New Roman" w:hAnsi="Courier New" w:cs="Courier New"/>
      <w:sz w:val="20"/>
      <w:szCs w:val="20"/>
      <w:lang w:eastAsia="es-MX"/>
    </w:rPr>
  </w:style>
  <w:style w:type="paragraph" w:customStyle="1" w:styleId="Default">
    <w:name w:val="Default"/>
    <w:rsid w:val="00B31222"/>
    <w:pPr>
      <w:autoSpaceDE w:val="0"/>
      <w:autoSpaceDN w:val="0"/>
      <w:adjustRightInd w:val="0"/>
    </w:pPr>
    <w:rPr>
      <w:rFonts w:ascii="Arial" w:hAnsi="Arial" w:cs="Arial"/>
      <w:color w:val="000000"/>
      <w:sz w:val="24"/>
      <w:szCs w:val="24"/>
    </w:rPr>
  </w:style>
  <w:style w:type="character" w:customStyle="1" w:styleId="CharacterStyle1">
    <w:name w:val="Character Style 1"/>
    <w:uiPriority w:val="99"/>
    <w:rsid w:val="00B31222"/>
    <w:rPr>
      <w:sz w:val="20"/>
      <w:szCs w:val="20"/>
    </w:rPr>
  </w:style>
  <w:style w:type="paragraph" w:customStyle="1" w:styleId="Estilo1">
    <w:name w:val="Estilo1"/>
    <w:basedOn w:val="Textoindependiente"/>
    <w:rsid w:val="00B31222"/>
  </w:style>
  <w:style w:type="paragraph" w:styleId="Textoindependiente">
    <w:name w:val="Body Text"/>
    <w:basedOn w:val="Normal"/>
    <w:link w:val="TextoindependienteCar"/>
    <w:uiPriority w:val="99"/>
    <w:unhideWhenUsed/>
    <w:rsid w:val="00B31222"/>
    <w:pPr>
      <w:spacing w:after="120"/>
    </w:pPr>
  </w:style>
  <w:style w:type="character" w:customStyle="1" w:styleId="TextoindependienteCar">
    <w:name w:val="Texto independiente Car"/>
    <w:basedOn w:val="Fuentedeprrafopredeter"/>
    <w:link w:val="Textoindependiente"/>
    <w:uiPriority w:val="99"/>
    <w:rsid w:val="00B31222"/>
    <w:rPr>
      <w:rFonts w:ascii="Times New Roman" w:eastAsia="Times New Roman" w:hAnsi="Times New Roman" w:cs="Times New Roman"/>
      <w:sz w:val="20"/>
      <w:szCs w:val="20"/>
      <w:lang w:val="es-ES" w:eastAsia="es-ES"/>
    </w:rPr>
  </w:style>
  <w:style w:type="paragraph" w:styleId="Sinespaciado">
    <w:name w:val="No Spacing"/>
    <w:aliases w:val="INAI"/>
    <w:link w:val="SinespaciadoCar"/>
    <w:uiPriority w:val="1"/>
    <w:qFormat/>
    <w:rsid w:val="00B31222"/>
    <w:pPr>
      <w:ind w:left="567" w:right="567"/>
      <w:jc w:val="both"/>
    </w:pPr>
    <w:rPr>
      <w:rFonts w:ascii="Arial" w:eastAsia="Batang" w:hAnsi="Arial"/>
      <w:szCs w:val="24"/>
      <w:lang w:eastAsia="es-ES"/>
    </w:rPr>
  </w:style>
  <w:style w:type="character" w:customStyle="1" w:styleId="SinespaciadoCar">
    <w:name w:val="Sin espaciado Car"/>
    <w:aliases w:val="INAI Car"/>
    <w:basedOn w:val="Fuentedeprrafopredeter"/>
    <w:link w:val="Sinespaciado"/>
    <w:uiPriority w:val="1"/>
    <w:rsid w:val="00B31222"/>
    <w:rPr>
      <w:rFonts w:ascii="Arial" w:eastAsia="Batang" w:hAnsi="Arial" w:cs="Times New Roman"/>
      <w:sz w:val="20"/>
      <w:szCs w:val="24"/>
      <w:lang w:eastAsia="es-ES"/>
    </w:rPr>
  </w:style>
  <w:style w:type="paragraph" w:styleId="Lista">
    <w:name w:val="List"/>
    <w:basedOn w:val="Normal"/>
    <w:uiPriority w:val="99"/>
    <w:unhideWhenUsed/>
    <w:rsid w:val="00B31222"/>
    <w:pPr>
      <w:ind w:left="283" w:hanging="283"/>
      <w:contextualSpacing/>
    </w:pPr>
  </w:style>
  <w:style w:type="paragraph" w:styleId="Lista2">
    <w:name w:val="List 2"/>
    <w:basedOn w:val="Normal"/>
    <w:uiPriority w:val="99"/>
    <w:unhideWhenUsed/>
    <w:rsid w:val="00B31222"/>
    <w:pPr>
      <w:ind w:left="566" w:hanging="283"/>
      <w:contextualSpacing/>
    </w:pPr>
  </w:style>
  <w:style w:type="paragraph" w:styleId="Lista3">
    <w:name w:val="List 3"/>
    <w:basedOn w:val="Normal"/>
    <w:uiPriority w:val="99"/>
    <w:unhideWhenUsed/>
    <w:rsid w:val="00B31222"/>
    <w:pPr>
      <w:ind w:left="849" w:hanging="283"/>
      <w:contextualSpacing/>
    </w:pPr>
  </w:style>
  <w:style w:type="paragraph" w:styleId="Lista4">
    <w:name w:val="List 4"/>
    <w:basedOn w:val="Normal"/>
    <w:uiPriority w:val="99"/>
    <w:unhideWhenUsed/>
    <w:rsid w:val="00B31222"/>
    <w:pPr>
      <w:ind w:left="1132" w:hanging="283"/>
      <w:contextualSpacing/>
    </w:pPr>
  </w:style>
  <w:style w:type="paragraph" w:styleId="Saludo">
    <w:name w:val="Salutation"/>
    <w:basedOn w:val="Normal"/>
    <w:next w:val="Normal"/>
    <w:link w:val="SaludoCar"/>
    <w:uiPriority w:val="99"/>
    <w:unhideWhenUsed/>
    <w:rsid w:val="00B31222"/>
  </w:style>
  <w:style w:type="character" w:customStyle="1" w:styleId="SaludoCar">
    <w:name w:val="Saludo Car"/>
    <w:basedOn w:val="Fuentedeprrafopredeter"/>
    <w:link w:val="Saludo"/>
    <w:uiPriority w:val="99"/>
    <w:rsid w:val="00B31222"/>
    <w:rPr>
      <w:rFonts w:ascii="Times New Roman" w:eastAsia="Times New Roman" w:hAnsi="Times New Roman" w:cs="Times New Roman"/>
      <w:sz w:val="20"/>
      <w:szCs w:val="20"/>
      <w:lang w:val="es-ES" w:eastAsia="es-ES"/>
    </w:rPr>
  </w:style>
  <w:style w:type="paragraph" w:styleId="Listaconvietas2">
    <w:name w:val="List Bullet 2"/>
    <w:basedOn w:val="Normal"/>
    <w:uiPriority w:val="99"/>
    <w:unhideWhenUsed/>
    <w:rsid w:val="00B31222"/>
    <w:pPr>
      <w:numPr>
        <w:numId w:val="1"/>
      </w:numPr>
      <w:contextualSpacing/>
    </w:pPr>
  </w:style>
  <w:style w:type="character" w:customStyle="1" w:styleId="PuestoCar">
    <w:name w:val="Puesto Car"/>
    <w:basedOn w:val="Fuentedeprrafopredeter"/>
    <w:link w:val="Puesto"/>
    <w:uiPriority w:val="10"/>
    <w:rsid w:val="00B31222"/>
    <w:rPr>
      <w:rFonts w:asciiTheme="majorHAnsi" w:eastAsiaTheme="majorEastAsia" w:hAnsiTheme="majorHAnsi" w:cstheme="majorBidi"/>
      <w:spacing w:val="-10"/>
      <w:kern w:val="28"/>
      <w:sz w:val="56"/>
      <w:szCs w:val="56"/>
      <w:lang w:val="es-ES" w:eastAsia="es-ES"/>
    </w:rPr>
  </w:style>
  <w:style w:type="paragraph" w:styleId="Sangradetextonormal">
    <w:name w:val="Body Text Indent"/>
    <w:basedOn w:val="Normal"/>
    <w:link w:val="SangradetextonormalCar"/>
    <w:uiPriority w:val="99"/>
    <w:unhideWhenUsed/>
    <w:rsid w:val="00B31222"/>
    <w:pPr>
      <w:spacing w:after="120"/>
      <w:ind w:left="283"/>
    </w:pPr>
  </w:style>
  <w:style w:type="character" w:customStyle="1" w:styleId="SangradetextonormalCar">
    <w:name w:val="Sangría de texto normal Car"/>
    <w:basedOn w:val="Fuentedeprrafopredeter"/>
    <w:link w:val="Sangradetextonormal"/>
    <w:uiPriority w:val="99"/>
    <w:rsid w:val="00B31222"/>
    <w:rPr>
      <w:rFonts w:ascii="Times New Roman" w:eastAsia="Times New Roman" w:hAnsi="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B3122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31222"/>
    <w:rPr>
      <w:rFonts w:ascii="Times New Roman" w:eastAsia="Times New Roman" w:hAnsi="Times New Roman" w:cs="Times New Roman"/>
      <w:sz w:val="20"/>
      <w:szCs w:val="20"/>
      <w:lang w:val="es-ES" w:eastAsia="es-ES"/>
    </w:rPr>
  </w:style>
  <w:style w:type="character" w:customStyle="1" w:styleId="Mencionar3">
    <w:name w:val="Mencionar3"/>
    <w:basedOn w:val="Fuentedeprrafopredeter"/>
    <w:uiPriority w:val="99"/>
    <w:semiHidden/>
    <w:unhideWhenUsed/>
    <w:rsid w:val="00A47916"/>
    <w:rPr>
      <w:color w:val="2B579A"/>
      <w:shd w:val="clear" w:color="auto" w:fill="E6E6E6"/>
    </w:rPr>
  </w:style>
  <w:style w:type="character" w:customStyle="1" w:styleId="Mencionar4">
    <w:name w:val="Mencionar4"/>
    <w:basedOn w:val="Fuentedeprrafopredeter"/>
    <w:uiPriority w:val="99"/>
    <w:semiHidden/>
    <w:unhideWhenUsed/>
    <w:rsid w:val="00802515"/>
    <w:rPr>
      <w:color w:val="2B579A"/>
      <w:shd w:val="clear" w:color="auto" w:fill="E6E6E6"/>
    </w:rPr>
  </w:style>
  <w:style w:type="character" w:customStyle="1" w:styleId="maestrofonttexto1">
    <w:name w:val="maestro_fonttexto1"/>
    <w:basedOn w:val="Fuentedeprrafopredeter"/>
    <w:rsid w:val="00C25238"/>
    <w:rPr>
      <w:rFonts w:ascii="Arial" w:hAnsi="Arial" w:cs="Arial" w:hint="default"/>
      <w:sz w:val="15"/>
      <w:szCs w:val="15"/>
    </w:rPr>
  </w:style>
  <w:style w:type="character" w:customStyle="1" w:styleId="apple-converted-space">
    <w:name w:val="apple-converted-space"/>
    <w:basedOn w:val="Fuentedeprrafopredeter"/>
    <w:rsid w:val="00436FD3"/>
  </w:style>
  <w:style w:type="character" w:customStyle="1" w:styleId="Mencinsinresolver1">
    <w:name w:val="Mención sin resolver1"/>
    <w:basedOn w:val="Fuentedeprrafopredeter"/>
    <w:uiPriority w:val="99"/>
    <w:semiHidden/>
    <w:unhideWhenUsed/>
    <w:rsid w:val="00044C31"/>
    <w:rPr>
      <w:color w:val="605E5C"/>
      <w:shd w:val="clear" w:color="auto" w:fill="E1DFDD"/>
    </w:rPr>
  </w:style>
  <w:style w:type="table" w:customStyle="1" w:styleId="Tablaconcuadrcula1">
    <w:name w:val="Tabla con cuadrícula1"/>
    <w:basedOn w:val="Tablanormal"/>
    <w:next w:val="Tablaconcuadrcula"/>
    <w:uiPriority w:val="39"/>
    <w:rsid w:val="00C6425F"/>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223E5"/>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6841C2"/>
    <w:rPr>
      <w:rFonts w:ascii="Calibri" w:eastAsia="Calibri" w:hAnsi="Calibri"/>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2A09"/>
    <w:rPr>
      <w:color w:val="605E5C"/>
      <w:shd w:val="clear" w:color="auto" w:fill="E1DFDD"/>
    </w:rPr>
  </w:style>
  <w:style w:type="character" w:customStyle="1" w:styleId="Mencinsinresolver3">
    <w:name w:val="Mención sin resolver3"/>
    <w:basedOn w:val="Fuentedeprrafopredeter"/>
    <w:uiPriority w:val="99"/>
    <w:semiHidden/>
    <w:unhideWhenUsed/>
    <w:rsid w:val="00633135"/>
    <w:rPr>
      <w:color w:val="605E5C"/>
      <w:shd w:val="clear" w:color="auto" w:fill="E1DFDD"/>
    </w:rPr>
  </w:style>
  <w:style w:type="character" w:customStyle="1" w:styleId="Mencinsinresolver4">
    <w:name w:val="Mención sin resolver4"/>
    <w:basedOn w:val="Fuentedeprrafopredeter"/>
    <w:uiPriority w:val="99"/>
    <w:semiHidden/>
    <w:unhideWhenUsed/>
    <w:rsid w:val="000B313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2">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duv.edomexico.gob.mx/licencias/entrega_201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e9MMXDw9ZEYod29Ki9yEzXd21A==">CgMxLjA4AHIhMW1ILS1mVm1IUnRjNTR0eTBxWmJNaktxeEtPdVc2Mm15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13959</Words>
  <Characters>76775</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INFOEM</dc:creator>
  <cp:lastModifiedBy>USUARIO</cp:lastModifiedBy>
  <cp:revision>2</cp:revision>
  <dcterms:created xsi:type="dcterms:W3CDTF">2024-10-18T00:14:00Z</dcterms:created>
  <dcterms:modified xsi:type="dcterms:W3CDTF">2024-10-18T00:14:00Z</dcterms:modified>
</cp:coreProperties>
</file>