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7FE" w14:textId="77777777" w:rsidR="00E52F46" w:rsidRDefault="0036341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bookmarkStart w:id="0" w:name="_heading=h.gjdgxs" w:colFirst="0" w:colLast="0"/>
      <w:bookmarkEnd w:id="0"/>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w:t>
      </w:r>
      <w:r>
        <w:rPr>
          <w:rFonts w:ascii="Palatino Linotype" w:eastAsia="Palatino Linotype" w:hAnsi="Palatino Linotype" w:cs="Palatino Linotype"/>
        </w:rPr>
        <w:t xml:space="preserve">echa </w:t>
      </w:r>
      <w:r>
        <w:rPr>
          <w:rFonts w:ascii="Palatino Linotype" w:eastAsia="Palatino Linotype" w:hAnsi="Palatino Linotype" w:cs="Palatino Linotype"/>
          <w:color w:val="000000"/>
        </w:rPr>
        <w:t>nueve (09</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de octubre de dos mil veinticuatro.</w:t>
      </w:r>
    </w:p>
    <w:p w14:paraId="064BC951"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2476EB30" w14:textId="77895392" w:rsidR="00E52F46" w:rsidRDefault="0036341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bookmarkStart w:id="1" w:name="_heading=h.30j0zll" w:colFirst="0" w:colLast="0"/>
      <w:bookmarkEnd w:id="1"/>
      <w:r>
        <w:rPr>
          <w:rFonts w:ascii="Palatino Linotype" w:eastAsia="Palatino Linotype" w:hAnsi="Palatino Linotype" w:cs="Palatino Linotype"/>
          <w:b/>
          <w:color w:val="000000"/>
        </w:rPr>
        <w:t>VISTOS</w:t>
      </w:r>
      <w:r>
        <w:rPr>
          <w:rFonts w:ascii="Palatino Linotype" w:eastAsia="Palatino Linotype" w:hAnsi="Palatino Linotype" w:cs="Palatino Linotype"/>
          <w:color w:val="000000"/>
        </w:rPr>
        <w:t xml:space="preserve"> los expedientes electrónicos formados con motivo de los Recursos de Revisión </w:t>
      </w:r>
      <w:r w:rsidR="008B3AB1">
        <w:rPr>
          <w:rFonts w:ascii="Palatino Linotype" w:eastAsia="Palatino Linotype" w:hAnsi="Palatino Linotype" w:cs="Palatino Linotype"/>
          <w:b/>
          <w:color w:val="000000"/>
        </w:rPr>
        <w:t>03788/INFOEM/IP/RR/2024</w:t>
      </w:r>
      <w:r>
        <w:rPr>
          <w:rFonts w:ascii="Palatino Linotype" w:eastAsia="Palatino Linotype" w:hAnsi="Palatino Linotype" w:cs="Palatino Linotype"/>
          <w:b/>
          <w:color w:val="000000"/>
        </w:rPr>
        <w:t xml:space="preserve"> </w:t>
      </w:r>
      <w:r w:rsidR="00C671C1">
        <w:rPr>
          <w:rFonts w:ascii="Palatino Linotype" w:eastAsia="Palatino Linotype" w:hAnsi="Palatino Linotype" w:cs="Palatino Linotype"/>
          <w:b/>
          <w:color w:val="000000"/>
        </w:rPr>
        <w:t>y 03789</w:t>
      </w:r>
      <w:r w:rsidR="008B3AB1">
        <w:rPr>
          <w:rFonts w:ascii="Palatino Linotype" w:eastAsia="Palatino Linotype" w:hAnsi="Palatino Linotype" w:cs="Palatino Linotype"/>
          <w:b/>
          <w:color w:val="000000"/>
        </w:rPr>
        <w:t>/INFOEM/IP/RR/2024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acumulados, promovidos </w:t>
      </w:r>
      <w:r w:rsidR="00C671C1">
        <w:rPr>
          <w:rFonts w:ascii="Palatino Linotype" w:eastAsia="Palatino Linotype" w:hAnsi="Palatino Linotype" w:cs="Palatino Linotype"/>
          <w:color w:val="000000"/>
        </w:rPr>
        <w:t xml:space="preserve">por </w:t>
      </w:r>
      <w:r w:rsidR="003C6BB5">
        <w:rPr>
          <w:rFonts w:ascii="Palatino Linotype" w:eastAsia="Palatino Linotype" w:hAnsi="Palatino Linotype" w:cs="Palatino Linotype"/>
          <w:b/>
          <w:color w:val="000000"/>
        </w:rPr>
        <w:t>XXX XXX</w:t>
      </w:r>
      <w:r>
        <w:rPr>
          <w:rFonts w:ascii="Palatino Linotype" w:eastAsia="Palatino Linotype" w:hAnsi="Palatino Linotype" w:cs="Palatino Linotype"/>
          <w:color w:val="000000"/>
        </w:rPr>
        <w:t xml:space="preserve">, a través del Sistema de Acceso a la Información Mexiquense (SAIMEX), a quien en lo sucesivo se le identificará como </w:t>
      </w:r>
      <w:r>
        <w:rPr>
          <w:rFonts w:ascii="Palatino Linotype" w:eastAsia="Palatino Linotype" w:hAnsi="Palatino Linotype" w:cs="Palatino Linotype"/>
          <w:b/>
          <w:color w:val="000000"/>
        </w:rPr>
        <w:t>LA RECURRENTE</w:t>
      </w:r>
      <w:r>
        <w:rPr>
          <w:rFonts w:ascii="Palatino Linotype" w:eastAsia="Palatino Linotype" w:hAnsi="Palatino Linotype" w:cs="Palatino Linotype"/>
          <w:color w:val="000000"/>
        </w:rPr>
        <w:t xml:space="preserve">, en contra de las respuestas del </w:t>
      </w:r>
      <w:r>
        <w:rPr>
          <w:rFonts w:ascii="Palatino Linotype" w:eastAsia="Palatino Linotype" w:hAnsi="Palatino Linotype" w:cs="Palatino Linotype"/>
          <w:b/>
          <w:color w:val="000000"/>
        </w:rPr>
        <w:t>Ayuntamiento de Tezoyuca</w:t>
      </w:r>
      <w:r>
        <w:rPr>
          <w:rFonts w:ascii="Palatino Linotype" w:eastAsia="Palatino Linotype" w:hAnsi="Palatino Linotype" w:cs="Palatino Linotype"/>
          <w:color w:val="000000"/>
        </w:rPr>
        <w:t xml:space="preserve">, en </w:t>
      </w:r>
      <w:r>
        <w:rPr>
          <w:rFonts w:ascii="Palatino Linotype" w:eastAsia="Palatino Linotype" w:hAnsi="Palatino Linotype" w:cs="Palatino Linotype"/>
        </w:rPr>
        <w:t>adelante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se procede a dictar la presente resolución, con base en los siguientes:</w:t>
      </w:r>
    </w:p>
    <w:p w14:paraId="01296436"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2BF621F1" w14:textId="77777777" w:rsidR="00E52F46" w:rsidRDefault="00363413">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N T E C E D E N T E S</w:t>
      </w:r>
    </w:p>
    <w:p w14:paraId="1C80E87B" w14:textId="77777777" w:rsidR="00E52F46" w:rsidRDefault="00E52F46">
      <w:pPr>
        <w:spacing w:line="360" w:lineRule="auto"/>
        <w:ind w:right="-787"/>
        <w:rPr>
          <w:rFonts w:ascii="Palatino Linotype" w:eastAsia="Palatino Linotype" w:hAnsi="Palatino Linotype" w:cs="Palatino Linotype"/>
        </w:rPr>
      </w:pPr>
    </w:p>
    <w:p w14:paraId="18637211"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dieciocho y veinte de mayo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las solicitudes de información pública registradas con los números</w:t>
      </w:r>
      <w:r>
        <w:rPr>
          <w:rFonts w:ascii="Palatino Linotype" w:eastAsia="Palatino Linotype" w:hAnsi="Palatino Linotype" w:cs="Palatino Linotype"/>
          <w:b/>
          <w:color w:val="000000"/>
        </w:rPr>
        <w:t xml:space="preserve"> 00055/TEZOYUCA/IP/2024 y 00054/TEZOYUCA/IP/2024, </w:t>
      </w:r>
      <w:r>
        <w:rPr>
          <w:rFonts w:ascii="Palatino Linotype" w:eastAsia="Palatino Linotype" w:hAnsi="Palatino Linotype" w:cs="Palatino Linotype"/>
        </w:rPr>
        <w:t>en las que</w:t>
      </w:r>
      <w:r>
        <w:rPr>
          <w:rFonts w:ascii="Palatino Linotype" w:eastAsia="Palatino Linotype" w:hAnsi="Palatino Linotype" w:cs="Palatino Linotype"/>
          <w:color w:val="000000"/>
        </w:rPr>
        <w:t xml:space="preserve"> se solicitó la siguiente información:</w:t>
      </w:r>
    </w:p>
    <w:p w14:paraId="3A1BBAEC"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54DECF87" w14:textId="77777777" w:rsidR="00E52F46" w:rsidRDefault="00363413">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Solicitud 00055/TEZOYUCA/IP/2024 :</w:t>
      </w:r>
      <w:r>
        <w:rPr>
          <w:rFonts w:ascii="Palatino Linotype" w:eastAsia="Palatino Linotype" w:hAnsi="Palatino Linotype" w:cs="Palatino Linotype"/>
          <w:i/>
          <w:color w:val="000000"/>
        </w:rPr>
        <w:t xml:space="preserve"> “Con la finalidad de obtener datos estadísticos de interés personal solicito se me proporcione la siguiente información: ¿Cuál es la edad del Presidente Constitucional de ese Municipio?.”</w:t>
      </w:r>
    </w:p>
    <w:p w14:paraId="02CC63D6" w14:textId="77777777" w:rsidR="00E52F46" w:rsidRDefault="00363413">
      <w:pPr>
        <w:pBdr>
          <w:top w:val="nil"/>
          <w:left w:val="nil"/>
          <w:bottom w:val="nil"/>
          <w:right w:val="nil"/>
          <w:between w:val="nil"/>
        </w:pBdr>
        <w:ind w:left="1134"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Solicitud 00054/TEZOYUCA/IP/2024: </w:t>
      </w:r>
      <w:r>
        <w:rPr>
          <w:rFonts w:ascii="Palatino Linotype" w:eastAsia="Palatino Linotype" w:hAnsi="Palatino Linotype" w:cs="Palatino Linotype"/>
          <w:i/>
          <w:color w:val="000000"/>
        </w:rPr>
        <w:t>“Con la finalidad de obtener datos estadísticos de interés personal solicito se me proporcione la siguiente información: ¿Actualmente, cuántos de los integrantes del Cabildo (Presidente, Sindico/s y Regidores) de ese Ayuntamiento son menores de 29 años?”</w:t>
      </w:r>
    </w:p>
    <w:p w14:paraId="761EAA88"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14:paraId="1181208B" w14:textId="77777777" w:rsidR="00E52F46" w:rsidRDefault="00363413">
      <w:pPr>
        <w:numPr>
          <w:ilvl w:val="0"/>
          <w:numId w:val="6"/>
        </w:numPr>
        <w:pBdr>
          <w:top w:val="nil"/>
          <w:left w:val="nil"/>
          <w:bottom w:val="nil"/>
          <w:right w:val="nil"/>
          <w:between w:val="nil"/>
        </w:pBdr>
        <w:spacing w:line="360" w:lineRule="auto"/>
        <w:ind w:left="709"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Modalidad de entrega</w:t>
      </w:r>
      <w:r>
        <w:rPr>
          <w:rFonts w:ascii="Palatino Linotype" w:eastAsia="Palatino Linotype" w:hAnsi="Palatino Linotype" w:cs="Palatino Linotype"/>
          <w:color w:val="000000"/>
        </w:rPr>
        <w:t>: Vía SAIMEX.</w:t>
      </w:r>
    </w:p>
    <w:p w14:paraId="21CA25BA"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14:paraId="63161102"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en fecha </w:t>
      </w:r>
      <w:r>
        <w:rPr>
          <w:rFonts w:ascii="Palatino Linotype" w:eastAsia="Palatino Linotype" w:hAnsi="Palatino Linotype" w:cs="Palatino Linotype"/>
          <w:b/>
          <w:color w:val="000000"/>
        </w:rPr>
        <w:t>catorce de junio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dio respuesta a las solicitudes de información </w:t>
      </w:r>
      <w:r>
        <w:rPr>
          <w:rFonts w:ascii="Palatino Linotype" w:eastAsia="Palatino Linotype" w:hAnsi="Palatino Linotype" w:cs="Palatino Linotype"/>
          <w:b/>
          <w:color w:val="000000"/>
        </w:rPr>
        <w:t xml:space="preserve">00055/TEZOYUCA/IP/2024 y 00054/TEZOYUCA/IP/2024, </w:t>
      </w:r>
      <w:r>
        <w:rPr>
          <w:rFonts w:ascii="Palatino Linotype" w:eastAsia="Palatino Linotype" w:hAnsi="Palatino Linotype" w:cs="Palatino Linotype"/>
          <w:color w:val="000000"/>
        </w:rPr>
        <w:t xml:space="preserve">con los siguientes documentos cuyo contenido grosso modo es: </w:t>
      </w:r>
    </w:p>
    <w:p w14:paraId="60975BA8" w14:textId="77777777" w:rsidR="00E52F46" w:rsidRDefault="00363413">
      <w:pPr>
        <w:pBdr>
          <w:top w:val="nil"/>
          <w:left w:val="nil"/>
          <w:bottom w:val="nil"/>
          <w:right w:val="nil"/>
          <w:between w:val="nil"/>
        </w:pBdr>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Solicitud 00055/TEZOYUCA/IP/2024:</w:t>
      </w:r>
      <w:r>
        <w:rPr>
          <w:rFonts w:ascii="Palatino Linotype" w:eastAsia="Palatino Linotype" w:hAnsi="Palatino Linotype" w:cs="Palatino Linotype"/>
          <w:color w:val="000000"/>
          <w:sz w:val="22"/>
          <w:szCs w:val="22"/>
        </w:rPr>
        <w:t xml:space="preserve"> </w:t>
      </w:r>
    </w:p>
    <w:tbl>
      <w:tblPr>
        <w:tblStyle w:val="a"/>
        <w:tblW w:w="10500" w:type="dxa"/>
        <w:jc w:val="center"/>
        <w:tblInd w:w="0" w:type="dxa"/>
        <w:tblLayout w:type="fixed"/>
        <w:tblLook w:val="0400" w:firstRow="0" w:lastRow="0" w:firstColumn="0" w:lastColumn="0" w:noHBand="0" w:noVBand="1"/>
      </w:tblPr>
      <w:tblGrid>
        <w:gridCol w:w="10500"/>
      </w:tblGrid>
      <w:tr w:rsidR="00E52F46" w14:paraId="193AE2EA" w14:textId="77777777">
        <w:trPr>
          <w:trHeight w:val="300"/>
          <w:jc w:val="center"/>
        </w:trPr>
        <w:tc>
          <w:tcPr>
            <w:tcW w:w="10500" w:type="dxa"/>
            <w:vAlign w:val="center"/>
          </w:tcPr>
          <w:p w14:paraId="29A42562" w14:textId="77777777" w:rsidR="00E52F46" w:rsidRDefault="00363413">
            <w:pPr>
              <w:ind w:right="-787"/>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Tezoyuca, México a 14 de Junio de 2024</w:t>
            </w:r>
          </w:p>
        </w:tc>
      </w:tr>
      <w:tr w:rsidR="00E52F46" w14:paraId="7CF9BAED" w14:textId="77777777">
        <w:trPr>
          <w:trHeight w:val="300"/>
          <w:jc w:val="center"/>
        </w:trPr>
        <w:tc>
          <w:tcPr>
            <w:tcW w:w="10500" w:type="dxa"/>
            <w:vAlign w:val="center"/>
          </w:tcPr>
          <w:p w14:paraId="031FFB56" w14:textId="77777777" w:rsidR="00E52F46" w:rsidRDefault="00363413">
            <w:pPr>
              <w:ind w:right="-787"/>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E52F46" w14:paraId="7196292A" w14:textId="77777777">
        <w:trPr>
          <w:trHeight w:val="300"/>
          <w:jc w:val="center"/>
        </w:trPr>
        <w:tc>
          <w:tcPr>
            <w:tcW w:w="10500" w:type="dxa"/>
            <w:vAlign w:val="center"/>
          </w:tcPr>
          <w:p w14:paraId="13850825" w14:textId="77777777" w:rsidR="00E52F46" w:rsidRDefault="00363413">
            <w:pPr>
              <w:ind w:right="-787"/>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00055/TEZOYUCA/IP/2024</w:t>
            </w:r>
          </w:p>
        </w:tc>
      </w:tr>
      <w:tr w:rsidR="00E52F46" w14:paraId="6C0A031A" w14:textId="77777777">
        <w:trPr>
          <w:trHeight w:val="450"/>
          <w:jc w:val="center"/>
        </w:trPr>
        <w:tc>
          <w:tcPr>
            <w:tcW w:w="10500" w:type="dxa"/>
            <w:vAlign w:val="center"/>
          </w:tcPr>
          <w:p w14:paraId="28B6132A" w14:textId="77777777" w:rsidR="00E52F46" w:rsidRDefault="00E52F46">
            <w:pPr>
              <w:ind w:right="-787"/>
              <w:jc w:val="right"/>
              <w:rPr>
                <w:rFonts w:ascii="Palatino Linotype" w:eastAsia="Palatino Linotype" w:hAnsi="Palatino Linotype" w:cs="Palatino Linotype"/>
                <w:i/>
                <w:sz w:val="22"/>
                <w:szCs w:val="22"/>
              </w:rPr>
            </w:pPr>
          </w:p>
        </w:tc>
      </w:tr>
      <w:tr w:rsidR="00E52F46" w14:paraId="674BDEC5" w14:textId="77777777">
        <w:trPr>
          <w:trHeight w:val="150"/>
          <w:jc w:val="center"/>
        </w:trPr>
        <w:tc>
          <w:tcPr>
            <w:tcW w:w="10500" w:type="dxa"/>
            <w:vAlign w:val="center"/>
          </w:tcPr>
          <w:p w14:paraId="5725FC46" w14:textId="77777777" w:rsidR="00E52F46" w:rsidRDefault="00E52F46">
            <w:pPr>
              <w:ind w:right="-787"/>
              <w:jc w:val="center"/>
              <w:rPr>
                <w:rFonts w:ascii="Palatino Linotype" w:eastAsia="Palatino Linotype" w:hAnsi="Palatino Linotype" w:cs="Palatino Linotype"/>
                <w:i/>
                <w:sz w:val="22"/>
                <w:szCs w:val="22"/>
              </w:rPr>
            </w:pPr>
          </w:p>
        </w:tc>
      </w:tr>
      <w:tr w:rsidR="00E52F46" w14:paraId="082E1D9D" w14:textId="77777777">
        <w:trPr>
          <w:trHeight w:val="375"/>
          <w:jc w:val="center"/>
        </w:trPr>
        <w:tc>
          <w:tcPr>
            <w:tcW w:w="10500" w:type="dxa"/>
            <w:vAlign w:val="center"/>
          </w:tcPr>
          <w:p w14:paraId="64AE277F" w14:textId="77777777" w:rsidR="00E52F46" w:rsidRDefault="00E52F46">
            <w:pPr>
              <w:ind w:right="-787"/>
              <w:rPr>
                <w:rFonts w:ascii="Palatino Linotype" w:eastAsia="Palatino Linotype" w:hAnsi="Palatino Linotype" w:cs="Palatino Linotype"/>
                <w:i/>
                <w:sz w:val="22"/>
                <w:szCs w:val="22"/>
              </w:rPr>
            </w:pPr>
          </w:p>
        </w:tc>
      </w:tr>
      <w:tr w:rsidR="00E52F46" w14:paraId="732722E3" w14:textId="77777777">
        <w:trPr>
          <w:trHeight w:val="150"/>
          <w:jc w:val="center"/>
        </w:trPr>
        <w:tc>
          <w:tcPr>
            <w:tcW w:w="10500" w:type="dxa"/>
            <w:vAlign w:val="center"/>
          </w:tcPr>
          <w:p w14:paraId="6C32C7C8" w14:textId="77777777" w:rsidR="00E52F46" w:rsidRDefault="00363413">
            <w:pPr>
              <w:ind w:right="-78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w:t>
            </w:r>
          </w:p>
        </w:tc>
      </w:tr>
      <w:tr w:rsidR="00E52F46" w14:paraId="20E320AA" w14:textId="77777777">
        <w:trPr>
          <w:trHeight w:val="375"/>
          <w:jc w:val="center"/>
        </w:trPr>
        <w:tc>
          <w:tcPr>
            <w:tcW w:w="10500" w:type="dxa"/>
            <w:vAlign w:val="center"/>
          </w:tcPr>
          <w:p w14:paraId="3F725993" w14:textId="77777777" w:rsidR="00E52F46" w:rsidRDefault="00E52F46">
            <w:pPr>
              <w:ind w:right="-787"/>
              <w:rPr>
                <w:rFonts w:ascii="Palatino Linotype" w:eastAsia="Palatino Linotype" w:hAnsi="Palatino Linotype" w:cs="Palatino Linotype"/>
                <w:i/>
                <w:sz w:val="22"/>
                <w:szCs w:val="22"/>
              </w:rPr>
            </w:pPr>
          </w:p>
        </w:tc>
      </w:tr>
      <w:tr w:rsidR="00E52F46" w14:paraId="0650C90C" w14:textId="77777777">
        <w:trPr>
          <w:trHeight w:val="150"/>
          <w:jc w:val="center"/>
        </w:trPr>
        <w:tc>
          <w:tcPr>
            <w:tcW w:w="10500" w:type="dxa"/>
            <w:vAlign w:val="center"/>
          </w:tcPr>
          <w:p w14:paraId="4468DF71" w14:textId="77777777" w:rsidR="00E52F46" w:rsidRDefault="00E52F46">
            <w:pPr>
              <w:ind w:right="-787"/>
              <w:jc w:val="center"/>
              <w:rPr>
                <w:rFonts w:ascii="Palatino Linotype" w:eastAsia="Palatino Linotype" w:hAnsi="Palatino Linotype" w:cs="Palatino Linotype"/>
                <w:i/>
                <w:sz w:val="22"/>
                <w:szCs w:val="22"/>
              </w:rPr>
            </w:pPr>
          </w:p>
        </w:tc>
      </w:tr>
      <w:tr w:rsidR="00E52F46" w14:paraId="26743F0C" w14:textId="77777777">
        <w:trPr>
          <w:trHeight w:val="150"/>
          <w:jc w:val="center"/>
        </w:trPr>
        <w:tc>
          <w:tcPr>
            <w:tcW w:w="10500" w:type="dxa"/>
            <w:vAlign w:val="center"/>
          </w:tcPr>
          <w:p w14:paraId="643D806A" w14:textId="77777777" w:rsidR="00E52F46" w:rsidRDefault="00E52F46">
            <w:pPr>
              <w:ind w:right="-787"/>
              <w:rPr>
                <w:rFonts w:ascii="Palatino Linotype" w:eastAsia="Palatino Linotype" w:hAnsi="Palatino Linotype" w:cs="Palatino Linotype"/>
                <w:i/>
                <w:sz w:val="22"/>
                <w:szCs w:val="22"/>
              </w:rPr>
            </w:pPr>
          </w:p>
        </w:tc>
      </w:tr>
      <w:tr w:rsidR="00E52F46" w14:paraId="1CF387D2" w14:textId="77777777">
        <w:trPr>
          <w:trHeight w:val="150"/>
          <w:jc w:val="center"/>
        </w:trPr>
        <w:tc>
          <w:tcPr>
            <w:tcW w:w="10500" w:type="dxa"/>
            <w:vAlign w:val="center"/>
          </w:tcPr>
          <w:p w14:paraId="54A36F59" w14:textId="77777777" w:rsidR="00E52F46" w:rsidRDefault="00363413">
            <w:pPr>
              <w:ind w:right="-78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E52F46" w14:paraId="47BFABA4" w14:textId="77777777">
        <w:trPr>
          <w:trHeight w:val="225"/>
          <w:jc w:val="center"/>
        </w:trPr>
        <w:tc>
          <w:tcPr>
            <w:tcW w:w="10500" w:type="dxa"/>
            <w:vAlign w:val="center"/>
          </w:tcPr>
          <w:p w14:paraId="45AE38A3" w14:textId="77777777" w:rsidR="00E52F46" w:rsidRDefault="00E52F46">
            <w:pPr>
              <w:ind w:right="-787"/>
              <w:rPr>
                <w:rFonts w:ascii="Palatino Linotype" w:eastAsia="Palatino Linotype" w:hAnsi="Palatino Linotype" w:cs="Palatino Linotype"/>
                <w:i/>
                <w:sz w:val="22"/>
                <w:szCs w:val="22"/>
              </w:rPr>
            </w:pPr>
          </w:p>
        </w:tc>
      </w:tr>
      <w:tr w:rsidR="00E52F46" w14:paraId="735D427F" w14:textId="77777777">
        <w:trPr>
          <w:trHeight w:val="150"/>
          <w:jc w:val="center"/>
        </w:trPr>
        <w:tc>
          <w:tcPr>
            <w:tcW w:w="10500" w:type="dxa"/>
            <w:vAlign w:val="center"/>
          </w:tcPr>
          <w:p w14:paraId="1F289809" w14:textId="77777777" w:rsidR="00E52F46" w:rsidRDefault="00363413">
            <w:pPr>
              <w:ind w:right="-78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Lic. María Concepción Cruz Villafaña</w:t>
            </w:r>
          </w:p>
        </w:tc>
      </w:tr>
    </w:tbl>
    <w:p w14:paraId="5BCCE8F0" w14:textId="77777777" w:rsidR="00E52F46" w:rsidRDefault="00E52F46">
      <w:pPr>
        <w:pBdr>
          <w:top w:val="nil"/>
          <w:left w:val="nil"/>
          <w:bottom w:val="nil"/>
          <w:right w:val="nil"/>
          <w:between w:val="nil"/>
        </w:pBdr>
        <w:ind w:left="1134" w:right="-787"/>
        <w:jc w:val="both"/>
        <w:rPr>
          <w:rFonts w:ascii="Palatino Linotype" w:eastAsia="Palatino Linotype" w:hAnsi="Palatino Linotype" w:cs="Palatino Linotype"/>
          <w:color w:val="000000"/>
          <w:sz w:val="22"/>
          <w:szCs w:val="22"/>
        </w:rPr>
      </w:pPr>
    </w:p>
    <w:p w14:paraId="5F11211E" w14:textId="77777777" w:rsidR="00E52F46" w:rsidRDefault="00363413">
      <w:pPr>
        <w:pBdr>
          <w:top w:val="nil"/>
          <w:left w:val="nil"/>
          <w:bottom w:val="nil"/>
          <w:right w:val="nil"/>
          <w:between w:val="nil"/>
        </w:pBdr>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Solicitud 00054/TEZOYUCA/IP/2024</w:t>
      </w:r>
      <w:r>
        <w:rPr>
          <w:rFonts w:ascii="Palatino Linotype" w:eastAsia="Palatino Linotype" w:hAnsi="Palatino Linotype" w:cs="Palatino Linotype"/>
          <w:color w:val="000000"/>
          <w:sz w:val="22"/>
          <w:szCs w:val="22"/>
        </w:rPr>
        <w:t>:</w:t>
      </w:r>
    </w:p>
    <w:tbl>
      <w:tblPr>
        <w:tblStyle w:val="a0"/>
        <w:tblW w:w="10500" w:type="dxa"/>
        <w:jc w:val="center"/>
        <w:tblInd w:w="0" w:type="dxa"/>
        <w:tblLayout w:type="fixed"/>
        <w:tblLook w:val="0400" w:firstRow="0" w:lastRow="0" w:firstColumn="0" w:lastColumn="0" w:noHBand="0" w:noVBand="1"/>
      </w:tblPr>
      <w:tblGrid>
        <w:gridCol w:w="10500"/>
      </w:tblGrid>
      <w:tr w:rsidR="00E52F46" w14:paraId="6EA90A8F" w14:textId="77777777">
        <w:trPr>
          <w:trHeight w:val="300"/>
          <w:jc w:val="center"/>
        </w:trPr>
        <w:tc>
          <w:tcPr>
            <w:tcW w:w="10500" w:type="dxa"/>
            <w:vAlign w:val="center"/>
          </w:tcPr>
          <w:p w14:paraId="2F306540" w14:textId="77777777" w:rsidR="00E52F46" w:rsidRDefault="00363413">
            <w:pPr>
              <w:ind w:right="-787"/>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Tezoyuca, México a 14 de Junio de 2024</w:t>
            </w:r>
          </w:p>
        </w:tc>
      </w:tr>
      <w:tr w:rsidR="00E52F46" w14:paraId="36966A44" w14:textId="77777777">
        <w:trPr>
          <w:trHeight w:val="300"/>
          <w:jc w:val="center"/>
        </w:trPr>
        <w:tc>
          <w:tcPr>
            <w:tcW w:w="10500" w:type="dxa"/>
            <w:vAlign w:val="center"/>
          </w:tcPr>
          <w:p w14:paraId="660706A2" w14:textId="77777777" w:rsidR="00E52F46" w:rsidRDefault="00363413">
            <w:pPr>
              <w:ind w:right="-787"/>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 del solicitante: C. Solicitante</w:t>
            </w:r>
          </w:p>
        </w:tc>
      </w:tr>
      <w:tr w:rsidR="00E52F46" w14:paraId="5A383A9C" w14:textId="77777777">
        <w:trPr>
          <w:trHeight w:val="300"/>
          <w:jc w:val="center"/>
        </w:trPr>
        <w:tc>
          <w:tcPr>
            <w:tcW w:w="10500" w:type="dxa"/>
            <w:vAlign w:val="center"/>
          </w:tcPr>
          <w:p w14:paraId="43777E61" w14:textId="77777777" w:rsidR="00E52F46" w:rsidRDefault="00363413">
            <w:pPr>
              <w:ind w:right="-787"/>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Folio de la solicitud: 00054/TEZOYUCA/IP/2024</w:t>
            </w:r>
          </w:p>
        </w:tc>
      </w:tr>
      <w:tr w:rsidR="00E52F46" w14:paraId="78895BFD" w14:textId="77777777">
        <w:trPr>
          <w:trHeight w:val="450"/>
          <w:jc w:val="center"/>
        </w:trPr>
        <w:tc>
          <w:tcPr>
            <w:tcW w:w="10500" w:type="dxa"/>
            <w:vAlign w:val="center"/>
          </w:tcPr>
          <w:p w14:paraId="3A2D57AD" w14:textId="77777777" w:rsidR="00E52F46" w:rsidRDefault="00E52F46">
            <w:pPr>
              <w:ind w:right="-787"/>
              <w:jc w:val="right"/>
              <w:rPr>
                <w:rFonts w:ascii="Palatino Linotype" w:eastAsia="Palatino Linotype" w:hAnsi="Palatino Linotype" w:cs="Palatino Linotype"/>
                <w:sz w:val="22"/>
                <w:szCs w:val="22"/>
              </w:rPr>
            </w:pPr>
          </w:p>
        </w:tc>
      </w:tr>
      <w:tr w:rsidR="00E52F46" w14:paraId="7C39C084" w14:textId="77777777">
        <w:trPr>
          <w:trHeight w:val="150"/>
          <w:jc w:val="center"/>
        </w:trPr>
        <w:tc>
          <w:tcPr>
            <w:tcW w:w="10500" w:type="dxa"/>
            <w:vAlign w:val="center"/>
          </w:tcPr>
          <w:p w14:paraId="489AF870" w14:textId="77777777" w:rsidR="00E52F46" w:rsidRDefault="00E52F46">
            <w:pPr>
              <w:ind w:right="-787"/>
              <w:jc w:val="center"/>
              <w:rPr>
                <w:rFonts w:ascii="Palatino Linotype" w:eastAsia="Palatino Linotype" w:hAnsi="Palatino Linotype" w:cs="Palatino Linotype"/>
                <w:sz w:val="22"/>
                <w:szCs w:val="22"/>
              </w:rPr>
            </w:pPr>
          </w:p>
        </w:tc>
      </w:tr>
      <w:tr w:rsidR="00E52F46" w14:paraId="4197C346" w14:textId="77777777">
        <w:trPr>
          <w:trHeight w:val="375"/>
          <w:jc w:val="center"/>
        </w:trPr>
        <w:tc>
          <w:tcPr>
            <w:tcW w:w="10500" w:type="dxa"/>
            <w:vAlign w:val="center"/>
          </w:tcPr>
          <w:p w14:paraId="4E9B945E" w14:textId="77777777" w:rsidR="00E52F46" w:rsidRDefault="00E52F46">
            <w:pPr>
              <w:ind w:right="-787"/>
              <w:rPr>
                <w:rFonts w:ascii="Palatino Linotype" w:eastAsia="Palatino Linotype" w:hAnsi="Palatino Linotype" w:cs="Palatino Linotype"/>
                <w:sz w:val="22"/>
                <w:szCs w:val="22"/>
              </w:rPr>
            </w:pPr>
          </w:p>
        </w:tc>
      </w:tr>
      <w:tr w:rsidR="00E52F46" w14:paraId="70B20936" w14:textId="77777777">
        <w:trPr>
          <w:trHeight w:val="150"/>
          <w:jc w:val="center"/>
        </w:trPr>
        <w:tc>
          <w:tcPr>
            <w:tcW w:w="10500" w:type="dxa"/>
            <w:vAlign w:val="center"/>
          </w:tcPr>
          <w:p w14:paraId="762B2832" w14:textId="77777777" w:rsidR="00E52F46" w:rsidRDefault="00363413">
            <w:pPr>
              <w:ind w:right="-78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Suscribe Lic. Maria Concepcion Cruz Villafaña en mi carácter de Directora de la Unidad de Transparencia del H. Ayuntamiento de Tezoyuca, Estado de México. le informo que esta Unidad Realizo lo pertinente para dar una debida contestación en tiempo y en forma pero hasta el momento su solicitud sigue en tramite. sin mas por el momento me despido de usted quedando a sus ordenes para cualquier duda o aclaración.</w:t>
            </w:r>
          </w:p>
        </w:tc>
      </w:tr>
      <w:tr w:rsidR="00E52F46" w14:paraId="34E78A78" w14:textId="77777777">
        <w:trPr>
          <w:trHeight w:val="375"/>
          <w:jc w:val="center"/>
        </w:trPr>
        <w:tc>
          <w:tcPr>
            <w:tcW w:w="10500" w:type="dxa"/>
            <w:vAlign w:val="center"/>
          </w:tcPr>
          <w:p w14:paraId="791850FA" w14:textId="77777777" w:rsidR="00E52F46" w:rsidRDefault="00E52F46">
            <w:pPr>
              <w:ind w:right="-787"/>
              <w:rPr>
                <w:rFonts w:ascii="Palatino Linotype" w:eastAsia="Palatino Linotype" w:hAnsi="Palatino Linotype" w:cs="Palatino Linotype"/>
                <w:sz w:val="22"/>
                <w:szCs w:val="22"/>
              </w:rPr>
            </w:pPr>
          </w:p>
        </w:tc>
      </w:tr>
      <w:tr w:rsidR="00E52F46" w14:paraId="7A70E56C" w14:textId="77777777">
        <w:trPr>
          <w:trHeight w:val="150"/>
          <w:jc w:val="center"/>
        </w:trPr>
        <w:tc>
          <w:tcPr>
            <w:tcW w:w="10500" w:type="dxa"/>
            <w:vAlign w:val="center"/>
          </w:tcPr>
          <w:p w14:paraId="31B7FCFB" w14:textId="77777777" w:rsidR="00E52F46" w:rsidRDefault="00E52F46">
            <w:pPr>
              <w:ind w:right="-787"/>
              <w:jc w:val="center"/>
              <w:rPr>
                <w:rFonts w:ascii="Palatino Linotype" w:eastAsia="Palatino Linotype" w:hAnsi="Palatino Linotype" w:cs="Palatino Linotype"/>
                <w:sz w:val="22"/>
                <w:szCs w:val="22"/>
              </w:rPr>
            </w:pPr>
          </w:p>
        </w:tc>
      </w:tr>
      <w:tr w:rsidR="00E52F46" w14:paraId="209FF7DA" w14:textId="77777777">
        <w:trPr>
          <w:trHeight w:val="150"/>
          <w:jc w:val="center"/>
        </w:trPr>
        <w:tc>
          <w:tcPr>
            <w:tcW w:w="10500" w:type="dxa"/>
            <w:vAlign w:val="center"/>
          </w:tcPr>
          <w:p w14:paraId="581E61EF" w14:textId="77777777" w:rsidR="00E52F46" w:rsidRDefault="00E52F46">
            <w:pPr>
              <w:ind w:right="-787"/>
              <w:rPr>
                <w:rFonts w:ascii="Palatino Linotype" w:eastAsia="Palatino Linotype" w:hAnsi="Palatino Linotype" w:cs="Palatino Linotype"/>
                <w:sz w:val="22"/>
                <w:szCs w:val="22"/>
              </w:rPr>
            </w:pPr>
          </w:p>
        </w:tc>
      </w:tr>
      <w:tr w:rsidR="00E52F46" w14:paraId="36A94BBC" w14:textId="77777777">
        <w:trPr>
          <w:trHeight w:val="150"/>
          <w:jc w:val="center"/>
        </w:trPr>
        <w:tc>
          <w:tcPr>
            <w:tcW w:w="10500" w:type="dxa"/>
            <w:vAlign w:val="center"/>
          </w:tcPr>
          <w:p w14:paraId="33F41A7F" w14:textId="77777777" w:rsidR="00E52F46" w:rsidRDefault="00363413">
            <w:pPr>
              <w:ind w:right="-78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ATENTAMENTE</w:t>
            </w:r>
          </w:p>
        </w:tc>
      </w:tr>
      <w:tr w:rsidR="00E52F46" w14:paraId="6B0B8E30" w14:textId="77777777">
        <w:trPr>
          <w:trHeight w:val="225"/>
          <w:jc w:val="center"/>
        </w:trPr>
        <w:tc>
          <w:tcPr>
            <w:tcW w:w="10500" w:type="dxa"/>
            <w:vAlign w:val="center"/>
          </w:tcPr>
          <w:p w14:paraId="17CB3DB9" w14:textId="77777777" w:rsidR="00E52F46" w:rsidRDefault="00E52F46">
            <w:pPr>
              <w:ind w:right="-787"/>
              <w:rPr>
                <w:rFonts w:ascii="Palatino Linotype" w:eastAsia="Palatino Linotype" w:hAnsi="Palatino Linotype" w:cs="Palatino Linotype"/>
                <w:sz w:val="22"/>
                <w:szCs w:val="22"/>
              </w:rPr>
            </w:pPr>
          </w:p>
        </w:tc>
      </w:tr>
      <w:tr w:rsidR="00E52F46" w14:paraId="747EE95B" w14:textId="77777777">
        <w:trPr>
          <w:trHeight w:val="150"/>
          <w:jc w:val="center"/>
        </w:trPr>
        <w:tc>
          <w:tcPr>
            <w:tcW w:w="10500" w:type="dxa"/>
            <w:vAlign w:val="center"/>
          </w:tcPr>
          <w:p w14:paraId="355AB92E" w14:textId="77777777" w:rsidR="00E52F46" w:rsidRDefault="00363413">
            <w:pPr>
              <w:ind w:right="-78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Lic. María Concepción Cruz Villafaña</w:t>
            </w:r>
          </w:p>
        </w:tc>
      </w:tr>
    </w:tbl>
    <w:p w14:paraId="43CB4B7C" w14:textId="77777777" w:rsidR="00E52F46" w:rsidRDefault="00E52F46">
      <w:pPr>
        <w:pBdr>
          <w:top w:val="nil"/>
          <w:left w:val="nil"/>
          <w:bottom w:val="nil"/>
          <w:right w:val="nil"/>
          <w:between w:val="nil"/>
        </w:pBdr>
        <w:ind w:left="1134" w:right="-787"/>
        <w:jc w:val="both"/>
        <w:rPr>
          <w:rFonts w:ascii="Palatino Linotype" w:eastAsia="Palatino Linotype" w:hAnsi="Palatino Linotype" w:cs="Palatino Linotype"/>
        </w:rPr>
      </w:pPr>
    </w:p>
    <w:p w14:paraId="691B9E99" w14:textId="77777777" w:rsidR="00E52F46" w:rsidRDefault="00E52F46">
      <w:pPr>
        <w:pBdr>
          <w:top w:val="nil"/>
          <w:left w:val="nil"/>
          <w:bottom w:val="nil"/>
          <w:right w:val="nil"/>
          <w:between w:val="nil"/>
        </w:pBdr>
        <w:ind w:left="1134" w:right="-787"/>
        <w:jc w:val="both"/>
        <w:rPr>
          <w:rFonts w:ascii="Palatino Linotype" w:eastAsia="Palatino Linotype" w:hAnsi="Palatino Linotype" w:cs="Palatino Linotype"/>
        </w:rPr>
      </w:pPr>
    </w:p>
    <w:p w14:paraId="63A04984"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respuestas entregadas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a cada una de las solicitudes de  información el entonces </w:t>
      </w:r>
      <w:r>
        <w:rPr>
          <w:rFonts w:ascii="Palatino Linotype" w:eastAsia="Palatino Linotype" w:hAnsi="Palatino Linotype" w:cs="Palatino Linotype"/>
          <w:b/>
          <w:color w:val="000000"/>
        </w:rPr>
        <w:t xml:space="preserve">SOLICITANTE </w:t>
      </w:r>
      <w:r>
        <w:rPr>
          <w:rFonts w:ascii="Palatino Linotype" w:eastAsia="Palatino Linotype" w:hAnsi="Palatino Linotype" w:cs="Palatino Linotype"/>
          <w:color w:val="000000"/>
        </w:rPr>
        <w:t xml:space="preserve">interpuso los recursos de revisión bajo los siguientes términos. </w:t>
      </w:r>
    </w:p>
    <w:p w14:paraId="17314969" w14:textId="77777777" w:rsidR="00E52F46" w:rsidRDefault="00363413">
      <w:p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Recurso de Revisión 03788/INFOEM/IP/RR/2024:</w:t>
      </w:r>
    </w:p>
    <w:p w14:paraId="58DA0FAB" w14:textId="77777777" w:rsidR="00E52F46" w:rsidRDefault="00363413">
      <w:pPr>
        <w:numPr>
          <w:ilvl w:val="0"/>
          <w:numId w:val="1"/>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“La respuesta a la solicitud de información 00055/TEZOYUCA/IP/2024, ya que no es clara ni precisa..”</w:t>
      </w:r>
    </w:p>
    <w:p w14:paraId="4097FABF" w14:textId="77777777" w:rsidR="00E52F46" w:rsidRDefault="00363413">
      <w:pPr>
        <w:numPr>
          <w:ilvl w:val="0"/>
          <w:numId w:val="1"/>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“La respuesta a la solicitud de información 00055/TEZOYUCA/IP/2024, ya que no es clara ni precisa.”</w:t>
      </w:r>
    </w:p>
    <w:p w14:paraId="217B533F" w14:textId="77777777" w:rsidR="00E52F46" w:rsidRDefault="00E52F46">
      <w:p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p>
    <w:p w14:paraId="133553E8" w14:textId="77777777" w:rsidR="00E52F46" w:rsidRDefault="00363413">
      <w:p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Recurso de Revisión 03789INFOEM/IP/RR/2024: </w:t>
      </w:r>
    </w:p>
    <w:p w14:paraId="7FE0B1B6" w14:textId="77777777" w:rsidR="00E52F46" w:rsidRDefault="00363413">
      <w:pPr>
        <w:numPr>
          <w:ilvl w:val="0"/>
          <w:numId w:val="3"/>
        </w:numPr>
        <w:pBdr>
          <w:top w:val="nil"/>
          <w:left w:val="nil"/>
          <w:bottom w:val="nil"/>
          <w:right w:val="nil"/>
          <w:between w:val="nil"/>
        </w:pBdr>
        <w:spacing w:line="360" w:lineRule="auto"/>
        <w:ind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i/>
          <w:color w:val="000000"/>
          <w:sz w:val="22"/>
          <w:szCs w:val="22"/>
        </w:rPr>
        <w:t xml:space="preserve"> “La falta de respuesta a la solicitud 00054/TEZOYUCA/IP/2024, misma que debi´haber sido otorgada a mas tardar el 19 de junio de 2024”</w:t>
      </w:r>
      <w:r>
        <w:rPr>
          <w:rFonts w:ascii="Palatino Linotype" w:eastAsia="Palatino Linotype" w:hAnsi="Palatino Linotype" w:cs="Palatino Linotype"/>
          <w:b/>
          <w:i/>
          <w:color w:val="000000"/>
          <w:sz w:val="22"/>
          <w:szCs w:val="22"/>
        </w:rPr>
        <w:t xml:space="preserve"> </w:t>
      </w:r>
    </w:p>
    <w:p w14:paraId="6A0E896D" w14:textId="77777777" w:rsidR="00E52F46" w:rsidRDefault="00363413">
      <w:pPr>
        <w:numPr>
          <w:ilvl w:val="0"/>
          <w:numId w:val="3"/>
        </w:numPr>
        <w:pBdr>
          <w:top w:val="nil"/>
          <w:left w:val="nil"/>
          <w:bottom w:val="nil"/>
          <w:right w:val="nil"/>
          <w:between w:val="nil"/>
        </w:pBdr>
        <w:spacing w:line="360" w:lineRule="auto"/>
        <w:ind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i/>
          <w:color w:val="000000"/>
          <w:sz w:val="22"/>
          <w:szCs w:val="22"/>
        </w:rPr>
        <w:t xml:space="preserve"> “La falta de respuesta a la solicitud 00054/TEZOYUCA/IP/2024, misma que debi´haber sido otorgada a mas tardar el 19 de junio de 2024.</w:t>
      </w:r>
      <w:r>
        <w:rPr>
          <w:rFonts w:ascii="Palatino Linotype" w:eastAsia="Palatino Linotype" w:hAnsi="Palatino Linotype" w:cs="Palatino Linotype"/>
          <w:b/>
          <w:i/>
          <w:color w:val="000000"/>
          <w:sz w:val="22"/>
          <w:szCs w:val="22"/>
        </w:rPr>
        <w:t>”</w:t>
      </w:r>
    </w:p>
    <w:p w14:paraId="4ABB139B"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b/>
          <w:i/>
          <w:color w:val="000000"/>
        </w:rPr>
      </w:pPr>
    </w:p>
    <w:p w14:paraId="05EC0890"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Consecutivamente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fueron turnados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las Comisionadas</w:t>
      </w:r>
      <w:r>
        <w:rPr>
          <w:rFonts w:ascii="Palatino Linotype" w:eastAsia="Palatino Linotype" w:hAnsi="Palatino Linotype" w:cs="Palatino Linotype"/>
          <w:b/>
          <w:color w:val="000000"/>
        </w:rPr>
        <w:t xml:space="preserve"> María del Rosario Mejía Ayala y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Guadalupe Ramírez Peña,</w:t>
      </w:r>
      <w:r>
        <w:rPr>
          <w:rFonts w:ascii="Palatino Linotype" w:eastAsia="Palatino Linotype" w:hAnsi="Palatino Linotype" w:cs="Palatino Linotype"/>
          <w:color w:val="000000"/>
        </w:rPr>
        <w:t xml:space="preserve"> respectivamente,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4B113B54"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F1DD623"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L</w:t>
      </w:r>
      <w:r>
        <w:rPr>
          <w:rFonts w:ascii="Palatino Linotype" w:eastAsia="Palatino Linotype" w:hAnsi="Palatino Linotype" w:cs="Palatino Linotype"/>
        </w:rPr>
        <w:t>a</w:t>
      </w:r>
      <w:r>
        <w:rPr>
          <w:rFonts w:ascii="Palatino Linotype" w:eastAsia="Palatino Linotype" w:hAnsi="Palatino Linotype" w:cs="Palatino Linotype"/>
          <w:color w:val="000000"/>
        </w:rPr>
        <w:t>s Comisionad</w:t>
      </w:r>
      <w:r>
        <w:rPr>
          <w:rFonts w:ascii="Palatino Linotype" w:eastAsia="Palatino Linotype" w:hAnsi="Palatino Linotype" w:cs="Palatino Linotype"/>
        </w:rPr>
        <w:t>a</w:t>
      </w:r>
      <w:r>
        <w:rPr>
          <w:rFonts w:ascii="Palatino Linotype" w:eastAsia="Palatino Linotype" w:hAnsi="Palatino Linotype" w:cs="Palatino Linotype"/>
          <w:color w:val="000000"/>
        </w:rPr>
        <w:t xml:space="preserve">s Ponentes de origen con fundamento en lo dispuesto por el artículo 185 fracción II de la ley de la materia, a través de los </w:t>
      </w:r>
      <w:r>
        <w:rPr>
          <w:rFonts w:ascii="Palatino Linotype" w:eastAsia="Palatino Linotype" w:hAnsi="Palatino Linotype" w:cs="Palatino Linotype"/>
          <w:b/>
          <w:color w:val="000000"/>
        </w:rPr>
        <w:t xml:space="preserve">acuerdos de admisión </w:t>
      </w:r>
      <w:r>
        <w:rPr>
          <w:rFonts w:ascii="Palatino Linotype" w:eastAsia="Palatino Linotype" w:hAnsi="Palatino Linotype" w:cs="Palatino Linotype"/>
          <w:color w:val="000000"/>
        </w:rPr>
        <w:t xml:space="preserve">de fechas </w:t>
      </w:r>
      <w:r>
        <w:rPr>
          <w:rFonts w:ascii="Palatino Linotype" w:eastAsia="Palatino Linotype" w:hAnsi="Palatino Linotype" w:cs="Palatino Linotype"/>
          <w:b/>
          <w:color w:val="000000"/>
        </w:rPr>
        <w:t>veinticuatro y veinticinco de junio de dos mil veinticuatro</w:t>
      </w:r>
      <w:r>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66ACE7A3"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123F39D9"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Posteriormente el Pleno de este Órgano Autónomo, en la</w:t>
      </w:r>
      <w:r>
        <w:rPr>
          <w:rFonts w:ascii="Palatino Linotype" w:eastAsia="Palatino Linotype" w:hAnsi="Palatino Linotype" w:cs="Palatino Linotype"/>
          <w:b/>
          <w:color w:val="000000"/>
        </w:rPr>
        <w:t xml:space="preserve"> Vigésima Cuarta Sesión Ordinaria </w:t>
      </w:r>
      <w:r>
        <w:rPr>
          <w:rFonts w:ascii="Palatino Linotype" w:eastAsia="Palatino Linotype" w:hAnsi="Palatino Linotype" w:cs="Palatino Linotype"/>
          <w:color w:val="000000"/>
        </w:rPr>
        <w:t>de fecha</w:t>
      </w:r>
      <w:r>
        <w:rPr>
          <w:rFonts w:ascii="Palatino Linotype" w:eastAsia="Palatino Linotype" w:hAnsi="Palatino Linotype" w:cs="Palatino Linotype"/>
          <w:b/>
          <w:color w:val="000000"/>
        </w:rPr>
        <w:t xml:space="preserve"> tres de julio de dos mil veinticuatro</w:t>
      </w:r>
      <w:r>
        <w:rPr>
          <w:rFonts w:ascii="Palatino Linotype" w:eastAsia="Palatino Linotype" w:hAnsi="Palatino Linotype" w:cs="Palatino Linotype"/>
          <w:color w:val="000000"/>
        </w:rPr>
        <w:t xml:space="preserve">; ordenó la acumulación de los recursos de revisión de mérito, a efecto de que la Ponencia de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formulará</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que señala:</w:t>
      </w:r>
    </w:p>
    <w:p w14:paraId="1E9B074F" w14:textId="77777777" w:rsidR="00E52F46" w:rsidRDefault="00363413">
      <w:pPr>
        <w:pBdr>
          <w:top w:val="nil"/>
          <w:left w:val="nil"/>
          <w:bottom w:val="nil"/>
          <w:right w:val="nil"/>
          <w:between w:val="nil"/>
        </w:pBdr>
        <w:tabs>
          <w:tab w:val="left" w:pos="1134"/>
        </w:tabs>
        <w:ind w:left="1134"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“ONCE.</w:t>
      </w:r>
      <w:r>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14:paraId="3C74347F" w14:textId="77777777" w:rsidR="00E52F46" w:rsidRDefault="00363413">
      <w:pPr>
        <w:pBdr>
          <w:top w:val="nil"/>
          <w:left w:val="nil"/>
          <w:bottom w:val="nil"/>
          <w:right w:val="nil"/>
          <w:between w:val="nil"/>
        </w:pBdr>
        <w:tabs>
          <w:tab w:val="left" w:pos="1134"/>
        </w:tabs>
        <w:ind w:left="1134"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p>
    <w:p w14:paraId="510EBAF6" w14:textId="77777777" w:rsidR="00E52F46" w:rsidRDefault="00363413">
      <w:pPr>
        <w:pBdr>
          <w:top w:val="nil"/>
          <w:left w:val="nil"/>
          <w:bottom w:val="nil"/>
          <w:right w:val="nil"/>
          <w:between w:val="nil"/>
        </w:pBdr>
        <w:tabs>
          <w:tab w:val="left" w:pos="1134"/>
        </w:tabs>
        <w:ind w:left="1134"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 Las partes o los actos impugnados sean iguales</w:t>
      </w:r>
    </w:p>
    <w:p w14:paraId="3D274C81" w14:textId="77777777" w:rsidR="00E52F46" w:rsidRDefault="00363413">
      <w:pPr>
        <w:pBdr>
          <w:top w:val="nil"/>
          <w:left w:val="nil"/>
          <w:bottom w:val="nil"/>
          <w:right w:val="nil"/>
          <w:between w:val="nil"/>
        </w:pBdr>
        <w:tabs>
          <w:tab w:val="left" w:pos="1134"/>
        </w:tabs>
        <w:ind w:left="1134"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Cuando se trate del mismo solicitante, el mismo SUJETO OBLIGADO, aunque se trate de solicitudes diversas;</w:t>
      </w:r>
    </w:p>
    <w:p w14:paraId="27AEC23D" w14:textId="77777777" w:rsidR="00E52F46" w:rsidRDefault="00363413">
      <w:pPr>
        <w:pBdr>
          <w:top w:val="nil"/>
          <w:left w:val="nil"/>
          <w:bottom w:val="nil"/>
          <w:right w:val="nil"/>
          <w:between w:val="nil"/>
        </w:pBdr>
        <w:tabs>
          <w:tab w:val="left" w:pos="1134"/>
        </w:tabs>
        <w:ind w:left="1134"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65E5BAC" w14:textId="77777777" w:rsidR="00E52F46" w:rsidRDefault="00363413">
      <w:pPr>
        <w:pBdr>
          <w:top w:val="nil"/>
          <w:left w:val="nil"/>
          <w:bottom w:val="nil"/>
          <w:right w:val="nil"/>
          <w:between w:val="nil"/>
        </w:pBdr>
        <w:tabs>
          <w:tab w:val="left" w:pos="1134"/>
        </w:tabs>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1CEFDA8F" w14:textId="77777777" w:rsidR="00E52F46" w:rsidRDefault="00E52F46">
      <w:pPr>
        <w:pBdr>
          <w:top w:val="nil"/>
          <w:left w:val="nil"/>
          <w:bottom w:val="nil"/>
          <w:right w:val="nil"/>
          <w:between w:val="nil"/>
        </w:pBdr>
        <w:tabs>
          <w:tab w:val="left" w:pos="1134"/>
        </w:tabs>
        <w:ind w:left="1134" w:right="-787"/>
        <w:jc w:val="both"/>
        <w:rPr>
          <w:rFonts w:ascii="Palatino Linotype" w:eastAsia="Palatino Linotype" w:hAnsi="Palatino Linotype" w:cs="Palatino Linotype"/>
          <w:color w:val="000000"/>
        </w:rPr>
      </w:pPr>
    </w:p>
    <w:p w14:paraId="38A06A34"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w:t>
      </w:r>
      <w:r>
        <w:rPr>
          <w:rFonts w:ascii="Palatino Linotype" w:eastAsia="Palatino Linotype" w:hAnsi="Palatino Linotype" w:cs="Palatino Linotype"/>
        </w:rPr>
        <w:t>realizará</w:t>
      </w:r>
      <w:r>
        <w:rPr>
          <w:rFonts w:ascii="Palatino Linotype" w:eastAsia="Palatino Linotype" w:hAnsi="Palatino Linotype" w:cs="Palatino Linotype"/>
          <w:color w:val="000000"/>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D1726F3" w14:textId="77777777" w:rsidR="00E52F46" w:rsidRDefault="00363413">
      <w:pPr>
        <w:pBdr>
          <w:top w:val="nil"/>
          <w:left w:val="nil"/>
          <w:bottom w:val="nil"/>
          <w:right w:val="nil"/>
          <w:between w:val="nil"/>
        </w:pBdr>
        <w:ind w:left="1134"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Código de Procedimientos Administrativos del Estado de México.</w:t>
      </w:r>
    </w:p>
    <w:p w14:paraId="7C3E4537" w14:textId="77777777" w:rsidR="00E52F46" w:rsidRDefault="00363413">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18.-</w:t>
      </w:r>
      <w:r>
        <w:rPr>
          <w:rFonts w:ascii="Palatino Linotype" w:eastAsia="Palatino Linotype" w:hAnsi="Palatino Linotype" w:cs="Palatino Linotype"/>
          <w:i/>
          <w:color w:val="000000"/>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7BF24271" w14:textId="77777777" w:rsidR="00E52F46" w:rsidRDefault="00363413">
      <w:pPr>
        <w:pBdr>
          <w:top w:val="nil"/>
          <w:left w:val="nil"/>
          <w:bottom w:val="nil"/>
          <w:right w:val="nil"/>
          <w:between w:val="nil"/>
        </w:pBdr>
        <w:ind w:left="1134"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de Transparencia y Acceso a la Información Pública del Estado de México y Municipios</w:t>
      </w:r>
    </w:p>
    <w:p w14:paraId="17EBE5CF" w14:textId="77777777" w:rsidR="00E52F46" w:rsidRDefault="00363413">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195.</w:t>
      </w:r>
      <w:r>
        <w:rPr>
          <w:rFonts w:ascii="Palatino Linotype" w:eastAsia="Palatino Linotype" w:hAnsi="Palatino Linotype" w:cs="Palatino Linotype"/>
          <w:i/>
          <w:color w:val="000000"/>
          <w:sz w:val="22"/>
          <w:szCs w:val="22"/>
        </w:rPr>
        <w:t xml:space="preserve"> En la tramitación del recurso de revisión se aplicarán supletoriamente las disposiciones contenidas en el Código de Procedimientos Administrativos del Estado de México.”</w:t>
      </w:r>
    </w:p>
    <w:p w14:paraId="4FDBFA4F" w14:textId="77777777" w:rsidR="00E52F46" w:rsidRDefault="00363413">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451E86CF" w14:textId="77777777" w:rsidR="00E52F46" w:rsidRDefault="00E52F46">
      <w:pPr>
        <w:pBdr>
          <w:top w:val="nil"/>
          <w:left w:val="nil"/>
          <w:bottom w:val="nil"/>
          <w:right w:val="nil"/>
          <w:between w:val="nil"/>
        </w:pBdr>
        <w:ind w:left="360" w:right="-787" w:firstLine="360"/>
        <w:rPr>
          <w:rFonts w:ascii="Palatino Linotype" w:eastAsia="Palatino Linotype" w:hAnsi="Palatino Linotype" w:cs="Palatino Linotype"/>
          <w:i/>
          <w:color w:val="000000"/>
        </w:rPr>
      </w:pPr>
    </w:p>
    <w:p w14:paraId="3F26926F"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SUJETO OBLIGADO y LA PARTICULAR</w:t>
      </w:r>
      <w:r>
        <w:rPr>
          <w:rFonts w:ascii="Palatino Linotype" w:eastAsia="Palatino Linotype" w:hAnsi="Palatino Linotype" w:cs="Palatino Linotype"/>
          <w:color w:val="000000"/>
        </w:rPr>
        <w:t xml:space="preserve"> dejaron de realizar manifestaciones que a su derecho conviniera y asistiera, respectivamente tal y como se muestra en las capturas siguientes</w:t>
      </w:r>
      <w:r>
        <w:rPr>
          <w:rFonts w:ascii="Palatino Linotype" w:eastAsia="Palatino Linotype" w:hAnsi="Palatino Linotype" w:cs="Palatino Linotype"/>
        </w:rPr>
        <w:t>:</w:t>
      </w:r>
    </w:p>
    <w:p w14:paraId="45CC80FE" w14:textId="77777777" w:rsidR="00E52F46" w:rsidRDefault="00E52F46">
      <w:pPr>
        <w:pBdr>
          <w:top w:val="nil"/>
          <w:left w:val="nil"/>
          <w:bottom w:val="nil"/>
          <w:right w:val="nil"/>
          <w:between w:val="nil"/>
        </w:pBdr>
        <w:spacing w:line="360" w:lineRule="auto"/>
        <w:ind w:right="-787"/>
        <w:jc w:val="center"/>
        <w:rPr>
          <w:rFonts w:ascii="Palatino Linotype" w:eastAsia="Palatino Linotype" w:hAnsi="Palatino Linotype" w:cs="Palatino Linotype"/>
          <w:b/>
        </w:rPr>
      </w:pPr>
    </w:p>
    <w:p w14:paraId="517D73DA" w14:textId="77777777" w:rsidR="00E52F46" w:rsidRDefault="00E52F46">
      <w:pPr>
        <w:pBdr>
          <w:top w:val="nil"/>
          <w:left w:val="nil"/>
          <w:bottom w:val="nil"/>
          <w:right w:val="nil"/>
          <w:between w:val="nil"/>
        </w:pBdr>
        <w:spacing w:line="360" w:lineRule="auto"/>
        <w:ind w:right="-787"/>
        <w:jc w:val="center"/>
        <w:rPr>
          <w:rFonts w:ascii="Palatino Linotype" w:eastAsia="Palatino Linotype" w:hAnsi="Palatino Linotype" w:cs="Palatino Linotype"/>
          <w:b/>
        </w:rPr>
      </w:pPr>
    </w:p>
    <w:p w14:paraId="54D25B65" w14:textId="77777777" w:rsidR="00E52F46" w:rsidRDefault="00E52F46">
      <w:pPr>
        <w:pBdr>
          <w:top w:val="nil"/>
          <w:left w:val="nil"/>
          <w:bottom w:val="nil"/>
          <w:right w:val="nil"/>
          <w:between w:val="nil"/>
        </w:pBdr>
        <w:spacing w:line="360" w:lineRule="auto"/>
        <w:ind w:right="-787"/>
        <w:jc w:val="center"/>
        <w:rPr>
          <w:rFonts w:ascii="Palatino Linotype" w:eastAsia="Palatino Linotype" w:hAnsi="Palatino Linotype" w:cs="Palatino Linotype"/>
          <w:b/>
        </w:rPr>
      </w:pPr>
    </w:p>
    <w:p w14:paraId="25090C6E" w14:textId="77777777" w:rsidR="00E52F46" w:rsidRDefault="00363413">
      <w:pPr>
        <w:pBdr>
          <w:top w:val="nil"/>
          <w:left w:val="nil"/>
          <w:bottom w:val="nil"/>
          <w:right w:val="nil"/>
          <w:between w:val="nil"/>
        </w:pBdr>
        <w:spacing w:line="360" w:lineRule="auto"/>
        <w:ind w:right="-787"/>
        <w:jc w:val="center"/>
        <w:rPr>
          <w:rFonts w:ascii="Palatino Linotype" w:eastAsia="Palatino Linotype" w:hAnsi="Palatino Linotype" w:cs="Palatino Linotype"/>
          <w:color w:val="000000"/>
        </w:rPr>
      </w:pPr>
      <w:r>
        <w:rPr>
          <w:rFonts w:ascii="Palatino Linotype" w:eastAsia="Palatino Linotype" w:hAnsi="Palatino Linotype" w:cs="Palatino Linotype"/>
          <w:b/>
          <w:color w:val="000000"/>
        </w:rPr>
        <w:t>Recurso de Revisión 03788INFOEM/IP/RR/2024:</w:t>
      </w:r>
    </w:p>
    <w:p w14:paraId="672EB086" w14:textId="77777777" w:rsidR="00E52F46" w:rsidRDefault="00363413">
      <w:pPr>
        <w:pBdr>
          <w:top w:val="nil"/>
          <w:left w:val="nil"/>
          <w:bottom w:val="nil"/>
          <w:right w:val="nil"/>
          <w:between w:val="nil"/>
        </w:pBdr>
        <w:spacing w:line="360" w:lineRule="auto"/>
        <w:ind w:right="-787"/>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2FDEAA32" wp14:editId="0C340CE5">
            <wp:extent cx="5742459" cy="1041954"/>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3782" t="37311" r="51494" b="48307"/>
                    <a:stretch>
                      <a:fillRect/>
                    </a:stretch>
                  </pic:blipFill>
                  <pic:spPr>
                    <a:xfrm>
                      <a:off x="0" y="0"/>
                      <a:ext cx="5742459" cy="1041954"/>
                    </a:xfrm>
                    <a:prstGeom prst="rect">
                      <a:avLst/>
                    </a:prstGeom>
                    <a:ln/>
                  </pic:spPr>
                </pic:pic>
              </a:graphicData>
            </a:graphic>
          </wp:inline>
        </w:drawing>
      </w:r>
    </w:p>
    <w:p w14:paraId="0536F959" w14:textId="77777777" w:rsidR="00E52F46" w:rsidRDefault="00363413">
      <w:pPr>
        <w:pBdr>
          <w:top w:val="nil"/>
          <w:left w:val="nil"/>
          <w:bottom w:val="nil"/>
          <w:right w:val="nil"/>
          <w:between w:val="nil"/>
        </w:pBdr>
        <w:spacing w:line="360" w:lineRule="auto"/>
        <w:ind w:right="-787"/>
        <w:jc w:val="center"/>
        <w:rPr>
          <w:rFonts w:ascii="Palatino Linotype" w:eastAsia="Palatino Linotype" w:hAnsi="Palatino Linotype" w:cs="Palatino Linotype"/>
          <w:color w:val="000000"/>
        </w:rPr>
      </w:pPr>
      <w:r>
        <w:rPr>
          <w:rFonts w:ascii="Palatino Linotype" w:eastAsia="Palatino Linotype" w:hAnsi="Palatino Linotype" w:cs="Palatino Linotype"/>
          <w:b/>
          <w:color w:val="000000"/>
        </w:rPr>
        <w:t>Recurso de Revisión 03789INFOEM/IP/RR/2024:</w:t>
      </w:r>
    </w:p>
    <w:p w14:paraId="290877B1" w14:textId="77777777" w:rsidR="00E52F46" w:rsidRDefault="00363413">
      <w:pPr>
        <w:pBdr>
          <w:top w:val="nil"/>
          <w:left w:val="nil"/>
          <w:bottom w:val="nil"/>
          <w:right w:val="nil"/>
          <w:between w:val="nil"/>
        </w:pBdr>
        <w:spacing w:line="360" w:lineRule="auto"/>
        <w:ind w:right="-787"/>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43DF60AB" wp14:editId="6B8C51CA">
            <wp:extent cx="5449487" cy="985630"/>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3782" t="37311" r="51494" b="48307"/>
                    <a:stretch>
                      <a:fillRect/>
                    </a:stretch>
                  </pic:blipFill>
                  <pic:spPr>
                    <a:xfrm>
                      <a:off x="0" y="0"/>
                      <a:ext cx="5449487" cy="985630"/>
                    </a:xfrm>
                    <a:prstGeom prst="rect">
                      <a:avLst/>
                    </a:prstGeom>
                    <a:ln/>
                  </pic:spPr>
                </pic:pic>
              </a:graphicData>
            </a:graphic>
          </wp:inline>
        </w:drawing>
      </w:r>
    </w:p>
    <w:p w14:paraId="44E48928" w14:textId="77777777" w:rsidR="00E52F46" w:rsidRDefault="00E52F46">
      <w:pPr>
        <w:pBdr>
          <w:top w:val="nil"/>
          <w:left w:val="nil"/>
          <w:bottom w:val="nil"/>
          <w:right w:val="nil"/>
          <w:between w:val="nil"/>
        </w:pBdr>
        <w:spacing w:line="360" w:lineRule="auto"/>
        <w:ind w:right="-787"/>
        <w:jc w:val="center"/>
        <w:rPr>
          <w:rFonts w:ascii="Palatino Linotype" w:eastAsia="Palatino Linotype" w:hAnsi="Palatino Linotype" w:cs="Palatino Linotype"/>
        </w:rPr>
      </w:pPr>
    </w:p>
    <w:p w14:paraId="0E6EA4CB"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cuatro de septiembre de dos mil veinticuatro</w:t>
      </w:r>
      <w:r w:rsidRPr="00C671C1">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se amplió el término para resolver; al respecto es menester realizar las siguientes precisiones.</w:t>
      </w:r>
    </w:p>
    <w:p w14:paraId="45B4AA61"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14:paraId="3EF932A4"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79188A87" w14:textId="77777777" w:rsidR="00E52F46" w:rsidRDefault="00E52F46">
      <w:pPr>
        <w:pBdr>
          <w:top w:val="nil"/>
          <w:left w:val="nil"/>
          <w:bottom w:val="nil"/>
          <w:right w:val="nil"/>
          <w:between w:val="nil"/>
        </w:pBdr>
        <w:ind w:left="708" w:right="-787"/>
        <w:rPr>
          <w:rFonts w:ascii="Palatino Linotype" w:eastAsia="Palatino Linotype" w:hAnsi="Palatino Linotype" w:cs="Palatino Linotype"/>
          <w:b/>
          <w:color w:val="000000"/>
        </w:rPr>
      </w:pPr>
    </w:p>
    <w:p w14:paraId="3D874BCA"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w:t>
      </w:r>
      <w:r>
        <w:rPr>
          <w:rFonts w:ascii="Palatino Linotype" w:eastAsia="Palatino Linotype" w:hAnsi="Palatino Linotype" w:cs="Palatino Linotype"/>
          <w:color w:val="000000"/>
        </w:rPr>
        <w:lastRenderedPageBreak/>
        <w:t>por diversos órganos jurisdiccionales federales, aplicables también en procedimientos análogos, como el que nos ocupa.</w:t>
      </w:r>
    </w:p>
    <w:p w14:paraId="0A7349D8" w14:textId="77777777" w:rsidR="00E52F46" w:rsidRDefault="00E52F46">
      <w:pPr>
        <w:pBdr>
          <w:top w:val="nil"/>
          <w:left w:val="nil"/>
          <w:bottom w:val="nil"/>
          <w:right w:val="nil"/>
          <w:between w:val="nil"/>
        </w:pBdr>
        <w:ind w:left="708" w:right="-787"/>
        <w:rPr>
          <w:rFonts w:ascii="Palatino Linotype" w:eastAsia="Palatino Linotype" w:hAnsi="Palatino Linotype" w:cs="Palatino Linotype"/>
          <w:b/>
          <w:color w:val="000000"/>
        </w:rPr>
      </w:pPr>
    </w:p>
    <w:p w14:paraId="03E4A58F"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B01A5D" w14:textId="77777777" w:rsidR="00E52F46" w:rsidRDefault="00E52F46">
      <w:pPr>
        <w:pBdr>
          <w:top w:val="nil"/>
          <w:left w:val="nil"/>
          <w:bottom w:val="nil"/>
          <w:right w:val="nil"/>
          <w:between w:val="nil"/>
        </w:pBdr>
        <w:ind w:left="708" w:right="-787"/>
        <w:rPr>
          <w:rFonts w:ascii="Palatino Linotype" w:eastAsia="Palatino Linotype" w:hAnsi="Palatino Linotype" w:cs="Palatino Linotype"/>
          <w:b/>
          <w:color w:val="000000"/>
        </w:rPr>
      </w:pPr>
    </w:p>
    <w:p w14:paraId="7FF0638F"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42855DE" w14:textId="77777777" w:rsidR="00E52F46" w:rsidRDefault="00E52F46">
      <w:pPr>
        <w:pBdr>
          <w:top w:val="nil"/>
          <w:left w:val="nil"/>
          <w:bottom w:val="nil"/>
          <w:right w:val="nil"/>
          <w:between w:val="nil"/>
        </w:pBdr>
        <w:ind w:left="708" w:right="-787"/>
        <w:rPr>
          <w:rFonts w:ascii="Palatino Linotype" w:eastAsia="Palatino Linotype" w:hAnsi="Palatino Linotype" w:cs="Palatino Linotype"/>
          <w:b/>
          <w:color w:val="000000"/>
        </w:rPr>
      </w:pPr>
    </w:p>
    <w:p w14:paraId="5A72F54C"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073941AD" w14:textId="77777777" w:rsidR="00E52F46" w:rsidRDefault="00363413">
      <w:pPr>
        <w:numPr>
          <w:ilvl w:val="0"/>
          <w:numId w:val="2"/>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3A992DE4" w14:textId="77777777" w:rsidR="00E52F46" w:rsidRDefault="00363413">
      <w:pPr>
        <w:numPr>
          <w:ilvl w:val="0"/>
          <w:numId w:val="2"/>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21824578" w14:textId="77777777" w:rsidR="00E52F46" w:rsidRDefault="00363413">
      <w:pPr>
        <w:numPr>
          <w:ilvl w:val="0"/>
          <w:numId w:val="2"/>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1DAFC491" w14:textId="77777777" w:rsidR="00E52F46" w:rsidRDefault="00363413">
      <w:pPr>
        <w:spacing w:line="360" w:lineRule="auto"/>
        <w:ind w:left="851" w:right="62"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7B14BC73"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w:t>
      </w:r>
      <w:r>
        <w:rPr>
          <w:rFonts w:ascii="Palatino Linotype" w:eastAsia="Palatino Linotype" w:hAnsi="Palatino Linotype" w:cs="Palatino Linotype"/>
          <w:color w:val="000000"/>
        </w:rPr>
        <w:lastRenderedPageBreak/>
        <w:t>o cuasi jurisdiccional respectivo supere notoriamente al que podría considerarse normal, debe concluirse que es una excluyente de responsabilidad en relación con la actuación del funcionario, como ha acontecido en el caso que nos ocupa.</w:t>
      </w:r>
    </w:p>
    <w:p w14:paraId="658E7672"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14:paraId="2562D832"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5C0CB567" w14:textId="77777777" w:rsidR="00E52F46" w:rsidRDefault="00E52F46">
      <w:pPr>
        <w:pBdr>
          <w:top w:val="nil"/>
          <w:left w:val="nil"/>
          <w:bottom w:val="nil"/>
          <w:right w:val="nil"/>
          <w:between w:val="nil"/>
        </w:pBdr>
        <w:ind w:left="708" w:right="-787"/>
        <w:rPr>
          <w:rFonts w:ascii="Palatino Linotype" w:eastAsia="Palatino Linotype" w:hAnsi="Palatino Linotype" w:cs="Palatino Linotype"/>
          <w:b/>
          <w:color w:val="000000"/>
        </w:rPr>
      </w:pPr>
    </w:p>
    <w:p w14:paraId="6E9815F1"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8EC379" w14:textId="77777777" w:rsidR="00E52F46" w:rsidRDefault="00E52F46">
      <w:pPr>
        <w:pBdr>
          <w:top w:val="nil"/>
          <w:left w:val="nil"/>
          <w:bottom w:val="nil"/>
          <w:right w:val="nil"/>
          <w:between w:val="nil"/>
        </w:pBdr>
        <w:ind w:left="708" w:right="-787"/>
        <w:rPr>
          <w:rFonts w:ascii="Palatino Linotype" w:eastAsia="Palatino Linotype" w:hAnsi="Palatino Linotype" w:cs="Palatino Linotype"/>
          <w:b/>
          <w:color w:val="000000"/>
        </w:rPr>
      </w:pPr>
    </w:p>
    <w:p w14:paraId="0EEDDBCA"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56159E43" w14:textId="77777777" w:rsidR="00E52F46" w:rsidRDefault="00E52F46">
      <w:pPr>
        <w:pBdr>
          <w:top w:val="nil"/>
          <w:left w:val="nil"/>
          <w:bottom w:val="nil"/>
          <w:right w:val="nil"/>
          <w:between w:val="nil"/>
        </w:pBdr>
        <w:ind w:left="708" w:right="-787"/>
        <w:rPr>
          <w:rFonts w:ascii="Palatino Linotype" w:eastAsia="Palatino Linotype" w:hAnsi="Palatino Linotype" w:cs="Palatino Linotype"/>
          <w:b/>
          <w:color w:val="000000"/>
        </w:rPr>
      </w:pPr>
    </w:p>
    <w:p w14:paraId="16654DEE"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476B51EB" w14:textId="77777777" w:rsidR="00E52F46" w:rsidRDefault="00363413">
      <w:pPr>
        <w:spacing w:line="360" w:lineRule="auto"/>
        <w:ind w:left="425"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7B326F85" w14:textId="77777777" w:rsidR="00E52F46" w:rsidRDefault="00E52F46">
      <w:pPr>
        <w:spacing w:line="360" w:lineRule="auto"/>
        <w:ind w:left="425" w:right="62"/>
        <w:jc w:val="both"/>
        <w:rPr>
          <w:rFonts w:ascii="Palatino Linotype" w:eastAsia="Palatino Linotype" w:hAnsi="Palatino Linotype" w:cs="Palatino Linotype"/>
          <w:b/>
          <w:sz w:val="22"/>
          <w:szCs w:val="22"/>
        </w:rPr>
      </w:pPr>
    </w:p>
    <w:p w14:paraId="58ED48A3" w14:textId="77777777" w:rsidR="00E52F46" w:rsidRDefault="00363413">
      <w:pPr>
        <w:pBdr>
          <w:top w:val="nil"/>
          <w:left w:val="nil"/>
          <w:bottom w:val="nil"/>
          <w:right w:val="nil"/>
          <w:between w:val="nil"/>
        </w:pBdr>
        <w:ind w:left="708" w:right="62"/>
        <w:rPr>
          <w:rFonts w:ascii="Palatino Linotype" w:eastAsia="Palatino Linotype" w:hAnsi="Palatino Linotype" w:cs="Palatino Linotype"/>
          <w:b/>
          <w:color w:val="000000"/>
          <w:sz w:val="22"/>
          <w:szCs w:val="22"/>
        </w:rPr>
      </w:pPr>
      <w:r>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2002350.”</w:t>
      </w:r>
    </w:p>
    <w:p w14:paraId="220870DB"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14:paraId="38DE3AA8" w14:textId="77777777" w:rsidR="00E52F46" w:rsidRPr="005557D4" w:rsidRDefault="00363413" w:rsidP="005557D4">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4" w:name="_heading=h.2et92p0" w:colFirst="0" w:colLast="0"/>
      <w:bookmarkEnd w:id="4"/>
      <w:r>
        <w:rPr>
          <w:rFonts w:ascii="Palatino Linotype" w:eastAsia="Palatino Linotype" w:hAnsi="Palatino Linotype" w:cs="Palatino Linotype"/>
          <w:color w:val="000000"/>
        </w:rPr>
        <w:t>Finalmente, la Comisionada Ponente mediante los acuerdos del dos de octubre de octubre , decretó el cierre de instrucción de los expedientes, por lo que no habiendo más que hacer constar, y ---------------------------------------------------------------------------------------------</w:t>
      </w:r>
      <w:bookmarkStart w:id="5" w:name="_heading=h.it9wfjwte34q" w:colFirst="0" w:colLast="0"/>
      <w:bookmarkStart w:id="6" w:name="_heading=h.d4ramrakxmry" w:colFirst="0" w:colLast="0"/>
      <w:bookmarkStart w:id="7" w:name="_heading=h.jsxzu1nbymiu" w:colFirst="0" w:colLast="0"/>
      <w:bookmarkStart w:id="8" w:name="_heading=h.sld39t57j8r" w:colFirst="0" w:colLast="0"/>
      <w:bookmarkStart w:id="9" w:name="_heading=h.d5dezzm4rqh8" w:colFirst="0" w:colLast="0"/>
      <w:bookmarkStart w:id="10" w:name="_heading=h.st13vvhwzl1l" w:colFirst="0" w:colLast="0"/>
      <w:bookmarkEnd w:id="5"/>
      <w:bookmarkEnd w:id="6"/>
      <w:bookmarkEnd w:id="7"/>
      <w:bookmarkEnd w:id="8"/>
      <w:bookmarkEnd w:id="9"/>
      <w:bookmarkEnd w:id="10"/>
    </w:p>
    <w:p w14:paraId="407D023E" w14:textId="77777777" w:rsidR="00E52F46" w:rsidRDefault="00E52F46">
      <w:pPr>
        <w:spacing w:line="360" w:lineRule="auto"/>
        <w:ind w:right="-787"/>
        <w:rPr>
          <w:rFonts w:ascii="Palatino Linotype" w:eastAsia="Palatino Linotype" w:hAnsi="Palatino Linotype" w:cs="Palatino Linotype"/>
          <w:b/>
          <w:color w:val="000000"/>
        </w:rPr>
      </w:pPr>
    </w:p>
    <w:p w14:paraId="16CBDBBE" w14:textId="77777777" w:rsidR="00E52F46" w:rsidRDefault="00363413">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25B9CBFC" w14:textId="77777777" w:rsidR="00E52F46" w:rsidRDefault="00E52F46">
      <w:pPr>
        <w:pBdr>
          <w:top w:val="nil"/>
          <w:left w:val="nil"/>
          <w:bottom w:val="nil"/>
          <w:right w:val="nil"/>
          <w:between w:val="nil"/>
        </w:pBdr>
        <w:spacing w:line="360" w:lineRule="auto"/>
        <w:ind w:right="-787"/>
        <w:jc w:val="center"/>
        <w:rPr>
          <w:rFonts w:ascii="Palatino Linotype" w:eastAsia="Palatino Linotype" w:hAnsi="Palatino Linotype" w:cs="Palatino Linotype"/>
          <w:b/>
        </w:rPr>
      </w:pPr>
    </w:p>
    <w:p w14:paraId="63D352B8" w14:textId="77777777" w:rsidR="00E52F46" w:rsidRDefault="00363413">
      <w:pPr>
        <w:pStyle w:val="Ttulo2"/>
        <w:spacing w:before="0" w:line="360" w:lineRule="auto"/>
        <w:ind w:right="-787"/>
        <w:rPr>
          <w:rFonts w:ascii="Palatino Linotype" w:eastAsia="Palatino Linotype" w:hAnsi="Palatino Linotype" w:cs="Palatino Linotype"/>
          <w:b/>
          <w:color w:val="000000"/>
          <w:sz w:val="24"/>
          <w:szCs w:val="24"/>
        </w:rPr>
      </w:pPr>
      <w:bookmarkStart w:id="11" w:name="_heading=h.tyjcwt" w:colFirst="0" w:colLast="0"/>
      <w:bookmarkEnd w:id="11"/>
      <w:r>
        <w:rPr>
          <w:rFonts w:ascii="Palatino Linotype" w:eastAsia="Palatino Linotype" w:hAnsi="Palatino Linotype" w:cs="Palatino Linotype"/>
          <w:b/>
          <w:color w:val="000000"/>
          <w:sz w:val="24"/>
          <w:szCs w:val="24"/>
        </w:rPr>
        <w:t>PRIMERO. De la competencia</w:t>
      </w:r>
    </w:p>
    <w:p w14:paraId="3D194452"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 los presentes recursos,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w:t>
      </w:r>
      <w:r>
        <w:rPr>
          <w:rFonts w:ascii="Palatino Linotype" w:eastAsia="Palatino Linotype" w:hAnsi="Palatino Linotype" w:cs="Palatino Linotype"/>
          <w:color w:val="000000"/>
        </w:rPr>
        <w:lastRenderedPageBreak/>
        <w:t>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D5ED1B6" w14:textId="77777777" w:rsidR="00E52F46" w:rsidRDefault="00E52F4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12" w:name="_heading=h.3dy6vkm" w:colFirst="0" w:colLast="0"/>
      <w:bookmarkEnd w:id="12"/>
    </w:p>
    <w:p w14:paraId="099FF761" w14:textId="77777777" w:rsidR="00E52F46" w:rsidRDefault="00363413">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13" w:name="_heading=h.1t3h5sf" w:colFirst="0" w:colLast="0"/>
      <w:bookmarkEnd w:id="13"/>
      <w:r>
        <w:rPr>
          <w:rFonts w:ascii="Palatino Linotype" w:eastAsia="Palatino Linotype" w:hAnsi="Palatino Linotype" w:cs="Palatino Linotype"/>
          <w:b/>
          <w:color w:val="000000"/>
        </w:rPr>
        <w:t>SEGUNDO. De la oportunidad y procedencia.</w:t>
      </w:r>
    </w:p>
    <w:p w14:paraId="58E209EC"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bookmarkStart w:id="14" w:name="_heading=h.4d34og8" w:colFirst="0" w:colLast="0"/>
      <w:bookmarkEnd w:id="14"/>
      <w:r>
        <w:rPr>
          <w:rFonts w:ascii="Palatino Linotype" w:eastAsia="Palatino Linotype" w:hAnsi="Palatino Linotype" w:cs="Palatino Linotype"/>
          <w:color w:val="000000"/>
        </w:rPr>
        <w:t xml:space="preserve">Los medios de impugnación fueron presentados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sus respuestas el </w:t>
      </w:r>
      <w:r>
        <w:rPr>
          <w:rFonts w:ascii="Palatino Linotype" w:eastAsia="Palatino Linotype" w:hAnsi="Palatino Linotype" w:cs="Palatino Linotype"/>
          <w:b/>
          <w:color w:val="000000"/>
        </w:rPr>
        <w:t>catorce de junio de dos mil veinticuatro</w:t>
      </w:r>
      <w:r>
        <w:rPr>
          <w:rFonts w:ascii="Palatino Linotype" w:eastAsia="Palatino Linotype" w:hAnsi="Palatino Linotype" w:cs="Palatino Linotype"/>
          <w:color w:val="000000"/>
        </w:rPr>
        <w:t xml:space="preserve"> de tal forma que el plazo para interponer el recurso de revisión transcurrió del día </w:t>
      </w:r>
      <w:r>
        <w:rPr>
          <w:rFonts w:ascii="Palatino Linotype" w:eastAsia="Palatino Linotype" w:hAnsi="Palatino Linotype" w:cs="Palatino Linotype"/>
          <w:b/>
          <w:color w:val="000000"/>
        </w:rPr>
        <w:t>diecisiete de junio al cinco de julio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sus inconformidades el </w:t>
      </w:r>
      <w:r>
        <w:rPr>
          <w:rFonts w:ascii="Palatino Linotype" w:eastAsia="Palatino Linotype" w:hAnsi="Palatino Linotype" w:cs="Palatino Linotype"/>
          <w:b/>
          <w:color w:val="000000"/>
        </w:rPr>
        <w:t>veinte de junio de dos mil veinticuatro</w:t>
      </w:r>
      <w:r>
        <w:rPr>
          <w:rFonts w:ascii="Palatino Linotype" w:eastAsia="Palatino Linotype" w:hAnsi="Palatino Linotype" w:cs="Palatino Linotype"/>
          <w:color w:val="000000"/>
        </w:rPr>
        <w:t>; es decir dentro del lapso legalmente establecido para tal efecto.</w:t>
      </w:r>
    </w:p>
    <w:p w14:paraId="72A379B9"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481A9FE" w14:textId="77777777" w:rsidR="00E52F46" w:rsidRDefault="00E52F46">
      <w:pPr>
        <w:spacing w:line="360" w:lineRule="auto"/>
        <w:ind w:right="-787"/>
        <w:rPr>
          <w:rFonts w:ascii="Palatino Linotype" w:eastAsia="Palatino Linotype" w:hAnsi="Palatino Linotype" w:cs="Palatino Linotype"/>
        </w:rPr>
      </w:pPr>
    </w:p>
    <w:p w14:paraId="7D632B71" w14:textId="77777777" w:rsidR="00E52F46" w:rsidRDefault="00363413">
      <w:pPr>
        <w:pStyle w:val="Ttulo1"/>
        <w:spacing w:before="0" w:line="360" w:lineRule="auto"/>
        <w:ind w:right="-787"/>
        <w:rPr>
          <w:rFonts w:ascii="Palatino Linotype" w:eastAsia="Palatino Linotype" w:hAnsi="Palatino Linotype" w:cs="Palatino Linotype"/>
          <w:b/>
          <w:color w:val="000000"/>
          <w:sz w:val="24"/>
          <w:szCs w:val="24"/>
        </w:rPr>
      </w:pPr>
      <w:bookmarkStart w:id="15" w:name="_heading=h.2s8eyo1" w:colFirst="0" w:colLast="0"/>
      <w:bookmarkEnd w:id="15"/>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60869AC4"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14:paraId="26EC2FD7" w14:textId="77777777" w:rsidR="00E52F46" w:rsidRDefault="00363413">
      <w:pPr>
        <w:numPr>
          <w:ilvl w:val="0"/>
          <w:numId w:val="8"/>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La edad del Presidente Municipal con el fin de obtener datos estadísticos</w:t>
      </w:r>
    </w:p>
    <w:p w14:paraId="4DF40E64" w14:textId="77777777" w:rsidR="00E52F46" w:rsidRDefault="00E52F46">
      <w:pPr>
        <w:pBdr>
          <w:top w:val="nil"/>
          <w:left w:val="nil"/>
          <w:bottom w:val="nil"/>
          <w:right w:val="nil"/>
          <w:between w:val="nil"/>
        </w:pBdr>
        <w:spacing w:line="360" w:lineRule="auto"/>
        <w:ind w:left="778" w:right="62"/>
        <w:jc w:val="both"/>
        <w:rPr>
          <w:rFonts w:ascii="Palatino Linotype" w:eastAsia="Palatino Linotype" w:hAnsi="Palatino Linotype" w:cs="Palatino Linotype"/>
          <w:b/>
          <w:color w:val="000000"/>
          <w:sz w:val="22"/>
          <w:szCs w:val="22"/>
        </w:rPr>
      </w:pPr>
    </w:p>
    <w:p w14:paraId="26D8F084" w14:textId="77777777" w:rsidR="00E52F46" w:rsidRDefault="00363413">
      <w:pPr>
        <w:numPr>
          <w:ilvl w:val="0"/>
          <w:numId w:val="8"/>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Con la finalidad de obtener datos estadísticos saber ¿cuántos de los integrantes del Cabildo (Presidente, Sindico/</w:t>
      </w:r>
      <w:r>
        <w:rPr>
          <w:rFonts w:ascii="Palatino Linotype" w:eastAsia="Palatino Linotype" w:hAnsi="Palatino Linotype" w:cs="Palatino Linotype"/>
          <w:b/>
          <w:sz w:val="22"/>
          <w:szCs w:val="22"/>
        </w:rPr>
        <w:t>s y</w:t>
      </w:r>
      <w:r>
        <w:rPr>
          <w:rFonts w:ascii="Palatino Linotype" w:eastAsia="Palatino Linotype" w:hAnsi="Palatino Linotype" w:cs="Palatino Linotype"/>
          <w:b/>
          <w:color w:val="000000"/>
          <w:sz w:val="22"/>
          <w:szCs w:val="22"/>
        </w:rPr>
        <w:t xml:space="preserve"> Regidores) de ese Ayuntamiento son menores de 29 años?</w:t>
      </w:r>
    </w:p>
    <w:p w14:paraId="6B8FB7CA" w14:textId="77777777" w:rsidR="00E52F46" w:rsidRDefault="00E52F46">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p>
    <w:p w14:paraId="038AB74C"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por en cada recurso de revisión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la siguiente información. </w:t>
      </w:r>
    </w:p>
    <w:p w14:paraId="7BA69C46"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14:paraId="41C61613" w14:textId="77777777" w:rsidR="00E52F46" w:rsidRDefault="00363413">
      <w:pPr>
        <w:pBdr>
          <w:top w:val="nil"/>
          <w:left w:val="nil"/>
          <w:bottom w:val="nil"/>
          <w:right w:val="nil"/>
          <w:between w:val="nil"/>
        </w:pBdr>
        <w:ind w:left="928"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Solicitud 00055/TEZOYUCA/IP/2024:</w:t>
      </w:r>
      <w:r>
        <w:rPr>
          <w:rFonts w:ascii="Palatino Linotype" w:eastAsia="Palatino Linotype" w:hAnsi="Palatino Linotype" w:cs="Palatino Linotype"/>
          <w:color w:val="000000"/>
          <w:sz w:val="22"/>
          <w:szCs w:val="22"/>
        </w:rPr>
        <w:t xml:space="preserve"> </w:t>
      </w:r>
    </w:p>
    <w:tbl>
      <w:tblPr>
        <w:tblStyle w:val="a1"/>
        <w:tblW w:w="10500" w:type="dxa"/>
        <w:jc w:val="center"/>
        <w:tblInd w:w="0" w:type="dxa"/>
        <w:tblLayout w:type="fixed"/>
        <w:tblLook w:val="0400" w:firstRow="0" w:lastRow="0" w:firstColumn="0" w:lastColumn="0" w:noHBand="0" w:noVBand="1"/>
      </w:tblPr>
      <w:tblGrid>
        <w:gridCol w:w="10500"/>
      </w:tblGrid>
      <w:tr w:rsidR="00E52F46" w14:paraId="1341A15A" w14:textId="77777777">
        <w:trPr>
          <w:trHeight w:val="300"/>
          <w:jc w:val="center"/>
        </w:trPr>
        <w:tc>
          <w:tcPr>
            <w:tcW w:w="10500" w:type="dxa"/>
            <w:vAlign w:val="center"/>
          </w:tcPr>
          <w:p w14:paraId="6749BF6D" w14:textId="77777777" w:rsidR="00E52F46" w:rsidRDefault="00363413">
            <w:pPr>
              <w:ind w:right="11"/>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Tezoyuca, México a 14 de Junio de 2024</w:t>
            </w:r>
          </w:p>
        </w:tc>
      </w:tr>
      <w:tr w:rsidR="00E52F46" w14:paraId="07B9870F" w14:textId="77777777">
        <w:trPr>
          <w:trHeight w:val="300"/>
          <w:jc w:val="center"/>
        </w:trPr>
        <w:tc>
          <w:tcPr>
            <w:tcW w:w="10500" w:type="dxa"/>
            <w:vAlign w:val="center"/>
          </w:tcPr>
          <w:p w14:paraId="57D7AA9F" w14:textId="77777777" w:rsidR="00E52F46" w:rsidRDefault="00363413">
            <w:pPr>
              <w:ind w:right="11"/>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E52F46" w14:paraId="67CF5690" w14:textId="77777777">
        <w:trPr>
          <w:trHeight w:val="300"/>
          <w:jc w:val="center"/>
        </w:trPr>
        <w:tc>
          <w:tcPr>
            <w:tcW w:w="10500" w:type="dxa"/>
            <w:vAlign w:val="center"/>
          </w:tcPr>
          <w:p w14:paraId="737EF023" w14:textId="77777777" w:rsidR="00E52F46" w:rsidRDefault="00363413">
            <w:pPr>
              <w:ind w:right="11"/>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00055/TEZOYUCA/IP/2024</w:t>
            </w:r>
          </w:p>
        </w:tc>
      </w:tr>
      <w:tr w:rsidR="00E52F46" w14:paraId="558C73A9" w14:textId="77777777">
        <w:trPr>
          <w:trHeight w:val="450"/>
          <w:jc w:val="center"/>
        </w:trPr>
        <w:tc>
          <w:tcPr>
            <w:tcW w:w="10500" w:type="dxa"/>
            <w:vAlign w:val="center"/>
          </w:tcPr>
          <w:p w14:paraId="1838C93A" w14:textId="77777777" w:rsidR="00E52F46" w:rsidRDefault="00E52F46">
            <w:pPr>
              <w:ind w:right="11"/>
              <w:jc w:val="right"/>
              <w:rPr>
                <w:rFonts w:ascii="Palatino Linotype" w:eastAsia="Palatino Linotype" w:hAnsi="Palatino Linotype" w:cs="Palatino Linotype"/>
                <w:i/>
                <w:sz w:val="22"/>
                <w:szCs w:val="22"/>
              </w:rPr>
            </w:pPr>
          </w:p>
        </w:tc>
      </w:tr>
      <w:tr w:rsidR="00E52F46" w14:paraId="4D959F09" w14:textId="77777777">
        <w:trPr>
          <w:trHeight w:val="150"/>
          <w:jc w:val="center"/>
        </w:trPr>
        <w:tc>
          <w:tcPr>
            <w:tcW w:w="10500" w:type="dxa"/>
            <w:vAlign w:val="center"/>
          </w:tcPr>
          <w:p w14:paraId="083E0013" w14:textId="77777777" w:rsidR="00E52F46" w:rsidRDefault="00E52F46">
            <w:pPr>
              <w:ind w:right="11"/>
              <w:jc w:val="center"/>
              <w:rPr>
                <w:rFonts w:ascii="Palatino Linotype" w:eastAsia="Palatino Linotype" w:hAnsi="Palatino Linotype" w:cs="Palatino Linotype"/>
                <w:i/>
                <w:sz w:val="22"/>
                <w:szCs w:val="22"/>
              </w:rPr>
            </w:pPr>
          </w:p>
        </w:tc>
      </w:tr>
      <w:tr w:rsidR="00E52F46" w14:paraId="0CBF60D0" w14:textId="77777777">
        <w:trPr>
          <w:trHeight w:val="375"/>
          <w:jc w:val="center"/>
        </w:trPr>
        <w:tc>
          <w:tcPr>
            <w:tcW w:w="10500" w:type="dxa"/>
            <w:vAlign w:val="center"/>
          </w:tcPr>
          <w:p w14:paraId="0002F6B6" w14:textId="77777777" w:rsidR="00E52F46" w:rsidRDefault="00E52F46">
            <w:pPr>
              <w:ind w:right="11"/>
              <w:rPr>
                <w:rFonts w:ascii="Palatino Linotype" w:eastAsia="Palatino Linotype" w:hAnsi="Palatino Linotype" w:cs="Palatino Linotype"/>
                <w:i/>
                <w:sz w:val="22"/>
                <w:szCs w:val="22"/>
              </w:rPr>
            </w:pPr>
          </w:p>
        </w:tc>
      </w:tr>
      <w:tr w:rsidR="00E52F46" w14:paraId="69F8799A" w14:textId="77777777">
        <w:trPr>
          <w:trHeight w:val="150"/>
          <w:jc w:val="center"/>
        </w:trPr>
        <w:tc>
          <w:tcPr>
            <w:tcW w:w="10500" w:type="dxa"/>
            <w:vAlign w:val="center"/>
          </w:tcPr>
          <w:p w14:paraId="24F1C3FD" w14:textId="77777777" w:rsidR="00E52F46" w:rsidRDefault="00363413">
            <w:pPr>
              <w:ind w:right="11"/>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w:t>
            </w:r>
          </w:p>
        </w:tc>
      </w:tr>
      <w:tr w:rsidR="00E52F46" w14:paraId="3A983642" w14:textId="77777777">
        <w:trPr>
          <w:trHeight w:val="375"/>
          <w:jc w:val="center"/>
        </w:trPr>
        <w:tc>
          <w:tcPr>
            <w:tcW w:w="10500" w:type="dxa"/>
            <w:vAlign w:val="center"/>
          </w:tcPr>
          <w:p w14:paraId="7C5DEE9F" w14:textId="77777777" w:rsidR="00E52F46" w:rsidRDefault="00E52F46">
            <w:pPr>
              <w:ind w:right="11"/>
              <w:rPr>
                <w:rFonts w:ascii="Palatino Linotype" w:eastAsia="Palatino Linotype" w:hAnsi="Palatino Linotype" w:cs="Palatino Linotype"/>
                <w:i/>
                <w:sz w:val="22"/>
                <w:szCs w:val="22"/>
              </w:rPr>
            </w:pPr>
          </w:p>
        </w:tc>
      </w:tr>
      <w:tr w:rsidR="00E52F46" w14:paraId="7DF4318F" w14:textId="77777777">
        <w:trPr>
          <w:trHeight w:val="150"/>
          <w:jc w:val="center"/>
        </w:trPr>
        <w:tc>
          <w:tcPr>
            <w:tcW w:w="10500" w:type="dxa"/>
            <w:vAlign w:val="center"/>
          </w:tcPr>
          <w:p w14:paraId="7C665C69" w14:textId="77777777" w:rsidR="00E52F46" w:rsidRDefault="00E52F46">
            <w:pPr>
              <w:ind w:right="11"/>
              <w:jc w:val="center"/>
              <w:rPr>
                <w:rFonts w:ascii="Palatino Linotype" w:eastAsia="Palatino Linotype" w:hAnsi="Palatino Linotype" w:cs="Palatino Linotype"/>
                <w:i/>
                <w:sz w:val="22"/>
                <w:szCs w:val="22"/>
              </w:rPr>
            </w:pPr>
          </w:p>
        </w:tc>
      </w:tr>
      <w:tr w:rsidR="00E52F46" w14:paraId="4F93901F" w14:textId="77777777">
        <w:trPr>
          <w:trHeight w:val="150"/>
          <w:jc w:val="center"/>
        </w:trPr>
        <w:tc>
          <w:tcPr>
            <w:tcW w:w="10500" w:type="dxa"/>
            <w:vAlign w:val="center"/>
          </w:tcPr>
          <w:p w14:paraId="1C1E4040" w14:textId="77777777" w:rsidR="00E52F46" w:rsidRDefault="00E52F46">
            <w:pPr>
              <w:ind w:right="11"/>
              <w:rPr>
                <w:rFonts w:ascii="Palatino Linotype" w:eastAsia="Palatino Linotype" w:hAnsi="Palatino Linotype" w:cs="Palatino Linotype"/>
                <w:i/>
                <w:sz w:val="22"/>
                <w:szCs w:val="22"/>
              </w:rPr>
            </w:pPr>
          </w:p>
        </w:tc>
      </w:tr>
      <w:tr w:rsidR="00E52F46" w14:paraId="64AB930A" w14:textId="77777777">
        <w:trPr>
          <w:trHeight w:val="150"/>
          <w:jc w:val="center"/>
        </w:trPr>
        <w:tc>
          <w:tcPr>
            <w:tcW w:w="10500" w:type="dxa"/>
            <w:vAlign w:val="center"/>
          </w:tcPr>
          <w:p w14:paraId="6B0CC9EE" w14:textId="77777777" w:rsidR="00E52F46" w:rsidRDefault="00363413">
            <w:pPr>
              <w:ind w:right="11"/>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E52F46" w14:paraId="7618D8FC" w14:textId="77777777">
        <w:trPr>
          <w:trHeight w:val="225"/>
          <w:jc w:val="center"/>
        </w:trPr>
        <w:tc>
          <w:tcPr>
            <w:tcW w:w="10500" w:type="dxa"/>
            <w:vAlign w:val="center"/>
          </w:tcPr>
          <w:p w14:paraId="2534CFE9" w14:textId="77777777" w:rsidR="00E52F46" w:rsidRDefault="00E52F46">
            <w:pPr>
              <w:ind w:right="11"/>
              <w:rPr>
                <w:rFonts w:ascii="Palatino Linotype" w:eastAsia="Palatino Linotype" w:hAnsi="Palatino Linotype" w:cs="Palatino Linotype"/>
                <w:i/>
                <w:sz w:val="22"/>
                <w:szCs w:val="22"/>
              </w:rPr>
            </w:pPr>
          </w:p>
        </w:tc>
      </w:tr>
      <w:tr w:rsidR="00E52F46" w14:paraId="3DB70FCF" w14:textId="77777777">
        <w:trPr>
          <w:trHeight w:val="150"/>
          <w:jc w:val="center"/>
        </w:trPr>
        <w:tc>
          <w:tcPr>
            <w:tcW w:w="10500" w:type="dxa"/>
            <w:vAlign w:val="center"/>
          </w:tcPr>
          <w:p w14:paraId="3249365B" w14:textId="77777777" w:rsidR="00E52F46" w:rsidRDefault="00363413">
            <w:pPr>
              <w:ind w:right="11"/>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Lic. María Concepción Cruz Villafaña</w:t>
            </w:r>
          </w:p>
        </w:tc>
      </w:tr>
    </w:tbl>
    <w:p w14:paraId="32E64E5E" w14:textId="77777777" w:rsidR="00E52F46" w:rsidRDefault="00E52F46">
      <w:pPr>
        <w:pBdr>
          <w:top w:val="nil"/>
          <w:left w:val="nil"/>
          <w:bottom w:val="nil"/>
          <w:right w:val="nil"/>
          <w:between w:val="nil"/>
        </w:pBdr>
        <w:ind w:left="928" w:right="11"/>
        <w:jc w:val="both"/>
        <w:rPr>
          <w:rFonts w:ascii="Palatino Linotype" w:eastAsia="Palatino Linotype" w:hAnsi="Palatino Linotype" w:cs="Palatino Linotype"/>
          <w:color w:val="000000"/>
          <w:sz w:val="22"/>
          <w:szCs w:val="22"/>
        </w:rPr>
      </w:pPr>
    </w:p>
    <w:p w14:paraId="485941A4" w14:textId="77777777" w:rsidR="00E52F46" w:rsidRDefault="00363413">
      <w:pPr>
        <w:pBdr>
          <w:top w:val="nil"/>
          <w:left w:val="nil"/>
          <w:bottom w:val="nil"/>
          <w:right w:val="nil"/>
          <w:between w:val="nil"/>
        </w:pBdr>
        <w:ind w:left="928" w:right="1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Solicitud 00054/TEZOYUCA/IP/2024</w:t>
      </w:r>
      <w:r>
        <w:rPr>
          <w:rFonts w:ascii="Palatino Linotype" w:eastAsia="Palatino Linotype" w:hAnsi="Palatino Linotype" w:cs="Palatino Linotype"/>
          <w:color w:val="000000"/>
          <w:sz w:val="22"/>
          <w:szCs w:val="22"/>
        </w:rPr>
        <w:t>:</w:t>
      </w:r>
    </w:p>
    <w:tbl>
      <w:tblPr>
        <w:tblStyle w:val="a2"/>
        <w:tblW w:w="10500" w:type="dxa"/>
        <w:jc w:val="center"/>
        <w:tblInd w:w="0" w:type="dxa"/>
        <w:tblLayout w:type="fixed"/>
        <w:tblLook w:val="0400" w:firstRow="0" w:lastRow="0" w:firstColumn="0" w:lastColumn="0" w:noHBand="0" w:noVBand="1"/>
      </w:tblPr>
      <w:tblGrid>
        <w:gridCol w:w="10500"/>
      </w:tblGrid>
      <w:tr w:rsidR="00E52F46" w14:paraId="39674BDC" w14:textId="77777777">
        <w:trPr>
          <w:trHeight w:val="300"/>
          <w:jc w:val="center"/>
        </w:trPr>
        <w:tc>
          <w:tcPr>
            <w:tcW w:w="10500" w:type="dxa"/>
            <w:vAlign w:val="center"/>
          </w:tcPr>
          <w:p w14:paraId="23381416" w14:textId="77777777" w:rsidR="00E52F46" w:rsidRDefault="00363413">
            <w:pPr>
              <w:ind w:right="11"/>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Tezoyuca, México a 14 de Junio de 2024</w:t>
            </w:r>
          </w:p>
        </w:tc>
      </w:tr>
      <w:tr w:rsidR="00E52F46" w14:paraId="120E71DA" w14:textId="77777777">
        <w:trPr>
          <w:trHeight w:val="300"/>
          <w:jc w:val="center"/>
        </w:trPr>
        <w:tc>
          <w:tcPr>
            <w:tcW w:w="10500" w:type="dxa"/>
            <w:vAlign w:val="center"/>
          </w:tcPr>
          <w:p w14:paraId="4AD615C8" w14:textId="77777777" w:rsidR="00E52F46" w:rsidRDefault="00363413">
            <w:pPr>
              <w:ind w:right="11"/>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 del solicitante: C. Solicitante</w:t>
            </w:r>
          </w:p>
        </w:tc>
      </w:tr>
      <w:tr w:rsidR="00E52F46" w14:paraId="5B25E4FE" w14:textId="77777777">
        <w:trPr>
          <w:trHeight w:val="300"/>
          <w:jc w:val="center"/>
        </w:trPr>
        <w:tc>
          <w:tcPr>
            <w:tcW w:w="10500" w:type="dxa"/>
            <w:vAlign w:val="center"/>
          </w:tcPr>
          <w:p w14:paraId="4F3263A7" w14:textId="77777777" w:rsidR="00E52F46" w:rsidRDefault="00363413">
            <w:pPr>
              <w:ind w:right="11"/>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Folio de la solicitud: 00054/TEZOYUCA/IP/2024</w:t>
            </w:r>
          </w:p>
        </w:tc>
      </w:tr>
      <w:tr w:rsidR="00E52F46" w14:paraId="34263044" w14:textId="77777777">
        <w:trPr>
          <w:trHeight w:val="450"/>
          <w:jc w:val="center"/>
        </w:trPr>
        <w:tc>
          <w:tcPr>
            <w:tcW w:w="10500" w:type="dxa"/>
            <w:vAlign w:val="center"/>
          </w:tcPr>
          <w:p w14:paraId="57CED09E" w14:textId="77777777" w:rsidR="00E52F46" w:rsidRDefault="00E52F46">
            <w:pPr>
              <w:ind w:right="11"/>
              <w:jc w:val="right"/>
              <w:rPr>
                <w:rFonts w:ascii="Palatino Linotype" w:eastAsia="Palatino Linotype" w:hAnsi="Palatino Linotype" w:cs="Palatino Linotype"/>
                <w:sz w:val="22"/>
                <w:szCs w:val="22"/>
              </w:rPr>
            </w:pPr>
          </w:p>
        </w:tc>
      </w:tr>
      <w:tr w:rsidR="00E52F46" w14:paraId="4E45FC40" w14:textId="77777777">
        <w:trPr>
          <w:trHeight w:val="150"/>
          <w:jc w:val="center"/>
        </w:trPr>
        <w:tc>
          <w:tcPr>
            <w:tcW w:w="10500" w:type="dxa"/>
            <w:vAlign w:val="center"/>
          </w:tcPr>
          <w:p w14:paraId="381665A3" w14:textId="77777777" w:rsidR="00E52F46" w:rsidRDefault="00E52F46">
            <w:pPr>
              <w:ind w:right="11"/>
              <w:jc w:val="center"/>
              <w:rPr>
                <w:rFonts w:ascii="Palatino Linotype" w:eastAsia="Palatino Linotype" w:hAnsi="Palatino Linotype" w:cs="Palatino Linotype"/>
                <w:sz w:val="22"/>
                <w:szCs w:val="22"/>
              </w:rPr>
            </w:pPr>
          </w:p>
        </w:tc>
      </w:tr>
      <w:tr w:rsidR="00E52F46" w14:paraId="6ABFCFBE" w14:textId="77777777">
        <w:trPr>
          <w:trHeight w:val="375"/>
          <w:jc w:val="center"/>
        </w:trPr>
        <w:tc>
          <w:tcPr>
            <w:tcW w:w="10500" w:type="dxa"/>
            <w:vAlign w:val="center"/>
          </w:tcPr>
          <w:p w14:paraId="6DEAFB83" w14:textId="77777777" w:rsidR="00E52F46" w:rsidRDefault="00E52F46">
            <w:pPr>
              <w:ind w:right="11"/>
              <w:rPr>
                <w:rFonts w:ascii="Palatino Linotype" w:eastAsia="Palatino Linotype" w:hAnsi="Palatino Linotype" w:cs="Palatino Linotype"/>
                <w:sz w:val="22"/>
                <w:szCs w:val="22"/>
              </w:rPr>
            </w:pPr>
          </w:p>
        </w:tc>
      </w:tr>
      <w:tr w:rsidR="00E52F46" w14:paraId="7A3370A9" w14:textId="77777777">
        <w:trPr>
          <w:trHeight w:val="150"/>
          <w:jc w:val="center"/>
        </w:trPr>
        <w:tc>
          <w:tcPr>
            <w:tcW w:w="10500" w:type="dxa"/>
            <w:vAlign w:val="center"/>
          </w:tcPr>
          <w:p w14:paraId="5B918F4D" w14:textId="77777777" w:rsidR="00E52F46" w:rsidRDefault="00363413">
            <w:pPr>
              <w:ind w:right="1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Suscribe Lic. Maria Concepcion Cruz Villafaña en mi carácter de Directora de la Unidad de Transparencia del H. Ayuntamiento de Tezoyuca, Estado de México. le informo que esta Unidad Realizo lo pertinente para dar una debida contestación en tiempo y en forma pero hasta el momento su solicitud sigue en </w:t>
            </w:r>
            <w:r>
              <w:rPr>
                <w:rFonts w:ascii="Palatino Linotype" w:eastAsia="Palatino Linotype" w:hAnsi="Palatino Linotype" w:cs="Palatino Linotype"/>
                <w:sz w:val="22"/>
                <w:szCs w:val="22"/>
              </w:rPr>
              <w:lastRenderedPageBreak/>
              <w:t>tramite. sin mas por el momento me despido de usted quedando a sus ordenes para cualquier duda o aclaración.</w:t>
            </w:r>
          </w:p>
        </w:tc>
      </w:tr>
      <w:tr w:rsidR="00E52F46" w14:paraId="214FFA8B" w14:textId="77777777">
        <w:trPr>
          <w:trHeight w:val="375"/>
          <w:jc w:val="center"/>
        </w:trPr>
        <w:tc>
          <w:tcPr>
            <w:tcW w:w="10500" w:type="dxa"/>
            <w:vAlign w:val="center"/>
          </w:tcPr>
          <w:p w14:paraId="2275EE9E" w14:textId="77777777" w:rsidR="00E52F46" w:rsidRDefault="00E52F46">
            <w:pPr>
              <w:ind w:right="11"/>
              <w:rPr>
                <w:rFonts w:ascii="Palatino Linotype" w:eastAsia="Palatino Linotype" w:hAnsi="Palatino Linotype" w:cs="Palatino Linotype"/>
                <w:sz w:val="22"/>
                <w:szCs w:val="22"/>
              </w:rPr>
            </w:pPr>
          </w:p>
        </w:tc>
      </w:tr>
      <w:tr w:rsidR="00E52F46" w14:paraId="2B3486B5" w14:textId="77777777">
        <w:trPr>
          <w:trHeight w:val="150"/>
          <w:jc w:val="center"/>
        </w:trPr>
        <w:tc>
          <w:tcPr>
            <w:tcW w:w="10500" w:type="dxa"/>
            <w:vAlign w:val="center"/>
          </w:tcPr>
          <w:p w14:paraId="144B637E" w14:textId="77777777" w:rsidR="00E52F46" w:rsidRDefault="00E52F46">
            <w:pPr>
              <w:ind w:right="11"/>
              <w:jc w:val="center"/>
              <w:rPr>
                <w:rFonts w:ascii="Palatino Linotype" w:eastAsia="Palatino Linotype" w:hAnsi="Palatino Linotype" w:cs="Palatino Linotype"/>
                <w:sz w:val="22"/>
                <w:szCs w:val="22"/>
              </w:rPr>
            </w:pPr>
          </w:p>
        </w:tc>
      </w:tr>
      <w:tr w:rsidR="00E52F46" w14:paraId="11074F38" w14:textId="77777777">
        <w:trPr>
          <w:trHeight w:val="150"/>
          <w:jc w:val="center"/>
        </w:trPr>
        <w:tc>
          <w:tcPr>
            <w:tcW w:w="10500" w:type="dxa"/>
            <w:vAlign w:val="center"/>
          </w:tcPr>
          <w:p w14:paraId="19208E7F" w14:textId="77777777" w:rsidR="00E52F46" w:rsidRDefault="00E52F46">
            <w:pPr>
              <w:ind w:right="11"/>
              <w:rPr>
                <w:rFonts w:ascii="Palatino Linotype" w:eastAsia="Palatino Linotype" w:hAnsi="Palatino Linotype" w:cs="Palatino Linotype"/>
                <w:sz w:val="22"/>
                <w:szCs w:val="22"/>
              </w:rPr>
            </w:pPr>
          </w:p>
        </w:tc>
      </w:tr>
      <w:tr w:rsidR="00E52F46" w14:paraId="482A4DA4" w14:textId="77777777">
        <w:trPr>
          <w:trHeight w:val="150"/>
          <w:jc w:val="center"/>
        </w:trPr>
        <w:tc>
          <w:tcPr>
            <w:tcW w:w="10500" w:type="dxa"/>
            <w:vAlign w:val="center"/>
          </w:tcPr>
          <w:p w14:paraId="6076C9D8" w14:textId="77777777" w:rsidR="00E52F46" w:rsidRDefault="00363413">
            <w:pPr>
              <w:ind w:right="1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ATENTAMENTE</w:t>
            </w:r>
          </w:p>
        </w:tc>
      </w:tr>
      <w:tr w:rsidR="00E52F46" w14:paraId="5F292F10" w14:textId="77777777">
        <w:trPr>
          <w:trHeight w:val="225"/>
          <w:jc w:val="center"/>
        </w:trPr>
        <w:tc>
          <w:tcPr>
            <w:tcW w:w="10500" w:type="dxa"/>
            <w:vAlign w:val="center"/>
          </w:tcPr>
          <w:p w14:paraId="19F1752E" w14:textId="77777777" w:rsidR="00E52F46" w:rsidRDefault="00E52F46">
            <w:pPr>
              <w:ind w:right="11"/>
              <w:rPr>
                <w:rFonts w:ascii="Palatino Linotype" w:eastAsia="Palatino Linotype" w:hAnsi="Palatino Linotype" w:cs="Palatino Linotype"/>
                <w:sz w:val="22"/>
                <w:szCs w:val="22"/>
              </w:rPr>
            </w:pPr>
          </w:p>
        </w:tc>
      </w:tr>
      <w:tr w:rsidR="00E52F46" w14:paraId="67D28BA2" w14:textId="77777777">
        <w:trPr>
          <w:trHeight w:val="266"/>
          <w:jc w:val="center"/>
        </w:trPr>
        <w:tc>
          <w:tcPr>
            <w:tcW w:w="10500" w:type="dxa"/>
            <w:vAlign w:val="center"/>
          </w:tcPr>
          <w:p w14:paraId="49FF7259" w14:textId="77777777" w:rsidR="00E52F46" w:rsidRDefault="00363413">
            <w:pPr>
              <w:ind w:right="1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Lic. María Concepción Cruz Villafaña</w:t>
            </w:r>
          </w:p>
        </w:tc>
      </w:tr>
    </w:tbl>
    <w:p w14:paraId="1343B4C0"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rPr>
      </w:pPr>
    </w:p>
    <w:p w14:paraId="2779D6A2"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rPr>
      </w:pPr>
    </w:p>
    <w:p w14:paraId="082BD720"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dichas condiciones,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Pr>
          <w:rFonts w:ascii="Palatino Linotype" w:eastAsia="Palatino Linotype" w:hAnsi="Palatino Linotype" w:cs="Palatino Linotype"/>
          <w:b/>
          <w:color w:val="000000"/>
        </w:rPr>
        <w:t xml:space="preserve">fracción I </w:t>
      </w:r>
      <w:r>
        <w:rPr>
          <w:rFonts w:ascii="Palatino Linotype" w:eastAsia="Palatino Linotype" w:hAnsi="Palatino Linotype" w:cs="Palatino Linotype"/>
          <w:color w:val="000000"/>
        </w:rPr>
        <w:t>de la Ley</w:t>
      </w:r>
      <w:r>
        <w:rPr>
          <w:rFonts w:ascii="Palatino Linotype" w:eastAsia="Palatino Linotype" w:hAnsi="Palatino Linotype" w:cs="Palatino Linotype"/>
          <w:b/>
          <w:color w:val="000000"/>
        </w:rPr>
        <w:t xml:space="preserve"> de Transparencia y Acceso a la Información Pública del Estado de </w:t>
      </w:r>
      <w:r>
        <w:rPr>
          <w:rFonts w:ascii="Palatino Linotype" w:eastAsia="Palatino Linotype" w:hAnsi="Palatino Linotype" w:cs="Palatino Linotype"/>
          <w:color w:val="000000"/>
        </w:rPr>
        <w:t>México</w:t>
      </w:r>
      <w:r>
        <w:rPr>
          <w:rFonts w:ascii="Palatino Linotype" w:eastAsia="Palatino Linotype" w:hAnsi="Palatino Linotype" w:cs="Palatino Linotype"/>
          <w:b/>
          <w:color w:val="000000"/>
        </w:rPr>
        <w:t xml:space="preserve"> y Municipios</w:t>
      </w:r>
      <w:r>
        <w:rPr>
          <w:rFonts w:ascii="Palatino Linotype" w:eastAsia="Palatino Linotype" w:hAnsi="Palatino Linotype" w:cs="Palatino Linotype"/>
          <w:color w:val="000000"/>
        </w:rPr>
        <w:t xml:space="preserve">; fracción que determina la hipótesis jurídica relativa a la negativa de la información solicitada; contexto del cual se dolió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al momento de interponer su inconformidad.</w:t>
      </w:r>
    </w:p>
    <w:p w14:paraId="14E8AB0A"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3CF64BE4"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modo tal que el presente recurso de revisión se abocara en determinar si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4FCA3894" w14:textId="77777777" w:rsidR="00E52F46" w:rsidRDefault="00E52F46">
      <w:pPr>
        <w:spacing w:line="360" w:lineRule="auto"/>
        <w:ind w:right="-787"/>
        <w:jc w:val="both"/>
        <w:rPr>
          <w:rFonts w:ascii="Palatino Linotype" w:eastAsia="Palatino Linotype" w:hAnsi="Palatino Linotype" w:cs="Palatino Linotype"/>
        </w:rPr>
      </w:pPr>
    </w:p>
    <w:p w14:paraId="1BE95BF0" w14:textId="77777777" w:rsidR="00E52F46" w:rsidRDefault="00363413">
      <w:pPr>
        <w:keepNext/>
        <w:keepLines/>
        <w:spacing w:line="360" w:lineRule="auto"/>
        <w:ind w:right="-78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CUARTO. Del estudio y resolución del asunto</w:t>
      </w:r>
    </w:p>
    <w:p w14:paraId="6278B551" w14:textId="77777777" w:rsidR="00E52F46" w:rsidRDefault="00363413">
      <w:pPr>
        <w:keepNext/>
        <w:keepLines/>
        <w:numPr>
          <w:ilvl w:val="0"/>
          <w:numId w:val="4"/>
        </w:numPr>
        <w:spacing w:after="240" w:line="360" w:lineRule="auto"/>
        <w:ind w:left="786" w:right="-787"/>
        <w:rPr>
          <w:rFonts w:ascii="Palatino Linotype" w:eastAsia="Palatino Linotype" w:hAnsi="Palatino Linotype" w:cs="Palatino Linotype"/>
          <w:b/>
        </w:rPr>
      </w:pPr>
      <w:bookmarkStart w:id="16" w:name="_heading=h.17dp8vu" w:colFirst="0" w:colLast="0"/>
      <w:bookmarkEnd w:id="16"/>
      <w:r>
        <w:rPr>
          <w:rFonts w:ascii="Palatino Linotype" w:eastAsia="Palatino Linotype" w:hAnsi="Palatino Linotype" w:cs="Palatino Linotype"/>
          <w:b/>
        </w:rPr>
        <w:t>Del derecho de acceso a la información.</w:t>
      </w:r>
    </w:p>
    <w:p w14:paraId="4BD0C7EE" w14:textId="77777777" w:rsidR="00E52F46" w:rsidRDefault="00363413">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2392D7B2" w14:textId="77777777" w:rsidR="00E52F46" w:rsidRDefault="00E52F46">
      <w:pPr>
        <w:spacing w:line="360" w:lineRule="auto"/>
        <w:ind w:right="-787"/>
        <w:jc w:val="both"/>
        <w:rPr>
          <w:rFonts w:ascii="Palatino Linotype" w:eastAsia="Palatino Linotype" w:hAnsi="Palatino Linotype" w:cs="Palatino Linotype"/>
        </w:rPr>
      </w:pPr>
    </w:p>
    <w:p w14:paraId="53698029"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5"/>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11667D17" w14:textId="77777777" w:rsidR="00E52F46" w:rsidRDefault="00E52F46">
      <w:pPr>
        <w:spacing w:line="360" w:lineRule="auto"/>
        <w:ind w:right="-787"/>
        <w:jc w:val="both"/>
        <w:rPr>
          <w:rFonts w:ascii="Palatino Linotype" w:eastAsia="Palatino Linotype" w:hAnsi="Palatino Linotype" w:cs="Palatino Linotype"/>
        </w:rPr>
      </w:pPr>
    </w:p>
    <w:p w14:paraId="23D986D1"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6B15C0E3" w14:textId="77777777" w:rsidR="00E52F46" w:rsidRDefault="00363413">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3C95B0D0" w14:textId="77777777" w:rsidR="00E52F46" w:rsidRDefault="00363413">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ACE837" w14:textId="77777777" w:rsidR="00E52F46" w:rsidRDefault="00363413">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5558D9" w14:textId="77777777" w:rsidR="00E52F46" w:rsidRDefault="00363413">
      <w:pPr>
        <w:ind w:left="1134" w:right="6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163E78FE" w14:textId="77777777" w:rsidR="00E52F46" w:rsidRDefault="00E52F46">
      <w:pPr>
        <w:ind w:left="1134" w:right="-787"/>
        <w:jc w:val="both"/>
        <w:rPr>
          <w:rFonts w:ascii="Palatino Linotype" w:eastAsia="Palatino Linotype" w:hAnsi="Palatino Linotype" w:cs="Palatino Linotype"/>
          <w:b/>
        </w:rPr>
      </w:pPr>
    </w:p>
    <w:p w14:paraId="75B45AEC"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231107D9" w14:textId="77777777" w:rsidR="00E52F46" w:rsidRDefault="00E52F46">
      <w:pPr>
        <w:spacing w:line="360" w:lineRule="auto"/>
        <w:ind w:right="-787"/>
        <w:jc w:val="both"/>
        <w:rPr>
          <w:rFonts w:ascii="Palatino Linotype" w:eastAsia="Palatino Linotype" w:hAnsi="Palatino Linotype" w:cs="Palatino Linotype"/>
        </w:rPr>
      </w:pPr>
    </w:p>
    <w:p w14:paraId="5F66C9E6"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055C73FF" w14:textId="77777777" w:rsidR="00E52F46" w:rsidRDefault="00363413">
      <w:pPr>
        <w:tabs>
          <w:tab w:val="left" w:pos="7938"/>
        </w:tabs>
        <w:spacing w:after="240"/>
        <w:ind w:left="566"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46DA9F48" w14:textId="77777777" w:rsidR="00E52F46" w:rsidRDefault="00363413">
      <w:pPr>
        <w:tabs>
          <w:tab w:val="left" w:pos="7938"/>
        </w:tabs>
        <w:spacing w:before="240" w:after="240"/>
        <w:ind w:left="566"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4C1D55FC" w14:textId="77777777" w:rsidR="00E52F46" w:rsidRDefault="00363413">
      <w:pPr>
        <w:tabs>
          <w:tab w:val="left" w:pos="7938"/>
        </w:tabs>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C7893AB" w14:textId="77777777" w:rsidR="00E52F46" w:rsidRDefault="00363413">
      <w:pPr>
        <w:tabs>
          <w:tab w:val="left" w:pos="7938"/>
        </w:tabs>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58C5C8E8" w14:textId="77777777" w:rsidR="00E52F46" w:rsidRDefault="00363413">
      <w:pPr>
        <w:tabs>
          <w:tab w:val="left" w:pos="7938"/>
        </w:tabs>
        <w:spacing w:before="240" w:after="240"/>
        <w:ind w:left="566"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36B9588E" w14:textId="77777777" w:rsidR="00E52F46" w:rsidRDefault="00363413">
      <w:pPr>
        <w:tabs>
          <w:tab w:val="left" w:pos="7938"/>
        </w:tabs>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7F87051E" w14:textId="77777777" w:rsidR="00E52F46" w:rsidRDefault="00E52F46">
      <w:pPr>
        <w:tabs>
          <w:tab w:val="left" w:pos="567"/>
          <w:tab w:val="left" w:pos="7938"/>
        </w:tabs>
        <w:spacing w:before="240"/>
        <w:ind w:left="566" w:right="-79"/>
        <w:jc w:val="both"/>
        <w:rPr>
          <w:rFonts w:ascii="Palatino Linotype" w:eastAsia="Palatino Linotype" w:hAnsi="Palatino Linotype" w:cs="Palatino Linotype"/>
          <w:b/>
          <w:i/>
          <w:sz w:val="22"/>
          <w:szCs w:val="22"/>
        </w:rPr>
      </w:pPr>
    </w:p>
    <w:p w14:paraId="79DC3F50" w14:textId="77777777" w:rsidR="00E52F46" w:rsidRDefault="00363413">
      <w:pPr>
        <w:tabs>
          <w:tab w:val="left" w:pos="7938"/>
        </w:tabs>
        <w:spacing w:after="240"/>
        <w:ind w:left="566"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1175E42A" w14:textId="77777777" w:rsidR="00E52F46" w:rsidRDefault="00363413">
      <w:pPr>
        <w:tabs>
          <w:tab w:val="left" w:pos="7938"/>
        </w:tabs>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72BEDBB9" w14:textId="77777777" w:rsidR="00E52F46" w:rsidRDefault="00363413">
      <w:pPr>
        <w:tabs>
          <w:tab w:val="left" w:pos="7938"/>
        </w:tabs>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F003874" w14:textId="77777777" w:rsidR="00E52F46" w:rsidRDefault="00363413">
      <w:pPr>
        <w:tabs>
          <w:tab w:val="left" w:pos="7938"/>
        </w:tabs>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66827183" w14:textId="77777777" w:rsidR="00E52F46" w:rsidRDefault="00363413">
      <w:pPr>
        <w:tabs>
          <w:tab w:val="left" w:pos="7938"/>
        </w:tabs>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5499159" w14:textId="77777777" w:rsidR="00E52F46" w:rsidRDefault="00363413">
      <w:pPr>
        <w:tabs>
          <w:tab w:val="left" w:pos="7938"/>
        </w:tabs>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6259C63E" w14:textId="77777777" w:rsidR="00E52F46" w:rsidRDefault="00363413">
      <w:pPr>
        <w:tabs>
          <w:tab w:val="left" w:pos="7938"/>
        </w:tabs>
        <w:spacing w:before="240" w:after="240"/>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w:t>
      </w:r>
      <w:r>
        <w:rPr>
          <w:rFonts w:ascii="Palatino Linotype" w:eastAsia="Palatino Linotype" w:hAnsi="Palatino Linotype" w:cs="Palatino Linotype"/>
          <w:i/>
          <w:sz w:val="22"/>
          <w:szCs w:val="22"/>
        </w:rPr>
        <w:lastRenderedPageBreak/>
        <w:t xml:space="preserve">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29171A3B" w14:textId="77777777" w:rsidR="00E52F46" w:rsidRDefault="00E52F46">
      <w:pPr>
        <w:tabs>
          <w:tab w:val="left" w:pos="567"/>
        </w:tabs>
        <w:spacing w:before="240" w:after="240"/>
        <w:ind w:right="-787"/>
        <w:jc w:val="both"/>
        <w:rPr>
          <w:rFonts w:ascii="Palatino Linotype" w:eastAsia="Palatino Linotype" w:hAnsi="Palatino Linotype" w:cs="Palatino Linotype"/>
          <w:b/>
          <w:i/>
        </w:rPr>
      </w:pPr>
    </w:p>
    <w:p w14:paraId="76561DE0" w14:textId="77777777" w:rsidR="00E52F46" w:rsidRDefault="00363413">
      <w:pPr>
        <w:numPr>
          <w:ilvl w:val="0"/>
          <w:numId w:val="7"/>
        </w:numPr>
        <w:spacing w:before="240"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60C50F69" w14:textId="77777777" w:rsidR="00E52F46" w:rsidRDefault="00E52F46">
      <w:pPr>
        <w:spacing w:before="240" w:line="360" w:lineRule="auto"/>
        <w:ind w:left="928" w:right="-787"/>
        <w:jc w:val="both"/>
        <w:rPr>
          <w:rFonts w:ascii="Palatino Linotype" w:eastAsia="Palatino Linotype" w:hAnsi="Palatino Linotype" w:cs="Palatino Linotype"/>
        </w:rPr>
      </w:pPr>
    </w:p>
    <w:p w14:paraId="02ED24DC"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5EABCD1C"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bookmarkStart w:id="17" w:name="_heading=h.3rdcrjn" w:colFirst="0" w:colLast="0"/>
      <w:bookmarkEnd w:id="17"/>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7FE8860F" w14:textId="77777777" w:rsidR="00E52F46" w:rsidRDefault="00E52F46">
      <w:pPr>
        <w:spacing w:line="360" w:lineRule="auto"/>
        <w:ind w:right="-787"/>
        <w:jc w:val="both"/>
        <w:rPr>
          <w:rFonts w:ascii="Palatino Linotype" w:eastAsia="Palatino Linotype" w:hAnsi="Palatino Linotype" w:cs="Palatino Linotype"/>
        </w:rPr>
      </w:pPr>
    </w:p>
    <w:p w14:paraId="166BEAF5" w14:textId="77777777" w:rsidR="00E52F46" w:rsidRDefault="00363413">
      <w:pPr>
        <w:keepNext/>
        <w:keepLines/>
        <w:spacing w:after="240" w:line="360" w:lineRule="auto"/>
        <w:ind w:right="-787"/>
        <w:rPr>
          <w:rFonts w:ascii="Palatino Linotype" w:eastAsia="Palatino Linotype" w:hAnsi="Palatino Linotype" w:cs="Palatino Linotype"/>
          <w:b/>
        </w:rPr>
      </w:pPr>
      <w:bookmarkStart w:id="18" w:name="_heading=h.26in1rg" w:colFirst="0" w:colLast="0"/>
      <w:bookmarkEnd w:id="18"/>
      <w:r>
        <w:rPr>
          <w:rFonts w:ascii="Palatino Linotype" w:eastAsia="Palatino Linotype" w:hAnsi="Palatino Linotype" w:cs="Palatino Linotype"/>
          <w:b/>
        </w:rPr>
        <w:t>II. De la información solicitada y la respuesta del SUJETO OBLIGADO</w:t>
      </w:r>
    </w:p>
    <w:p w14:paraId="45217612"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cuanto hace al recurso de revisión </w:t>
      </w:r>
      <w:r>
        <w:rPr>
          <w:rFonts w:ascii="Palatino Linotype" w:eastAsia="Palatino Linotype" w:hAnsi="Palatino Linotype" w:cs="Palatino Linotype"/>
          <w:b/>
        </w:rPr>
        <w:t xml:space="preserve">03788/INFOEM/IP/RR/2024 </w:t>
      </w:r>
      <w:r>
        <w:rPr>
          <w:rFonts w:ascii="Palatino Linotype" w:eastAsia="Palatino Linotype" w:hAnsi="Palatino Linotype" w:cs="Palatino Linotype"/>
        </w:rPr>
        <w:t xml:space="preserve"> se hace el siguiente análisis. </w:t>
      </w:r>
    </w:p>
    <w:p w14:paraId="2FBB6BCE" w14:textId="77777777" w:rsidR="00E52F46" w:rsidRDefault="00E52F46">
      <w:pPr>
        <w:spacing w:line="360" w:lineRule="auto"/>
        <w:ind w:left="928" w:right="-787"/>
        <w:jc w:val="both"/>
        <w:rPr>
          <w:rFonts w:ascii="Palatino Linotype" w:eastAsia="Palatino Linotype" w:hAnsi="Palatino Linotype" w:cs="Palatino Linotype"/>
        </w:rPr>
      </w:pPr>
    </w:p>
    <w:p w14:paraId="44237A74"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Precisado lo anterior, </w:t>
      </w:r>
      <w:r>
        <w:rPr>
          <w:rFonts w:ascii="Palatino Linotype" w:eastAsia="Palatino Linotype" w:hAnsi="Palatino Linotype" w:cs="Palatino Linotype"/>
        </w:rPr>
        <w:t>de una revisión al expediente que no ocupa dentro del Sistema de Acceso a la Información Mexiquense, se advierte que el Titular de la Unidad de Transparencia no turnar las solicitudes al área competente, y en el caso que se analiza, como se verá más adelante, no basta con el simple pronunciamiento del Titular de la Unidad de Transparencia para tener por colmado el derecho de acceso a la información del particular, como sucedió en el presente caso.</w:t>
      </w:r>
    </w:p>
    <w:p w14:paraId="201D8BF5" w14:textId="77777777" w:rsidR="00E52F46" w:rsidRDefault="00E52F46">
      <w:pPr>
        <w:spacing w:line="360" w:lineRule="auto"/>
        <w:ind w:right="-787"/>
        <w:jc w:val="both"/>
        <w:rPr>
          <w:rFonts w:ascii="Palatino Linotype" w:eastAsia="Palatino Linotype" w:hAnsi="Palatino Linotype" w:cs="Palatino Linotype"/>
        </w:rPr>
      </w:pPr>
    </w:p>
    <w:p w14:paraId="288F0B59"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Pr>
          <w:rFonts w:ascii="Palatino Linotype" w:eastAsia="Palatino Linotype" w:hAnsi="Palatino Linotype" w:cs="Palatino Linotype"/>
          <w:b/>
          <w:color w:val="000000"/>
        </w:rPr>
        <w:t xml:space="preserve"> </w:t>
      </w:r>
    </w:p>
    <w:p w14:paraId="12B32AE7" w14:textId="77777777" w:rsidR="00E52F46" w:rsidRDefault="00363413">
      <w:pPr>
        <w:tabs>
          <w:tab w:val="left" w:pos="709"/>
        </w:tabs>
        <w:ind w:left="566" w:right="-22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“Ley de Transparencia y Acceso a la Información Pública del Estado de México y Municipios</w:t>
      </w:r>
    </w:p>
    <w:p w14:paraId="7E81A406" w14:textId="77777777" w:rsidR="00E52F46" w:rsidRDefault="00363413">
      <w:pPr>
        <w:tabs>
          <w:tab w:val="left" w:pos="709"/>
        </w:tabs>
        <w:ind w:left="566"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50. Los sujetos obligados contarán con un área responsable para la atención de las solicitudes de información, a la que se le denominará Unidad de Transparencia. </w:t>
      </w:r>
    </w:p>
    <w:p w14:paraId="4E7E7EA7" w14:textId="77777777" w:rsidR="00E52F46" w:rsidRDefault="00363413">
      <w:pPr>
        <w:tabs>
          <w:tab w:val="left" w:pos="709"/>
        </w:tabs>
        <w:ind w:left="566"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51. Los sujetos obligados designaran a un responsable para atender la Unidad de Transparencia, quien fungirá como enlace entre éstos y los solicitantes. </w:t>
      </w:r>
      <w:r>
        <w:rPr>
          <w:rFonts w:ascii="Palatino Linotype" w:eastAsia="Palatino Linotype" w:hAnsi="Palatino Linotype" w:cs="Palatino Linotype"/>
          <w:b/>
          <w:i/>
          <w:sz w:val="22"/>
          <w:szCs w:val="22"/>
          <w:u w:val="single"/>
        </w:rPr>
        <w:t>Dicha Unidad será la encargada de tramitar internamente la solicitud de información</w:t>
      </w:r>
      <w:r>
        <w:rPr>
          <w:rFonts w:ascii="Palatino Linotype" w:eastAsia="Palatino Linotype" w:hAnsi="Palatino Linotype" w:cs="Palatino Linotype"/>
          <w:i/>
          <w:sz w:val="22"/>
          <w:szCs w:val="22"/>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5CDABE6" w14:textId="77777777" w:rsidR="00E52F46" w:rsidRDefault="00363413">
      <w:pPr>
        <w:tabs>
          <w:tab w:val="left" w:pos="709"/>
        </w:tabs>
        <w:ind w:left="566"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E489197" w14:textId="77777777" w:rsidR="00E52F46" w:rsidRDefault="00363413">
      <w:pPr>
        <w:tabs>
          <w:tab w:val="left" w:pos="709"/>
        </w:tabs>
        <w:ind w:left="566"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53. Las Unidades de Transparencia tendrán las siguientes funciones:</w:t>
      </w:r>
    </w:p>
    <w:p w14:paraId="61060B12" w14:textId="77777777" w:rsidR="00E52F46" w:rsidRDefault="00363413">
      <w:pPr>
        <w:tabs>
          <w:tab w:val="left" w:pos="709"/>
        </w:tabs>
        <w:ind w:left="566"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FE39ABD" w14:textId="77777777" w:rsidR="00E52F46" w:rsidRDefault="00363413">
      <w:pPr>
        <w:tabs>
          <w:tab w:val="left" w:pos="709"/>
        </w:tabs>
        <w:ind w:left="566"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Recibir, tramitar y dar respuesta a las solicitudes de acceso a la información; </w:t>
      </w:r>
    </w:p>
    <w:p w14:paraId="19B41F67" w14:textId="77777777" w:rsidR="00E52F46" w:rsidRDefault="00363413">
      <w:pPr>
        <w:tabs>
          <w:tab w:val="left" w:pos="709"/>
        </w:tabs>
        <w:ind w:left="566"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2E25649F" w14:textId="77777777" w:rsidR="00E52F46" w:rsidRDefault="00363413">
      <w:pPr>
        <w:tabs>
          <w:tab w:val="left" w:pos="709"/>
        </w:tabs>
        <w:ind w:left="566" w:right="-22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IV. Realizar, con efectividad, los trámites internos necesarios para la atención de las solicitudes de acceso a la información; </w:t>
      </w:r>
    </w:p>
    <w:p w14:paraId="6B91F60F" w14:textId="77777777" w:rsidR="00E52F46" w:rsidRDefault="00363413">
      <w:pPr>
        <w:tabs>
          <w:tab w:val="left" w:pos="709"/>
        </w:tabs>
        <w:ind w:left="566"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Entregar, en su caso, a los particulares la información solicitada; </w:t>
      </w:r>
    </w:p>
    <w:p w14:paraId="59999688" w14:textId="77777777" w:rsidR="00E52F46" w:rsidRDefault="00363413">
      <w:pPr>
        <w:tabs>
          <w:tab w:val="left" w:pos="709"/>
        </w:tabs>
        <w:ind w:left="566"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Efectuar las notificaciones a los solicitantes;” (Sic)</w:t>
      </w:r>
    </w:p>
    <w:p w14:paraId="7430CD9F" w14:textId="77777777" w:rsidR="00E52F46" w:rsidRDefault="00E52F46">
      <w:pPr>
        <w:tabs>
          <w:tab w:val="left" w:pos="709"/>
        </w:tabs>
        <w:spacing w:line="360" w:lineRule="auto"/>
        <w:ind w:left="851" w:right="-787"/>
        <w:jc w:val="both"/>
        <w:rPr>
          <w:rFonts w:ascii="Palatino Linotype" w:eastAsia="Palatino Linotype" w:hAnsi="Palatino Linotype" w:cs="Palatino Linotype"/>
        </w:rPr>
      </w:pPr>
    </w:p>
    <w:p w14:paraId="0F4D5463"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Aunado a lo anterior, se debe señalar que aunque la solicitud de información y la respuesta estén dirigidas y atendidas por un </w:t>
      </w:r>
      <w:r>
        <w:rPr>
          <w:rFonts w:ascii="Palatino Linotype" w:eastAsia="Palatino Linotype" w:hAnsi="Palatino Linotype" w:cs="Palatino Linotype"/>
          <w:b/>
        </w:rPr>
        <w:t>SUJETO OBLIGADO</w:t>
      </w:r>
      <w:r>
        <w:rPr>
          <w:rFonts w:ascii="Palatino Linotype" w:eastAsia="Palatino Linotype" w:hAnsi="Palatino Linotype" w:cs="Palatino Linotype"/>
        </w:rPr>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24AB04C0"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los efectos de la presente Ley se entenderá por:</w:t>
      </w:r>
    </w:p>
    <w:p w14:paraId="4FE208B9"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D758C48"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XXXIX. Servidor público habilitado: </w:t>
      </w:r>
      <w:r>
        <w:rPr>
          <w:rFonts w:ascii="Palatino Linotype" w:eastAsia="Palatino Linotype" w:hAnsi="Palatino Linotype" w:cs="Palatino Linotype"/>
          <w:i/>
          <w:sz w:val="22"/>
          <w:szCs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1936F4A"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0212826"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58.</w:t>
      </w:r>
      <w:r>
        <w:rPr>
          <w:rFonts w:ascii="Palatino Linotype" w:eastAsia="Palatino Linotype" w:hAnsi="Palatino Linotype" w:cs="Palatino Linotype"/>
          <w:i/>
          <w:sz w:val="22"/>
          <w:szCs w:val="22"/>
        </w:rPr>
        <w:t xml:space="preserve"> Los servidores públicos habilitados serán designados por el titular del sujeto obligado a propuesta del responsable de la Unidad de Transparencia.</w:t>
      </w:r>
    </w:p>
    <w:p w14:paraId="730E1178"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Los servidores públicos habilitados</w:t>
      </w:r>
      <w:r>
        <w:rPr>
          <w:rFonts w:ascii="Palatino Linotype" w:eastAsia="Palatino Linotype" w:hAnsi="Palatino Linotype" w:cs="Palatino Linotype"/>
          <w:i/>
          <w:sz w:val="22"/>
          <w:szCs w:val="22"/>
        </w:rPr>
        <w:t xml:space="preserve"> tendrán las funciones siguientes:</w:t>
      </w:r>
    </w:p>
    <w:p w14:paraId="7DC1165C"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w:t>
      </w:r>
      <w:r>
        <w:rPr>
          <w:rFonts w:ascii="Palatino Linotype" w:eastAsia="Palatino Linotype" w:hAnsi="Palatino Linotype" w:cs="Palatino Linotype"/>
          <w:b/>
          <w:i/>
          <w:sz w:val="22"/>
          <w:szCs w:val="22"/>
          <w:u w:val="single"/>
        </w:rPr>
        <w:t>Localizar la información que le solicite la Unidad de Transparencia</w:t>
      </w:r>
      <w:r>
        <w:rPr>
          <w:rFonts w:ascii="Palatino Linotype" w:eastAsia="Palatino Linotype" w:hAnsi="Palatino Linotype" w:cs="Palatino Linotype"/>
          <w:i/>
          <w:sz w:val="22"/>
          <w:szCs w:val="22"/>
        </w:rPr>
        <w:t>;</w:t>
      </w:r>
    </w:p>
    <w:p w14:paraId="7383CBAB"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w:t>
      </w:r>
      <w:r>
        <w:rPr>
          <w:rFonts w:ascii="Palatino Linotype" w:eastAsia="Palatino Linotype" w:hAnsi="Palatino Linotype" w:cs="Palatino Linotype"/>
          <w:b/>
          <w:i/>
          <w:sz w:val="22"/>
          <w:szCs w:val="22"/>
          <w:u w:val="single"/>
        </w:rPr>
        <w:t>Proporcionar la información que obre en los archivos y que le sea solicitada por la Unidad de Transparencia</w:t>
      </w:r>
      <w:r>
        <w:rPr>
          <w:rFonts w:ascii="Palatino Linotype" w:eastAsia="Palatino Linotype" w:hAnsi="Palatino Linotype" w:cs="Palatino Linotype"/>
          <w:i/>
          <w:sz w:val="22"/>
          <w:szCs w:val="22"/>
        </w:rPr>
        <w:t>;</w:t>
      </w:r>
    </w:p>
    <w:p w14:paraId="22294FE4"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Apoyar a la Unidad de Transparencia en lo que esta le solicite para el cumplimiento de sus funciones;</w:t>
      </w:r>
    </w:p>
    <w:p w14:paraId="25EA9F8B"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IV. Proporcionar a la Unidad de Transparencia, las modificaciones a la información pública de oficio que obre en su poder;</w:t>
      </w:r>
    </w:p>
    <w:p w14:paraId="34F75670"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0FBBD058"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Verificar, una vez analizado el contenido de la información, que no se encuentre en los supuestos de información clasificada; y</w:t>
      </w:r>
    </w:p>
    <w:p w14:paraId="333488A6" w14:textId="77777777" w:rsidR="00E52F46" w:rsidRDefault="00363413">
      <w:pPr>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Dar cuenta a la Unidad de Transparencia del vencimiento de los plazos de reserva.” (Sic)</w:t>
      </w:r>
    </w:p>
    <w:p w14:paraId="016B297E" w14:textId="77777777" w:rsidR="00E52F46" w:rsidRDefault="00E52F46">
      <w:pPr>
        <w:spacing w:line="276" w:lineRule="auto"/>
        <w:ind w:left="567" w:right="-787"/>
        <w:jc w:val="both"/>
        <w:rPr>
          <w:rFonts w:ascii="Palatino Linotype" w:eastAsia="Palatino Linotype" w:hAnsi="Palatino Linotype" w:cs="Palatino Linotype"/>
          <w:i/>
        </w:rPr>
      </w:pPr>
    </w:p>
    <w:p w14:paraId="07236A71"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otras palabras, no se cumplió con lo que, para tal efecto, dispone el artículo 162 de la Ley de Transparencia y Acceso a la Información Pública del Estado de México y Municipios, que índica:</w:t>
      </w:r>
    </w:p>
    <w:p w14:paraId="74B73635" w14:textId="77777777" w:rsidR="00E52F46" w:rsidRDefault="00363413">
      <w:pPr>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162. </w:t>
      </w:r>
      <w:r>
        <w:rPr>
          <w:rFonts w:ascii="Palatino Linotype" w:eastAsia="Palatino Linotype" w:hAnsi="Palatino Linotype" w:cs="Palatino Linotype"/>
          <w:i/>
          <w:sz w:val="22"/>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Pr>
          <w:rFonts w:ascii="Palatino Linotype" w:eastAsia="Palatino Linotype" w:hAnsi="Palatino Linotype" w:cs="Palatino Linotype"/>
          <w:i/>
          <w:sz w:val="22"/>
          <w:szCs w:val="22"/>
        </w:rPr>
        <w:t>” (Sic)</w:t>
      </w:r>
    </w:p>
    <w:p w14:paraId="33A78DB2" w14:textId="77777777" w:rsidR="00E52F46" w:rsidRDefault="00E52F46">
      <w:pPr>
        <w:spacing w:line="360" w:lineRule="auto"/>
        <w:ind w:left="567" w:right="-787"/>
        <w:jc w:val="both"/>
        <w:rPr>
          <w:rFonts w:ascii="Palatino Linotype" w:eastAsia="Palatino Linotype" w:hAnsi="Palatino Linotype" w:cs="Palatino Linotype"/>
        </w:rPr>
      </w:pPr>
    </w:p>
    <w:p w14:paraId="3DF3C041"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4B23483E" w14:textId="77777777" w:rsidR="00E52F46" w:rsidRDefault="00E52F46">
      <w:pPr>
        <w:spacing w:line="360" w:lineRule="auto"/>
        <w:ind w:right="-787"/>
        <w:jc w:val="both"/>
        <w:rPr>
          <w:rFonts w:ascii="Palatino Linotype" w:eastAsia="Palatino Linotype" w:hAnsi="Palatino Linotype" w:cs="Palatino Linotype"/>
        </w:rPr>
      </w:pPr>
    </w:p>
    <w:p w14:paraId="23974911"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Cabe precisar, que no basta con que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toda vez que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en el presente asunto es el Ayuntamiento de Tezoyuca en su </w:t>
      </w:r>
      <w:r>
        <w:rPr>
          <w:rFonts w:ascii="Palatino Linotype" w:eastAsia="Palatino Linotype" w:hAnsi="Palatino Linotype" w:cs="Palatino Linotype"/>
        </w:rPr>
        <w:lastRenderedPageBreak/>
        <w:t>conjunto, incluyendo todas y cada una de las áreas que lo conforman y por supuesto en donde pudiera obrar la información que se solicita.</w:t>
      </w:r>
    </w:p>
    <w:p w14:paraId="7DDAE325" w14:textId="77777777" w:rsidR="00E52F46" w:rsidRDefault="00E52F46">
      <w:pPr>
        <w:spacing w:line="360" w:lineRule="auto"/>
        <w:ind w:right="-787"/>
        <w:jc w:val="both"/>
        <w:rPr>
          <w:rFonts w:ascii="Palatino Linotype" w:eastAsia="Palatino Linotype" w:hAnsi="Palatino Linotype" w:cs="Palatino Linotype"/>
        </w:rPr>
      </w:pPr>
    </w:p>
    <w:p w14:paraId="5148F7B4"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una vez hecha la búsqueda exhaustiva y razonable de la información en todas y cada una de las áreas que pudieran poseer la información, deberá informar a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el resultado de la misma, junto con las constancias que acrediten la búsqueda precisada.</w:t>
      </w:r>
    </w:p>
    <w:p w14:paraId="77539891" w14:textId="77777777" w:rsidR="00E52F46" w:rsidRDefault="00E52F46">
      <w:pPr>
        <w:spacing w:line="360" w:lineRule="auto"/>
        <w:ind w:right="-787"/>
        <w:jc w:val="both"/>
        <w:rPr>
          <w:rFonts w:ascii="Palatino Linotype" w:eastAsia="Palatino Linotype" w:hAnsi="Palatino Linotype" w:cs="Palatino Linotype"/>
        </w:rPr>
      </w:pPr>
    </w:p>
    <w:p w14:paraId="5D10ED42"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es así ya que derivado de la solicitud de información (en la que se resuelve), se aprecia en el sistema SAIMEX, que la Titular de la Unidad de Transparencia del Sujeto Obligado, no tramitó ante las instancias del Municipio, que pudieran tener lo solicitado (derivado de sus funciones) lo requerido por el particular, sino que de </w:t>
      </w:r>
      <w:r>
        <w:rPr>
          <w:rFonts w:ascii="Palatino Linotype" w:eastAsia="Palatino Linotype" w:hAnsi="Palatino Linotype" w:cs="Palatino Linotype"/>
          <w:i/>
        </w:rPr>
        <w:t>motu proprio (por propia iniciativa)</w:t>
      </w:r>
      <w:r>
        <w:rPr>
          <w:rFonts w:ascii="Palatino Linotype" w:eastAsia="Palatino Linotype" w:hAnsi="Palatino Linotype" w:cs="Palatino Linotype"/>
        </w:rPr>
        <w:t xml:space="preserve"> respondió, sin que exista certeza de que las áreas que pudieran tener dicha información dieran cuenta de la atención a la solicitud antes citada, en virtud de ello, se advierte el hecho de que no se generó algún requerimiento o trámite interno por parte de la Titular de la Unidad de Transparencia que se haya dirigido a alguna otra dependencia del </w:t>
      </w:r>
      <w:r>
        <w:rPr>
          <w:rFonts w:ascii="Palatino Linotype" w:eastAsia="Palatino Linotype" w:hAnsi="Palatino Linotype" w:cs="Palatino Linotype"/>
          <w:b/>
        </w:rPr>
        <w:t>SUJETO OBLIGADO</w:t>
      </w:r>
      <w:r>
        <w:rPr>
          <w:rFonts w:ascii="Palatino Linotype" w:eastAsia="Palatino Linotype" w:hAnsi="Palatino Linotype" w:cs="Palatino Linotype"/>
        </w:rPr>
        <w:t>, ya que no se aprecia alguna comunicación interna en el sistema que haya quedado registrada.</w:t>
      </w:r>
    </w:p>
    <w:p w14:paraId="6D6ADD1B" w14:textId="77777777" w:rsidR="00E52F46" w:rsidRDefault="00E52F46">
      <w:pPr>
        <w:spacing w:line="360" w:lineRule="auto"/>
        <w:ind w:right="-787"/>
        <w:jc w:val="both"/>
        <w:rPr>
          <w:rFonts w:ascii="Palatino Linotype" w:eastAsia="Palatino Linotype" w:hAnsi="Palatino Linotype" w:cs="Palatino Linotype"/>
        </w:rPr>
      </w:pPr>
    </w:p>
    <w:p w14:paraId="37B156BC"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es que se reitera, que la Titular de la Unidad de Transparencia debió llevar a cabo los pasos que le conmina sus funciones, de acuerdo con la Ley de Transparencia y Acceso a la Información Pública del Estado de México y Municipios, es decir, solicitar la </w:t>
      </w:r>
      <w:r>
        <w:rPr>
          <w:rFonts w:ascii="Palatino Linotype" w:eastAsia="Palatino Linotype" w:hAnsi="Palatino Linotype" w:cs="Palatino Linotype"/>
        </w:rPr>
        <w:lastRenderedPageBreak/>
        <w:t>información a las unidades administrativas que por obligación le corresponden dar atención a la misma.</w:t>
      </w:r>
    </w:p>
    <w:p w14:paraId="295942F0" w14:textId="77777777" w:rsidR="00E52F46" w:rsidRDefault="00E52F46">
      <w:pPr>
        <w:spacing w:line="360" w:lineRule="auto"/>
        <w:ind w:right="-787"/>
        <w:jc w:val="both"/>
        <w:rPr>
          <w:rFonts w:ascii="Palatino Linotype" w:eastAsia="Palatino Linotype" w:hAnsi="Palatino Linotype" w:cs="Palatino Linotype"/>
        </w:rPr>
      </w:pPr>
    </w:p>
    <w:p w14:paraId="6069C674"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así como podemos concluir, que la respuesta proporcionada por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carece de certeza jurídica; ello en razón, primeramente, no existe evidencia documental en el SAIMEX de que se haya turnado la solicitud al servidor público habilitado de las distintas áreas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la solicitud debe ser remitida a las áreas competentes de contar con la información y derivado a que no giró el requerimiento a la diferentes áreas con la que cuenta </w:t>
      </w:r>
      <w:r>
        <w:rPr>
          <w:rFonts w:ascii="Palatino Linotype" w:eastAsia="Palatino Linotype" w:hAnsi="Palatino Linotype" w:cs="Palatino Linotype"/>
          <w:b/>
        </w:rPr>
        <w:t>EL SUJETO OBLIGADO.</w:t>
      </w:r>
    </w:p>
    <w:p w14:paraId="54EF451A" w14:textId="77777777" w:rsidR="00E52F46" w:rsidRDefault="00E52F46">
      <w:pPr>
        <w:spacing w:line="360" w:lineRule="auto"/>
        <w:ind w:right="-787"/>
        <w:jc w:val="both"/>
        <w:rPr>
          <w:rFonts w:ascii="Palatino Linotype" w:eastAsia="Palatino Linotype" w:hAnsi="Palatino Linotype" w:cs="Palatino Linotype"/>
        </w:rPr>
      </w:pPr>
    </w:p>
    <w:p w14:paraId="7A3AE509"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relación a lo antes señalado, es oportuno señalar que de conformidad con el artículo Bando  Municipal del Ayuntamiento de Tezoyuca, dentro de la estructura organizacional se encuentra la Dirección de Recursos Humanos, quien tiene las siguientes funciones. </w:t>
      </w:r>
    </w:p>
    <w:p w14:paraId="40718E5E" w14:textId="77777777" w:rsidR="00E52F46" w:rsidRDefault="00363413">
      <w:pPr>
        <w:spacing w:line="360" w:lineRule="auto"/>
        <w:ind w:right="-787"/>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012AB224" wp14:editId="5E00B703">
            <wp:extent cx="3527669" cy="437506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527669" cy="4375060"/>
                    </a:xfrm>
                    <a:prstGeom prst="rect">
                      <a:avLst/>
                    </a:prstGeom>
                    <a:ln/>
                  </pic:spPr>
                </pic:pic>
              </a:graphicData>
            </a:graphic>
          </wp:inline>
        </w:drawing>
      </w:r>
    </w:p>
    <w:p w14:paraId="5F6F8EFA" w14:textId="77777777" w:rsidR="00E52F46" w:rsidRDefault="00E52F46">
      <w:pPr>
        <w:spacing w:line="360" w:lineRule="auto"/>
        <w:ind w:right="-787"/>
        <w:jc w:val="center"/>
        <w:rPr>
          <w:rFonts w:ascii="Palatino Linotype" w:eastAsia="Palatino Linotype" w:hAnsi="Palatino Linotype" w:cs="Palatino Linotype"/>
        </w:rPr>
      </w:pPr>
    </w:p>
    <w:p w14:paraId="55CCFD10"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la Dirección de Recursos Humanos, es el área encargada de formar y llevar el control de los expedientes laborales que se aperturan  por el ingreso de los servidores públicos a la administración pública municipal del Ayuntamiento de Tezoyuca. </w:t>
      </w:r>
    </w:p>
    <w:p w14:paraId="34152C66" w14:textId="77777777" w:rsidR="00E52F46" w:rsidRDefault="00E52F46">
      <w:pPr>
        <w:spacing w:line="360" w:lineRule="auto"/>
        <w:ind w:left="928" w:right="-787"/>
        <w:jc w:val="both"/>
        <w:rPr>
          <w:rFonts w:ascii="Palatino Linotype" w:eastAsia="Palatino Linotype" w:hAnsi="Palatino Linotype" w:cs="Palatino Linotype"/>
        </w:rPr>
      </w:pPr>
    </w:p>
    <w:p w14:paraId="2B5519E0"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acuerdo, a lo anterior, la Dirección de Recursos Humanos, solicita a los servidores públicos su información personal para la apertura e integración de su expediente personal en copia y en original, siendo que los documentos que podrían dar cuenta de manera </w:t>
      </w:r>
      <w:r>
        <w:rPr>
          <w:rFonts w:ascii="Palatino Linotype" w:eastAsia="Palatino Linotype" w:hAnsi="Palatino Linotype" w:cs="Palatino Linotype"/>
        </w:rPr>
        <w:lastRenderedPageBreak/>
        <w:t xml:space="preserve">enunciativa más no limitativa de la edad del </w:t>
      </w:r>
      <w:r>
        <w:rPr>
          <w:rFonts w:ascii="Palatino Linotype" w:eastAsia="Palatino Linotype" w:hAnsi="Palatino Linotype" w:cs="Palatino Linotype"/>
          <w:b/>
          <w:u w:val="single"/>
        </w:rPr>
        <w:t>presidente municipal</w:t>
      </w:r>
      <w:r>
        <w:rPr>
          <w:rFonts w:ascii="Palatino Linotype" w:eastAsia="Palatino Linotype" w:hAnsi="Palatino Linotype" w:cs="Palatino Linotype"/>
        </w:rPr>
        <w:t xml:space="preserve"> es el acta de nacimiento, credencial de elector, la Clave Única de Registro Poblacional, la constancia del RFC y el aviso de movimiento de ISSEMYM, no obstante, es importante hacer referencia a la siguiente normatividad:</w:t>
      </w:r>
    </w:p>
    <w:p w14:paraId="7ACE7186" w14:textId="77777777" w:rsidR="00E52F46" w:rsidRDefault="00363413">
      <w:pPr>
        <w:ind w:left="425"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5CE62900" w14:textId="77777777" w:rsidR="00E52F46" w:rsidRDefault="00E52F46">
      <w:pPr>
        <w:ind w:left="425" w:right="-79"/>
        <w:jc w:val="both"/>
        <w:rPr>
          <w:rFonts w:ascii="Palatino Linotype" w:eastAsia="Palatino Linotype" w:hAnsi="Palatino Linotype" w:cs="Palatino Linotype"/>
          <w:b/>
          <w:i/>
          <w:sz w:val="22"/>
          <w:szCs w:val="22"/>
        </w:rPr>
      </w:pPr>
    </w:p>
    <w:p w14:paraId="04BFC0A4" w14:textId="77777777" w:rsidR="00E52F46" w:rsidRDefault="00363413">
      <w:pPr>
        <w:ind w:left="425"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117.-</w:t>
      </w:r>
      <w:r>
        <w:rPr>
          <w:rFonts w:ascii="Palatino Linotype" w:eastAsia="Palatino Linotype" w:hAnsi="Palatino Linotype" w:cs="Palatino Linotype"/>
          <w:i/>
          <w:sz w:val="22"/>
          <w:szCs w:val="22"/>
        </w:rPr>
        <w:t xml:space="preserve"> Los ayuntamientos se integrarán con una jefa o jefe de asamblea que se denominará Presidenta o Presidente Municipal, respectivamente, y con varios miembros más llamados Síndicas o Síndicos y Regidoras o Regidores, cuyo número se determinará en razón directa de la población del municipio que representen, como lo disponga la Ley Orgánica respectiva. </w:t>
      </w:r>
    </w:p>
    <w:p w14:paraId="4B4E0CAC" w14:textId="77777777" w:rsidR="00E52F46" w:rsidRDefault="00E52F46">
      <w:pPr>
        <w:ind w:left="425" w:right="-79"/>
        <w:jc w:val="both"/>
        <w:rPr>
          <w:rFonts w:ascii="Palatino Linotype" w:eastAsia="Palatino Linotype" w:hAnsi="Palatino Linotype" w:cs="Palatino Linotype"/>
          <w:i/>
          <w:sz w:val="22"/>
          <w:szCs w:val="22"/>
        </w:rPr>
      </w:pPr>
    </w:p>
    <w:p w14:paraId="0C490C10" w14:textId="77777777" w:rsidR="00E52F46" w:rsidRDefault="00363413">
      <w:pPr>
        <w:ind w:left="425"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w:t>
      </w:r>
    </w:p>
    <w:p w14:paraId="696072AA" w14:textId="77777777" w:rsidR="00E52F46" w:rsidRDefault="00E52F46">
      <w:pPr>
        <w:ind w:left="425" w:right="-79"/>
        <w:jc w:val="both"/>
        <w:rPr>
          <w:rFonts w:ascii="Palatino Linotype" w:eastAsia="Palatino Linotype" w:hAnsi="Palatino Linotype" w:cs="Palatino Linotype"/>
          <w:i/>
          <w:sz w:val="22"/>
          <w:szCs w:val="22"/>
        </w:rPr>
      </w:pPr>
    </w:p>
    <w:p w14:paraId="341BCE15" w14:textId="77777777" w:rsidR="00E52F46" w:rsidRDefault="00363413">
      <w:pPr>
        <w:ind w:left="425"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119.-</w:t>
      </w:r>
      <w:r>
        <w:rPr>
          <w:rFonts w:ascii="Palatino Linotype" w:eastAsia="Palatino Linotype" w:hAnsi="Palatino Linotype" w:cs="Palatino Linotype"/>
          <w:i/>
          <w:sz w:val="22"/>
          <w:szCs w:val="22"/>
        </w:rPr>
        <w:t xml:space="preserve"> Para ser miembro propietario o suplente de un ayuntamiento se requiere:</w:t>
      </w:r>
    </w:p>
    <w:p w14:paraId="29BDCBCE" w14:textId="77777777" w:rsidR="00E52F46" w:rsidRDefault="00363413">
      <w:pPr>
        <w:ind w:left="425"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Ser mexicana o mexicano, ciudadana o ciudadano del Estado, en pleno ejercicio de sus derechos;</w:t>
      </w:r>
    </w:p>
    <w:p w14:paraId="71405EF2" w14:textId="77777777" w:rsidR="00E52F46" w:rsidRDefault="00363413">
      <w:pPr>
        <w:ind w:left="425"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Ser mexiquense con residencia efectiva en el municipio no menor a un año o vecino del mismo, con residencia efectiva en su territorio no menor a tres años, anteriores al día de la elección; y</w:t>
      </w:r>
    </w:p>
    <w:p w14:paraId="4D876432" w14:textId="77777777" w:rsidR="00E52F46" w:rsidRDefault="00363413">
      <w:pPr>
        <w:ind w:left="425"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Ser de reconocida probidad y buena fama pública.</w:t>
      </w:r>
    </w:p>
    <w:p w14:paraId="5E1BBCC9" w14:textId="77777777" w:rsidR="00E52F46" w:rsidRDefault="00363413">
      <w:pPr>
        <w:ind w:left="425"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No estar condenada o condenado por sentencia ejecutoriada por el delito de violencia política contra las mujeres en razón de género;</w:t>
      </w:r>
    </w:p>
    <w:p w14:paraId="69265710" w14:textId="77777777" w:rsidR="00E52F46" w:rsidRDefault="00363413">
      <w:pPr>
        <w:ind w:left="425"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No estar inscrito en el Registro de Deudores Alimentarios Morosos en el Estado, ni en otra entidad federativa, y</w:t>
      </w:r>
    </w:p>
    <w:p w14:paraId="7EE6FE2A" w14:textId="77777777" w:rsidR="00E52F46" w:rsidRDefault="00363413">
      <w:pPr>
        <w:ind w:left="425"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No estar condenada o condenado por sentencia ejecutoriada por delitos de violencia familiar, contra la libertad sexual o de violencia de género.”</w:t>
      </w:r>
    </w:p>
    <w:p w14:paraId="7EB18D09" w14:textId="77777777" w:rsidR="00E52F46" w:rsidRDefault="00E52F46">
      <w:pPr>
        <w:ind w:right="-787"/>
        <w:jc w:val="both"/>
        <w:rPr>
          <w:rFonts w:ascii="Palatino Linotype" w:eastAsia="Palatino Linotype" w:hAnsi="Palatino Linotype" w:cs="Palatino Linotype"/>
        </w:rPr>
      </w:pPr>
    </w:p>
    <w:p w14:paraId="7C7C952A"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a lo anterior, los ayuntamientos estarán integrados con una jefa o jefe de asamblea que se denominará Presidenta o Presidente Municipal, respectivamente, y con varios miembros más llamados Síndicas o Síndicos y Regidoras o Regidores, quienes deberán cubrir diversos requisitos, sin que se logra advertir, que deba contar con una edad en específico. </w:t>
      </w:r>
    </w:p>
    <w:p w14:paraId="5273790C" w14:textId="77777777" w:rsidR="00E52F46" w:rsidRDefault="00E52F46">
      <w:pPr>
        <w:spacing w:line="360" w:lineRule="auto"/>
        <w:ind w:right="-787"/>
        <w:jc w:val="both"/>
        <w:rPr>
          <w:rFonts w:ascii="Palatino Linotype" w:eastAsia="Palatino Linotype" w:hAnsi="Palatino Linotype" w:cs="Palatino Linotype"/>
        </w:rPr>
      </w:pPr>
    </w:p>
    <w:p w14:paraId="32F7A6E3"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Aunado a lo anterior, la edad, constituye un dato personal que da cuenta del tiempo que ha vivido una persona, es decir el lapso de tiempo que transcurre desde su nacimiento hasta el momento de referencia.</w:t>
      </w:r>
    </w:p>
    <w:p w14:paraId="61CA3106" w14:textId="77777777" w:rsidR="00E52F46" w:rsidRDefault="00E52F46">
      <w:pPr>
        <w:spacing w:line="360" w:lineRule="auto"/>
        <w:ind w:right="-787"/>
        <w:jc w:val="both"/>
        <w:rPr>
          <w:rFonts w:ascii="Palatino Linotype" w:eastAsia="Palatino Linotype" w:hAnsi="Palatino Linotype" w:cs="Palatino Linotype"/>
        </w:rPr>
      </w:pPr>
    </w:p>
    <w:p w14:paraId="24C795DD"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De esta manera, la edad constituye un dato personal de índole confidencial susceptible de clasificarse en términos de la fracción I del artículo 143 de la Ley de Transparencia y Acceso a la Información Pública del Estado de México y Municipios.</w:t>
      </w:r>
    </w:p>
    <w:p w14:paraId="17CCFB3B" w14:textId="77777777" w:rsidR="00E52F46" w:rsidRDefault="00E52F46">
      <w:pPr>
        <w:spacing w:line="360" w:lineRule="auto"/>
        <w:ind w:right="-787"/>
        <w:jc w:val="both"/>
        <w:rPr>
          <w:rFonts w:ascii="Palatino Linotype" w:eastAsia="Palatino Linotype" w:hAnsi="Palatino Linotype" w:cs="Palatino Linotype"/>
        </w:rPr>
      </w:pPr>
    </w:p>
    <w:p w14:paraId="2DCEC5E6"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Lo anterior, se robustece con el Criterio 09/19 del Instituto Nacional de Transparencia, Acceso a la Información y Protección de Datos Personales, que a la letra señala lo siguiente:</w:t>
      </w:r>
    </w:p>
    <w:p w14:paraId="708ADC9F" w14:textId="77777777" w:rsidR="00E52F46" w:rsidRDefault="00363413">
      <w:pPr>
        <w:spacing w:line="276" w:lineRule="auto"/>
        <w:ind w:left="56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Casos en que la edad o fecha de nacimiento de los servidores públicos es información de acceso público.</w:t>
      </w:r>
      <w:r>
        <w:rPr>
          <w:rFonts w:ascii="Palatino Linotype" w:eastAsia="Palatino Linotype" w:hAnsi="Palatino Linotype" w:cs="Palatino Linotype"/>
          <w:i/>
          <w:sz w:val="22"/>
          <w:szCs w:val="22"/>
        </w:rPr>
        <w:t xml:space="preserve"> La fecha de nacimiento y/o edad son datos personales confidenciales, por lo que los mismos son susceptibles de transparentarse cuando ésta última constituya un requisito para ocupar un cargo público, debido a que su difusión contribuye a dar cuenta que la persona cubre dicho requerimiento.”</w:t>
      </w:r>
    </w:p>
    <w:p w14:paraId="1A3EB853" w14:textId="77777777" w:rsidR="00E52F46" w:rsidRDefault="00E52F46">
      <w:pPr>
        <w:spacing w:line="360" w:lineRule="auto"/>
        <w:ind w:right="-787"/>
        <w:jc w:val="both"/>
        <w:rPr>
          <w:rFonts w:ascii="Palatino Linotype" w:eastAsia="Palatino Linotype" w:hAnsi="Palatino Linotype" w:cs="Palatino Linotype"/>
        </w:rPr>
      </w:pPr>
    </w:p>
    <w:p w14:paraId="733205AA"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Del criterio de referencia, se desprende que únicamente procede proporcionar la edad del servidor público cuando este sea un requisito para ocupar el cargo público, sin embargo, como lo es para el caso del cargo de presidente municipal, por lo tanto, la edad del presidente es un dato de carácter confidencial, ya que, se refiere a la información natural del tiempo que ha vivido una persona, que por su propia naturaleza incide en la esfera privada la misma; si el dato corresponde a los años cumplidos por una persona física identificable, o si en el caso, a través de su composición por la referencia o data en que </w:t>
      </w:r>
      <w:r>
        <w:rPr>
          <w:rFonts w:ascii="Palatino Linotype" w:eastAsia="Palatino Linotype" w:hAnsi="Palatino Linotype" w:cs="Palatino Linotype"/>
        </w:rPr>
        <w:lastRenderedPageBreak/>
        <w:t xml:space="preserve">ocurrió el nacimiento, o meramente el año de registro, se actualiza la necesidad de protección al ser un dato personal, por lo que actualiza el supuesto previsto en el artículo 143, fracción I, de la Ley de Transparencia y Acceso a la Información Pública del Estado de México y Municipios, </w:t>
      </w:r>
      <w:r>
        <w:rPr>
          <w:rFonts w:ascii="Palatino Linotype" w:eastAsia="Palatino Linotype" w:hAnsi="Palatino Linotype" w:cs="Palatino Linotype"/>
          <w:b/>
        </w:rPr>
        <w:t>en consecuencia se ordena el acuerdo de clasificación de la edad del presidente municipal como confidencial.</w:t>
      </w:r>
    </w:p>
    <w:p w14:paraId="61104FD4" w14:textId="77777777" w:rsidR="00E52F46" w:rsidRDefault="00E52F46">
      <w:pPr>
        <w:spacing w:line="360" w:lineRule="auto"/>
        <w:ind w:right="-787"/>
        <w:jc w:val="both"/>
        <w:rPr>
          <w:rFonts w:ascii="Palatino Linotype" w:eastAsia="Palatino Linotype" w:hAnsi="Palatino Linotype" w:cs="Palatino Linotype"/>
        </w:rPr>
      </w:pPr>
    </w:p>
    <w:p w14:paraId="49D368A2"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lo que hace al recurso  </w:t>
      </w:r>
      <w:r>
        <w:rPr>
          <w:rFonts w:ascii="Palatino Linotype" w:eastAsia="Palatino Linotype" w:hAnsi="Palatino Linotype" w:cs="Palatino Linotype"/>
          <w:b/>
        </w:rPr>
        <w:t xml:space="preserve">03789/INFOEM/IP/RR/2024, </w:t>
      </w:r>
      <w:r>
        <w:rPr>
          <w:rFonts w:ascii="Palatino Linotype" w:eastAsia="Palatino Linotype" w:hAnsi="Palatino Linotype" w:cs="Palatino Linotype"/>
        </w:rPr>
        <w:t xml:space="preserve">es necesario recordar que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solicitó lo siguiente. </w:t>
      </w:r>
    </w:p>
    <w:p w14:paraId="4E61E8EA" w14:textId="77777777" w:rsidR="00E52F46" w:rsidRDefault="00363413">
      <w:pPr>
        <w:spacing w:line="360" w:lineRule="auto"/>
        <w:ind w:left="708"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la finalidad de obtener datos estadísticos de interés personal solicito se me proporcione la siguiente información: ¿Actualmente, cuántos de los integrantes del Cabildo (Presidente, Sindico/s y Regidores) de ese Ayuntamiento son menores de 29 años? …”</w:t>
      </w:r>
    </w:p>
    <w:p w14:paraId="1D313F96" w14:textId="77777777" w:rsidR="00E52F46" w:rsidRDefault="00E52F46">
      <w:pPr>
        <w:spacing w:line="360" w:lineRule="auto"/>
        <w:ind w:left="1134" w:right="-787"/>
        <w:jc w:val="both"/>
        <w:rPr>
          <w:rFonts w:ascii="Palatino Linotype" w:eastAsia="Palatino Linotype" w:hAnsi="Palatino Linotype" w:cs="Palatino Linotype"/>
          <w:i/>
        </w:rPr>
      </w:pPr>
    </w:p>
    <w:p w14:paraId="05612A86"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respuesta lo siguiente. </w:t>
      </w:r>
    </w:p>
    <w:p w14:paraId="7BA8FFAA" w14:textId="77777777" w:rsidR="00E52F46" w:rsidRDefault="00E52F46">
      <w:pPr>
        <w:spacing w:line="360" w:lineRule="auto"/>
        <w:ind w:right="-787"/>
        <w:jc w:val="both"/>
        <w:rPr>
          <w:rFonts w:ascii="Palatino Linotype" w:eastAsia="Palatino Linotype" w:hAnsi="Palatino Linotype" w:cs="Palatino Linotype"/>
        </w:rPr>
      </w:pPr>
    </w:p>
    <w:tbl>
      <w:tblPr>
        <w:tblStyle w:val="a3"/>
        <w:tblW w:w="10710" w:type="dxa"/>
        <w:jc w:val="center"/>
        <w:tblInd w:w="0" w:type="dxa"/>
        <w:tblLayout w:type="fixed"/>
        <w:tblLook w:val="0400" w:firstRow="0" w:lastRow="0" w:firstColumn="0" w:lastColumn="0" w:noHBand="0" w:noVBand="1"/>
      </w:tblPr>
      <w:tblGrid>
        <w:gridCol w:w="10710"/>
      </w:tblGrid>
      <w:tr w:rsidR="00E52F46" w14:paraId="476325BD" w14:textId="77777777">
        <w:trPr>
          <w:trHeight w:val="300"/>
          <w:jc w:val="center"/>
        </w:trPr>
        <w:tc>
          <w:tcPr>
            <w:tcW w:w="10710" w:type="dxa"/>
            <w:vAlign w:val="center"/>
          </w:tcPr>
          <w:p w14:paraId="1D650450" w14:textId="77777777" w:rsidR="00E52F46" w:rsidRDefault="00363413">
            <w:pPr>
              <w:spacing w:after="160" w:line="259" w:lineRule="auto"/>
              <w:ind w:right="221"/>
              <w:jc w:val="right"/>
              <w:rPr>
                <w:rFonts w:ascii="Palatino Linotype" w:eastAsia="Palatino Linotype" w:hAnsi="Palatino Linotype" w:cs="Palatino Linotype"/>
              </w:rPr>
            </w:pPr>
            <w:r>
              <w:rPr>
                <w:rFonts w:ascii="Palatino Linotype" w:eastAsia="Palatino Linotype" w:hAnsi="Palatino Linotype" w:cs="Palatino Linotype"/>
              </w:rPr>
              <w:t>Tezoyuca, México a 14 de Junio de 2024</w:t>
            </w:r>
          </w:p>
        </w:tc>
      </w:tr>
      <w:tr w:rsidR="00E52F46" w14:paraId="6E02BD79" w14:textId="77777777">
        <w:trPr>
          <w:trHeight w:val="300"/>
          <w:jc w:val="center"/>
        </w:trPr>
        <w:tc>
          <w:tcPr>
            <w:tcW w:w="10710" w:type="dxa"/>
            <w:vAlign w:val="center"/>
          </w:tcPr>
          <w:p w14:paraId="41AB91BC" w14:textId="77777777" w:rsidR="00E52F46" w:rsidRDefault="00363413">
            <w:pPr>
              <w:spacing w:after="160" w:line="259" w:lineRule="auto"/>
              <w:ind w:right="221"/>
              <w:jc w:val="right"/>
              <w:rPr>
                <w:rFonts w:ascii="Palatino Linotype" w:eastAsia="Palatino Linotype" w:hAnsi="Palatino Linotype" w:cs="Palatino Linotype"/>
              </w:rPr>
            </w:pPr>
            <w:r>
              <w:rPr>
                <w:rFonts w:ascii="Palatino Linotype" w:eastAsia="Palatino Linotype" w:hAnsi="Palatino Linotype" w:cs="Palatino Linotype"/>
              </w:rPr>
              <w:t>Nombre del solicitante: C. Solicitante</w:t>
            </w:r>
          </w:p>
        </w:tc>
      </w:tr>
      <w:tr w:rsidR="00E52F46" w14:paraId="7C461F43" w14:textId="77777777">
        <w:trPr>
          <w:trHeight w:val="300"/>
          <w:jc w:val="center"/>
        </w:trPr>
        <w:tc>
          <w:tcPr>
            <w:tcW w:w="10710" w:type="dxa"/>
            <w:vAlign w:val="center"/>
          </w:tcPr>
          <w:p w14:paraId="7A2BC589" w14:textId="77777777" w:rsidR="00E52F46" w:rsidRDefault="00363413">
            <w:pPr>
              <w:spacing w:after="160" w:line="259" w:lineRule="auto"/>
              <w:ind w:right="221"/>
              <w:jc w:val="right"/>
              <w:rPr>
                <w:rFonts w:ascii="Palatino Linotype" w:eastAsia="Palatino Linotype" w:hAnsi="Palatino Linotype" w:cs="Palatino Linotype"/>
              </w:rPr>
            </w:pPr>
            <w:r>
              <w:rPr>
                <w:rFonts w:ascii="Palatino Linotype" w:eastAsia="Palatino Linotype" w:hAnsi="Palatino Linotype" w:cs="Palatino Linotype"/>
              </w:rPr>
              <w:t>Folio de la solicitud: 00054/TEZOYUCA/IP/2024</w:t>
            </w:r>
          </w:p>
        </w:tc>
      </w:tr>
      <w:tr w:rsidR="00E52F46" w14:paraId="57329C23" w14:textId="77777777">
        <w:trPr>
          <w:trHeight w:val="450"/>
          <w:jc w:val="center"/>
        </w:trPr>
        <w:tc>
          <w:tcPr>
            <w:tcW w:w="10710" w:type="dxa"/>
            <w:vAlign w:val="center"/>
          </w:tcPr>
          <w:p w14:paraId="292A4F58" w14:textId="77777777" w:rsidR="00E52F46" w:rsidRDefault="00E52F46">
            <w:pPr>
              <w:spacing w:after="160" w:line="259" w:lineRule="auto"/>
              <w:ind w:right="221"/>
              <w:jc w:val="right"/>
              <w:rPr>
                <w:rFonts w:ascii="Palatino Linotype" w:eastAsia="Palatino Linotype" w:hAnsi="Palatino Linotype" w:cs="Palatino Linotype"/>
              </w:rPr>
            </w:pPr>
          </w:p>
        </w:tc>
      </w:tr>
      <w:tr w:rsidR="00E52F46" w14:paraId="5B944612" w14:textId="77777777">
        <w:trPr>
          <w:trHeight w:val="150"/>
          <w:jc w:val="center"/>
        </w:trPr>
        <w:tc>
          <w:tcPr>
            <w:tcW w:w="10710" w:type="dxa"/>
            <w:vAlign w:val="center"/>
          </w:tcPr>
          <w:p w14:paraId="4B9CDB42" w14:textId="77777777" w:rsidR="00E52F46" w:rsidRDefault="00E52F46">
            <w:pPr>
              <w:spacing w:after="160" w:line="259" w:lineRule="auto"/>
              <w:ind w:right="221"/>
              <w:jc w:val="center"/>
              <w:rPr>
                <w:rFonts w:ascii="Palatino Linotype" w:eastAsia="Palatino Linotype" w:hAnsi="Palatino Linotype" w:cs="Palatino Linotype"/>
              </w:rPr>
            </w:pPr>
          </w:p>
        </w:tc>
      </w:tr>
      <w:tr w:rsidR="00E52F46" w14:paraId="5A28EFCF" w14:textId="77777777">
        <w:trPr>
          <w:trHeight w:val="375"/>
          <w:jc w:val="center"/>
        </w:trPr>
        <w:tc>
          <w:tcPr>
            <w:tcW w:w="10710" w:type="dxa"/>
            <w:vAlign w:val="center"/>
          </w:tcPr>
          <w:p w14:paraId="62510B3C" w14:textId="77777777" w:rsidR="00E52F46" w:rsidRDefault="00E52F46">
            <w:pPr>
              <w:spacing w:after="160" w:line="259" w:lineRule="auto"/>
              <w:ind w:right="221"/>
              <w:rPr>
                <w:rFonts w:ascii="Palatino Linotype" w:eastAsia="Palatino Linotype" w:hAnsi="Palatino Linotype" w:cs="Palatino Linotype"/>
              </w:rPr>
            </w:pPr>
          </w:p>
        </w:tc>
      </w:tr>
      <w:tr w:rsidR="00E52F46" w14:paraId="5563651E" w14:textId="77777777">
        <w:trPr>
          <w:trHeight w:val="150"/>
          <w:jc w:val="center"/>
        </w:trPr>
        <w:tc>
          <w:tcPr>
            <w:tcW w:w="10710" w:type="dxa"/>
            <w:vAlign w:val="center"/>
          </w:tcPr>
          <w:p w14:paraId="6F84D16E" w14:textId="77777777" w:rsidR="00E52F46" w:rsidRDefault="00363413">
            <w:pPr>
              <w:spacing w:after="160" w:line="259" w:lineRule="auto"/>
              <w:ind w:right="221"/>
              <w:rPr>
                <w:rFonts w:ascii="Palatino Linotype" w:eastAsia="Palatino Linotype" w:hAnsi="Palatino Linotype" w:cs="Palatino Linotype"/>
              </w:rPr>
            </w:pPr>
            <w:r>
              <w:rPr>
                <w:rFonts w:ascii="Palatino Linotype" w:eastAsia="Palatino Linotype" w:hAnsi="Palatino Linotype" w:cs="Palatino Linotype"/>
              </w:rPr>
              <w:t xml:space="preserve">Suscribe Lic. Maria Concepcion Cruz Villafaña en mi carácter de Directora de la Unidad de Transparencia del H. Ayuntamiento de Tezoyuca, Estado de México. le informo que esta Unidad Realizo lo pertinente para dar una debida contestación en tiempo y en forma pero hasta el </w:t>
            </w:r>
            <w:r>
              <w:rPr>
                <w:rFonts w:ascii="Palatino Linotype" w:eastAsia="Palatino Linotype" w:hAnsi="Palatino Linotype" w:cs="Palatino Linotype"/>
              </w:rPr>
              <w:lastRenderedPageBreak/>
              <w:t>momento su solicitud sigue en tramite. sin mas por el momento me despido de usted quedando a sus ordenes para cualquier duda o aclaración.</w:t>
            </w:r>
          </w:p>
        </w:tc>
      </w:tr>
      <w:tr w:rsidR="00E52F46" w14:paraId="4B04AAA0" w14:textId="77777777">
        <w:trPr>
          <w:trHeight w:val="375"/>
          <w:jc w:val="center"/>
        </w:trPr>
        <w:tc>
          <w:tcPr>
            <w:tcW w:w="10710" w:type="dxa"/>
            <w:vAlign w:val="center"/>
          </w:tcPr>
          <w:p w14:paraId="612B08FD" w14:textId="77777777" w:rsidR="00E52F46" w:rsidRDefault="00E52F46">
            <w:pPr>
              <w:spacing w:after="160" w:line="259" w:lineRule="auto"/>
              <w:ind w:right="221"/>
              <w:rPr>
                <w:rFonts w:ascii="Palatino Linotype" w:eastAsia="Palatino Linotype" w:hAnsi="Palatino Linotype" w:cs="Palatino Linotype"/>
              </w:rPr>
            </w:pPr>
          </w:p>
        </w:tc>
      </w:tr>
      <w:tr w:rsidR="00E52F46" w14:paraId="1D6BF244" w14:textId="77777777">
        <w:trPr>
          <w:trHeight w:val="150"/>
          <w:jc w:val="center"/>
        </w:trPr>
        <w:tc>
          <w:tcPr>
            <w:tcW w:w="10710" w:type="dxa"/>
            <w:vAlign w:val="center"/>
          </w:tcPr>
          <w:p w14:paraId="0D12985D" w14:textId="77777777" w:rsidR="00E52F46" w:rsidRDefault="00E52F46">
            <w:pPr>
              <w:spacing w:after="160" w:line="259" w:lineRule="auto"/>
              <w:ind w:right="221"/>
              <w:jc w:val="center"/>
              <w:rPr>
                <w:rFonts w:ascii="Palatino Linotype" w:eastAsia="Palatino Linotype" w:hAnsi="Palatino Linotype" w:cs="Palatino Linotype"/>
              </w:rPr>
            </w:pPr>
          </w:p>
        </w:tc>
      </w:tr>
      <w:tr w:rsidR="00E52F46" w14:paraId="34D227EA" w14:textId="77777777">
        <w:trPr>
          <w:trHeight w:val="150"/>
          <w:jc w:val="center"/>
        </w:trPr>
        <w:tc>
          <w:tcPr>
            <w:tcW w:w="10710" w:type="dxa"/>
            <w:vAlign w:val="center"/>
          </w:tcPr>
          <w:p w14:paraId="5139E34F" w14:textId="77777777" w:rsidR="00E52F46" w:rsidRDefault="00E52F46">
            <w:pPr>
              <w:spacing w:after="160" w:line="259" w:lineRule="auto"/>
              <w:ind w:right="221"/>
              <w:rPr>
                <w:rFonts w:ascii="Palatino Linotype" w:eastAsia="Palatino Linotype" w:hAnsi="Palatino Linotype" w:cs="Palatino Linotype"/>
              </w:rPr>
            </w:pPr>
          </w:p>
        </w:tc>
      </w:tr>
      <w:tr w:rsidR="00E52F46" w14:paraId="4F5C8BAE" w14:textId="77777777">
        <w:trPr>
          <w:trHeight w:val="150"/>
          <w:jc w:val="center"/>
        </w:trPr>
        <w:tc>
          <w:tcPr>
            <w:tcW w:w="10710" w:type="dxa"/>
            <w:vAlign w:val="center"/>
          </w:tcPr>
          <w:p w14:paraId="7D520A28" w14:textId="77777777" w:rsidR="00E52F46" w:rsidRDefault="00363413">
            <w:pPr>
              <w:spacing w:after="160" w:line="259" w:lineRule="auto"/>
              <w:ind w:right="221"/>
              <w:rPr>
                <w:rFonts w:ascii="Palatino Linotype" w:eastAsia="Palatino Linotype" w:hAnsi="Palatino Linotype" w:cs="Palatino Linotype"/>
              </w:rPr>
            </w:pPr>
            <w:r>
              <w:rPr>
                <w:rFonts w:ascii="Palatino Linotype" w:eastAsia="Palatino Linotype" w:hAnsi="Palatino Linotype" w:cs="Palatino Linotype"/>
              </w:rPr>
              <w:t>ATENTAMENTE</w:t>
            </w:r>
          </w:p>
        </w:tc>
      </w:tr>
      <w:tr w:rsidR="00E52F46" w14:paraId="153910F3" w14:textId="77777777">
        <w:trPr>
          <w:trHeight w:val="225"/>
          <w:jc w:val="center"/>
        </w:trPr>
        <w:tc>
          <w:tcPr>
            <w:tcW w:w="10710" w:type="dxa"/>
            <w:vAlign w:val="center"/>
          </w:tcPr>
          <w:p w14:paraId="2C676276" w14:textId="77777777" w:rsidR="00E52F46" w:rsidRDefault="00E52F46">
            <w:pPr>
              <w:spacing w:after="160" w:line="259" w:lineRule="auto"/>
              <w:ind w:right="221"/>
              <w:rPr>
                <w:rFonts w:ascii="Palatino Linotype" w:eastAsia="Palatino Linotype" w:hAnsi="Palatino Linotype" w:cs="Palatino Linotype"/>
              </w:rPr>
            </w:pPr>
          </w:p>
        </w:tc>
      </w:tr>
      <w:tr w:rsidR="00E52F46" w14:paraId="052B65E7" w14:textId="77777777">
        <w:trPr>
          <w:trHeight w:val="150"/>
          <w:jc w:val="center"/>
        </w:trPr>
        <w:tc>
          <w:tcPr>
            <w:tcW w:w="10710" w:type="dxa"/>
            <w:vAlign w:val="center"/>
          </w:tcPr>
          <w:p w14:paraId="494C0A13" w14:textId="77777777" w:rsidR="00E52F46" w:rsidRDefault="00363413">
            <w:pPr>
              <w:spacing w:after="160" w:line="259" w:lineRule="auto"/>
              <w:ind w:right="221"/>
              <w:rPr>
                <w:rFonts w:ascii="Palatino Linotype" w:eastAsia="Palatino Linotype" w:hAnsi="Palatino Linotype" w:cs="Palatino Linotype"/>
              </w:rPr>
            </w:pPr>
            <w:r>
              <w:rPr>
                <w:rFonts w:ascii="Palatino Linotype" w:eastAsia="Palatino Linotype" w:hAnsi="Palatino Linotype" w:cs="Palatino Linotype"/>
              </w:rPr>
              <w:t>Lic. María Concepción Cruz Villafaña</w:t>
            </w:r>
          </w:p>
        </w:tc>
      </w:tr>
    </w:tbl>
    <w:p w14:paraId="6CF11114" w14:textId="77777777" w:rsidR="00E52F46" w:rsidRDefault="00E52F46">
      <w:pPr>
        <w:spacing w:line="360" w:lineRule="auto"/>
        <w:ind w:right="-787"/>
        <w:jc w:val="both"/>
        <w:rPr>
          <w:rFonts w:ascii="Palatino Linotype" w:eastAsia="Palatino Linotype" w:hAnsi="Palatino Linotype" w:cs="Palatino Linotype"/>
        </w:rPr>
      </w:pPr>
    </w:p>
    <w:p w14:paraId="77291503"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respuesta recibida el entonces solicitante, interpuso el recurso de revisión, manifestando que no se entregó la información solicitada. </w:t>
      </w:r>
    </w:p>
    <w:p w14:paraId="7E1811E4" w14:textId="77777777" w:rsidR="00E52F46" w:rsidRDefault="00E52F46">
      <w:pPr>
        <w:spacing w:line="360" w:lineRule="auto"/>
        <w:ind w:right="-787"/>
        <w:jc w:val="both"/>
        <w:rPr>
          <w:rFonts w:ascii="Palatino Linotype" w:eastAsia="Palatino Linotype" w:hAnsi="Palatino Linotype" w:cs="Palatino Linotype"/>
        </w:rPr>
      </w:pPr>
    </w:p>
    <w:p w14:paraId="7C735721"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Ahora bien, </w:t>
      </w:r>
      <w:r>
        <w:rPr>
          <w:rFonts w:ascii="Palatino Linotype" w:eastAsia="Palatino Linotype" w:hAnsi="Palatino Linotype" w:cs="Palatino Linotype"/>
          <w:color w:val="000000"/>
        </w:rPr>
        <w:t xml:space="preserve"> se advierte, que el particular planteó una cuestión con la que pretendía que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le contestara una inquietud, por lo que es obvio que el particular no está ejerciendo su derecho de acceso a la información pública; debido a que en la solicitud consiste </w:t>
      </w:r>
      <w:r>
        <w:rPr>
          <w:rFonts w:ascii="Palatino Linotype" w:eastAsia="Palatino Linotype" w:hAnsi="Palatino Linotype" w:cs="Palatino Linotype"/>
        </w:rPr>
        <w:t xml:space="preserve">en que se haga una revisión de un situación en particular, situación </w:t>
      </w:r>
      <w:r>
        <w:rPr>
          <w:rFonts w:ascii="Palatino Linotype" w:eastAsia="Palatino Linotype" w:hAnsi="Palatino Linotype" w:cs="Palatino Linotype"/>
          <w:color w:val="000000"/>
        </w:rPr>
        <w:t xml:space="preserve">que no es factible atenderse vía acceso a la información, es decir, que </w:t>
      </w:r>
      <w:r>
        <w:rPr>
          <w:rFonts w:ascii="Palatino Linotype" w:eastAsia="Palatino Linotype" w:hAnsi="Palatino Linotype" w:cs="Palatino Linotype"/>
        </w:rPr>
        <w:t xml:space="preserve">dicho requerimiento </w:t>
      </w:r>
      <w:r>
        <w:rPr>
          <w:rFonts w:ascii="Palatino Linotype" w:eastAsia="Palatino Linotype" w:hAnsi="Palatino Linotype" w:cs="Palatino Linotype"/>
          <w:color w:val="000000"/>
        </w:rPr>
        <w:t xml:space="preserve">se colme con documentos que obren en los archivos del </w:t>
      </w:r>
      <w:r>
        <w:rPr>
          <w:rFonts w:ascii="Palatino Linotype" w:eastAsia="Palatino Linotype" w:hAnsi="Palatino Linotype" w:cs="Palatino Linotype"/>
          <w:b/>
          <w:color w:val="000000"/>
        </w:rPr>
        <w:t>SUJETO OBLIGADO.</w:t>
      </w:r>
    </w:p>
    <w:p w14:paraId="6FE27E34" w14:textId="77777777" w:rsidR="00E52F46" w:rsidRDefault="00E52F46">
      <w:pPr>
        <w:spacing w:line="360" w:lineRule="auto"/>
        <w:ind w:right="-787"/>
        <w:jc w:val="both"/>
        <w:rPr>
          <w:rFonts w:ascii="Palatino Linotype" w:eastAsia="Palatino Linotype" w:hAnsi="Palatino Linotype" w:cs="Palatino Linotype"/>
        </w:rPr>
      </w:pPr>
    </w:p>
    <w:p w14:paraId="5F107C69"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tal contexto, del análisis realizado al expediente electrónico, se advierte que la solicitud no constituye un derecho de acceso a la información y por lo tanto no es atendible mediante una solicitud de acceso a la información pública, porque se tratan de una</w:t>
      </w:r>
      <w:r>
        <w:rPr>
          <w:rFonts w:ascii="Palatino Linotype" w:eastAsia="Palatino Linotype" w:hAnsi="Palatino Linotype" w:cs="Palatino Linotype"/>
        </w:rPr>
        <w:t xml:space="preserve"> petición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lastRenderedPageBreak/>
        <w:t>para un caso específico, situación que conlleva a afirmar que se está en presencia del ejercicio del derecho de petición.</w:t>
      </w:r>
    </w:p>
    <w:p w14:paraId="1681BB2A" w14:textId="77777777" w:rsidR="00E52F46" w:rsidRDefault="00E52F46">
      <w:pPr>
        <w:spacing w:line="360" w:lineRule="auto"/>
        <w:ind w:right="-787"/>
        <w:jc w:val="both"/>
        <w:rPr>
          <w:rFonts w:ascii="Palatino Linotype" w:eastAsia="Palatino Linotype" w:hAnsi="Palatino Linotype" w:cs="Palatino Linotype"/>
          <w:b/>
          <w:color w:val="000000"/>
        </w:rPr>
      </w:pPr>
    </w:p>
    <w:p w14:paraId="09F5E6C5"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ese sentido, es importante diferenciar lo que se entiende por derecho de petición y por derecho de acceso a la información pública.</w:t>
      </w:r>
    </w:p>
    <w:p w14:paraId="39A2C2FF" w14:textId="77777777" w:rsidR="00E52F46" w:rsidRDefault="00E52F46">
      <w:pPr>
        <w:spacing w:line="360" w:lineRule="auto"/>
        <w:ind w:right="-787"/>
        <w:jc w:val="both"/>
        <w:rPr>
          <w:rFonts w:ascii="Palatino Linotype" w:eastAsia="Palatino Linotype" w:hAnsi="Palatino Linotype" w:cs="Palatino Linotype"/>
        </w:rPr>
      </w:pPr>
    </w:p>
    <w:p w14:paraId="341F89A7" w14:textId="77777777" w:rsidR="00E52F46" w:rsidRDefault="00363413">
      <w:p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t>Derecho de Petición:</w:t>
      </w:r>
    </w:p>
    <w:p w14:paraId="38F09D6A"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El Doctor Ignacio Burgoa Orihuela refiere que derecho de petición: "...</w:t>
      </w:r>
      <w:r>
        <w:rPr>
          <w:rFonts w:ascii="Palatino Linotype" w:eastAsia="Palatino Linotype" w:hAnsi="Palatino Linotype" w:cs="Palatino Linotype"/>
          <w:i/>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Pr>
          <w:rFonts w:ascii="Palatino Linotype" w:eastAsia="Palatino Linotype" w:hAnsi="Palatino Linotype" w:cs="Palatino Linotype"/>
        </w:rPr>
        <w:t>"</w:t>
      </w:r>
      <w:r>
        <w:rPr>
          <w:rFonts w:ascii="Palatino Linotype" w:eastAsia="Palatino Linotype" w:hAnsi="Palatino Linotype" w:cs="Palatino Linotype"/>
          <w:vertAlign w:val="superscript"/>
        </w:rPr>
        <w:footnoteReference w:id="6"/>
      </w:r>
      <w:r>
        <w:rPr>
          <w:rFonts w:ascii="Palatino Linotype" w:eastAsia="Palatino Linotype" w:hAnsi="Palatino Linotype" w:cs="Palatino Linotype"/>
        </w:rPr>
        <w:t>(Sic)</w:t>
      </w:r>
    </w:p>
    <w:p w14:paraId="01D3CBDF" w14:textId="77777777" w:rsidR="00E52F46" w:rsidRDefault="00363413">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Por su parte, David Cienfuegos Salgado, concibe al derecho de petición como </w:t>
      </w:r>
      <w:r>
        <w:rPr>
          <w:rFonts w:ascii="Palatino Linotype" w:eastAsia="Palatino Linotype" w:hAnsi="Palatino Linotype" w:cs="Palatino Linotype"/>
          <w:i/>
          <w:color w:val="000000"/>
        </w:rPr>
        <w:t>“el derecho de toda persona a ser escuchado por quienes ejercen el poder público.</w:t>
      </w:r>
      <w:r>
        <w:rPr>
          <w:rFonts w:ascii="Palatino Linotype" w:eastAsia="Palatino Linotype" w:hAnsi="Palatino Linotype" w:cs="Palatino Linotype"/>
          <w:i/>
          <w:color w:val="000000"/>
          <w:vertAlign w:val="superscript"/>
        </w:rPr>
        <w:t xml:space="preserve"> </w:t>
      </w:r>
      <w:r>
        <w:rPr>
          <w:rFonts w:ascii="Palatino Linotype" w:eastAsia="Palatino Linotype" w:hAnsi="Palatino Linotype" w:cs="Palatino Linotype"/>
          <w:i/>
          <w:color w:val="000000"/>
          <w:vertAlign w:val="superscript"/>
        </w:rPr>
        <w:footnoteReference w:id="7"/>
      </w:r>
      <w:r>
        <w:rPr>
          <w:rFonts w:ascii="Palatino Linotype" w:eastAsia="Palatino Linotype" w:hAnsi="Palatino Linotype" w:cs="Palatino Linotype"/>
          <w:i/>
          <w:color w:val="000000"/>
        </w:rPr>
        <w:t xml:space="preserve">” (Sic) </w:t>
      </w:r>
    </w:p>
    <w:p w14:paraId="3540CDC1"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14:paraId="1222313F"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misma manera, Migue Carbonell en su libro “Los derechos fundamentales” refiere que el derecho de petición se ha entendido de dos distintas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w:t>
      </w:r>
      <w:r>
        <w:rPr>
          <w:rFonts w:ascii="Palatino Linotype" w:eastAsia="Palatino Linotype" w:hAnsi="Palatino Linotype" w:cs="Palatino Linotype"/>
        </w:rPr>
        <w:lastRenderedPageBreak/>
        <w:t>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Pr>
          <w:rFonts w:ascii="Palatino Linotype" w:eastAsia="Palatino Linotype" w:hAnsi="Palatino Linotype" w:cs="Palatino Linotype"/>
          <w:vertAlign w:val="superscript"/>
        </w:rPr>
        <w:footnoteReference w:id="8"/>
      </w:r>
    </w:p>
    <w:p w14:paraId="44C7F6FB" w14:textId="77777777" w:rsidR="00E52F46" w:rsidRDefault="00E52F46">
      <w:pPr>
        <w:spacing w:line="360" w:lineRule="auto"/>
        <w:ind w:right="-787"/>
        <w:jc w:val="both"/>
        <w:rPr>
          <w:rFonts w:ascii="Palatino Linotype" w:eastAsia="Palatino Linotype" w:hAnsi="Palatino Linotype" w:cs="Palatino Linotype"/>
        </w:rPr>
      </w:pPr>
    </w:p>
    <w:p w14:paraId="465AE4C2" w14:textId="77777777" w:rsidR="00E52F46" w:rsidRDefault="00363413">
      <w:p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t>Derecho de Acceso a la Información Pública:</w:t>
      </w:r>
    </w:p>
    <w:p w14:paraId="2806BDB2"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25A819A0" w14:textId="77777777" w:rsidR="00E52F46" w:rsidRDefault="00E52F46">
      <w:pPr>
        <w:pBdr>
          <w:top w:val="nil"/>
          <w:left w:val="nil"/>
          <w:bottom w:val="nil"/>
          <w:right w:val="nil"/>
          <w:between w:val="nil"/>
        </w:pBdr>
        <w:spacing w:line="360" w:lineRule="auto"/>
        <w:ind w:left="93" w:right="-787"/>
        <w:rPr>
          <w:color w:val="000000"/>
        </w:rPr>
      </w:pPr>
    </w:p>
    <w:p w14:paraId="3CEBDF4C"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Pr>
          <w:rFonts w:ascii="Palatino Linotype" w:eastAsia="Palatino Linotype" w:hAnsi="Palatino Linotype" w:cs="Palatino Linotype"/>
          <w:color w:val="000000"/>
          <w:vertAlign w:val="superscript"/>
        </w:rPr>
        <w:footnoteReference w:id="9"/>
      </w:r>
    </w:p>
    <w:p w14:paraId="3FE24E16"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7DA75E9"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mismo modo, para diferenciar el derecho de petición del derecho de acceso a la información pública, resulta conveniente citar a José Guadalupe Robles, quien conceptualiza el derecho a la información como "un derecho fundamental tanto de carácter </w:t>
      </w:r>
      <w:r>
        <w:rPr>
          <w:rFonts w:ascii="Palatino Linotype" w:eastAsia="Palatino Linotype" w:hAnsi="Palatino Linotype" w:cs="Palatino Linotype"/>
          <w:color w:val="000000"/>
        </w:rPr>
        <w:lastRenderedPageBreak/>
        <w:t xml:space="preserve">individual como colectivo, cuyas limitaciones deben estar establecidas en la ley, así corno una garantía de que la información sea tramitada con claridad y objetividad, por cuanto a que es un </w:t>
      </w:r>
      <w:r>
        <w:rPr>
          <w:rFonts w:ascii="Palatino Linotype" w:eastAsia="Palatino Linotype" w:hAnsi="Palatino Linotype" w:cs="Palatino Linotype"/>
        </w:rPr>
        <w:t>bien</w:t>
      </w:r>
      <w:r>
        <w:rPr>
          <w:rFonts w:ascii="Palatino Linotype" w:eastAsia="Palatino Linotype" w:hAnsi="Palatino Linotype" w:cs="Palatino Linotype"/>
          <w:color w:val="000000"/>
        </w:rPr>
        <w:t xml:space="preserve"> jurídico que coadyuva al desarrollo de las personas y a la formación de opinión pública de calidad para poder participar y luego influir en la vida pública.”</w:t>
      </w:r>
      <w:r>
        <w:rPr>
          <w:rFonts w:ascii="Palatino Linotype" w:eastAsia="Palatino Linotype" w:hAnsi="Palatino Linotype" w:cs="Palatino Linotype"/>
          <w:color w:val="000000"/>
          <w:vertAlign w:val="superscript"/>
        </w:rPr>
        <w:footnoteReference w:id="10"/>
      </w:r>
    </w:p>
    <w:p w14:paraId="42EA5645"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32FC5AC0"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6324EBF" w14:textId="77777777" w:rsidR="00E52F46" w:rsidRDefault="00363413">
      <w:pPr>
        <w:ind w:left="708"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2303A472" w14:textId="77777777" w:rsidR="00E52F46" w:rsidRDefault="00363413">
      <w:pPr>
        <w:ind w:left="708"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32,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DC85F96" w14:textId="77777777" w:rsidR="00E52F46" w:rsidRDefault="00363413">
      <w:pPr>
        <w:ind w:left="708"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B07E3D8" w14:textId="77777777" w:rsidR="00E52F46" w:rsidRDefault="00363413">
      <w:pPr>
        <w:ind w:left="708"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28BCB3F5" w14:textId="77777777" w:rsidR="00E52F46" w:rsidRDefault="00363413">
      <w:pPr>
        <w:ind w:left="708"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6A50736D" w14:textId="77777777" w:rsidR="00E52F46" w:rsidRDefault="00363413">
      <w:pPr>
        <w:ind w:left="708"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2B6909FF" w14:textId="77777777" w:rsidR="00E52F46" w:rsidRDefault="00E52F46">
      <w:pPr>
        <w:pBdr>
          <w:top w:val="nil"/>
          <w:left w:val="nil"/>
          <w:bottom w:val="nil"/>
          <w:right w:val="nil"/>
          <w:between w:val="nil"/>
        </w:pBdr>
        <w:ind w:left="1134" w:right="-787"/>
        <w:jc w:val="both"/>
        <w:rPr>
          <w:rFonts w:ascii="Palatino Linotype" w:eastAsia="Palatino Linotype" w:hAnsi="Palatino Linotype" w:cs="Palatino Linotype"/>
          <w:color w:val="000000"/>
        </w:rPr>
      </w:pPr>
    </w:p>
    <w:p w14:paraId="77B1369A"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6488B046"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ADF50DB"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base a lo anterior, tenemos que </w:t>
      </w:r>
      <w:r>
        <w:rPr>
          <w:rFonts w:ascii="Palatino Linotype" w:eastAsia="Palatino Linotype" w:hAnsi="Palatino Linotype" w:cs="Palatino Linotype"/>
          <w:b/>
          <w:color w:val="000000"/>
        </w:rPr>
        <w:t>LA PARTE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su solicitud de información requiere de una explicación o bien una razón a una consulta sobre un caso específico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142DE330" w14:textId="77777777" w:rsidR="00E52F46"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rPr>
      </w:pPr>
    </w:p>
    <w:p w14:paraId="3F716534"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w:t>
      </w:r>
      <w:r>
        <w:rPr>
          <w:rFonts w:ascii="Palatino Linotype" w:eastAsia="Palatino Linotype" w:hAnsi="Palatino Linotype" w:cs="Palatino Linotype"/>
          <w:color w:val="000000"/>
        </w:rPr>
        <w:lastRenderedPageBreak/>
        <w:t xml:space="preserve">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aclare una inquietud.</w:t>
      </w:r>
    </w:p>
    <w:p w14:paraId="7C4461A4" w14:textId="77777777" w:rsidR="00E52F46" w:rsidRDefault="00E52F46">
      <w:pPr>
        <w:spacing w:line="360" w:lineRule="auto"/>
        <w:ind w:right="-787"/>
        <w:jc w:val="both"/>
        <w:rPr>
          <w:rFonts w:ascii="Palatino Linotype" w:eastAsia="Palatino Linotype" w:hAnsi="Palatino Linotype" w:cs="Palatino Linotype"/>
        </w:rPr>
      </w:pPr>
    </w:p>
    <w:p w14:paraId="6662C40A"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virtud de los argumentos expuestos con anterioridad así como del análisis realizado a las constancias que obran en el expediente electrónico del SAIMEX, identificado con folio </w:t>
      </w:r>
      <w:r>
        <w:rPr>
          <w:rFonts w:ascii="Palatino Linotype" w:eastAsia="Palatino Linotype" w:hAnsi="Palatino Linotype" w:cs="Palatino Linotype"/>
          <w:b/>
          <w:color w:val="000000"/>
        </w:rPr>
        <w:t>00054/TEZOYUCA/IP/2024</w:t>
      </w:r>
      <w:r>
        <w:rPr>
          <w:rFonts w:ascii="Palatino Linotype" w:eastAsia="Palatino Linotype" w:hAnsi="Palatino Linotype" w:cs="Palatino Linotype"/>
          <w:color w:val="000000"/>
        </w:rPr>
        <w:t xml:space="preserve">, se determina sobreseer el presente recurso de revisión número </w:t>
      </w:r>
      <w:r>
        <w:rPr>
          <w:rFonts w:ascii="Palatino Linotype" w:eastAsia="Palatino Linotype" w:hAnsi="Palatino Linotype" w:cs="Palatino Linotype"/>
          <w:b/>
          <w:color w:val="000000"/>
        </w:rPr>
        <w:t>03789/INFOEM/IP/RR/2024</w:t>
      </w:r>
      <w:r>
        <w:rPr>
          <w:rFonts w:ascii="Palatino Linotype" w:eastAsia="Palatino Linotype" w:hAnsi="Palatino Linotype" w:cs="Palatino Linotype"/>
          <w:color w:val="000000"/>
        </w:rPr>
        <w:t>,</w:t>
      </w:r>
      <w:r>
        <w:rPr>
          <w:rFonts w:ascii="Verdana" w:eastAsia="Verdana" w:hAnsi="Verdana" w:cs="Verdana"/>
          <w:b/>
          <w:color w:val="FF0000"/>
        </w:rPr>
        <w:t xml:space="preserve"> </w:t>
      </w:r>
      <w:r>
        <w:rPr>
          <w:rFonts w:ascii="Palatino Linotype" w:eastAsia="Palatino Linotype" w:hAnsi="Palatino Linotype" w:cs="Palatino Linotype"/>
          <w:color w:val="000000"/>
        </w:rPr>
        <w:t>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7607B063" w14:textId="77777777" w:rsidR="00E52F46" w:rsidRDefault="00363413">
      <w:pPr>
        <w:pBdr>
          <w:top w:val="nil"/>
          <w:left w:val="nil"/>
          <w:bottom w:val="nil"/>
          <w:right w:val="nil"/>
          <w:between w:val="nil"/>
        </w:pBdr>
        <w:ind w:left="708"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192.</w:t>
      </w:r>
      <w:r>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14:paraId="2006B05E" w14:textId="77777777" w:rsidR="00E52F46" w:rsidRDefault="00363413">
      <w:pPr>
        <w:pBdr>
          <w:top w:val="nil"/>
          <w:left w:val="nil"/>
          <w:bottom w:val="nil"/>
          <w:right w:val="nil"/>
          <w:between w:val="nil"/>
        </w:pBdr>
        <w:ind w:left="708"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p>
    <w:p w14:paraId="3BA8B6ED" w14:textId="77777777" w:rsidR="00E52F46" w:rsidRDefault="00363413">
      <w:pPr>
        <w:pBdr>
          <w:top w:val="nil"/>
          <w:left w:val="nil"/>
          <w:bottom w:val="nil"/>
          <w:right w:val="nil"/>
          <w:between w:val="nil"/>
        </w:pBdr>
        <w:ind w:left="708"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IV</w:t>
      </w:r>
      <w:r>
        <w:rPr>
          <w:rFonts w:ascii="Palatino Linotype" w:eastAsia="Palatino Linotype" w:hAnsi="Palatino Linotype" w:cs="Palatino Linotype"/>
          <w:i/>
          <w:color w:val="000000"/>
          <w:sz w:val="22"/>
          <w:szCs w:val="22"/>
        </w:rPr>
        <w:t xml:space="preserve">. Admitido el recurso de revisión, </w:t>
      </w:r>
      <w:r>
        <w:rPr>
          <w:rFonts w:ascii="Palatino Linotype" w:eastAsia="Palatino Linotype" w:hAnsi="Palatino Linotype" w:cs="Palatino Linotype"/>
          <w:b/>
          <w:i/>
          <w:color w:val="000000"/>
          <w:sz w:val="22"/>
          <w:szCs w:val="22"/>
        </w:rPr>
        <w:t>aparezca alguna causal de improcedencia</w:t>
      </w:r>
      <w:r>
        <w:rPr>
          <w:rFonts w:ascii="Palatino Linotype" w:eastAsia="Palatino Linotype" w:hAnsi="Palatino Linotype" w:cs="Palatino Linotype"/>
          <w:i/>
          <w:color w:val="000000"/>
          <w:sz w:val="22"/>
          <w:szCs w:val="22"/>
        </w:rPr>
        <w:t xml:space="preserve"> en los términos de la presente Ley…</w:t>
      </w:r>
    </w:p>
    <w:p w14:paraId="527E8574" w14:textId="77777777" w:rsidR="00E52F46" w:rsidRDefault="00363413">
      <w:pPr>
        <w:pBdr>
          <w:top w:val="nil"/>
          <w:left w:val="nil"/>
          <w:bottom w:val="nil"/>
          <w:right w:val="nil"/>
          <w:between w:val="nil"/>
        </w:pBdr>
        <w:ind w:left="708"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recurso</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será </w:t>
      </w:r>
      <w:r>
        <w:rPr>
          <w:rFonts w:ascii="Palatino Linotype" w:eastAsia="Palatino Linotype" w:hAnsi="Palatino Linotype" w:cs="Palatino Linotype"/>
          <w:i/>
          <w:color w:val="000000"/>
          <w:sz w:val="22"/>
          <w:szCs w:val="22"/>
        </w:rPr>
        <w:t xml:space="preserve">desechado por </w:t>
      </w:r>
      <w:r>
        <w:rPr>
          <w:rFonts w:ascii="Palatino Linotype" w:eastAsia="Palatino Linotype" w:hAnsi="Palatino Linotype" w:cs="Palatino Linotype"/>
          <w:b/>
          <w:i/>
          <w:color w:val="000000"/>
          <w:sz w:val="22"/>
          <w:szCs w:val="22"/>
        </w:rPr>
        <w:t>improcedente cuando</w:t>
      </w:r>
      <w:r>
        <w:rPr>
          <w:rFonts w:ascii="Palatino Linotype" w:eastAsia="Palatino Linotype" w:hAnsi="Palatino Linotype" w:cs="Palatino Linotype"/>
          <w:i/>
          <w:color w:val="000000"/>
          <w:sz w:val="22"/>
          <w:szCs w:val="22"/>
        </w:rPr>
        <w:t>:</w:t>
      </w:r>
    </w:p>
    <w:p w14:paraId="5AD2876F" w14:textId="77777777" w:rsidR="00E52F46" w:rsidRDefault="00363413">
      <w:pPr>
        <w:pBdr>
          <w:top w:val="nil"/>
          <w:left w:val="nil"/>
          <w:bottom w:val="nil"/>
          <w:right w:val="nil"/>
          <w:between w:val="nil"/>
        </w:pBdr>
        <w:ind w:left="708"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9A2946D" w14:textId="77777777" w:rsidR="00E52F46" w:rsidRDefault="00363413">
      <w:pPr>
        <w:pBdr>
          <w:top w:val="nil"/>
          <w:left w:val="nil"/>
          <w:bottom w:val="nil"/>
          <w:right w:val="nil"/>
          <w:between w:val="nil"/>
        </w:pBdr>
        <w:ind w:left="708"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VI. Se trate de una consulta</w:t>
      </w:r>
      <w:r>
        <w:rPr>
          <w:rFonts w:ascii="Palatino Linotype" w:eastAsia="Palatino Linotype" w:hAnsi="Palatino Linotype" w:cs="Palatino Linotype"/>
          <w:i/>
          <w:color w:val="000000"/>
          <w:sz w:val="22"/>
          <w:szCs w:val="22"/>
        </w:rPr>
        <w:t>, o tramite en específico... (Sic)</w:t>
      </w:r>
    </w:p>
    <w:p w14:paraId="4D24F10A" w14:textId="77777777" w:rsidR="00E52F46" w:rsidRDefault="00E52F46">
      <w:pPr>
        <w:pBdr>
          <w:top w:val="nil"/>
          <w:left w:val="nil"/>
          <w:bottom w:val="nil"/>
          <w:right w:val="nil"/>
          <w:between w:val="nil"/>
        </w:pBdr>
        <w:spacing w:line="276" w:lineRule="auto"/>
        <w:ind w:right="-787"/>
        <w:jc w:val="both"/>
        <w:rPr>
          <w:rFonts w:ascii="Palatino Linotype" w:eastAsia="Palatino Linotype" w:hAnsi="Palatino Linotype" w:cs="Palatino Linotype"/>
          <w:i/>
          <w:color w:val="000000"/>
        </w:rPr>
      </w:pPr>
    </w:p>
    <w:p w14:paraId="1D3FE580" w14:textId="77777777" w:rsidR="00E52F46"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Siendo</w:t>
      </w:r>
      <w:r>
        <w:rPr>
          <w:rFonts w:ascii="Palatino Linotype" w:eastAsia="Palatino Linotype" w:hAnsi="Palatino Linotype" w:cs="Palatino Linotype"/>
        </w:rPr>
        <w:t xml:space="preserve"> el </w:t>
      </w:r>
      <w:r>
        <w:rPr>
          <w:rFonts w:ascii="Palatino Linotype" w:eastAsia="Palatino Linotype" w:hAnsi="Palatino Linotype" w:cs="Palatino Linotype"/>
          <w:i/>
        </w:rPr>
        <w:t>sobreseimiento</w:t>
      </w:r>
      <w:r>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son los dar por concluido el recurso de revisión sin entrar al estudio de fondo del asunto de que se trate, cabe destacar que la decisión de este Organismo Colegiado de sobreseer el recurso de revisión no implica una limitación o negación a la justicia, según lo ha establecido el Poder Judicial Federal, en el criterio que es aplicable por analogía, con rubro:</w:t>
      </w:r>
    </w:p>
    <w:p w14:paraId="37542350" w14:textId="77777777" w:rsidR="00E52F46" w:rsidRDefault="00363413">
      <w:pPr>
        <w:spacing w:line="276" w:lineRule="auto"/>
        <w:ind w:left="566" w:right="-79"/>
        <w:jc w:val="both"/>
        <w:rPr>
          <w:rFonts w:ascii="Palatino Linotype" w:eastAsia="Palatino Linotype" w:hAnsi="Palatino Linotype" w:cs="Palatino Linotype"/>
          <w:b/>
          <w:i/>
        </w:rPr>
      </w:pPr>
      <w:r>
        <w:rPr>
          <w:rFonts w:ascii="Palatino Linotype" w:eastAsia="Palatino Linotype" w:hAnsi="Palatino Linotype" w:cs="Palatino Linotype"/>
          <w:b/>
          <w:i/>
        </w:rPr>
        <w:t>“DESECHAMIENTO O SOBRESEIMIENTO EN EL JUICIO DE AMPARO. NO IMPLICA DENEGACIÓN DE JUSTICIA NI GENERA INSEGURIDAD JURÍDICA”</w:t>
      </w:r>
    </w:p>
    <w:p w14:paraId="31DB764D" w14:textId="77777777" w:rsidR="00E52F46" w:rsidRDefault="00363413">
      <w:pPr>
        <w:spacing w:line="276" w:lineRule="auto"/>
        <w:ind w:left="566" w:right="-79"/>
        <w:jc w:val="both"/>
        <w:rPr>
          <w:rFonts w:ascii="Palatino Linotype" w:eastAsia="Palatino Linotype" w:hAnsi="Palatino Linotype" w:cs="Palatino Linotype"/>
        </w:rPr>
      </w:pPr>
      <w:r>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w:t>
      </w:r>
      <w:r>
        <w:rPr>
          <w:rFonts w:ascii="Palatino Linotype" w:eastAsia="Palatino Linotype" w:hAnsi="Palatino Linotype" w:cs="Palatino Linotype"/>
          <w:i/>
        </w:rPr>
        <w:lastRenderedPageBreak/>
        <w:t>respuesta a la petición de amparo, con independencia de que no comparta el sentido de la resolución, dado que de esa forma quien imparte justicia se pronuncia sobre la acción, diciendo así el derecho y permitiendo que impere el orden jurídico.”</w:t>
      </w:r>
    </w:p>
    <w:p w14:paraId="4B563154" w14:textId="77777777" w:rsidR="00E52F46" w:rsidRDefault="00E52F46">
      <w:pPr>
        <w:spacing w:line="276" w:lineRule="auto"/>
        <w:ind w:left="851" w:right="-787"/>
        <w:jc w:val="both"/>
        <w:rPr>
          <w:rFonts w:ascii="Palatino Linotype" w:eastAsia="Palatino Linotype" w:hAnsi="Palatino Linotype" w:cs="Palatino Linotype"/>
          <w:i/>
        </w:rPr>
      </w:pPr>
    </w:p>
    <w:p w14:paraId="44AF36B0" w14:textId="77777777" w:rsidR="00E52F46" w:rsidRPr="005557D4" w:rsidRDefault="00363413">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w:t>
      </w:r>
      <w:r>
        <w:rPr>
          <w:rFonts w:ascii="Palatino Linotype" w:eastAsia="Palatino Linotype" w:hAnsi="Palatino Linotype" w:cs="Palatino Linotype"/>
          <w:color w:val="000000"/>
        </w:rPr>
        <w:t>de</w:t>
      </w:r>
      <w:r>
        <w:rPr>
          <w:rFonts w:ascii="Palatino Linotype" w:eastAsia="Palatino Linotype" w:hAnsi="Palatino Linotype" w:cs="Palatino Linotype"/>
        </w:rPr>
        <w:t xml:space="preserve"> las constancias que obran en el expediente de mérito, se advierte que se actualiza la causal de sobreseimiento enunciada en la fracción IV del artículo 192 de la Ley de Transparencia Local, en </w:t>
      </w:r>
      <w:r w:rsidRPr="005557D4">
        <w:rPr>
          <w:rFonts w:ascii="Palatino Linotype" w:eastAsia="Palatino Linotype" w:hAnsi="Palatino Linotype" w:cs="Palatino Linotype"/>
        </w:rPr>
        <w:t xml:space="preserve">relación directa con la fracción VI del artículo 191 de la misma Ley, en el recurso de revisión </w:t>
      </w:r>
      <w:r w:rsidR="00C74D03" w:rsidRPr="005557D4">
        <w:rPr>
          <w:rFonts w:ascii="Palatino Linotype" w:eastAsia="Palatino Linotype" w:hAnsi="Palatino Linotype" w:cs="Palatino Linotype"/>
          <w:b/>
        </w:rPr>
        <w:t>03789</w:t>
      </w:r>
      <w:r w:rsidRPr="005557D4">
        <w:rPr>
          <w:rFonts w:ascii="Palatino Linotype" w:eastAsia="Palatino Linotype" w:hAnsi="Palatino Linotype" w:cs="Palatino Linotype"/>
          <w:b/>
        </w:rPr>
        <w:t>/INFOEM/IP/RR/2024</w:t>
      </w:r>
      <w:r w:rsidRPr="005557D4">
        <w:rPr>
          <w:rFonts w:ascii="Palatino Linotype" w:eastAsia="Palatino Linotype" w:hAnsi="Palatino Linotype" w:cs="Palatino Linotype"/>
        </w:rPr>
        <w:t xml:space="preserve"> toda vez que </w:t>
      </w:r>
      <w:r w:rsidRPr="005557D4">
        <w:rPr>
          <w:rFonts w:ascii="Palatino Linotype" w:eastAsia="Palatino Linotype" w:hAnsi="Palatino Linotype" w:cs="Palatino Linotype"/>
          <w:b/>
        </w:rPr>
        <w:t>LA PARTE</w:t>
      </w:r>
      <w:r w:rsidRPr="005557D4">
        <w:rPr>
          <w:rFonts w:ascii="Palatino Linotype" w:eastAsia="Palatino Linotype" w:hAnsi="Palatino Linotype" w:cs="Palatino Linotype"/>
        </w:rPr>
        <w:t xml:space="preserve"> </w:t>
      </w:r>
      <w:r w:rsidRPr="005557D4">
        <w:rPr>
          <w:rFonts w:ascii="Palatino Linotype" w:eastAsia="Palatino Linotype" w:hAnsi="Palatino Linotype" w:cs="Palatino Linotype"/>
          <w:b/>
        </w:rPr>
        <w:t>RECURRENTE</w:t>
      </w:r>
      <w:r w:rsidRPr="005557D4">
        <w:rPr>
          <w:rFonts w:ascii="Palatino Linotype" w:eastAsia="Palatino Linotype" w:hAnsi="Palatino Linotype" w:cs="Palatino Linotype"/>
        </w:rPr>
        <w:t xml:space="preserve"> realiza una consulta en su solicitud de información. </w:t>
      </w:r>
    </w:p>
    <w:p w14:paraId="10D1C93E" w14:textId="77777777" w:rsidR="00E52F46" w:rsidRPr="005557D4" w:rsidRDefault="00E52F46">
      <w:pPr>
        <w:pBdr>
          <w:top w:val="nil"/>
          <w:left w:val="nil"/>
          <w:bottom w:val="nil"/>
          <w:right w:val="nil"/>
          <w:between w:val="nil"/>
        </w:pBdr>
        <w:ind w:left="720" w:right="-787"/>
        <w:rPr>
          <w:rFonts w:ascii="Palatino Linotype" w:eastAsia="Palatino Linotype" w:hAnsi="Palatino Linotype" w:cs="Palatino Linotype"/>
          <w:color w:val="000000"/>
        </w:rPr>
      </w:pPr>
    </w:p>
    <w:p w14:paraId="5B22180D" w14:textId="77777777" w:rsidR="00E52F46" w:rsidRPr="005557D4" w:rsidRDefault="00363413" w:rsidP="008B3AB1">
      <w:pPr>
        <w:numPr>
          <w:ilvl w:val="0"/>
          <w:numId w:val="7"/>
        </w:numPr>
        <w:spacing w:line="360" w:lineRule="auto"/>
        <w:ind w:left="0" w:right="-787" w:firstLine="0"/>
        <w:jc w:val="both"/>
        <w:rPr>
          <w:rFonts w:ascii="Palatino Linotype" w:eastAsia="Palatino Linotype" w:hAnsi="Palatino Linotype" w:cs="Palatino Linotype"/>
          <w:color w:val="000000"/>
        </w:rPr>
      </w:pPr>
      <w:r w:rsidRPr="005557D4">
        <w:rPr>
          <w:rFonts w:ascii="Palatino Linotype" w:eastAsia="Palatino Linotype" w:hAnsi="Palatino Linotype" w:cs="Palatino Linotype"/>
          <w:color w:val="000000"/>
        </w:rPr>
        <w:t xml:space="preserve">Por lo anteriormente expuesto y fundado, este </w:t>
      </w:r>
      <w:r w:rsidRPr="005557D4">
        <w:rPr>
          <w:rFonts w:ascii="Palatino Linotype" w:eastAsia="Palatino Linotype" w:hAnsi="Palatino Linotype" w:cs="Palatino Linotype"/>
          <w:b/>
          <w:color w:val="000000"/>
        </w:rPr>
        <w:t>ÓRGANO GARANTE</w:t>
      </w:r>
      <w:r w:rsidRPr="005557D4">
        <w:rPr>
          <w:rFonts w:ascii="Palatino Linotype" w:eastAsia="Palatino Linotype" w:hAnsi="Palatino Linotype" w:cs="Palatino Linotype"/>
          <w:color w:val="000000"/>
        </w:rPr>
        <w:t xml:space="preserve"> emite los siguientes:</w:t>
      </w:r>
    </w:p>
    <w:p w14:paraId="4601A455" w14:textId="77777777" w:rsidR="00E52F46" w:rsidRPr="005557D4" w:rsidRDefault="00E52F4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80A2326" w14:textId="77777777" w:rsidR="00E52F46" w:rsidRPr="005557D4" w:rsidRDefault="00363413">
      <w:pPr>
        <w:keepNext/>
        <w:keepLines/>
        <w:spacing w:line="360" w:lineRule="auto"/>
        <w:ind w:right="-787"/>
        <w:jc w:val="center"/>
        <w:rPr>
          <w:rFonts w:ascii="Palatino Linotype" w:eastAsia="Palatino Linotype" w:hAnsi="Palatino Linotype" w:cs="Palatino Linotype"/>
          <w:b/>
          <w:color w:val="000000"/>
        </w:rPr>
      </w:pPr>
      <w:bookmarkStart w:id="19" w:name="_heading=h.35nkun2" w:colFirst="0" w:colLast="0"/>
      <w:bookmarkEnd w:id="19"/>
      <w:r w:rsidRPr="005557D4">
        <w:rPr>
          <w:rFonts w:ascii="Palatino Linotype" w:eastAsia="Palatino Linotype" w:hAnsi="Palatino Linotype" w:cs="Palatino Linotype"/>
          <w:b/>
          <w:color w:val="000000"/>
        </w:rPr>
        <w:t xml:space="preserve">R E S O L U T I V O S </w:t>
      </w:r>
    </w:p>
    <w:p w14:paraId="47F35394" w14:textId="77777777" w:rsidR="00E52F46" w:rsidRPr="005557D4" w:rsidRDefault="00E52F46">
      <w:pPr>
        <w:spacing w:line="360" w:lineRule="auto"/>
        <w:ind w:right="-787"/>
        <w:rPr>
          <w:rFonts w:ascii="Palatino Linotype" w:eastAsia="Palatino Linotype" w:hAnsi="Palatino Linotype" w:cs="Palatino Linotype"/>
        </w:rPr>
      </w:pPr>
    </w:p>
    <w:p w14:paraId="5CDA2862" w14:textId="77777777" w:rsidR="00E52F46" w:rsidRPr="005557D4" w:rsidRDefault="00363413">
      <w:pPr>
        <w:tabs>
          <w:tab w:val="left" w:pos="7936"/>
        </w:tabs>
        <w:spacing w:line="360" w:lineRule="auto"/>
        <w:ind w:right="-787"/>
        <w:jc w:val="both"/>
        <w:rPr>
          <w:rFonts w:ascii="Palatino Linotype" w:eastAsia="Palatino Linotype" w:hAnsi="Palatino Linotype" w:cs="Palatino Linotype"/>
        </w:rPr>
      </w:pPr>
      <w:r w:rsidRPr="005557D4">
        <w:rPr>
          <w:rFonts w:ascii="Palatino Linotype" w:eastAsia="Palatino Linotype" w:hAnsi="Palatino Linotype" w:cs="Palatino Linotype"/>
          <w:b/>
        </w:rPr>
        <w:t xml:space="preserve">PRIMERO. </w:t>
      </w:r>
      <w:r w:rsidRPr="005557D4">
        <w:rPr>
          <w:rFonts w:ascii="Palatino Linotype" w:eastAsia="Palatino Linotype" w:hAnsi="Palatino Linotype" w:cs="Palatino Linotype"/>
        </w:rPr>
        <w:t xml:space="preserve">Se </w:t>
      </w:r>
      <w:r w:rsidRPr="005557D4">
        <w:rPr>
          <w:rFonts w:ascii="Palatino Linotype" w:eastAsia="Palatino Linotype" w:hAnsi="Palatino Linotype" w:cs="Palatino Linotype"/>
          <w:b/>
        </w:rPr>
        <w:t>SOBRESEE</w:t>
      </w:r>
      <w:r w:rsidRPr="005557D4">
        <w:rPr>
          <w:rFonts w:ascii="Palatino Linotype" w:eastAsia="Palatino Linotype" w:hAnsi="Palatino Linotype" w:cs="Palatino Linotype"/>
        </w:rPr>
        <w:t xml:space="preserve"> el recurso de revisión número </w:t>
      </w:r>
      <w:r w:rsidR="00C671C1" w:rsidRPr="005557D4">
        <w:rPr>
          <w:rFonts w:ascii="Palatino Linotype" w:eastAsia="Palatino Linotype" w:hAnsi="Palatino Linotype" w:cs="Palatino Linotype"/>
          <w:b/>
          <w:color w:val="000000"/>
        </w:rPr>
        <w:t>03789</w:t>
      </w:r>
      <w:r w:rsidRPr="005557D4">
        <w:rPr>
          <w:rFonts w:ascii="Palatino Linotype" w:eastAsia="Palatino Linotype" w:hAnsi="Palatino Linotype" w:cs="Palatino Linotype"/>
          <w:b/>
          <w:color w:val="000000"/>
        </w:rPr>
        <w:t>/INFOEM/IP/RR/2024,</w:t>
      </w:r>
      <w:r w:rsidRPr="005557D4">
        <w:rPr>
          <w:rFonts w:ascii="Palatino Linotype" w:eastAsia="Palatino Linotype" w:hAnsi="Palatino Linotype" w:cs="Palatino Linotype"/>
        </w:rPr>
        <w:t xml:space="preserve"> de conformidad con la fracción IV</w:t>
      </w:r>
      <w:r w:rsidR="008B3AB1" w:rsidRPr="005557D4">
        <w:rPr>
          <w:rFonts w:ascii="Palatino Linotype" w:eastAsia="Palatino Linotype" w:hAnsi="Palatino Linotype" w:cs="Palatino Linotype"/>
        </w:rPr>
        <w:t>,</w:t>
      </w:r>
      <w:r w:rsidRPr="005557D4">
        <w:rPr>
          <w:rFonts w:ascii="Palatino Linotype" w:eastAsia="Palatino Linotype" w:hAnsi="Palatino Linotype" w:cs="Palatino Linotype"/>
        </w:rPr>
        <w:t xml:space="preserve"> del artículo 192, en relación con la fracción VI</w:t>
      </w:r>
      <w:r w:rsidR="008B3AB1" w:rsidRPr="005557D4">
        <w:rPr>
          <w:rFonts w:ascii="Palatino Linotype" w:eastAsia="Palatino Linotype" w:hAnsi="Palatino Linotype" w:cs="Palatino Linotype"/>
        </w:rPr>
        <w:t>,</w:t>
      </w:r>
      <w:r w:rsidRPr="005557D4">
        <w:rPr>
          <w:rFonts w:ascii="Palatino Linotype" w:eastAsia="Palatino Linotype" w:hAnsi="Palatino Linotype" w:cs="Palatino Linotype"/>
        </w:rPr>
        <w:t xml:space="preserve"> del artículo 191, de la Ley de Transparencia y Acceso a la Información Pública del Estado de México y Municipios, en términos del </w:t>
      </w:r>
      <w:r w:rsidRPr="005557D4">
        <w:rPr>
          <w:rFonts w:ascii="Palatino Linotype" w:eastAsia="Palatino Linotype" w:hAnsi="Palatino Linotype" w:cs="Palatino Linotype"/>
          <w:b/>
        </w:rPr>
        <w:t>Considerando Cuarto</w:t>
      </w:r>
      <w:r w:rsidRPr="005557D4">
        <w:rPr>
          <w:rFonts w:ascii="Palatino Linotype" w:eastAsia="Palatino Linotype" w:hAnsi="Palatino Linotype" w:cs="Palatino Linotype"/>
        </w:rPr>
        <w:t xml:space="preserve"> de la presente resolución. </w:t>
      </w:r>
    </w:p>
    <w:p w14:paraId="384C2CB7" w14:textId="77777777" w:rsidR="00E52F46" w:rsidRPr="005557D4" w:rsidRDefault="00E52F46">
      <w:pPr>
        <w:spacing w:line="360" w:lineRule="auto"/>
        <w:ind w:right="-787"/>
        <w:jc w:val="both"/>
        <w:rPr>
          <w:rFonts w:ascii="Palatino Linotype" w:eastAsia="Palatino Linotype" w:hAnsi="Palatino Linotype" w:cs="Palatino Linotype"/>
        </w:rPr>
      </w:pPr>
    </w:p>
    <w:p w14:paraId="5D5C3EA6" w14:textId="77777777" w:rsidR="00E52F46" w:rsidRPr="005557D4" w:rsidRDefault="00363413">
      <w:pPr>
        <w:tabs>
          <w:tab w:val="left" w:pos="284"/>
        </w:tabs>
        <w:spacing w:line="360" w:lineRule="auto"/>
        <w:ind w:right="-787"/>
        <w:jc w:val="both"/>
        <w:rPr>
          <w:rFonts w:ascii="Palatino Linotype" w:eastAsia="Palatino Linotype" w:hAnsi="Palatino Linotype" w:cs="Palatino Linotype"/>
          <w:b/>
        </w:rPr>
      </w:pPr>
      <w:bookmarkStart w:id="20" w:name="_heading=h.1ksv4uv" w:colFirst="0" w:colLast="0"/>
      <w:bookmarkEnd w:id="20"/>
      <w:r w:rsidRPr="005557D4">
        <w:rPr>
          <w:rFonts w:ascii="Palatino Linotype" w:eastAsia="Palatino Linotype" w:hAnsi="Palatino Linotype" w:cs="Palatino Linotype"/>
          <w:b/>
        </w:rPr>
        <w:t xml:space="preserve">SEGUNDO. </w:t>
      </w:r>
      <w:r w:rsidRPr="005557D4">
        <w:rPr>
          <w:rFonts w:ascii="Palatino Linotype" w:eastAsia="Palatino Linotype" w:hAnsi="Palatino Linotype" w:cs="Palatino Linotype"/>
        </w:rPr>
        <w:t>Resultan fundadas las</w:t>
      </w:r>
      <w:r w:rsidRPr="005557D4">
        <w:rPr>
          <w:rFonts w:ascii="Palatino Linotype" w:eastAsia="Palatino Linotype" w:hAnsi="Palatino Linotype" w:cs="Palatino Linotype"/>
          <w:b/>
        </w:rPr>
        <w:t xml:space="preserve"> </w:t>
      </w:r>
      <w:r w:rsidRPr="005557D4">
        <w:rPr>
          <w:rFonts w:ascii="Palatino Linotype" w:eastAsia="Palatino Linotype" w:hAnsi="Palatino Linotype" w:cs="Palatino Linotype"/>
        </w:rPr>
        <w:t>razones o motivos de inconformidad hechos valer en el recurso de revisión</w:t>
      </w:r>
      <w:r w:rsidRPr="005557D4">
        <w:rPr>
          <w:rFonts w:ascii="Palatino Linotype" w:eastAsia="Palatino Linotype" w:hAnsi="Palatino Linotype" w:cs="Palatino Linotype"/>
          <w:b/>
        </w:rPr>
        <w:t xml:space="preserve">, 03788/INFOEM/IP/RR/2024, </w:t>
      </w:r>
      <w:r w:rsidRPr="005557D4">
        <w:rPr>
          <w:rFonts w:ascii="Palatino Linotype" w:eastAsia="Palatino Linotype" w:hAnsi="Palatino Linotype" w:cs="Palatino Linotype"/>
        </w:rPr>
        <w:t xml:space="preserve">en términos del </w:t>
      </w:r>
      <w:r w:rsidRPr="005557D4">
        <w:rPr>
          <w:rFonts w:ascii="Palatino Linotype" w:eastAsia="Palatino Linotype" w:hAnsi="Palatino Linotype" w:cs="Palatino Linotype"/>
          <w:b/>
        </w:rPr>
        <w:t xml:space="preserve">Considerando CUARTO </w:t>
      </w:r>
      <w:r w:rsidRPr="005557D4">
        <w:rPr>
          <w:rFonts w:ascii="Palatino Linotype" w:eastAsia="Palatino Linotype" w:hAnsi="Palatino Linotype" w:cs="Palatino Linotype"/>
        </w:rPr>
        <w:t xml:space="preserve">de la presente resolución. </w:t>
      </w:r>
    </w:p>
    <w:p w14:paraId="36DC3BCC" w14:textId="77777777" w:rsidR="00E52F46" w:rsidRPr="005557D4" w:rsidRDefault="00E52F46">
      <w:pPr>
        <w:ind w:right="-787"/>
        <w:rPr>
          <w:rFonts w:ascii="Palatino Linotype" w:eastAsia="Palatino Linotype" w:hAnsi="Palatino Linotype" w:cs="Palatino Linotype"/>
        </w:rPr>
      </w:pPr>
    </w:p>
    <w:p w14:paraId="39EEE49D" w14:textId="77777777" w:rsidR="00E52F46" w:rsidRPr="005557D4" w:rsidRDefault="00363413">
      <w:pPr>
        <w:tabs>
          <w:tab w:val="left" w:pos="284"/>
        </w:tabs>
        <w:spacing w:line="360" w:lineRule="auto"/>
        <w:ind w:right="-787"/>
        <w:jc w:val="both"/>
        <w:rPr>
          <w:rFonts w:ascii="Palatino Linotype" w:eastAsia="Palatino Linotype" w:hAnsi="Palatino Linotype" w:cs="Palatino Linotype"/>
        </w:rPr>
      </w:pPr>
      <w:r w:rsidRPr="005557D4">
        <w:rPr>
          <w:rFonts w:ascii="Palatino Linotype" w:eastAsia="Palatino Linotype" w:hAnsi="Palatino Linotype" w:cs="Palatino Linotype"/>
          <w:b/>
        </w:rPr>
        <w:lastRenderedPageBreak/>
        <w:t xml:space="preserve">TERCERO. </w:t>
      </w:r>
      <w:r w:rsidRPr="005557D4">
        <w:rPr>
          <w:rFonts w:ascii="Palatino Linotype" w:eastAsia="Palatino Linotype" w:hAnsi="Palatino Linotype" w:cs="Palatino Linotype"/>
        </w:rPr>
        <w:t xml:space="preserve">Se </w:t>
      </w:r>
      <w:r w:rsidRPr="005557D4">
        <w:rPr>
          <w:rFonts w:ascii="Palatino Linotype" w:eastAsia="Palatino Linotype" w:hAnsi="Palatino Linotype" w:cs="Palatino Linotype"/>
          <w:b/>
        </w:rPr>
        <w:t xml:space="preserve">REVOCA </w:t>
      </w:r>
      <w:r w:rsidRPr="005557D4">
        <w:rPr>
          <w:rFonts w:ascii="Palatino Linotype" w:eastAsia="Palatino Linotype" w:hAnsi="Palatino Linotype" w:cs="Palatino Linotype"/>
        </w:rPr>
        <w:t xml:space="preserve">la respuesta del Ayuntamiento de Tezoyuca a </w:t>
      </w:r>
      <w:r w:rsidR="00C74D03" w:rsidRPr="005557D4">
        <w:rPr>
          <w:rFonts w:ascii="Palatino Linotype" w:eastAsia="Palatino Linotype" w:hAnsi="Palatino Linotype" w:cs="Palatino Linotype"/>
        </w:rPr>
        <w:t>la solicitud</w:t>
      </w:r>
      <w:r w:rsidRPr="005557D4">
        <w:rPr>
          <w:rFonts w:ascii="Palatino Linotype" w:eastAsia="Palatino Linotype" w:hAnsi="Palatino Linotype" w:cs="Palatino Linotype"/>
        </w:rPr>
        <w:t xml:space="preserve"> de información</w:t>
      </w:r>
      <w:r w:rsidR="00C74D03" w:rsidRPr="005557D4">
        <w:rPr>
          <w:rFonts w:ascii="Palatino Linotype" w:eastAsia="Palatino Linotype" w:hAnsi="Palatino Linotype" w:cs="Palatino Linotype"/>
          <w:b/>
        </w:rPr>
        <w:t> 00055</w:t>
      </w:r>
      <w:r w:rsidRPr="005557D4">
        <w:rPr>
          <w:rFonts w:ascii="Palatino Linotype" w:eastAsia="Palatino Linotype" w:hAnsi="Palatino Linotype" w:cs="Palatino Linotype"/>
          <w:b/>
        </w:rPr>
        <w:t xml:space="preserve">/TEZOYUCA/IP/2024 </w:t>
      </w:r>
      <w:r w:rsidRPr="005557D4">
        <w:rPr>
          <w:rFonts w:ascii="Palatino Linotype" w:eastAsia="Palatino Linotype" w:hAnsi="Palatino Linotype" w:cs="Palatino Linotype"/>
        </w:rPr>
        <w:t>y</w:t>
      </w:r>
      <w:r w:rsidRPr="005557D4">
        <w:rPr>
          <w:rFonts w:ascii="Palatino Linotype" w:eastAsia="Palatino Linotype" w:hAnsi="Palatino Linotype" w:cs="Palatino Linotype"/>
          <w:b/>
        </w:rPr>
        <w:t xml:space="preserve"> </w:t>
      </w:r>
      <w:r w:rsidRPr="005557D4">
        <w:rPr>
          <w:rFonts w:ascii="Palatino Linotype" w:eastAsia="Palatino Linotype" w:hAnsi="Palatino Linotype" w:cs="Palatino Linotype"/>
          <w:color w:val="000000"/>
        </w:rPr>
        <w:t xml:space="preserve">se </w:t>
      </w:r>
      <w:r w:rsidRPr="005557D4">
        <w:rPr>
          <w:rFonts w:ascii="Palatino Linotype" w:eastAsia="Palatino Linotype" w:hAnsi="Palatino Linotype" w:cs="Palatino Linotype"/>
          <w:b/>
          <w:color w:val="000000"/>
        </w:rPr>
        <w:t>ORDENA</w:t>
      </w:r>
      <w:r w:rsidRPr="005557D4">
        <w:rPr>
          <w:rFonts w:ascii="Palatino Linotype" w:eastAsia="Palatino Linotype" w:hAnsi="Palatino Linotype" w:cs="Palatino Linotype"/>
          <w:color w:val="000000"/>
        </w:rPr>
        <w:t xml:space="preserve"> entregar vía Sistema de Acceso a la Información Mexiquense </w:t>
      </w:r>
      <w:r w:rsidRPr="005557D4">
        <w:rPr>
          <w:rFonts w:ascii="Palatino Linotype" w:eastAsia="Palatino Linotype" w:hAnsi="Palatino Linotype" w:cs="Palatino Linotype"/>
          <w:b/>
          <w:color w:val="000000"/>
        </w:rPr>
        <w:t>(SAIMEX)</w:t>
      </w:r>
      <w:r w:rsidRPr="005557D4">
        <w:rPr>
          <w:rFonts w:ascii="Palatino Linotype" w:eastAsia="Palatino Linotype" w:hAnsi="Palatino Linotype" w:cs="Palatino Linotype"/>
          <w:color w:val="000000"/>
        </w:rPr>
        <w:t>, la siguiente información:</w:t>
      </w:r>
    </w:p>
    <w:p w14:paraId="1CC53D45" w14:textId="77777777" w:rsidR="00E52F46" w:rsidRPr="005557D4" w:rsidRDefault="00E52F46">
      <w:pPr>
        <w:tabs>
          <w:tab w:val="left" w:pos="284"/>
        </w:tabs>
        <w:spacing w:line="360" w:lineRule="auto"/>
        <w:ind w:right="-787"/>
        <w:jc w:val="both"/>
        <w:rPr>
          <w:rFonts w:ascii="Palatino Linotype" w:eastAsia="Palatino Linotype" w:hAnsi="Palatino Linotype" w:cs="Palatino Linotype"/>
        </w:rPr>
      </w:pPr>
    </w:p>
    <w:p w14:paraId="55CC3890" w14:textId="77777777" w:rsidR="00E52F46" w:rsidRPr="005557D4" w:rsidRDefault="00363413">
      <w:pPr>
        <w:numPr>
          <w:ilvl w:val="0"/>
          <w:numId w:val="5"/>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5557D4">
        <w:rPr>
          <w:rFonts w:ascii="Palatino Linotype" w:eastAsia="Palatino Linotype" w:hAnsi="Palatino Linotype" w:cs="Palatino Linotype"/>
          <w:b/>
          <w:color w:val="000000"/>
        </w:rPr>
        <w:t xml:space="preserve">Acuerdo emitido por el Comité de Transparencia donde de manera fundada y </w:t>
      </w:r>
      <w:r w:rsidR="00C74D03" w:rsidRPr="005557D4">
        <w:rPr>
          <w:rFonts w:ascii="Palatino Linotype" w:eastAsia="Palatino Linotype" w:hAnsi="Palatino Linotype" w:cs="Palatino Linotype"/>
          <w:b/>
          <w:color w:val="000000"/>
        </w:rPr>
        <w:t>motivada clasifique</w:t>
      </w:r>
      <w:r w:rsidRPr="005557D4">
        <w:rPr>
          <w:rFonts w:ascii="Palatino Linotype" w:eastAsia="Palatino Linotype" w:hAnsi="Palatino Linotype" w:cs="Palatino Linotype"/>
          <w:b/>
          <w:color w:val="000000"/>
        </w:rPr>
        <w:t xml:space="preserve"> como confidencial la edad del presidente municipal</w:t>
      </w:r>
      <w:r w:rsidR="00C74D03" w:rsidRPr="005557D4">
        <w:rPr>
          <w:rFonts w:ascii="Palatino Linotype" w:eastAsia="Palatino Linotype" w:hAnsi="Palatino Linotype" w:cs="Palatino Linotype"/>
          <w:b/>
          <w:color w:val="000000"/>
        </w:rPr>
        <w:t xml:space="preserve"> en funciones</w:t>
      </w:r>
      <w:r w:rsidR="00C068CF" w:rsidRPr="005557D4">
        <w:rPr>
          <w:rFonts w:ascii="Palatino Linotype" w:eastAsia="Palatino Linotype" w:hAnsi="Palatino Linotype" w:cs="Palatino Linotype"/>
          <w:b/>
          <w:color w:val="000000"/>
        </w:rPr>
        <w:t xml:space="preserve"> a la fecha de la solicitud</w:t>
      </w:r>
      <w:r w:rsidRPr="005557D4">
        <w:rPr>
          <w:rFonts w:ascii="Palatino Linotype" w:eastAsia="Palatino Linotype" w:hAnsi="Palatino Linotype" w:cs="Palatino Linotype"/>
          <w:b/>
          <w:color w:val="000000"/>
        </w:rPr>
        <w:t>, por tratarse de datos personales con fundamento en el artículo 143, fracción I de la Ley de Transparencia y Acceso a la Información Pública del Estado de México y Municipios.</w:t>
      </w:r>
    </w:p>
    <w:p w14:paraId="16A2C482" w14:textId="77777777" w:rsidR="00E52F46" w:rsidRPr="005557D4" w:rsidRDefault="00E52F46">
      <w:p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p>
    <w:p w14:paraId="7D595AAE" w14:textId="77777777" w:rsidR="00E52F46" w:rsidRDefault="0036341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5557D4">
        <w:rPr>
          <w:rFonts w:ascii="Palatino Linotype" w:eastAsia="Palatino Linotype" w:hAnsi="Palatino Linotype" w:cs="Palatino Linotype"/>
          <w:b/>
        </w:rPr>
        <w:t xml:space="preserve">CUARTO. </w:t>
      </w:r>
      <w:r w:rsidRPr="005557D4">
        <w:rPr>
          <w:rFonts w:ascii="Palatino Linotype" w:eastAsia="Palatino Linotype" w:hAnsi="Palatino Linotype" w:cs="Palatino Linotype"/>
          <w:color w:val="000000"/>
        </w:rPr>
        <w:t xml:space="preserve">Notifíquese </w:t>
      </w:r>
      <w:r w:rsidR="00C671C1" w:rsidRPr="005557D4">
        <w:rPr>
          <w:rFonts w:ascii="Palatino Linotype" w:eastAsia="Palatino Linotype" w:hAnsi="Palatino Linotype" w:cs="Palatino Linotype"/>
          <w:color w:val="000000"/>
        </w:rPr>
        <w:t xml:space="preserve">vía SAIMEX </w:t>
      </w:r>
      <w:r w:rsidR="00C671C1" w:rsidRPr="005557D4">
        <w:rPr>
          <w:rFonts w:ascii="Palatino Linotype" w:eastAsia="Palatino Linotype" w:hAnsi="Palatino Linotype" w:cs="Palatino Linotype"/>
          <w:color w:val="000000"/>
          <w:lang w:val="es-ES"/>
        </w:rPr>
        <w:t xml:space="preserve">al Titular de la Unidad de Transparencia del Sujeto Obligado, para que conforme al artículo 186 último párrafo, 189 segundo párrafo y 194 de la Ley de Transparencia y Acceso a la Información Pública del Estado de México y Municipios; </w:t>
      </w:r>
      <w:r w:rsidR="00C671C1" w:rsidRPr="005557D4">
        <w:rPr>
          <w:rFonts w:ascii="Palatino Linotype" w:eastAsia="Palatino Linotype" w:hAnsi="Palatino Linotype" w:cs="Palatino Linotype"/>
          <w:b/>
          <w:color w:val="000000"/>
          <w:lang w:val="es-ES"/>
        </w:rPr>
        <w:t>dé cumplimiento a lo ordenado dentro del plazo de diez días hábiles</w:t>
      </w:r>
      <w:r w:rsidRPr="005557D4">
        <w:rPr>
          <w:rFonts w:ascii="Palatino Linotype" w:eastAsia="Palatino Linotype" w:hAnsi="Palatino Linotype" w:cs="Palatino Linotype"/>
          <w:color w:val="000000"/>
        </w:rPr>
        <w:t>, debiendo informar a este Instituto en</w:t>
      </w:r>
      <w:r>
        <w:rPr>
          <w:rFonts w:ascii="Palatino Linotype" w:eastAsia="Palatino Linotype" w:hAnsi="Palatino Linotype" w:cs="Palatino Linotype"/>
          <w:color w:val="000000"/>
        </w:rPr>
        <w:t xml:space="preserve"> un plazo de tres días hábiles sobre el cumplimiento dado a la presente resolución y se le apercibe que en caso de negarse a cumplir la presente resolución o hacerlo de manera parcial, se le impondrá una medida de apremio de conformidad con lo previsto en los artículos 198, 200, fracción III; 214, 215 y 216 de la Ley de Transparencia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 Acceso a la Información Pública del Estado de México y Municipios.</w:t>
      </w:r>
    </w:p>
    <w:p w14:paraId="67F8D2E6" w14:textId="77777777" w:rsidR="00E52F46" w:rsidRDefault="00E52F46">
      <w:pPr>
        <w:tabs>
          <w:tab w:val="left" w:pos="284"/>
          <w:tab w:val="left" w:pos="8080"/>
        </w:tabs>
        <w:spacing w:line="360" w:lineRule="auto"/>
        <w:ind w:right="-787"/>
        <w:jc w:val="both"/>
        <w:rPr>
          <w:rFonts w:ascii="Palatino Linotype" w:eastAsia="Palatino Linotype" w:hAnsi="Palatino Linotype" w:cs="Palatino Linotype"/>
          <w:b/>
        </w:rPr>
      </w:pPr>
    </w:p>
    <w:p w14:paraId="4FBFADFA" w14:textId="77777777" w:rsidR="00E52F46" w:rsidRDefault="00363413">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lastRenderedPageBreak/>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0782234B" w14:textId="77777777" w:rsidR="00E52F46" w:rsidRDefault="00E52F46">
      <w:pPr>
        <w:shd w:val="clear" w:color="auto" w:fill="FFFFFF"/>
        <w:tabs>
          <w:tab w:val="left" w:pos="284"/>
        </w:tabs>
        <w:spacing w:line="360" w:lineRule="auto"/>
        <w:ind w:right="-787"/>
        <w:jc w:val="both"/>
        <w:rPr>
          <w:rFonts w:ascii="Palatino Linotype" w:eastAsia="Palatino Linotype" w:hAnsi="Palatino Linotype" w:cs="Palatino Linotype"/>
          <w:b/>
        </w:rPr>
      </w:pPr>
    </w:p>
    <w:p w14:paraId="2690B510" w14:textId="77777777" w:rsidR="00E52F46" w:rsidRDefault="00363413">
      <w:pPr>
        <w:shd w:val="clear" w:color="auto" w:fill="FFFFFF"/>
        <w:tabs>
          <w:tab w:val="left" w:pos="284"/>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b/>
          <w:color w:val="222222"/>
        </w:rPr>
        <w:t xml:space="preserve">Notifíquese </w:t>
      </w:r>
      <w:r>
        <w:rPr>
          <w:rFonts w:ascii="Palatino Linotype" w:eastAsia="Palatino Linotype" w:hAnsi="Palatino Linotype" w:cs="Palatino Linotype"/>
          <w:color w:val="222222"/>
        </w:rPr>
        <w:t xml:space="preserve">al </w:t>
      </w:r>
      <w:r>
        <w:rPr>
          <w:rFonts w:ascii="Palatino Linotype" w:eastAsia="Palatino Linotype" w:hAnsi="Palatino Linotype" w:cs="Palatino Linotype"/>
          <w:b/>
          <w:color w:val="222222"/>
        </w:rPr>
        <w:t xml:space="preserve">RECURRENTE </w:t>
      </w:r>
      <w:r>
        <w:rPr>
          <w:rFonts w:ascii="Palatino Linotype" w:eastAsia="Palatino Linotype" w:hAnsi="Palatino Linotype" w:cs="Palatino Linotype"/>
        </w:rPr>
        <w:t>la presente resolución a través del Sistema de Acceso a la Información Mexiquense (SAIMEX).</w:t>
      </w:r>
    </w:p>
    <w:p w14:paraId="187EDEDD" w14:textId="77777777" w:rsidR="00E52F46" w:rsidRDefault="00E52F46">
      <w:pPr>
        <w:shd w:val="clear" w:color="auto" w:fill="FFFFFF"/>
        <w:tabs>
          <w:tab w:val="left" w:pos="284"/>
        </w:tabs>
        <w:spacing w:line="360" w:lineRule="auto"/>
        <w:ind w:right="-787"/>
        <w:jc w:val="both"/>
        <w:rPr>
          <w:rFonts w:ascii="Palatino Linotype" w:eastAsia="Palatino Linotype" w:hAnsi="Palatino Linotype" w:cs="Palatino Linotype"/>
        </w:rPr>
      </w:pPr>
    </w:p>
    <w:p w14:paraId="563872AA" w14:textId="77777777" w:rsidR="00E52F46" w:rsidRDefault="00363413">
      <w:pPr>
        <w:shd w:val="clear" w:color="auto" w:fill="FFFFFF"/>
        <w:tabs>
          <w:tab w:val="left" w:pos="284"/>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SÉPTIMO. </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 vía recurso de inconformidad ante el Instituto Nacional de Transparencia, Acceso a la Información y Protección de Datos Personales, o bien, vía juicio de amparo en los términos de las Leyes aplicables.</w:t>
      </w:r>
    </w:p>
    <w:p w14:paraId="4E93CE4E" w14:textId="77777777" w:rsidR="00E52F46" w:rsidRDefault="00E52F46">
      <w:pPr>
        <w:shd w:val="clear" w:color="auto" w:fill="FFFFFF"/>
        <w:tabs>
          <w:tab w:val="left" w:pos="284"/>
        </w:tabs>
        <w:spacing w:line="360" w:lineRule="auto"/>
        <w:ind w:right="-787"/>
        <w:jc w:val="both"/>
        <w:rPr>
          <w:rFonts w:ascii="Palatino Linotype" w:eastAsia="Palatino Linotype" w:hAnsi="Palatino Linotype" w:cs="Palatino Linotype"/>
        </w:rPr>
      </w:pPr>
    </w:p>
    <w:p w14:paraId="175E6B6B" w14:textId="77777777" w:rsidR="00051F78" w:rsidRPr="003C7186" w:rsidRDefault="00C751BF" w:rsidP="00051F78">
      <w:pPr>
        <w:spacing w:line="360" w:lineRule="auto"/>
        <w:ind w:left="-142" w:right="-234" w:firstLine="1"/>
        <w:jc w:val="both"/>
        <w:rPr>
          <w:rFonts w:ascii="Palatino Linotype" w:hAnsi="Palatino Linotype"/>
        </w:rPr>
      </w:pPr>
      <w:r>
        <w:rPr>
          <w:rFonts w:ascii="Palatino Linotype" w:hAnsi="Palatino Linotype"/>
        </w:rPr>
        <w:t>ASÍ LO RESUELVE, POR MAYORÍA</w:t>
      </w:r>
      <w:r w:rsidR="00051F78" w:rsidRPr="003C7186">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w:t>
      </w:r>
      <w:r>
        <w:rPr>
          <w:rFonts w:ascii="Palatino Linotype" w:hAnsi="Palatino Linotype"/>
        </w:rPr>
        <w:t xml:space="preserve"> EMITIENDO VOTO DISIDENTE</w:t>
      </w:r>
      <w:r w:rsidR="00051F78" w:rsidRPr="003C7186">
        <w:rPr>
          <w:rFonts w:ascii="Palatino Linotype" w:hAnsi="Palatino Linotype"/>
        </w:rPr>
        <w:t>; SHARON CRISTINA MORALES MARTÍNEZ; LUIS GUSTAVO PARRA NORIEGA</w:t>
      </w:r>
      <w:r w:rsidR="00051F78">
        <w:rPr>
          <w:rFonts w:ascii="Palatino Linotype" w:hAnsi="Palatino Linotype"/>
        </w:rPr>
        <w:t xml:space="preserve"> Y GUADALUPE RAMÍREZ PEÑA; </w:t>
      </w:r>
      <w:r w:rsidR="00051F78" w:rsidRPr="003C7186">
        <w:rPr>
          <w:rFonts w:ascii="Palatino Linotype" w:hAnsi="Palatino Linotype"/>
        </w:rPr>
        <w:t xml:space="preserve">EN LA </w:t>
      </w:r>
      <w:r w:rsidR="00051F78">
        <w:rPr>
          <w:rFonts w:ascii="Palatino Linotype" w:hAnsi="Palatino Linotype"/>
        </w:rPr>
        <w:t>TRIGÉSIMA</w:t>
      </w:r>
      <w:r w:rsidR="00051F78" w:rsidRPr="003C7186">
        <w:rPr>
          <w:rFonts w:ascii="Palatino Linotype" w:hAnsi="Palatino Linotype"/>
        </w:rPr>
        <w:t xml:space="preserve"> </w:t>
      </w:r>
      <w:r w:rsidR="00051F78">
        <w:rPr>
          <w:rFonts w:ascii="Palatino Linotype" w:hAnsi="Palatino Linotype"/>
        </w:rPr>
        <w:t xml:space="preserve">SEXTA </w:t>
      </w:r>
      <w:r w:rsidR="00051F78" w:rsidRPr="003C7186">
        <w:rPr>
          <w:rFonts w:ascii="Palatino Linotype" w:hAnsi="Palatino Linotype"/>
        </w:rPr>
        <w:t xml:space="preserve">SESIÓN ORDINARIA CELEBRADA EL </w:t>
      </w:r>
      <w:r w:rsidR="00051F78">
        <w:rPr>
          <w:rFonts w:ascii="Palatino Linotype" w:hAnsi="Palatino Linotype"/>
        </w:rPr>
        <w:t>NUEVE</w:t>
      </w:r>
      <w:r w:rsidR="00051F78" w:rsidRPr="003C7186">
        <w:rPr>
          <w:rFonts w:ascii="Palatino Linotype" w:hAnsi="Palatino Linotype"/>
        </w:rPr>
        <w:t xml:space="preserve"> </w:t>
      </w:r>
      <w:r w:rsidR="00051F78">
        <w:rPr>
          <w:rFonts w:ascii="Palatino Linotype" w:hAnsi="Palatino Linotype"/>
        </w:rPr>
        <w:t>(09) DE OCTUBRE</w:t>
      </w:r>
      <w:r w:rsidR="00051F78" w:rsidRPr="003C7186">
        <w:rPr>
          <w:rFonts w:ascii="Palatino Linotype" w:hAnsi="Palatino Linotype"/>
        </w:rPr>
        <w:t xml:space="preserve"> DE DOS MIL VEINTICUATRO, ANTE EL SECRETARIO TÉCNICO DEL PLENO ALEXIS TAPIA RAMÍREZ. </w:t>
      </w:r>
    </w:p>
    <w:p w14:paraId="1C4B9CA0" w14:textId="77777777" w:rsidR="00051F78" w:rsidRPr="00902BA4" w:rsidRDefault="00051F78" w:rsidP="00051F78">
      <w:pPr>
        <w:widowControl w:val="0"/>
        <w:autoSpaceDE w:val="0"/>
        <w:autoSpaceDN w:val="0"/>
        <w:adjustRightInd w:val="0"/>
        <w:spacing w:after="200" w:line="276" w:lineRule="auto"/>
        <w:ind w:left="-142" w:right="-234"/>
        <w:rPr>
          <w:rFonts w:ascii="Calibri" w:hAnsi="Calibri" w:cs="Calibri"/>
        </w:rPr>
      </w:pPr>
    </w:p>
    <w:p w14:paraId="1BC454CF" w14:textId="77777777" w:rsidR="00E52F46" w:rsidRDefault="00E52F46">
      <w:pPr>
        <w:spacing w:line="360" w:lineRule="auto"/>
        <w:ind w:right="-787"/>
        <w:rPr>
          <w:rFonts w:ascii="Palatino Linotype" w:eastAsia="Palatino Linotype" w:hAnsi="Palatino Linotype" w:cs="Palatino Linotype"/>
        </w:rPr>
      </w:pPr>
    </w:p>
    <w:p w14:paraId="55F642E5" w14:textId="77777777" w:rsidR="00E52F46" w:rsidRDefault="00E52F46">
      <w:pPr>
        <w:spacing w:line="360" w:lineRule="auto"/>
        <w:ind w:right="-787"/>
        <w:rPr>
          <w:rFonts w:ascii="Palatino Linotype" w:eastAsia="Palatino Linotype" w:hAnsi="Palatino Linotype" w:cs="Palatino Linotype"/>
        </w:rPr>
      </w:pPr>
    </w:p>
    <w:p w14:paraId="63711FC9" w14:textId="77777777" w:rsidR="00E52F46" w:rsidRDefault="00E52F46">
      <w:pPr>
        <w:spacing w:line="360" w:lineRule="auto"/>
        <w:ind w:right="-787"/>
        <w:rPr>
          <w:rFonts w:ascii="Palatino Linotype" w:eastAsia="Palatino Linotype" w:hAnsi="Palatino Linotype" w:cs="Palatino Linotype"/>
        </w:rPr>
      </w:pPr>
    </w:p>
    <w:p w14:paraId="05DD3EA3" w14:textId="77777777" w:rsidR="00E52F46" w:rsidRDefault="00E52F46">
      <w:pPr>
        <w:spacing w:line="360" w:lineRule="auto"/>
        <w:ind w:right="-787"/>
        <w:rPr>
          <w:rFonts w:ascii="Palatino Linotype" w:eastAsia="Palatino Linotype" w:hAnsi="Palatino Linotype" w:cs="Palatino Linotype"/>
        </w:rPr>
      </w:pPr>
    </w:p>
    <w:p w14:paraId="13B893D0" w14:textId="77777777" w:rsidR="00E52F46" w:rsidRDefault="00E52F46">
      <w:pPr>
        <w:spacing w:line="360" w:lineRule="auto"/>
        <w:ind w:right="-787"/>
        <w:rPr>
          <w:rFonts w:ascii="Palatino Linotype" w:eastAsia="Palatino Linotype" w:hAnsi="Palatino Linotype" w:cs="Palatino Linotype"/>
        </w:rPr>
      </w:pPr>
    </w:p>
    <w:p w14:paraId="2B0B4690" w14:textId="77777777" w:rsidR="00E52F46" w:rsidRDefault="00E52F46">
      <w:pPr>
        <w:spacing w:line="360" w:lineRule="auto"/>
        <w:ind w:right="-787"/>
        <w:rPr>
          <w:rFonts w:ascii="Palatino Linotype" w:eastAsia="Palatino Linotype" w:hAnsi="Palatino Linotype" w:cs="Palatino Linotype"/>
        </w:rPr>
      </w:pPr>
    </w:p>
    <w:p w14:paraId="6A9EDE66" w14:textId="77777777" w:rsidR="00E52F46" w:rsidRDefault="00E52F46">
      <w:pPr>
        <w:spacing w:line="360" w:lineRule="auto"/>
        <w:ind w:right="-787"/>
        <w:rPr>
          <w:rFonts w:ascii="Palatino Linotype" w:eastAsia="Palatino Linotype" w:hAnsi="Palatino Linotype" w:cs="Palatino Linotype"/>
        </w:rPr>
      </w:pPr>
    </w:p>
    <w:p w14:paraId="6BC6D1F5" w14:textId="77777777" w:rsidR="00E52F46" w:rsidRDefault="00E52F46">
      <w:pPr>
        <w:ind w:right="-787"/>
        <w:rPr>
          <w:rFonts w:ascii="Palatino Linotype" w:eastAsia="Palatino Linotype" w:hAnsi="Palatino Linotype" w:cs="Palatino Linotype"/>
        </w:rPr>
      </w:pPr>
    </w:p>
    <w:p w14:paraId="45719B37" w14:textId="77777777" w:rsidR="00E52F46" w:rsidRDefault="00E52F46">
      <w:pPr>
        <w:ind w:right="-787"/>
        <w:rPr>
          <w:rFonts w:ascii="Palatino Linotype" w:eastAsia="Palatino Linotype" w:hAnsi="Palatino Linotype" w:cs="Palatino Linotype"/>
        </w:rPr>
      </w:pPr>
    </w:p>
    <w:p w14:paraId="325C6685" w14:textId="77777777" w:rsidR="00E52F46" w:rsidRDefault="00E52F46">
      <w:pPr>
        <w:ind w:right="-787"/>
        <w:rPr>
          <w:rFonts w:ascii="Palatino Linotype" w:eastAsia="Palatino Linotype" w:hAnsi="Palatino Linotype" w:cs="Palatino Linotype"/>
        </w:rPr>
      </w:pPr>
    </w:p>
    <w:p w14:paraId="1DD5D87B" w14:textId="77777777" w:rsidR="00E52F46" w:rsidRDefault="00E52F46">
      <w:pPr>
        <w:ind w:right="-787"/>
      </w:pPr>
    </w:p>
    <w:sectPr w:rsidR="00E52F46">
      <w:headerReference w:type="default" r:id="rId10"/>
      <w:footerReference w:type="default" r:id="rId11"/>
      <w:headerReference w:type="first" r:id="rId12"/>
      <w:footerReference w:type="first" r:id="rId13"/>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9728" w14:textId="77777777" w:rsidR="007D05CB" w:rsidRDefault="007D05CB">
      <w:r>
        <w:separator/>
      </w:r>
    </w:p>
  </w:endnote>
  <w:endnote w:type="continuationSeparator" w:id="0">
    <w:p w14:paraId="1395DA0B" w14:textId="77777777" w:rsidR="007D05CB" w:rsidRDefault="007D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49A3" w14:textId="77777777" w:rsidR="00E52F46" w:rsidRDefault="0036341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228AC">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228AC">
      <w:rPr>
        <w:rFonts w:ascii="Arial" w:eastAsia="Arial" w:hAnsi="Arial" w:cs="Arial"/>
        <w:b/>
        <w:noProof/>
        <w:color w:val="000000"/>
        <w:sz w:val="20"/>
        <w:szCs w:val="20"/>
      </w:rPr>
      <w:t>36</w:t>
    </w:r>
    <w:r>
      <w:rPr>
        <w:rFonts w:ascii="Arial" w:eastAsia="Arial" w:hAnsi="Arial" w:cs="Arial"/>
        <w:b/>
        <w:color w:val="000000"/>
        <w:sz w:val="20"/>
        <w:szCs w:val="20"/>
      </w:rPr>
      <w:fldChar w:fldCharType="end"/>
    </w:r>
  </w:p>
  <w:p w14:paraId="3D7BEAED" w14:textId="77777777" w:rsidR="00E52F46" w:rsidRDefault="00E52F46">
    <w:pPr>
      <w:pBdr>
        <w:top w:val="nil"/>
        <w:left w:val="nil"/>
        <w:bottom w:val="nil"/>
        <w:right w:val="nil"/>
        <w:between w:val="nil"/>
      </w:pBdr>
      <w:tabs>
        <w:tab w:val="center" w:pos="4252"/>
        <w:tab w:val="right" w:pos="8504"/>
      </w:tabs>
      <w:rPr>
        <w:color w:val="000000"/>
      </w:rPr>
    </w:pPr>
  </w:p>
  <w:p w14:paraId="55F0518D" w14:textId="77777777" w:rsidR="00E52F46" w:rsidRDefault="00E52F46">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1AD6" w14:textId="77777777" w:rsidR="00E52F46" w:rsidRDefault="0036341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228A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228AC">
      <w:rPr>
        <w:rFonts w:ascii="Arial" w:eastAsia="Arial" w:hAnsi="Arial" w:cs="Arial"/>
        <w:b/>
        <w:noProof/>
        <w:color w:val="000000"/>
        <w:sz w:val="20"/>
        <w:szCs w:val="20"/>
      </w:rPr>
      <w:t>36</w:t>
    </w:r>
    <w:r>
      <w:rPr>
        <w:rFonts w:ascii="Arial" w:eastAsia="Arial" w:hAnsi="Arial" w:cs="Arial"/>
        <w:b/>
        <w:color w:val="000000"/>
        <w:sz w:val="20"/>
        <w:szCs w:val="20"/>
      </w:rPr>
      <w:fldChar w:fldCharType="end"/>
    </w:r>
  </w:p>
  <w:p w14:paraId="73566BE4" w14:textId="77777777" w:rsidR="00E52F46" w:rsidRDefault="00E52F46">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4C9A" w14:textId="77777777" w:rsidR="007D05CB" w:rsidRDefault="007D05CB">
      <w:r>
        <w:separator/>
      </w:r>
    </w:p>
  </w:footnote>
  <w:footnote w:type="continuationSeparator" w:id="0">
    <w:p w14:paraId="25A165FE" w14:textId="77777777" w:rsidR="007D05CB" w:rsidRDefault="007D05CB">
      <w:r>
        <w:continuationSeparator/>
      </w:r>
    </w:p>
  </w:footnote>
  <w:footnote w:id="1">
    <w:p w14:paraId="08E83F48" w14:textId="77777777" w:rsidR="00E52F46" w:rsidRDefault="0036341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50D070AA" w14:textId="77777777" w:rsidR="00E52F46" w:rsidRDefault="0036341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3">
    <w:p w14:paraId="677F1CD8" w14:textId="77777777" w:rsidR="00E52F46" w:rsidRDefault="0036341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4">
    <w:p w14:paraId="12828AAD" w14:textId="77777777" w:rsidR="00E52F46" w:rsidRDefault="0036341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5">
    <w:p w14:paraId="350EBA28" w14:textId="77777777" w:rsidR="00E52F46" w:rsidRDefault="0036341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6">
    <w:p w14:paraId="110869ED" w14:textId="77777777" w:rsidR="00E52F46" w:rsidRDefault="00363413">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7">
    <w:p w14:paraId="0AD450F7" w14:textId="77777777" w:rsidR="00E52F46" w:rsidRDefault="00363413">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8">
    <w:p w14:paraId="0E32B920" w14:textId="77777777" w:rsidR="00E52F46" w:rsidRDefault="00363413">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9">
    <w:p w14:paraId="4AF4A63D" w14:textId="77777777" w:rsidR="00E52F46" w:rsidRDefault="00363413">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10">
    <w:p w14:paraId="269A530B" w14:textId="77777777" w:rsidR="00E52F46" w:rsidRDefault="00363413">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7A49" w14:textId="77777777" w:rsidR="00E52F46" w:rsidRDefault="00E52F4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4"/>
      <w:tblW w:w="7050" w:type="dxa"/>
      <w:tblInd w:w="2977" w:type="dxa"/>
      <w:tblLayout w:type="fixed"/>
      <w:tblLook w:val="0400" w:firstRow="0" w:lastRow="0" w:firstColumn="0" w:lastColumn="0" w:noHBand="0" w:noVBand="1"/>
    </w:tblPr>
    <w:tblGrid>
      <w:gridCol w:w="2550"/>
      <w:gridCol w:w="4500"/>
    </w:tblGrid>
    <w:tr w:rsidR="00E52F46" w14:paraId="6DC01A1E" w14:textId="77777777">
      <w:tc>
        <w:tcPr>
          <w:tcW w:w="2550" w:type="dxa"/>
          <w:vAlign w:val="center"/>
        </w:tcPr>
        <w:p w14:paraId="5ED53456" w14:textId="77777777" w:rsidR="00E52F46" w:rsidRDefault="0036341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00" w:type="dxa"/>
          <w:vAlign w:val="center"/>
        </w:tcPr>
        <w:p w14:paraId="34459DB6" w14:textId="77777777" w:rsidR="00E52F46" w:rsidRDefault="008B3AB1">
          <w:pPr>
            <w:ind w:right="-12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03788/INFOEM/IP/RR/2024</w:t>
          </w:r>
          <w:r w:rsidR="00363413">
            <w:rPr>
              <w:rFonts w:ascii="Palatino Linotype" w:eastAsia="Palatino Linotype" w:hAnsi="Palatino Linotype" w:cs="Palatino Linotype"/>
              <w:sz w:val="22"/>
              <w:szCs w:val="22"/>
            </w:rPr>
            <w:t xml:space="preserve"> y Acumulado</w:t>
          </w:r>
        </w:p>
      </w:tc>
    </w:tr>
    <w:tr w:rsidR="00E52F46" w14:paraId="4BD66850" w14:textId="77777777">
      <w:trPr>
        <w:trHeight w:val="228"/>
      </w:trPr>
      <w:tc>
        <w:tcPr>
          <w:tcW w:w="2550" w:type="dxa"/>
          <w:vAlign w:val="center"/>
        </w:tcPr>
        <w:p w14:paraId="7DB6EA47" w14:textId="77777777" w:rsidR="00E52F46" w:rsidRDefault="0036341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00" w:type="dxa"/>
          <w:vAlign w:val="center"/>
        </w:tcPr>
        <w:p w14:paraId="6D46AFE2" w14:textId="77777777" w:rsidR="00E52F46" w:rsidRDefault="00363413">
          <w:pPr>
            <w:ind w:right="-1235"/>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Ayuntamiento de Tezoyuca </w:t>
          </w:r>
        </w:p>
      </w:tc>
    </w:tr>
    <w:tr w:rsidR="00E52F46" w14:paraId="47AD33D5" w14:textId="77777777">
      <w:tc>
        <w:tcPr>
          <w:tcW w:w="2550" w:type="dxa"/>
          <w:vAlign w:val="center"/>
        </w:tcPr>
        <w:p w14:paraId="7B6C9E99" w14:textId="77777777" w:rsidR="00E52F46" w:rsidRDefault="0036341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00" w:type="dxa"/>
          <w:vAlign w:val="center"/>
        </w:tcPr>
        <w:p w14:paraId="110D561C" w14:textId="77777777" w:rsidR="00E52F46" w:rsidRDefault="00363413">
          <w:pPr>
            <w:ind w:right="-12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5AAA4D0A" w14:textId="77777777" w:rsidR="00E52F46" w:rsidRDefault="0036341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A54E" w14:textId="77777777" w:rsidR="00E52F46" w:rsidRDefault="00363413">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58240" behindDoc="1" locked="0" layoutInCell="1" hidden="0" allowOverlap="1" wp14:anchorId="23BB2E1D" wp14:editId="5EE4C1B6">
          <wp:simplePos x="0" y="0"/>
          <wp:positionH relativeFrom="column">
            <wp:posOffset>-1078864</wp:posOffset>
          </wp:positionH>
          <wp:positionV relativeFrom="paragraph">
            <wp:posOffset>-411479</wp:posOffset>
          </wp:positionV>
          <wp:extent cx="7813085" cy="10170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5"/>
      <w:tblW w:w="7035" w:type="dxa"/>
      <w:tblInd w:w="3119" w:type="dxa"/>
      <w:tblLayout w:type="fixed"/>
      <w:tblLook w:val="0400" w:firstRow="0" w:lastRow="0" w:firstColumn="0" w:lastColumn="0" w:noHBand="0" w:noVBand="1"/>
    </w:tblPr>
    <w:tblGrid>
      <w:gridCol w:w="2550"/>
      <w:gridCol w:w="4485"/>
    </w:tblGrid>
    <w:tr w:rsidR="00E52F46" w14:paraId="3A0D420C" w14:textId="77777777">
      <w:tc>
        <w:tcPr>
          <w:tcW w:w="2550" w:type="dxa"/>
          <w:vAlign w:val="center"/>
        </w:tcPr>
        <w:p w14:paraId="2866746F" w14:textId="77777777" w:rsidR="00E52F46" w:rsidRDefault="0036341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85" w:type="dxa"/>
          <w:vAlign w:val="center"/>
        </w:tcPr>
        <w:p w14:paraId="7D8D8AA8" w14:textId="77777777" w:rsidR="00E52F46" w:rsidRDefault="008B3AB1">
          <w:pPr>
            <w:ind w:right="-8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03788/INFOEM/IP/RR/2024</w:t>
          </w:r>
          <w:r w:rsidR="00363413">
            <w:rPr>
              <w:rFonts w:ascii="Palatino Linotype" w:eastAsia="Palatino Linotype" w:hAnsi="Palatino Linotype" w:cs="Palatino Linotype"/>
              <w:sz w:val="22"/>
              <w:szCs w:val="22"/>
            </w:rPr>
            <w:t xml:space="preserve"> y Acumulado</w:t>
          </w:r>
        </w:p>
      </w:tc>
    </w:tr>
    <w:tr w:rsidR="00E52F46" w14:paraId="2699EDFA" w14:textId="77777777">
      <w:tc>
        <w:tcPr>
          <w:tcW w:w="2550" w:type="dxa"/>
          <w:vAlign w:val="center"/>
        </w:tcPr>
        <w:p w14:paraId="29AB994F" w14:textId="77777777" w:rsidR="00E52F46" w:rsidRDefault="00363413">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485" w:type="dxa"/>
          <w:vAlign w:val="center"/>
        </w:tcPr>
        <w:p w14:paraId="37252219" w14:textId="3C753D84" w:rsidR="00E52F46" w:rsidRDefault="007971F1">
          <w:pPr>
            <w:ind w:right="-8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w:t>
          </w:r>
        </w:p>
      </w:tc>
    </w:tr>
    <w:tr w:rsidR="00E52F46" w14:paraId="4BCEACE7" w14:textId="77777777">
      <w:trPr>
        <w:trHeight w:val="228"/>
      </w:trPr>
      <w:tc>
        <w:tcPr>
          <w:tcW w:w="2550" w:type="dxa"/>
          <w:vAlign w:val="center"/>
        </w:tcPr>
        <w:p w14:paraId="7A4B61F0" w14:textId="77777777" w:rsidR="00E52F46" w:rsidRDefault="0036341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85" w:type="dxa"/>
          <w:vAlign w:val="center"/>
        </w:tcPr>
        <w:p w14:paraId="38F93763" w14:textId="77777777" w:rsidR="00E52F46" w:rsidRDefault="00363413">
          <w:pPr>
            <w:ind w:left="35" w:right="-810" w:hanging="35"/>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Tezoyuca</w:t>
          </w:r>
        </w:p>
      </w:tc>
    </w:tr>
    <w:tr w:rsidR="00E52F46" w14:paraId="12CA474E" w14:textId="77777777">
      <w:tc>
        <w:tcPr>
          <w:tcW w:w="2550" w:type="dxa"/>
          <w:vAlign w:val="center"/>
        </w:tcPr>
        <w:p w14:paraId="52CBEEE3" w14:textId="77777777" w:rsidR="00E52F46" w:rsidRDefault="0036341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85" w:type="dxa"/>
          <w:vAlign w:val="center"/>
        </w:tcPr>
        <w:p w14:paraId="7498538D" w14:textId="77777777" w:rsidR="00E52F46" w:rsidRDefault="00363413">
          <w:pPr>
            <w:ind w:right="-8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751E3135" w14:textId="77777777" w:rsidR="00E52F46" w:rsidRDefault="00E52F46">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679F"/>
    <w:multiLevelType w:val="multilevel"/>
    <w:tmpl w:val="0D48C16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1F606FFC"/>
    <w:multiLevelType w:val="multilevel"/>
    <w:tmpl w:val="B928D23A"/>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B07A22"/>
    <w:multiLevelType w:val="multilevel"/>
    <w:tmpl w:val="7DA4827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DC358E0"/>
    <w:multiLevelType w:val="multilevel"/>
    <w:tmpl w:val="8EF85C1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15:restartNumberingAfterBreak="0">
    <w:nsid w:val="4A7F2F23"/>
    <w:multiLevelType w:val="multilevel"/>
    <w:tmpl w:val="123E3A7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51BE1CC0"/>
    <w:multiLevelType w:val="multilevel"/>
    <w:tmpl w:val="3E522182"/>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15:restartNumberingAfterBreak="0">
    <w:nsid w:val="52721C63"/>
    <w:multiLevelType w:val="multilevel"/>
    <w:tmpl w:val="7506E968"/>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15:restartNumberingAfterBreak="0">
    <w:nsid w:val="71935701"/>
    <w:multiLevelType w:val="multilevel"/>
    <w:tmpl w:val="05DAF9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8335468">
    <w:abstractNumId w:val="3"/>
  </w:num>
  <w:num w:numId="2" w16cid:durableId="2096397223">
    <w:abstractNumId w:val="2"/>
  </w:num>
  <w:num w:numId="3" w16cid:durableId="1951355723">
    <w:abstractNumId w:val="4"/>
  </w:num>
  <w:num w:numId="4" w16cid:durableId="486243320">
    <w:abstractNumId w:val="5"/>
  </w:num>
  <w:num w:numId="5" w16cid:durableId="469173567">
    <w:abstractNumId w:val="7"/>
  </w:num>
  <w:num w:numId="6" w16cid:durableId="588075086">
    <w:abstractNumId w:val="0"/>
  </w:num>
  <w:num w:numId="7" w16cid:durableId="698504503">
    <w:abstractNumId w:val="1"/>
  </w:num>
  <w:num w:numId="8" w16cid:durableId="168134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46"/>
    <w:rsid w:val="0004239E"/>
    <w:rsid w:val="00051F78"/>
    <w:rsid w:val="00052177"/>
    <w:rsid w:val="00264A41"/>
    <w:rsid w:val="00363413"/>
    <w:rsid w:val="003C6BB5"/>
    <w:rsid w:val="005557D4"/>
    <w:rsid w:val="006F3AD7"/>
    <w:rsid w:val="0074654C"/>
    <w:rsid w:val="007971F1"/>
    <w:rsid w:val="007D05CB"/>
    <w:rsid w:val="008B3AB1"/>
    <w:rsid w:val="009859C2"/>
    <w:rsid w:val="00AD16C7"/>
    <w:rsid w:val="00B228AC"/>
    <w:rsid w:val="00C068CF"/>
    <w:rsid w:val="00C671C1"/>
    <w:rsid w:val="00C74D03"/>
    <w:rsid w:val="00C751BF"/>
    <w:rsid w:val="00D05116"/>
    <w:rsid w:val="00E52F46"/>
    <w:rsid w:val="00EB506B"/>
    <w:rsid w:val="00F416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2AA8"/>
  <w15:docId w15:val="{7C7B96C4-6DEA-4934-9A46-4D1DCD33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A4"/>
  </w:style>
  <w:style w:type="paragraph" w:styleId="Ttulo1">
    <w:name w:val="heading 1"/>
    <w:basedOn w:val="Normal"/>
    <w:next w:val="Normal"/>
    <w:link w:val="Ttulo1Car"/>
    <w:uiPriority w:val="9"/>
    <w:qFormat/>
    <w:rsid w:val="00DE2BA4"/>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DE2BA4"/>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DE2BA4"/>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DE2BA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DE2BA4"/>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DE2BA4"/>
    <w:rPr>
      <w:rFonts w:eastAsiaTheme="minorEastAsia"/>
      <w:sz w:val="24"/>
      <w:szCs w:val="24"/>
      <w:lang w:val="es-ES_tradnl" w:eastAsia="es-ES"/>
    </w:rPr>
  </w:style>
  <w:style w:type="paragraph" w:styleId="Piedepgina">
    <w:name w:val="footer"/>
    <w:basedOn w:val="Normal"/>
    <w:link w:val="PiedepginaCar"/>
    <w:uiPriority w:val="99"/>
    <w:unhideWhenUsed/>
    <w:rsid w:val="00DE2BA4"/>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DE2BA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E2BA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E2BA4"/>
    <w:pPr>
      <w:ind w:left="708"/>
    </w:pPr>
    <w:rPr>
      <w:sz w:val="22"/>
      <w:szCs w:val="22"/>
      <w:lang w:val="es-ES" w:eastAsia="en-US"/>
    </w:rPr>
  </w:style>
  <w:style w:type="table" w:styleId="Tablaconcuadrcula">
    <w:name w:val="Table Grid"/>
    <w:basedOn w:val="Tablanormal"/>
    <w:uiPriority w:val="59"/>
    <w:rsid w:val="00DE2BA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E2BA4"/>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E2BA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E2BA4"/>
    <w:rPr>
      <w:vertAlign w:val="superscript"/>
    </w:rPr>
  </w:style>
  <w:style w:type="paragraph" w:styleId="Continuarlista">
    <w:name w:val="List Continue"/>
    <w:basedOn w:val="Normal"/>
    <w:uiPriority w:val="99"/>
    <w:unhideWhenUsed/>
    <w:rsid w:val="00DE2BA4"/>
    <w:pPr>
      <w:spacing w:after="120"/>
      <w:ind w:left="283"/>
      <w:contextualSpacing/>
    </w:pPr>
  </w:style>
  <w:style w:type="paragraph" w:styleId="Sangradetextonormal">
    <w:name w:val="Body Text Indent"/>
    <w:basedOn w:val="Normal"/>
    <w:link w:val="SangradetextonormalCar"/>
    <w:uiPriority w:val="99"/>
    <w:unhideWhenUsed/>
    <w:rsid w:val="00DE2BA4"/>
    <w:pPr>
      <w:spacing w:after="120"/>
      <w:ind w:left="283"/>
    </w:pPr>
  </w:style>
  <w:style w:type="character" w:customStyle="1" w:styleId="SangradetextonormalCar">
    <w:name w:val="Sangría de texto normal Car"/>
    <w:basedOn w:val="Fuentedeprrafopredeter"/>
    <w:link w:val="Sangradetextonormal"/>
    <w:uiPriority w:val="99"/>
    <w:rsid w:val="00DE2BA4"/>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DE2BA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2BA4"/>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E2BA4"/>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Hf6YulRBSMInwDa13KlJ1kiCVA==">CgMxLjAyCGguZ2pkZ3hzMgloLjMwajB6bGwyCWguMWZvYjl0ZTIJaC4zem55c2g3MgloLjJldDkycDAyDmguaXQ5d2Zqd3RlMzRxMg5oLmQ0cmFtcmFreG1yeTIOaC5qc3h6dTFuYnltaXUyDWguc2xkMzl0NTdqOHIyDmguZDVkZXp6bTRycWg4Mg5oLnN0MTN2dmh3emwxbDIIaC50eWpjd3QyCWguM2R5NnZrbTIJaC4xdDNoNXNmMgloLjRkMzRvZzgyCWguMnM4ZXlvMTIJaC4xN2RwOHZ1MgloLjNyZGNyam4yCWguMjZpbjFyZzIJaC4zNW5rdW4yMgloLjFrc3Y0dXY4AHIhMS1rNmZ0Ti1XbTV2OXpob1k2U05NaTlYb19GdlIyRG8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8174</Words>
  <Characters>44958</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13</cp:revision>
  <cp:lastPrinted>2024-10-10T21:17:00Z</cp:lastPrinted>
  <dcterms:created xsi:type="dcterms:W3CDTF">2024-10-07T16:48:00Z</dcterms:created>
  <dcterms:modified xsi:type="dcterms:W3CDTF">2024-11-06T16:39:00Z</dcterms:modified>
</cp:coreProperties>
</file>