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7F34" w14:textId="728016AD" w:rsidR="00830242" w:rsidRPr="00445611" w:rsidRDefault="00540CF8">
      <w:pPr>
        <w:spacing w:before="240" w:after="240" w:line="360" w:lineRule="auto"/>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746BA5" w:rsidRPr="00445611">
        <w:rPr>
          <w:rFonts w:ascii="Palatino Linotype" w:eastAsia="Palatino Linotype" w:hAnsi="Palatino Linotype" w:cs="Palatino Linotype"/>
          <w:b/>
          <w:sz w:val="22"/>
          <w:szCs w:val="22"/>
        </w:rPr>
        <w:t>veinticinco</w:t>
      </w:r>
      <w:r w:rsidR="003E1E26" w:rsidRPr="00445611">
        <w:rPr>
          <w:rFonts w:ascii="Palatino Linotype" w:eastAsia="Palatino Linotype" w:hAnsi="Palatino Linotype" w:cs="Palatino Linotype"/>
          <w:b/>
          <w:sz w:val="22"/>
          <w:szCs w:val="22"/>
        </w:rPr>
        <w:t xml:space="preserve"> de septiembre</w:t>
      </w:r>
      <w:r w:rsidRPr="00445611">
        <w:rPr>
          <w:rFonts w:ascii="Palatino Linotype" w:eastAsia="Palatino Linotype" w:hAnsi="Palatino Linotype" w:cs="Palatino Linotype"/>
          <w:b/>
          <w:sz w:val="22"/>
          <w:szCs w:val="22"/>
        </w:rPr>
        <w:t xml:space="preserve"> de dos mil veinticuatro</w:t>
      </w:r>
      <w:r w:rsidRPr="00445611">
        <w:rPr>
          <w:rFonts w:ascii="Palatino Linotype" w:eastAsia="Palatino Linotype" w:hAnsi="Palatino Linotype" w:cs="Palatino Linotype"/>
          <w:sz w:val="22"/>
          <w:szCs w:val="22"/>
        </w:rPr>
        <w:t xml:space="preserve">. </w:t>
      </w:r>
    </w:p>
    <w:p w14:paraId="6E3DD404" w14:textId="77777777" w:rsidR="00830242" w:rsidRPr="00445611" w:rsidRDefault="00540CF8">
      <w:pPr>
        <w:spacing w:before="240" w:after="240" w:line="360" w:lineRule="auto"/>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Vistos</w:t>
      </w:r>
      <w:r w:rsidRPr="00445611">
        <w:rPr>
          <w:rFonts w:ascii="Palatino Linotype" w:eastAsia="Palatino Linotype" w:hAnsi="Palatino Linotype" w:cs="Palatino Linotype"/>
          <w:sz w:val="22"/>
          <w:szCs w:val="22"/>
        </w:rPr>
        <w:t xml:space="preserve"> los expedientes formados con motivo de los recursos de revisión </w:t>
      </w:r>
      <w:r w:rsidR="00D4686E" w:rsidRPr="00445611">
        <w:rPr>
          <w:rFonts w:ascii="Palatino Linotype" w:eastAsia="Palatino Linotype" w:hAnsi="Palatino Linotype" w:cs="Palatino Linotype"/>
          <w:b/>
          <w:sz w:val="22"/>
          <w:szCs w:val="22"/>
        </w:rPr>
        <w:t>02864/INFOEM/IP/RR/2024 y 02865</w:t>
      </w:r>
      <w:r w:rsidRPr="00445611">
        <w:rPr>
          <w:rFonts w:ascii="Palatino Linotype" w:eastAsia="Palatino Linotype" w:hAnsi="Palatino Linotype" w:cs="Palatino Linotype"/>
          <w:b/>
          <w:sz w:val="22"/>
          <w:szCs w:val="22"/>
        </w:rPr>
        <w:t xml:space="preserve">/INFOEM/IP/RR/2024 acumulados, </w:t>
      </w:r>
      <w:r w:rsidRPr="00445611">
        <w:rPr>
          <w:rFonts w:ascii="Palatino Linotype" w:eastAsia="Palatino Linotype" w:hAnsi="Palatino Linotype" w:cs="Palatino Linotype"/>
          <w:sz w:val="22"/>
          <w:szCs w:val="22"/>
        </w:rPr>
        <w:t>interpuestos por</w:t>
      </w:r>
      <w:r w:rsidRPr="00445611">
        <w:rPr>
          <w:rFonts w:ascii="Palatino Linotype" w:eastAsia="Palatino Linotype" w:hAnsi="Palatino Linotype" w:cs="Palatino Linotype"/>
          <w:b/>
          <w:sz w:val="22"/>
          <w:szCs w:val="22"/>
        </w:rPr>
        <w:t xml:space="preserve"> un particular de manera anónima, </w:t>
      </w:r>
      <w:r w:rsidRPr="00445611">
        <w:rPr>
          <w:rFonts w:ascii="Palatino Linotype" w:eastAsia="Palatino Linotype" w:hAnsi="Palatino Linotype" w:cs="Palatino Linotype"/>
          <w:sz w:val="22"/>
          <w:szCs w:val="22"/>
        </w:rPr>
        <w:t>quien en lo sucesivo</w:t>
      </w:r>
      <w:r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 xml:space="preserve">será identificado como </w:t>
      </w:r>
      <w:r w:rsidRPr="00445611">
        <w:rPr>
          <w:rFonts w:ascii="Palatino Linotype" w:eastAsia="Palatino Linotype" w:hAnsi="Palatino Linotype" w:cs="Palatino Linotype"/>
          <w:b/>
          <w:sz w:val="22"/>
          <w:szCs w:val="22"/>
        </w:rPr>
        <w:t>la parte Recurrente,</w:t>
      </w:r>
      <w:r w:rsidRPr="00445611">
        <w:rPr>
          <w:rFonts w:ascii="Palatino Linotype" w:eastAsia="Palatino Linotype" w:hAnsi="Palatino Linotype" w:cs="Palatino Linotype"/>
          <w:sz w:val="22"/>
          <w:szCs w:val="22"/>
        </w:rPr>
        <w:t xml:space="preserve"> en contra de las respuestas en las solicitudes de información con número de folio </w:t>
      </w:r>
      <w:r w:rsidR="00D4686E" w:rsidRPr="00445611">
        <w:rPr>
          <w:rFonts w:ascii="Palatino Linotype" w:eastAsia="Palatino Linotype" w:hAnsi="Palatino Linotype" w:cs="Palatino Linotype"/>
          <w:b/>
          <w:sz w:val="22"/>
          <w:szCs w:val="22"/>
        </w:rPr>
        <w:t xml:space="preserve">00389/TLALNEPA/IP/2024 </w:t>
      </w:r>
      <w:r w:rsidRPr="00445611">
        <w:rPr>
          <w:rFonts w:ascii="Palatino Linotype" w:eastAsia="Palatino Linotype" w:hAnsi="Palatino Linotype" w:cs="Palatino Linotype"/>
          <w:b/>
          <w:sz w:val="22"/>
          <w:szCs w:val="22"/>
        </w:rPr>
        <w:t xml:space="preserve">y </w:t>
      </w:r>
      <w:r w:rsidR="00D4686E" w:rsidRPr="00445611">
        <w:rPr>
          <w:rFonts w:ascii="Palatino Linotype" w:eastAsia="Palatino Linotype" w:hAnsi="Palatino Linotype" w:cs="Palatino Linotype"/>
          <w:b/>
          <w:sz w:val="22"/>
          <w:szCs w:val="22"/>
        </w:rPr>
        <w:t>00388/TLALNEPA/IP/2024</w:t>
      </w:r>
      <w:r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por parte</w:t>
      </w:r>
      <w:r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 xml:space="preserve">del </w:t>
      </w:r>
      <w:r w:rsidR="00D4686E" w:rsidRPr="00445611">
        <w:rPr>
          <w:rFonts w:ascii="Palatino Linotype" w:eastAsia="Palatino Linotype" w:hAnsi="Palatino Linotype" w:cs="Palatino Linotype"/>
          <w:b/>
          <w:sz w:val="22"/>
          <w:szCs w:val="22"/>
        </w:rPr>
        <w:t>Ayuntamiento de Tlalnepantla de Baz</w:t>
      </w:r>
      <w:r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 xml:space="preserve">en lo sucesivo el </w:t>
      </w:r>
      <w:r w:rsidRPr="00445611">
        <w:rPr>
          <w:rFonts w:ascii="Palatino Linotype" w:eastAsia="Palatino Linotype" w:hAnsi="Palatino Linotype" w:cs="Palatino Linotype"/>
          <w:b/>
          <w:sz w:val="22"/>
          <w:szCs w:val="22"/>
        </w:rPr>
        <w:t xml:space="preserve">Sujeto Obligado, </w:t>
      </w:r>
      <w:r w:rsidRPr="00445611">
        <w:rPr>
          <w:rFonts w:ascii="Palatino Linotype" w:eastAsia="Palatino Linotype" w:hAnsi="Palatino Linotype" w:cs="Palatino Linotype"/>
          <w:sz w:val="22"/>
          <w:szCs w:val="22"/>
        </w:rPr>
        <w:t xml:space="preserve">se procede a dictar la presente resolución con base en los siguientes: </w:t>
      </w:r>
    </w:p>
    <w:p w14:paraId="54FB8D65" w14:textId="77777777" w:rsidR="00830242" w:rsidRPr="00445611" w:rsidRDefault="00540CF8">
      <w:pPr>
        <w:spacing w:before="240" w:after="240" w:line="360" w:lineRule="auto"/>
        <w:jc w:val="center"/>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I. A N T E C E D E N T E S</w:t>
      </w:r>
    </w:p>
    <w:p w14:paraId="516C43EA"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sidRPr="00445611">
        <w:rPr>
          <w:rFonts w:ascii="Palatino Linotype" w:eastAsia="Palatino Linotype" w:hAnsi="Palatino Linotype" w:cs="Palatino Linotype"/>
          <w:b/>
          <w:sz w:val="22"/>
          <w:szCs w:val="22"/>
        </w:rPr>
        <w:t>1. Solicitudes de acceso a la información.</w:t>
      </w:r>
      <w:r w:rsidRPr="00445611">
        <w:rPr>
          <w:rFonts w:ascii="Palatino Linotype" w:eastAsia="Palatino Linotype" w:hAnsi="Palatino Linotype" w:cs="Palatino Linotype"/>
          <w:sz w:val="22"/>
          <w:szCs w:val="22"/>
        </w:rPr>
        <w:t xml:space="preserve"> El </w:t>
      </w:r>
      <w:r w:rsidR="00D4686E" w:rsidRPr="00445611">
        <w:rPr>
          <w:rFonts w:ascii="Palatino Linotype" w:eastAsia="Palatino Linotype" w:hAnsi="Palatino Linotype" w:cs="Palatino Linotype"/>
          <w:b/>
          <w:sz w:val="22"/>
          <w:szCs w:val="22"/>
        </w:rPr>
        <w:t>tres</w:t>
      </w:r>
      <w:r w:rsidRPr="00445611">
        <w:rPr>
          <w:rFonts w:ascii="Palatino Linotype" w:eastAsia="Palatino Linotype" w:hAnsi="Palatino Linotype" w:cs="Palatino Linotype"/>
          <w:sz w:val="22"/>
          <w:szCs w:val="22"/>
        </w:rPr>
        <w:t xml:space="preserve"> </w:t>
      </w:r>
      <w:r w:rsidR="00D4686E" w:rsidRPr="00445611">
        <w:rPr>
          <w:rFonts w:ascii="Palatino Linotype" w:eastAsia="Palatino Linotype" w:hAnsi="Palatino Linotype" w:cs="Palatino Linotype"/>
          <w:b/>
          <w:sz w:val="22"/>
          <w:szCs w:val="22"/>
        </w:rPr>
        <w:t>de abril</w:t>
      </w:r>
      <w:r w:rsidRPr="00445611">
        <w:rPr>
          <w:rFonts w:ascii="Palatino Linotype" w:eastAsia="Palatino Linotype" w:hAnsi="Palatino Linotype" w:cs="Palatino Linotype"/>
          <w:b/>
          <w:sz w:val="22"/>
          <w:szCs w:val="22"/>
        </w:rPr>
        <w:t xml:space="preserve"> de dos mil veinticuatro,</w:t>
      </w:r>
      <w:r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 xml:space="preserve">la parte Recurrente </w:t>
      </w:r>
      <w:r w:rsidRPr="00445611">
        <w:rPr>
          <w:rFonts w:ascii="Palatino Linotype" w:eastAsia="Palatino Linotype" w:hAnsi="Palatino Linotype" w:cs="Palatino Linotype"/>
          <w:sz w:val="22"/>
          <w:szCs w:val="22"/>
        </w:rPr>
        <w:t>formuló solicitudes de acceso a información pública a través del Sistema de Acceso a la Información Mexiquense (SAIMEX)</w:t>
      </w:r>
      <w:r w:rsidRPr="00445611">
        <w:rPr>
          <w:rFonts w:ascii="Palatino Linotype" w:eastAsia="Palatino Linotype" w:hAnsi="Palatino Linotype" w:cs="Palatino Linotype"/>
          <w:b/>
          <w:sz w:val="22"/>
          <w:szCs w:val="22"/>
        </w:rPr>
        <w:t>,</w:t>
      </w:r>
      <w:r w:rsidRPr="00445611">
        <w:rPr>
          <w:rFonts w:ascii="Palatino Linotype" w:eastAsia="Palatino Linotype" w:hAnsi="Palatino Linotype" w:cs="Palatino Linotype"/>
          <w:sz w:val="22"/>
          <w:szCs w:val="22"/>
        </w:rPr>
        <w:t xml:space="preserve"> en las que requirió lo siguiente:</w:t>
      </w:r>
    </w:p>
    <w:tbl>
      <w:tblPr>
        <w:tblStyle w:val="aff8"/>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445611" w:rsidRPr="00445611" w14:paraId="6F70AE2F" w14:textId="77777777" w:rsidTr="00D4686E">
        <w:tc>
          <w:tcPr>
            <w:tcW w:w="3823" w:type="dxa"/>
            <w:shd w:val="clear" w:color="auto" w:fill="D6E3BC" w:themeFill="accent3" w:themeFillTint="66"/>
          </w:tcPr>
          <w:p w14:paraId="41765B3F" w14:textId="77777777" w:rsidR="00830242" w:rsidRPr="00445611" w:rsidRDefault="00540CF8">
            <w:pPr>
              <w:spacing w:before="240" w:after="240"/>
              <w:jc w:val="center"/>
              <w:rPr>
                <w:rFonts w:ascii="Palatino Linotype" w:eastAsia="Palatino Linotype" w:hAnsi="Palatino Linotype" w:cs="Palatino Linotype"/>
                <w:b/>
              </w:rPr>
            </w:pPr>
            <w:r w:rsidRPr="00445611">
              <w:rPr>
                <w:rFonts w:ascii="Palatino Linotype" w:eastAsia="Palatino Linotype" w:hAnsi="Palatino Linotype" w:cs="Palatino Linotype"/>
                <w:b/>
                <w:sz w:val="20"/>
                <w:szCs w:val="20"/>
              </w:rPr>
              <w:t>Número de solicitud y recurso de revisión</w:t>
            </w:r>
          </w:p>
        </w:tc>
        <w:tc>
          <w:tcPr>
            <w:tcW w:w="5098" w:type="dxa"/>
            <w:shd w:val="clear" w:color="auto" w:fill="D6E3BC" w:themeFill="accent3" w:themeFillTint="66"/>
          </w:tcPr>
          <w:p w14:paraId="749767A9" w14:textId="77777777" w:rsidR="00830242" w:rsidRPr="00445611" w:rsidRDefault="00540CF8">
            <w:pPr>
              <w:spacing w:before="240" w:after="240" w:line="360" w:lineRule="auto"/>
              <w:jc w:val="center"/>
              <w:rPr>
                <w:rFonts w:ascii="Palatino Linotype" w:eastAsia="Palatino Linotype" w:hAnsi="Palatino Linotype" w:cs="Palatino Linotype"/>
                <w:b/>
              </w:rPr>
            </w:pPr>
            <w:r w:rsidRPr="00445611">
              <w:rPr>
                <w:rFonts w:ascii="Palatino Linotype" w:eastAsia="Palatino Linotype" w:hAnsi="Palatino Linotype" w:cs="Palatino Linotype"/>
                <w:b/>
                <w:sz w:val="20"/>
                <w:szCs w:val="20"/>
              </w:rPr>
              <w:t>Información requerida</w:t>
            </w:r>
          </w:p>
        </w:tc>
      </w:tr>
      <w:tr w:rsidR="00445611" w:rsidRPr="00445611" w14:paraId="0A1DC00F" w14:textId="77777777">
        <w:tc>
          <w:tcPr>
            <w:tcW w:w="3823" w:type="dxa"/>
          </w:tcPr>
          <w:p w14:paraId="50D74193" w14:textId="77777777" w:rsidR="00830242" w:rsidRPr="00445611" w:rsidRDefault="00D4686E">
            <w:pPr>
              <w:spacing w:before="240" w:after="240"/>
              <w:jc w:val="center"/>
              <w:rPr>
                <w:rFonts w:ascii="Palatino Linotype" w:eastAsia="Palatino Linotype" w:hAnsi="Palatino Linotype" w:cs="Palatino Linotype"/>
                <w:b/>
                <w:sz w:val="20"/>
                <w:szCs w:val="20"/>
              </w:rPr>
            </w:pPr>
            <w:r w:rsidRPr="00445611">
              <w:rPr>
                <w:rFonts w:ascii="Palatino Linotype" w:eastAsia="Palatino Linotype" w:hAnsi="Palatino Linotype" w:cs="Palatino Linotype"/>
                <w:b/>
                <w:sz w:val="20"/>
                <w:szCs w:val="20"/>
              </w:rPr>
              <w:t>00389/TLALNEPA/IP/2024</w:t>
            </w:r>
            <w:r w:rsidR="00540CF8" w:rsidRPr="00445611">
              <w:rPr>
                <w:rFonts w:ascii="Palatino Linotype" w:eastAsia="Palatino Linotype" w:hAnsi="Palatino Linotype" w:cs="Palatino Linotype"/>
                <w:b/>
                <w:sz w:val="20"/>
                <w:szCs w:val="20"/>
              </w:rPr>
              <w:t xml:space="preserve">, </w:t>
            </w:r>
            <w:r w:rsidR="00540CF8" w:rsidRPr="00445611">
              <w:rPr>
                <w:rFonts w:ascii="Palatino Linotype" w:eastAsia="Palatino Linotype" w:hAnsi="Palatino Linotype" w:cs="Palatino Linotype"/>
                <w:sz w:val="20"/>
                <w:szCs w:val="20"/>
              </w:rPr>
              <w:t>correspondiente al Recurso de Revisión</w:t>
            </w:r>
            <w:r w:rsidR="00540CF8" w:rsidRPr="00445611">
              <w:rPr>
                <w:rFonts w:ascii="Palatino Linotype" w:eastAsia="Palatino Linotype" w:hAnsi="Palatino Linotype" w:cs="Palatino Linotype"/>
                <w:b/>
                <w:sz w:val="20"/>
                <w:szCs w:val="20"/>
              </w:rPr>
              <w:t xml:space="preserve"> </w:t>
            </w:r>
            <w:r w:rsidRPr="00445611">
              <w:rPr>
                <w:rFonts w:ascii="Palatino Linotype" w:eastAsia="Palatino Linotype" w:hAnsi="Palatino Linotype" w:cs="Palatino Linotype"/>
                <w:b/>
                <w:sz w:val="20"/>
                <w:szCs w:val="20"/>
              </w:rPr>
              <w:t>02864/INFOEM/IP/RR/2024</w:t>
            </w:r>
          </w:p>
        </w:tc>
        <w:tc>
          <w:tcPr>
            <w:tcW w:w="5098" w:type="dxa"/>
          </w:tcPr>
          <w:p w14:paraId="6CFB9205" w14:textId="77777777" w:rsidR="00830242" w:rsidRPr="00445611" w:rsidRDefault="00540CF8" w:rsidP="003E1E26">
            <w:pPr>
              <w:spacing w:before="240" w:after="240"/>
              <w:jc w:val="both"/>
              <w:rPr>
                <w:rFonts w:ascii="Palatino Linotype" w:eastAsia="Palatino Linotype" w:hAnsi="Palatino Linotype" w:cs="Palatino Linotype"/>
                <w:i/>
                <w:sz w:val="20"/>
                <w:szCs w:val="20"/>
              </w:rPr>
            </w:pPr>
            <w:r w:rsidRPr="00445611">
              <w:rPr>
                <w:rFonts w:ascii="Palatino Linotype" w:eastAsia="Palatino Linotype" w:hAnsi="Palatino Linotype" w:cs="Palatino Linotype"/>
                <w:i/>
                <w:sz w:val="20"/>
                <w:szCs w:val="20"/>
              </w:rPr>
              <w:t>“</w:t>
            </w:r>
            <w:r w:rsidR="00D4686E" w:rsidRPr="00445611">
              <w:rPr>
                <w:rFonts w:ascii="Palatino Linotype" w:eastAsia="Palatino Linotype" w:hAnsi="Palatino Linotype" w:cs="Palatino Linotype"/>
                <w:i/>
                <w:sz w:val="20"/>
                <w:szCs w:val="20"/>
              </w:rPr>
              <w:t xml:space="preserve">solicito </w:t>
            </w:r>
            <w:r w:rsidR="00D4686E" w:rsidRPr="00445611">
              <w:rPr>
                <w:rFonts w:ascii="Palatino Linotype" w:eastAsia="Palatino Linotype" w:hAnsi="Palatino Linotype" w:cs="Palatino Linotype"/>
                <w:b/>
                <w:i/>
                <w:sz w:val="20"/>
                <w:szCs w:val="20"/>
                <w:u w:val="single"/>
              </w:rPr>
              <w:t>la relación de las entregas-recepción del año 2022, y todas las documentales en su versión pública</w:t>
            </w:r>
            <w:r w:rsidR="00D4686E" w:rsidRPr="00445611">
              <w:rPr>
                <w:rFonts w:ascii="Palatino Linotype" w:eastAsia="Palatino Linotype" w:hAnsi="Palatino Linotype" w:cs="Palatino Linotype"/>
                <w:i/>
                <w:sz w:val="20"/>
                <w:szCs w:val="20"/>
              </w:rPr>
              <w:t>.</w:t>
            </w:r>
            <w:r w:rsidRPr="00445611">
              <w:rPr>
                <w:rFonts w:ascii="Palatino Linotype" w:eastAsia="Palatino Linotype" w:hAnsi="Palatino Linotype" w:cs="Palatino Linotype"/>
                <w:i/>
                <w:sz w:val="20"/>
                <w:szCs w:val="20"/>
              </w:rPr>
              <w:t xml:space="preserve">” (Sic) </w:t>
            </w:r>
          </w:p>
        </w:tc>
      </w:tr>
      <w:tr w:rsidR="00445611" w:rsidRPr="00445611" w14:paraId="329C3E83" w14:textId="77777777">
        <w:tc>
          <w:tcPr>
            <w:tcW w:w="3823" w:type="dxa"/>
          </w:tcPr>
          <w:p w14:paraId="325DA4D7" w14:textId="77777777" w:rsidR="00830242" w:rsidRPr="00445611" w:rsidRDefault="00D4686E">
            <w:pPr>
              <w:spacing w:before="240" w:after="240"/>
              <w:jc w:val="center"/>
              <w:rPr>
                <w:rFonts w:ascii="Palatino Linotype" w:eastAsia="Palatino Linotype" w:hAnsi="Palatino Linotype" w:cs="Palatino Linotype"/>
                <w:b/>
              </w:rPr>
            </w:pPr>
            <w:r w:rsidRPr="00445611">
              <w:rPr>
                <w:rFonts w:ascii="Palatino Linotype" w:eastAsia="Palatino Linotype" w:hAnsi="Palatino Linotype" w:cs="Palatino Linotype"/>
                <w:b/>
                <w:sz w:val="20"/>
                <w:szCs w:val="20"/>
              </w:rPr>
              <w:t>00388/TLALNEPA/IP/2024</w:t>
            </w:r>
            <w:r w:rsidR="00540CF8" w:rsidRPr="00445611">
              <w:rPr>
                <w:rFonts w:ascii="Palatino Linotype" w:eastAsia="Palatino Linotype" w:hAnsi="Palatino Linotype" w:cs="Palatino Linotype"/>
                <w:b/>
                <w:sz w:val="20"/>
                <w:szCs w:val="20"/>
              </w:rPr>
              <w:t xml:space="preserve">, </w:t>
            </w:r>
            <w:r w:rsidR="00540CF8" w:rsidRPr="00445611">
              <w:rPr>
                <w:rFonts w:ascii="Palatino Linotype" w:eastAsia="Palatino Linotype" w:hAnsi="Palatino Linotype" w:cs="Palatino Linotype"/>
                <w:sz w:val="20"/>
                <w:szCs w:val="20"/>
              </w:rPr>
              <w:t>correspondiente al Recurso de Revisión</w:t>
            </w:r>
            <w:r w:rsidR="00540CF8" w:rsidRPr="00445611">
              <w:rPr>
                <w:rFonts w:ascii="Palatino Linotype" w:eastAsia="Palatino Linotype" w:hAnsi="Palatino Linotype" w:cs="Palatino Linotype"/>
                <w:b/>
                <w:sz w:val="20"/>
                <w:szCs w:val="20"/>
              </w:rPr>
              <w:t xml:space="preserve">    </w:t>
            </w:r>
            <w:r w:rsidRPr="00445611">
              <w:rPr>
                <w:rFonts w:ascii="Palatino Linotype" w:eastAsia="Palatino Linotype" w:hAnsi="Palatino Linotype" w:cs="Palatino Linotype"/>
                <w:b/>
                <w:sz w:val="20"/>
                <w:szCs w:val="20"/>
              </w:rPr>
              <w:t>02865/INFOEM/IP/RR/2024</w:t>
            </w:r>
          </w:p>
        </w:tc>
        <w:tc>
          <w:tcPr>
            <w:tcW w:w="5098" w:type="dxa"/>
          </w:tcPr>
          <w:p w14:paraId="4D899815" w14:textId="77777777" w:rsidR="00830242" w:rsidRPr="00445611" w:rsidRDefault="00540CF8">
            <w:pPr>
              <w:spacing w:before="240" w:after="240"/>
              <w:jc w:val="both"/>
              <w:rPr>
                <w:rFonts w:ascii="Palatino Linotype" w:eastAsia="Palatino Linotype" w:hAnsi="Palatino Linotype" w:cs="Palatino Linotype"/>
                <w:i/>
                <w:sz w:val="20"/>
                <w:szCs w:val="20"/>
              </w:rPr>
            </w:pPr>
            <w:r w:rsidRPr="00445611">
              <w:rPr>
                <w:rFonts w:ascii="Palatino Linotype" w:eastAsia="Palatino Linotype" w:hAnsi="Palatino Linotype" w:cs="Palatino Linotype"/>
                <w:i/>
                <w:sz w:val="20"/>
                <w:szCs w:val="20"/>
              </w:rPr>
              <w:t>“</w:t>
            </w:r>
            <w:r w:rsidR="00D4686E" w:rsidRPr="00445611">
              <w:rPr>
                <w:rFonts w:ascii="Palatino Linotype" w:eastAsia="Palatino Linotype" w:hAnsi="Palatino Linotype" w:cs="Palatino Linotype"/>
                <w:i/>
                <w:sz w:val="20"/>
                <w:szCs w:val="20"/>
              </w:rPr>
              <w:t xml:space="preserve">solicito </w:t>
            </w:r>
            <w:r w:rsidR="00D4686E" w:rsidRPr="00445611">
              <w:rPr>
                <w:rFonts w:ascii="Palatino Linotype" w:eastAsia="Palatino Linotype" w:hAnsi="Palatino Linotype" w:cs="Palatino Linotype"/>
                <w:b/>
                <w:i/>
                <w:sz w:val="20"/>
                <w:szCs w:val="20"/>
                <w:u w:val="single"/>
              </w:rPr>
              <w:t>la relación de las entregas-recepción del año 2023, y todas las documentales en su versión pública</w:t>
            </w:r>
            <w:r w:rsidR="00D4686E" w:rsidRPr="00445611">
              <w:rPr>
                <w:rFonts w:ascii="Palatino Linotype" w:eastAsia="Palatino Linotype" w:hAnsi="Palatino Linotype" w:cs="Palatino Linotype"/>
                <w:i/>
                <w:sz w:val="20"/>
                <w:szCs w:val="20"/>
              </w:rPr>
              <w:t>.” (Sic)</w:t>
            </w:r>
          </w:p>
        </w:tc>
      </w:tr>
    </w:tbl>
    <w:p w14:paraId="2F16FC1C" w14:textId="77777777" w:rsidR="00830242" w:rsidRPr="00445611" w:rsidRDefault="00540CF8">
      <w:pPr>
        <w:spacing w:before="240" w:after="240" w:line="360" w:lineRule="auto"/>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lastRenderedPageBreak/>
        <w:t xml:space="preserve">Modalidad elegida para la entrega de la información: </w:t>
      </w:r>
      <w:r w:rsidRPr="00445611">
        <w:rPr>
          <w:rFonts w:ascii="Palatino Linotype" w:eastAsia="Palatino Linotype" w:hAnsi="Palatino Linotype" w:cs="Palatino Linotype"/>
          <w:sz w:val="22"/>
          <w:szCs w:val="22"/>
        </w:rPr>
        <w:t xml:space="preserve">A través del </w:t>
      </w:r>
      <w:r w:rsidRPr="00445611">
        <w:rPr>
          <w:rFonts w:ascii="Palatino Linotype" w:eastAsia="Palatino Linotype" w:hAnsi="Palatino Linotype" w:cs="Palatino Linotype"/>
          <w:b/>
          <w:sz w:val="22"/>
          <w:szCs w:val="22"/>
        </w:rPr>
        <w:t xml:space="preserve">SAIMEX </w:t>
      </w:r>
    </w:p>
    <w:p w14:paraId="1FD293D1"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2. Prórrogas. </w:t>
      </w:r>
      <w:r w:rsidRPr="00445611">
        <w:rPr>
          <w:rFonts w:ascii="Palatino Linotype" w:eastAsia="Palatino Linotype" w:hAnsi="Palatino Linotype" w:cs="Palatino Linotype"/>
          <w:sz w:val="22"/>
          <w:szCs w:val="22"/>
        </w:rPr>
        <w:t>El</w:t>
      </w:r>
      <w:r w:rsidRPr="00445611">
        <w:rPr>
          <w:rFonts w:ascii="Palatino Linotype" w:eastAsia="Palatino Linotype" w:hAnsi="Palatino Linotype" w:cs="Palatino Linotype"/>
          <w:b/>
          <w:sz w:val="22"/>
          <w:szCs w:val="22"/>
        </w:rPr>
        <w:t xml:space="preserve"> </w:t>
      </w:r>
      <w:r w:rsidR="00D4686E" w:rsidRPr="00445611">
        <w:rPr>
          <w:rFonts w:ascii="Palatino Linotype" w:eastAsia="Palatino Linotype" w:hAnsi="Palatino Linotype" w:cs="Palatino Linotype"/>
          <w:b/>
          <w:sz w:val="22"/>
          <w:szCs w:val="22"/>
        </w:rPr>
        <w:t>veintitrés</w:t>
      </w:r>
      <w:r w:rsidRPr="00445611">
        <w:rPr>
          <w:rFonts w:ascii="Palatino Linotype" w:eastAsia="Palatino Linotype" w:hAnsi="Palatino Linotype" w:cs="Palatino Linotype"/>
          <w:b/>
          <w:sz w:val="22"/>
          <w:szCs w:val="22"/>
        </w:rPr>
        <w:t xml:space="preserve"> de abril de dos mil veinticuatro, </w:t>
      </w:r>
      <w:r w:rsidRPr="00445611">
        <w:rPr>
          <w:rFonts w:ascii="Palatino Linotype" w:eastAsia="Palatino Linotype" w:hAnsi="Palatino Linotype" w:cs="Palatino Linotype"/>
          <w:sz w:val="22"/>
          <w:szCs w:val="22"/>
        </w:rPr>
        <w:t xml:space="preserve">el </w:t>
      </w:r>
      <w:r w:rsidRPr="00445611">
        <w:rPr>
          <w:rFonts w:ascii="Palatino Linotype" w:eastAsia="Palatino Linotype" w:hAnsi="Palatino Linotype" w:cs="Palatino Linotype"/>
          <w:b/>
          <w:sz w:val="22"/>
          <w:szCs w:val="22"/>
        </w:rPr>
        <w:t xml:space="preserve">Sujeto Obligado </w:t>
      </w:r>
      <w:r w:rsidRPr="00445611">
        <w:rPr>
          <w:rFonts w:ascii="Palatino Linotype" w:eastAsia="Palatino Linotype" w:hAnsi="Palatino Linotype" w:cs="Palatino Linotype"/>
          <w:sz w:val="22"/>
          <w:szCs w:val="22"/>
        </w:rPr>
        <w:t>notificó las prórrogas para atender las solicitudes de información, medularmente en los siguientes términos:</w:t>
      </w:r>
    </w:p>
    <w:p w14:paraId="6C7D8400" w14:textId="77777777" w:rsidR="00D4686E" w:rsidRPr="00445611" w:rsidRDefault="00540CF8" w:rsidP="00D4686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r w:rsidR="00D4686E" w:rsidRPr="00445611">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63DF45B" w14:textId="77777777" w:rsidR="00D4686E" w:rsidRPr="00445611" w:rsidRDefault="00D4686E" w:rsidP="00D4686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SOLICITO AMPLIACION PARA REALIZAR UN ANALISIS DE LA SOLICITUD</w:t>
      </w:r>
    </w:p>
    <w:p w14:paraId="31D40061" w14:textId="77777777" w:rsidR="00D4686E" w:rsidRPr="00445611" w:rsidRDefault="00D4686E" w:rsidP="00D4686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D.A.P. SALVADOR ALEJANDRO SALDÍVAR VÉLEZ</w:t>
      </w:r>
    </w:p>
    <w:p w14:paraId="2D1F615B" w14:textId="77777777" w:rsidR="00830242" w:rsidRPr="00445611" w:rsidRDefault="00D4686E" w:rsidP="00D4686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Responsable de la Unidad de Transparencia</w:t>
      </w:r>
      <w:r w:rsidR="00540CF8" w:rsidRPr="00445611">
        <w:rPr>
          <w:rFonts w:ascii="Palatino Linotype" w:eastAsia="Palatino Linotype" w:hAnsi="Palatino Linotype" w:cs="Palatino Linotype"/>
          <w:i/>
          <w:sz w:val="22"/>
          <w:szCs w:val="22"/>
        </w:rPr>
        <w:t>”</w:t>
      </w:r>
    </w:p>
    <w:p w14:paraId="27E6AAEA"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Es de precisar que, del análisis a esta ampliación de plazo, se tiene que </w:t>
      </w:r>
      <w:r w:rsidRPr="00445611">
        <w:rPr>
          <w:rFonts w:ascii="Palatino Linotype" w:eastAsia="Palatino Linotype" w:hAnsi="Palatino Linotype" w:cs="Palatino Linotype"/>
          <w:b/>
          <w:sz w:val="22"/>
          <w:szCs w:val="22"/>
          <w:u w:val="single"/>
        </w:rPr>
        <w:t>no se efectuó</w:t>
      </w:r>
      <w:r w:rsidRPr="00445611">
        <w:rPr>
          <w:rFonts w:ascii="Palatino Linotype" w:eastAsia="Palatino Linotype" w:hAnsi="Palatino Linotype" w:cs="Palatino Linotype"/>
          <w:sz w:val="22"/>
          <w:szCs w:val="22"/>
        </w:rPr>
        <w:t xml:space="preserve"> dentro de los parámetros establecidos por el segundo párrafo del artículo 163 de la Ley de Transparencia Local, por lo que se insta al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para que en subsecuentes ocasiones que requiera ampliar el plazo para atención de las solicitudes de información, lo realice conforme a las formalidades establecidas por la norma.</w:t>
      </w:r>
    </w:p>
    <w:p w14:paraId="57379817" w14:textId="77777777" w:rsidR="00830242" w:rsidRPr="00445611" w:rsidRDefault="00540CF8">
      <w:pPr>
        <w:spacing w:before="240" w:after="240" w:line="360" w:lineRule="auto"/>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 xml:space="preserve">3. Respuestas. </w:t>
      </w:r>
      <w:r w:rsidRPr="00445611">
        <w:rPr>
          <w:rFonts w:ascii="Palatino Linotype" w:eastAsia="Palatino Linotype" w:hAnsi="Palatino Linotype" w:cs="Palatino Linotype"/>
          <w:sz w:val="22"/>
          <w:szCs w:val="22"/>
        </w:rPr>
        <w:t xml:space="preserve"> El </w:t>
      </w:r>
      <w:r w:rsidR="00D4686E" w:rsidRPr="00445611">
        <w:rPr>
          <w:rFonts w:ascii="Palatino Linotype" w:eastAsia="Palatino Linotype" w:hAnsi="Palatino Linotype" w:cs="Palatino Linotype"/>
          <w:b/>
          <w:sz w:val="22"/>
          <w:szCs w:val="22"/>
        </w:rPr>
        <w:t>siete de mayo</w:t>
      </w:r>
      <w:r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de dos mil veinticuatro</w:t>
      </w:r>
      <w:r w:rsidRPr="00445611">
        <w:rPr>
          <w:rFonts w:ascii="Palatino Linotype" w:eastAsia="Palatino Linotype" w:hAnsi="Palatino Linotype" w:cs="Palatino Linotype"/>
          <w:sz w:val="22"/>
          <w:szCs w:val="22"/>
        </w:rPr>
        <w:t xml:space="preserv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notificó a </w:t>
      </w:r>
      <w:r w:rsidRPr="00445611">
        <w:rPr>
          <w:rFonts w:ascii="Palatino Linotype" w:eastAsia="Palatino Linotype" w:hAnsi="Palatino Linotype" w:cs="Palatino Linotype"/>
          <w:b/>
          <w:sz w:val="22"/>
          <w:szCs w:val="22"/>
        </w:rPr>
        <w:t>la parte</w:t>
      </w:r>
      <w:r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Recurrente</w:t>
      </w:r>
      <w:r w:rsidRPr="00445611">
        <w:rPr>
          <w:rFonts w:ascii="Palatino Linotype" w:eastAsia="Palatino Linotype" w:hAnsi="Palatino Linotype" w:cs="Palatino Linotype"/>
          <w:sz w:val="22"/>
          <w:szCs w:val="22"/>
        </w:rPr>
        <w:t xml:space="preserve">, en la totalidad de los expedientes, las respuestas a sus solicitudes de información, en los términos siguientes: </w:t>
      </w:r>
    </w:p>
    <w:tbl>
      <w:tblPr>
        <w:tblStyle w:val="aff9"/>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445611" w:rsidRPr="00445611" w14:paraId="1A955BAD" w14:textId="77777777" w:rsidTr="004E20B6">
        <w:tc>
          <w:tcPr>
            <w:tcW w:w="3823" w:type="dxa"/>
            <w:shd w:val="clear" w:color="auto" w:fill="D6E3BC" w:themeFill="accent3" w:themeFillTint="66"/>
          </w:tcPr>
          <w:p w14:paraId="0AD29655" w14:textId="77777777" w:rsidR="00830242" w:rsidRPr="00445611" w:rsidRDefault="00540CF8">
            <w:pPr>
              <w:spacing w:before="240" w:after="240"/>
              <w:jc w:val="center"/>
              <w:rPr>
                <w:rFonts w:ascii="Palatino Linotype" w:eastAsia="Palatino Linotype" w:hAnsi="Palatino Linotype" w:cs="Palatino Linotype"/>
                <w:b/>
              </w:rPr>
            </w:pPr>
            <w:r w:rsidRPr="00445611">
              <w:rPr>
                <w:rFonts w:ascii="Palatino Linotype" w:eastAsia="Palatino Linotype" w:hAnsi="Palatino Linotype" w:cs="Palatino Linotype"/>
                <w:b/>
                <w:sz w:val="20"/>
                <w:szCs w:val="20"/>
              </w:rPr>
              <w:t>Número de recurso de revisión</w:t>
            </w:r>
          </w:p>
        </w:tc>
        <w:tc>
          <w:tcPr>
            <w:tcW w:w="5098" w:type="dxa"/>
            <w:shd w:val="clear" w:color="auto" w:fill="D6E3BC" w:themeFill="accent3" w:themeFillTint="66"/>
          </w:tcPr>
          <w:p w14:paraId="4BDDE48A" w14:textId="77777777" w:rsidR="00830242" w:rsidRPr="00445611" w:rsidRDefault="00540CF8">
            <w:pPr>
              <w:spacing w:before="240" w:after="240" w:line="360" w:lineRule="auto"/>
              <w:jc w:val="center"/>
              <w:rPr>
                <w:rFonts w:ascii="Palatino Linotype" w:eastAsia="Palatino Linotype" w:hAnsi="Palatino Linotype" w:cs="Palatino Linotype"/>
                <w:b/>
              </w:rPr>
            </w:pPr>
            <w:r w:rsidRPr="00445611">
              <w:rPr>
                <w:rFonts w:ascii="Palatino Linotype" w:eastAsia="Palatino Linotype" w:hAnsi="Palatino Linotype" w:cs="Palatino Linotype"/>
                <w:b/>
                <w:sz w:val="20"/>
                <w:szCs w:val="20"/>
              </w:rPr>
              <w:t>Descripción de las respuestas</w:t>
            </w:r>
          </w:p>
        </w:tc>
      </w:tr>
      <w:tr w:rsidR="00445611" w:rsidRPr="00445611" w14:paraId="5774B382" w14:textId="77777777">
        <w:tc>
          <w:tcPr>
            <w:tcW w:w="3823" w:type="dxa"/>
          </w:tcPr>
          <w:p w14:paraId="6EEAB1A5" w14:textId="77777777" w:rsidR="00830242" w:rsidRPr="00445611" w:rsidRDefault="00D4686E">
            <w:pPr>
              <w:spacing w:before="240" w:after="240"/>
              <w:jc w:val="center"/>
              <w:rPr>
                <w:rFonts w:ascii="Palatino Linotype" w:eastAsia="Palatino Linotype" w:hAnsi="Palatino Linotype" w:cs="Palatino Linotype"/>
                <w:b/>
                <w:sz w:val="20"/>
                <w:szCs w:val="20"/>
              </w:rPr>
            </w:pPr>
            <w:r w:rsidRPr="00445611">
              <w:rPr>
                <w:rFonts w:ascii="Palatino Linotype" w:eastAsia="Palatino Linotype" w:hAnsi="Palatino Linotype" w:cs="Palatino Linotype"/>
                <w:b/>
                <w:sz w:val="20"/>
                <w:szCs w:val="20"/>
              </w:rPr>
              <w:lastRenderedPageBreak/>
              <w:t xml:space="preserve">00389/TLALNEPA/IP/2024, </w:t>
            </w:r>
            <w:r w:rsidRPr="00445611">
              <w:rPr>
                <w:rFonts w:ascii="Palatino Linotype" w:eastAsia="Palatino Linotype" w:hAnsi="Palatino Linotype" w:cs="Palatino Linotype"/>
                <w:sz w:val="20"/>
                <w:szCs w:val="20"/>
              </w:rPr>
              <w:t>correspondiente al Recurso de Revisión</w:t>
            </w:r>
            <w:r w:rsidRPr="00445611">
              <w:rPr>
                <w:rFonts w:ascii="Palatino Linotype" w:eastAsia="Palatino Linotype" w:hAnsi="Palatino Linotype" w:cs="Palatino Linotype"/>
                <w:b/>
                <w:sz w:val="20"/>
                <w:szCs w:val="20"/>
              </w:rPr>
              <w:t xml:space="preserve"> 02864/INFOEM/IP/RR/2024</w:t>
            </w:r>
          </w:p>
        </w:tc>
        <w:tc>
          <w:tcPr>
            <w:tcW w:w="5098" w:type="dxa"/>
          </w:tcPr>
          <w:p w14:paraId="3CADF0D1" w14:textId="77777777" w:rsidR="004E20B6" w:rsidRPr="00445611" w:rsidRDefault="00540CF8">
            <w:pPr>
              <w:spacing w:before="240" w:after="240"/>
              <w:jc w:val="both"/>
              <w:rPr>
                <w:rFonts w:ascii="Palatino Linotype" w:eastAsia="Palatino Linotype" w:hAnsi="Palatino Linotype" w:cs="Palatino Linotype"/>
                <w:sz w:val="18"/>
                <w:szCs w:val="20"/>
              </w:rPr>
            </w:pPr>
            <w:r w:rsidRPr="00445611">
              <w:rPr>
                <w:rFonts w:ascii="Palatino Linotype" w:eastAsia="Palatino Linotype" w:hAnsi="Palatino Linotype" w:cs="Palatino Linotype"/>
                <w:b/>
                <w:sz w:val="18"/>
                <w:szCs w:val="20"/>
              </w:rPr>
              <w:t xml:space="preserve">Archivos adjuntos: </w:t>
            </w:r>
            <w:r w:rsidRPr="00445611">
              <w:rPr>
                <w:rFonts w:ascii="Palatino Linotype" w:eastAsia="Palatino Linotype" w:hAnsi="Palatino Linotype" w:cs="Palatino Linotype"/>
                <w:b/>
                <w:i/>
                <w:sz w:val="18"/>
                <w:szCs w:val="20"/>
              </w:rPr>
              <w:t>“</w:t>
            </w:r>
            <w:r w:rsidR="004E20B6" w:rsidRPr="00445611">
              <w:rPr>
                <w:rFonts w:ascii="Palatino Linotype" w:eastAsia="Palatino Linotype" w:hAnsi="Palatino Linotype" w:cs="Palatino Linotype"/>
                <w:b/>
                <w:i/>
                <w:sz w:val="18"/>
                <w:szCs w:val="20"/>
              </w:rPr>
              <w:t>RESP DE CONTRALORIA.zip</w:t>
            </w:r>
            <w:r w:rsidRPr="00445611">
              <w:rPr>
                <w:rFonts w:ascii="Palatino Linotype" w:eastAsia="Palatino Linotype" w:hAnsi="Palatino Linotype" w:cs="Palatino Linotype"/>
                <w:b/>
                <w:i/>
                <w:sz w:val="18"/>
                <w:szCs w:val="20"/>
              </w:rPr>
              <w:t xml:space="preserve">”: </w:t>
            </w:r>
            <w:r w:rsidR="004E20B6" w:rsidRPr="00445611">
              <w:rPr>
                <w:rFonts w:ascii="Palatino Linotype" w:eastAsia="Palatino Linotype" w:hAnsi="Palatino Linotype" w:cs="Palatino Linotype"/>
                <w:sz w:val="18"/>
                <w:szCs w:val="20"/>
              </w:rPr>
              <w:t>Documento de tres fojas que contiene lo siguiente:</w:t>
            </w:r>
          </w:p>
          <w:p w14:paraId="77FC4EB9" w14:textId="77777777" w:rsidR="004E20B6" w:rsidRPr="00445611" w:rsidRDefault="004E20B6">
            <w:pPr>
              <w:spacing w:before="240" w:after="240"/>
              <w:jc w:val="both"/>
              <w:rPr>
                <w:rFonts w:ascii="Palatino Linotype" w:eastAsia="Palatino Linotype" w:hAnsi="Palatino Linotype" w:cs="Palatino Linotype"/>
                <w:sz w:val="18"/>
                <w:szCs w:val="20"/>
              </w:rPr>
            </w:pPr>
            <w:r w:rsidRPr="00445611">
              <w:rPr>
                <w:rFonts w:ascii="Palatino Linotype" w:eastAsia="Palatino Linotype" w:hAnsi="Palatino Linotype" w:cs="Palatino Linotype"/>
                <w:b/>
                <w:i/>
                <w:sz w:val="18"/>
                <w:szCs w:val="20"/>
              </w:rPr>
              <w:t xml:space="preserve">- </w:t>
            </w:r>
            <w:r w:rsidR="00540CF8" w:rsidRPr="00445611">
              <w:rPr>
                <w:rFonts w:ascii="Palatino Linotype" w:eastAsia="Palatino Linotype" w:hAnsi="Palatino Linotype" w:cs="Palatino Linotype"/>
                <w:sz w:val="18"/>
                <w:szCs w:val="20"/>
              </w:rPr>
              <w:t>Oficio</w:t>
            </w:r>
            <w:r w:rsidRPr="00445611">
              <w:rPr>
                <w:rFonts w:ascii="Palatino Linotype" w:eastAsia="Palatino Linotype" w:hAnsi="Palatino Linotype" w:cs="Palatino Linotype"/>
                <w:sz w:val="18"/>
                <w:szCs w:val="20"/>
              </w:rPr>
              <w:t xml:space="preserve"> TLALNE/CIM/0/2024, suscrito por el Contralor Interno Municipal, el cual pone a disposición de la persona solicitante, la información relativa a las actas entrega-recepción del ejercicio 2022 en consulta directa el 3 de mayo de 2024 en un horario de 9:00 a 18:00 horas.</w:t>
            </w:r>
          </w:p>
          <w:p w14:paraId="25651661" w14:textId="77777777" w:rsidR="004E20B6" w:rsidRPr="00445611" w:rsidRDefault="004E20B6">
            <w:pPr>
              <w:spacing w:before="240" w:after="240"/>
              <w:jc w:val="both"/>
              <w:rPr>
                <w:rFonts w:ascii="Palatino Linotype" w:eastAsia="Palatino Linotype" w:hAnsi="Palatino Linotype" w:cs="Palatino Linotype"/>
                <w:sz w:val="18"/>
                <w:szCs w:val="20"/>
              </w:rPr>
            </w:pPr>
            <w:r w:rsidRPr="00445611">
              <w:rPr>
                <w:rFonts w:ascii="Palatino Linotype" w:eastAsia="Palatino Linotype" w:hAnsi="Palatino Linotype" w:cs="Palatino Linotype"/>
                <w:sz w:val="18"/>
                <w:szCs w:val="20"/>
              </w:rPr>
              <w:t xml:space="preserve">Por lo antes expuesto, refieren que es necesario que la parte Recurrente se comunique para confirmar la cita con la Unidad de Transparencia. Asimismo, de conformidad con las tarifas establecidas por la expedición de documentos será entregada sin costo cuando no excedan más de veinte fojas. </w:t>
            </w:r>
          </w:p>
          <w:p w14:paraId="321854CA" w14:textId="77777777" w:rsidR="004E20B6" w:rsidRPr="00445611" w:rsidRDefault="004E20B6">
            <w:pPr>
              <w:spacing w:before="240" w:after="240"/>
              <w:jc w:val="both"/>
              <w:rPr>
                <w:rFonts w:ascii="Palatino Linotype" w:eastAsia="Palatino Linotype" w:hAnsi="Palatino Linotype" w:cs="Palatino Linotype"/>
                <w:sz w:val="18"/>
                <w:szCs w:val="20"/>
              </w:rPr>
            </w:pPr>
            <w:r w:rsidRPr="00445611">
              <w:rPr>
                <w:rFonts w:ascii="Palatino Linotype" w:eastAsia="Palatino Linotype" w:hAnsi="Palatino Linotype" w:cs="Palatino Linotype"/>
                <w:sz w:val="18"/>
                <w:szCs w:val="20"/>
              </w:rPr>
              <w:t>Finalmente refiere que si tras la consulta realizada en la fecha y hora establecidos, la parte Recurrente podrá requerir una nueva cita, cabe señalar que también se le hace del conocimiento que la información se encuentra disponible durante 60 días hábiles después del día de la cita.</w:t>
            </w:r>
          </w:p>
          <w:p w14:paraId="6A79A325" w14:textId="77777777" w:rsidR="00830242" w:rsidRPr="00445611" w:rsidRDefault="004E20B6" w:rsidP="005561BE">
            <w:pPr>
              <w:pStyle w:val="Prrafodelista"/>
              <w:numPr>
                <w:ilvl w:val="0"/>
                <w:numId w:val="9"/>
              </w:numPr>
              <w:spacing w:before="240" w:after="240"/>
              <w:ind w:left="26" w:hanging="141"/>
              <w:jc w:val="both"/>
              <w:rPr>
                <w:rFonts w:ascii="Palatino Linotype" w:eastAsia="Palatino Linotype" w:hAnsi="Palatino Linotype" w:cs="Palatino Linotype"/>
                <w:sz w:val="18"/>
                <w:szCs w:val="20"/>
              </w:rPr>
            </w:pPr>
            <w:r w:rsidRPr="00445611">
              <w:rPr>
                <w:rFonts w:ascii="Palatino Linotype" w:eastAsia="Palatino Linotype" w:hAnsi="Palatino Linotype" w:cs="Palatino Linotype"/>
                <w:sz w:val="18"/>
                <w:szCs w:val="20"/>
              </w:rPr>
              <w:t>Oficio INFOEM/DGI/274/2024, suscrito por el Director General de Informática, quien señala que registra la incidencia técnica, toda vez que el Sujeto Obligado pretende cargar un peso de 8.22 GB</w:t>
            </w:r>
          </w:p>
        </w:tc>
      </w:tr>
      <w:tr w:rsidR="00445611" w:rsidRPr="00445611" w14:paraId="13B69D7A" w14:textId="77777777">
        <w:tc>
          <w:tcPr>
            <w:tcW w:w="3823" w:type="dxa"/>
          </w:tcPr>
          <w:p w14:paraId="33175FBD" w14:textId="77777777" w:rsidR="00830242" w:rsidRPr="00445611" w:rsidRDefault="00D4686E">
            <w:pPr>
              <w:spacing w:before="240" w:after="240"/>
              <w:jc w:val="center"/>
              <w:rPr>
                <w:rFonts w:ascii="Palatino Linotype" w:eastAsia="Palatino Linotype" w:hAnsi="Palatino Linotype" w:cs="Palatino Linotype"/>
                <w:b/>
              </w:rPr>
            </w:pPr>
            <w:r w:rsidRPr="00445611">
              <w:rPr>
                <w:rFonts w:ascii="Palatino Linotype" w:eastAsia="Palatino Linotype" w:hAnsi="Palatino Linotype" w:cs="Palatino Linotype"/>
                <w:b/>
                <w:sz w:val="20"/>
                <w:szCs w:val="20"/>
              </w:rPr>
              <w:t xml:space="preserve">00388/TLALNEPA/IP/2024, </w:t>
            </w:r>
            <w:r w:rsidRPr="00445611">
              <w:rPr>
                <w:rFonts w:ascii="Palatino Linotype" w:eastAsia="Palatino Linotype" w:hAnsi="Palatino Linotype" w:cs="Palatino Linotype"/>
                <w:sz w:val="20"/>
                <w:szCs w:val="20"/>
              </w:rPr>
              <w:t>correspondiente al Recurso de Revisión</w:t>
            </w:r>
            <w:r w:rsidRPr="00445611">
              <w:rPr>
                <w:rFonts w:ascii="Palatino Linotype" w:eastAsia="Palatino Linotype" w:hAnsi="Palatino Linotype" w:cs="Palatino Linotype"/>
                <w:b/>
                <w:sz w:val="20"/>
                <w:szCs w:val="20"/>
              </w:rPr>
              <w:t xml:space="preserve">    02865/INFOEM/IP/RR/2024</w:t>
            </w:r>
          </w:p>
        </w:tc>
        <w:tc>
          <w:tcPr>
            <w:tcW w:w="5098" w:type="dxa"/>
          </w:tcPr>
          <w:p w14:paraId="22C0A383" w14:textId="77777777" w:rsidR="00830242" w:rsidRPr="00445611" w:rsidRDefault="00540CF8" w:rsidP="005561BE">
            <w:pPr>
              <w:spacing w:before="240" w:after="240"/>
              <w:jc w:val="both"/>
              <w:rPr>
                <w:rFonts w:ascii="Palatino Linotype" w:eastAsia="Palatino Linotype" w:hAnsi="Palatino Linotype" w:cs="Palatino Linotype"/>
                <w:b/>
                <w:i/>
                <w:sz w:val="18"/>
                <w:szCs w:val="20"/>
              </w:rPr>
            </w:pPr>
            <w:r w:rsidRPr="00445611">
              <w:rPr>
                <w:rFonts w:ascii="Palatino Linotype" w:eastAsia="Palatino Linotype" w:hAnsi="Palatino Linotype" w:cs="Palatino Linotype"/>
                <w:b/>
                <w:sz w:val="18"/>
                <w:szCs w:val="20"/>
              </w:rPr>
              <w:t xml:space="preserve">Archivos adjuntos: </w:t>
            </w:r>
            <w:r w:rsidRPr="00445611">
              <w:rPr>
                <w:rFonts w:ascii="Palatino Linotype" w:eastAsia="Palatino Linotype" w:hAnsi="Palatino Linotype" w:cs="Palatino Linotype"/>
                <w:b/>
                <w:i/>
                <w:sz w:val="18"/>
                <w:szCs w:val="20"/>
              </w:rPr>
              <w:t>“</w:t>
            </w:r>
            <w:r w:rsidR="005561BE" w:rsidRPr="00445611">
              <w:rPr>
                <w:rFonts w:ascii="Palatino Linotype" w:eastAsia="Palatino Linotype" w:hAnsi="Palatino Linotype" w:cs="Palatino Linotype"/>
                <w:b/>
                <w:i/>
                <w:sz w:val="18"/>
                <w:szCs w:val="20"/>
              </w:rPr>
              <w:t>RESP DE CONTRALORIA.zip”:</w:t>
            </w:r>
          </w:p>
          <w:p w14:paraId="534DA7DD" w14:textId="77777777" w:rsidR="005561BE" w:rsidRPr="00445611" w:rsidRDefault="005561BE" w:rsidP="005561BE">
            <w:pPr>
              <w:spacing w:before="240" w:after="240"/>
              <w:jc w:val="both"/>
              <w:rPr>
                <w:rFonts w:ascii="Palatino Linotype" w:eastAsia="Palatino Linotype" w:hAnsi="Palatino Linotype" w:cs="Palatino Linotype"/>
                <w:sz w:val="18"/>
                <w:szCs w:val="20"/>
              </w:rPr>
            </w:pPr>
            <w:r w:rsidRPr="00445611">
              <w:rPr>
                <w:rFonts w:ascii="Palatino Linotype" w:eastAsia="Palatino Linotype" w:hAnsi="Palatino Linotype" w:cs="Palatino Linotype"/>
                <w:b/>
                <w:i/>
                <w:sz w:val="18"/>
                <w:szCs w:val="20"/>
              </w:rPr>
              <w:t xml:space="preserve">- </w:t>
            </w:r>
            <w:r w:rsidRPr="00445611">
              <w:rPr>
                <w:rFonts w:ascii="Palatino Linotype" w:eastAsia="Palatino Linotype" w:hAnsi="Palatino Linotype" w:cs="Palatino Linotype"/>
                <w:sz w:val="18"/>
                <w:szCs w:val="20"/>
              </w:rPr>
              <w:t>Oficio TLALNE/CIM/0806/2024, suscrito por el Contralor Interno Municipal, el cual pone a disposición de la persona solicitante, la información relativa a las actas entrega-recepción del ejercicio 2023 en consulta directa el 3 de mayo de 2024 en un horario de 9:00 a 18:00 horas.</w:t>
            </w:r>
          </w:p>
          <w:p w14:paraId="652DA9DE" w14:textId="77777777" w:rsidR="005561BE" w:rsidRPr="00445611" w:rsidRDefault="005561BE" w:rsidP="005561BE">
            <w:pPr>
              <w:spacing w:before="240" w:after="240"/>
              <w:jc w:val="both"/>
              <w:rPr>
                <w:rFonts w:ascii="Palatino Linotype" w:eastAsia="Palatino Linotype" w:hAnsi="Palatino Linotype" w:cs="Palatino Linotype"/>
                <w:sz w:val="18"/>
                <w:szCs w:val="20"/>
              </w:rPr>
            </w:pPr>
            <w:r w:rsidRPr="00445611">
              <w:rPr>
                <w:rFonts w:ascii="Palatino Linotype" w:eastAsia="Palatino Linotype" w:hAnsi="Palatino Linotype" w:cs="Palatino Linotype"/>
                <w:sz w:val="18"/>
                <w:szCs w:val="20"/>
              </w:rPr>
              <w:t xml:space="preserve">Por lo antes expuesto, refieren que es necesario que la parte Recurrente se comunique para confirmar la cita con la Unidad de Transparencia. Asimismo, de conformidad con las tarifas establecidas por la expedición de documentos será entregada sin costo cuando no excedan más de veinte fojas. </w:t>
            </w:r>
          </w:p>
          <w:p w14:paraId="23DA88A9" w14:textId="77777777" w:rsidR="005561BE" w:rsidRPr="00445611" w:rsidRDefault="005561BE" w:rsidP="005561BE">
            <w:pPr>
              <w:spacing w:before="240" w:after="240"/>
              <w:jc w:val="both"/>
              <w:rPr>
                <w:rFonts w:ascii="Palatino Linotype" w:eastAsia="Palatino Linotype" w:hAnsi="Palatino Linotype" w:cs="Palatino Linotype"/>
                <w:sz w:val="18"/>
                <w:szCs w:val="20"/>
              </w:rPr>
            </w:pPr>
            <w:r w:rsidRPr="00445611">
              <w:rPr>
                <w:rFonts w:ascii="Palatino Linotype" w:eastAsia="Palatino Linotype" w:hAnsi="Palatino Linotype" w:cs="Palatino Linotype"/>
                <w:sz w:val="18"/>
                <w:szCs w:val="20"/>
              </w:rPr>
              <w:t xml:space="preserve">Finalmente refiere que si tras la consulta realizada en la fecha y hora establecidos, la parte Recurrente podrá requerir una nueva cita, cabe señalar que también se le hace del </w:t>
            </w:r>
            <w:r w:rsidRPr="00445611">
              <w:rPr>
                <w:rFonts w:ascii="Palatino Linotype" w:eastAsia="Palatino Linotype" w:hAnsi="Palatino Linotype" w:cs="Palatino Linotype"/>
                <w:sz w:val="18"/>
                <w:szCs w:val="20"/>
              </w:rPr>
              <w:lastRenderedPageBreak/>
              <w:t>conocimiento que la información se encuentra disponible durante 60 días hábiles después del día de la cita.</w:t>
            </w:r>
          </w:p>
          <w:p w14:paraId="11B97B29" w14:textId="77777777" w:rsidR="005561BE" w:rsidRPr="00445611" w:rsidRDefault="005561BE" w:rsidP="005561BE">
            <w:pPr>
              <w:spacing w:before="240" w:after="240"/>
              <w:jc w:val="both"/>
              <w:rPr>
                <w:rFonts w:ascii="Palatino Linotype" w:eastAsia="Palatino Linotype" w:hAnsi="Palatino Linotype" w:cs="Palatino Linotype"/>
                <w:b/>
                <w:sz w:val="20"/>
                <w:szCs w:val="20"/>
              </w:rPr>
            </w:pPr>
            <w:r w:rsidRPr="00445611">
              <w:rPr>
                <w:rFonts w:ascii="Palatino Linotype" w:eastAsia="Palatino Linotype" w:hAnsi="Palatino Linotype" w:cs="Palatino Linotype"/>
                <w:sz w:val="18"/>
                <w:szCs w:val="20"/>
              </w:rPr>
              <w:t>Oficio INFOEM/DGI/274/2024, suscrito por el Director General de Informática, quien señala que registra la incidencia técnica, toda vez que el Sujeto Obligado pretende cargar un peso de 8.22 GB</w:t>
            </w:r>
          </w:p>
        </w:tc>
      </w:tr>
    </w:tbl>
    <w:p w14:paraId="5FC41308"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lastRenderedPageBreak/>
        <w:t xml:space="preserve">4. Interposición de los recursos de revisión.  </w:t>
      </w:r>
      <w:r w:rsidRPr="00445611">
        <w:rPr>
          <w:rFonts w:ascii="Palatino Linotype" w:eastAsia="Palatino Linotype" w:hAnsi="Palatino Linotype" w:cs="Palatino Linotype"/>
          <w:sz w:val="22"/>
          <w:szCs w:val="22"/>
        </w:rPr>
        <w:t xml:space="preserve">El </w:t>
      </w:r>
      <w:r w:rsidR="005561BE" w:rsidRPr="00445611">
        <w:rPr>
          <w:rFonts w:ascii="Palatino Linotype" w:eastAsia="Palatino Linotype" w:hAnsi="Palatino Linotype" w:cs="Palatino Linotype"/>
          <w:b/>
          <w:sz w:val="22"/>
          <w:szCs w:val="22"/>
        </w:rPr>
        <w:t>catorce de mayo</w:t>
      </w:r>
      <w:r w:rsidRPr="00445611">
        <w:rPr>
          <w:rFonts w:ascii="Palatino Linotype" w:eastAsia="Palatino Linotype" w:hAnsi="Palatino Linotype" w:cs="Palatino Linotype"/>
          <w:b/>
          <w:sz w:val="22"/>
          <w:szCs w:val="22"/>
        </w:rPr>
        <w:t xml:space="preserve"> de dos mil veinticuatro, la parte Recurrente, </w:t>
      </w:r>
      <w:r w:rsidRPr="00445611">
        <w:rPr>
          <w:rFonts w:ascii="Palatino Linotype" w:eastAsia="Palatino Linotype" w:hAnsi="Palatino Linotype" w:cs="Palatino Linotype"/>
          <w:sz w:val="22"/>
          <w:szCs w:val="22"/>
        </w:rPr>
        <w:t>inconforme con las respuestas, interpuso los recursos de revisión que nos ocupan, expresando en la totalidad de los expedientes, lo siguiente:</w:t>
      </w:r>
    </w:p>
    <w:tbl>
      <w:tblPr>
        <w:tblStyle w:val="affa"/>
        <w:tblW w:w="94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686"/>
        <w:gridCol w:w="3118"/>
      </w:tblGrid>
      <w:tr w:rsidR="00445611" w:rsidRPr="00445611" w14:paraId="382A33BE" w14:textId="77777777" w:rsidTr="005561BE">
        <w:tc>
          <w:tcPr>
            <w:tcW w:w="2689" w:type="dxa"/>
            <w:shd w:val="clear" w:color="auto" w:fill="D6E3BC" w:themeFill="accent3" w:themeFillTint="66"/>
          </w:tcPr>
          <w:p w14:paraId="001AFF37" w14:textId="77777777" w:rsidR="005561BE" w:rsidRPr="00445611" w:rsidRDefault="005561BE" w:rsidP="007819B8">
            <w:pPr>
              <w:spacing w:before="240" w:after="240" w:line="360" w:lineRule="auto"/>
              <w:jc w:val="center"/>
              <w:rPr>
                <w:rFonts w:ascii="Palatino Linotype" w:eastAsia="Palatino Linotype" w:hAnsi="Palatino Linotype" w:cs="Palatino Linotype"/>
                <w:b/>
                <w:sz w:val="20"/>
                <w:szCs w:val="20"/>
              </w:rPr>
            </w:pPr>
            <w:r w:rsidRPr="00445611">
              <w:rPr>
                <w:rFonts w:ascii="Palatino Linotype" w:eastAsia="Palatino Linotype" w:hAnsi="Palatino Linotype" w:cs="Palatino Linotype"/>
                <w:b/>
                <w:sz w:val="20"/>
                <w:szCs w:val="20"/>
              </w:rPr>
              <w:t>Recurso de Revisión</w:t>
            </w:r>
          </w:p>
        </w:tc>
        <w:tc>
          <w:tcPr>
            <w:tcW w:w="3686" w:type="dxa"/>
            <w:shd w:val="clear" w:color="auto" w:fill="D6E3BC" w:themeFill="accent3" w:themeFillTint="66"/>
          </w:tcPr>
          <w:p w14:paraId="26BD8446" w14:textId="77777777" w:rsidR="005561BE" w:rsidRPr="00445611" w:rsidRDefault="005561BE" w:rsidP="007819B8">
            <w:pPr>
              <w:spacing w:before="240" w:after="240" w:line="360" w:lineRule="auto"/>
              <w:jc w:val="center"/>
              <w:rPr>
                <w:rFonts w:ascii="Palatino Linotype" w:eastAsia="Palatino Linotype" w:hAnsi="Palatino Linotype" w:cs="Palatino Linotype"/>
                <w:b/>
                <w:sz w:val="20"/>
                <w:szCs w:val="20"/>
              </w:rPr>
            </w:pPr>
            <w:r w:rsidRPr="00445611">
              <w:rPr>
                <w:rFonts w:ascii="Palatino Linotype" w:eastAsia="Palatino Linotype" w:hAnsi="Palatino Linotype" w:cs="Palatino Linotype"/>
                <w:b/>
                <w:sz w:val="20"/>
                <w:szCs w:val="20"/>
              </w:rPr>
              <w:t>Acto impugnado</w:t>
            </w:r>
          </w:p>
        </w:tc>
        <w:tc>
          <w:tcPr>
            <w:tcW w:w="3118" w:type="dxa"/>
            <w:shd w:val="clear" w:color="auto" w:fill="D6E3BC" w:themeFill="accent3" w:themeFillTint="66"/>
          </w:tcPr>
          <w:p w14:paraId="4F883A1C" w14:textId="77777777" w:rsidR="005561BE" w:rsidRPr="00445611" w:rsidRDefault="005561BE" w:rsidP="005561BE">
            <w:pPr>
              <w:spacing w:before="240" w:after="240"/>
              <w:jc w:val="center"/>
              <w:rPr>
                <w:rFonts w:ascii="Palatino Linotype" w:eastAsia="Palatino Linotype" w:hAnsi="Palatino Linotype" w:cs="Palatino Linotype"/>
                <w:b/>
                <w:sz w:val="20"/>
                <w:szCs w:val="20"/>
              </w:rPr>
            </w:pPr>
            <w:r w:rsidRPr="00445611">
              <w:rPr>
                <w:rFonts w:ascii="Palatino Linotype" w:eastAsia="Palatino Linotype" w:hAnsi="Palatino Linotype" w:cs="Palatino Linotype"/>
                <w:b/>
                <w:sz w:val="20"/>
                <w:szCs w:val="20"/>
              </w:rPr>
              <w:t>Razones o Motivos de Inconformidad</w:t>
            </w:r>
          </w:p>
        </w:tc>
      </w:tr>
      <w:tr w:rsidR="00445611" w:rsidRPr="00445611" w14:paraId="78DDFD27" w14:textId="77777777" w:rsidTr="005561BE">
        <w:tc>
          <w:tcPr>
            <w:tcW w:w="2689" w:type="dxa"/>
          </w:tcPr>
          <w:p w14:paraId="460FC542" w14:textId="77777777" w:rsidR="005561BE" w:rsidRPr="00445611" w:rsidRDefault="005561BE" w:rsidP="007819B8">
            <w:pPr>
              <w:jc w:val="center"/>
              <w:rPr>
                <w:sz w:val="18"/>
                <w:szCs w:val="20"/>
              </w:rPr>
            </w:pPr>
            <w:r w:rsidRPr="00445611">
              <w:rPr>
                <w:rFonts w:ascii="Palatino Linotype" w:eastAsia="Palatino Linotype" w:hAnsi="Palatino Linotype" w:cs="Palatino Linotype"/>
                <w:b/>
                <w:sz w:val="18"/>
                <w:szCs w:val="20"/>
              </w:rPr>
              <w:t>02864/INFOEM/IP/RR/2024</w:t>
            </w:r>
          </w:p>
        </w:tc>
        <w:tc>
          <w:tcPr>
            <w:tcW w:w="3686" w:type="dxa"/>
          </w:tcPr>
          <w:p w14:paraId="660F4885" w14:textId="77777777" w:rsidR="005561BE" w:rsidRPr="00445611" w:rsidRDefault="005561BE" w:rsidP="005561BE">
            <w:pPr>
              <w:spacing w:before="240" w:after="240"/>
              <w:jc w:val="center"/>
              <w:rPr>
                <w:rFonts w:ascii="Palatino Linotype" w:eastAsia="Palatino Linotype" w:hAnsi="Palatino Linotype" w:cs="Palatino Linotype"/>
                <w:i/>
                <w:sz w:val="20"/>
                <w:szCs w:val="20"/>
              </w:rPr>
            </w:pPr>
            <w:r w:rsidRPr="00445611">
              <w:rPr>
                <w:rFonts w:ascii="Palatino Linotype" w:eastAsia="Palatino Linotype" w:hAnsi="Palatino Linotype" w:cs="Palatino Linotype"/>
                <w:i/>
                <w:sz w:val="20"/>
                <w:szCs w:val="20"/>
              </w:rPr>
              <w:t>Niegan la informacion</w:t>
            </w:r>
          </w:p>
        </w:tc>
        <w:tc>
          <w:tcPr>
            <w:tcW w:w="3118" w:type="dxa"/>
          </w:tcPr>
          <w:p w14:paraId="735E0475" w14:textId="77777777" w:rsidR="005561BE" w:rsidRPr="00445611" w:rsidRDefault="005561BE" w:rsidP="005561BE">
            <w:pPr>
              <w:spacing w:before="240" w:after="240"/>
              <w:jc w:val="center"/>
              <w:rPr>
                <w:rFonts w:ascii="Palatino Linotype" w:eastAsia="Palatino Linotype" w:hAnsi="Palatino Linotype" w:cs="Palatino Linotype"/>
                <w:i/>
                <w:sz w:val="20"/>
                <w:szCs w:val="20"/>
              </w:rPr>
            </w:pPr>
            <w:r w:rsidRPr="00445611">
              <w:rPr>
                <w:rFonts w:ascii="Palatino Linotype" w:eastAsia="Palatino Linotype" w:hAnsi="Palatino Linotype" w:cs="Palatino Linotype"/>
                <w:i/>
                <w:sz w:val="20"/>
                <w:szCs w:val="20"/>
              </w:rPr>
              <w:t>de manera arbitraria se niega la informacion con un cambio de modalidad sin justificada debidamente</w:t>
            </w:r>
          </w:p>
        </w:tc>
      </w:tr>
      <w:tr w:rsidR="00445611" w:rsidRPr="00445611" w14:paraId="20B717A6" w14:textId="77777777" w:rsidTr="005561BE">
        <w:tc>
          <w:tcPr>
            <w:tcW w:w="2689" w:type="dxa"/>
          </w:tcPr>
          <w:p w14:paraId="7745BCB9" w14:textId="77777777" w:rsidR="005561BE" w:rsidRPr="00445611" w:rsidRDefault="005561BE" w:rsidP="007819B8">
            <w:pPr>
              <w:jc w:val="center"/>
              <w:rPr>
                <w:sz w:val="18"/>
                <w:szCs w:val="20"/>
              </w:rPr>
            </w:pPr>
            <w:r w:rsidRPr="00445611">
              <w:rPr>
                <w:rFonts w:ascii="Palatino Linotype" w:eastAsia="Palatino Linotype" w:hAnsi="Palatino Linotype" w:cs="Palatino Linotype"/>
                <w:b/>
                <w:sz w:val="18"/>
                <w:szCs w:val="20"/>
              </w:rPr>
              <w:t>02865/INFOEM/IP/RR/2024</w:t>
            </w:r>
          </w:p>
        </w:tc>
        <w:tc>
          <w:tcPr>
            <w:tcW w:w="3686" w:type="dxa"/>
          </w:tcPr>
          <w:p w14:paraId="4965F347" w14:textId="77777777" w:rsidR="005561BE" w:rsidRPr="00445611" w:rsidRDefault="005561BE" w:rsidP="005561BE">
            <w:pPr>
              <w:spacing w:before="240" w:after="240"/>
              <w:jc w:val="center"/>
              <w:rPr>
                <w:rFonts w:ascii="Palatino Linotype" w:eastAsia="Palatino Linotype" w:hAnsi="Palatino Linotype" w:cs="Palatino Linotype"/>
                <w:i/>
                <w:sz w:val="20"/>
                <w:szCs w:val="20"/>
              </w:rPr>
            </w:pPr>
            <w:r w:rsidRPr="00445611">
              <w:rPr>
                <w:rFonts w:ascii="Palatino Linotype" w:eastAsia="Palatino Linotype" w:hAnsi="Palatino Linotype" w:cs="Palatino Linotype"/>
                <w:i/>
                <w:sz w:val="20"/>
                <w:szCs w:val="20"/>
              </w:rPr>
              <w:t>la respuesta</w:t>
            </w:r>
          </w:p>
        </w:tc>
        <w:tc>
          <w:tcPr>
            <w:tcW w:w="3118" w:type="dxa"/>
          </w:tcPr>
          <w:p w14:paraId="6732BE30" w14:textId="77777777" w:rsidR="005561BE" w:rsidRPr="00445611" w:rsidRDefault="005561BE" w:rsidP="005561BE">
            <w:pPr>
              <w:spacing w:before="240" w:after="240"/>
              <w:jc w:val="center"/>
              <w:rPr>
                <w:rFonts w:ascii="Palatino Linotype" w:eastAsia="Palatino Linotype" w:hAnsi="Palatino Linotype" w:cs="Palatino Linotype"/>
                <w:i/>
                <w:sz w:val="20"/>
                <w:szCs w:val="20"/>
              </w:rPr>
            </w:pPr>
            <w:r w:rsidRPr="00445611">
              <w:rPr>
                <w:rFonts w:ascii="Palatino Linotype" w:eastAsia="Palatino Linotype" w:hAnsi="Palatino Linotype" w:cs="Palatino Linotype"/>
                <w:i/>
                <w:sz w:val="20"/>
                <w:szCs w:val="20"/>
              </w:rPr>
              <w:t>se niega la información y de manera arbitraria hacen cambio de modalidad que no está fundada ni motivada</w:t>
            </w:r>
          </w:p>
        </w:tc>
      </w:tr>
    </w:tbl>
    <w:p w14:paraId="2B12F779"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5. Turnos. </w:t>
      </w:r>
      <w:r w:rsidRPr="00445611">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b"/>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445611" w:rsidRPr="00445611" w14:paraId="25847D07" w14:textId="77777777" w:rsidTr="005561BE">
        <w:tc>
          <w:tcPr>
            <w:tcW w:w="4460" w:type="dxa"/>
            <w:shd w:val="clear" w:color="auto" w:fill="D6E3BC" w:themeFill="accent3" w:themeFillTint="66"/>
          </w:tcPr>
          <w:p w14:paraId="11ACB154" w14:textId="77777777" w:rsidR="00830242" w:rsidRPr="00445611" w:rsidRDefault="00540CF8">
            <w:pPr>
              <w:spacing w:before="240" w:after="240" w:line="360" w:lineRule="auto"/>
              <w:jc w:val="center"/>
              <w:rPr>
                <w:rFonts w:ascii="Palatino Linotype" w:eastAsia="Palatino Linotype" w:hAnsi="Palatino Linotype" w:cs="Palatino Linotype"/>
                <w:b/>
                <w:sz w:val="20"/>
              </w:rPr>
            </w:pPr>
            <w:r w:rsidRPr="00445611">
              <w:rPr>
                <w:rFonts w:ascii="Palatino Linotype" w:eastAsia="Palatino Linotype" w:hAnsi="Palatino Linotype" w:cs="Palatino Linotype"/>
                <w:b/>
                <w:sz w:val="20"/>
              </w:rPr>
              <w:t>Recurso de Revisión</w:t>
            </w:r>
          </w:p>
        </w:tc>
        <w:tc>
          <w:tcPr>
            <w:tcW w:w="4461" w:type="dxa"/>
            <w:shd w:val="clear" w:color="auto" w:fill="D6E3BC" w:themeFill="accent3" w:themeFillTint="66"/>
          </w:tcPr>
          <w:p w14:paraId="291BAB39" w14:textId="77777777" w:rsidR="00830242" w:rsidRPr="00445611" w:rsidRDefault="00540CF8">
            <w:pPr>
              <w:spacing w:before="240" w:after="240" w:line="360" w:lineRule="auto"/>
              <w:jc w:val="center"/>
              <w:rPr>
                <w:rFonts w:ascii="Palatino Linotype" w:eastAsia="Palatino Linotype" w:hAnsi="Palatino Linotype" w:cs="Palatino Linotype"/>
                <w:b/>
                <w:sz w:val="20"/>
              </w:rPr>
            </w:pPr>
            <w:r w:rsidRPr="00445611">
              <w:rPr>
                <w:rFonts w:ascii="Palatino Linotype" w:eastAsia="Palatino Linotype" w:hAnsi="Palatino Linotype" w:cs="Palatino Linotype"/>
                <w:b/>
                <w:sz w:val="20"/>
              </w:rPr>
              <w:t>Comisionada/o</w:t>
            </w:r>
          </w:p>
        </w:tc>
      </w:tr>
      <w:tr w:rsidR="00445611" w:rsidRPr="00445611" w14:paraId="75FDEBB1" w14:textId="77777777">
        <w:tc>
          <w:tcPr>
            <w:tcW w:w="4460" w:type="dxa"/>
          </w:tcPr>
          <w:p w14:paraId="66BD4EC8" w14:textId="77777777" w:rsidR="00830242" w:rsidRPr="00445611" w:rsidRDefault="005561BE">
            <w:pPr>
              <w:jc w:val="center"/>
              <w:rPr>
                <w:sz w:val="20"/>
                <w:szCs w:val="20"/>
              </w:rPr>
            </w:pPr>
            <w:r w:rsidRPr="00445611">
              <w:rPr>
                <w:rFonts w:ascii="Palatino Linotype" w:eastAsia="Palatino Linotype" w:hAnsi="Palatino Linotype" w:cs="Palatino Linotype"/>
                <w:b/>
                <w:sz w:val="20"/>
                <w:szCs w:val="20"/>
              </w:rPr>
              <w:lastRenderedPageBreak/>
              <w:t>02864/INFOEM/IP/RR/2024</w:t>
            </w:r>
          </w:p>
        </w:tc>
        <w:tc>
          <w:tcPr>
            <w:tcW w:w="4461" w:type="dxa"/>
          </w:tcPr>
          <w:p w14:paraId="07843550" w14:textId="77777777" w:rsidR="00830242" w:rsidRPr="00445611" w:rsidRDefault="00540CF8">
            <w:pPr>
              <w:spacing w:before="240" w:after="240"/>
              <w:jc w:val="center"/>
              <w:rPr>
                <w:rFonts w:ascii="Palatino Linotype" w:eastAsia="Palatino Linotype" w:hAnsi="Palatino Linotype" w:cs="Palatino Linotype"/>
                <w:b/>
                <w:sz w:val="20"/>
                <w:szCs w:val="20"/>
              </w:rPr>
            </w:pPr>
            <w:r w:rsidRPr="00445611">
              <w:rPr>
                <w:rFonts w:ascii="Palatino Linotype" w:eastAsia="Palatino Linotype" w:hAnsi="Palatino Linotype" w:cs="Palatino Linotype"/>
                <w:b/>
                <w:sz w:val="20"/>
                <w:szCs w:val="20"/>
              </w:rPr>
              <w:t>Comisionada Guadalupe Ramírez Peña</w:t>
            </w:r>
          </w:p>
        </w:tc>
      </w:tr>
      <w:tr w:rsidR="00445611" w:rsidRPr="00445611" w14:paraId="1454537C" w14:textId="77777777">
        <w:tc>
          <w:tcPr>
            <w:tcW w:w="4460" w:type="dxa"/>
          </w:tcPr>
          <w:p w14:paraId="2947D6E5" w14:textId="77777777" w:rsidR="00830242" w:rsidRPr="00445611" w:rsidRDefault="005561BE">
            <w:pPr>
              <w:jc w:val="center"/>
              <w:rPr>
                <w:sz w:val="20"/>
                <w:szCs w:val="20"/>
              </w:rPr>
            </w:pPr>
            <w:r w:rsidRPr="00445611">
              <w:rPr>
                <w:rFonts w:ascii="Palatino Linotype" w:eastAsia="Palatino Linotype" w:hAnsi="Palatino Linotype" w:cs="Palatino Linotype"/>
                <w:b/>
                <w:sz w:val="20"/>
                <w:szCs w:val="20"/>
              </w:rPr>
              <w:t>02865/INFOEM/IP/RR/2024</w:t>
            </w:r>
          </w:p>
        </w:tc>
        <w:tc>
          <w:tcPr>
            <w:tcW w:w="4461" w:type="dxa"/>
          </w:tcPr>
          <w:p w14:paraId="440BD0C1" w14:textId="77777777" w:rsidR="00830242" w:rsidRPr="00445611" w:rsidRDefault="00540CF8">
            <w:pPr>
              <w:spacing w:before="240" w:after="240"/>
              <w:jc w:val="center"/>
              <w:rPr>
                <w:rFonts w:ascii="Palatino Linotype" w:eastAsia="Palatino Linotype" w:hAnsi="Palatino Linotype" w:cs="Palatino Linotype"/>
                <w:b/>
                <w:sz w:val="20"/>
                <w:szCs w:val="20"/>
              </w:rPr>
            </w:pPr>
            <w:r w:rsidRPr="00445611">
              <w:rPr>
                <w:rFonts w:ascii="Palatino Linotype" w:eastAsia="Palatino Linotype" w:hAnsi="Palatino Linotype" w:cs="Palatino Linotype"/>
                <w:b/>
                <w:sz w:val="20"/>
                <w:szCs w:val="20"/>
              </w:rPr>
              <w:t>Comisionado Presidente José Martínez Vilchis</w:t>
            </w:r>
          </w:p>
        </w:tc>
      </w:tr>
    </w:tbl>
    <w:p w14:paraId="02136796"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6. Admisiones. </w:t>
      </w:r>
      <w:r w:rsidR="005561BE" w:rsidRPr="00445611">
        <w:rPr>
          <w:rFonts w:ascii="Palatino Linotype" w:eastAsia="Palatino Linotype" w:hAnsi="Palatino Linotype" w:cs="Palatino Linotype"/>
          <w:sz w:val="22"/>
          <w:szCs w:val="22"/>
        </w:rPr>
        <w:t>El</w:t>
      </w:r>
      <w:r w:rsidRPr="00445611">
        <w:rPr>
          <w:rFonts w:ascii="Palatino Linotype" w:eastAsia="Palatino Linotype" w:hAnsi="Palatino Linotype" w:cs="Palatino Linotype"/>
          <w:sz w:val="22"/>
          <w:szCs w:val="22"/>
        </w:rPr>
        <w:t xml:space="preserve"> </w:t>
      </w:r>
      <w:r w:rsidR="005561BE" w:rsidRPr="00445611">
        <w:rPr>
          <w:rFonts w:ascii="Palatino Linotype" w:eastAsia="Palatino Linotype" w:hAnsi="Palatino Linotype" w:cs="Palatino Linotype"/>
          <w:b/>
          <w:sz w:val="22"/>
          <w:szCs w:val="22"/>
        </w:rPr>
        <w:t>diecisiete</w:t>
      </w:r>
      <w:r w:rsidRPr="00445611">
        <w:rPr>
          <w:rFonts w:ascii="Palatino Linotype" w:eastAsia="Palatino Linotype" w:hAnsi="Palatino Linotype" w:cs="Palatino Linotype"/>
          <w:b/>
          <w:sz w:val="22"/>
          <w:szCs w:val="22"/>
        </w:rPr>
        <w:t xml:space="preserve"> </w:t>
      </w:r>
      <w:r w:rsidR="005561BE" w:rsidRPr="00445611">
        <w:rPr>
          <w:rFonts w:ascii="Palatino Linotype" w:eastAsia="Palatino Linotype" w:hAnsi="Palatino Linotype" w:cs="Palatino Linotype"/>
          <w:b/>
          <w:sz w:val="22"/>
          <w:szCs w:val="22"/>
        </w:rPr>
        <w:t>de mayo</w:t>
      </w:r>
      <w:r w:rsidRPr="00445611">
        <w:rPr>
          <w:rFonts w:ascii="Palatino Linotype" w:eastAsia="Palatino Linotype" w:hAnsi="Palatino Linotype" w:cs="Palatino Linotype"/>
          <w:b/>
          <w:sz w:val="22"/>
          <w:szCs w:val="22"/>
        </w:rPr>
        <w:t xml:space="preserve"> de dos mil veinticuatro,</w:t>
      </w:r>
      <w:r w:rsidRPr="00445611">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3D798710"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7. Acumulación. </w:t>
      </w:r>
      <w:r w:rsidRPr="00445611">
        <w:rPr>
          <w:rFonts w:ascii="Palatino Linotype" w:eastAsia="Palatino Linotype" w:hAnsi="Palatino Linotype" w:cs="Palatino Linotype"/>
          <w:sz w:val="22"/>
          <w:szCs w:val="22"/>
        </w:rPr>
        <w:t xml:space="preserve">En la </w:t>
      </w:r>
      <w:r w:rsidR="005561BE" w:rsidRPr="00445611">
        <w:rPr>
          <w:rFonts w:ascii="Palatino Linotype" w:eastAsia="Palatino Linotype" w:hAnsi="Palatino Linotype" w:cs="Palatino Linotype"/>
          <w:b/>
          <w:sz w:val="22"/>
          <w:szCs w:val="22"/>
        </w:rPr>
        <w:t>Vigésima</w:t>
      </w:r>
      <w:r w:rsidRPr="00445611">
        <w:rPr>
          <w:rFonts w:ascii="Palatino Linotype" w:eastAsia="Palatino Linotype" w:hAnsi="Palatino Linotype" w:cs="Palatino Linotype"/>
          <w:b/>
          <w:sz w:val="22"/>
          <w:szCs w:val="22"/>
        </w:rPr>
        <w:t xml:space="preserve"> Sesión Ordinaria</w:t>
      </w:r>
      <w:r w:rsidRPr="00445611">
        <w:rPr>
          <w:rFonts w:ascii="Palatino Linotype" w:eastAsia="Palatino Linotype" w:hAnsi="Palatino Linotype" w:cs="Palatino Linotype"/>
          <w:sz w:val="22"/>
          <w:szCs w:val="22"/>
        </w:rPr>
        <w:t xml:space="preserve"> celebrada el </w:t>
      </w:r>
      <w:r w:rsidR="005561BE" w:rsidRPr="00445611">
        <w:rPr>
          <w:rFonts w:ascii="Palatino Linotype" w:eastAsia="Palatino Linotype" w:hAnsi="Palatino Linotype" w:cs="Palatino Linotype"/>
          <w:b/>
          <w:sz w:val="22"/>
          <w:szCs w:val="22"/>
        </w:rPr>
        <w:t>cinco de juni</w:t>
      </w:r>
      <w:r w:rsidRPr="00445611">
        <w:rPr>
          <w:rFonts w:ascii="Palatino Linotype" w:eastAsia="Palatino Linotype" w:hAnsi="Palatino Linotype" w:cs="Palatino Linotype"/>
          <w:b/>
          <w:sz w:val="22"/>
          <w:szCs w:val="22"/>
        </w:rPr>
        <w:t>o de dos mil veinticuatro</w:t>
      </w:r>
      <w:r w:rsidRPr="00445611">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sidRPr="00445611">
        <w:rPr>
          <w:rFonts w:ascii="Palatino Linotype" w:eastAsia="Palatino Linotype" w:hAnsi="Palatino Linotype" w:cs="Palatino Linotype"/>
          <w:b/>
          <w:sz w:val="22"/>
          <w:szCs w:val="22"/>
        </w:rPr>
        <w:t>Comisionada</w:t>
      </w:r>
      <w:r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Guadalupe Ramírez Peña</w:t>
      </w:r>
      <w:r w:rsidRPr="00445611">
        <w:rPr>
          <w:rFonts w:ascii="Palatino Linotype" w:eastAsia="Palatino Linotype" w:hAnsi="Palatino Linotype" w:cs="Palatino Linotype"/>
          <w:sz w:val="22"/>
          <w:szCs w:val="22"/>
        </w:rPr>
        <w:t xml:space="preserve">; es de precisar que dicha situación se notificó a las partes mediante acuerdo vía SAIMEX. </w:t>
      </w:r>
    </w:p>
    <w:p w14:paraId="7A3F32AC" w14:textId="77777777" w:rsidR="00C404D0"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8. Manifestaciones. </w:t>
      </w:r>
      <w:r w:rsidRPr="00445611">
        <w:rPr>
          <w:rFonts w:ascii="Palatino Linotype" w:eastAsia="Palatino Linotype" w:hAnsi="Palatino Linotype" w:cs="Palatino Linotype"/>
          <w:sz w:val="22"/>
          <w:szCs w:val="22"/>
        </w:rPr>
        <w:t>De las constancias que obran en los expedientes electrónicos del SAIMEX se desprende que</w:t>
      </w:r>
      <w:r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el</w:t>
      </w:r>
      <w:r w:rsidRPr="00445611">
        <w:rPr>
          <w:rFonts w:ascii="Palatino Linotype" w:eastAsia="Palatino Linotype" w:hAnsi="Palatino Linotype" w:cs="Palatino Linotype"/>
          <w:b/>
          <w:sz w:val="22"/>
          <w:szCs w:val="22"/>
        </w:rPr>
        <w:t xml:space="preserve"> </w:t>
      </w:r>
      <w:r w:rsidR="005561BE" w:rsidRPr="00445611">
        <w:rPr>
          <w:rFonts w:ascii="Palatino Linotype" w:eastAsia="Palatino Linotype" w:hAnsi="Palatino Linotype" w:cs="Palatino Linotype"/>
          <w:b/>
          <w:sz w:val="22"/>
          <w:szCs w:val="22"/>
        </w:rPr>
        <w:t>veintitrés de mayo de dos mil veinticuatro</w:t>
      </w:r>
      <w:r w:rsidR="005561BE" w:rsidRPr="00445611">
        <w:rPr>
          <w:rFonts w:ascii="Palatino Linotype" w:eastAsia="Palatino Linotype" w:hAnsi="Palatino Linotype" w:cs="Palatino Linotype"/>
          <w:sz w:val="22"/>
          <w:szCs w:val="22"/>
        </w:rPr>
        <w:t>, el</w:t>
      </w:r>
      <w:r w:rsidR="005561BE"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b/>
          <w:sz w:val="22"/>
          <w:szCs w:val="22"/>
        </w:rPr>
        <w:t xml:space="preserve">Sujeto Obligado </w:t>
      </w:r>
      <w:r w:rsidRPr="00445611">
        <w:rPr>
          <w:rFonts w:ascii="Palatino Linotype" w:eastAsia="Palatino Linotype" w:hAnsi="Palatino Linotype" w:cs="Palatino Linotype"/>
          <w:sz w:val="22"/>
          <w:szCs w:val="22"/>
        </w:rPr>
        <w:t>adjuntó los siguientes archivos electrónicos</w:t>
      </w:r>
      <w:r w:rsidR="00C404D0" w:rsidRPr="00445611">
        <w:rPr>
          <w:rFonts w:ascii="Palatino Linotype" w:eastAsia="Palatino Linotype" w:hAnsi="Palatino Linotype" w:cs="Palatino Linotype"/>
          <w:sz w:val="22"/>
          <w:szCs w:val="22"/>
        </w:rPr>
        <w:t xml:space="preserve">: </w:t>
      </w:r>
    </w:p>
    <w:p w14:paraId="6587FABA" w14:textId="77777777" w:rsidR="00C404D0" w:rsidRPr="00445611" w:rsidRDefault="00C404D0" w:rsidP="00C404D0">
      <w:pPr>
        <w:spacing w:before="240" w:after="240" w:line="360" w:lineRule="auto"/>
        <w:ind w:left="142" w:right="900"/>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sz w:val="22"/>
          <w:szCs w:val="22"/>
        </w:rPr>
        <w:t xml:space="preserve">Recurso de revisión  </w:t>
      </w:r>
      <w:r w:rsidRPr="00445611">
        <w:rPr>
          <w:rFonts w:ascii="Palatino Linotype" w:eastAsia="Palatino Linotype" w:hAnsi="Palatino Linotype" w:cs="Palatino Linotype"/>
          <w:b/>
          <w:sz w:val="22"/>
          <w:szCs w:val="22"/>
        </w:rPr>
        <w:t>02864/INFOEM/IP/RR/2024:</w:t>
      </w:r>
    </w:p>
    <w:p w14:paraId="2CAA905B" w14:textId="77777777" w:rsidR="00C404D0" w:rsidRPr="00445611" w:rsidRDefault="00C404D0" w:rsidP="00746811">
      <w:pPr>
        <w:spacing w:before="240" w:after="240" w:line="360" w:lineRule="auto"/>
        <w:ind w:left="567" w:right="900"/>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i/>
          <w:sz w:val="22"/>
          <w:szCs w:val="22"/>
        </w:rPr>
        <w:t xml:space="preserve">“MANIFESTACIONES.zip”: </w:t>
      </w:r>
      <w:r w:rsidRPr="00445611">
        <w:rPr>
          <w:rFonts w:ascii="Palatino Linotype" w:eastAsia="Palatino Linotype" w:hAnsi="Palatino Linotype" w:cs="Palatino Linotype"/>
          <w:sz w:val="22"/>
          <w:szCs w:val="22"/>
        </w:rPr>
        <w:t xml:space="preserve">Carpeta comprimida que contiene un oficio signado por el Contralor Interno Municipal, quien refiere que ratifica los términos de su respuesta. </w:t>
      </w:r>
    </w:p>
    <w:p w14:paraId="2670C448" w14:textId="77777777" w:rsidR="00830242" w:rsidRPr="00445611" w:rsidRDefault="00540CF8" w:rsidP="00C404D0">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 xml:space="preserve">Recurso de revisión </w:t>
      </w:r>
      <w:r w:rsidR="00C404D0" w:rsidRPr="00445611">
        <w:rPr>
          <w:rFonts w:ascii="Palatino Linotype" w:eastAsia="Palatino Linotype" w:hAnsi="Palatino Linotype" w:cs="Palatino Linotype"/>
          <w:b/>
          <w:sz w:val="22"/>
          <w:szCs w:val="22"/>
        </w:rPr>
        <w:t>02865/INFOEM/IP/RR/2024</w:t>
      </w:r>
      <w:r w:rsidRPr="00445611">
        <w:rPr>
          <w:rFonts w:ascii="Palatino Linotype" w:eastAsia="Palatino Linotype" w:hAnsi="Palatino Linotype" w:cs="Palatino Linotype"/>
          <w:b/>
          <w:sz w:val="22"/>
          <w:szCs w:val="22"/>
        </w:rPr>
        <w:t>:</w:t>
      </w:r>
    </w:p>
    <w:p w14:paraId="4F26D419" w14:textId="77777777" w:rsidR="00830242" w:rsidRPr="00445611" w:rsidRDefault="00540CF8" w:rsidP="00746811">
      <w:pPr>
        <w:spacing w:before="240" w:after="240" w:line="360" w:lineRule="auto"/>
        <w:ind w:left="567" w:right="900"/>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i/>
          <w:sz w:val="22"/>
          <w:szCs w:val="22"/>
        </w:rPr>
        <w:t xml:space="preserve"> </w:t>
      </w:r>
      <w:r w:rsidRPr="00445611">
        <w:rPr>
          <w:rFonts w:ascii="Palatino Linotype" w:eastAsia="Palatino Linotype" w:hAnsi="Palatino Linotype" w:cs="Palatino Linotype"/>
          <w:sz w:val="22"/>
          <w:szCs w:val="22"/>
        </w:rPr>
        <w:t>“</w:t>
      </w:r>
      <w:r w:rsidR="00C404D0" w:rsidRPr="00445611">
        <w:rPr>
          <w:rFonts w:ascii="Palatino Linotype" w:eastAsia="Palatino Linotype" w:hAnsi="Palatino Linotype" w:cs="Palatino Linotype"/>
          <w:b/>
          <w:i/>
          <w:sz w:val="22"/>
          <w:szCs w:val="22"/>
        </w:rPr>
        <w:t>MANIFESTACIONES.zip</w:t>
      </w:r>
      <w:r w:rsidRPr="00445611">
        <w:rPr>
          <w:rFonts w:ascii="Palatino Linotype" w:eastAsia="Palatino Linotype" w:hAnsi="Palatino Linotype" w:cs="Palatino Linotype"/>
          <w:b/>
          <w:i/>
          <w:sz w:val="22"/>
          <w:szCs w:val="22"/>
        </w:rPr>
        <w:t xml:space="preserve">”: </w:t>
      </w:r>
      <w:r w:rsidR="00C404D0" w:rsidRPr="00445611">
        <w:rPr>
          <w:rFonts w:ascii="Palatino Linotype" w:eastAsia="Palatino Linotype" w:hAnsi="Palatino Linotype" w:cs="Palatino Linotype"/>
          <w:sz w:val="22"/>
          <w:szCs w:val="22"/>
        </w:rPr>
        <w:t xml:space="preserve">Carpeta comprimida que contiene un oficio signado por el Contralor Interno Municipal, quien refiere que ratifica los términos de su respuesta. </w:t>
      </w:r>
    </w:p>
    <w:p w14:paraId="1FA3AA09"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Es de precisar que, una vez analizada esta documentación, se determinó ponerla a disposición de </w:t>
      </w:r>
      <w:r w:rsidRPr="00445611">
        <w:rPr>
          <w:rFonts w:ascii="Palatino Linotype" w:eastAsia="Palatino Linotype" w:hAnsi="Palatino Linotype" w:cs="Palatino Linotype"/>
          <w:b/>
          <w:sz w:val="22"/>
          <w:szCs w:val="22"/>
        </w:rPr>
        <w:t>la parte Recurrente</w:t>
      </w:r>
      <w:r w:rsidR="00C404D0" w:rsidRPr="00445611">
        <w:rPr>
          <w:rFonts w:ascii="Palatino Linotype" w:eastAsia="Palatino Linotype" w:hAnsi="Palatino Linotype" w:cs="Palatino Linotype"/>
          <w:sz w:val="22"/>
          <w:szCs w:val="22"/>
        </w:rPr>
        <w:t xml:space="preserve"> mediante acuerdos emitidos los días </w:t>
      </w:r>
      <w:r w:rsidR="00C404D0" w:rsidRPr="00445611">
        <w:rPr>
          <w:rFonts w:ascii="Palatino Linotype" w:eastAsia="Palatino Linotype" w:hAnsi="Palatino Linotype" w:cs="Palatino Linotype"/>
          <w:b/>
          <w:sz w:val="22"/>
          <w:szCs w:val="22"/>
        </w:rPr>
        <w:t>veinticuatro</w:t>
      </w:r>
      <w:r w:rsidRPr="00445611">
        <w:rPr>
          <w:rFonts w:ascii="Palatino Linotype" w:eastAsia="Palatino Linotype" w:hAnsi="Palatino Linotype" w:cs="Palatino Linotype"/>
          <w:b/>
          <w:sz w:val="22"/>
          <w:szCs w:val="22"/>
        </w:rPr>
        <w:t xml:space="preserve"> de </w:t>
      </w:r>
      <w:r w:rsidR="00C404D0" w:rsidRPr="00445611">
        <w:rPr>
          <w:rFonts w:ascii="Palatino Linotype" w:eastAsia="Palatino Linotype" w:hAnsi="Palatino Linotype" w:cs="Palatino Linotype"/>
          <w:b/>
          <w:sz w:val="22"/>
          <w:szCs w:val="22"/>
        </w:rPr>
        <w:t>mayo y once de septiembre</w:t>
      </w:r>
      <w:r w:rsidRPr="00445611">
        <w:rPr>
          <w:rFonts w:ascii="Palatino Linotype" w:eastAsia="Palatino Linotype" w:hAnsi="Palatino Linotype" w:cs="Palatino Linotype"/>
          <w:b/>
          <w:sz w:val="22"/>
          <w:szCs w:val="22"/>
        </w:rPr>
        <w:t xml:space="preserve"> de dos mil veinticuatro</w:t>
      </w:r>
      <w:r w:rsidRPr="00445611">
        <w:rPr>
          <w:rFonts w:ascii="Palatino Linotype" w:eastAsia="Palatino Linotype" w:hAnsi="Palatino Linotype" w:cs="Palatino Linotype"/>
          <w:sz w:val="22"/>
          <w:szCs w:val="22"/>
        </w:rPr>
        <w:t xml:space="preserve">, teniendo así que la persona Recurrente fue omisa en pronunciarse al respecto, por lo que se tuvo por precluido su derecho para tal efecto y se procede a emitir la resolución que conforme a derecho corresponda. </w:t>
      </w:r>
    </w:p>
    <w:p w14:paraId="64BEE4C6" w14:textId="77777777" w:rsidR="00830242" w:rsidRPr="00445611" w:rsidRDefault="00540CF8">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9. Requerimiento de información adicional. </w:t>
      </w:r>
      <w:r w:rsidRPr="00445611">
        <w:rPr>
          <w:rFonts w:ascii="Palatino Linotype" w:eastAsia="Palatino Linotype" w:hAnsi="Palatino Linotype" w:cs="Palatino Linotype"/>
          <w:sz w:val="22"/>
          <w:szCs w:val="22"/>
        </w:rPr>
        <w:t xml:space="preserve">El </w:t>
      </w:r>
      <w:r w:rsidR="00C404D0" w:rsidRPr="00445611">
        <w:rPr>
          <w:rFonts w:ascii="Palatino Linotype" w:eastAsia="Palatino Linotype" w:hAnsi="Palatino Linotype" w:cs="Palatino Linotype"/>
          <w:b/>
          <w:sz w:val="22"/>
          <w:szCs w:val="22"/>
        </w:rPr>
        <w:t>seis de septiembre</w:t>
      </w:r>
      <w:r w:rsidRPr="00445611">
        <w:rPr>
          <w:rFonts w:ascii="Palatino Linotype" w:eastAsia="Palatino Linotype" w:hAnsi="Palatino Linotype" w:cs="Palatino Linotype"/>
          <w:b/>
          <w:sz w:val="22"/>
          <w:szCs w:val="22"/>
        </w:rPr>
        <w:t xml:space="preserve"> de dos mil veinticuatro</w:t>
      </w:r>
      <w:r w:rsidRPr="00445611">
        <w:rPr>
          <w:rFonts w:ascii="Palatino Linotype" w:eastAsia="Palatino Linotype" w:hAnsi="Palatino Linotype" w:cs="Palatino Linotype"/>
          <w:sz w:val="22"/>
          <w:szCs w:val="22"/>
        </w:rPr>
        <w:t xml:space="preserve">, se envió por correo electrónico un requerimiento de información adicional al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el cual consistió en lo siguiente:</w:t>
      </w:r>
    </w:p>
    <w:p w14:paraId="0A5B610A" w14:textId="77777777" w:rsidR="00830242" w:rsidRPr="00445611" w:rsidRDefault="00C404D0" w:rsidP="00C404D0">
      <w:pPr>
        <w:spacing w:line="360" w:lineRule="auto"/>
        <w:rPr>
          <w:rFonts w:ascii="Palatino Linotype" w:eastAsia="Palatino Linotype" w:hAnsi="Palatino Linotype" w:cs="Palatino Linotype"/>
          <w:sz w:val="22"/>
          <w:szCs w:val="22"/>
        </w:rPr>
      </w:pPr>
      <w:r w:rsidRPr="00445611">
        <w:rPr>
          <w:rFonts w:ascii="Palatino Linotype" w:eastAsia="Palatino Linotype" w:hAnsi="Palatino Linotype" w:cs="Palatino Linotype"/>
          <w:noProof/>
          <w:sz w:val="22"/>
          <w:szCs w:val="22"/>
        </w:rPr>
        <w:lastRenderedPageBreak/>
        <w:drawing>
          <wp:inline distT="0" distB="0" distL="0" distR="0" wp14:anchorId="1ED392BB" wp14:editId="35B0D624">
            <wp:extent cx="5516880" cy="3981450"/>
            <wp:effectExtent l="19050" t="19050" r="26670" b="190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97" t="1617" b="1847"/>
                    <a:stretch/>
                  </pic:blipFill>
                  <pic:spPr bwMode="auto">
                    <a:xfrm>
                      <a:off x="0" y="0"/>
                      <a:ext cx="5516880" cy="3981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EA67FB1" w14:textId="77777777" w:rsidR="00830242" w:rsidRPr="00445611" w:rsidRDefault="00540CF8">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“…se requiere informe lo siguiente:</w:t>
      </w:r>
    </w:p>
    <w:p w14:paraId="047D98F3" w14:textId="77777777" w:rsidR="00C404D0" w:rsidRPr="00445611" w:rsidRDefault="00C404D0" w:rsidP="00C404D0">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Respecto a la solicitud de información 00389/TLALNEPA/IP/2024a la que recayó el recurso de revisión 02864/INFOEM/IP/RR/2024:</w:t>
      </w:r>
    </w:p>
    <w:p w14:paraId="61614844" w14:textId="77777777" w:rsidR="00C404D0" w:rsidRPr="00445611" w:rsidRDefault="00C404D0" w:rsidP="00C404D0">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 xml:space="preserve">1.-Señale, el número de entregas-recepción que se suscitaron durante el año 2022. </w:t>
      </w:r>
    </w:p>
    <w:p w14:paraId="6C1E3610" w14:textId="77777777" w:rsidR="00C404D0" w:rsidRPr="00445611" w:rsidRDefault="00C404D0" w:rsidP="00C404D0">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2.- Precise el número de fojas que componen las documentales generadas por las entregas-recepción generadas en 2022.</w:t>
      </w:r>
    </w:p>
    <w:p w14:paraId="5E0CEA17" w14:textId="77777777" w:rsidR="00C404D0" w:rsidRPr="00445611" w:rsidRDefault="00C404D0" w:rsidP="00C404D0">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3.- Señale, si emplea los parámetros de escaneo recomendados por este Instituto, los cuales consisten en una resolución alta de 150 Dpi's, en escala de grises y formato "PDF"; extraído directamente del escáner.</w:t>
      </w:r>
    </w:p>
    <w:p w14:paraId="307D4BF3" w14:textId="77777777" w:rsidR="00C404D0" w:rsidRPr="00445611" w:rsidRDefault="00C404D0" w:rsidP="00C404D0">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lastRenderedPageBreak/>
        <w:t xml:space="preserve">4.- Proporcione una foja escaneada, correspondiente a una de las documentales generadas por la entrega-recepción, que refiere en su informe justificado. </w:t>
      </w:r>
    </w:p>
    <w:p w14:paraId="51D769B7" w14:textId="77777777" w:rsidR="00C404D0" w:rsidRPr="00445611" w:rsidRDefault="00C404D0" w:rsidP="00C404D0">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Respecto a la solicitud de información 00388/TLALNEPA/IP/2024, a la que recayó el recurso de revisión 02865/INFOEM/IP/RR/2024:</w:t>
      </w:r>
    </w:p>
    <w:p w14:paraId="4FFF7369" w14:textId="77777777" w:rsidR="00C404D0" w:rsidRPr="00445611" w:rsidRDefault="00C404D0" w:rsidP="00C404D0">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 xml:space="preserve"> 1.-Señale, el número de entregas-recepción que se suscitaron durante el año 2023. </w:t>
      </w:r>
    </w:p>
    <w:p w14:paraId="15FB6C7F" w14:textId="77777777" w:rsidR="00C404D0" w:rsidRPr="00445611" w:rsidRDefault="00C404D0" w:rsidP="00C404D0">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2.- Precise el número de fojas que componen las documentales generadas por las entregas-recepción generadas en 2023.</w:t>
      </w:r>
    </w:p>
    <w:p w14:paraId="697E0672" w14:textId="77777777" w:rsidR="00C404D0" w:rsidRPr="00445611" w:rsidRDefault="00C404D0" w:rsidP="00C404D0">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3.- Señale, si emplea los parámetros de escaneo recomendados por este Instituto, los cuales consisten en una resolución alta de 150 Dpi's, en escala de grises y formato "PDF"; extraído directamente del escáner.</w:t>
      </w:r>
    </w:p>
    <w:p w14:paraId="22CA3A1A" w14:textId="77777777" w:rsidR="00830242" w:rsidRPr="00445611" w:rsidRDefault="00C404D0" w:rsidP="00C404D0">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4.- Proporcione una foja escaneada, correspondiente a una de las documentales generadas por la entrega-recepción, que refiere en su informe justificado.</w:t>
      </w:r>
      <w:r w:rsidR="00540CF8" w:rsidRPr="00445611">
        <w:rPr>
          <w:rFonts w:ascii="Palatino Linotype" w:eastAsia="Palatino Linotype" w:hAnsi="Palatino Linotype" w:cs="Palatino Linotype"/>
          <w:i/>
          <w:sz w:val="22"/>
          <w:szCs w:val="22"/>
        </w:rPr>
        <w:t>”</w:t>
      </w:r>
    </w:p>
    <w:p w14:paraId="4323C67F" w14:textId="77777777" w:rsidR="002C631E" w:rsidRPr="00445611" w:rsidRDefault="00540CF8" w:rsidP="001C075E">
      <w:pPr>
        <w:spacing w:before="240" w:after="240"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Es de precisar que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w:t>
      </w:r>
      <w:r w:rsidR="001C075E" w:rsidRPr="00445611">
        <w:rPr>
          <w:rFonts w:ascii="Palatino Linotype" w:eastAsia="Palatino Linotype" w:hAnsi="Palatino Linotype" w:cs="Palatino Linotype"/>
          <w:sz w:val="22"/>
          <w:szCs w:val="22"/>
        </w:rPr>
        <w:t xml:space="preserve">atendió el presente requerimiento de información adicional en los siguientes términos: </w:t>
      </w:r>
    </w:p>
    <w:p w14:paraId="4E82C1D0" w14:textId="77777777" w:rsidR="001C075E" w:rsidRPr="00445611" w:rsidRDefault="001C075E" w:rsidP="001C075E">
      <w:pPr>
        <w:spacing w:before="240" w:after="240" w:line="360" w:lineRule="auto"/>
        <w:ind w:right="49"/>
        <w:jc w:val="center"/>
        <w:rPr>
          <w:rFonts w:ascii="Palatino Linotype" w:eastAsia="Palatino Linotype" w:hAnsi="Palatino Linotype" w:cs="Palatino Linotype"/>
          <w:sz w:val="22"/>
          <w:szCs w:val="22"/>
        </w:rPr>
      </w:pPr>
      <w:r w:rsidRPr="00445611">
        <w:rPr>
          <w:rFonts w:ascii="Palatino Linotype" w:eastAsia="Palatino Linotype" w:hAnsi="Palatino Linotype" w:cs="Palatino Linotype"/>
          <w:noProof/>
          <w:sz w:val="22"/>
          <w:szCs w:val="22"/>
        </w:rPr>
        <w:lastRenderedPageBreak/>
        <w:drawing>
          <wp:inline distT="0" distB="0" distL="0" distR="0" wp14:anchorId="5C14047C" wp14:editId="06FCE7FC">
            <wp:extent cx="4510423" cy="3476625"/>
            <wp:effectExtent l="19050" t="19050" r="2349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1681" cy="3500719"/>
                    </a:xfrm>
                    <a:prstGeom prst="rect">
                      <a:avLst/>
                    </a:prstGeom>
                    <a:ln>
                      <a:solidFill>
                        <a:schemeClr val="tx1"/>
                      </a:solidFill>
                    </a:ln>
                  </pic:spPr>
                </pic:pic>
              </a:graphicData>
            </a:graphic>
          </wp:inline>
        </w:drawing>
      </w:r>
    </w:p>
    <w:p w14:paraId="095233F0" w14:textId="77777777" w:rsidR="001C075E" w:rsidRPr="00445611" w:rsidRDefault="001C075E" w:rsidP="007819B8">
      <w:pPr>
        <w:spacing w:before="240" w:after="240" w:line="360" w:lineRule="auto"/>
        <w:ind w:left="567" w:right="49"/>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 xml:space="preserve">Archivos adjuntos: </w:t>
      </w:r>
    </w:p>
    <w:p w14:paraId="319F3CD4" w14:textId="77777777" w:rsidR="001C075E" w:rsidRPr="00445611" w:rsidRDefault="001C075E" w:rsidP="001C075E">
      <w:pPr>
        <w:spacing w:before="240" w:after="240" w:line="360" w:lineRule="auto"/>
        <w:ind w:left="567"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i/>
          <w:sz w:val="22"/>
          <w:szCs w:val="22"/>
        </w:rPr>
        <w:t xml:space="preserve">“Ampliacion de Busqueda R.R. 02864 y 02865.pdf”: </w:t>
      </w:r>
      <w:r w:rsidRPr="00445611">
        <w:rPr>
          <w:rFonts w:ascii="Palatino Linotype" w:eastAsia="Palatino Linotype" w:hAnsi="Palatino Linotype" w:cs="Palatino Linotype"/>
          <w:sz w:val="22"/>
          <w:szCs w:val="22"/>
        </w:rPr>
        <w:t>Documento que se compone de dos fojas, en el que el Contralor Interno otorga las siguientes respuestas:</w:t>
      </w:r>
    </w:p>
    <w:p w14:paraId="44ED6529" w14:textId="77777777" w:rsidR="001C075E" w:rsidRPr="00445611" w:rsidRDefault="001C075E" w:rsidP="001C075E">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Respecto a la solicitud de información 00389/TLALNEPA/IP/2024a la que recayó el recurso de revisión 02864/INFOEM/IP/RR/2024:</w:t>
      </w:r>
    </w:p>
    <w:p w14:paraId="624EAF0F" w14:textId="77777777" w:rsidR="001C075E" w:rsidRPr="00445611" w:rsidRDefault="001C075E" w:rsidP="001C075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1.-Señale, el número de entregas-recepción que se suscitaron durante el año 2022. </w:t>
      </w:r>
    </w:p>
    <w:p w14:paraId="7F9EB221" w14:textId="77777777" w:rsidR="007819B8" w:rsidRPr="00445611" w:rsidRDefault="007819B8" w:rsidP="001C075E">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En el año 2022, se generaron 488 actas entregas recepción.</w:t>
      </w:r>
    </w:p>
    <w:p w14:paraId="06249A79" w14:textId="77777777" w:rsidR="007819B8" w:rsidRPr="00445611" w:rsidRDefault="001C075E" w:rsidP="007819B8">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2.- Precise el número de fojas que componen las documentales generadas por las entregas-recepción generadas en 2022.</w:t>
      </w:r>
    </w:p>
    <w:p w14:paraId="4546B872" w14:textId="77777777" w:rsidR="007819B8" w:rsidRPr="00445611" w:rsidRDefault="007819B8" w:rsidP="007819B8">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 xml:space="preserve">El número de fojas de las actas entrega recepción son de 29,000 </w:t>
      </w:r>
    </w:p>
    <w:p w14:paraId="451ED8DC" w14:textId="77777777" w:rsidR="001C075E" w:rsidRPr="00445611" w:rsidRDefault="001C075E" w:rsidP="001C075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lastRenderedPageBreak/>
        <w:t>3.- Señale, si emplea los parámetros de escaneo recomendados por este Instituto, los cuales consisten en una resolución alta de 150 Dpi's, en escala de grises y formato "PDF"; extraído directamente del escáner.</w:t>
      </w:r>
    </w:p>
    <w:p w14:paraId="4B725BE5" w14:textId="77777777" w:rsidR="007819B8" w:rsidRPr="00445611" w:rsidRDefault="007819B8" w:rsidP="001C075E">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Si se emplea</w:t>
      </w:r>
    </w:p>
    <w:p w14:paraId="7D3C3036" w14:textId="77777777" w:rsidR="007819B8" w:rsidRPr="00445611" w:rsidRDefault="001C075E" w:rsidP="001C075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4.- Proporcione una foja escaneada, correspondiente a una de las documentales generadas por la entrega-recepción, que refiere en su informe justificado.</w:t>
      </w:r>
    </w:p>
    <w:p w14:paraId="09128786" w14:textId="77777777" w:rsidR="001C075E" w:rsidRPr="00445611" w:rsidRDefault="007819B8" w:rsidP="001C075E">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Se adjunta una hoja generada por el acta entrega-recepción</w:t>
      </w:r>
      <w:r w:rsidR="001C075E" w:rsidRPr="00445611">
        <w:rPr>
          <w:rFonts w:ascii="Palatino Linotype" w:eastAsia="Palatino Linotype" w:hAnsi="Palatino Linotype" w:cs="Palatino Linotype"/>
          <w:b/>
          <w:i/>
          <w:sz w:val="22"/>
          <w:szCs w:val="22"/>
        </w:rPr>
        <w:t xml:space="preserve"> </w:t>
      </w:r>
    </w:p>
    <w:p w14:paraId="26E5D58E" w14:textId="77777777" w:rsidR="001C075E" w:rsidRPr="00445611" w:rsidRDefault="001C075E" w:rsidP="001C075E">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Respecto a la solicitud de información 00388/TLALNEPA/IP/2024, a la que recayó el recurso de revisión 02865/INFOEM/IP/RR/2024:</w:t>
      </w:r>
    </w:p>
    <w:p w14:paraId="5A3E7310" w14:textId="77777777" w:rsidR="001C075E" w:rsidRPr="00445611" w:rsidRDefault="001C075E" w:rsidP="001C075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 1.-Señale, el número de entregas-recepción que se suscitaron durante el año 2023. </w:t>
      </w:r>
    </w:p>
    <w:p w14:paraId="28D11BC8" w14:textId="77777777" w:rsidR="007819B8" w:rsidRPr="00445611" w:rsidRDefault="007819B8" w:rsidP="007819B8">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En el año 2023, se generaron 140 actas entregas recepción.</w:t>
      </w:r>
    </w:p>
    <w:p w14:paraId="7923A1DE" w14:textId="77777777" w:rsidR="001C075E" w:rsidRPr="00445611" w:rsidRDefault="001C075E" w:rsidP="001C075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2.- Precise el número de fojas que componen las documentales generadas por las entregas-recepción generadas en 2023.</w:t>
      </w:r>
    </w:p>
    <w:p w14:paraId="6705B629" w14:textId="77777777" w:rsidR="007819B8" w:rsidRPr="00445611" w:rsidRDefault="007819B8" w:rsidP="007819B8">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 xml:space="preserve">El número de fojas de las actas entrega recepción son de 20,000 </w:t>
      </w:r>
    </w:p>
    <w:p w14:paraId="612A2E1D" w14:textId="77777777" w:rsidR="001C075E" w:rsidRPr="00445611" w:rsidRDefault="001C075E" w:rsidP="001C075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3.- Señale, si emplea los parámetros de escaneo recomendados por este Instituto, los cuales consisten en una resolución alta de 150 Dpi's, en escala de grises y formato "PDF"; extraído directamente del escáner.</w:t>
      </w:r>
    </w:p>
    <w:p w14:paraId="2A380BF7" w14:textId="77777777" w:rsidR="007819B8" w:rsidRPr="00445611" w:rsidRDefault="007819B8" w:rsidP="007819B8">
      <w:pPr>
        <w:spacing w:before="240" w:after="240"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Si, se emplea</w:t>
      </w:r>
    </w:p>
    <w:p w14:paraId="432FDF1E" w14:textId="77777777" w:rsidR="007819B8" w:rsidRPr="00445611" w:rsidRDefault="001C075E" w:rsidP="001C075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4.- Proporcione una foja escaneada, correspondiente a una de las documentales generadas por la entrega-recepción, que refiere en su informe justificado.</w:t>
      </w:r>
    </w:p>
    <w:p w14:paraId="1E8F5A51" w14:textId="77777777" w:rsidR="001C075E" w:rsidRPr="00445611" w:rsidRDefault="007819B8" w:rsidP="001C075E">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Se adjunta una hoja generada por el acta entrega-recepción</w:t>
      </w:r>
      <w:r w:rsidR="001C075E" w:rsidRPr="00445611">
        <w:rPr>
          <w:rFonts w:ascii="Palatino Linotype" w:eastAsia="Palatino Linotype" w:hAnsi="Palatino Linotype" w:cs="Palatino Linotype"/>
          <w:i/>
          <w:sz w:val="22"/>
          <w:szCs w:val="22"/>
        </w:rPr>
        <w:t>”</w:t>
      </w:r>
    </w:p>
    <w:p w14:paraId="7C8895C9" w14:textId="77777777" w:rsidR="001C075E" w:rsidRPr="00445611" w:rsidRDefault="007819B8" w:rsidP="007819B8">
      <w:pPr>
        <w:spacing w:before="240" w:after="240" w:line="360" w:lineRule="auto"/>
        <w:ind w:left="567" w:right="900"/>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Es de precisar que</w:t>
      </w:r>
      <w:r w:rsidR="00C943C2" w:rsidRPr="00445611">
        <w:rPr>
          <w:rFonts w:ascii="Palatino Linotype" w:eastAsia="Palatino Linotype" w:hAnsi="Palatino Linotype" w:cs="Palatino Linotype"/>
          <w:sz w:val="22"/>
          <w:szCs w:val="22"/>
        </w:rPr>
        <w:t xml:space="preserve"> también </w:t>
      </w:r>
      <w:r w:rsidRPr="00445611">
        <w:rPr>
          <w:rFonts w:ascii="Palatino Linotype" w:eastAsia="Palatino Linotype" w:hAnsi="Palatino Linotype" w:cs="Palatino Linotype"/>
          <w:sz w:val="22"/>
          <w:szCs w:val="22"/>
        </w:rPr>
        <w:t xml:space="preserve">remite la primera foja de acta de entrega-recepción de los años 2022 y 2023 de manera íntegra y también adjunta </w:t>
      </w:r>
      <w:r w:rsidR="00C943C2" w:rsidRPr="00445611">
        <w:rPr>
          <w:rFonts w:ascii="Palatino Linotype" w:eastAsia="Palatino Linotype" w:hAnsi="Palatino Linotype" w:cs="Palatino Linotype"/>
          <w:sz w:val="22"/>
          <w:szCs w:val="22"/>
        </w:rPr>
        <w:t>dos actas de entrega-recepción de manera íntegras</w:t>
      </w:r>
      <w:r w:rsidRPr="00445611">
        <w:rPr>
          <w:rFonts w:ascii="Palatino Linotype" w:eastAsia="Palatino Linotype" w:hAnsi="Palatino Linotype" w:cs="Palatino Linotype"/>
          <w:sz w:val="22"/>
          <w:szCs w:val="22"/>
        </w:rPr>
        <w:t xml:space="preserve">. </w:t>
      </w:r>
    </w:p>
    <w:p w14:paraId="1EE74159" w14:textId="3AE65B72" w:rsidR="00830242" w:rsidRPr="00445611" w:rsidRDefault="00540CF8">
      <w:pPr>
        <w:spacing w:before="240" w:after="240" w:line="360" w:lineRule="auto"/>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10. Ampliaciones del plazo para emitir resolución.</w:t>
      </w:r>
      <w:r w:rsidRPr="00445611">
        <w:rPr>
          <w:rFonts w:ascii="Palatino Linotype" w:eastAsia="Palatino Linotype" w:hAnsi="Palatino Linotype" w:cs="Palatino Linotype"/>
          <w:sz w:val="22"/>
          <w:szCs w:val="22"/>
        </w:rPr>
        <w:t xml:space="preserve"> El </w:t>
      </w:r>
      <w:r w:rsidR="00C943C2" w:rsidRPr="00445611">
        <w:rPr>
          <w:rFonts w:ascii="Palatino Linotype" w:eastAsia="Palatino Linotype" w:hAnsi="Palatino Linotype" w:cs="Palatino Linotype"/>
          <w:b/>
          <w:sz w:val="22"/>
          <w:szCs w:val="22"/>
        </w:rPr>
        <w:t>once</w:t>
      </w:r>
      <w:r w:rsidR="00746811" w:rsidRPr="00445611">
        <w:rPr>
          <w:rFonts w:ascii="Palatino Linotype" w:eastAsia="Palatino Linotype" w:hAnsi="Palatino Linotype" w:cs="Palatino Linotype"/>
          <w:b/>
          <w:sz w:val="22"/>
          <w:szCs w:val="22"/>
        </w:rPr>
        <w:t xml:space="preserve"> de septiembre</w:t>
      </w:r>
      <w:r w:rsidRPr="00445611">
        <w:rPr>
          <w:rFonts w:ascii="Palatino Linotype" w:eastAsia="Palatino Linotype" w:hAnsi="Palatino Linotype" w:cs="Palatino Linotype"/>
          <w:b/>
          <w:sz w:val="22"/>
          <w:szCs w:val="22"/>
        </w:rPr>
        <w:t xml:space="preserve"> de dos mil veinticuatro</w:t>
      </w:r>
      <w:r w:rsidRPr="00445611">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8C2BA97" w14:textId="77777777" w:rsidR="00830242" w:rsidRPr="00445611" w:rsidRDefault="00540CF8">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517D02BA"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3DE8B89"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9BEB2C"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w:t>
      </w:r>
      <w:r w:rsidRPr="00445611">
        <w:rPr>
          <w:rFonts w:ascii="Palatino Linotype" w:eastAsia="Palatino Linotype" w:hAnsi="Palatino Linotype" w:cs="Palatino Linotype"/>
          <w:sz w:val="22"/>
          <w:szCs w:val="22"/>
        </w:rPr>
        <w:lastRenderedPageBreak/>
        <w:t>jurisdiccionales o cuasi jurisdiccionales, tanto por la complejidad de los hechos, como por el número de casos que conocen. </w:t>
      </w:r>
    </w:p>
    <w:p w14:paraId="3799E01C"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del tiempo necesario para su resolución, atentos a los siguientes criterios: </w:t>
      </w:r>
    </w:p>
    <w:p w14:paraId="253765F2" w14:textId="77777777" w:rsidR="00830242" w:rsidRPr="00445611" w:rsidRDefault="00540CF8">
      <w:pPr>
        <w:numPr>
          <w:ilvl w:val="0"/>
          <w:numId w:val="1"/>
        </w:numPr>
        <w:pBdr>
          <w:top w:val="nil"/>
          <w:left w:val="nil"/>
          <w:bottom w:val="nil"/>
          <w:right w:val="nil"/>
          <w:between w:val="nil"/>
        </w:pBdr>
        <w:spacing w:before="240" w:after="240" w:line="360" w:lineRule="auto"/>
        <w:ind w:left="426" w:right="900"/>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Complejidad del Asunto:</w:t>
      </w:r>
      <w:r w:rsidRPr="00445611">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594EAB3C" w14:textId="77777777" w:rsidR="00830242" w:rsidRPr="00445611" w:rsidRDefault="00540CF8">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Actividad Procesal del interesado.</w:t>
      </w:r>
      <w:r w:rsidRPr="00445611">
        <w:rPr>
          <w:rFonts w:ascii="Palatino Linotype" w:eastAsia="Palatino Linotype" w:hAnsi="Palatino Linotype" w:cs="Palatino Linotype"/>
          <w:sz w:val="22"/>
          <w:szCs w:val="22"/>
        </w:rPr>
        <w:t xml:space="preserve"> Acciones u omisiones del interesado.</w:t>
      </w:r>
    </w:p>
    <w:p w14:paraId="3A0C1116" w14:textId="77777777" w:rsidR="00830242" w:rsidRPr="00445611" w:rsidRDefault="00540CF8">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Conducta de la Autoridad:</w:t>
      </w:r>
      <w:r w:rsidRPr="00445611">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7BF84F3B" w14:textId="77777777" w:rsidR="00830242" w:rsidRPr="00445611" w:rsidRDefault="00540CF8">
      <w:pPr>
        <w:numPr>
          <w:ilvl w:val="0"/>
          <w:numId w:val="1"/>
        </w:numPr>
        <w:spacing w:before="240" w:after="240" w:line="360" w:lineRule="auto"/>
        <w:ind w:left="567" w:right="1183" w:hanging="283"/>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La afectación generada en la situación jurídica de la persona involucrada en el proceso:</w:t>
      </w:r>
      <w:r w:rsidRPr="00445611">
        <w:rPr>
          <w:rFonts w:ascii="Palatino Linotype" w:eastAsia="Palatino Linotype" w:hAnsi="Palatino Linotype" w:cs="Palatino Linotype"/>
          <w:sz w:val="22"/>
          <w:szCs w:val="22"/>
        </w:rPr>
        <w:t xml:space="preserve"> Violación a sus derechos humanos.</w:t>
      </w:r>
    </w:p>
    <w:p w14:paraId="00048D43"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9ABFC83"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445611">
        <w:rPr>
          <w:rFonts w:ascii="Palatino Linotype" w:eastAsia="Palatino Linotype" w:hAnsi="Palatino Linotype" w:cs="Palatino Linotype"/>
          <w:i/>
          <w:sz w:val="22"/>
          <w:szCs w:val="22"/>
        </w:rPr>
        <w:t xml:space="preserve">“TÉRMINOS PROCESALES. PARA DETERMINAR SI UN FUNCIONARIO JUDICIAL ACTUÓ INDEBIDAMENTE POR NO RESPETARLOS SE DEBE ATENDER AL PRESUPUESTO QUE CONSIDERÓ EL </w:t>
      </w:r>
      <w:r w:rsidRPr="00445611">
        <w:rPr>
          <w:rFonts w:ascii="Palatino Linotype" w:eastAsia="Palatino Linotype" w:hAnsi="Palatino Linotype" w:cs="Palatino Linotype"/>
          <w:i/>
          <w:sz w:val="22"/>
          <w:szCs w:val="22"/>
        </w:rPr>
        <w:lastRenderedPageBreak/>
        <w:t>LEGISLADOR AL FIJARLOS Y LAS CARACTERÍSTICAS DEL CASO.”</w:t>
      </w:r>
      <w:r w:rsidRPr="00445611">
        <w:rPr>
          <w:rFonts w:ascii="Palatino Linotype" w:eastAsia="Palatino Linotype" w:hAnsi="Palatino Linotype" w:cs="Palatino Linotype"/>
          <w:sz w:val="22"/>
          <w:szCs w:val="22"/>
        </w:rPr>
        <w:t>, visible en la Gaceta del Seminario Judicial de la Federación con el registro digital 205635.</w:t>
      </w:r>
    </w:p>
    <w:p w14:paraId="6602F7C5"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AE82187"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565AED2B"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w:t>
      </w:r>
      <w:r w:rsidRPr="00445611">
        <w:rPr>
          <w:rFonts w:ascii="Palatino Linotype" w:eastAsia="Palatino Linotype" w:hAnsi="Palatino Linotype" w:cs="Palatino Linotype"/>
          <w:i/>
          <w:sz w:val="22"/>
          <w:szCs w:val="22"/>
        </w:rPr>
        <w:t>“PLAZO RAZONABLE PARA RESOLVER. DIMENSIÓN Y EFECTOS DE ESTE CONCEPTO CUANDO SE ADUCE EXCESIVA CARGA DE TRABAJO.”</w:t>
      </w:r>
      <w:r w:rsidRPr="00445611">
        <w:rPr>
          <w:rFonts w:ascii="Palatino Linotype" w:eastAsia="Palatino Linotype" w:hAnsi="Palatino Linotype" w:cs="Palatino Linotype"/>
          <w:sz w:val="22"/>
          <w:szCs w:val="22"/>
        </w:rPr>
        <w:t xml:space="preserve"> consultable en el Seminario Judicial de la Federación y su gaceta, con el registro digital 2002351.</w:t>
      </w:r>
    </w:p>
    <w:p w14:paraId="79495C24"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445611">
        <w:rPr>
          <w:rFonts w:ascii="Palatino Linotype" w:eastAsia="Palatino Linotype" w:hAnsi="Palatino Linotype" w:cs="Palatino Linotype"/>
          <w:sz w:val="22"/>
          <w:szCs w:val="22"/>
        </w:rPr>
        <w:t>, visible en el Seminario Judicial de la Federación y su gaceta, con el registro digital 2002350.</w:t>
      </w:r>
    </w:p>
    <w:p w14:paraId="0E60C2E6"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Por ello, este organismo garante comprometido con la tutela de los derechos humanos confiados, señala que este exceso del plazo legal para resolver el presente asunto, resulta de carácter excepcional.</w:t>
      </w:r>
    </w:p>
    <w:p w14:paraId="3121A1BC" w14:textId="39AE5DDB"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11. Cierres de instrucción. </w:t>
      </w:r>
      <w:r w:rsidRPr="00445611">
        <w:rPr>
          <w:rFonts w:ascii="Palatino Linotype" w:eastAsia="Palatino Linotype" w:hAnsi="Palatino Linotype" w:cs="Palatino Linotype"/>
          <w:sz w:val="22"/>
          <w:szCs w:val="22"/>
        </w:rPr>
        <w:t>Una vez transcurrido el periodo otorgado a las partes para realizar sus manifestaciones y no habiendo documentos qu</w:t>
      </w:r>
      <w:r w:rsidR="00C943C2" w:rsidRPr="00445611">
        <w:rPr>
          <w:rFonts w:ascii="Palatino Linotype" w:eastAsia="Palatino Linotype" w:hAnsi="Palatino Linotype" w:cs="Palatino Linotype"/>
          <w:sz w:val="22"/>
          <w:szCs w:val="22"/>
        </w:rPr>
        <w:t xml:space="preserve">e integrar a los expedientes, los días </w:t>
      </w:r>
      <w:r w:rsidR="00C943C2" w:rsidRPr="00445611">
        <w:rPr>
          <w:rFonts w:ascii="Palatino Linotype" w:eastAsia="Palatino Linotype" w:hAnsi="Palatino Linotype" w:cs="Palatino Linotype"/>
          <w:b/>
          <w:sz w:val="22"/>
          <w:szCs w:val="22"/>
        </w:rPr>
        <w:t>treinta de mayo y</w:t>
      </w:r>
      <w:r w:rsidRPr="00445611">
        <w:rPr>
          <w:rFonts w:ascii="Palatino Linotype" w:eastAsia="Palatino Linotype" w:hAnsi="Palatino Linotype" w:cs="Palatino Linotype"/>
          <w:sz w:val="22"/>
          <w:szCs w:val="22"/>
        </w:rPr>
        <w:t xml:space="preserve"> </w:t>
      </w:r>
      <w:r w:rsidR="00746811" w:rsidRPr="00445611">
        <w:rPr>
          <w:rFonts w:ascii="Palatino Linotype" w:eastAsia="Palatino Linotype" w:hAnsi="Palatino Linotype" w:cs="Palatino Linotype"/>
          <w:b/>
          <w:sz w:val="22"/>
          <w:szCs w:val="22"/>
        </w:rPr>
        <w:t>dieciocho</w:t>
      </w:r>
      <w:r w:rsidRPr="00445611">
        <w:rPr>
          <w:rFonts w:ascii="Palatino Linotype" w:eastAsia="Palatino Linotype" w:hAnsi="Palatino Linotype" w:cs="Palatino Linotype"/>
          <w:b/>
          <w:sz w:val="22"/>
          <w:szCs w:val="22"/>
        </w:rPr>
        <w:t xml:space="preserve"> de septiembre de</w:t>
      </w:r>
      <w:r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dos mil veinticuatro</w:t>
      </w:r>
      <w:r w:rsidRPr="00445611">
        <w:rPr>
          <w:rFonts w:ascii="Palatino Linotype" w:eastAsia="Palatino Linotype" w:hAnsi="Palatino Linotype" w:cs="Palatino Linotype"/>
          <w:sz w:val="22"/>
          <w:szCs w:val="22"/>
        </w:rPr>
        <w:t>, la Comisionada Ponente determinó los cierres de instrucción en términos de la fracción VI del artículo 185 de la Ley de Transparencia y Acceso a la Información Pública del Estado de México y Municipios.</w:t>
      </w:r>
    </w:p>
    <w:p w14:paraId="72467B44"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14F3D4F8" w14:textId="77777777" w:rsidR="00830242" w:rsidRPr="00445611" w:rsidRDefault="00540CF8">
      <w:pPr>
        <w:widowControl w:val="0"/>
        <w:spacing w:before="240" w:after="240" w:line="360" w:lineRule="auto"/>
        <w:jc w:val="center"/>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II. C O N S I D E R A N D O</w:t>
      </w:r>
    </w:p>
    <w:p w14:paraId="693DEBE8"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Primero. Competencia.</w:t>
      </w:r>
      <w:r w:rsidRPr="0044561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w:t>
      </w:r>
      <w:r w:rsidRPr="00445611">
        <w:rPr>
          <w:rFonts w:ascii="Palatino Linotype" w:eastAsia="Palatino Linotype" w:hAnsi="Palatino Linotype" w:cs="Palatino Linotype"/>
          <w:b/>
          <w:sz w:val="22"/>
          <w:szCs w:val="22"/>
        </w:rPr>
        <w:t>la parte Recurrente</w:t>
      </w:r>
      <w:r w:rsidRPr="00445611">
        <w:rPr>
          <w:rFonts w:ascii="Palatino Linotype" w:eastAsia="Palatino Linotype" w:hAnsi="Palatino Linotype" w:cs="Palatino Linotype"/>
          <w:sz w:val="22"/>
          <w:szCs w:val="22"/>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XXIV  y 11 del Reglamento Interior del Instituto de Transparencia, </w:t>
      </w:r>
      <w:r w:rsidRPr="00445611">
        <w:rPr>
          <w:rFonts w:ascii="Palatino Linotype" w:eastAsia="Palatino Linotype" w:hAnsi="Palatino Linotype" w:cs="Palatino Linotype"/>
          <w:sz w:val="22"/>
          <w:szCs w:val="22"/>
        </w:rPr>
        <w:lastRenderedPageBreak/>
        <w:t>Acceso a la Información Pública y Protección de Datos Personales del Estado de México y Municipios.</w:t>
      </w:r>
    </w:p>
    <w:p w14:paraId="07901DDE"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bookmarkStart w:id="1" w:name="_heading=h.30j0zll" w:colFirst="0" w:colLast="0"/>
      <w:bookmarkEnd w:id="1"/>
      <w:r w:rsidRPr="00445611">
        <w:rPr>
          <w:rFonts w:ascii="Palatino Linotype" w:eastAsia="Palatino Linotype" w:hAnsi="Palatino Linotype" w:cs="Palatino Linotype"/>
          <w:b/>
          <w:sz w:val="22"/>
          <w:szCs w:val="22"/>
        </w:rPr>
        <w:t>Segundo. Oportunidad y Procedibilidad de los Recursos de Revisión</w:t>
      </w:r>
      <w:r w:rsidRPr="00445611">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3ED6876B"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Los recursos de revisión fueron interpuestos dentro del plazo de quince días hábiles, previsto en el artículo 178 de la Ley de Transparencia y Acceso a la Información Pública del Estado de México y Municipios, toda vez que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respondió a las solicitudes de información que aperturaron los recursos de revisión el día </w:t>
      </w:r>
      <w:r w:rsidR="00C943C2" w:rsidRPr="00445611">
        <w:rPr>
          <w:rFonts w:ascii="Palatino Linotype" w:eastAsia="Palatino Linotype" w:hAnsi="Palatino Linotype" w:cs="Palatino Linotype"/>
          <w:b/>
          <w:sz w:val="22"/>
          <w:szCs w:val="22"/>
        </w:rPr>
        <w:t>siete de mayo</w:t>
      </w:r>
      <w:r w:rsidRPr="00445611">
        <w:rPr>
          <w:rFonts w:ascii="Palatino Linotype" w:eastAsia="Palatino Linotype" w:hAnsi="Palatino Linotype" w:cs="Palatino Linotype"/>
          <w:b/>
          <w:sz w:val="22"/>
          <w:szCs w:val="22"/>
        </w:rPr>
        <w:t xml:space="preserve"> de dos mil veinticuatro</w:t>
      </w:r>
      <w:r w:rsidRPr="00445611">
        <w:rPr>
          <w:rFonts w:ascii="Palatino Linotype" w:eastAsia="Palatino Linotype" w:hAnsi="Palatino Linotype" w:cs="Palatino Linotype"/>
          <w:sz w:val="22"/>
          <w:szCs w:val="22"/>
        </w:rPr>
        <w:t xml:space="preserve">, por su parte, los recursos de revisión se interpusieron el </w:t>
      </w:r>
      <w:r w:rsidR="00C943C2" w:rsidRPr="00445611">
        <w:rPr>
          <w:rFonts w:ascii="Palatino Linotype" w:eastAsia="Palatino Linotype" w:hAnsi="Palatino Linotype" w:cs="Palatino Linotype"/>
          <w:b/>
          <w:sz w:val="22"/>
          <w:szCs w:val="22"/>
        </w:rPr>
        <w:t>catorce de mayo</w:t>
      </w:r>
      <w:r w:rsidRPr="00445611">
        <w:rPr>
          <w:rFonts w:ascii="Palatino Linotype" w:eastAsia="Palatino Linotype" w:hAnsi="Palatino Linotype" w:cs="Palatino Linotype"/>
          <w:b/>
          <w:sz w:val="22"/>
          <w:szCs w:val="22"/>
        </w:rPr>
        <w:t xml:space="preserve"> de dos mil veinticuatro</w:t>
      </w:r>
      <w:r w:rsidRPr="00445611">
        <w:rPr>
          <w:rFonts w:ascii="Palatino Linotype" w:eastAsia="Palatino Linotype" w:hAnsi="Palatino Linotype" w:cs="Palatino Linotype"/>
          <w:sz w:val="22"/>
          <w:szCs w:val="22"/>
        </w:rPr>
        <w:t xml:space="preserve">, siendo este el </w:t>
      </w:r>
      <w:r w:rsidR="00C943C2" w:rsidRPr="00445611">
        <w:rPr>
          <w:rFonts w:ascii="Palatino Linotype" w:eastAsia="Palatino Linotype" w:hAnsi="Palatino Linotype" w:cs="Palatino Linotype"/>
          <w:b/>
          <w:sz w:val="22"/>
          <w:szCs w:val="22"/>
        </w:rPr>
        <w:t>quinto</w:t>
      </w:r>
      <w:r w:rsidRPr="00445611">
        <w:rPr>
          <w:rFonts w:ascii="Palatino Linotype" w:eastAsia="Palatino Linotype" w:hAnsi="Palatino Linotype" w:cs="Palatino Linotype"/>
          <w:b/>
          <w:sz w:val="22"/>
          <w:szCs w:val="22"/>
        </w:rPr>
        <w:t xml:space="preserve"> día hábil</w:t>
      </w:r>
      <w:r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después de conocerse las respuestas.</w:t>
      </w:r>
    </w:p>
    <w:p w14:paraId="4715EF6F"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2F8F4DD1" w14:textId="77777777" w:rsidR="00830242" w:rsidRPr="00445611" w:rsidRDefault="00540CF8">
      <w:pPr>
        <w:spacing w:before="240" w:after="240"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Al mismo tiempo, por cuanto hace a la procedibilidad de los recursos de revisión, es de suma importancia señalar que l</w:t>
      </w:r>
      <w:r w:rsidRPr="00445611">
        <w:rPr>
          <w:rFonts w:ascii="Palatino Linotype" w:eastAsia="Palatino Linotype" w:hAnsi="Palatino Linotype" w:cs="Palatino Linotype"/>
          <w:b/>
          <w:sz w:val="22"/>
          <w:szCs w:val="22"/>
        </w:rPr>
        <w:t>a parte</w:t>
      </w:r>
      <w:r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Recurrente</w:t>
      </w:r>
      <w:r w:rsidRPr="00445611">
        <w:rPr>
          <w:rFonts w:ascii="Palatino Linotype" w:eastAsia="Palatino Linotype" w:hAnsi="Palatino Linotype" w:cs="Palatino Linotype"/>
          <w:sz w:val="22"/>
          <w:szCs w:val="22"/>
        </w:rPr>
        <w:t xml:space="preserve"> fue omisa en identificarse con un seudónimo o nombre,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7A91242" w14:textId="77777777" w:rsidR="00830242" w:rsidRPr="00445611" w:rsidRDefault="00540CF8">
      <w:pPr>
        <w:spacing w:after="200" w:line="276" w:lineRule="auto"/>
        <w:ind w:left="567" w:right="474"/>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lastRenderedPageBreak/>
        <w:t>"</w:t>
      </w:r>
      <w:r w:rsidRPr="00445611">
        <w:rPr>
          <w:rFonts w:ascii="Palatino Linotype" w:eastAsia="Palatino Linotype" w:hAnsi="Palatino Linotype" w:cs="Palatino Linotype"/>
          <w:b/>
          <w:i/>
          <w:sz w:val="22"/>
          <w:szCs w:val="22"/>
        </w:rPr>
        <w:t>Las solicitudes anónimas</w:t>
      </w:r>
      <w:r w:rsidRPr="00445611">
        <w:rPr>
          <w:rFonts w:ascii="Palatino Linotype" w:eastAsia="Palatino Linotype" w:hAnsi="Palatino Linotype" w:cs="Palatino Linotype"/>
          <w:i/>
          <w:sz w:val="22"/>
          <w:szCs w:val="22"/>
        </w:rPr>
        <w:t xml:space="preserve">, con nombre incompleto o seudónimo </w:t>
      </w:r>
      <w:r w:rsidRPr="00445611">
        <w:rPr>
          <w:rFonts w:ascii="Palatino Linotype" w:eastAsia="Palatino Linotype" w:hAnsi="Palatino Linotype" w:cs="Palatino Linotype"/>
          <w:b/>
          <w:i/>
          <w:sz w:val="22"/>
          <w:szCs w:val="22"/>
        </w:rPr>
        <w:t>serán procedentes para su trámite por parte del sujeto obligado ante quien se presente</w:t>
      </w:r>
      <w:r w:rsidRPr="00445611">
        <w:rPr>
          <w:rFonts w:ascii="Palatino Linotype" w:eastAsia="Palatino Linotype" w:hAnsi="Palatino Linotype" w:cs="Palatino Linotype"/>
          <w:i/>
          <w:sz w:val="22"/>
          <w:szCs w:val="22"/>
        </w:rPr>
        <w:t>. No podrá requerirse información adicional con motivo del nombre proporcionado por el solicitante."</w:t>
      </w:r>
    </w:p>
    <w:p w14:paraId="1C2E44D2"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3612F3C6"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I del ordenamiento legal citado, que a la letra dice: </w:t>
      </w:r>
    </w:p>
    <w:p w14:paraId="101EB159" w14:textId="77777777" w:rsidR="00830242" w:rsidRPr="00445611" w:rsidRDefault="00540CF8">
      <w:pPr>
        <w:tabs>
          <w:tab w:val="left" w:pos="7088"/>
        </w:tabs>
        <w:spacing w:before="240" w:after="240"/>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Artículo 179.</w:t>
      </w:r>
      <w:r w:rsidRPr="0044561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4866293" w14:textId="77777777" w:rsidR="00C943C2" w:rsidRPr="00445611" w:rsidRDefault="00C943C2">
      <w:pPr>
        <w:tabs>
          <w:tab w:val="left" w:pos="7088"/>
        </w:tabs>
        <w:spacing w:before="240" w:after="240"/>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p>
    <w:p w14:paraId="32806091" w14:textId="77777777" w:rsidR="00830242" w:rsidRPr="00445611" w:rsidRDefault="00C943C2" w:rsidP="00C943C2">
      <w:pPr>
        <w:tabs>
          <w:tab w:val="left" w:pos="7088"/>
        </w:tabs>
        <w:spacing w:before="240" w:after="240"/>
        <w:ind w:left="567" w:right="900"/>
        <w:jc w:val="both"/>
        <w:rPr>
          <w:rFonts w:ascii="Palatino Linotype" w:eastAsia="Palatino Linotype" w:hAnsi="Palatino Linotype" w:cs="Palatino Linotype"/>
          <w:b/>
          <w:i/>
          <w:sz w:val="22"/>
          <w:szCs w:val="22"/>
          <w:u w:val="single"/>
        </w:rPr>
      </w:pPr>
      <w:r w:rsidRPr="00445611">
        <w:rPr>
          <w:rFonts w:ascii="Palatino Linotype" w:eastAsia="Palatino Linotype" w:hAnsi="Palatino Linotype" w:cs="Palatino Linotype"/>
          <w:b/>
          <w:i/>
          <w:sz w:val="22"/>
          <w:szCs w:val="22"/>
          <w:u w:val="single"/>
        </w:rPr>
        <w:t>VIII. La notificación, entrega o puesta a disposición de información en una modalidad o formato distinto al solicitado;</w:t>
      </w:r>
      <w:r w:rsidR="00540CF8" w:rsidRPr="00445611">
        <w:rPr>
          <w:rFonts w:ascii="Palatino Linotype" w:eastAsia="Palatino Linotype" w:hAnsi="Palatino Linotype" w:cs="Palatino Linotype"/>
          <w:b/>
          <w:i/>
          <w:sz w:val="22"/>
          <w:szCs w:val="22"/>
        </w:rPr>
        <w:t xml:space="preserve">” </w:t>
      </w:r>
      <w:r w:rsidR="00540CF8" w:rsidRPr="00445611">
        <w:rPr>
          <w:rFonts w:ascii="Palatino Linotype" w:eastAsia="Palatino Linotype" w:hAnsi="Palatino Linotype" w:cs="Palatino Linotype"/>
          <w:i/>
          <w:sz w:val="22"/>
          <w:szCs w:val="22"/>
        </w:rPr>
        <w:t>(Énfasis añadido)</w:t>
      </w:r>
    </w:p>
    <w:p w14:paraId="0205793D"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Tercero. Materia de la revisión. </w:t>
      </w:r>
      <w:r w:rsidRPr="00445611">
        <w:rPr>
          <w:rFonts w:ascii="Palatino Linotype" w:eastAsia="Palatino Linotype" w:hAnsi="Palatino Linotype" w:cs="Palatino Linotype"/>
          <w:sz w:val="22"/>
          <w:szCs w:val="22"/>
        </w:rPr>
        <w:t xml:space="preserve">De la revisión a las constancias y documentos que obran en los expedientes electrónicos se advierte, que el tema sobre el que este Organismo Garante de Transparencia y Acceso a la Información se pronunciará será: </w:t>
      </w:r>
      <w:r w:rsidRPr="00445611">
        <w:rPr>
          <w:rFonts w:ascii="Palatino Linotype" w:eastAsia="Palatino Linotype" w:hAnsi="Palatino Linotype" w:cs="Palatino Linotype"/>
          <w:b/>
          <w:sz w:val="22"/>
          <w:szCs w:val="22"/>
        </w:rPr>
        <w:t xml:space="preserve">verificar si las respuestas e informes justificados otorgados por el Sujeto Obligado son adecuados y suficientes para satisfacer el derecho de acceso a la información pública </w:t>
      </w:r>
      <w:r w:rsidRPr="00445611">
        <w:rPr>
          <w:rFonts w:ascii="Palatino Linotype" w:eastAsia="Palatino Linotype" w:hAnsi="Palatino Linotype" w:cs="Palatino Linotype"/>
          <w:sz w:val="22"/>
          <w:szCs w:val="22"/>
        </w:rPr>
        <w:t xml:space="preserve">de </w:t>
      </w:r>
      <w:r w:rsidRPr="00445611">
        <w:rPr>
          <w:rFonts w:ascii="Palatino Linotype" w:eastAsia="Palatino Linotype" w:hAnsi="Palatino Linotype" w:cs="Palatino Linotype"/>
          <w:b/>
          <w:sz w:val="22"/>
          <w:szCs w:val="22"/>
        </w:rPr>
        <w:t>la parte</w:t>
      </w:r>
      <w:r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Recurrente</w:t>
      </w:r>
      <w:r w:rsidRPr="00445611">
        <w:rPr>
          <w:rFonts w:ascii="Palatino Linotype" w:eastAsia="Palatino Linotype" w:hAnsi="Palatino Linotype" w:cs="Palatino Linotype"/>
          <w:sz w:val="22"/>
          <w:szCs w:val="22"/>
        </w:rPr>
        <w:t xml:space="preserve">, o en su defecto, en caso de ser procedente, ordenar la entrega de información.  </w:t>
      </w:r>
    </w:p>
    <w:p w14:paraId="2708D57B"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lastRenderedPageBreak/>
        <w:t xml:space="preserve">Cuarto. Estudio del asunto. </w:t>
      </w:r>
      <w:r w:rsidRPr="00445611">
        <w:rPr>
          <w:rFonts w:ascii="Palatino Linotype" w:eastAsia="Palatino Linotype" w:hAnsi="Palatino Linotype" w:cs="Palatino Linotype"/>
          <w:sz w:val="22"/>
          <w:szCs w:val="22"/>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8F28BA2" w14:textId="77777777" w:rsidR="00830242" w:rsidRPr="00445611" w:rsidRDefault="00540CF8">
      <w:pPr>
        <w:tabs>
          <w:tab w:val="left" w:pos="709"/>
        </w:tabs>
        <w:spacing w:before="240" w:after="240"/>
        <w:ind w:left="851" w:right="85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445611">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BE375F5" w14:textId="77777777" w:rsidR="00830242" w:rsidRPr="00445611" w:rsidRDefault="00540CF8">
      <w:pPr>
        <w:tabs>
          <w:tab w:val="left" w:pos="709"/>
        </w:tabs>
        <w:spacing w:before="240" w:after="240"/>
        <w:ind w:left="851" w:right="85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0310302" w14:textId="77777777" w:rsidR="00830242" w:rsidRPr="00445611" w:rsidRDefault="00540CF8">
      <w:pPr>
        <w:tabs>
          <w:tab w:val="left" w:pos="709"/>
        </w:tabs>
        <w:spacing w:before="240" w:after="240"/>
        <w:ind w:left="851" w:right="85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45611">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034D36C0" w14:textId="77777777" w:rsidR="00830242" w:rsidRPr="00445611" w:rsidRDefault="00540CF8">
      <w:pPr>
        <w:tabs>
          <w:tab w:val="left" w:pos="709"/>
        </w:tabs>
        <w:spacing w:before="240" w:after="240"/>
        <w:ind w:left="851" w:right="85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p>
    <w:p w14:paraId="443A211E" w14:textId="77777777" w:rsidR="00830242" w:rsidRPr="00445611" w:rsidRDefault="00540CF8">
      <w:pPr>
        <w:spacing w:before="240" w:after="240"/>
        <w:ind w:left="851" w:right="90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“Artículo 6o.</w:t>
      </w:r>
    </w:p>
    <w:p w14:paraId="05154CAD" w14:textId="77777777" w:rsidR="00830242" w:rsidRPr="00445611" w:rsidRDefault="00540CF8">
      <w:pPr>
        <w:spacing w:before="240" w:after="240"/>
        <w:ind w:left="851" w:right="90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p>
    <w:p w14:paraId="1D2B4BFC"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A. Para el ejercicio del derecho de acceso a la información, la Federación y </w:t>
      </w:r>
      <w:r w:rsidRPr="00445611">
        <w:rPr>
          <w:rFonts w:ascii="Palatino Linotype" w:eastAsia="Palatino Linotype" w:hAnsi="Palatino Linotype" w:cs="Palatino Linotype"/>
          <w:b/>
          <w:i/>
          <w:sz w:val="22"/>
          <w:szCs w:val="22"/>
          <w:u w:val="single"/>
        </w:rPr>
        <w:t>las entidades federativas</w:t>
      </w:r>
      <w:r w:rsidRPr="00445611">
        <w:rPr>
          <w:rFonts w:ascii="Palatino Linotype" w:eastAsia="Palatino Linotype" w:hAnsi="Palatino Linotype" w:cs="Palatino Linotype"/>
          <w:b/>
          <w:i/>
          <w:sz w:val="22"/>
          <w:szCs w:val="22"/>
        </w:rPr>
        <w:t>,</w:t>
      </w:r>
      <w:r w:rsidRPr="00445611">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0ED2CC"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lastRenderedPageBreak/>
        <w:t xml:space="preserve">I. </w:t>
      </w:r>
      <w:r w:rsidRPr="00445611">
        <w:rPr>
          <w:rFonts w:ascii="Palatino Linotype" w:eastAsia="Palatino Linotype" w:hAnsi="Palatino Linotype" w:cs="Palatino Linotype"/>
          <w:b/>
          <w:i/>
          <w:sz w:val="22"/>
          <w:szCs w:val="22"/>
          <w:u w:val="single"/>
        </w:rPr>
        <w:t>Toda la información en posesión de cualquier autoridad, entidad, órgano y organismo de los Poderes</w:t>
      </w:r>
      <w:r w:rsidRPr="00445611">
        <w:rPr>
          <w:rFonts w:ascii="Palatino Linotype" w:eastAsia="Palatino Linotype" w:hAnsi="Palatino Linotype" w:cs="Palatino Linotype"/>
          <w:i/>
          <w:sz w:val="22"/>
          <w:szCs w:val="22"/>
        </w:rPr>
        <w:t xml:space="preserve"> Ejecutivo, Legislativo </w:t>
      </w:r>
      <w:r w:rsidRPr="00445611">
        <w:rPr>
          <w:rFonts w:ascii="Palatino Linotype" w:eastAsia="Palatino Linotype" w:hAnsi="Palatino Linotype" w:cs="Palatino Linotype"/>
          <w:b/>
          <w:i/>
          <w:sz w:val="22"/>
          <w:szCs w:val="22"/>
          <w:u w:val="single"/>
        </w:rPr>
        <w:t>y Judicial</w:t>
      </w:r>
      <w:r w:rsidRPr="00445611">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45611">
        <w:rPr>
          <w:rFonts w:ascii="Palatino Linotype" w:eastAsia="Palatino Linotype" w:hAnsi="Palatino Linotype" w:cs="Palatino Linotype"/>
          <w:b/>
          <w:i/>
          <w:sz w:val="22"/>
          <w:szCs w:val="22"/>
        </w:rPr>
        <w:t>es pública y sólo podrá ser reservada temporalmente por razones de interés público y seguridad nacional,</w:t>
      </w:r>
      <w:r w:rsidRPr="00445611">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B9A431" w14:textId="77777777" w:rsidR="00830242" w:rsidRPr="00445611" w:rsidRDefault="00540CF8">
      <w:pPr>
        <w:spacing w:before="240" w:after="240"/>
        <w:ind w:left="851" w:right="851"/>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i/>
          <w:sz w:val="22"/>
          <w:szCs w:val="22"/>
        </w:rPr>
        <w:t> </w:t>
      </w:r>
      <w:r w:rsidRPr="00445611">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CDCBB99"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w:t>
      </w:r>
      <w:r w:rsidRPr="00445611">
        <w:rPr>
          <w:rFonts w:ascii="Palatino Linotype" w:eastAsia="Palatino Linotype" w:hAnsi="Palatino Linotype" w:cs="Palatino Linotype"/>
          <w:b/>
          <w:i/>
          <w:sz w:val="22"/>
          <w:szCs w:val="22"/>
        </w:rPr>
        <w:t xml:space="preserve">III. </w:t>
      </w:r>
      <w:r w:rsidRPr="00445611">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445611">
        <w:rPr>
          <w:rFonts w:ascii="Palatino Linotype" w:eastAsia="Palatino Linotype" w:hAnsi="Palatino Linotype" w:cs="Palatino Linotype"/>
          <w:i/>
          <w:sz w:val="22"/>
          <w:szCs w:val="22"/>
        </w:rPr>
        <w:t xml:space="preserve"> a sus datos personales o a la rectificación de éstos.</w:t>
      </w:r>
    </w:p>
    <w:p w14:paraId="3B15C795"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w:t>
      </w:r>
      <w:r w:rsidRPr="00445611">
        <w:rPr>
          <w:rFonts w:ascii="Palatino Linotype" w:eastAsia="Palatino Linotype" w:hAnsi="Palatino Linotype" w:cs="Palatino Linotype"/>
          <w:b/>
          <w:i/>
          <w:sz w:val="22"/>
          <w:szCs w:val="22"/>
        </w:rPr>
        <w:t xml:space="preserve">IV. </w:t>
      </w:r>
      <w:r w:rsidRPr="00445611">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4D96614A"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V. </w:t>
      </w:r>
      <w:r w:rsidRPr="00445611">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D1F3CA3"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VI. </w:t>
      </w:r>
      <w:r w:rsidRPr="00445611">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265EA24"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w:t>
      </w:r>
      <w:r w:rsidRPr="00445611">
        <w:rPr>
          <w:rFonts w:ascii="Palatino Linotype" w:eastAsia="Palatino Linotype" w:hAnsi="Palatino Linotype" w:cs="Palatino Linotype"/>
          <w:b/>
          <w:i/>
          <w:sz w:val="22"/>
          <w:szCs w:val="22"/>
        </w:rPr>
        <w:t xml:space="preserve">VII. </w:t>
      </w:r>
      <w:r w:rsidRPr="00445611">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AD4585F" w14:textId="77777777" w:rsidR="00830242" w:rsidRPr="00445611" w:rsidRDefault="00540CF8">
      <w:pPr>
        <w:tabs>
          <w:tab w:val="left" w:pos="709"/>
        </w:tabs>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Así, de la interpretación sistémica de los numerales inmersos en los instrumentos legales Internacionales y Nacional, el derecho de acceso a la información es un derecho del cual </w:t>
      </w:r>
      <w:r w:rsidRPr="00445611">
        <w:rPr>
          <w:rFonts w:ascii="Palatino Linotype" w:eastAsia="Palatino Linotype" w:hAnsi="Palatino Linotype" w:cs="Palatino Linotype"/>
          <w:sz w:val="22"/>
          <w:szCs w:val="22"/>
        </w:rPr>
        <w:lastRenderedPageBreak/>
        <w:t xml:space="preserve">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debe cumplir con dichos dispositivos legales.</w:t>
      </w:r>
    </w:p>
    <w:p w14:paraId="2F4F0091"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4D57C2B" w14:textId="77777777" w:rsidR="00830242" w:rsidRPr="00445611" w:rsidRDefault="00540CF8">
      <w:pPr>
        <w:spacing w:before="240" w:after="240"/>
        <w:ind w:left="709" w:right="76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Artículo 4</w:t>
      </w:r>
      <w:r w:rsidRPr="0044561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D0927A9" w14:textId="77777777" w:rsidR="00830242" w:rsidRPr="00445611" w:rsidRDefault="00540CF8">
      <w:pPr>
        <w:spacing w:before="240" w:after="240"/>
        <w:ind w:left="709" w:right="76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3432E0D" w14:textId="77777777" w:rsidR="00830242" w:rsidRPr="00445611" w:rsidRDefault="00540CF8">
      <w:pPr>
        <w:spacing w:before="240" w:after="240"/>
        <w:ind w:left="709" w:right="76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14:paraId="334A7048"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445611">
        <w:rPr>
          <w:rFonts w:ascii="Palatino Linotype" w:eastAsia="Palatino Linotype" w:hAnsi="Palatino Linotype" w:cs="Palatino Linotype"/>
          <w:b/>
          <w:sz w:val="22"/>
          <w:szCs w:val="22"/>
        </w:rPr>
        <w:t>artículo 12</w:t>
      </w:r>
      <w:r w:rsidRPr="00445611">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49C23F8A"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Artículo 12</w:t>
      </w:r>
      <w:r w:rsidRPr="0044561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C0C729D"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495D6F0"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445611">
        <w:rPr>
          <w:rFonts w:ascii="Palatino Linotype" w:eastAsia="Palatino Linotype" w:hAnsi="Palatino Linotype" w:cs="Palatino Linotype"/>
          <w:i/>
          <w:sz w:val="22"/>
          <w:szCs w:val="22"/>
        </w:rPr>
        <w:t>ad hoc</w:t>
      </w:r>
      <w:r w:rsidRPr="00445611">
        <w:rPr>
          <w:rFonts w:ascii="Palatino Linotype" w:eastAsia="Palatino Linotype" w:hAnsi="Palatino Linotype" w:cs="Palatino Linotype"/>
          <w:sz w:val="22"/>
          <w:szCs w:val="22"/>
        </w:rPr>
        <w:t>, para satisfacer el derecho de acceso a la información pública, como así lo establece el criterio 03/17 emitidos por el Instituto Nacional de Transparencia, Acceso a la Información Pública y Protección de Datos Personales, los cuales señalan lo siguiente:</w:t>
      </w:r>
    </w:p>
    <w:p w14:paraId="4363903A" w14:textId="77777777" w:rsidR="00830242" w:rsidRPr="00445611" w:rsidRDefault="00540CF8">
      <w:pPr>
        <w:spacing w:before="240" w:after="240"/>
        <w:ind w:left="851" w:right="851"/>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03/17</w:t>
      </w:r>
    </w:p>
    <w:p w14:paraId="5DA0CF25" w14:textId="77777777" w:rsidR="00830242" w:rsidRPr="00445611" w:rsidRDefault="00540CF8">
      <w:pPr>
        <w:spacing w:before="240" w:after="240"/>
        <w:ind w:left="851" w:right="851"/>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“NO EXISTE OBLIGACIÓN DE ELABORAR DOCUMENTOS AD HOC PARA ATENDER LAS SOLICITUDES DE ACCESO A LA INFORMACIÓN.</w:t>
      </w:r>
    </w:p>
    <w:p w14:paraId="7D37A29E"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lastRenderedPageBreak/>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A6681FB"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Por otra parte, conviene mencionar que la Ley de Transparencia vigente en el Estado de México refiere: </w:t>
      </w:r>
    </w:p>
    <w:p w14:paraId="29955A51"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“Artículo 18.</w:t>
      </w:r>
      <w:r w:rsidRPr="00445611">
        <w:rPr>
          <w:rFonts w:ascii="Palatino Linotype" w:eastAsia="Palatino Linotype" w:hAnsi="Palatino Linotype" w:cs="Palatino Linotype"/>
          <w:i/>
          <w:sz w:val="22"/>
          <w:szCs w:val="22"/>
        </w:rPr>
        <w:t xml:space="preserve"> </w:t>
      </w:r>
      <w:r w:rsidRPr="00445611">
        <w:rPr>
          <w:rFonts w:ascii="Palatino Linotype" w:eastAsia="Palatino Linotype" w:hAnsi="Palatino Linotype" w:cs="Palatino Linotype"/>
          <w:b/>
          <w:i/>
          <w:sz w:val="22"/>
          <w:szCs w:val="22"/>
          <w:u w:val="single"/>
        </w:rPr>
        <w:t>Los sujetos obligados deberán documentar todo acto que derive del ejercicio de sus facultades, competencias o funciones, considerando desde su origen la eventual publicidad</w:t>
      </w:r>
      <w:r w:rsidRPr="00445611">
        <w:rPr>
          <w:rFonts w:ascii="Palatino Linotype" w:eastAsia="Palatino Linotype" w:hAnsi="Palatino Linotype" w:cs="Palatino Linotype"/>
          <w:i/>
          <w:sz w:val="22"/>
          <w:szCs w:val="22"/>
        </w:rPr>
        <w:t xml:space="preserve"> y reutilización de la información que generen.</w:t>
      </w:r>
    </w:p>
    <w:p w14:paraId="61B6B0FD"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Artículo 19. </w:t>
      </w:r>
      <w:r w:rsidRPr="00445611">
        <w:rPr>
          <w:rFonts w:ascii="Palatino Linotype" w:eastAsia="Palatino Linotype" w:hAnsi="Palatino Linotype" w:cs="Palatino Linotype"/>
          <w:b/>
          <w:i/>
          <w:sz w:val="22"/>
          <w:szCs w:val="22"/>
          <w:u w:val="single"/>
        </w:rPr>
        <w:t>Se presume que la información debe existir si se refiere a las facultades, competencias y funciones que los ordenamientos jurídicos aplicables otorgan a los sujetos obligados</w:t>
      </w:r>
      <w:r w:rsidRPr="00445611">
        <w:rPr>
          <w:rFonts w:ascii="Palatino Linotype" w:eastAsia="Palatino Linotype" w:hAnsi="Palatino Linotype" w:cs="Palatino Linotype"/>
          <w:i/>
          <w:sz w:val="22"/>
          <w:szCs w:val="22"/>
        </w:rPr>
        <w:t>.</w:t>
      </w:r>
    </w:p>
    <w:p w14:paraId="38B0B267"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En los casos en que ciertas facultades, competencias o funciones no se hayan ejercido, se debe motivar la respuesta en función de las causas que motiven tal circunstancia. </w:t>
      </w:r>
    </w:p>
    <w:p w14:paraId="6DB8E0BF" w14:textId="77777777" w:rsidR="00830242" w:rsidRPr="00445611" w:rsidRDefault="00540CF8">
      <w:pPr>
        <w:spacing w:before="240" w:after="24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(Énfasis añadido)</w:t>
      </w:r>
    </w:p>
    <w:p w14:paraId="6892FC97"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w:t>
      </w:r>
      <w:r w:rsidRPr="00445611">
        <w:rPr>
          <w:rFonts w:ascii="Palatino Linotype" w:eastAsia="Palatino Linotype" w:hAnsi="Palatino Linotype" w:cs="Palatino Linotype"/>
          <w:sz w:val="22"/>
          <w:szCs w:val="22"/>
        </w:rPr>
        <w:lastRenderedPageBreak/>
        <w:t>reservada o confidencial y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9F11AC6"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w:t>
      </w:r>
      <w:r w:rsidRPr="00445611">
        <w:rPr>
          <w:rFonts w:ascii="Palatino Linotype" w:eastAsia="Palatino Linotype" w:hAnsi="Palatino Linotype" w:cs="Palatino Linotype"/>
          <w:b/>
          <w:sz w:val="22"/>
          <w:szCs w:val="22"/>
        </w:rPr>
        <w:t>cualquier otro registro que documente el ejercicio de las facultades, funciones, obligaciones y competencias de los Sujetos Obligados</w:t>
      </w:r>
      <w:r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los que, podrán estar en cualquier medio</w:t>
      </w:r>
      <w:r w:rsidRPr="00445611">
        <w:rPr>
          <w:rFonts w:ascii="Palatino Linotype" w:eastAsia="Palatino Linotype" w:hAnsi="Palatino Linotype" w:cs="Palatino Linotype"/>
          <w:sz w:val="22"/>
          <w:szCs w:val="22"/>
        </w:rPr>
        <w:t xml:space="preserve">, sea escrito, impreso, sonoro, visual, </w:t>
      </w:r>
      <w:r w:rsidRPr="00445611">
        <w:rPr>
          <w:rFonts w:ascii="Palatino Linotype" w:eastAsia="Palatino Linotype" w:hAnsi="Palatino Linotype" w:cs="Palatino Linotype"/>
          <w:b/>
          <w:sz w:val="22"/>
          <w:szCs w:val="22"/>
        </w:rPr>
        <w:t>electrónico</w:t>
      </w:r>
      <w:r w:rsidRPr="00445611">
        <w:rPr>
          <w:rFonts w:ascii="Palatino Linotype" w:eastAsia="Palatino Linotype" w:hAnsi="Palatino Linotype" w:cs="Palatino Linotype"/>
          <w:sz w:val="22"/>
          <w:szCs w:val="22"/>
        </w:rPr>
        <w:t xml:space="preserve">, informático u holográfico, esto es, </w:t>
      </w:r>
      <w:r w:rsidRPr="00445611">
        <w:rPr>
          <w:rFonts w:ascii="Palatino Linotype" w:eastAsia="Palatino Linotype" w:hAnsi="Palatino Linotype" w:cs="Palatino Linotype"/>
          <w:b/>
          <w:sz w:val="22"/>
          <w:szCs w:val="22"/>
        </w:rPr>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19D09AD"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De ahí que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445611">
        <w:rPr>
          <w:rFonts w:ascii="Palatino Linotype" w:eastAsia="Palatino Linotype" w:hAnsi="Palatino Linotype" w:cs="Palatino Linotype"/>
          <w:sz w:val="22"/>
          <w:szCs w:val="22"/>
          <w:vertAlign w:val="superscript"/>
        </w:rPr>
        <w:footnoteReference w:id="1"/>
      </w:r>
      <w:r w:rsidRPr="00445611">
        <w:rPr>
          <w:rFonts w:ascii="Palatino Linotype" w:eastAsia="Palatino Linotype" w:hAnsi="Palatino Linotype" w:cs="Palatino Linotype"/>
          <w:sz w:val="22"/>
          <w:szCs w:val="22"/>
        </w:rPr>
        <w:t xml:space="preserve">, así como de interés público, es decir, aquella que resulta relevante o beneficiosa para la </w:t>
      </w:r>
      <w:r w:rsidRPr="00445611">
        <w:rPr>
          <w:rFonts w:ascii="Palatino Linotype" w:eastAsia="Palatino Linotype" w:hAnsi="Palatino Linotype" w:cs="Palatino Linotype"/>
          <w:sz w:val="22"/>
          <w:szCs w:val="22"/>
        </w:rPr>
        <w:lastRenderedPageBreak/>
        <w:t>sociedad y no simplemente de interés individual, y cuya divulgación resulta útil para que el público comprenda las actividades que llevan a cabo los Sujetos Obligados</w:t>
      </w:r>
      <w:r w:rsidRPr="00445611">
        <w:rPr>
          <w:rFonts w:ascii="Palatino Linotype" w:eastAsia="Palatino Linotype" w:hAnsi="Palatino Linotype" w:cs="Palatino Linotype"/>
          <w:sz w:val="22"/>
          <w:szCs w:val="22"/>
          <w:vertAlign w:val="superscript"/>
        </w:rPr>
        <w:footnoteReference w:id="2"/>
      </w:r>
      <w:r w:rsidRPr="00445611">
        <w:rPr>
          <w:rFonts w:ascii="Palatino Linotype" w:eastAsia="Palatino Linotype" w:hAnsi="Palatino Linotype" w:cs="Palatino Linotype"/>
          <w:sz w:val="22"/>
          <w:szCs w:val="22"/>
        </w:rPr>
        <w:t>, como pudiera tratarse de aquella relacionada con las obligaciones de transparencia señaladas en los artículos 92 y 97, fracción I de la Ley de la Materia.</w:t>
      </w:r>
    </w:p>
    <w:p w14:paraId="60891354" w14:textId="77777777" w:rsidR="00830242" w:rsidRPr="00445611" w:rsidRDefault="00540CF8">
      <w:pPr>
        <w:tabs>
          <w:tab w:val="left" w:pos="709"/>
        </w:tabs>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En este sentido, cabe reiterar que la persona solicitante requirió al </w:t>
      </w:r>
      <w:r w:rsidRPr="00445611">
        <w:rPr>
          <w:rFonts w:ascii="Palatino Linotype" w:eastAsia="Palatino Linotype" w:hAnsi="Palatino Linotype" w:cs="Palatino Linotype"/>
          <w:b/>
          <w:sz w:val="22"/>
          <w:szCs w:val="22"/>
        </w:rPr>
        <w:t xml:space="preserve">Sujeto Obligado, </w:t>
      </w:r>
      <w:r w:rsidRPr="00445611">
        <w:rPr>
          <w:rFonts w:ascii="Palatino Linotype" w:eastAsia="Palatino Linotype" w:hAnsi="Palatino Linotype" w:cs="Palatino Linotype"/>
          <w:sz w:val="22"/>
          <w:szCs w:val="22"/>
        </w:rPr>
        <w:t xml:space="preserve">lo siguiente: </w:t>
      </w:r>
    </w:p>
    <w:p w14:paraId="05B7636C" w14:textId="77777777" w:rsidR="00C943C2" w:rsidRPr="00445611" w:rsidRDefault="00C943C2" w:rsidP="00C943C2">
      <w:pPr>
        <w:pStyle w:val="Prrafodelista"/>
        <w:numPr>
          <w:ilvl w:val="0"/>
          <w:numId w:val="9"/>
        </w:numPr>
        <w:tabs>
          <w:tab w:val="left" w:pos="1134"/>
        </w:tabs>
        <w:spacing w:before="240" w:after="240" w:line="360" w:lineRule="auto"/>
        <w:ind w:left="567" w:right="900" w:hanging="141"/>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La relación de las entregas-recepción de los años 2022 y 2023, así como todas las documentales en su versión pública.</w:t>
      </w:r>
    </w:p>
    <w:p w14:paraId="676DDAE8" w14:textId="77777777" w:rsidR="00C943C2" w:rsidRPr="00445611" w:rsidRDefault="00540CF8" w:rsidP="00C943C2">
      <w:pPr>
        <w:spacing w:before="240" w:after="240" w:line="360" w:lineRule="auto"/>
        <w:jc w:val="both"/>
        <w:rPr>
          <w:rFonts w:ascii="Palatino Linotype" w:eastAsia="Palatino Linotype" w:hAnsi="Palatino Linotype" w:cs="Palatino Linotype"/>
          <w:sz w:val="22"/>
          <w:szCs w:val="20"/>
        </w:rPr>
      </w:pPr>
      <w:r w:rsidRPr="00445611">
        <w:rPr>
          <w:rFonts w:ascii="Palatino Linotype" w:eastAsia="Palatino Linotype" w:hAnsi="Palatino Linotype" w:cs="Palatino Linotype"/>
          <w:sz w:val="22"/>
          <w:szCs w:val="22"/>
        </w:rPr>
        <w:t xml:space="preserve">En sus respuestas, el </w:t>
      </w:r>
      <w:r w:rsidRPr="00445611">
        <w:rPr>
          <w:rFonts w:ascii="Palatino Linotype" w:eastAsia="Palatino Linotype" w:hAnsi="Palatino Linotype" w:cs="Palatino Linotype"/>
          <w:b/>
          <w:sz w:val="22"/>
          <w:szCs w:val="22"/>
        </w:rPr>
        <w:t xml:space="preserve">Sujeto Obligado </w:t>
      </w:r>
      <w:r w:rsidR="00C943C2" w:rsidRPr="00445611">
        <w:rPr>
          <w:rFonts w:ascii="Palatino Linotype" w:eastAsia="Palatino Linotype" w:hAnsi="Palatino Linotype" w:cs="Palatino Linotype"/>
          <w:sz w:val="22"/>
          <w:szCs w:val="22"/>
        </w:rPr>
        <w:t>se pronunció</w:t>
      </w:r>
      <w:r w:rsidR="00C943C2"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 xml:space="preserve">por conducto del Contralor Interno Municipal, quien </w:t>
      </w:r>
      <w:r w:rsidR="00C943C2" w:rsidRPr="00445611">
        <w:rPr>
          <w:rFonts w:ascii="Palatino Linotype" w:eastAsia="Palatino Linotype" w:hAnsi="Palatino Linotype" w:cs="Palatino Linotype"/>
          <w:sz w:val="22"/>
          <w:szCs w:val="20"/>
        </w:rPr>
        <w:t>pone a disposición de la persona solicitante, la información relativa a las actas entrega-recepción del ejercicio 2022 y 2023  en consulta directa el 3 de mayo de 2024 en un horario de 9:00 a 18:00 horas.</w:t>
      </w:r>
    </w:p>
    <w:p w14:paraId="7C73EAB7" w14:textId="77777777" w:rsidR="00C943C2" w:rsidRPr="00445611" w:rsidRDefault="005B131D" w:rsidP="005B131D">
      <w:pPr>
        <w:spacing w:before="240" w:after="240" w:line="360" w:lineRule="auto"/>
        <w:jc w:val="both"/>
        <w:rPr>
          <w:rFonts w:ascii="Palatino Linotype" w:eastAsia="Palatino Linotype" w:hAnsi="Palatino Linotype" w:cs="Palatino Linotype"/>
          <w:sz w:val="36"/>
          <w:szCs w:val="22"/>
        </w:rPr>
      </w:pPr>
      <w:r w:rsidRPr="00445611">
        <w:rPr>
          <w:rFonts w:ascii="Palatino Linotype" w:eastAsia="Palatino Linotype" w:hAnsi="Palatino Linotype" w:cs="Palatino Linotype"/>
          <w:sz w:val="22"/>
          <w:szCs w:val="20"/>
        </w:rPr>
        <w:t xml:space="preserve">Precisando que </w:t>
      </w:r>
      <w:r w:rsidR="00C943C2" w:rsidRPr="00445611">
        <w:rPr>
          <w:rFonts w:ascii="Palatino Linotype" w:eastAsia="Palatino Linotype" w:hAnsi="Palatino Linotype" w:cs="Palatino Linotype"/>
          <w:sz w:val="22"/>
          <w:szCs w:val="20"/>
        </w:rPr>
        <w:t xml:space="preserve">es necesario que la parte Recurrente se comunique para confirmar la cita con la Unidad de Transparencia. Asimismo, de conformidad con las tarifas establecidas por la expedición de documentos será entregada sin costo cuando no excedan más de veinte fojas. </w:t>
      </w:r>
    </w:p>
    <w:p w14:paraId="06007907" w14:textId="683DB926" w:rsidR="00C943C2" w:rsidRPr="00445611" w:rsidRDefault="005B131D" w:rsidP="005B131D">
      <w:pPr>
        <w:spacing w:before="240" w:after="240" w:line="360" w:lineRule="auto"/>
        <w:jc w:val="both"/>
        <w:rPr>
          <w:rFonts w:ascii="Palatino Linotype" w:eastAsia="Palatino Linotype" w:hAnsi="Palatino Linotype" w:cs="Palatino Linotype"/>
          <w:sz w:val="22"/>
          <w:szCs w:val="20"/>
        </w:rPr>
      </w:pPr>
      <w:r w:rsidRPr="00445611">
        <w:rPr>
          <w:rFonts w:ascii="Palatino Linotype" w:eastAsia="Palatino Linotype" w:hAnsi="Palatino Linotype" w:cs="Palatino Linotype"/>
          <w:sz w:val="22"/>
          <w:szCs w:val="20"/>
        </w:rPr>
        <w:t>Asimismo</w:t>
      </w:r>
      <w:r w:rsidR="004C1C1B" w:rsidRPr="00445611">
        <w:rPr>
          <w:rFonts w:ascii="Palatino Linotype" w:eastAsia="Palatino Linotype" w:hAnsi="Palatino Linotype" w:cs="Palatino Linotype"/>
          <w:sz w:val="22"/>
          <w:szCs w:val="20"/>
        </w:rPr>
        <w:t>,</w:t>
      </w:r>
      <w:r w:rsidRPr="00445611">
        <w:rPr>
          <w:rFonts w:ascii="Palatino Linotype" w:eastAsia="Palatino Linotype" w:hAnsi="Palatino Linotype" w:cs="Palatino Linotype"/>
          <w:sz w:val="22"/>
          <w:szCs w:val="20"/>
        </w:rPr>
        <w:t xml:space="preserve"> </w:t>
      </w:r>
      <w:r w:rsidR="00C943C2" w:rsidRPr="00445611">
        <w:rPr>
          <w:rFonts w:ascii="Palatino Linotype" w:eastAsia="Palatino Linotype" w:hAnsi="Palatino Linotype" w:cs="Palatino Linotype"/>
          <w:sz w:val="22"/>
          <w:szCs w:val="20"/>
        </w:rPr>
        <w:t>refiere que si tras la consulta realizada en la fecha y hora establecidos, la parte Recurrente podrá requerir una nueva cita, cabe señalar que también se le hace del conocimiento que la información se encuentra disponible durante 60 días hábiles después del día de la cita.</w:t>
      </w:r>
    </w:p>
    <w:p w14:paraId="5B2FAF79" w14:textId="77777777" w:rsidR="00C943C2" w:rsidRPr="00445611" w:rsidRDefault="005B131D" w:rsidP="00C943C2">
      <w:pPr>
        <w:spacing w:before="240" w:after="240" w:line="360" w:lineRule="auto"/>
        <w:jc w:val="both"/>
        <w:rPr>
          <w:rFonts w:ascii="Palatino Linotype" w:eastAsia="Palatino Linotype" w:hAnsi="Palatino Linotype" w:cs="Palatino Linotype"/>
          <w:sz w:val="22"/>
          <w:szCs w:val="20"/>
        </w:rPr>
      </w:pPr>
      <w:r w:rsidRPr="00445611">
        <w:rPr>
          <w:rFonts w:ascii="Palatino Linotype" w:eastAsia="Palatino Linotype" w:hAnsi="Palatino Linotype" w:cs="Palatino Linotype"/>
          <w:sz w:val="22"/>
          <w:szCs w:val="20"/>
        </w:rPr>
        <w:lastRenderedPageBreak/>
        <w:t>A su respuesta también adjunta los o</w:t>
      </w:r>
      <w:r w:rsidR="00C943C2" w:rsidRPr="00445611">
        <w:rPr>
          <w:rFonts w:ascii="Palatino Linotype" w:eastAsia="Palatino Linotype" w:hAnsi="Palatino Linotype" w:cs="Palatino Linotype"/>
          <w:sz w:val="22"/>
          <w:szCs w:val="20"/>
        </w:rPr>
        <w:t>ficio</w:t>
      </w:r>
      <w:r w:rsidRPr="00445611">
        <w:rPr>
          <w:rFonts w:ascii="Palatino Linotype" w:eastAsia="Palatino Linotype" w:hAnsi="Palatino Linotype" w:cs="Palatino Linotype"/>
          <w:sz w:val="22"/>
          <w:szCs w:val="20"/>
        </w:rPr>
        <w:t>s</w:t>
      </w:r>
      <w:r w:rsidR="00C943C2" w:rsidRPr="00445611">
        <w:rPr>
          <w:rFonts w:ascii="Palatino Linotype" w:eastAsia="Palatino Linotype" w:hAnsi="Palatino Linotype" w:cs="Palatino Linotype"/>
          <w:sz w:val="22"/>
          <w:szCs w:val="20"/>
        </w:rPr>
        <w:t xml:space="preserve"> </w:t>
      </w:r>
      <w:r w:rsidRPr="00445611">
        <w:rPr>
          <w:rFonts w:ascii="Palatino Linotype" w:eastAsia="Palatino Linotype" w:hAnsi="Palatino Linotype" w:cs="Palatino Linotype"/>
          <w:sz w:val="22"/>
          <w:szCs w:val="20"/>
        </w:rPr>
        <w:t>suscritos</w:t>
      </w:r>
      <w:r w:rsidR="00C943C2" w:rsidRPr="00445611">
        <w:rPr>
          <w:rFonts w:ascii="Palatino Linotype" w:eastAsia="Palatino Linotype" w:hAnsi="Palatino Linotype" w:cs="Palatino Linotype"/>
          <w:sz w:val="22"/>
          <w:szCs w:val="20"/>
        </w:rPr>
        <w:t xml:space="preserve"> por el Director General de Informática, quien señala que registra la</w:t>
      </w:r>
      <w:r w:rsidRPr="00445611">
        <w:rPr>
          <w:rFonts w:ascii="Palatino Linotype" w:eastAsia="Palatino Linotype" w:hAnsi="Palatino Linotype" w:cs="Palatino Linotype"/>
          <w:sz w:val="22"/>
          <w:szCs w:val="20"/>
        </w:rPr>
        <w:t>s</w:t>
      </w:r>
      <w:r w:rsidR="00C943C2" w:rsidRPr="00445611">
        <w:rPr>
          <w:rFonts w:ascii="Palatino Linotype" w:eastAsia="Palatino Linotype" w:hAnsi="Palatino Linotype" w:cs="Palatino Linotype"/>
          <w:sz w:val="22"/>
          <w:szCs w:val="20"/>
        </w:rPr>
        <w:t xml:space="preserve"> incidencia</w:t>
      </w:r>
      <w:r w:rsidRPr="00445611">
        <w:rPr>
          <w:rFonts w:ascii="Palatino Linotype" w:eastAsia="Palatino Linotype" w:hAnsi="Palatino Linotype" w:cs="Palatino Linotype"/>
          <w:sz w:val="22"/>
          <w:szCs w:val="20"/>
        </w:rPr>
        <w:t>s</w:t>
      </w:r>
      <w:r w:rsidR="00C943C2" w:rsidRPr="00445611">
        <w:rPr>
          <w:rFonts w:ascii="Palatino Linotype" w:eastAsia="Palatino Linotype" w:hAnsi="Palatino Linotype" w:cs="Palatino Linotype"/>
          <w:sz w:val="22"/>
          <w:szCs w:val="20"/>
        </w:rPr>
        <w:t xml:space="preserve"> técnica</w:t>
      </w:r>
      <w:r w:rsidRPr="00445611">
        <w:rPr>
          <w:rFonts w:ascii="Palatino Linotype" w:eastAsia="Palatino Linotype" w:hAnsi="Palatino Linotype" w:cs="Palatino Linotype"/>
          <w:sz w:val="22"/>
          <w:szCs w:val="20"/>
        </w:rPr>
        <w:t>s</w:t>
      </w:r>
      <w:r w:rsidR="00C943C2" w:rsidRPr="00445611">
        <w:rPr>
          <w:rFonts w:ascii="Palatino Linotype" w:eastAsia="Palatino Linotype" w:hAnsi="Palatino Linotype" w:cs="Palatino Linotype"/>
          <w:sz w:val="22"/>
          <w:szCs w:val="20"/>
        </w:rPr>
        <w:t xml:space="preserve">, toda vez que el </w:t>
      </w:r>
      <w:r w:rsidR="00C943C2" w:rsidRPr="00445611">
        <w:rPr>
          <w:rFonts w:ascii="Palatino Linotype" w:eastAsia="Palatino Linotype" w:hAnsi="Palatino Linotype" w:cs="Palatino Linotype"/>
          <w:b/>
          <w:sz w:val="22"/>
          <w:szCs w:val="20"/>
        </w:rPr>
        <w:t>Sujeto Obligado</w:t>
      </w:r>
      <w:r w:rsidR="00C943C2" w:rsidRPr="00445611">
        <w:rPr>
          <w:rFonts w:ascii="Palatino Linotype" w:eastAsia="Palatino Linotype" w:hAnsi="Palatino Linotype" w:cs="Palatino Linotype"/>
          <w:sz w:val="22"/>
          <w:szCs w:val="20"/>
        </w:rPr>
        <w:t xml:space="preserve"> pretende cargar un peso de 8.22 GB</w:t>
      </w:r>
      <w:r w:rsidRPr="00445611">
        <w:rPr>
          <w:rFonts w:ascii="Palatino Linotype" w:eastAsia="Palatino Linotype" w:hAnsi="Palatino Linotype" w:cs="Palatino Linotype"/>
          <w:sz w:val="22"/>
          <w:szCs w:val="20"/>
        </w:rPr>
        <w:t xml:space="preserve"> en ambos casos.</w:t>
      </w:r>
    </w:p>
    <w:p w14:paraId="4F6B9C0F" w14:textId="77777777" w:rsidR="005B131D"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Una vez conocidas las respuestas, </w:t>
      </w:r>
      <w:r w:rsidRPr="00445611">
        <w:rPr>
          <w:rFonts w:ascii="Palatino Linotype" w:eastAsia="Palatino Linotype" w:hAnsi="Palatino Linotype" w:cs="Palatino Linotype"/>
          <w:b/>
          <w:sz w:val="22"/>
          <w:szCs w:val="22"/>
        </w:rPr>
        <w:t>la parte Recurrente</w:t>
      </w:r>
      <w:r w:rsidRPr="00445611">
        <w:rPr>
          <w:rFonts w:ascii="Palatino Linotype" w:eastAsia="Palatino Linotype" w:hAnsi="Palatino Linotype" w:cs="Palatino Linotype"/>
          <w:sz w:val="22"/>
          <w:szCs w:val="22"/>
        </w:rPr>
        <w:t xml:space="preserve"> interpuso los recursos de revisión que nos ocupan, inco</w:t>
      </w:r>
      <w:r w:rsidR="005B131D" w:rsidRPr="00445611">
        <w:rPr>
          <w:rFonts w:ascii="Palatino Linotype" w:eastAsia="Palatino Linotype" w:hAnsi="Palatino Linotype" w:cs="Palatino Linotype"/>
          <w:sz w:val="22"/>
          <w:szCs w:val="22"/>
        </w:rPr>
        <w:t>nformándose medularmente por la entrega en una modalidad distinta a la solicitada, es decir, por el cambio de modalidad a consulta directa.</w:t>
      </w:r>
    </w:p>
    <w:p w14:paraId="6E4EC2E3" w14:textId="77777777" w:rsidR="005B131D"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Admitidos los presentes recursos de revisión, en términos del artículo 185 fracción II</w:t>
      </w:r>
      <w:r w:rsidRPr="00445611">
        <w:rPr>
          <w:rFonts w:ascii="Palatino Linotype" w:eastAsia="Palatino Linotype" w:hAnsi="Palatino Linotype" w:cs="Palatino Linotype"/>
          <w:sz w:val="22"/>
          <w:szCs w:val="22"/>
          <w:vertAlign w:val="superscript"/>
        </w:rPr>
        <w:footnoteReference w:id="3"/>
      </w:r>
      <w:r w:rsidRPr="00445611">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w:t>
      </w:r>
      <w:r w:rsidR="005B131D" w:rsidRPr="00445611">
        <w:rPr>
          <w:rFonts w:ascii="Palatino Linotype" w:eastAsia="Palatino Linotype" w:hAnsi="Palatino Linotype" w:cs="Palatino Linotype"/>
          <w:sz w:val="22"/>
          <w:szCs w:val="22"/>
        </w:rPr>
        <w:t>ratificó los términos de su respuesta inicial.</w:t>
      </w:r>
    </w:p>
    <w:p w14:paraId="5E977DB1" w14:textId="77777777" w:rsidR="005B131D"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Una vez expuestas las posturas de las partes, resulta importante señalar que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procedió a turnar las solicitudes a la</w:t>
      </w:r>
      <w:r w:rsidRPr="00445611">
        <w:rPr>
          <w:rFonts w:ascii="Palatino Linotype" w:eastAsia="Palatino Linotype" w:hAnsi="Palatino Linotype" w:cs="Palatino Linotype"/>
          <w:b/>
          <w:sz w:val="22"/>
          <w:szCs w:val="22"/>
        </w:rPr>
        <w:t xml:space="preserve"> Contraloría Interna Municipal</w:t>
      </w:r>
      <w:r w:rsidRPr="00445611">
        <w:rPr>
          <w:rFonts w:ascii="Palatino Linotype" w:eastAsia="Palatino Linotype" w:hAnsi="Palatino Linotype" w:cs="Palatino Linotype"/>
          <w:sz w:val="22"/>
          <w:szCs w:val="22"/>
        </w:rPr>
        <w:t xml:space="preserve">, la cual de conformidad con el </w:t>
      </w:r>
      <w:r w:rsidR="005B131D" w:rsidRPr="00445611">
        <w:rPr>
          <w:rFonts w:ascii="Palatino Linotype" w:eastAsia="Palatino Linotype" w:hAnsi="Palatino Linotype" w:cs="Palatino Linotype"/>
          <w:sz w:val="22"/>
          <w:szCs w:val="22"/>
        </w:rPr>
        <w:t>Reglamento Interno de la Administración Pública Municipal de Tlalnepantla de Baz, Estado de México 2022-2024, cuenta con las siguientes atribuciones:</w:t>
      </w:r>
    </w:p>
    <w:p w14:paraId="74BDD99F" w14:textId="77777777" w:rsidR="005B131D" w:rsidRPr="00445611" w:rsidRDefault="005B131D" w:rsidP="005B131D">
      <w:pPr>
        <w:spacing w:before="240" w:after="240"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“ARTÍCULO 177. Además de las atribuciones que le confieren la Ley General del Sistema Nacional Anticorrupción; la Ley General de Responsabilidades Administrativas; la Ley Orgánica Municipal del Estado de México; la Ley del Sistema Anticorrupción del Estado de México y Municipios; la Ley de Responsabilidad Patrimonial para el Estado de México y Municipios; la Ley de Responsabilidades Administrativas del Estado de México y Municipios, el Bando Municipal, y demás disposiciones aplicables; el o la Titular de la Contraloría Interna </w:t>
      </w:r>
      <w:r w:rsidRPr="00445611">
        <w:rPr>
          <w:rFonts w:ascii="Palatino Linotype" w:eastAsia="Palatino Linotype" w:hAnsi="Palatino Linotype" w:cs="Palatino Linotype"/>
          <w:i/>
          <w:sz w:val="22"/>
          <w:szCs w:val="22"/>
        </w:rPr>
        <w:lastRenderedPageBreak/>
        <w:t>Municipal ejercerá las atribuciones siguientes:</w:t>
      </w:r>
      <w:r w:rsidRPr="00445611">
        <w:rPr>
          <w:rFonts w:ascii="Palatino Linotype" w:eastAsia="Palatino Linotype" w:hAnsi="Palatino Linotype" w:cs="Palatino Linotype"/>
          <w:i/>
          <w:sz w:val="22"/>
          <w:szCs w:val="22"/>
        </w:rPr>
        <w:cr/>
        <w:t>…</w:t>
      </w:r>
    </w:p>
    <w:p w14:paraId="32529F4D" w14:textId="77777777" w:rsidR="005B131D" w:rsidRPr="00445611" w:rsidRDefault="005B131D" w:rsidP="005B131D">
      <w:pPr>
        <w:spacing w:before="240" w:after="240" w:line="276" w:lineRule="auto"/>
        <w:ind w:left="567" w:right="900"/>
        <w:jc w:val="both"/>
        <w:rPr>
          <w:rFonts w:ascii="Palatino Linotype" w:eastAsia="Palatino Linotype" w:hAnsi="Palatino Linotype" w:cs="Palatino Linotype"/>
          <w:i/>
          <w:sz w:val="22"/>
          <w:szCs w:val="22"/>
          <w:u w:val="single"/>
        </w:rPr>
      </w:pPr>
      <w:r w:rsidRPr="00445611">
        <w:rPr>
          <w:rFonts w:ascii="Palatino Linotype" w:eastAsia="Palatino Linotype" w:hAnsi="Palatino Linotype" w:cs="Palatino Linotype"/>
          <w:b/>
          <w:i/>
          <w:sz w:val="22"/>
          <w:szCs w:val="22"/>
          <w:u w:val="single"/>
        </w:rPr>
        <w:t>X. Participar en la entrega recepción que sean de su competencia y designar a los servidores públicos adscritos a la Contraloría Interna Municipal, que deban atender y participar en estos actos;</w:t>
      </w:r>
      <w:r w:rsidRPr="00445611">
        <w:rPr>
          <w:rFonts w:ascii="Palatino Linotype" w:eastAsia="Palatino Linotype" w:hAnsi="Palatino Linotype" w:cs="Palatino Linotype"/>
          <w:b/>
          <w:i/>
          <w:sz w:val="22"/>
          <w:szCs w:val="22"/>
        </w:rPr>
        <w:t xml:space="preserve">” </w:t>
      </w:r>
      <w:r w:rsidRPr="00445611">
        <w:rPr>
          <w:rFonts w:ascii="Palatino Linotype" w:eastAsia="Palatino Linotype" w:hAnsi="Palatino Linotype" w:cs="Palatino Linotype"/>
          <w:i/>
          <w:sz w:val="22"/>
          <w:szCs w:val="22"/>
        </w:rPr>
        <w:t>(Énfasis añadido)</w:t>
      </w:r>
    </w:p>
    <w:p w14:paraId="26B60E3D" w14:textId="77777777" w:rsidR="00830242" w:rsidRPr="00445611" w:rsidRDefault="00540CF8">
      <w:pPr>
        <w:spacing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De tal suerte que como se desprende de lo anteriormente citado, la Contraloría Interna Municipal cuenta con una serie de atribuciones, de la cual destaca </w:t>
      </w:r>
      <w:r w:rsidR="00841B06" w:rsidRPr="00445611">
        <w:rPr>
          <w:rFonts w:ascii="Palatino Linotype" w:eastAsia="Palatino Linotype" w:hAnsi="Palatino Linotype" w:cs="Palatino Linotype"/>
          <w:sz w:val="22"/>
          <w:szCs w:val="22"/>
        </w:rPr>
        <w:t>participar en la entrega recepción que sean de su competencia</w:t>
      </w:r>
      <w:r w:rsidRPr="00445611">
        <w:rPr>
          <w:rFonts w:ascii="Palatino Linotype" w:eastAsia="Palatino Linotype" w:hAnsi="Palatino Linotype" w:cs="Palatino Linotype"/>
          <w:sz w:val="22"/>
          <w:szCs w:val="22"/>
        </w:rPr>
        <w:t>, 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314CF5A8" w14:textId="77777777" w:rsidR="00830242" w:rsidRPr="00445611" w:rsidRDefault="00830242"/>
    <w:p w14:paraId="7078EA0C" w14:textId="77777777" w:rsidR="00830242" w:rsidRPr="00445611" w:rsidRDefault="00540CF8">
      <w:pPr>
        <w:pBdr>
          <w:top w:val="nil"/>
          <w:left w:val="nil"/>
          <w:bottom w:val="nil"/>
          <w:right w:val="nil"/>
          <w:between w:val="nil"/>
        </w:pBdr>
        <w:ind w:left="864" w:right="864"/>
        <w:jc w:val="both"/>
      </w:pPr>
      <w:r w:rsidRPr="00445611">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9B7BB27" w14:textId="77777777" w:rsidR="00830242" w:rsidRPr="00445611" w:rsidRDefault="00830242"/>
    <w:p w14:paraId="4893BD7B" w14:textId="77777777" w:rsidR="00830242" w:rsidRPr="00445611" w:rsidRDefault="00540CF8">
      <w:pPr>
        <w:pBdr>
          <w:top w:val="nil"/>
          <w:left w:val="nil"/>
          <w:bottom w:val="nil"/>
          <w:right w:val="nil"/>
          <w:between w:val="nil"/>
        </w:pBdr>
        <w:shd w:val="clear" w:color="auto" w:fill="FFFFFF"/>
        <w:spacing w:line="360" w:lineRule="auto"/>
        <w:jc w:val="both"/>
        <w:rPr>
          <w:sz w:val="22"/>
          <w:szCs w:val="22"/>
        </w:rPr>
      </w:pPr>
      <w:r w:rsidRPr="00445611">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66D8EA41" w14:textId="77777777" w:rsidR="00830242" w:rsidRPr="00445611" w:rsidRDefault="00830242"/>
    <w:p w14:paraId="2A9F9FE6" w14:textId="77777777" w:rsidR="00830242" w:rsidRPr="00445611" w:rsidRDefault="00540CF8">
      <w:pPr>
        <w:pBdr>
          <w:top w:val="nil"/>
          <w:left w:val="nil"/>
          <w:bottom w:val="nil"/>
          <w:right w:val="nil"/>
          <w:between w:val="nil"/>
        </w:pBdr>
        <w:ind w:left="864" w:right="864"/>
        <w:jc w:val="both"/>
      </w:pPr>
      <w:r w:rsidRPr="00445611">
        <w:rPr>
          <w:rFonts w:ascii="Palatino Linotype" w:eastAsia="Palatino Linotype" w:hAnsi="Palatino Linotype" w:cs="Palatino Linotype"/>
          <w:i/>
          <w:sz w:val="22"/>
          <w:szCs w:val="22"/>
        </w:rPr>
        <w:t xml:space="preserve">“Artículo 162. Las unidades de transparencia deberán garantizar que las solicitudes </w:t>
      </w:r>
      <w:r w:rsidRPr="00445611">
        <w:rPr>
          <w:rFonts w:ascii="Palatino Linotype" w:eastAsia="Palatino Linotype" w:hAnsi="Palatino Linotype" w:cs="Palatino Linotype"/>
          <w:b/>
          <w:i/>
          <w:sz w:val="22"/>
          <w:szCs w:val="22"/>
        </w:rPr>
        <w:t xml:space="preserve">se turnen a todas las Áreas competentes </w:t>
      </w:r>
      <w:r w:rsidRPr="00445611">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48C5FDB1"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Por consiguiente, se tiene que el procedimiento de búsqueda de la información se ejecutó conforme a derecho.</w:t>
      </w:r>
    </w:p>
    <w:p w14:paraId="6EA23F8C" w14:textId="77777777" w:rsidR="00841B06" w:rsidRPr="00445611" w:rsidRDefault="00841B06" w:rsidP="00841B06">
      <w:pPr>
        <w:pStyle w:val="NormalWeb"/>
        <w:spacing w:before="0" w:beforeAutospacing="0" w:after="0" w:afterAutospacing="0" w:line="360" w:lineRule="auto"/>
        <w:jc w:val="both"/>
        <w:rPr>
          <w:sz w:val="22"/>
          <w:szCs w:val="22"/>
        </w:rPr>
      </w:pPr>
      <w:r w:rsidRPr="00445611">
        <w:rPr>
          <w:rFonts w:ascii="Palatino Linotype" w:eastAsia="Palatino Linotype" w:hAnsi="Palatino Linotype" w:cs="Palatino Linotype"/>
          <w:sz w:val="22"/>
          <w:szCs w:val="22"/>
        </w:rPr>
        <w:t xml:space="preserve">Establecido lo anterior, procedemos al análisis de la naturaleza de la información, para ello debemos observar lo dispuesto por </w:t>
      </w:r>
      <w:r w:rsidRPr="00445611">
        <w:rPr>
          <w:rFonts w:ascii="Palatino Linotype" w:hAnsi="Palatino Linotype"/>
          <w:sz w:val="22"/>
          <w:szCs w:val="22"/>
        </w:rPr>
        <w:t>el artículo 9 de Ley Orgánica Municipal del Estado de México, que a la letra indica lo siguiente:</w:t>
      </w:r>
    </w:p>
    <w:p w14:paraId="616CCC4D" w14:textId="77777777" w:rsidR="00841B06" w:rsidRPr="00445611" w:rsidRDefault="00841B06" w:rsidP="00841B06"/>
    <w:p w14:paraId="25E69C49" w14:textId="77777777" w:rsidR="00841B06" w:rsidRPr="00445611" w:rsidRDefault="00841B06" w:rsidP="00841B06">
      <w:pPr>
        <w:pStyle w:val="NormalWeb"/>
        <w:spacing w:before="0" w:beforeAutospacing="0" w:after="0" w:afterAutospacing="0"/>
        <w:ind w:left="567" w:right="900"/>
        <w:jc w:val="both"/>
      </w:pPr>
      <w:r w:rsidRPr="00445611">
        <w:rPr>
          <w:rFonts w:ascii="Palatino Linotype" w:hAnsi="Palatino Linotype"/>
          <w:i/>
          <w:iCs/>
          <w:sz w:val="22"/>
          <w:szCs w:val="22"/>
        </w:rPr>
        <w:t>“</w:t>
      </w:r>
      <w:r w:rsidRPr="00445611">
        <w:rPr>
          <w:rFonts w:ascii="Palatino Linotype" w:hAnsi="Palatino Linotype"/>
          <w:b/>
          <w:bCs/>
          <w:i/>
          <w:iCs/>
          <w:sz w:val="22"/>
          <w:szCs w:val="22"/>
        </w:rPr>
        <w:t>Artículo 19</w:t>
      </w:r>
      <w:r w:rsidRPr="00445611">
        <w:rPr>
          <w:rFonts w:ascii="Palatino Linotype" w:hAnsi="Palatino Linotype"/>
          <w:i/>
          <w:iCs/>
          <w:sz w:val="22"/>
          <w:szCs w:val="22"/>
        </w:rPr>
        <w:t>.-</w:t>
      </w:r>
      <w:r w:rsidRPr="00445611">
        <w:rPr>
          <w:rFonts w:ascii="Palatino Linotype" w:hAnsi="Palatino Linotype"/>
          <w:sz w:val="22"/>
          <w:szCs w:val="22"/>
        </w:rPr>
        <w:t xml:space="preserve"> </w:t>
      </w:r>
      <w:r w:rsidRPr="00445611">
        <w:rPr>
          <w:rFonts w:ascii="Palatino Linotype" w:hAnsi="Palatino Linotype"/>
          <w:i/>
          <w:iCs/>
          <w:sz w:val="22"/>
          <w:szCs w:val="22"/>
        </w:rPr>
        <w:t>A las nueve horas del día 1 de enero del año inmediato siguiente a aquel en que se hayan efectuado las elecciones municipales, el ayuntamiento saliente dará posesión de las oficinas municipales a los miembros del ayuntamiento entrante, que hubieren rendido la protesta de ley, cuyo presidente municipal hará la siguiente declaratoria formal y solemne: “Queda legítimamente instalado el ayuntamiento del municipio de…, que deberá funcionar durante los años de…”.</w:t>
      </w:r>
    </w:p>
    <w:p w14:paraId="1B066F18" w14:textId="77777777" w:rsidR="00841B06" w:rsidRPr="00445611" w:rsidRDefault="00841B06" w:rsidP="00841B06">
      <w:pPr>
        <w:pStyle w:val="NormalWeb"/>
        <w:spacing w:before="0" w:beforeAutospacing="0" w:after="0" w:afterAutospacing="0"/>
        <w:ind w:right="900"/>
      </w:pPr>
      <w:r w:rsidRPr="00445611">
        <w:rPr>
          <w:rStyle w:val="apple-tab-span"/>
          <w:rFonts w:ascii="Palatino Linotype" w:hAnsi="Palatino Linotype"/>
          <w:sz w:val="22"/>
          <w:szCs w:val="22"/>
        </w:rPr>
        <w:tab/>
      </w:r>
    </w:p>
    <w:p w14:paraId="60E0A5A3" w14:textId="77777777" w:rsidR="00841B06" w:rsidRPr="00445611" w:rsidRDefault="00841B06" w:rsidP="00841B06">
      <w:pPr>
        <w:pStyle w:val="NormalWeb"/>
        <w:spacing w:before="0" w:beforeAutospacing="0" w:after="0" w:afterAutospacing="0"/>
        <w:ind w:left="567" w:right="900"/>
        <w:jc w:val="both"/>
      </w:pPr>
      <w:r w:rsidRPr="00445611">
        <w:rPr>
          <w:rFonts w:ascii="Palatino Linotype" w:hAnsi="Palatino Linotype"/>
          <w:i/>
          <w:iCs/>
          <w:sz w:val="22"/>
          <w:szCs w:val="22"/>
        </w:rPr>
        <w:t>La inasistencia de los integrantes del ayuntamiento saliente no será obstáculo para que se dé por instalado el entrante, sin perjuicio de las sanciones que establezcan las disposiciones jurídicas aplicables.</w:t>
      </w:r>
    </w:p>
    <w:p w14:paraId="253F47B7" w14:textId="77777777" w:rsidR="00841B06" w:rsidRPr="00445611" w:rsidRDefault="00841B06" w:rsidP="00841B06">
      <w:pPr>
        <w:ind w:right="900"/>
      </w:pPr>
    </w:p>
    <w:p w14:paraId="07AF07BC" w14:textId="77777777" w:rsidR="00841B06" w:rsidRPr="00445611" w:rsidRDefault="00841B06" w:rsidP="00841B06">
      <w:pPr>
        <w:pStyle w:val="NormalWeb"/>
        <w:spacing w:before="0" w:beforeAutospacing="0" w:after="0" w:afterAutospacing="0"/>
        <w:ind w:left="567" w:right="900"/>
        <w:jc w:val="both"/>
      </w:pPr>
      <w:r w:rsidRPr="00445611">
        <w:rPr>
          <w:rFonts w:ascii="Palatino Linotype" w:hAnsi="Palatino Linotype"/>
          <w:i/>
          <w:iCs/>
          <w:sz w:val="22"/>
          <w:szCs w:val="22"/>
        </w:rPr>
        <w:t xml:space="preserve">A continuación se procederá a la </w:t>
      </w:r>
      <w:r w:rsidRPr="00445611">
        <w:rPr>
          <w:rFonts w:ascii="Palatino Linotype" w:hAnsi="Palatino Linotype"/>
          <w:b/>
          <w:bCs/>
          <w:i/>
          <w:iCs/>
          <w:sz w:val="22"/>
          <w:szCs w:val="22"/>
          <w:u w:val="single"/>
        </w:rPr>
        <w:t>suscripción de las actas y demás documentos relativos a la entrega-recepción de la administración municipal</w:t>
      </w:r>
      <w:r w:rsidRPr="00445611">
        <w:rPr>
          <w:rFonts w:ascii="Palatino Linotype" w:hAnsi="Palatino Linotype"/>
          <w:i/>
          <w:iCs/>
          <w:sz w:val="22"/>
          <w:szCs w:val="22"/>
        </w:rPr>
        <w:t>, con la participación de los miembros de los ayuntamientos y los titulares de sus dependencias administrativas salientes y entrantes, designados al efecto; la cual se realizará siguiendo los lineamientos, términos, instructivos, formatos, cédulas y demás documentación que disponga el Órgano Superior de Fiscalización del Estado de México, para el caso, misma que tendrá en ese acto, la intervención que establezcan las leyes. La documentación que se señala anteriormente deberá ser conocida en la primera sesión de Cabildo por los integrantes del Ayuntamiento a los cuales se les entregará copia de la misma. El ayuntamiento saliente, a través del presidente municipal, presentará al ayuntamiento entrante, con una copia para la Legislatura, un documento que contenga sus observaciones, sugerencias y recomendaciones en relación a la administración y gobierno municipal. </w:t>
      </w:r>
    </w:p>
    <w:p w14:paraId="60C85903" w14:textId="77777777" w:rsidR="00841B06" w:rsidRPr="00445611" w:rsidRDefault="00841B06" w:rsidP="00841B06">
      <w:pPr>
        <w:ind w:right="900"/>
      </w:pPr>
    </w:p>
    <w:p w14:paraId="010BBE42" w14:textId="77777777" w:rsidR="00841B06" w:rsidRPr="00445611" w:rsidRDefault="00841B06" w:rsidP="00841B06">
      <w:pPr>
        <w:pStyle w:val="NormalWeb"/>
        <w:spacing w:before="0" w:beforeAutospacing="0" w:after="0" w:afterAutospacing="0"/>
        <w:ind w:left="567" w:right="900"/>
        <w:jc w:val="both"/>
      </w:pPr>
      <w:r w:rsidRPr="00445611">
        <w:rPr>
          <w:rFonts w:ascii="Palatino Linotype" w:hAnsi="Palatino Linotype"/>
          <w:i/>
          <w:iCs/>
          <w:sz w:val="22"/>
          <w:szCs w:val="22"/>
        </w:rPr>
        <w:t xml:space="preserve">La inasistencia de alguno de los integrantes del ayuntamiento saliente o entrante, no será obstáculo para que se lleve a cabo el acto de entrega-recepción, para lo cual, el síndico o primer síndico saliente será responsable de entregar; y el síndico o primer síndico entrante, el responsable de recibir; en ausencia de éstos, cualquier servidor </w:t>
      </w:r>
      <w:r w:rsidRPr="00445611">
        <w:rPr>
          <w:rFonts w:ascii="Palatino Linotype" w:hAnsi="Palatino Linotype"/>
          <w:i/>
          <w:iCs/>
          <w:sz w:val="22"/>
          <w:szCs w:val="22"/>
        </w:rPr>
        <w:lastRenderedPageBreak/>
        <w:t>público que designe el titular de la Contraloría Municipal para el caso de la administración saliente y un representante de la administración que recibe designado por el Presidente Municipal entrante; sin otra responsabilidad administrativa relacionada con el acto. </w:t>
      </w:r>
    </w:p>
    <w:p w14:paraId="3A8E8840" w14:textId="77777777" w:rsidR="00841B06" w:rsidRPr="00445611" w:rsidRDefault="00841B06" w:rsidP="00841B06"/>
    <w:p w14:paraId="090DC16B" w14:textId="77777777" w:rsidR="00841B06" w:rsidRPr="00445611" w:rsidRDefault="00841B06" w:rsidP="00841B06">
      <w:pPr>
        <w:pStyle w:val="NormalWeb"/>
        <w:spacing w:before="0" w:beforeAutospacing="0" w:after="0" w:afterAutospacing="0"/>
        <w:ind w:left="567" w:right="616"/>
        <w:jc w:val="both"/>
      </w:pPr>
      <w:r w:rsidRPr="00445611">
        <w:rPr>
          <w:rFonts w:ascii="Palatino Linotype" w:hAnsi="Palatino Linotype"/>
          <w:b/>
          <w:bCs/>
          <w:i/>
          <w:iCs/>
          <w:sz w:val="22"/>
          <w:szCs w:val="22"/>
        </w:rPr>
        <w:t>El ayuntamiento saliente realizará las acciones necesarias para dar cumplimiento a lo dispuesto en los artículos 18 y 19 de la presente ley, en caso de incumplimiento, se hará del conocimiento de la Contraloría del Poder Legislativo y de las autoridades competentes del Estado, quienes determinarán si existe o no responsabilidad administrativa disciplinaria</w:t>
      </w:r>
      <w:r w:rsidRPr="00445611">
        <w:rPr>
          <w:rFonts w:ascii="Palatino Linotype" w:hAnsi="Palatino Linotype"/>
          <w:b/>
          <w:bCs/>
          <w:sz w:val="22"/>
          <w:szCs w:val="22"/>
        </w:rPr>
        <w:t xml:space="preserve">.” </w:t>
      </w:r>
      <w:r w:rsidRPr="00445611">
        <w:rPr>
          <w:rFonts w:ascii="Palatino Linotype" w:hAnsi="Palatino Linotype"/>
          <w:bCs/>
          <w:i/>
          <w:sz w:val="22"/>
          <w:szCs w:val="22"/>
        </w:rPr>
        <w:t>(Énfasis añadido)</w:t>
      </w:r>
    </w:p>
    <w:p w14:paraId="6FC1CD5B" w14:textId="77777777" w:rsidR="00841B06" w:rsidRPr="00445611" w:rsidRDefault="00841B06" w:rsidP="00841B06"/>
    <w:p w14:paraId="78F011B1" w14:textId="77777777" w:rsidR="00841B06" w:rsidRPr="00445611" w:rsidRDefault="00841B06" w:rsidP="00841B06">
      <w:pPr>
        <w:pStyle w:val="NormalWeb"/>
        <w:spacing w:before="0" w:beforeAutospacing="0" w:after="0" w:afterAutospacing="0" w:line="360" w:lineRule="auto"/>
        <w:jc w:val="both"/>
        <w:rPr>
          <w:rFonts w:ascii="Palatino Linotype" w:hAnsi="Palatino Linotype"/>
          <w:sz w:val="22"/>
        </w:rPr>
      </w:pPr>
      <w:r w:rsidRPr="00445611">
        <w:rPr>
          <w:rFonts w:ascii="Palatino Linotype" w:hAnsi="Palatino Linotype"/>
          <w:sz w:val="22"/>
        </w:rPr>
        <w:t>De tal suerte que como se desprende del precepto legal previamente citado, cada tres años los Ayuntamiento del Estado de México, entre ellos el Ayuntamiento de Tlalnepantla de Baz, deberá celebrar suscripción de las actas y demás documentos relativos a la entrega-recepción de la administración municipal, entre el Ayuntamiento saliente y el Ayuntamiento entrante.</w:t>
      </w:r>
    </w:p>
    <w:p w14:paraId="2CE3BA66" w14:textId="77777777" w:rsidR="00841B06" w:rsidRPr="00445611" w:rsidRDefault="00841B06" w:rsidP="00841B06">
      <w:pPr>
        <w:pStyle w:val="NormalWeb"/>
        <w:spacing w:line="360" w:lineRule="auto"/>
        <w:jc w:val="both"/>
        <w:rPr>
          <w:rFonts w:ascii="Palatino Linotype" w:hAnsi="Palatino Linotype"/>
          <w:sz w:val="22"/>
        </w:rPr>
      </w:pPr>
      <w:r w:rsidRPr="00445611">
        <w:rPr>
          <w:rFonts w:ascii="Palatino Linotype" w:hAnsi="Palatino Linotype"/>
          <w:sz w:val="22"/>
        </w:rPr>
        <w:t>A mayor abundamiento de lo anterior, resulta importante traer a colación lo dispuesto por los Lineamientos que norman la Entrega-Recepción de los Ayuntamientos, sus Dependencias y Organismos Descentralizados Municipales del Estado de México</w:t>
      </w:r>
      <w:r w:rsidR="00ED720C" w:rsidRPr="00445611">
        <w:rPr>
          <w:rFonts w:ascii="Palatino Linotype" w:hAnsi="Palatino Linotype"/>
          <w:sz w:val="22"/>
        </w:rPr>
        <w:t xml:space="preserve"> aplicables para la entrega-recepción del periodo 2022-2024</w:t>
      </w:r>
      <w:r w:rsidRPr="00445611">
        <w:rPr>
          <w:rFonts w:ascii="Palatino Linotype" w:hAnsi="Palatino Linotype"/>
          <w:sz w:val="22"/>
        </w:rPr>
        <w:t>, mismos que se insertan a continuación:</w:t>
      </w:r>
    </w:p>
    <w:p w14:paraId="3772A1B7"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“Artículo 4. Son sujetos de estos lineamientos los servidores públicos entrantes y salientes, de la Administración Pública Municipal, desde el Presidente Municipal, Síndicos y Regidores, titulares de dependencias y unidades administrativas, hasta el nivel jerárquico correspondiente a jefes de departamento o sus equivalentes, y a los demás servidores públicos que, por la naturaleza e importancia de sus funciones, deban realizar el acto de entrega-recepción.</w:t>
      </w:r>
    </w:p>
    <w:p w14:paraId="43B2A7F9" w14:textId="77777777" w:rsidR="00841B06" w:rsidRPr="00445611" w:rsidRDefault="00841B06" w:rsidP="00841B06">
      <w:pPr>
        <w:pStyle w:val="NormalWeb"/>
        <w:spacing w:line="276" w:lineRule="auto"/>
        <w:ind w:left="567" w:right="900"/>
        <w:jc w:val="both"/>
        <w:rPr>
          <w:rFonts w:ascii="Palatino Linotype" w:hAnsi="Palatino Linotype"/>
          <w:b/>
          <w:i/>
          <w:sz w:val="22"/>
          <w:u w:val="single"/>
        </w:rPr>
      </w:pPr>
      <w:r w:rsidRPr="00445611">
        <w:rPr>
          <w:rFonts w:ascii="Palatino Linotype" w:hAnsi="Palatino Linotype"/>
          <w:b/>
          <w:i/>
          <w:sz w:val="22"/>
          <w:u w:val="single"/>
        </w:rPr>
        <w:t xml:space="preserve">De manera enunciativa, más no limitativa y atendiendo a la estructura orgánica determinada por el Ayuntamiento o en su caso, el Órgano de Gobierno de los Organismos Públicos Descentralizados, quienes deben </w:t>
      </w:r>
      <w:r w:rsidRPr="00445611">
        <w:rPr>
          <w:rFonts w:ascii="Palatino Linotype" w:hAnsi="Palatino Linotype"/>
          <w:b/>
          <w:i/>
          <w:sz w:val="22"/>
          <w:u w:val="single"/>
        </w:rPr>
        <w:lastRenderedPageBreak/>
        <w:t>generar el procedimiento administrativo de entrega-recepción, son los siguientes:</w:t>
      </w:r>
    </w:p>
    <w:p w14:paraId="37E2C1AA" w14:textId="77777777" w:rsidR="00841B06" w:rsidRPr="00445611" w:rsidRDefault="00841B06" w:rsidP="00841B06">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 En los Ayuntamientos:</w:t>
      </w:r>
    </w:p>
    <w:p w14:paraId="112C782B"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a. Presidencia Municipal;</w:t>
      </w:r>
    </w:p>
    <w:p w14:paraId="720AC230"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b. Sindicatura, y</w:t>
      </w:r>
    </w:p>
    <w:p w14:paraId="21C8B0F6"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c. Regidurías,</w:t>
      </w:r>
    </w:p>
    <w:p w14:paraId="2B399B38" w14:textId="77777777" w:rsidR="00841B06" w:rsidRPr="00445611" w:rsidRDefault="00841B06" w:rsidP="00841B06">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II. En las dependencias:</w:t>
      </w:r>
    </w:p>
    <w:p w14:paraId="5C04829E"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a. Secretaría del Ayuntamiento;</w:t>
      </w:r>
    </w:p>
    <w:p w14:paraId="3413C7FB"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b. Tesorería Municipal o su equivalente;</w:t>
      </w:r>
    </w:p>
    <w:p w14:paraId="75EBC731"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c. Dirección de Obras Públicas o su equivalente;</w:t>
      </w:r>
    </w:p>
    <w:p w14:paraId="714588ED"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d. Dirección de Desarrollo Económico o su equivalente;</w:t>
      </w:r>
    </w:p>
    <w:p w14:paraId="13A2DC1E"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e. Dirección de Desarrollo Urbano o su equivalente;</w:t>
      </w:r>
    </w:p>
    <w:p w14:paraId="69E333A7"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f. Dirección de Ecología o su equivalente;</w:t>
      </w:r>
    </w:p>
    <w:p w14:paraId="4C4175D1"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g. Dirección de Desarrollo Social o su equivalente;</w:t>
      </w:r>
    </w:p>
    <w:p w14:paraId="0651BF33"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h. Dirección Municipal de Protección Civil o su equivalente;</w:t>
      </w:r>
    </w:p>
    <w:p w14:paraId="0920CD11"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i. Dirección de Asuntos Indígenas o su equivalente;</w:t>
      </w:r>
    </w:p>
    <w:p w14:paraId="4A67A7DE"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j. Defensoría de Derechos Humanos o su equivalente;</w:t>
      </w:r>
    </w:p>
    <w:p w14:paraId="059FCD50"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k. Oficialía Conciliadora, Mediadora y Calificadora o su equivalente;</w:t>
      </w:r>
    </w:p>
    <w:p w14:paraId="5E942B7C"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l. Dirección de Seguridad Pública Municipal o su equivalente;</w:t>
      </w:r>
    </w:p>
    <w:p w14:paraId="75552170"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lastRenderedPageBreak/>
        <w:t>m. Mejora Regulatoria o su equivalente;</w:t>
      </w:r>
    </w:p>
    <w:p w14:paraId="5DF0CD62"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n. Administración o su equivalente;</w:t>
      </w:r>
    </w:p>
    <w:p w14:paraId="7A0400A4"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o. Catastro o su equivalente;</w:t>
      </w:r>
    </w:p>
    <w:p w14:paraId="06997DD5"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p. Gobierno o su equivalente;</w:t>
      </w:r>
    </w:p>
    <w:p w14:paraId="497CF75F"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q. Servicios Públicos o su equivalente;</w:t>
      </w:r>
    </w:p>
    <w:p w14:paraId="5A2ACAAE"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r. Órgano Interno de Control o su equivalente;</w:t>
      </w:r>
    </w:p>
    <w:p w14:paraId="36AE66E1"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s. Unidad de Transparencia y Acceso a la Información, y</w:t>
      </w:r>
    </w:p>
    <w:p w14:paraId="5BAD8E44"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t. Unidad de Información, Planeación, Programación y Evaluación (UIPPE) o su equivalente</w:t>
      </w:r>
    </w:p>
    <w:p w14:paraId="2C37C050"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II. En los Organismos Públicos Descentralizados y sus unidades administrativas:</w:t>
      </w:r>
    </w:p>
    <w:p w14:paraId="71D98F55"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a. Sistema Municipal para el Desarrollo Integral de la Familia;</w:t>
      </w:r>
    </w:p>
    <w:p w14:paraId="425C9AA7"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b. Organismo Operador de Agua;</w:t>
      </w:r>
    </w:p>
    <w:p w14:paraId="75A5CC5C"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c. Organismo de Carácter Municipal para el Mantenimiento de Vialidades;</w:t>
      </w:r>
    </w:p>
    <w:p w14:paraId="749DE180"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d. Instituto Municipal de Cultura Física y Deporte;</w:t>
      </w:r>
    </w:p>
    <w:p w14:paraId="67E0E3E8" w14:textId="77777777" w:rsidR="00841B06"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e. Instituto Municipal de la Juventud, y</w:t>
      </w:r>
    </w:p>
    <w:p w14:paraId="39943797" w14:textId="77777777" w:rsidR="00ED720C" w:rsidRPr="00445611" w:rsidRDefault="00841B06" w:rsidP="00841B06">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f. Instituto Municipal de la Mujer</w:t>
      </w:r>
    </w:p>
    <w:p w14:paraId="06255C73"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Artículo 11. Los servidores públicos que participan en el procedimiento administrativo de entrega-recepción son:</w:t>
      </w:r>
    </w:p>
    <w:p w14:paraId="62584AEB"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I. El servidor público entrante;</w:t>
      </w:r>
    </w:p>
    <w:p w14:paraId="703EFA7A"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lastRenderedPageBreak/>
        <w:t>II. El servidor público saliente o el servidor público que presenta la información;</w:t>
      </w:r>
    </w:p>
    <w:p w14:paraId="3B1C03BF"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III. La persona titular del Órgano Interno de Control o Síndico o, en su caso, Representante;</w:t>
      </w:r>
    </w:p>
    <w:p w14:paraId="3CC87FBE"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IV. El testigo del servidor público entrante, y</w:t>
      </w:r>
    </w:p>
    <w:p w14:paraId="72D96F31"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V. El testigo del servidor público saliente o el testigo del servidor público que presenta la información.</w:t>
      </w:r>
    </w:p>
    <w:p w14:paraId="1A8B9C78"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Artículo 12. Los participantes del acto de entrega-recepción deben exhibir en original y entregar en copia simple o certificada la documentación siguiente, la cual se agregará al acta de entrega-recepción correspondiente:</w:t>
      </w:r>
    </w:p>
    <w:p w14:paraId="78FE7032"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 Servidor público entrante: Documento que acredite el empleo, cargo o comisión indicando la fecha de inicio del mismo, que debe ser la misma o anterior al acto de entrega-recepción, pero de ninguna manera posterior; identificación oficial; comprobante de domicilio no mayor a dos meses de antigüedad; certificación de competencia laboral en los casos requeridos por las disposiciones legales aplicables, expedida por las instancias correspondientes;</w:t>
      </w:r>
    </w:p>
    <w:p w14:paraId="54232EBD"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II. Servidor público saliente: Documento que acredite el empleo, cargo o comisión, indicando la fecha de inicio del mismo; identificación oficial; comprobante de domicilio no mayor a dos meses de antigüedad; documento que avale la separación del empleo, cargo o comisión, y constancias de no adeudo;</w:t>
      </w:r>
    </w:p>
    <w:p w14:paraId="64C4FD2C"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III. Servidor público que presenta la información: Documento que lo faculta para recabar y presentar la información en el acto de entrega-recepción; identificación oficial, y comprobante de domicilio no mayor a dos meses de antigüedad;</w:t>
      </w:r>
    </w:p>
    <w:p w14:paraId="74316C21"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lastRenderedPageBreak/>
        <w:t>IV. Persona titular del Órgano Interno de Control o Síndico o su Representante, según sea el caso: Identificación oficial y, cuando aplique, oficio de acreditación del Representante, y</w:t>
      </w:r>
    </w:p>
    <w:p w14:paraId="270E2474"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V. Testigos: Identificación oficial.</w:t>
      </w:r>
    </w:p>
    <w:p w14:paraId="6499305C"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w:t>
      </w:r>
    </w:p>
    <w:p w14:paraId="63E1186E"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Artículo 20. El acta de entrega-recepción describe los rubros siguientes:</w:t>
      </w:r>
    </w:p>
    <w:p w14:paraId="4D731A16"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 Información de la oficina que se entrega;</w:t>
      </w:r>
    </w:p>
    <w:p w14:paraId="53BCADEF"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II. Información de evaluación programática;</w:t>
      </w:r>
    </w:p>
    <w:p w14:paraId="086991E7"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III. Información administrativa;</w:t>
      </w:r>
    </w:p>
    <w:p w14:paraId="550F09DB"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IV. Información financiera;</w:t>
      </w:r>
    </w:p>
    <w:p w14:paraId="3CFA0694"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V. Información laboral;</w:t>
      </w:r>
    </w:p>
    <w:p w14:paraId="5EDB2472"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VI. Información catastral;</w:t>
      </w:r>
    </w:p>
    <w:p w14:paraId="18120A99"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VII. Información de obras públicas;</w:t>
      </w:r>
    </w:p>
    <w:p w14:paraId="072D599D"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VIII. Información general de la entidad fiscalizable;</w:t>
      </w:r>
    </w:p>
    <w:p w14:paraId="71D3A131"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IX. Información patrimonial de la entidad fiscalizable, e</w:t>
      </w:r>
    </w:p>
    <w:p w14:paraId="5EDBC7BD" w14:textId="77777777" w:rsidR="00ED720C" w:rsidRPr="00445611" w:rsidRDefault="00ED720C" w:rsidP="00ED720C">
      <w:pPr>
        <w:pStyle w:val="NormalWeb"/>
        <w:spacing w:line="276" w:lineRule="auto"/>
        <w:ind w:left="567" w:right="900"/>
        <w:jc w:val="both"/>
        <w:rPr>
          <w:rFonts w:ascii="Palatino Linotype" w:hAnsi="Palatino Linotype"/>
          <w:b/>
          <w:i/>
          <w:sz w:val="22"/>
        </w:rPr>
      </w:pPr>
      <w:r w:rsidRPr="00445611">
        <w:rPr>
          <w:rFonts w:ascii="Palatino Linotype" w:hAnsi="Palatino Linotype"/>
          <w:b/>
          <w:i/>
          <w:sz w:val="22"/>
        </w:rPr>
        <w:t>X. Información adicional.</w:t>
      </w:r>
    </w:p>
    <w:p w14:paraId="308A9014" w14:textId="77777777" w:rsidR="00716F8A"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 xml:space="preserve">La fecha de corte de la información que se entrega debe corresponder con la del último día que desempeñó el empleo, cargo o comisión el servidor público saliente; asimismo, aquellos reportes que sean generados a través de otros sistemas, como la información financiera, patrimonial u otras, deben relacionarse en el formato OSFER-20 </w:t>
      </w:r>
      <w:r w:rsidRPr="00445611">
        <w:rPr>
          <w:rFonts w:ascii="Palatino Linotype" w:hAnsi="Palatino Linotype"/>
          <w:i/>
          <w:sz w:val="22"/>
        </w:rPr>
        <w:lastRenderedPageBreak/>
        <w:t xml:space="preserve">“Sistemas de la Entidad Municipal”, adjuntando el medio de almacenamiento electrónico correspondiente. </w:t>
      </w:r>
    </w:p>
    <w:p w14:paraId="4EC610C1"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 xml:space="preserve">Artículo 21. Al acta de entrega-recepción de conclusión de gestión constitucional (AER-1), de manera independiente, </w:t>
      </w:r>
      <w:r w:rsidRPr="00445611">
        <w:rPr>
          <w:rFonts w:ascii="Palatino Linotype" w:hAnsi="Palatino Linotype"/>
          <w:b/>
          <w:bCs/>
          <w:i/>
          <w:sz w:val="22"/>
          <w:u w:val="single"/>
        </w:rPr>
        <w:t>en medio electrónico y sin perjuicio de que obre en los formatos del Sistema, deberá adicionarse obligatoriamente lo siguiente</w:t>
      </w:r>
      <w:r w:rsidRPr="00445611">
        <w:rPr>
          <w:rFonts w:ascii="Palatino Linotype" w:hAnsi="Palatino Linotype"/>
          <w:i/>
          <w:sz w:val="22"/>
        </w:rPr>
        <w:t>:</w:t>
      </w:r>
    </w:p>
    <w:p w14:paraId="1F7D8C83"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I. El informe correspondiente al cuarto trimestre del último ejercicio fiscal de la Administración Pública Municipal saliente, debidamente rubricado para la administración entrante;</w:t>
      </w:r>
    </w:p>
    <w:p w14:paraId="2E84539C"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II. La cuenta pública correspondiente al último ejercicio fiscal de la Administración Pública Municipal saliente debidamente rubricada para la administración entrante;</w:t>
      </w:r>
    </w:p>
    <w:p w14:paraId="25884F3B" w14:textId="77777777" w:rsidR="00ED720C"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III. El presupuesto de egresos debidamente rubricado para la administración entrante para el ejercicio que inicia, de acuerdo a lo establecido en la normatividad en la materia.</w:t>
      </w:r>
    </w:p>
    <w:p w14:paraId="79544FD0" w14:textId="77777777" w:rsidR="00841B06" w:rsidRPr="00445611" w:rsidRDefault="00ED720C" w:rsidP="00ED720C">
      <w:pPr>
        <w:pStyle w:val="NormalWeb"/>
        <w:spacing w:line="276" w:lineRule="auto"/>
        <w:ind w:left="567" w:right="900"/>
        <w:jc w:val="both"/>
        <w:rPr>
          <w:rFonts w:ascii="Palatino Linotype" w:hAnsi="Palatino Linotype"/>
          <w:i/>
          <w:sz w:val="22"/>
        </w:rPr>
      </w:pPr>
      <w:r w:rsidRPr="00445611">
        <w:rPr>
          <w:rFonts w:ascii="Palatino Linotype" w:hAnsi="Palatino Linotype"/>
          <w:i/>
          <w:sz w:val="22"/>
        </w:rPr>
        <w:t>En todos los casos, la administración entrante deberá entregar el oficio de presentación firmado así como el contenido de las obligaciones periódicas al Órgano Superior en la fecha establecida para ello, siendo responsables de la información y de su elaboración los servidores públicos que se encontraban en funciones al momento de ejercer los recursos públicos.”</w:t>
      </w:r>
    </w:p>
    <w:p w14:paraId="3286E669" w14:textId="77777777" w:rsidR="00ED720C" w:rsidRPr="00445611" w:rsidRDefault="00ED720C" w:rsidP="00ED720C">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Con lo anteriormente citado queda de manifiesto que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se encuentra constreñido a realizar el proceso de entrega-recepción, por lo tanto, es dable afirmar que existe la fuente obligacional para contar con la información solicitada.</w:t>
      </w:r>
    </w:p>
    <w:p w14:paraId="7C4209C1" w14:textId="77777777" w:rsidR="00ED720C" w:rsidRPr="00445611" w:rsidRDefault="00ED720C" w:rsidP="00ED720C">
      <w:pPr>
        <w:spacing w:line="360" w:lineRule="auto"/>
        <w:jc w:val="both"/>
        <w:rPr>
          <w:rFonts w:ascii="Palatino Linotype" w:eastAsia="Palatino Linotype" w:hAnsi="Palatino Linotype" w:cs="Palatino Linotype"/>
          <w:sz w:val="22"/>
          <w:szCs w:val="22"/>
        </w:rPr>
      </w:pPr>
    </w:p>
    <w:p w14:paraId="0C7D397C" w14:textId="77777777" w:rsidR="00ED720C" w:rsidRPr="00445611" w:rsidRDefault="00ED720C" w:rsidP="00ED720C">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En otro orden de ideas</w:t>
      </w:r>
      <w:r w:rsidR="00540CF8" w:rsidRPr="00445611">
        <w:rPr>
          <w:rFonts w:ascii="Palatino Linotype" w:eastAsia="Palatino Linotype" w:hAnsi="Palatino Linotype" w:cs="Palatino Linotype"/>
          <w:sz w:val="22"/>
          <w:szCs w:val="22"/>
        </w:rPr>
        <w:t xml:space="preserve">, procedemos a entrar en materia al análisis del </w:t>
      </w:r>
      <w:r w:rsidR="00540CF8" w:rsidRPr="00445611">
        <w:rPr>
          <w:rFonts w:ascii="Palatino Linotype" w:eastAsia="Palatino Linotype" w:hAnsi="Palatino Linotype" w:cs="Palatino Linotype"/>
          <w:b/>
          <w:sz w:val="22"/>
          <w:szCs w:val="22"/>
          <w:u w:val="single"/>
        </w:rPr>
        <w:t>cambio de modalidad</w:t>
      </w:r>
      <w:r w:rsidR="00540CF8" w:rsidRPr="00445611">
        <w:rPr>
          <w:rFonts w:ascii="Palatino Linotype" w:eastAsia="Palatino Linotype" w:hAnsi="Palatino Linotype" w:cs="Palatino Linotype"/>
          <w:b/>
          <w:sz w:val="22"/>
          <w:szCs w:val="22"/>
        </w:rPr>
        <w:t xml:space="preserve">, </w:t>
      </w:r>
      <w:r w:rsidR="00540CF8" w:rsidRPr="00445611">
        <w:rPr>
          <w:rFonts w:ascii="Palatino Linotype" w:eastAsia="Palatino Linotype" w:hAnsi="Palatino Linotype" w:cs="Palatino Linotype"/>
          <w:sz w:val="22"/>
          <w:szCs w:val="22"/>
        </w:rPr>
        <w:t xml:space="preserve">para ello conviene mencionar que el artículo 155, fracción V, de la Ley de Transparencia y Acceso a la Información Pública del Estado de México y Municipios, precisa </w:t>
      </w:r>
      <w:r w:rsidR="00540CF8" w:rsidRPr="00445611">
        <w:rPr>
          <w:rFonts w:ascii="Palatino Linotype" w:eastAsia="Palatino Linotype" w:hAnsi="Palatino Linotype" w:cs="Palatino Linotype"/>
          <w:sz w:val="22"/>
          <w:szCs w:val="22"/>
        </w:rPr>
        <w:lastRenderedPageBreak/>
        <w:t xml:space="preserve">que para presentar una solicitud, la persona solicitante podrá señalar </w:t>
      </w:r>
      <w:r w:rsidR="00540CF8" w:rsidRPr="00445611">
        <w:rPr>
          <w:rFonts w:ascii="Palatino Linotype" w:eastAsia="Palatino Linotype" w:hAnsi="Palatino Linotype" w:cs="Palatino Linotype"/>
          <w:b/>
          <w:sz w:val="22"/>
          <w:szCs w:val="22"/>
        </w:rPr>
        <w:t>la modalidad en la que prefiere se otorgue el acceso a la información</w:t>
      </w:r>
      <w:r w:rsidR="00540CF8" w:rsidRPr="00445611">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CD-Rom (con costo), copias simples (con costo), copias certificadas (con costo), consulta directa (sin costo), o bien, cualquier otro que determine la persona solicitante.</w:t>
      </w:r>
    </w:p>
    <w:p w14:paraId="3B131400" w14:textId="77777777" w:rsidR="00ED720C" w:rsidRPr="00445611" w:rsidRDefault="00ED720C" w:rsidP="00ED720C">
      <w:pPr>
        <w:spacing w:line="360" w:lineRule="auto"/>
        <w:jc w:val="both"/>
        <w:rPr>
          <w:rFonts w:ascii="Palatino Linotype" w:eastAsia="Palatino Linotype" w:hAnsi="Palatino Linotype" w:cs="Palatino Linotype"/>
          <w:sz w:val="22"/>
          <w:szCs w:val="22"/>
        </w:rPr>
      </w:pPr>
    </w:p>
    <w:p w14:paraId="65F3288D" w14:textId="77777777" w:rsidR="00ED720C" w:rsidRPr="00445611" w:rsidRDefault="00540CF8" w:rsidP="00ED720C">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Por su parte, el artículo 158 de la Ley de Transparencia y Acceso a la Información Pública del Estado de México y Municipios, dispone que, de manera excepcional, cuando de manera fundada y motivada lo determine el Sujeto Obligado, </w:t>
      </w:r>
      <w:r w:rsidRPr="00445611">
        <w:rPr>
          <w:rFonts w:ascii="Palatino Linotype" w:eastAsia="Palatino Linotype" w:hAnsi="Palatino Linotype" w:cs="Palatino Linotype"/>
          <w:b/>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3C67A049" w14:textId="77777777" w:rsidR="00ED720C" w:rsidRPr="00445611" w:rsidRDefault="00ED720C" w:rsidP="00ED720C">
      <w:pPr>
        <w:spacing w:line="360" w:lineRule="auto"/>
        <w:jc w:val="both"/>
        <w:rPr>
          <w:rFonts w:ascii="Palatino Linotype" w:eastAsia="Palatino Linotype" w:hAnsi="Palatino Linotype" w:cs="Palatino Linotype"/>
          <w:sz w:val="22"/>
          <w:szCs w:val="22"/>
        </w:rPr>
      </w:pPr>
    </w:p>
    <w:p w14:paraId="6E7CDC0B" w14:textId="77777777" w:rsidR="00830242" w:rsidRPr="00445611" w:rsidRDefault="00540CF8" w:rsidP="00ED720C">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De modo que el acceso a la información debe darse en la modalidad de entrega elegida por la persona solicitante, y sólo para los casos en que se encuentren impedidos los Sujetos Obligados podrán ofrecer otra u otras modalidades debiendo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w:t>
      </w:r>
      <w:r w:rsidRPr="00445611">
        <w:rPr>
          <w:rFonts w:ascii="Palatino Linotype" w:eastAsia="Palatino Linotype" w:hAnsi="Palatino Linotype" w:cs="Palatino Linotype"/>
          <w:sz w:val="22"/>
          <w:szCs w:val="22"/>
        </w:rPr>
        <w:lastRenderedPageBreak/>
        <w:t>acto, según se puede leer en la jurisprudencia del texto y rubro que inserta enseguida para mayor referencia:</w:t>
      </w:r>
    </w:p>
    <w:p w14:paraId="471295CB" w14:textId="77777777" w:rsidR="00830242" w:rsidRPr="00445611" w:rsidRDefault="00540CF8">
      <w:pPr>
        <w:spacing w:before="120" w:after="120"/>
        <w:ind w:left="851" w:right="99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“FUNDAMENTACIÓN Y MOTIVACIÓN DE LOS ACTOS ADMINISTRATIVOS</w:t>
      </w:r>
      <w:r w:rsidRPr="00445611">
        <w:rPr>
          <w:rFonts w:ascii="Palatino Linotype" w:eastAsia="Palatino Linotype" w:hAnsi="Palatino Linotype" w:cs="Palatino Linotype"/>
          <w:i/>
          <w:sz w:val="22"/>
          <w:szCs w:val="22"/>
        </w:rPr>
        <w:t>.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subincisos, fracciones y preceptos aplicable, y b).- Los cuerpos legales y preceptos que otorgan competencia o facultades a las autoridades para emitir el acto en agravio del gobernado.”</w:t>
      </w:r>
    </w:p>
    <w:p w14:paraId="2F097A11" w14:textId="77777777" w:rsidR="00830242" w:rsidRPr="00445611" w:rsidRDefault="00540CF8">
      <w:pPr>
        <w:spacing w:before="120" w:after="12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En ese entendido, según lo dispuesto en los artículos 160 y 164 de la Ley de Transparencia y Acceso a la Información Pública del Estado de México y Municipios,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199CB88B" w14:textId="77777777" w:rsidR="00830242" w:rsidRPr="00445611" w:rsidRDefault="00540CF8">
      <w:pPr>
        <w:spacing w:before="120" w:after="12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sz w:val="22"/>
          <w:szCs w:val="22"/>
        </w:rPr>
        <w:lastRenderedPageBreak/>
        <w:t>“</w:t>
      </w:r>
      <w:r w:rsidRPr="00445611">
        <w:rPr>
          <w:rFonts w:ascii="Palatino Linotype" w:eastAsia="Palatino Linotype" w:hAnsi="Palatino Linotype" w:cs="Palatino Linotype"/>
          <w:b/>
          <w:i/>
          <w:sz w:val="22"/>
          <w:szCs w:val="22"/>
        </w:rPr>
        <w:t>Artículo 160.</w:t>
      </w:r>
      <w:r w:rsidRPr="00445611">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C606239" w14:textId="77777777" w:rsidR="00830242" w:rsidRPr="00445611" w:rsidRDefault="00540CF8">
      <w:pPr>
        <w:spacing w:before="120" w:after="120"/>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Artículo 164.</w:t>
      </w:r>
      <w:r w:rsidRPr="00445611">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en la modalidad solicitada, </w:t>
      </w:r>
      <w:r w:rsidRPr="00445611">
        <w:rPr>
          <w:rFonts w:ascii="Palatino Linotype" w:eastAsia="Palatino Linotype" w:hAnsi="Palatino Linotype" w:cs="Palatino Linotype"/>
          <w:i/>
          <w:sz w:val="22"/>
          <w:szCs w:val="22"/>
          <w:u w:val="single"/>
        </w:rPr>
        <w:t>el sujeto obligado deberá ofrecer otra u otras modalidades de entrega.</w:t>
      </w:r>
      <w:r w:rsidRPr="00445611">
        <w:rPr>
          <w:rFonts w:ascii="Palatino Linotype" w:eastAsia="Palatino Linotype" w:hAnsi="Palatino Linotype" w:cs="Palatino Linotype"/>
          <w:i/>
          <w:sz w:val="22"/>
          <w:szCs w:val="22"/>
        </w:rPr>
        <w:t xml:space="preserve"> En cualquier caso, se deberá fundar y motivar la necesidad de ofrecer otras modalidades.”</w:t>
      </w:r>
    </w:p>
    <w:p w14:paraId="08A4E141"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Esto es,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38622519" w14:textId="77777777" w:rsidR="00830242" w:rsidRPr="00445611" w:rsidRDefault="00540CF8">
      <w:pPr>
        <w:spacing w:before="240" w:after="240" w:line="360" w:lineRule="auto"/>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sz w:val="22"/>
          <w:szCs w:val="22"/>
        </w:rPr>
        <w:t xml:space="preserve">Para lo cual, conforme al artículo 174 de la ley de la materia, los costos de reproducción y, en su caso, de envío para la obtención de la información deberán ser cubiertos por el solicitante de manera previa a la entrega por parte del </w:t>
      </w:r>
      <w:r w:rsidRPr="00445611">
        <w:rPr>
          <w:rFonts w:ascii="Palatino Linotype" w:eastAsia="Palatino Linotype" w:hAnsi="Palatino Linotype" w:cs="Palatino Linotype"/>
          <w:b/>
          <w:sz w:val="22"/>
          <w:szCs w:val="22"/>
        </w:rPr>
        <w:t>Sujeto Obligado.</w:t>
      </w:r>
    </w:p>
    <w:p w14:paraId="2836098C"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En tales consideraciones, la entrega deberá hacerse, </w:t>
      </w:r>
      <w:r w:rsidRPr="00445611">
        <w:rPr>
          <w:rFonts w:ascii="Palatino Linotype" w:eastAsia="Palatino Linotype" w:hAnsi="Palatino Linotype" w:cs="Palatino Linotype"/>
          <w:b/>
          <w:sz w:val="22"/>
          <w:szCs w:val="22"/>
        </w:rPr>
        <w:t>en la medida de lo posible, en la forma solicitada por el interesado, salvo que exista un impedimento justificado para atenderla</w:t>
      </w:r>
      <w:r w:rsidRPr="00445611">
        <w:rPr>
          <w:rFonts w:ascii="Palatino Linotype" w:eastAsia="Palatino Linotype" w:hAnsi="Palatino Linotype" w:cs="Palatino Linotype"/>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445611">
        <w:rPr>
          <w:rFonts w:ascii="Palatino Linotype" w:eastAsia="Palatino Linotype" w:hAnsi="Palatino Linotype" w:cs="Palatino Linotype"/>
          <w:b/>
          <w:sz w:val="22"/>
          <w:szCs w:val="22"/>
        </w:rPr>
        <w:t>sólo procede, en caso de que se acredite la imposibilidad de atenderla.</w:t>
      </w:r>
      <w:r w:rsidRPr="00445611">
        <w:rPr>
          <w:rFonts w:ascii="Palatino Linotype" w:eastAsia="Palatino Linotype" w:hAnsi="Palatino Linotype" w:cs="Palatino Linotype"/>
          <w:sz w:val="22"/>
          <w:szCs w:val="22"/>
        </w:rPr>
        <w:t xml:space="preserve"> </w:t>
      </w:r>
    </w:p>
    <w:p w14:paraId="3C19150E"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Así, cuando se justifique el impedimento, </w:t>
      </w:r>
      <w:r w:rsidRPr="00445611">
        <w:rPr>
          <w:rFonts w:ascii="Palatino Linotype" w:eastAsia="Palatino Linotype" w:hAnsi="Palatino Linotype" w:cs="Palatino Linotype"/>
          <w:b/>
          <w:sz w:val="22"/>
          <w:szCs w:val="22"/>
        </w:rPr>
        <w:t>los Sujetos Obligados deberán ofrecer a las personas solicitantes otras modalidades de entrega que permita la información</w:t>
      </w:r>
      <w:r w:rsidRPr="00445611">
        <w:rPr>
          <w:rFonts w:ascii="Palatino Linotype" w:eastAsia="Palatino Linotype" w:hAnsi="Palatino Linotype" w:cs="Palatino Linotype"/>
          <w:sz w:val="22"/>
          <w:szCs w:val="22"/>
        </w:rPr>
        <w:t xml:space="preserve">, como consulta directa en las oficinas de la Unidad de Transparencia, la expedición de copias </w:t>
      </w:r>
      <w:r w:rsidRPr="00445611">
        <w:rPr>
          <w:rFonts w:ascii="Palatino Linotype" w:eastAsia="Palatino Linotype" w:hAnsi="Palatino Linotype" w:cs="Palatino Linotype"/>
          <w:sz w:val="22"/>
          <w:szCs w:val="22"/>
        </w:rPr>
        <w:lastRenderedPageBreak/>
        <w:t>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294981B8" w14:textId="77777777" w:rsidR="00830242" w:rsidRPr="00445611" w:rsidRDefault="00540CF8">
      <w:pPr>
        <w:spacing w:before="120" w:after="120"/>
        <w:ind w:left="851" w:right="851"/>
        <w:jc w:val="both"/>
        <w:rPr>
          <w:rFonts w:ascii="Palatino Linotype" w:eastAsia="Palatino Linotype" w:hAnsi="Palatino Linotype" w:cs="Palatino Linotype"/>
          <w:b/>
          <w:i/>
          <w:sz w:val="22"/>
          <w:szCs w:val="22"/>
          <w:u w:val="single"/>
        </w:rPr>
      </w:pPr>
      <w:r w:rsidRPr="00445611">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445611">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445611">
        <w:rPr>
          <w:rFonts w:ascii="Palatino Linotype" w:eastAsia="Palatino Linotype" w:hAnsi="Palatino Linotype" w:cs="Palatino Linotype"/>
          <w:b/>
          <w:i/>
          <w:sz w:val="22"/>
          <w:szCs w:val="22"/>
          <w:u w:val="single"/>
        </w:rPr>
        <w:t>en todas las modalidades que permita el documento de que se trate, procurando reducir, en todo momento, los costos de entrega</w:t>
      </w:r>
      <w:r w:rsidRPr="00445611">
        <w:rPr>
          <w:rFonts w:ascii="Palatino Linotype" w:eastAsia="Palatino Linotype" w:hAnsi="Palatino Linotype" w:cs="Palatino Linotype"/>
          <w:b/>
          <w:i/>
          <w:sz w:val="22"/>
          <w:szCs w:val="22"/>
        </w:rPr>
        <w:t>.”</w:t>
      </w:r>
    </w:p>
    <w:p w14:paraId="04023C33" w14:textId="77777777" w:rsidR="00830242" w:rsidRPr="00445611" w:rsidRDefault="00540CF8">
      <w:pPr>
        <w:spacing w:before="240" w:after="240" w:line="360" w:lineRule="auto"/>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sz w:val="22"/>
          <w:szCs w:val="22"/>
        </w:rPr>
        <w:t>Del citado criterio, se desprende que cuando</w:t>
      </w:r>
      <w:r w:rsidRPr="00445611">
        <w:rPr>
          <w:rFonts w:ascii="Palatino Linotype" w:eastAsia="Palatino Linotype" w:hAnsi="Palatino Linotype" w:cs="Palatino Linotype"/>
          <w:b/>
          <w:sz w:val="22"/>
          <w:szCs w:val="22"/>
        </w:rPr>
        <w:t xml:space="preserve"> la información no pueda entregarse o enviarse en la modalidad elegida, </w:t>
      </w:r>
      <w:r w:rsidRPr="00445611">
        <w:rPr>
          <w:rFonts w:ascii="Palatino Linotype" w:eastAsia="Palatino Linotype" w:hAnsi="Palatino Linotype" w:cs="Palatino Linotype"/>
          <w:sz w:val="22"/>
          <w:szCs w:val="22"/>
        </w:rPr>
        <w:t xml:space="preserve">para que la obligación de acceso a la información se tenga por cumplida, </w:t>
      </w:r>
      <w:r w:rsidRPr="00445611">
        <w:rPr>
          <w:rFonts w:ascii="Palatino Linotype" w:eastAsia="Palatino Linotype" w:hAnsi="Palatino Linotype" w:cs="Palatino Linotype"/>
          <w:b/>
          <w:sz w:val="22"/>
          <w:szCs w:val="22"/>
        </w:rPr>
        <w:t>el Sujeto Obligado deberá ofrecer otra u otras modalidades de entrega.</w:t>
      </w:r>
      <w:r w:rsidRPr="00445611">
        <w:rPr>
          <w:rFonts w:ascii="Palatino Linotype" w:eastAsia="Palatino Linotype" w:hAnsi="Palatino Linotype" w:cs="Palatino Linotype"/>
          <w:sz w:val="22"/>
          <w:szCs w:val="22"/>
        </w:rPr>
        <w:t xml:space="preserve"> En cualquier caso, </w:t>
      </w:r>
      <w:r w:rsidRPr="00445611">
        <w:rPr>
          <w:rFonts w:ascii="Palatino Linotype" w:eastAsia="Palatino Linotype" w:hAnsi="Palatino Linotype" w:cs="Palatino Linotype"/>
          <w:b/>
          <w:sz w:val="22"/>
          <w:szCs w:val="22"/>
        </w:rPr>
        <w:t>se deberá fundar y motivar la necesidad de ofrecer otras modalidades</w:t>
      </w:r>
      <w:r w:rsidRPr="00445611">
        <w:rPr>
          <w:rFonts w:ascii="Palatino Linotype" w:eastAsia="Palatino Linotype" w:hAnsi="Palatino Linotype" w:cs="Palatino Linotype"/>
          <w:sz w:val="22"/>
          <w:szCs w:val="22"/>
        </w:rPr>
        <w:t xml:space="preserve"> que lo permitan, </w:t>
      </w:r>
      <w:r w:rsidRPr="00445611">
        <w:rPr>
          <w:rFonts w:ascii="Palatino Linotype" w:eastAsia="Palatino Linotype" w:hAnsi="Palatino Linotype" w:cs="Palatino Linotype"/>
          <w:b/>
          <w:sz w:val="22"/>
          <w:szCs w:val="22"/>
        </w:rPr>
        <w:t>procurando reducir los costos de entrega.</w:t>
      </w:r>
    </w:p>
    <w:p w14:paraId="64CC2786" w14:textId="77777777" w:rsidR="00830242" w:rsidRPr="00445611" w:rsidRDefault="00540CF8">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071525F6" w14:textId="77777777" w:rsidR="00830242" w:rsidRPr="00445611" w:rsidRDefault="00540CF8">
      <w:pPr>
        <w:numPr>
          <w:ilvl w:val="0"/>
          <w:numId w:val="4"/>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Las razones por las cuales la información implicaba un análisis, estudio o procesamiento de datos;</w:t>
      </w:r>
    </w:p>
    <w:p w14:paraId="515DFF85" w14:textId="77777777" w:rsidR="00830242" w:rsidRPr="00445611" w:rsidRDefault="00540CF8">
      <w:pPr>
        <w:numPr>
          <w:ilvl w:val="0"/>
          <w:numId w:val="4"/>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El tiempo no es suficiente para atender la solicitud en la modalidad elegida, y</w:t>
      </w:r>
    </w:p>
    <w:p w14:paraId="1E207127" w14:textId="77777777" w:rsidR="00830242" w:rsidRPr="00445611" w:rsidRDefault="00540CF8">
      <w:pPr>
        <w:numPr>
          <w:ilvl w:val="0"/>
          <w:numId w:val="4"/>
        </w:numPr>
        <w:pBdr>
          <w:top w:val="nil"/>
          <w:left w:val="nil"/>
          <w:bottom w:val="nil"/>
          <w:right w:val="nil"/>
          <w:between w:val="nil"/>
        </w:pBdr>
        <w:tabs>
          <w:tab w:val="left" w:pos="567"/>
        </w:tabs>
        <w:spacing w:before="240" w:after="240" w:line="360" w:lineRule="auto"/>
        <w:ind w:left="284" w:right="900"/>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La cantidad de recursos humanos y materiales con los que cuenta el Sujeto Obligado son insuficientes.</w:t>
      </w:r>
    </w:p>
    <w:p w14:paraId="5DA1A4DB"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Establecido lo anterior, se procede al estudio de las constancias que conforman a los expedientes electrónicos para determinar lo conducente, para ello debemos recordar que </w:t>
      </w:r>
      <w:r w:rsidRPr="00445611">
        <w:rPr>
          <w:rFonts w:ascii="Palatino Linotype" w:eastAsia="Palatino Linotype" w:hAnsi="Palatino Linotype" w:cs="Palatino Linotype"/>
          <w:b/>
          <w:sz w:val="22"/>
          <w:szCs w:val="22"/>
        </w:rPr>
        <w:t>la parte Recurrente</w:t>
      </w:r>
      <w:r w:rsidRPr="00445611">
        <w:rPr>
          <w:rFonts w:ascii="Palatino Linotype" w:eastAsia="Palatino Linotype" w:hAnsi="Palatino Linotype" w:cs="Palatino Linotype"/>
          <w:sz w:val="22"/>
          <w:szCs w:val="22"/>
        </w:rPr>
        <w:t xml:space="preserve"> al momento de presentar las solicitudes de información que dieron origen a los Recursos de Revisión que nos ocupan, eligió como modalidad de entrega </w:t>
      </w: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Sistema de Acceso a la Información Pública Mexiquense</w:t>
      </w: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sz w:val="22"/>
          <w:szCs w:val="22"/>
        </w:rPr>
        <w:t>, tal como se aprecia a continuación:</w:t>
      </w:r>
    </w:p>
    <w:p w14:paraId="1D3E4E89" w14:textId="77777777" w:rsidR="00830242" w:rsidRPr="00445611" w:rsidRDefault="00ED720C" w:rsidP="00ED720C">
      <w:pPr>
        <w:spacing w:before="240" w:after="240" w:line="360" w:lineRule="auto"/>
        <w:jc w:val="center"/>
        <w:rPr>
          <w:rFonts w:ascii="Palatino Linotype" w:eastAsia="Palatino Linotype" w:hAnsi="Palatino Linotype" w:cs="Palatino Linotype"/>
          <w:sz w:val="22"/>
          <w:szCs w:val="22"/>
        </w:rPr>
      </w:pPr>
      <w:r w:rsidRPr="00445611">
        <w:rPr>
          <w:rFonts w:ascii="Palatino Linotype" w:eastAsia="Palatino Linotype" w:hAnsi="Palatino Linotype" w:cs="Palatino Linotype"/>
          <w:noProof/>
          <w:sz w:val="22"/>
          <w:szCs w:val="22"/>
        </w:rPr>
        <mc:AlternateContent>
          <mc:Choice Requires="wps">
            <w:drawing>
              <wp:anchor distT="0" distB="0" distL="114300" distR="114300" simplePos="0" relativeHeight="251667456" behindDoc="0" locked="0" layoutInCell="1" allowOverlap="1" wp14:anchorId="2F5C6758" wp14:editId="06F568AC">
                <wp:simplePos x="0" y="0"/>
                <wp:positionH relativeFrom="column">
                  <wp:posOffset>443865</wp:posOffset>
                </wp:positionH>
                <wp:positionV relativeFrom="paragraph">
                  <wp:posOffset>936625</wp:posOffset>
                </wp:positionV>
                <wp:extent cx="1143000" cy="285750"/>
                <wp:effectExtent l="57150" t="38100" r="76200" b="95250"/>
                <wp:wrapNone/>
                <wp:docPr id="23" name="Rectángulo 23"/>
                <wp:cNvGraphicFramePr/>
                <a:graphic xmlns:a="http://schemas.openxmlformats.org/drawingml/2006/main">
                  <a:graphicData uri="http://schemas.microsoft.com/office/word/2010/wordprocessingShape">
                    <wps:wsp>
                      <wps:cNvSpPr/>
                      <wps:spPr>
                        <a:xfrm>
                          <a:off x="0" y="0"/>
                          <a:ext cx="1143000" cy="285750"/>
                        </a:xfrm>
                        <a:prstGeom prst="rect">
                          <a:avLst/>
                        </a:prstGeom>
                        <a:noFill/>
                        <a:ln w="38100">
                          <a:solidFill>
                            <a:srgbClr val="0000F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3643AFCF" id="Rectángulo 23" o:spid="_x0000_s1026" style="position:absolute;margin-left:34.95pt;margin-top:73.75pt;width:90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" filled="f" strokecolor="blue" strokeweight="3pt">
                <v:shadow on="t" color="black" opacity="22937f" origin=",.5" offset="0,.63889mm"/>
              </v:rect>
            </w:pict>
          </mc:Fallback>
        </mc:AlternateContent>
      </w:r>
      <w:r w:rsidRPr="00445611">
        <w:rPr>
          <w:rFonts w:ascii="Palatino Linotype" w:eastAsia="Palatino Linotype" w:hAnsi="Palatino Linotype" w:cs="Palatino Linotype"/>
          <w:noProof/>
          <w:sz w:val="22"/>
          <w:szCs w:val="22"/>
        </w:rPr>
        <w:drawing>
          <wp:inline distT="0" distB="0" distL="0" distR="0" wp14:anchorId="0FBD4FD3" wp14:editId="6CAC141D">
            <wp:extent cx="4762500" cy="1419913"/>
            <wp:effectExtent l="19050" t="19050" r="19050" b="279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9924" cy="1428089"/>
                    </a:xfrm>
                    <a:prstGeom prst="rect">
                      <a:avLst/>
                    </a:prstGeom>
                    <a:ln>
                      <a:solidFill>
                        <a:schemeClr val="tx1"/>
                      </a:solidFill>
                    </a:ln>
                  </pic:spPr>
                </pic:pic>
              </a:graphicData>
            </a:graphic>
          </wp:inline>
        </w:drawing>
      </w:r>
    </w:p>
    <w:p w14:paraId="7A57A399" w14:textId="77777777" w:rsidR="00ED720C" w:rsidRPr="00445611" w:rsidRDefault="00ED720C" w:rsidP="00ED720C">
      <w:pPr>
        <w:spacing w:before="240" w:after="240" w:line="360" w:lineRule="auto"/>
        <w:jc w:val="center"/>
        <w:rPr>
          <w:rFonts w:ascii="Palatino Linotype" w:eastAsia="Palatino Linotype" w:hAnsi="Palatino Linotype" w:cs="Palatino Linotype"/>
          <w:sz w:val="22"/>
          <w:szCs w:val="22"/>
        </w:rPr>
      </w:pPr>
      <w:r w:rsidRPr="00445611">
        <w:rPr>
          <w:rFonts w:ascii="Palatino Linotype" w:eastAsia="Palatino Linotype" w:hAnsi="Palatino Linotype" w:cs="Palatino Linotype"/>
          <w:noProof/>
          <w:sz w:val="22"/>
          <w:szCs w:val="22"/>
        </w:rPr>
        <mc:AlternateContent>
          <mc:Choice Requires="wps">
            <w:drawing>
              <wp:anchor distT="0" distB="0" distL="114300" distR="114300" simplePos="0" relativeHeight="251668480" behindDoc="0" locked="0" layoutInCell="1" allowOverlap="1" wp14:anchorId="208C7ACC" wp14:editId="484FAB11">
                <wp:simplePos x="0" y="0"/>
                <wp:positionH relativeFrom="column">
                  <wp:posOffset>472440</wp:posOffset>
                </wp:positionH>
                <wp:positionV relativeFrom="paragraph">
                  <wp:posOffset>985520</wp:posOffset>
                </wp:positionV>
                <wp:extent cx="1085850" cy="257175"/>
                <wp:effectExtent l="57150" t="38100" r="76200" b="104775"/>
                <wp:wrapNone/>
                <wp:docPr id="24" name="Rectángulo 24"/>
                <wp:cNvGraphicFramePr/>
                <a:graphic xmlns:a="http://schemas.openxmlformats.org/drawingml/2006/main">
                  <a:graphicData uri="http://schemas.microsoft.com/office/word/2010/wordprocessingShape">
                    <wps:wsp>
                      <wps:cNvSpPr/>
                      <wps:spPr>
                        <a:xfrm>
                          <a:off x="0" y="0"/>
                          <a:ext cx="1085850" cy="257175"/>
                        </a:xfrm>
                        <a:prstGeom prst="rect">
                          <a:avLst/>
                        </a:prstGeom>
                        <a:noFill/>
                        <a:ln w="38100">
                          <a:solidFill>
                            <a:srgbClr val="0000F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260C3E6" id="Rectángulo 24" o:spid="_x0000_s1026" style="position:absolute;margin-left:37.2pt;margin-top:77.6pt;width:85.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" filled="f" strokecolor="blue" strokeweight="3pt">
                <v:shadow on="t" color="black" opacity="22937f" origin=",.5" offset="0,.63889mm"/>
              </v:rect>
            </w:pict>
          </mc:Fallback>
        </mc:AlternateContent>
      </w:r>
      <w:r w:rsidRPr="00445611">
        <w:rPr>
          <w:rFonts w:ascii="Palatino Linotype" w:eastAsia="Palatino Linotype" w:hAnsi="Palatino Linotype" w:cs="Palatino Linotype"/>
          <w:noProof/>
          <w:sz w:val="22"/>
          <w:szCs w:val="22"/>
        </w:rPr>
        <w:drawing>
          <wp:inline distT="0" distB="0" distL="0" distR="0" wp14:anchorId="3362858A" wp14:editId="65A9DB38">
            <wp:extent cx="4772025" cy="1460009"/>
            <wp:effectExtent l="19050" t="19050" r="9525" b="260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16229" cy="1473533"/>
                    </a:xfrm>
                    <a:prstGeom prst="rect">
                      <a:avLst/>
                    </a:prstGeom>
                    <a:ln>
                      <a:solidFill>
                        <a:schemeClr val="tx1"/>
                      </a:solidFill>
                    </a:ln>
                  </pic:spPr>
                </pic:pic>
              </a:graphicData>
            </a:graphic>
          </wp:inline>
        </w:drawing>
      </w:r>
    </w:p>
    <w:p w14:paraId="0F2C2FE1" w14:textId="77777777" w:rsidR="009C2557" w:rsidRPr="00445611" w:rsidRDefault="009C2557" w:rsidP="009C2557">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Desde la respuesta </w:t>
      </w:r>
      <w:r w:rsidR="00540CF8" w:rsidRPr="00445611">
        <w:rPr>
          <w:rFonts w:ascii="Palatino Linotype" w:eastAsia="Palatino Linotype" w:hAnsi="Palatino Linotype" w:cs="Palatino Linotype"/>
          <w:sz w:val="22"/>
          <w:szCs w:val="22"/>
        </w:rPr>
        <w:t xml:space="preserve">advertimos que el </w:t>
      </w:r>
      <w:r w:rsidR="00540CF8" w:rsidRPr="00445611">
        <w:rPr>
          <w:rFonts w:ascii="Palatino Linotype" w:eastAsia="Palatino Linotype" w:hAnsi="Palatino Linotype" w:cs="Palatino Linotype"/>
          <w:b/>
          <w:sz w:val="22"/>
          <w:szCs w:val="22"/>
        </w:rPr>
        <w:t>Sujeto Obligado</w:t>
      </w:r>
      <w:r w:rsidR="00540CF8" w:rsidRPr="00445611">
        <w:rPr>
          <w:rFonts w:ascii="Palatino Linotype" w:eastAsia="Palatino Linotype" w:hAnsi="Palatino Linotype" w:cs="Palatino Linotype"/>
          <w:sz w:val="22"/>
          <w:szCs w:val="22"/>
        </w:rPr>
        <w:t xml:space="preserve"> se pronunció por conducto de </w:t>
      </w:r>
      <w:r w:rsidRPr="00445611">
        <w:rPr>
          <w:rFonts w:ascii="Palatino Linotype" w:eastAsia="Palatino Linotype" w:hAnsi="Palatino Linotype" w:cs="Palatino Linotype"/>
          <w:sz w:val="22"/>
          <w:szCs w:val="22"/>
        </w:rPr>
        <w:t>la Contraloría Interna Municipal, quien pone a disposición de la persona solicitante, la información relativa a las actas entrega-recepción del ejercicio 2022 y 2023  en consulta directa.</w:t>
      </w:r>
    </w:p>
    <w:p w14:paraId="2D3571A1" w14:textId="77777777" w:rsidR="009C2557" w:rsidRPr="00445611" w:rsidRDefault="009C2557" w:rsidP="009C2557">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Asimismo, adjunta los oficios suscritos por el Director General de Informática, quien señala que registra las incidencias técnicas, toda vez que el Sujeto Obligado pretende cargar un peso de 8.22 GB en ambos casos.</w:t>
      </w:r>
    </w:p>
    <w:p w14:paraId="7654EB60" w14:textId="77777777" w:rsidR="009C2557" w:rsidRPr="00445611" w:rsidRDefault="009C2557" w:rsidP="009C2557">
      <w:pPr>
        <w:spacing w:after="240" w:line="360" w:lineRule="auto"/>
        <w:ind w:right="-28"/>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Precisado lo anterior, conviene esquematizar los argumentos expuestos con anterioridad para efecto de determinar si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cumplió con los elementos necesarios para el cambio de modalidad:</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86"/>
        <w:gridCol w:w="2409"/>
      </w:tblGrid>
      <w:tr w:rsidR="00445611" w:rsidRPr="00445611" w14:paraId="2C1EB388" w14:textId="77777777" w:rsidTr="009C2557">
        <w:tc>
          <w:tcPr>
            <w:tcW w:w="1555" w:type="dxa"/>
            <w:shd w:val="clear" w:color="auto" w:fill="D6E3BC" w:themeFill="accent3" w:themeFillTint="66"/>
          </w:tcPr>
          <w:p w14:paraId="32D6C36D" w14:textId="77777777" w:rsidR="009C2557" w:rsidRPr="00445611" w:rsidRDefault="009C2557" w:rsidP="009D1F3A">
            <w:pPr>
              <w:spacing w:after="160" w:line="259" w:lineRule="auto"/>
              <w:jc w:val="center"/>
              <w:rPr>
                <w:rFonts w:ascii="Palatino Linotype" w:eastAsia="Palatino Linotype" w:hAnsi="Palatino Linotype" w:cs="Palatino Linotype"/>
                <w:b/>
                <w:sz w:val="20"/>
                <w:szCs w:val="22"/>
              </w:rPr>
            </w:pPr>
            <w:r w:rsidRPr="00445611">
              <w:rPr>
                <w:rFonts w:ascii="Palatino Linotype" w:eastAsia="Palatino Linotype" w:hAnsi="Palatino Linotype" w:cs="Palatino Linotype"/>
                <w:b/>
                <w:sz w:val="20"/>
                <w:szCs w:val="22"/>
              </w:rPr>
              <w:t>Elementos del cambio de modalidad</w:t>
            </w:r>
          </w:p>
        </w:tc>
        <w:tc>
          <w:tcPr>
            <w:tcW w:w="5386" w:type="dxa"/>
            <w:shd w:val="clear" w:color="auto" w:fill="D6E3BC" w:themeFill="accent3" w:themeFillTint="66"/>
          </w:tcPr>
          <w:p w14:paraId="741408AF" w14:textId="77777777" w:rsidR="009C2557" w:rsidRPr="00445611" w:rsidRDefault="009C2557" w:rsidP="009D1F3A">
            <w:pPr>
              <w:spacing w:after="160" w:line="259" w:lineRule="auto"/>
              <w:jc w:val="center"/>
              <w:rPr>
                <w:rFonts w:ascii="Palatino Linotype" w:eastAsia="Palatino Linotype" w:hAnsi="Palatino Linotype" w:cs="Palatino Linotype"/>
                <w:b/>
                <w:sz w:val="20"/>
                <w:szCs w:val="22"/>
              </w:rPr>
            </w:pPr>
            <w:r w:rsidRPr="00445611">
              <w:rPr>
                <w:rFonts w:ascii="Palatino Linotype" w:eastAsia="Palatino Linotype" w:hAnsi="Palatino Linotype" w:cs="Palatino Linotype"/>
                <w:b/>
                <w:sz w:val="20"/>
                <w:szCs w:val="22"/>
              </w:rPr>
              <w:t>Contenido</w:t>
            </w:r>
          </w:p>
        </w:tc>
        <w:tc>
          <w:tcPr>
            <w:tcW w:w="2409" w:type="dxa"/>
            <w:shd w:val="clear" w:color="auto" w:fill="D6E3BC" w:themeFill="accent3" w:themeFillTint="66"/>
          </w:tcPr>
          <w:p w14:paraId="3F9E047B" w14:textId="77777777" w:rsidR="009C2557" w:rsidRPr="00445611" w:rsidRDefault="009C2557" w:rsidP="009D1F3A">
            <w:pPr>
              <w:spacing w:after="160" w:line="259" w:lineRule="auto"/>
              <w:jc w:val="center"/>
              <w:rPr>
                <w:rFonts w:ascii="Palatino Linotype" w:eastAsia="Palatino Linotype" w:hAnsi="Palatino Linotype" w:cs="Palatino Linotype"/>
                <w:b/>
                <w:sz w:val="20"/>
                <w:szCs w:val="22"/>
              </w:rPr>
            </w:pPr>
            <w:r w:rsidRPr="00445611">
              <w:rPr>
                <w:rFonts w:ascii="Palatino Linotype" w:eastAsia="Palatino Linotype" w:hAnsi="Palatino Linotype" w:cs="Palatino Linotype"/>
                <w:b/>
                <w:sz w:val="20"/>
                <w:szCs w:val="22"/>
              </w:rPr>
              <w:t>Cumple</w:t>
            </w:r>
          </w:p>
        </w:tc>
      </w:tr>
      <w:tr w:rsidR="00445611" w:rsidRPr="00445611" w14:paraId="0167884A" w14:textId="77777777" w:rsidTr="009D1F3A">
        <w:tc>
          <w:tcPr>
            <w:tcW w:w="1555" w:type="dxa"/>
          </w:tcPr>
          <w:p w14:paraId="30DA41DF" w14:textId="77777777" w:rsidR="009C2557" w:rsidRPr="00445611" w:rsidRDefault="009C2557" w:rsidP="009D1F3A">
            <w:pPr>
              <w:spacing w:after="160" w:line="259" w:lineRule="auto"/>
              <w:jc w:val="center"/>
              <w:rPr>
                <w:rFonts w:ascii="Palatino Linotype" w:eastAsia="Palatino Linotype" w:hAnsi="Palatino Linotype" w:cs="Palatino Linotype"/>
                <w:sz w:val="20"/>
                <w:szCs w:val="22"/>
              </w:rPr>
            </w:pPr>
            <w:r w:rsidRPr="00445611">
              <w:rPr>
                <w:rFonts w:ascii="Palatino Linotype" w:eastAsia="Palatino Linotype" w:hAnsi="Palatino Linotype" w:cs="Palatino Linotype"/>
                <w:sz w:val="20"/>
                <w:szCs w:val="22"/>
              </w:rPr>
              <w:t>Número de folio de la solicitud</w:t>
            </w:r>
          </w:p>
        </w:tc>
        <w:tc>
          <w:tcPr>
            <w:tcW w:w="5386" w:type="dxa"/>
          </w:tcPr>
          <w:p w14:paraId="401DDD35" w14:textId="77777777" w:rsidR="009C2557" w:rsidRPr="00445611" w:rsidRDefault="009C2557" w:rsidP="009D1F3A">
            <w:pPr>
              <w:spacing w:after="160" w:line="259"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noProof/>
                <w:sz w:val="22"/>
                <w:szCs w:val="22"/>
              </w:rPr>
              <w:drawing>
                <wp:inline distT="0" distB="0" distL="0" distR="0" wp14:anchorId="404BD640" wp14:editId="38672619">
                  <wp:extent cx="3282950" cy="506730"/>
                  <wp:effectExtent l="19050" t="19050" r="12700" b="2667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82950" cy="506730"/>
                          </a:xfrm>
                          <a:prstGeom prst="rect">
                            <a:avLst/>
                          </a:prstGeom>
                          <a:ln>
                            <a:solidFill>
                              <a:schemeClr val="tx1"/>
                            </a:solidFill>
                          </a:ln>
                        </pic:spPr>
                      </pic:pic>
                    </a:graphicData>
                  </a:graphic>
                </wp:inline>
              </w:drawing>
            </w:r>
          </w:p>
          <w:p w14:paraId="54BC01E2" w14:textId="77777777" w:rsidR="009C2557" w:rsidRPr="00445611" w:rsidRDefault="009C2557" w:rsidP="009D1F3A">
            <w:pPr>
              <w:spacing w:after="160" w:line="259"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noProof/>
                <w:sz w:val="22"/>
                <w:szCs w:val="22"/>
              </w:rPr>
              <w:drawing>
                <wp:inline distT="0" distB="0" distL="0" distR="0" wp14:anchorId="682D668B" wp14:editId="30C3DE0E">
                  <wp:extent cx="3282950" cy="495935"/>
                  <wp:effectExtent l="19050" t="19050" r="12700" b="1841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82950" cy="495935"/>
                          </a:xfrm>
                          <a:prstGeom prst="rect">
                            <a:avLst/>
                          </a:prstGeom>
                          <a:ln>
                            <a:solidFill>
                              <a:schemeClr val="tx1"/>
                            </a:solidFill>
                          </a:ln>
                        </pic:spPr>
                      </pic:pic>
                    </a:graphicData>
                  </a:graphic>
                </wp:inline>
              </w:drawing>
            </w:r>
          </w:p>
        </w:tc>
        <w:tc>
          <w:tcPr>
            <w:tcW w:w="2409" w:type="dxa"/>
          </w:tcPr>
          <w:p w14:paraId="4BA12DD1" w14:textId="77777777" w:rsidR="009C2557" w:rsidRPr="00445611" w:rsidRDefault="009C2557" w:rsidP="009D1F3A">
            <w:pPr>
              <w:spacing w:after="160" w:line="259" w:lineRule="auto"/>
              <w:jc w:val="center"/>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Sí</w:t>
            </w:r>
          </w:p>
        </w:tc>
      </w:tr>
      <w:tr w:rsidR="00445611" w:rsidRPr="00445611" w14:paraId="520EAA2B" w14:textId="77777777" w:rsidTr="009D1F3A">
        <w:tc>
          <w:tcPr>
            <w:tcW w:w="1555" w:type="dxa"/>
          </w:tcPr>
          <w:p w14:paraId="7BE43ECB" w14:textId="77777777" w:rsidR="009C2557" w:rsidRPr="00445611" w:rsidRDefault="009C2557" w:rsidP="009D1F3A">
            <w:pPr>
              <w:spacing w:after="160" w:line="259" w:lineRule="auto"/>
              <w:jc w:val="center"/>
              <w:rPr>
                <w:rFonts w:ascii="Palatino Linotype" w:eastAsia="Palatino Linotype" w:hAnsi="Palatino Linotype" w:cs="Palatino Linotype"/>
                <w:sz w:val="20"/>
                <w:szCs w:val="22"/>
              </w:rPr>
            </w:pPr>
            <w:r w:rsidRPr="00445611">
              <w:rPr>
                <w:rFonts w:ascii="Palatino Linotype" w:eastAsia="Palatino Linotype" w:hAnsi="Palatino Linotype" w:cs="Palatino Linotype"/>
                <w:sz w:val="20"/>
                <w:szCs w:val="22"/>
              </w:rPr>
              <w:t>Referencia al peso de la información.</w:t>
            </w:r>
          </w:p>
        </w:tc>
        <w:tc>
          <w:tcPr>
            <w:tcW w:w="5386" w:type="dxa"/>
          </w:tcPr>
          <w:p w14:paraId="7E49EFA0" w14:textId="77777777" w:rsidR="009C2557" w:rsidRPr="00445611" w:rsidRDefault="009C2557" w:rsidP="009C2557">
            <w:pPr>
              <w:spacing w:after="160" w:line="360" w:lineRule="auto"/>
              <w:jc w:val="center"/>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0"/>
                <w:szCs w:val="22"/>
              </w:rPr>
              <w:t>8.22 GB en ambos casos</w:t>
            </w:r>
          </w:p>
        </w:tc>
        <w:tc>
          <w:tcPr>
            <w:tcW w:w="2409" w:type="dxa"/>
          </w:tcPr>
          <w:p w14:paraId="757AB87F" w14:textId="77777777" w:rsidR="009C2557" w:rsidRPr="00445611" w:rsidRDefault="009C2557" w:rsidP="009D1F3A">
            <w:pPr>
              <w:spacing w:after="160" w:line="360" w:lineRule="auto"/>
              <w:jc w:val="center"/>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No</w:t>
            </w:r>
          </w:p>
          <w:p w14:paraId="0004C538" w14:textId="77777777" w:rsidR="009C2557" w:rsidRPr="00445611" w:rsidRDefault="009C2557" w:rsidP="009C2557">
            <w:pPr>
              <w:spacing w:after="160"/>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18"/>
                <w:szCs w:val="22"/>
              </w:rPr>
              <w:t xml:space="preserve">Observaciones: </w:t>
            </w:r>
            <w:r w:rsidRPr="00445611">
              <w:rPr>
                <w:rFonts w:ascii="Palatino Linotype" w:eastAsia="Palatino Linotype" w:hAnsi="Palatino Linotype" w:cs="Palatino Linotype"/>
                <w:sz w:val="18"/>
                <w:szCs w:val="22"/>
              </w:rPr>
              <w:t>Como se detallará en líneas subsecuentes, existe una incongruencia en el peso de la información.</w:t>
            </w:r>
          </w:p>
        </w:tc>
      </w:tr>
      <w:tr w:rsidR="00445611" w:rsidRPr="00445611" w14:paraId="5FAA4A8E" w14:textId="77777777" w:rsidTr="009D1F3A">
        <w:tc>
          <w:tcPr>
            <w:tcW w:w="1555" w:type="dxa"/>
          </w:tcPr>
          <w:p w14:paraId="17A30FA3" w14:textId="77777777" w:rsidR="009C2557" w:rsidRPr="00445611" w:rsidRDefault="009C2557" w:rsidP="009D1F3A">
            <w:pPr>
              <w:spacing w:after="160" w:line="259" w:lineRule="auto"/>
              <w:jc w:val="center"/>
              <w:rPr>
                <w:rFonts w:ascii="Palatino Linotype" w:eastAsia="Palatino Linotype" w:hAnsi="Palatino Linotype" w:cs="Palatino Linotype"/>
                <w:sz w:val="20"/>
                <w:szCs w:val="22"/>
              </w:rPr>
            </w:pPr>
            <w:r w:rsidRPr="00445611">
              <w:rPr>
                <w:rFonts w:ascii="Palatino Linotype" w:eastAsia="Palatino Linotype" w:hAnsi="Palatino Linotype" w:cs="Palatino Linotype"/>
                <w:sz w:val="20"/>
                <w:szCs w:val="22"/>
              </w:rPr>
              <w:t>Referencia a otras modalidades de entrega de la información.</w:t>
            </w:r>
          </w:p>
        </w:tc>
        <w:tc>
          <w:tcPr>
            <w:tcW w:w="5386" w:type="dxa"/>
          </w:tcPr>
          <w:p w14:paraId="659BA3A6" w14:textId="77777777" w:rsidR="009C2557" w:rsidRPr="00445611" w:rsidRDefault="009C2557" w:rsidP="009C2557">
            <w:pPr>
              <w:spacing w:after="160" w:line="276" w:lineRule="auto"/>
              <w:jc w:val="center"/>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0"/>
                <w:szCs w:val="22"/>
              </w:rPr>
              <w:t>No se hace referencia a otras modalidades de entrega de la información.</w:t>
            </w:r>
          </w:p>
        </w:tc>
        <w:tc>
          <w:tcPr>
            <w:tcW w:w="2409" w:type="dxa"/>
          </w:tcPr>
          <w:p w14:paraId="1EE2036E" w14:textId="77777777" w:rsidR="009C2557" w:rsidRPr="00445611" w:rsidRDefault="009C2557" w:rsidP="009D1F3A">
            <w:pPr>
              <w:spacing w:after="160"/>
              <w:jc w:val="center"/>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No</w:t>
            </w:r>
          </w:p>
        </w:tc>
      </w:tr>
      <w:tr w:rsidR="00445611" w:rsidRPr="00445611" w14:paraId="2F3D256E" w14:textId="77777777" w:rsidTr="009D1F3A">
        <w:tc>
          <w:tcPr>
            <w:tcW w:w="1555" w:type="dxa"/>
          </w:tcPr>
          <w:p w14:paraId="22FB2140" w14:textId="77777777" w:rsidR="009C2557" w:rsidRPr="00445611" w:rsidRDefault="009C2557" w:rsidP="009D1F3A">
            <w:pPr>
              <w:spacing w:after="160" w:line="259" w:lineRule="auto"/>
              <w:jc w:val="center"/>
              <w:rPr>
                <w:rFonts w:ascii="Palatino Linotype" w:eastAsia="Palatino Linotype" w:hAnsi="Palatino Linotype" w:cs="Palatino Linotype"/>
                <w:sz w:val="20"/>
                <w:szCs w:val="22"/>
              </w:rPr>
            </w:pPr>
            <w:r w:rsidRPr="00445611">
              <w:rPr>
                <w:rFonts w:ascii="Palatino Linotype" w:eastAsia="Palatino Linotype" w:hAnsi="Palatino Linotype" w:cs="Palatino Linotype"/>
                <w:sz w:val="20"/>
                <w:szCs w:val="22"/>
              </w:rPr>
              <w:t xml:space="preserve">Referencia que la información se pone a </w:t>
            </w:r>
            <w:r w:rsidRPr="00445611">
              <w:rPr>
                <w:rFonts w:ascii="Palatino Linotype" w:eastAsia="Palatino Linotype" w:hAnsi="Palatino Linotype" w:cs="Palatino Linotype"/>
                <w:sz w:val="20"/>
                <w:szCs w:val="22"/>
              </w:rPr>
              <w:lastRenderedPageBreak/>
              <w:t>disposición por 60 días</w:t>
            </w:r>
          </w:p>
        </w:tc>
        <w:tc>
          <w:tcPr>
            <w:tcW w:w="5386" w:type="dxa"/>
          </w:tcPr>
          <w:p w14:paraId="17374ACD" w14:textId="77777777" w:rsidR="009C2557" w:rsidRPr="00445611" w:rsidRDefault="009C2557" w:rsidP="009D1F3A">
            <w:pPr>
              <w:spacing w:after="160"/>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sz w:val="20"/>
                <w:szCs w:val="22"/>
              </w:rPr>
              <w:lastRenderedPageBreak/>
              <w:t xml:space="preserve">   </w:t>
            </w:r>
            <w:r w:rsidRPr="00445611">
              <w:rPr>
                <w:rFonts w:ascii="Palatino Linotype" w:eastAsia="Palatino Linotype" w:hAnsi="Palatino Linotype" w:cs="Palatino Linotype"/>
                <w:b/>
                <w:sz w:val="20"/>
                <w:szCs w:val="22"/>
              </w:rPr>
              <w:t xml:space="preserve">Únicamente lo refiere para el caso de la consulta directa </w:t>
            </w:r>
          </w:p>
        </w:tc>
        <w:tc>
          <w:tcPr>
            <w:tcW w:w="2409" w:type="dxa"/>
          </w:tcPr>
          <w:p w14:paraId="3F3D56F1" w14:textId="77777777" w:rsidR="009C2557" w:rsidRPr="00445611" w:rsidRDefault="009C2557" w:rsidP="009D1F3A">
            <w:pPr>
              <w:spacing w:after="160" w:line="360" w:lineRule="auto"/>
              <w:jc w:val="center"/>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Parcialmente</w:t>
            </w:r>
          </w:p>
        </w:tc>
      </w:tr>
      <w:tr w:rsidR="009C2557" w:rsidRPr="00445611" w14:paraId="7D1E2782" w14:textId="77777777" w:rsidTr="009D1F3A">
        <w:tc>
          <w:tcPr>
            <w:tcW w:w="1555" w:type="dxa"/>
          </w:tcPr>
          <w:p w14:paraId="57D1CA8C" w14:textId="77777777" w:rsidR="009C2557" w:rsidRPr="00445611" w:rsidRDefault="009C2557" w:rsidP="009D1F3A">
            <w:pPr>
              <w:spacing w:after="160" w:line="259" w:lineRule="auto"/>
              <w:jc w:val="center"/>
              <w:rPr>
                <w:rFonts w:ascii="Palatino Linotype" w:eastAsia="Palatino Linotype" w:hAnsi="Palatino Linotype" w:cs="Palatino Linotype"/>
                <w:sz w:val="20"/>
                <w:szCs w:val="22"/>
              </w:rPr>
            </w:pPr>
            <w:r w:rsidRPr="00445611">
              <w:rPr>
                <w:rFonts w:ascii="Palatino Linotype" w:eastAsia="Palatino Linotype" w:hAnsi="Palatino Linotype" w:cs="Palatino Linotype"/>
                <w:sz w:val="20"/>
                <w:szCs w:val="22"/>
              </w:rPr>
              <w:t>Registro  de su incidencia ante informática</w:t>
            </w:r>
          </w:p>
        </w:tc>
        <w:tc>
          <w:tcPr>
            <w:tcW w:w="5386" w:type="dxa"/>
          </w:tcPr>
          <w:p w14:paraId="265431AE" w14:textId="77777777" w:rsidR="009C2557" w:rsidRPr="00445611" w:rsidRDefault="009C2557" w:rsidP="009D1F3A">
            <w:pPr>
              <w:spacing w:after="160" w:line="276"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noProof/>
                <w:sz w:val="22"/>
                <w:szCs w:val="22"/>
              </w:rPr>
              <w:drawing>
                <wp:inline distT="0" distB="0" distL="0" distR="0" wp14:anchorId="652A86B7" wp14:editId="2B7F0D32">
                  <wp:extent cx="3276637" cy="1647825"/>
                  <wp:effectExtent l="19050" t="19050" r="1905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6979" cy="1653026"/>
                          </a:xfrm>
                          <a:prstGeom prst="rect">
                            <a:avLst/>
                          </a:prstGeom>
                          <a:ln>
                            <a:solidFill>
                              <a:schemeClr val="tx1"/>
                            </a:solidFill>
                          </a:ln>
                        </pic:spPr>
                      </pic:pic>
                    </a:graphicData>
                  </a:graphic>
                </wp:inline>
              </w:drawing>
            </w:r>
          </w:p>
          <w:p w14:paraId="0702AB5E" w14:textId="77777777" w:rsidR="009C2557" w:rsidRPr="00445611" w:rsidRDefault="009C2557" w:rsidP="009D1F3A">
            <w:pPr>
              <w:spacing w:after="160" w:line="276"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noProof/>
                <w:sz w:val="22"/>
                <w:szCs w:val="22"/>
              </w:rPr>
              <w:drawing>
                <wp:inline distT="0" distB="0" distL="0" distR="0" wp14:anchorId="442A1486" wp14:editId="1D623EF6">
                  <wp:extent cx="3282950" cy="1616075"/>
                  <wp:effectExtent l="19050" t="19050" r="12700" b="222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2950" cy="1616075"/>
                          </a:xfrm>
                          <a:prstGeom prst="rect">
                            <a:avLst/>
                          </a:prstGeom>
                          <a:ln>
                            <a:solidFill>
                              <a:schemeClr val="tx1"/>
                            </a:solidFill>
                          </a:ln>
                        </pic:spPr>
                      </pic:pic>
                    </a:graphicData>
                  </a:graphic>
                </wp:inline>
              </w:drawing>
            </w:r>
          </w:p>
        </w:tc>
        <w:tc>
          <w:tcPr>
            <w:tcW w:w="2409" w:type="dxa"/>
          </w:tcPr>
          <w:p w14:paraId="0C74EFBF" w14:textId="77777777" w:rsidR="009C2557" w:rsidRPr="00445611" w:rsidRDefault="009C2557" w:rsidP="009D1F3A">
            <w:pPr>
              <w:spacing w:after="160" w:line="360" w:lineRule="auto"/>
              <w:jc w:val="center"/>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Sí</w:t>
            </w:r>
          </w:p>
        </w:tc>
      </w:tr>
    </w:tbl>
    <w:p w14:paraId="08DE9E1E" w14:textId="77777777" w:rsidR="009C2557" w:rsidRPr="00445611" w:rsidRDefault="009C2557" w:rsidP="009C2557">
      <w:pPr>
        <w:spacing w:line="360" w:lineRule="auto"/>
        <w:jc w:val="both"/>
        <w:rPr>
          <w:rFonts w:ascii="Palatino Linotype" w:eastAsia="Palatino Linotype" w:hAnsi="Palatino Linotype" w:cs="Palatino Linotype"/>
          <w:sz w:val="22"/>
          <w:szCs w:val="22"/>
        </w:rPr>
      </w:pPr>
    </w:p>
    <w:p w14:paraId="5F6489FD" w14:textId="77777777" w:rsidR="009D1F3A" w:rsidRPr="00445611" w:rsidRDefault="009D1F3A">
      <w:pPr>
        <w:spacing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Por lo anteriormente esquematizado, se puede observar que el cambio de modalidad propuesto por el</w:t>
      </w:r>
      <w:r w:rsidRPr="00445611">
        <w:rPr>
          <w:rFonts w:ascii="Palatino Linotype" w:eastAsia="Palatino Linotype" w:hAnsi="Palatino Linotype" w:cs="Palatino Linotype"/>
          <w:b/>
          <w:sz w:val="22"/>
          <w:szCs w:val="22"/>
        </w:rPr>
        <w:t xml:space="preserve"> Sujeto Obligado parcialmente cumple</w:t>
      </w:r>
      <w:r w:rsidRPr="00445611">
        <w:rPr>
          <w:rFonts w:ascii="Palatino Linotype" w:eastAsia="Palatino Linotype" w:hAnsi="Palatino Linotype" w:cs="Palatino Linotype"/>
          <w:sz w:val="22"/>
          <w:szCs w:val="22"/>
        </w:rPr>
        <w:t xml:space="preserve"> con las formalidades establecidas por los ordenamientos en materia de transparencia, en virtud de que no proporcionó otras modalidades, existe una incongruencia en el peso de la información y únicamente hace referencia a la puesta a disposición por 60 días para </w:t>
      </w:r>
      <w:r w:rsidR="00716F8A" w:rsidRPr="00445611">
        <w:rPr>
          <w:rFonts w:ascii="Palatino Linotype" w:eastAsia="Palatino Linotype" w:hAnsi="Palatino Linotype" w:cs="Palatino Linotype"/>
          <w:sz w:val="22"/>
          <w:szCs w:val="22"/>
        </w:rPr>
        <w:t>efectos de la consulta directa.</w:t>
      </w:r>
    </w:p>
    <w:p w14:paraId="2F0E8561" w14:textId="77777777" w:rsidR="009D1F3A" w:rsidRPr="00445611" w:rsidRDefault="009D1F3A">
      <w:pPr>
        <w:spacing w:line="360" w:lineRule="auto"/>
        <w:ind w:right="49"/>
        <w:jc w:val="both"/>
        <w:rPr>
          <w:rFonts w:ascii="Palatino Linotype" w:eastAsia="Palatino Linotype" w:hAnsi="Palatino Linotype" w:cs="Palatino Linotype"/>
          <w:sz w:val="22"/>
          <w:szCs w:val="22"/>
        </w:rPr>
      </w:pPr>
    </w:p>
    <w:p w14:paraId="3E21CE3A" w14:textId="715371D9" w:rsidR="009D1F3A" w:rsidRPr="00445611" w:rsidRDefault="009D1F3A">
      <w:pPr>
        <w:spacing w:line="360" w:lineRule="auto"/>
        <w:ind w:right="49"/>
        <w:jc w:val="both"/>
        <w:rPr>
          <w:rFonts w:ascii="Palatino Linotype" w:eastAsia="Palatino Linotype" w:hAnsi="Palatino Linotype" w:cs="Palatino Linotype"/>
          <w:b/>
          <w:sz w:val="22"/>
          <w:szCs w:val="22"/>
          <w:u w:val="single"/>
        </w:rPr>
      </w:pPr>
      <w:r w:rsidRPr="00445611">
        <w:rPr>
          <w:rFonts w:ascii="Palatino Linotype" w:eastAsia="Palatino Linotype" w:hAnsi="Palatino Linotype" w:cs="Palatino Linotype"/>
          <w:sz w:val="22"/>
          <w:szCs w:val="22"/>
        </w:rPr>
        <w:t xml:space="preserve">Bajo otro orden de ideas, debemos recordar que </w:t>
      </w:r>
      <w:r w:rsidR="00540CF8" w:rsidRPr="00445611">
        <w:rPr>
          <w:rFonts w:ascii="Palatino Linotype" w:eastAsia="Palatino Linotype" w:hAnsi="Palatino Linotype" w:cs="Palatino Linotype"/>
          <w:sz w:val="22"/>
          <w:szCs w:val="22"/>
        </w:rPr>
        <w:t xml:space="preserve">este Instituto realizó un requerimiento de información adicional al </w:t>
      </w:r>
      <w:r w:rsidR="00540CF8" w:rsidRPr="00445611">
        <w:rPr>
          <w:rFonts w:ascii="Palatino Linotype" w:eastAsia="Palatino Linotype" w:hAnsi="Palatino Linotype" w:cs="Palatino Linotype"/>
          <w:b/>
          <w:sz w:val="22"/>
          <w:szCs w:val="22"/>
        </w:rPr>
        <w:t>Sujeto Obligado</w:t>
      </w:r>
      <w:r w:rsidR="00540CF8" w:rsidRPr="00445611">
        <w:rPr>
          <w:rFonts w:ascii="Palatino Linotype" w:eastAsia="Palatino Linotype" w:hAnsi="Palatino Linotype" w:cs="Palatino Linotype"/>
          <w:sz w:val="22"/>
          <w:szCs w:val="22"/>
        </w:rPr>
        <w:t xml:space="preserve">, tendiente a conocer </w:t>
      </w:r>
      <w:r w:rsidR="00540CF8" w:rsidRPr="00445611">
        <w:rPr>
          <w:rFonts w:ascii="Palatino Linotype" w:eastAsia="Palatino Linotype" w:hAnsi="Palatino Linotype" w:cs="Palatino Linotype"/>
          <w:b/>
          <w:sz w:val="22"/>
          <w:szCs w:val="22"/>
          <w:u w:val="single"/>
        </w:rPr>
        <w:t>el número de</w:t>
      </w:r>
      <w:r w:rsidRPr="00445611">
        <w:rPr>
          <w:rFonts w:ascii="Palatino Linotype" w:eastAsia="Palatino Linotype" w:hAnsi="Palatino Linotype" w:cs="Palatino Linotype"/>
          <w:b/>
          <w:sz w:val="22"/>
          <w:szCs w:val="22"/>
          <w:u w:val="single"/>
        </w:rPr>
        <w:t xml:space="preserve"> actas entrega-recepción generadas durante los años 2022 y 2023, así como las hojas que las conforman, obteniendo así lo siguiente: </w:t>
      </w:r>
    </w:p>
    <w:p w14:paraId="31F157D8" w14:textId="77777777" w:rsidR="009D1F3A" w:rsidRPr="00445611" w:rsidRDefault="009D1F3A" w:rsidP="009D1F3A">
      <w:pPr>
        <w:pStyle w:val="Prrafodelista"/>
        <w:numPr>
          <w:ilvl w:val="0"/>
          <w:numId w:val="10"/>
        </w:numPr>
        <w:spacing w:before="240" w:after="240" w:line="276" w:lineRule="auto"/>
        <w:ind w:left="567" w:right="900" w:hanging="141"/>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 xml:space="preserve">En el año 2022, se generaron </w:t>
      </w:r>
      <w:r w:rsidRPr="00445611">
        <w:rPr>
          <w:rFonts w:ascii="Palatino Linotype" w:eastAsia="Palatino Linotype" w:hAnsi="Palatino Linotype" w:cs="Palatino Linotype"/>
          <w:b/>
          <w:sz w:val="22"/>
          <w:szCs w:val="22"/>
        </w:rPr>
        <w:t xml:space="preserve">488 </w:t>
      </w:r>
      <w:r w:rsidRPr="00445611">
        <w:rPr>
          <w:rFonts w:ascii="Palatino Linotype" w:eastAsia="Palatino Linotype" w:hAnsi="Palatino Linotype" w:cs="Palatino Linotype"/>
          <w:sz w:val="22"/>
          <w:szCs w:val="22"/>
        </w:rPr>
        <w:t xml:space="preserve">actas entregas recepción y su número de fojas de las actas entrega recepción son de </w:t>
      </w:r>
      <w:r w:rsidRPr="00445611">
        <w:rPr>
          <w:rFonts w:ascii="Palatino Linotype" w:eastAsia="Palatino Linotype" w:hAnsi="Palatino Linotype" w:cs="Palatino Linotype"/>
          <w:b/>
          <w:sz w:val="22"/>
          <w:szCs w:val="22"/>
        </w:rPr>
        <w:t>29,000.</w:t>
      </w:r>
      <w:r w:rsidRPr="00445611">
        <w:rPr>
          <w:rFonts w:ascii="Palatino Linotype" w:eastAsia="Palatino Linotype" w:hAnsi="Palatino Linotype" w:cs="Palatino Linotype"/>
          <w:sz w:val="22"/>
          <w:szCs w:val="22"/>
        </w:rPr>
        <w:t xml:space="preserve"> </w:t>
      </w:r>
    </w:p>
    <w:p w14:paraId="12C3CBF8" w14:textId="77777777" w:rsidR="009D1F3A" w:rsidRPr="00445611" w:rsidRDefault="009D1F3A" w:rsidP="009D1F3A">
      <w:pPr>
        <w:pStyle w:val="Prrafodelista"/>
        <w:spacing w:before="240" w:after="240" w:line="276" w:lineRule="auto"/>
        <w:ind w:left="567" w:right="900"/>
        <w:jc w:val="both"/>
        <w:rPr>
          <w:rFonts w:ascii="Palatino Linotype" w:eastAsia="Palatino Linotype" w:hAnsi="Palatino Linotype" w:cs="Palatino Linotype"/>
          <w:sz w:val="22"/>
          <w:szCs w:val="22"/>
        </w:rPr>
      </w:pPr>
    </w:p>
    <w:p w14:paraId="7C749C0B" w14:textId="77777777" w:rsidR="009D1F3A" w:rsidRPr="00445611" w:rsidRDefault="009D1F3A" w:rsidP="009D1F3A">
      <w:pPr>
        <w:pStyle w:val="Prrafodelista"/>
        <w:numPr>
          <w:ilvl w:val="0"/>
          <w:numId w:val="10"/>
        </w:numPr>
        <w:spacing w:before="240" w:after="240" w:line="276" w:lineRule="auto"/>
        <w:ind w:left="567" w:right="900" w:hanging="141"/>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sz w:val="22"/>
          <w:szCs w:val="22"/>
        </w:rPr>
        <w:t xml:space="preserve">En el año 2023, se generaron </w:t>
      </w:r>
      <w:r w:rsidRPr="00445611">
        <w:rPr>
          <w:rFonts w:ascii="Palatino Linotype" w:eastAsia="Palatino Linotype" w:hAnsi="Palatino Linotype" w:cs="Palatino Linotype"/>
          <w:b/>
          <w:sz w:val="22"/>
          <w:szCs w:val="22"/>
        </w:rPr>
        <w:t xml:space="preserve">140 </w:t>
      </w:r>
      <w:r w:rsidRPr="00445611">
        <w:rPr>
          <w:rFonts w:ascii="Palatino Linotype" w:eastAsia="Palatino Linotype" w:hAnsi="Palatino Linotype" w:cs="Palatino Linotype"/>
          <w:sz w:val="22"/>
          <w:szCs w:val="22"/>
        </w:rPr>
        <w:t xml:space="preserve">actas entregas recepción y su número de fojas de las actas entrega recepción son de </w:t>
      </w:r>
      <w:r w:rsidRPr="00445611">
        <w:rPr>
          <w:rFonts w:ascii="Palatino Linotype" w:eastAsia="Palatino Linotype" w:hAnsi="Palatino Linotype" w:cs="Palatino Linotype"/>
          <w:b/>
          <w:sz w:val="22"/>
          <w:szCs w:val="22"/>
        </w:rPr>
        <w:t xml:space="preserve">20,000. </w:t>
      </w:r>
    </w:p>
    <w:p w14:paraId="20933F9E" w14:textId="77777777" w:rsidR="009D1F3A" w:rsidRPr="00445611" w:rsidRDefault="009D1F3A" w:rsidP="009D1F3A">
      <w:pPr>
        <w:spacing w:before="240" w:after="240"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No obstante lo anterior, debemos tener en cuenta que </w:t>
      </w:r>
      <w:r w:rsidRPr="00445611">
        <w:rPr>
          <w:rFonts w:ascii="Palatino Linotype" w:eastAsia="Palatino Linotype" w:hAnsi="Palatino Linotype" w:cs="Palatino Linotype"/>
          <w:b/>
          <w:sz w:val="22"/>
          <w:szCs w:val="22"/>
          <w:u w:val="single"/>
        </w:rPr>
        <w:t>pese a que existe una diferencia de 9,000 fojas según lo que reporta el Sujeto Obligado en el requerimiento de información adicional, el peso de la información en ambos casos es de 8.22 GB</w:t>
      </w:r>
      <w:r w:rsidRPr="00445611">
        <w:rPr>
          <w:rFonts w:ascii="Palatino Linotype" w:eastAsia="Palatino Linotype" w:hAnsi="Palatino Linotype" w:cs="Palatino Linotype"/>
          <w:sz w:val="22"/>
          <w:szCs w:val="22"/>
        </w:rPr>
        <w:t>, circunstancia que no resulta congruente y por ende, no otorga certeza respecto del peso de la información.</w:t>
      </w:r>
    </w:p>
    <w:p w14:paraId="4BFC6059" w14:textId="290552D3" w:rsidR="00716F8A" w:rsidRPr="00445611" w:rsidRDefault="00A9640B" w:rsidP="00716F8A">
      <w:pPr>
        <w:spacing w:before="240" w:after="240" w:line="360" w:lineRule="auto"/>
        <w:ind w:right="49"/>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sz w:val="22"/>
          <w:szCs w:val="22"/>
        </w:rPr>
        <w:t xml:space="preserve">No obstante lo anterior, como </w:t>
      </w:r>
      <w:r w:rsidR="00716F8A" w:rsidRPr="00445611">
        <w:rPr>
          <w:rFonts w:ascii="Palatino Linotype" w:eastAsia="Palatino Linotype" w:hAnsi="Palatino Linotype" w:cs="Palatino Linotype"/>
          <w:sz w:val="22"/>
          <w:szCs w:val="22"/>
        </w:rPr>
        <w:t xml:space="preserve">se citó en líneas anteriores, los Lineamientos que norman la Entrega-Recepción de los Ayuntamientos, sus Dependencias y Organismos Descentralizados Municipales del Estado de México aplicables para la entrega-recepción del periodo 2022-2024, contemplan en su artículo 21 que </w:t>
      </w:r>
      <w:r w:rsidR="00716F8A" w:rsidRPr="00445611">
        <w:rPr>
          <w:rFonts w:ascii="Palatino Linotype" w:eastAsia="Palatino Linotype" w:hAnsi="Palatino Linotype" w:cs="Palatino Linotype"/>
          <w:b/>
          <w:sz w:val="22"/>
          <w:szCs w:val="22"/>
        </w:rPr>
        <w:t>al acta de entrega-recepción de conclusión de gestión constitucional (AER-1), de manera independiente, en medio electrónico y sin perjuicio de que obre en los formatos del Sistema, deberá adicionarse obligatoriamente lo siguiente:</w:t>
      </w:r>
    </w:p>
    <w:p w14:paraId="2C0908E8" w14:textId="77777777" w:rsidR="00716F8A" w:rsidRPr="00445611" w:rsidRDefault="00716F8A" w:rsidP="00716F8A">
      <w:pPr>
        <w:spacing w:before="240" w:after="240" w:line="360" w:lineRule="auto"/>
        <w:ind w:right="49"/>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I. El informe correspondiente al cuarto trimestre del último ejercicio fiscal de la Administración Pública Municipal saliente, debidamente rubricado para la administración entrante;</w:t>
      </w:r>
    </w:p>
    <w:p w14:paraId="71A76633" w14:textId="77777777" w:rsidR="00716F8A" w:rsidRPr="00445611" w:rsidRDefault="00716F8A" w:rsidP="00716F8A">
      <w:pPr>
        <w:spacing w:before="240" w:after="240" w:line="360" w:lineRule="auto"/>
        <w:ind w:right="49"/>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II. La cuenta pública correspondiente al último ejercicio fiscal de la Administración Pública Municipal saliente debidamente rubricada para la administración entrante;</w:t>
      </w:r>
    </w:p>
    <w:p w14:paraId="3E089C07" w14:textId="77777777" w:rsidR="00716F8A" w:rsidRPr="00445611" w:rsidRDefault="00716F8A" w:rsidP="00716F8A">
      <w:pPr>
        <w:spacing w:before="240" w:after="240" w:line="360" w:lineRule="auto"/>
        <w:ind w:right="49"/>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III. El presupuesto de egresos debidamente rubricado para la administración entrante para el ejercicio que inicia, de acuerdo a lo establecido en la normatividad en la materia.</w:t>
      </w:r>
    </w:p>
    <w:p w14:paraId="29DE4D61" w14:textId="58878276" w:rsidR="00716F8A" w:rsidRPr="00445611" w:rsidRDefault="00A9640B" w:rsidP="00237C6D">
      <w:pPr>
        <w:spacing w:before="240" w:after="240"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 xml:space="preserve">Por consiguiente, se advierte que toda vez que el requerimiento de información versa sobre las documentales generadas por las entregas-recepción de los años 2022 y 2023, debemos tener en cuenta que no sólo manifestó el número de fojas de las actas sino de los anexos que se adjuntan a dichas actas, por lo tanto, teniendo en cuenta esta circunstancia, así como que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w:t>
      </w:r>
      <w:r w:rsidR="00237C6D" w:rsidRPr="00445611">
        <w:rPr>
          <w:rFonts w:ascii="Palatino Linotype" w:eastAsia="Palatino Linotype" w:hAnsi="Palatino Linotype" w:cs="Palatino Linotype"/>
          <w:sz w:val="22"/>
          <w:szCs w:val="22"/>
        </w:rPr>
        <w:t xml:space="preserve">ya señaló en el desahogo del requerimiento de información adicional que el número de fojas para las 488 actas entrega-recepción son 29,000 y las del año 2023 asciende a 20,000, </w:t>
      </w:r>
      <w:r w:rsidR="00716F8A" w:rsidRPr="00445611">
        <w:rPr>
          <w:rFonts w:ascii="Palatino Linotype" w:eastAsia="Palatino Linotype" w:hAnsi="Palatino Linotype" w:cs="Palatino Linotype"/>
          <w:b/>
          <w:sz w:val="22"/>
          <w:szCs w:val="22"/>
        </w:rPr>
        <w:t>es dable afirmar que a partir de esto</w:t>
      </w:r>
      <w:r w:rsidR="00237C6D" w:rsidRPr="00445611">
        <w:rPr>
          <w:rFonts w:ascii="Palatino Linotype" w:eastAsia="Palatino Linotype" w:hAnsi="Palatino Linotype" w:cs="Palatino Linotype"/>
          <w:b/>
          <w:sz w:val="22"/>
          <w:szCs w:val="22"/>
        </w:rPr>
        <w:t>s elementos</w:t>
      </w:r>
      <w:r w:rsidR="00716F8A" w:rsidRPr="00445611">
        <w:rPr>
          <w:rFonts w:ascii="Palatino Linotype" w:eastAsia="Palatino Linotype" w:hAnsi="Palatino Linotype" w:cs="Palatino Linotype"/>
          <w:b/>
          <w:sz w:val="22"/>
          <w:szCs w:val="22"/>
        </w:rPr>
        <w:t xml:space="preserve"> es posible determinar que estemos ante una incapacidad técnica para cargar la información al SAIMEX.</w:t>
      </w:r>
    </w:p>
    <w:p w14:paraId="504B4320" w14:textId="4F003F1C" w:rsidR="00830242" w:rsidRPr="00445611" w:rsidRDefault="00237C6D">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Por otro lado, resulta importante mencionar</w:t>
      </w:r>
      <w:r w:rsidR="00540CF8" w:rsidRPr="00445611">
        <w:rPr>
          <w:rFonts w:ascii="Palatino Linotype" w:eastAsia="Palatino Linotype" w:hAnsi="Palatino Linotype" w:cs="Palatino Linotype"/>
          <w:sz w:val="22"/>
          <w:szCs w:val="22"/>
        </w:rPr>
        <w:t>, el Organismo Garante Nacional, ha considerado que no resulta suficiente justificar una imposibilidad técnica y humana para acreditar un cambio de modalidad, sino que es necesario demostrar otros impedimentos, como que la información se encontrará en un formato diverso a lo solicitado, que fuera de imposible reproducción en el medio elegido por el Solicitante, que la información ameritara el cruce de información en los sistemas de datos, entre otros, argumentos que encuentran sustento dentro diversas de sus resoluciones de Recursos de Inconformidad, por enunciar algunas, RIA 136/20, RIA 140/20, RIA 153/20 RIA 237/20, RIA 257/20, RIA 258/20, ello con el fin de privilegiar el Principio de Gratuidad y Máxima Publicidad, por lo que en el presente caso</w:t>
      </w:r>
      <w:r w:rsidR="00F23F7C" w:rsidRPr="00445611">
        <w:rPr>
          <w:rFonts w:ascii="Palatino Linotype" w:eastAsia="Palatino Linotype" w:hAnsi="Palatino Linotype" w:cs="Palatino Linotype"/>
          <w:sz w:val="22"/>
          <w:szCs w:val="22"/>
        </w:rPr>
        <w:t xml:space="preserve">, se tiene que </w:t>
      </w:r>
      <w:r w:rsidR="00540CF8" w:rsidRPr="00445611">
        <w:rPr>
          <w:rFonts w:ascii="Palatino Linotype" w:eastAsia="Palatino Linotype" w:hAnsi="Palatino Linotype" w:cs="Palatino Linotype"/>
          <w:sz w:val="22"/>
          <w:szCs w:val="22"/>
        </w:rPr>
        <w:t xml:space="preserve"> el </w:t>
      </w:r>
      <w:r w:rsidR="00540CF8" w:rsidRPr="00445611">
        <w:rPr>
          <w:rFonts w:ascii="Palatino Linotype" w:eastAsia="Palatino Linotype" w:hAnsi="Palatino Linotype" w:cs="Palatino Linotype"/>
          <w:b/>
          <w:sz w:val="22"/>
          <w:szCs w:val="22"/>
        </w:rPr>
        <w:t xml:space="preserve">Sujeto </w:t>
      </w:r>
      <w:r w:rsidR="00540CF8" w:rsidRPr="00445611">
        <w:rPr>
          <w:rFonts w:ascii="Palatino Linotype" w:eastAsia="Palatino Linotype" w:hAnsi="Palatino Linotype" w:cs="Palatino Linotype"/>
          <w:b/>
          <w:sz w:val="22"/>
          <w:szCs w:val="22"/>
          <w:u w:val="single"/>
        </w:rPr>
        <w:t xml:space="preserve">Obligado </w:t>
      </w:r>
      <w:r w:rsidR="00716F8A" w:rsidRPr="00445611">
        <w:rPr>
          <w:rFonts w:ascii="Palatino Linotype" w:eastAsia="Palatino Linotype" w:hAnsi="Palatino Linotype" w:cs="Palatino Linotype"/>
          <w:b/>
          <w:sz w:val="22"/>
          <w:szCs w:val="22"/>
          <w:u w:val="single"/>
        </w:rPr>
        <w:t xml:space="preserve">no </w:t>
      </w:r>
      <w:r w:rsidR="00540CF8" w:rsidRPr="00445611">
        <w:rPr>
          <w:rFonts w:ascii="Palatino Linotype" w:eastAsia="Palatino Linotype" w:hAnsi="Palatino Linotype" w:cs="Palatino Linotype"/>
          <w:b/>
          <w:sz w:val="22"/>
          <w:szCs w:val="22"/>
          <w:u w:val="single"/>
        </w:rPr>
        <w:t>proporcionó otras modalidades</w:t>
      </w:r>
      <w:r w:rsidR="00AE1561" w:rsidRPr="00445611">
        <w:rPr>
          <w:rFonts w:ascii="Palatino Linotype" w:eastAsia="Palatino Linotype" w:hAnsi="Palatino Linotype" w:cs="Palatino Linotype"/>
          <w:b/>
          <w:sz w:val="22"/>
          <w:szCs w:val="22"/>
          <w:u w:val="single"/>
        </w:rPr>
        <w:t xml:space="preserve"> </w:t>
      </w:r>
      <w:r w:rsidR="00540CF8" w:rsidRPr="00445611">
        <w:rPr>
          <w:rFonts w:ascii="Palatino Linotype" w:eastAsia="Palatino Linotype" w:hAnsi="Palatino Linotype" w:cs="Palatino Linotype"/>
          <w:b/>
          <w:sz w:val="22"/>
          <w:szCs w:val="22"/>
          <w:u w:val="single"/>
        </w:rPr>
        <w:t>para la entrega de la información</w:t>
      </w:r>
      <w:r w:rsidR="00540CF8" w:rsidRPr="00445611">
        <w:rPr>
          <w:rFonts w:ascii="Palatino Linotype" w:eastAsia="Palatino Linotype" w:hAnsi="Palatino Linotype" w:cs="Palatino Linotype"/>
          <w:sz w:val="22"/>
          <w:szCs w:val="22"/>
        </w:rPr>
        <w:t xml:space="preserve">, a través de su respuesta que adjuntó al Sistema de Acceso a la </w:t>
      </w:r>
      <w:r w:rsidR="00716F8A" w:rsidRPr="00445611">
        <w:rPr>
          <w:rFonts w:ascii="Palatino Linotype" w:eastAsia="Palatino Linotype" w:hAnsi="Palatino Linotype" w:cs="Palatino Linotype"/>
          <w:sz w:val="22"/>
          <w:szCs w:val="22"/>
        </w:rPr>
        <w:t>Información Mexiquense (SAIMEX)</w:t>
      </w:r>
      <w:r w:rsidR="00540CF8" w:rsidRPr="00445611">
        <w:rPr>
          <w:rFonts w:ascii="Palatino Linotype" w:eastAsia="Palatino Linotype" w:hAnsi="Palatino Linotype" w:cs="Palatino Linotype"/>
          <w:sz w:val="22"/>
          <w:szCs w:val="22"/>
        </w:rPr>
        <w:t>.</w:t>
      </w:r>
    </w:p>
    <w:p w14:paraId="725B0800" w14:textId="77777777" w:rsidR="00830242" w:rsidRPr="00445611" w:rsidRDefault="00540CF8">
      <w:pPr>
        <w:spacing w:line="360" w:lineRule="auto"/>
        <w:jc w:val="both"/>
        <w:rPr>
          <w:sz w:val="22"/>
          <w:szCs w:val="22"/>
        </w:rPr>
      </w:pPr>
      <w:r w:rsidRPr="00445611">
        <w:rPr>
          <w:rFonts w:ascii="Palatino Linotype" w:eastAsia="Palatino Linotype" w:hAnsi="Palatino Linotype" w:cs="Palatino Linotype"/>
          <w:sz w:val="22"/>
          <w:szCs w:val="22"/>
        </w:rPr>
        <w:t>Siendo las cosas así, cabe invocar el contenido del Capítulo X de Lineamientos Generales en Materia de Clasificación y Desclasificación de la Información, así como para la Elaboración de Versiones Públicas, respecto a la consulta directa, que señala:</w:t>
      </w:r>
    </w:p>
    <w:p w14:paraId="294EDEFD" w14:textId="77777777" w:rsidR="00830242" w:rsidRPr="00445611" w:rsidRDefault="00830242">
      <w:pPr>
        <w:spacing w:line="360" w:lineRule="auto"/>
        <w:rPr>
          <w:sz w:val="22"/>
          <w:szCs w:val="22"/>
        </w:rPr>
      </w:pPr>
    </w:p>
    <w:p w14:paraId="51CD5478" w14:textId="77777777" w:rsidR="00830242" w:rsidRPr="00445611" w:rsidRDefault="00540CF8">
      <w:pPr>
        <w:spacing w:after="120"/>
        <w:ind w:left="567" w:right="902"/>
        <w:jc w:val="center"/>
        <w:rPr>
          <w:sz w:val="22"/>
          <w:szCs w:val="22"/>
        </w:rPr>
      </w:pPr>
      <w:r w:rsidRPr="00445611">
        <w:rPr>
          <w:rFonts w:ascii="Palatino Linotype" w:eastAsia="Palatino Linotype" w:hAnsi="Palatino Linotype" w:cs="Palatino Linotype"/>
          <w:i/>
          <w:sz w:val="22"/>
          <w:szCs w:val="22"/>
        </w:rPr>
        <w:lastRenderedPageBreak/>
        <w:t>“</w:t>
      </w:r>
      <w:r w:rsidRPr="00445611">
        <w:rPr>
          <w:rFonts w:ascii="Palatino Linotype" w:eastAsia="Palatino Linotype" w:hAnsi="Palatino Linotype" w:cs="Palatino Linotype"/>
          <w:b/>
          <w:i/>
          <w:sz w:val="22"/>
          <w:szCs w:val="22"/>
        </w:rPr>
        <w:t>CAPÍTULO X</w:t>
      </w:r>
    </w:p>
    <w:p w14:paraId="4D2E6126" w14:textId="77777777" w:rsidR="00830242" w:rsidRPr="00445611" w:rsidRDefault="00540CF8">
      <w:pPr>
        <w:spacing w:before="120" w:after="120"/>
        <w:ind w:left="567" w:right="902"/>
        <w:jc w:val="center"/>
        <w:rPr>
          <w:sz w:val="22"/>
          <w:szCs w:val="22"/>
        </w:rPr>
      </w:pPr>
      <w:r w:rsidRPr="00445611">
        <w:rPr>
          <w:rFonts w:ascii="Palatino Linotype" w:eastAsia="Palatino Linotype" w:hAnsi="Palatino Linotype" w:cs="Palatino Linotype"/>
          <w:b/>
          <w:i/>
          <w:sz w:val="22"/>
          <w:szCs w:val="22"/>
        </w:rPr>
        <w:t>DE LA CONSULTA DIRECTA</w:t>
      </w:r>
    </w:p>
    <w:p w14:paraId="0751DBAE"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Sexagésimo séptimo</w:t>
      </w:r>
      <w:r w:rsidRPr="00445611">
        <w:rPr>
          <w:rFonts w:ascii="Palatino Linotype" w:eastAsia="Palatino Linotype" w:hAnsi="Palatino Linotype" w:cs="Palatino Linotype"/>
          <w:i/>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w:t>
      </w:r>
      <w:r w:rsidRPr="00445611">
        <w:rPr>
          <w:rFonts w:ascii="Palatino Linotype" w:eastAsia="Palatino Linotype" w:hAnsi="Palatino Linotype" w:cs="Palatino Linotype"/>
          <w:b/>
          <w:i/>
          <w:sz w:val="22"/>
          <w:szCs w:val="22"/>
        </w:rPr>
        <w:t>deberá emitir la resolución en la que funde y motive la clasificación</w:t>
      </w:r>
      <w:r w:rsidRPr="00445611">
        <w:rPr>
          <w:rFonts w:ascii="Palatino Linotype" w:eastAsia="Palatino Linotype" w:hAnsi="Palatino Linotype" w:cs="Palatino Linotype"/>
          <w:i/>
          <w:sz w:val="22"/>
          <w:szCs w:val="22"/>
        </w:rPr>
        <w:t xml:space="preserve"> de las partes o secciones que no podrán dejarse a la vista del solicitante. </w:t>
      </w:r>
    </w:p>
    <w:p w14:paraId="6A6552C3"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Sexagésimo octavo</w:t>
      </w:r>
      <w:r w:rsidRPr="00445611">
        <w:rPr>
          <w:rFonts w:ascii="Palatino Linotype" w:eastAsia="Palatino Linotype" w:hAnsi="Palatino Linotype" w:cs="Palatino Linotype"/>
          <w:i/>
          <w:sz w:val="22"/>
          <w:szCs w:val="22"/>
        </w:rPr>
        <w:t xml:space="preserve">. En la </w:t>
      </w:r>
      <w:r w:rsidRPr="00445611">
        <w:rPr>
          <w:rFonts w:ascii="Palatino Linotype" w:eastAsia="Palatino Linotype" w:hAnsi="Palatino Linotype" w:cs="Palatino Linotype"/>
          <w:b/>
          <w:i/>
          <w:sz w:val="22"/>
          <w:szCs w:val="22"/>
        </w:rPr>
        <w:t>resolución del Comité de Transparencia</w:t>
      </w:r>
      <w:r w:rsidRPr="00445611">
        <w:rPr>
          <w:rFonts w:ascii="Palatino Linotype" w:eastAsia="Palatino Linotype" w:hAnsi="Palatino Linotype" w:cs="Palatino Linotype"/>
          <w:i/>
          <w:sz w:val="22"/>
          <w:szCs w:val="22"/>
        </w:rPr>
        <w:t xml:space="preserve">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4C24F7A7"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Sexagésimo noveno</w:t>
      </w:r>
      <w:r w:rsidRPr="00445611">
        <w:rPr>
          <w:rFonts w:ascii="Palatino Linotype" w:eastAsia="Palatino Linotype" w:hAnsi="Palatino Linotype" w:cs="Palatino Linotype"/>
          <w:i/>
          <w:sz w:val="22"/>
          <w:szCs w:val="22"/>
        </w:rPr>
        <w:t>.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413DA253"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Septuagésimo</w:t>
      </w:r>
      <w:r w:rsidRPr="00445611">
        <w:rPr>
          <w:rFonts w:ascii="Palatino Linotype" w:eastAsia="Palatino Linotype" w:hAnsi="Palatino Linotype" w:cs="Palatino Linotype"/>
          <w:i/>
          <w:sz w:val="22"/>
          <w:szCs w:val="22"/>
        </w:rPr>
        <w:t>. Para el desahogo de las actuaciones tendientes a permitir la consulta directa, en los casos en que ésta resulte procedente, los sujetos obligados deberán observar lo siguiente: </w:t>
      </w:r>
    </w:p>
    <w:p w14:paraId="74893020"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I.</w:t>
      </w:r>
      <w:r w:rsidRPr="00445611">
        <w:rPr>
          <w:rFonts w:ascii="Palatino Linotype" w:eastAsia="Palatino Linotype" w:hAnsi="Palatino Linotype" w:cs="Palatino Linotype"/>
          <w:i/>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4E0843FE"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II.</w:t>
      </w:r>
      <w:r w:rsidRPr="00445611">
        <w:rPr>
          <w:rFonts w:ascii="Palatino Linotype" w:eastAsia="Palatino Linotype" w:hAnsi="Palatino Linotype" w:cs="Palatino Linotype"/>
          <w:i/>
          <w:sz w:val="22"/>
          <w:szCs w:val="22"/>
        </w:rPr>
        <w:t xml:space="preserve"> En su caso, la procedencia de los ajustes razonables solicitados y/o la procedencia de acceso en la lengua indígena requerida; </w:t>
      </w:r>
    </w:p>
    <w:p w14:paraId="2E255798"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III.</w:t>
      </w:r>
      <w:r w:rsidRPr="00445611">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699E2068"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lastRenderedPageBreak/>
        <w:t>IV.</w:t>
      </w:r>
      <w:r w:rsidRPr="00445611">
        <w:rPr>
          <w:rFonts w:ascii="Palatino Linotype" w:eastAsia="Palatino Linotype" w:hAnsi="Palatino Linotype" w:cs="Palatino Linotype"/>
          <w:i/>
          <w:sz w:val="22"/>
          <w:szCs w:val="22"/>
        </w:rPr>
        <w:t xml:space="preserve"> Proporcionar al solicitante las facilidades y asistencia requerida para la consulta de los documentos;</w:t>
      </w:r>
    </w:p>
    <w:p w14:paraId="724E2CD7"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V.</w:t>
      </w:r>
      <w:r w:rsidRPr="00445611">
        <w:rPr>
          <w:rFonts w:ascii="Palatino Linotype" w:eastAsia="Palatino Linotype" w:hAnsi="Palatino Linotype" w:cs="Palatino Linotype"/>
          <w:i/>
          <w:sz w:val="22"/>
          <w:szCs w:val="22"/>
        </w:rPr>
        <w:t xml:space="preserve"> Abstenerse de requerir al solicitante que acredite interés alguno; </w:t>
      </w:r>
    </w:p>
    <w:p w14:paraId="3C1B25FF"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VI.</w:t>
      </w:r>
      <w:r w:rsidRPr="00445611">
        <w:rPr>
          <w:rFonts w:ascii="Palatino Linotype" w:eastAsia="Palatino Linotype" w:hAnsi="Palatino Linotype" w:cs="Palatino Linotype"/>
          <w:i/>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788D8512"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a)</w:t>
      </w:r>
      <w:r w:rsidRPr="00445611">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6836F0C8"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b)</w:t>
      </w:r>
      <w:r w:rsidRPr="00445611">
        <w:rPr>
          <w:rFonts w:ascii="Palatino Linotype" w:eastAsia="Palatino Linotype" w:hAnsi="Palatino Linotype" w:cs="Palatino Linotype"/>
          <w:i/>
          <w:sz w:val="22"/>
          <w:szCs w:val="22"/>
        </w:rPr>
        <w:t xml:space="preserve"> Equipo y personal de vigilancia;</w:t>
      </w:r>
    </w:p>
    <w:p w14:paraId="1EC02291"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c)</w:t>
      </w:r>
      <w:r w:rsidRPr="00445611">
        <w:rPr>
          <w:rFonts w:ascii="Palatino Linotype" w:eastAsia="Palatino Linotype" w:hAnsi="Palatino Linotype" w:cs="Palatino Linotype"/>
          <w:i/>
          <w:sz w:val="22"/>
          <w:szCs w:val="22"/>
        </w:rPr>
        <w:t xml:space="preserve"> Plan de acción contra robo o vandalismo; </w:t>
      </w:r>
    </w:p>
    <w:p w14:paraId="4BFADC75"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d)</w:t>
      </w:r>
      <w:r w:rsidRPr="00445611">
        <w:rPr>
          <w:rFonts w:ascii="Palatino Linotype" w:eastAsia="Palatino Linotype" w:hAnsi="Palatino Linotype" w:cs="Palatino Linotype"/>
          <w:i/>
          <w:sz w:val="22"/>
          <w:szCs w:val="22"/>
        </w:rPr>
        <w:t xml:space="preserve"> Extintores de fuego de gas inocuo; </w:t>
      </w:r>
    </w:p>
    <w:p w14:paraId="71E84ECA"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e)</w:t>
      </w:r>
      <w:r w:rsidRPr="00445611">
        <w:rPr>
          <w:rFonts w:ascii="Palatino Linotype" w:eastAsia="Palatino Linotype" w:hAnsi="Palatino Linotype" w:cs="Palatino Linotype"/>
          <w:i/>
          <w:sz w:val="22"/>
          <w:szCs w:val="22"/>
        </w:rPr>
        <w:t xml:space="preserve"> Registro e identificación del personal autorizado para el tratamiento de los documentos o expedientes a revisar;</w:t>
      </w:r>
    </w:p>
    <w:p w14:paraId="782396DD"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f)</w:t>
      </w:r>
      <w:r w:rsidRPr="00445611">
        <w:rPr>
          <w:rFonts w:ascii="Palatino Linotype" w:eastAsia="Palatino Linotype" w:hAnsi="Palatino Linotype" w:cs="Palatino Linotype"/>
          <w:i/>
          <w:sz w:val="22"/>
          <w:szCs w:val="22"/>
        </w:rPr>
        <w:t xml:space="preserve"> Registro e identificación de los particulares autorizados para llevar a cabo la consulta directa, y </w:t>
      </w:r>
    </w:p>
    <w:p w14:paraId="085F8351"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g)</w:t>
      </w:r>
      <w:r w:rsidRPr="00445611">
        <w:rPr>
          <w:rFonts w:ascii="Palatino Linotype" w:eastAsia="Palatino Linotype" w:hAnsi="Palatino Linotype" w:cs="Palatino Linotype"/>
          <w:i/>
          <w:sz w:val="22"/>
          <w:szCs w:val="22"/>
        </w:rPr>
        <w:t xml:space="preserve"> Las demás que, a criterio de los sujetos obligados, resulten necesarias. </w:t>
      </w:r>
    </w:p>
    <w:p w14:paraId="533D649C"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VII.</w:t>
      </w:r>
      <w:r w:rsidRPr="00445611">
        <w:rPr>
          <w:rFonts w:ascii="Palatino Linotype" w:eastAsia="Palatino Linotype" w:hAnsi="Palatino Linotype" w:cs="Palatino Linotype"/>
          <w:i/>
          <w:sz w:val="22"/>
          <w:szCs w:val="22"/>
        </w:rPr>
        <w:t xml:space="preserve"> Hacer del conocimiento del solicitante, previo al acceso a la información, las reglas a que se sujetará la consulta para garantizar la integridad de los documentos, y</w:t>
      </w:r>
    </w:p>
    <w:p w14:paraId="754998A0"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VIII.</w:t>
      </w:r>
      <w:r w:rsidRPr="00445611">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solicitante, </w:t>
      </w:r>
      <w:r w:rsidRPr="00445611">
        <w:rPr>
          <w:rFonts w:ascii="Palatino Linotype" w:eastAsia="Palatino Linotype" w:hAnsi="Palatino Linotype" w:cs="Palatino Linotype"/>
          <w:b/>
          <w:i/>
          <w:sz w:val="22"/>
          <w:szCs w:val="22"/>
        </w:rPr>
        <w:t>previo al acceso a la información, la resolución debidamente fundada y motivada del Comité de Transparencia, en la que se clasificaron las partes o secciones que no podrán dejarse a la vista del solicitante. </w:t>
      </w:r>
    </w:p>
    <w:p w14:paraId="237117CE"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 xml:space="preserve">Septuagésimo primero. </w:t>
      </w:r>
      <w:r w:rsidRPr="00445611">
        <w:rPr>
          <w:rFonts w:ascii="Palatino Linotype" w:eastAsia="Palatino Linotype" w:hAnsi="Palatino Linotype" w:cs="Palatino Linotype"/>
          <w:i/>
          <w:sz w:val="22"/>
          <w:szCs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44AB000B"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i/>
          <w:sz w:val="22"/>
          <w:szCs w:val="22"/>
        </w:rPr>
        <w:t>El solicitante deberá observar en todo momento las reglas que el sujeto obligado haya hecho de su conocimiento para efectos de la conservación de los documentos. </w:t>
      </w:r>
    </w:p>
    <w:p w14:paraId="6F2D8766"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lastRenderedPageBreak/>
        <w:t>Septuagésimo segundo.</w:t>
      </w:r>
      <w:r w:rsidRPr="00445611">
        <w:rPr>
          <w:rFonts w:ascii="Palatino Linotype" w:eastAsia="Palatino Linotype" w:hAnsi="Palatino Linotype" w:cs="Palatino Linotype"/>
          <w:i/>
          <w:sz w:val="22"/>
          <w:szCs w:val="22"/>
        </w:rPr>
        <w:t xml:space="preserve"> El solicitante deberá realizar la consulta de los documentos requeridos en el lugar, horarios y con la persona destinada para tal efecto. </w:t>
      </w:r>
    </w:p>
    <w:p w14:paraId="40B0595A"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i/>
          <w:sz w:val="22"/>
          <w:szCs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4860B0EE"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b/>
          <w:i/>
          <w:sz w:val="22"/>
          <w:szCs w:val="22"/>
        </w:rPr>
        <w:t>Septuagésimo tercero</w:t>
      </w:r>
      <w:r w:rsidRPr="00445611">
        <w:rPr>
          <w:rFonts w:ascii="Palatino Linotype" w:eastAsia="Palatino Linotype" w:hAnsi="Palatino Linotype" w:cs="Palatino Linotype"/>
          <w:i/>
          <w:sz w:val="22"/>
          <w:szCs w:val="22"/>
        </w:rPr>
        <w:t>. 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40706F21" w14:textId="77777777" w:rsidR="00830242" w:rsidRPr="00445611" w:rsidRDefault="00540CF8">
      <w:pPr>
        <w:spacing w:before="120" w:after="120"/>
        <w:ind w:left="567" w:right="902"/>
        <w:jc w:val="both"/>
        <w:rPr>
          <w:sz w:val="22"/>
          <w:szCs w:val="22"/>
        </w:rPr>
      </w:pPr>
      <w:r w:rsidRPr="00445611">
        <w:rPr>
          <w:rFonts w:ascii="Palatino Linotype" w:eastAsia="Palatino Linotype" w:hAnsi="Palatino Linotype" w:cs="Palatino Linotype"/>
          <w:i/>
          <w:sz w:val="22"/>
          <w:szCs w:val="22"/>
        </w:rPr>
        <w:t>La información deberá ser entregada sin costo, cuando implique la entrega de no más de veinte hojas simples.”</w:t>
      </w:r>
    </w:p>
    <w:p w14:paraId="34642892" w14:textId="77777777" w:rsidR="00830242" w:rsidRPr="00445611" w:rsidRDefault="00830242">
      <w:pPr>
        <w:ind w:left="567"/>
        <w:rPr>
          <w:sz w:val="22"/>
          <w:szCs w:val="22"/>
        </w:rPr>
      </w:pPr>
    </w:p>
    <w:p w14:paraId="01752BE1" w14:textId="7BCE3EE9" w:rsidR="00830242" w:rsidRPr="00445611" w:rsidRDefault="00540CF8">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Preceptos legales que de igual forma fueron inobservados por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para hacer el cambio de modalidad de entreg</w:t>
      </w:r>
      <w:r w:rsidR="00237C6D" w:rsidRPr="00445611">
        <w:rPr>
          <w:rFonts w:ascii="Palatino Linotype" w:eastAsia="Palatino Linotype" w:hAnsi="Palatino Linotype" w:cs="Palatino Linotype"/>
          <w:sz w:val="22"/>
          <w:szCs w:val="22"/>
        </w:rPr>
        <w:t>a de la información, por lo que al momento de dar cumplimiento a la presente determinación deberá ofrecer a la parte Recurrente otras modalidades para la entrega de la información, tales como disco compacto, dispositivo de almacenamiento, consulta directa, copias simples o certificadas, con posibilidad de entrega en la Unidad de Transparencia o a domicilio por correo certificado, previo pago de los derechos correspondientes, siempre y cuando así lo permita la documentación.</w:t>
      </w:r>
    </w:p>
    <w:p w14:paraId="07210B1E" w14:textId="77777777" w:rsidR="001F7456" w:rsidRPr="00445611" w:rsidRDefault="001F7456">
      <w:pPr>
        <w:spacing w:line="360" w:lineRule="auto"/>
        <w:jc w:val="both"/>
        <w:rPr>
          <w:rFonts w:ascii="Palatino Linotype" w:eastAsia="Palatino Linotype" w:hAnsi="Palatino Linotype" w:cs="Palatino Linotype"/>
          <w:sz w:val="22"/>
          <w:szCs w:val="22"/>
        </w:rPr>
      </w:pPr>
    </w:p>
    <w:p w14:paraId="19B4301B" w14:textId="77777777" w:rsidR="001F7456" w:rsidRPr="00445611" w:rsidRDefault="00E806AE" w:rsidP="001F7456">
      <w:pPr>
        <w:pStyle w:val="NormalWeb"/>
        <w:spacing w:before="0" w:beforeAutospacing="0" w:after="0" w:afterAutospacing="0" w:line="360" w:lineRule="auto"/>
        <w:jc w:val="both"/>
        <w:rPr>
          <w:rFonts w:ascii="Palatino Linotype" w:hAnsi="Palatino Linotype"/>
          <w:sz w:val="22"/>
          <w:szCs w:val="22"/>
        </w:rPr>
      </w:pPr>
      <w:r w:rsidRPr="00445611">
        <w:rPr>
          <w:rFonts w:ascii="Palatino Linotype" w:eastAsia="Palatino Linotype" w:hAnsi="Palatino Linotype" w:cs="Palatino Linotype"/>
          <w:sz w:val="22"/>
          <w:szCs w:val="22"/>
        </w:rPr>
        <w:t>En</w:t>
      </w:r>
      <w:r w:rsidR="00716F8A" w:rsidRPr="00445611">
        <w:rPr>
          <w:rFonts w:ascii="Palatino Linotype" w:eastAsia="Palatino Linotype" w:hAnsi="Palatino Linotype" w:cs="Palatino Linotype"/>
          <w:sz w:val="22"/>
          <w:szCs w:val="22"/>
        </w:rPr>
        <w:t xml:space="preserve"> otro orden de ideas</w:t>
      </w:r>
      <w:r w:rsidRPr="00445611">
        <w:rPr>
          <w:rFonts w:ascii="Palatino Linotype" w:eastAsia="Palatino Linotype" w:hAnsi="Palatino Linotype" w:cs="Palatino Linotype"/>
          <w:sz w:val="22"/>
          <w:szCs w:val="22"/>
        </w:rPr>
        <w:t xml:space="preserve">, </w:t>
      </w:r>
      <w:r w:rsidR="001F7456" w:rsidRPr="00445611">
        <w:rPr>
          <w:rFonts w:ascii="Palatino Linotype" w:hAnsi="Palatino Linotype"/>
          <w:sz w:val="22"/>
          <w:szCs w:val="22"/>
        </w:rPr>
        <w:t xml:space="preserve">resulta importante traer a colación que el </w:t>
      </w:r>
      <w:r w:rsidR="001F7456" w:rsidRPr="00445611">
        <w:rPr>
          <w:rFonts w:ascii="Palatino Linotype" w:hAnsi="Palatino Linotype"/>
          <w:b/>
          <w:sz w:val="22"/>
          <w:szCs w:val="22"/>
        </w:rPr>
        <w:t>Sujeto Obligado</w:t>
      </w:r>
      <w:r w:rsidR="001F7456" w:rsidRPr="00445611">
        <w:rPr>
          <w:rFonts w:ascii="Palatino Linotype" w:hAnsi="Palatino Linotype"/>
          <w:sz w:val="22"/>
          <w:szCs w:val="22"/>
        </w:rPr>
        <w:t xml:space="preserve"> únicamente puso a disposición del particular la información por un día establecido que es el </w:t>
      </w:r>
      <w:r w:rsidR="001F7456" w:rsidRPr="00445611">
        <w:rPr>
          <w:rFonts w:ascii="Palatino Linotype" w:hAnsi="Palatino Linotype"/>
          <w:b/>
          <w:sz w:val="22"/>
          <w:szCs w:val="22"/>
        </w:rPr>
        <w:t>03 de mayo de 2024</w:t>
      </w:r>
      <w:r w:rsidR="001F7456" w:rsidRPr="00445611">
        <w:rPr>
          <w:rFonts w:ascii="Palatino Linotype" w:hAnsi="Palatino Linotype"/>
          <w:sz w:val="22"/>
          <w:szCs w:val="22"/>
        </w:rPr>
        <w:t xml:space="preserve">, en un periodo de dos horas, es decir, de </w:t>
      </w:r>
      <w:r w:rsidR="001F7456" w:rsidRPr="00445611">
        <w:rPr>
          <w:rFonts w:ascii="Palatino Linotype" w:hAnsi="Palatino Linotype"/>
          <w:b/>
          <w:sz w:val="22"/>
          <w:szCs w:val="22"/>
        </w:rPr>
        <w:t>9:00 a 18:00 horas</w:t>
      </w:r>
      <w:r w:rsidR="001F7456" w:rsidRPr="00445611">
        <w:rPr>
          <w:rFonts w:ascii="Palatino Linotype" w:hAnsi="Palatino Linotype"/>
          <w:sz w:val="22"/>
          <w:szCs w:val="22"/>
        </w:rPr>
        <w:t xml:space="preserve">; es de resaltar que esta calendarización se le notificó al particular en respuesta, un día hábil después de la fecha establecida para llevar a cabo el cambio de modalidad, es decir el </w:t>
      </w:r>
      <w:r w:rsidR="001F7456" w:rsidRPr="00445611">
        <w:rPr>
          <w:rFonts w:ascii="Palatino Linotype" w:hAnsi="Palatino Linotype"/>
          <w:b/>
          <w:sz w:val="22"/>
          <w:szCs w:val="22"/>
        </w:rPr>
        <w:t>07 de mayo de 2024</w:t>
      </w:r>
      <w:r w:rsidR="001F7456" w:rsidRPr="00445611">
        <w:rPr>
          <w:rFonts w:ascii="Palatino Linotype" w:hAnsi="Palatino Linotype"/>
          <w:sz w:val="22"/>
          <w:szCs w:val="22"/>
        </w:rPr>
        <w:t xml:space="preserve">, por ende, estamos ante una violación a su derecho humano de acceso a la información pública, pues dicha notificación se realizó de manera posterior, por lo que si </w:t>
      </w:r>
      <w:r w:rsidR="001F7456" w:rsidRPr="00445611">
        <w:rPr>
          <w:rFonts w:ascii="Palatino Linotype" w:hAnsi="Palatino Linotype"/>
          <w:sz w:val="22"/>
          <w:szCs w:val="22"/>
        </w:rPr>
        <w:lastRenderedPageBreak/>
        <w:t>hubiera sido su deseo consultar la información de dicha forma, no hubiera estado en posibilidades de hacerlo pues el plazo ya había fenecido.</w:t>
      </w:r>
    </w:p>
    <w:p w14:paraId="30A62F40" w14:textId="77777777" w:rsidR="001F7456" w:rsidRPr="00445611" w:rsidRDefault="001F7456" w:rsidP="001F7456">
      <w:pPr>
        <w:spacing w:line="360" w:lineRule="auto"/>
        <w:jc w:val="both"/>
        <w:rPr>
          <w:rFonts w:ascii="Palatino Linotype" w:hAnsi="Palatino Linotype"/>
          <w:sz w:val="22"/>
          <w:szCs w:val="22"/>
        </w:rPr>
      </w:pPr>
    </w:p>
    <w:p w14:paraId="726F6541" w14:textId="77777777" w:rsidR="001F7456" w:rsidRPr="00445611" w:rsidRDefault="001F7456" w:rsidP="001F7456">
      <w:pPr>
        <w:spacing w:line="360" w:lineRule="auto"/>
        <w:jc w:val="both"/>
        <w:rPr>
          <w:rFonts w:ascii="Palatino Linotype" w:hAnsi="Palatino Linotype"/>
          <w:sz w:val="22"/>
          <w:szCs w:val="22"/>
        </w:rPr>
      </w:pPr>
      <w:r w:rsidRPr="00445611">
        <w:rPr>
          <w:rFonts w:ascii="Palatino Linotype" w:hAnsi="Palatino Linotype"/>
          <w:sz w:val="22"/>
          <w:szCs w:val="22"/>
        </w:rPr>
        <w:t xml:space="preserve">Aunado a lo anterior, para este Organismo Garante resulta contradictorio que el </w:t>
      </w:r>
      <w:r w:rsidRPr="00445611">
        <w:rPr>
          <w:rFonts w:ascii="Palatino Linotype" w:hAnsi="Palatino Linotype"/>
          <w:b/>
          <w:sz w:val="22"/>
          <w:szCs w:val="22"/>
        </w:rPr>
        <w:t xml:space="preserve">Sujeto Obligado </w:t>
      </w:r>
      <w:r w:rsidRPr="00445611">
        <w:rPr>
          <w:rFonts w:ascii="Palatino Linotype" w:hAnsi="Palatino Linotype"/>
          <w:sz w:val="22"/>
          <w:szCs w:val="22"/>
        </w:rPr>
        <w:t xml:space="preserve">alegue como incapacidad técnica que se tratan de </w:t>
      </w:r>
      <w:r w:rsidRPr="00445611">
        <w:rPr>
          <w:rFonts w:ascii="Palatino Linotype" w:hAnsi="Palatino Linotype"/>
          <w:b/>
          <w:sz w:val="22"/>
          <w:szCs w:val="22"/>
        </w:rPr>
        <w:t xml:space="preserve">49,000 fojas </w:t>
      </w:r>
      <w:r w:rsidRPr="00445611">
        <w:rPr>
          <w:rFonts w:ascii="Palatino Linotype" w:eastAsia="Palatino Linotype" w:hAnsi="Palatino Linotype" w:cs="Palatino Linotype"/>
          <w:sz w:val="22"/>
          <w:szCs w:val="22"/>
        </w:rPr>
        <w:t xml:space="preserve">pero a </w:t>
      </w:r>
      <w:r w:rsidRPr="00445611">
        <w:rPr>
          <w:rFonts w:ascii="Palatino Linotype" w:eastAsia="Palatino Linotype" w:hAnsi="Palatino Linotype" w:cs="Palatino Linotype"/>
          <w:b/>
          <w:sz w:val="22"/>
          <w:szCs w:val="22"/>
        </w:rPr>
        <w:t xml:space="preserve">la parte Recurrente </w:t>
      </w:r>
      <w:r w:rsidRPr="00445611">
        <w:rPr>
          <w:rFonts w:ascii="Palatino Linotype" w:eastAsia="Palatino Linotype" w:hAnsi="Palatino Linotype" w:cs="Palatino Linotype"/>
          <w:sz w:val="22"/>
          <w:szCs w:val="22"/>
        </w:rPr>
        <w:t xml:space="preserve">le indica que cuenta con un plazo de un día y específicamente de </w:t>
      </w:r>
      <w:r w:rsidRPr="00445611">
        <w:rPr>
          <w:rFonts w:ascii="Palatino Linotype" w:eastAsia="Palatino Linotype" w:hAnsi="Palatino Linotype" w:cs="Palatino Linotype"/>
          <w:b/>
          <w:sz w:val="22"/>
          <w:szCs w:val="22"/>
        </w:rPr>
        <w:t>nueve horas</w:t>
      </w:r>
      <w:r w:rsidRPr="00445611">
        <w:rPr>
          <w:rFonts w:ascii="Palatino Linotype" w:eastAsia="Palatino Linotype" w:hAnsi="Palatino Linotype" w:cs="Palatino Linotype"/>
          <w:sz w:val="22"/>
          <w:szCs w:val="22"/>
        </w:rPr>
        <w:t xml:space="preserve"> para consultar la información.</w:t>
      </w:r>
    </w:p>
    <w:p w14:paraId="368C5D3F" w14:textId="77777777" w:rsidR="00E806AE" w:rsidRPr="00445611" w:rsidRDefault="001F7456" w:rsidP="00E806AE">
      <w:pPr>
        <w:widowControl w:val="0"/>
        <w:tabs>
          <w:tab w:val="left" w:pos="1276"/>
        </w:tabs>
        <w:spacing w:before="240" w:after="240" w:line="360" w:lineRule="auto"/>
        <w:jc w:val="both"/>
        <w:rPr>
          <w:rFonts w:ascii="Palatino Linotype" w:eastAsia="Palatino Linotype" w:hAnsi="Palatino Linotype" w:cs="Palatino Linotype"/>
          <w:sz w:val="22"/>
        </w:rPr>
      </w:pPr>
      <w:r w:rsidRPr="00445611">
        <w:rPr>
          <w:rFonts w:ascii="Palatino Linotype" w:eastAsia="Palatino Linotype" w:hAnsi="Palatino Linotype" w:cs="Palatino Linotype"/>
          <w:sz w:val="22"/>
        </w:rPr>
        <w:t xml:space="preserve">Por otra parte </w:t>
      </w:r>
      <w:r w:rsidR="00E806AE" w:rsidRPr="00445611">
        <w:rPr>
          <w:rFonts w:ascii="Palatino Linotype" w:eastAsia="Palatino Linotype" w:hAnsi="Palatino Linotype" w:cs="Palatino Linotype"/>
          <w:sz w:val="22"/>
        </w:rPr>
        <w:t xml:space="preserve">es preciso señalar que dentro de la respuesta del </w:t>
      </w:r>
      <w:r w:rsidR="00E806AE" w:rsidRPr="00445611">
        <w:rPr>
          <w:rFonts w:ascii="Palatino Linotype" w:eastAsia="Palatino Linotype" w:hAnsi="Palatino Linotype" w:cs="Palatino Linotype"/>
          <w:b/>
          <w:sz w:val="22"/>
        </w:rPr>
        <w:t>Sujeto Obligado</w:t>
      </w:r>
      <w:r w:rsidR="00E806AE" w:rsidRPr="00445611">
        <w:rPr>
          <w:rFonts w:ascii="Palatino Linotype" w:eastAsia="Palatino Linotype" w:hAnsi="Palatino Linotype" w:cs="Palatino Linotype"/>
          <w:sz w:val="22"/>
        </w:rPr>
        <w:t xml:space="preserve"> no obra la debida fundamentación y motivación para justificar la imposibilidad técnica para entregar la información solicitada pues no precisa en concreto si los pesos que refiere en sus </w:t>
      </w:r>
      <w:r w:rsidRPr="00445611">
        <w:rPr>
          <w:rFonts w:ascii="Palatino Linotype" w:eastAsia="Palatino Linotype" w:hAnsi="Palatino Linotype" w:cs="Palatino Linotype"/>
          <w:sz w:val="22"/>
        </w:rPr>
        <w:t xml:space="preserve">respuestas </w:t>
      </w:r>
      <w:r w:rsidR="00E806AE" w:rsidRPr="00445611">
        <w:rPr>
          <w:rFonts w:ascii="Palatino Linotype" w:eastAsia="Palatino Linotype" w:hAnsi="Palatino Linotype" w:cs="Palatino Linotype"/>
          <w:sz w:val="22"/>
        </w:rPr>
        <w:t xml:space="preserve">corresponden a las </w:t>
      </w:r>
      <w:r w:rsidRPr="00445611">
        <w:rPr>
          <w:rFonts w:ascii="Palatino Linotype" w:eastAsia="Palatino Linotype" w:hAnsi="Palatino Linotype" w:cs="Palatino Linotype"/>
          <w:sz w:val="22"/>
        </w:rPr>
        <w:t>actas de entrega-recepción</w:t>
      </w:r>
      <w:r w:rsidR="00E806AE" w:rsidRPr="00445611">
        <w:rPr>
          <w:rFonts w:ascii="Palatino Linotype" w:eastAsia="Palatino Linotype" w:hAnsi="Palatino Linotype" w:cs="Palatino Linotype"/>
          <w:sz w:val="22"/>
        </w:rPr>
        <w:t xml:space="preserve"> en concreto o </w:t>
      </w:r>
      <w:r w:rsidRPr="00445611">
        <w:rPr>
          <w:rFonts w:ascii="Palatino Linotype" w:eastAsia="Palatino Linotype" w:hAnsi="Palatino Linotype" w:cs="Palatino Linotype"/>
          <w:sz w:val="22"/>
        </w:rPr>
        <w:t>si también está incluyendo a los anexos</w:t>
      </w:r>
      <w:r w:rsidR="00E806AE" w:rsidRPr="00445611">
        <w:rPr>
          <w:rFonts w:ascii="Palatino Linotype" w:eastAsia="Palatino Linotype" w:hAnsi="Palatino Linotype" w:cs="Palatino Linotype"/>
          <w:sz w:val="22"/>
        </w:rPr>
        <w:t>, por lo que es de señalar que el máximo tribunal del país ha establecido jurisprudencia respecto a qué debe entenderse por fundamentación y motivación, en los siguientes términos:</w:t>
      </w:r>
    </w:p>
    <w:p w14:paraId="41E2080A" w14:textId="77777777" w:rsidR="00E806AE" w:rsidRPr="00445611" w:rsidRDefault="00E806AE" w:rsidP="00E806AE">
      <w:pPr>
        <w:widowControl w:val="0"/>
        <w:tabs>
          <w:tab w:val="left" w:pos="1276"/>
        </w:tabs>
        <w:ind w:left="851"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“FUNDAMENTACIÓN Y MOTIVACIÓN.</w:t>
      </w:r>
      <w:r w:rsidRPr="00445611">
        <w:rPr>
          <w:rFonts w:ascii="Palatino Linotype" w:eastAsia="Palatino Linotype" w:hAnsi="Palatino Linotype" w:cs="Palatino Linotype"/>
          <w:i/>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p>
    <w:p w14:paraId="175B2C6B" w14:textId="77777777" w:rsidR="00E806AE" w:rsidRPr="00445611" w:rsidRDefault="00E806AE" w:rsidP="00E806AE">
      <w:pPr>
        <w:widowControl w:val="0"/>
        <w:tabs>
          <w:tab w:val="left" w:pos="1276"/>
        </w:tabs>
        <w:spacing w:before="240" w:after="240" w:line="360" w:lineRule="auto"/>
        <w:jc w:val="both"/>
        <w:rPr>
          <w:rFonts w:ascii="Palatino Linotype" w:eastAsia="Palatino Linotype" w:hAnsi="Palatino Linotype" w:cs="Palatino Linotype"/>
          <w:sz w:val="22"/>
        </w:rPr>
      </w:pPr>
      <w:r w:rsidRPr="00445611">
        <w:rPr>
          <w:rFonts w:ascii="Palatino Linotype" w:eastAsia="Palatino Linotype" w:hAnsi="Palatino Linotype" w:cs="Palatino Linotype"/>
          <w:sz w:val="22"/>
        </w:rPr>
        <w:t xml:space="preserve">De tal manera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 sirviendo de sustento la diversa jurisprudencia dictada por el Poder Judicial de la Federación que sostiene que la finalidad de la fundamentación o motivación es la de explicar, justificar, posibilitar la defensa y comunicar la decisión de la </w:t>
      </w:r>
      <w:r w:rsidRPr="00445611">
        <w:rPr>
          <w:rFonts w:ascii="Palatino Linotype" w:eastAsia="Palatino Linotype" w:hAnsi="Palatino Linotype" w:cs="Palatino Linotype"/>
          <w:sz w:val="22"/>
        </w:rPr>
        <w:lastRenderedPageBreak/>
        <w:t>autoridad:</w:t>
      </w:r>
    </w:p>
    <w:p w14:paraId="1FC3D4F9" w14:textId="77777777" w:rsidR="00E806AE" w:rsidRPr="00445611" w:rsidRDefault="00E806AE" w:rsidP="00E806AE">
      <w:pPr>
        <w:widowControl w:val="0"/>
        <w:tabs>
          <w:tab w:val="left" w:pos="1276"/>
        </w:tabs>
        <w:ind w:left="851"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445611">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6CE0E9A" w14:textId="77777777" w:rsidR="00E806AE" w:rsidRPr="00445611" w:rsidRDefault="00E806AE" w:rsidP="00E806AE">
      <w:pPr>
        <w:widowControl w:val="0"/>
        <w:tabs>
          <w:tab w:val="left" w:pos="1276"/>
        </w:tabs>
        <w:spacing w:line="360" w:lineRule="auto"/>
        <w:jc w:val="both"/>
        <w:rPr>
          <w:rFonts w:ascii="Palatino Linotype" w:eastAsia="Palatino Linotype" w:hAnsi="Palatino Linotype" w:cs="Palatino Linotype"/>
        </w:rPr>
      </w:pPr>
    </w:p>
    <w:p w14:paraId="1A1301FD" w14:textId="77777777" w:rsidR="00E806AE" w:rsidRPr="00445611" w:rsidRDefault="00E806AE" w:rsidP="00E806AE">
      <w:pPr>
        <w:widowControl w:val="0"/>
        <w:tabs>
          <w:tab w:val="left" w:pos="1276"/>
        </w:tabs>
        <w:spacing w:line="360" w:lineRule="auto"/>
        <w:jc w:val="both"/>
        <w:rPr>
          <w:rFonts w:ascii="Palatino Linotype" w:eastAsia="Palatino Linotype" w:hAnsi="Palatino Linotype" w:cs="Palatino Linotype"/>
          <w:sz w:val="22"/>
        </w:rPr>
      </w:pPr>
      <w:r w:rsidRPr="00445611">
        <w:rPr>
          <w:rFonts w:ascii="Palatino Linotype" w:eastAsia="Palatino Linotype" w:hAnsi="Palatino Linotype" w:cs="Palatino Linotype"/>
          <w:sz w:val="22"/>
        </w:rPr>
        <w:t>Por lo cual, la fundamentación y motivación implica que, en el acto de autoridad, además de contenerse los supuestos jurídicos aplicables, debe de explicarse claramente por qué a través de la utilización de la norma se emitió el acto. De este modo, la persona que se siente afectada pueda impugnar la decisión, permitiéndole una real y auténtica defensa, circunstancia que no se actualizó en el presente asunto.</w:t>
      </w:r>
    </w:p>
    <w:p w14:paraId="66400ACB" w14:textId="77777777" w:rsidR="00E806AE" w:rsidRPr="00445611" w:rsidRDefault="00E806AE" w:rsidP="00E806AE">
      <w:pPr>
        <w:spacing w:line="360" w:lineRule="auto"/>
        <w:jc w:val="both"/>
        <w:rPr>
          <w:rFonts w:ascii="Palatino Linotype" w:eastAsia="Palatino Linotype" w:hAnsi="Palatino Linotype" w:cs="Palatino Linotype"/>
          <w:sz w:val="22"/>
          <w:szCs w:val="22"/>
        </w:rPr>
      </w:pPr>
    </w:p>
    <w:p w14:paraId="41EAFD51" w14:textId="77777777" w:rsidR="00E806AE" w:rsidRPr="00445611" w:rsidRDefault="00E806AE" w:rsidP="00E806AE">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Bajo esta óptica, se colige que el derecho de la persona solicitante de acceder a los documentos que obran en posesión del </w:t>
      </w:r>
      <w:r w:rsidRPr="00445611">
        <w:rPr>
          <w:rFonts w:ascii="Palatino Linotype" w:eastAsia="Palatino Linotype" w:hAnsi="Palatino Linotype" w:cs="Palatino Linotype"/>
          <w:b/>
          <w:sz w:val="22"/>
          <w:szCs w:val="22"/>
        </w:rPr>
        <w:t xml:space="preserve">Sujeto Obligado </w:t>
      </w:r>
      <w:r w:rsidRPr="00445611">
        <w:rPr>
          <w:rFonts w:ascii="Palatino Linotype" w:eastAsia="Palatino Linotype" w:hAnsi="Palatino Linotype" w:cs="Palatino Linotype"/>
          <w:sz w:val="22"/>
          <w:szCs w:val="22"/>
        </w:rPr>
        <w:t xml:space="preserve">no ha sido satisfecho, en virtud de que no le fue proporcionada la información solicitada, incumpliendo así lo previsto en el </w:t>
      </w:r>
      <w:r w:rsidRPr="00445611">
        <w:rPr>
          <w:rFonts w:ascii="Palatino Linotype" w:eastAsia="Palatino Linotype" w:hAnsi="Palatino Linotype" w:cs="Palatino Linotype"/>
          <w:sz w:val="22"/>
          <w:szCs w:val="22"/>
        </w:rPr>
        <w:lastRenderedPageBreak/>
        <w:t xml:space="preserve">artículo 4 de la Ley de la Materia; apegándose en todo momento al principio de máxima publicidad consagrado en la Constitución Política de los Estados Unidos Mexicanos, en la Constitución Política del Estado Libre y Soberano de México y demás relativos y aplicables en la Materia, al establecer que toda información en posesión de cualquier autoridad, entidad, órgano y organismo federal, estatal y municipal, es pública y sólo podrá ser reservada temporalmente por razones de interés público en los términos que fijen las leyes; y al reconocerse como un derecho fundamental es que todo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debe ceñir su actuar a la conservación patrimonial de sus archivos documentales y posteriormente el acceso de la información pública, buscando la disponibilidad de los mismos.</w:t>
      </w:r>
    </w:p>
    <w:p w14:paraId="55F8B7A1" w14:textId="77777777" w:rsidR="00830242" w:rsidRPr="00445611" w:rsidRDefault="00830242">
      <w:pPr>
        <w:spacing w:line="360" w:lineRule="auto"/>
        <w:jc w:val="both"/>
        <w:rPr>
          <w:rFonts w:ascii="Palatino Linotype" w:eastAsia="Palatino Linotype" w:hAnsi="Palatino Linotype" w:cs="Palatino Linotype"/>
          <w:sz w:val="22"/>
          <w:szCs w:val="22"/>
        </w:rPr>
      </w:pPr>
    </w:p>
    <w:p w14:paraId="26886E96" w14:textId="0B699D43" w:rsidR="00237C6D" w:rsidRPr="00445611" w:rsidRDefault="00540CF8" w:rsidP="00237C6D">
      <w:pPr>
        <w:spacing w:after="16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Expuestas estas consideraciones, se tiene que</w:t>
      </w:r>
      <w:r w:rsidR="00237C6D" w:rsidRPr="00445611">
        <w:rPr>
          <w:rFonts w:ascii="Palatino Linotype" w:eastAsia="Palatino Linotype" w:hAnsi="Palatino Linotype" w:cs="Palatino Linotype"/>
          <w:sz w:val="22"/>
          <w:szCs w:val="22"/>
        </w:rPr>
        <w:t xml:space="preserve"> resulta pertinente otorgar el cambio de modalidad a</w:t>
      </w:r>
      <w:r w:rsidRPr="00445611">
        <w:rPr>
          <w:rFonts w:ascii="Palatino Linotype" w:eastAsia="Palatino Linotype" w:hAnsi="Palatino Linotype" w:cs="Palatino Linotype"/>
          <w:sz w:val="22"/>
          <w:szCs w:val="22"/>
        </w:rPr>
        <w:t xml:space="preserve">l </w:t>
      </w:r>
      <w:r w:rsidRPr="00445611">
        <w:rPr>
          <w:rFonts w:ascii="Palatino Linotype" w:eastAsia="Palatino Linotype" w:hAnsi="Palatino Linotype" w:cs="Palatino Linotype"/>
          <w:b/>
          <w:sz w:val="22"/>
          <w:szCs w:val="22"/>
        </w:rPr>
        <w:t>Sujeto Obligado</w:t>
      </w:r>
      <w:r w:rsidR="00237C6D" w:rsidRPr="00445611">
        <w:rPr>
          <w:rFonts w:ascii="Palatino Linotype" w:eastAsia="Palatino Linotype" w:hAnsi="Palatino Linotype" w:cs="Palatino Linotype"/>
          <w:b/>
          <w:sz w:val="22"/>
          <w:szCs w:val="22"/>
        </w:rPr>
        <w:t xml:space="preserve">, </w:t>
      </w:r>
      <w:r w:rsidR="00237C6D" w:rsidRPr="00445611">
        <w:rPr>
          <w:rFonts w:ascii="Palatino Linotype" w:eastAsia="Palatino Linotype" w:hAnsi="Palatino Linotype" w:cs="Palatino Linotype"/>
          <w:sz w:val="22"/>
          <w:szCs w:val="22"/>
        </w:rPr>
        <w:t>en virtud de que</w:t>
      </w:r>
      <w:r w:rsidRPr="00445611">
        <w:rPr>
          <w:rFonts w:ascii="Palatino Linotype" w:eastAsia="Palatino Linotype" w:hAnsi="Palatino Linotype" w:cs="Palatino Linotype"/>
          <w:sz w:val="22"/>
          <w:szCs w:val="22"/>
        </w:rPr>
        <w:t xml:space="preserve"> acreditó imposibilidad </w:t>
      </w:r>
      <w:r w:rsidR="00237C6D" w:rsidRPr="00445611">
        <w:rPr>
          <w:rFonts w:ascii="Palatino Linotype" w:eastAsia="Palatino Linotype" w:hAnsi="Palatino Linotype" w:cs="Palatino Linotype"/>
          <w:sz w:val="22"/>
          <w:szCs w:val="22"/>
        </w:rPr>
        <w:t xml:space="preserve">técnica </w:t>
      </w:r>
      <w:r w:rsidRPr="00445611">
        <w:rPr>
          <w:rFonts w:ascii="Palatino Linotype" w:eastAsia="Palatino Linotype" w:hAnsi="Palatino Linotype" w:cs="Palatino Linotype"/>
          <w:sz w:val="22"/>
          <w:szCs w:val="22"/>
        </w:rPr>
        <w:t xml:space="preserve">para </w:t>
      </w:r>
      <w:r w:rsidR="00237C6D" w:rsidRPr="00445611">
        <w:rPr>
          <w:rFonts w:ascii="Palatino Linotype" w:eastAsia="Palatino Linotype" w:hAnsi="Palatino Linotype" w:cs="Palatino Linotype"/>
          <w:sz w:val="22"/>
          <w:szCs w:val="22"/>
        </w:rPr>
        <w:t>la carga de la información, sin embargo, también se advirtieron las siguientes inconsistencias:</w:t>
      </w:r>
    </w:p>
    <w:p w14:paraId="1F0F31C8" w14:textId="38ECB4C9" w:rsidR="00830242" w:rsidRPr="00445611" w:rsidRDefault="00C164FD" w:rsidP="001F7456">
      <w:pPr>
        <w:numPr>
          <w:ilvl w:val="0"/>
          <w:numId w:val="3"/>
        </w:numPr>
        <w:pBdr>
          <w:top w:val="nil"/>
          <w:left w:val="nil"/>
          <w:bottom w:val="nil"/>
          <w:right w:val="nil"/>
          <w:between w:val="nil"/>
        </w:pBdr>
        <w:spacing w:before="240" w:after="160" w:line="360" w:lineRule="auto"/>
        <w:ind w:left="567" w:right="900" w:hanging="283"/>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No </w:t>
      </w:r>
      <w:r w:rsidR="00237C6D" w:rsidRPr="00445611">
        <w:rPr>
          <w:rFonts w:ascii="Palatino Linotype" w:eastAsia="Palatino Linotype" w:hAnsi="Palatino Linotype" w:cs="Palatino Linotype"/>
          <w:sz w:val="22"/>
          <w:szCs w:val="22"/>
        </w:rPr>
        <w:t>ofreció</w:t>
      </w:r>
      <w:r w:rsidR="001F7456" w:rsidRPr="00445611">
        <w:rPr>
          <w:rFonts w:ascii="Palatino Linotype" w:eastAsia="Palatino Linotype" w:hAnsi="Palatino Linotype" w:cs="Palatino Linotype"/>
          <w:sz w:val="22"/>
          <w:szCs w:val="22"/>
        </w:rPr>
        <w:t xml:space="preserve"> otras modalidades y el plazo establecido para </w:t>
      </w:r>
      <w:r w:rsidRPr="00445611">
        <w:rPr>
          <w:rFonts w:ascii="Palatino Linotype" w:eastAsia="Palatino Linotype" w:hAnsi="Palatino Linotype" w:cs="Palatino Linotype"/>
          <w:sz w:val="22"/>
          <w:szCs w:val="22"/>
        </w:rPr>
        <w:t xml:space="preserve">la consulta de la información </w:t>
      </w:r>
      <w:r w:rsidR="001F7456" w:rsidRPr="00445611">
        <w:rPr>
          <w:rFonts w:ascii="Palatino Linotype" w:eastAsia="Palatino Linotype" w:hAnsi="Palatino Linotype" w:cs="Palatino Linotype"/>
          <w:sz w:val="22"/>
          <w:szCs w:val="22"/>
        </w:rPr>
        <w:t>se notificó cuando dicho término ya había fenecido</w:t>
      </w:r>
      <w:r w:rsidR="00540CF8" w:rsidRPr="00445611">
        <w:rPr>
          <w:rFonts w:ascii="Palatino Linotype" w:eastAsia="Palatino Linotype" w:hAnsi="Palatino Linotype" w:cs="Palatino Linotype"/>
          <w:sz w:val="22"/>
          <w:szCs w:val="22"/>
        </w:rPr>
        <w:t>.</w:t>
      </w:r>
    </w:p>
    <w:p w14:paraId="24F58E0A" w14:textId="5CA1356C" w:rsidR="00830242" w:rsidRPr="00445611" w:rsidRDefault="00237C6D">
      <w:pPr>
        <w:numPr>
          <w:ilvl w:val="0"/>
          <w:numId w:val="3"/>
        </w:numPr>
        <w:pBdr>
          <w:top w:val="nil"/>
          <w:left w:val="nil"/>
          <w:bottom w:val="nil"/>
          <w:right w:val="nil"/>
          <w:between w:val="nil"/>
        </w:pBdr>
        <w:spacing w:before="240" w:after="160" w:line="360" w:lineRule="auto"/>
        <w:ind w:left="567" w:right="990" w:hanging="147"/>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No precisó </w:t>
      </w:r>
      <w:r w:rsidR="00540CF8" w:rsidRPr="00445611">
        <w:rPr>
          <w:rFonts w:ascii="Palatino Linotype" w:eastAsia="Palatino Linotype" w:hAnsi="Palatino Linotype" w:cs="Palatino Linotype"/>
          <w:sz w:val="22"/>
          <w:szCs w:val="22"/>
        </w:rPr>
        <w:t>razones y fundamentos suficientes para no entregar la información a través del SAIMEX.</w:t>
      </w:r>
    </w:p>
    <w:p w14:paraId="0899EF81" w14:textId="4E8DF03C" w:rsidR="00C164FD" w:rsidRPr="00445611" w:rsidRDefault="00C164FD" w:rsidP="00C164FD">
      <w:pPr>
        <w:numPr>
          <w:ilvl w:val="0"/>
          <w:numId w:val="3"/>
        </w:numPr>
        <w:pBdr>
          <w:top w:val="nil"/>
          <w:left w:val="nil"/>
          <w:bottom w:val="nil"/>
          <w:right w:val="nil"/>
          <w:between w:val="nil"/>
        </w:pBdr>
        <w:spacing w:before="240" w:after="160" w:line="360" w:lineRule="auto"/>
        <w:ind w:left="567" w:right="990" w:hanging="147"/>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Derivado del desahogo del requerimiento de información adicional, se observa una inconsistencia en los pesos de la documentación, por lo que para mayor certeza de este actuar deberá aprobarse el cambio de modalidad de entrega de información mediante el Comité de Transparencia.</w:t>
      </w:r>
    </w:p>
    <w:p w14:paraId="3DC4C4B1" w14:textId="738ED79D" w:rsidR="00A9640B" w:rsidRPr="00445611" w:rsidRDefault="00A9640B" w:rsidP="00A9640B">
      <w:pPr>
        <w:spacing w:line="360" w:lineRule="auto"/>
        <w:ind w:right="-28"/>
        <w:jc w:val="both"/>
        <w:rPr>
          <w:rFonts w:ascii="Palatino Linotype" w:eastAsia="Palatino Linotype" w:hAnsi="Palatino Linotype" w:cs="Palatino Linotype"/>
          <w:b/>
          <w:sz w:val="22"/>
          <w:szCs w:val="22"/>
        </w:rPr>
      </w:pPr>
      <w:bookmarkStart w:id="2" w:name="_heading=h.4d34og8" w:colFirst="0" w:colLast="0"/>
      <w:bookmarkEnd w:id="2"/>
      <w:r w:rsidRPr="00445611">
        <w:rPr>
          <w:rFonts w:ascii="Palatino Linotype" w:eastAsia="Palatino Linotype" w:hAnsi="Palatino Linotype" w:cs="Palatino Linotype"/>
          <w:sz w:val="22"/>
          <w:szCs w:val="22"/>
        </w:rPr>
        <w:t xml:space="preserve">Conforme a lo anterior, el Ayuntamiento de Tlalnepantla de Baz, si bien acreditó la imposibilidad para proporcionar la información a través del Sistema de Acceso a la </w:t>
      </w:r>
      <w:r w:rsidRPr="00445611">
        <w:rPr>
          <w:rFonts w:ascii="Palatino Linotype" w:eastAsia="Palatino Linotype" w:hAnsi="Palatino Linotype" w:cs="Palatino Linotype"/>
          <w:sz w:val="22"/>
          <w:szCs w:val="22"/>
        </w:rPr>
        <w:lastRenderedPageBreak/>
        <w:t xml:space="preserve">Información Mexiquense, omitió ponerla a disposición en todas las modalidades posibles, lo cual da como resultado que el agravio resulte </w:t>
      </w:r>
      <w:r w:rsidR="00C164FD" w:rsidRPr="00445611">
        <w:rPr>
          <w:rFonts w:ascii="Palatino Linotype" w:eastAsia="Palatino Linotype" w:hAnsi="Palatino Linotype" w:cs="Palatino Linotype"/>
          <w:b/>
          <w:sz w:val="22"/>
          <w:szCs w:val="22"/>
        </w:rPr>
        <w:t>PARCIALMENTE</w:t>
      </w:r>
      <w:r w:rsidR="00C164FD" w:rsidRPr="00445611">
        <w:rPr>
          <w:rFonts w:ascii="Palatino Linotype" w:eastAsia="Palatino Linotype" w:hAnsi="Palatino Linotype" w:cs="Palatino Linotype"/>
          <w:sz w:val="22"/>
          <w:szCs w:val="22"/>
        </w:rPr>
        <w:t xml:space="preserve"> </w:t>
      </w:r>
      <w:r w:rsidRPr="00445611">
        <w:rPr>
          <w:rFonts w:ascii="Palatino Linotype" w:eastAsia="Palatino Linotype" w:hAnsi="Palatino Linotype" w:cs="Palatino Linotype"/>
          <w:b/>
          <w:sz w:val="22"/>
          <w:szCs w:val="22"/>
        </w:rPr>
        <w:t>FUNDADO.</w:t>
      </w:r>
    </w:p>
    <w:p w14:paraId="74FC3F10" w14:textId="77777777" w:rsidR="00A9640B" w:rsidRPr="00445611" w:rsidRDefault="00A9640B" w:rsidP="00A9640B">
      <w:pPr>
        <w:spacing w:line="360" w:lineRule="auto"/>
        <w:jc w:val="both"/>
        <w:rPr>
          <w:rFonts w:ascii="Palatino Linotype" w:eastAsia="Palatino Linotype" w:hAnsi="Palatino Linotype" w:cs="Palatino Linotype"/>
          <w:sz w:val="22"/>
          <w:szCs w:val="22"/>
        </w:rPr>
      </w:pPr>
    </w:p>
    <w:p w14:paraId="0C0C4E1D" w14:textId="77777777" w:rsidR="00A9640B" w:rsidRPr="00445611" w:rsidRDefault="00A9640B" w:rsidP="00A9640B">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Es necesario aclarar, para el caso que no pueda subir la información en una liga electrónica de acceso en Internet, por no contar con presupuesto, ni con el equipo electrónico adecuado para tal circunstancia, podrá omitir dicha modalidad, para la entrega de la misma.</w:t>
      </w:r>
    </w:p>
    <w:p w14:paraId="4F1D6768" w14:textId="77777777" w:rsidR="00A9640B" w:rsidRPr="00445611" w:rsidRDefault="00A9640B" w:rsidP="00A9640B">
      <w:pPr>
        <w:spacing w:line="360" w:lineRule="auto"/>
        <w:jc w:val="both"/>
        <w:rPr>
          <w:rFonts w:ascii="Palatino Linotype" w:eastAsia="Palatino Linotype" w:hAnsi="Palatino Linotype" w:cs="Palatino Linotype"/>
          <w:sz w:val="22"/>
          <w:szCs w:val="22"/>
        </w:rPr>
      </w:pPr>
    </w:p>
    <w:p w14:paraId="3614D573" w14:textId="77777777" w:rsidR="00A9640B" w:rsidRPr="00445611" w:rsidRDefault="00A9640B" w:rsidP="00A9640B">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Conforme a lo anterior, se considera que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deberá poner a disposición del ahora Recurrente, en todas las modalidades que permita la documentación; además, el Sujeto Obligado deberá hacer del conocimiento al Particular que la información estará disponible, por un plazo mínimo de sesenta días naturales, a partir de la fecha en que ponga a disposición del Recurrente la información, en términos del segundo párrafo del artículo 166 de la Ley de Transparencia y Acceso a la Información Pública del Estado de México y Municipios.</w:t>
      </w:r>
    </w:p>
    <w:p w14:paraId="584D805B" w14:textId="77777777" w:rsidR="00A9640B" w:rsidRPr="00445611" w:rsidRDefault="00A9640B" w:rsidP="00A9640B">
      <w:pPr>
        <w:spacing w:line="360" w:lineRule="auto"/>
        <w:jc w:val="both"/>
        <w:rPr>
          <w:rFonts w:ascii="Palatino Linotype" w:eastAsia="Palatino Linotype" w:hAnsi="Palatino Linotype" w:cs="Palatino Linotype"/>
          <w:sz w:val="22"/>
          <w:szCs w:val="22"/>
        </w:rPr>
      </w:pPr>
    </w:p>
    <w:p w14:paraId="4A67B352" w14:textId="72C54A27" w:rsidR="00A9640B" w:rsidRPr="00445611" w:rsidRDefault="00A9640B">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En tal tesitura, si dentro del transcurso del término señalado en el párrafo anterior, </w:t>
      </w:r>
      <w:r w:rsidRPr="00445611">
        <w:rPr>
          <w:rFonts w:ascii="Palatino Linotype" w:eastAsia="Palatino Linotype" w:hAnsi="Palatino Linotype" w:cs="Palatino Linotype"/>
          <w:b/>
          <w:sz w:val="22"/>
          <w:szCs w:val="22"/>
        </w:rPr>
        <w:t>la parte  Recurrente</w:t>
      </w:r>
      <w:r w:rsidRPr="00445611">
        <w:rPr>
          <w:rFonts w:ascii="Palatino Linotype" w:eastAsia="Palatino Linotype" w:hAnsi="Palatino Linotype" w:cs="Palatino Linotype"/>
          <w:sz w:val="22"/>
          <w:szCs w:val="22"/>
        </w:rPr>
        <w:t xml:space="preserve"> acude por la información,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levantará un acta de hechos misma que debe ser remitida a este Instituto, por conducto de la </w:t>
      </w:r>
      <w:r w:rsidRPr="00445611">
        <w:rPr>
          <w:rFonts w:ascii="Palatino Linotype" w:eastAsia="Palatino Linotype" w:hAnsi="Palatino Linotype" w:cs="Palatino Linotype"/>
          <w:b/>
          <w:sz w:val="22"/>
          <w:szCs w:val="22"/>
        </w:rPr>
        <w:t>Secretaría Técnica del Pleno</w:t>
      </w:r>
      <w:r w:rsidRPr="00445611">
        <w:rPr>
          <w:rFonts w:ascii="Palatino Linotype" w:eastAsia="Palatino Linotype" w:hAnsi="Palatino Linotype" w:cs="Palatino Linotype"/>
          <w:sz w:val="22"/>
          <w:szCs w:val="22"/>
        </w:rPr>
        <w:t xml:space="preserve">, junto con el acuse de recibo de la información del Particular; sin embargo, si una vez fenecido el plazo, no acudiera por los documentos ordenados,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mediante acuerdo dará por concluida la solicitud y podrá, de ser el caso, realizar la destrucción del material en el que se reprodujo, situación que también deberá informar a este Instituto, por el mismo conducto.</w:t>
      </w:r>
    </w:p>
    <w:p w14:paraId="49F2907B" w14:textId="77777777" w:rsidR="00C164FD" w:rsidRPr="00445611" w:rsidRDefault="00C164FD">
      <w:pPr>
        <w:spacing w:line="360" w:lineRule="auto"/>
        <w:jc w:val="both"/>
        <w:rPr>
          <w:rFonts w:ascii="Palatino Linotype" w:eastAsia="Palatino Linotype" w:hAnsi="Palatino Linotype" w:cs="Palatino Linotype"/>
          <w:sz w:val="22"/>
          <w:szCs w:val="22"/>
        </w:rPr>
      </w:pPr>
    </w:p>
    <w:p w14:paraId="2944A2D3" w14:textId="08335FD7" w:rsidR="00A9640B" w:rsidRPr="00445611" w:rsidRDefault="00A9640B">
      <w:pPr>
        <w:spacing w:line="360" w:lineRule="auto"/>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sz w:val="22"/>
          <w:szCs w:val="22"/>
        </w:rPr>
        <w:lastRenderedPageBreak/>
        <w:t xml:space="preserve">Por lo tanto, los motivos de inconformidad hechos valer por la parte Recurrente devienen </w:t>
      </w:r>
      <w:r w:rsidRPr="00445611">
        <w:rPr>
          <w:rFonts w:ascii="Palatino Linotype" w:eastAsia="Palatino Linotype" w:hAnsi="Palatino Linotype" w:cs="Palatino Linotype"/>
          <w:b/>
          <w:sz w:val="22"/>
          <w:szCs w:val="22"/>
        </w:rPr>
        <w:t>parcialmente fundados</w:t>
      </w:r>
      <w:r w:rsidRPr="00445611">
        <w:rPr>
          <w:rFonts w:ascii="Palatino Linotype" w:eastAsia="Palatino Linotype" w:hAnsi="Palatino Linotype" w:cs="Palatino Linotype"/>
          <w:sz w:val="22"/>
          <w:szCs w:val="22"/>
        </w:rPr>
        <w:t xml:space="preserve">, y a efecto de garantizar en su totalidad el derecho de acceso a la información, resulta dable </w:t>
      </w:r>
      <w:r w:rsidRPr="00445611">
        <w:rPr>
          <w:rFonts w:ascii="Palatino Linotype" w:eastAsia="Palatino Linotype" w:hAnsi="Palatino Linotype" w:cs="Palatino Linotype"/>
          <w:b/>
          <w:sz w:val="22"/>
          <w:szCs w:val="22"/>
        </w:rPr>
        <w:t>MODIFICAR</w:t>
      </w:r>
      <w:r w:rsidRPr="00445611">
        <w:rPr>
          <w:rFonts w:ascii="Palatino Linotype" w:eastAsia="Palatino Linotype" w:hAnsi="Palatino Linotype" w:cs="Palatino Linotype"/>
          <w:sz w:val="22"/>
          <w:szCs w:val="22"/>
        </w:rPr>
        <w:t xml:space="preserve"> las respuestas de los recursos de revisión </w:t>
      </w:r>
      <w:r w:rsidRPr="00445611">
        <w:rPr>
          <w:rFonts w:ascii="Palatino Linotype" w:eastAsia="Palatino Linotype" w:hAnsi="Palatino Linotype" w:cs="Palatino Linotype"/>
          <w:b/>
          <w:sz w:val="22"/>
          <w:szCs w:val="22"/>
        </w:rPr>
        <w:t>02864/INFOEM/IP/RR/2024 y 02865/INFOEM/IP/RR/2024 acumulados</w:t>
      </w:r>
      <w:r w:rsidRPr="00445611">
        <w:rPr>
          <w:rFonts w:ascii="Palatino Linotype" w:eastAsia="Palatino Linotype" w:hAnsi="Palatino Linotype" w:cs="Palatino Linotype"/>
          <w:sz w:val="22"/>
          <w:szCs w:val="22"/>
        </w:rPr>
        <w:t xml:space="preserve">, para ordenar la entrega de </w:t>
      </w:r>
      <w:r w:rsidRPr="00445611">
        <w:rPr>
          <w:rFonts w:ascii="Palatino Linotype" w:eastAsia="Palatino Linotype" w:hAnsi="Palatino Linotype" w:cs="Palatino Linotype"/>
          <w:b/>
          <w:sz w:val="22"/>
          <w:szCs w:val="22"/>
        </w:rPr>
        <w:t>las documentales que den cuenta de la entrega-recepción, generadas durante los años 2022 y 2023, en versión pública, conforme al considerando quinto</w:t>
      </w:r>
      <w:r w:rsidRPr="00445611">
        <w:rPr>
          <w:rFonts w:ascii="Palatino Linotype" w:eastAsia="Palatino Linotype" w:hAnsi="Palatino Linotype" w:cs="Palatino Linotype"/>
          <w:sz w:val="22"/>
          <w:szCs w:val="22"/>
        </w:rPr>
        <w:t>,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w:t>
      </w:r>
    </w:p>
    <w:p w14:paraId="4E1A2A10" w14:textId="77777777" w:rsidR="001F7456" w:rsidRPr="00445611" w:rsidRDefault="001F7456" w:rsidP="001F7456">
      <w:pPr>
        <w:spacing w:before="240" w:after="240"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Quinto. Versión Pública. </w:t>
      </w:r>
      <w:r w:rsidRPr="00445611">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5CCC91D6" w14:textId="77777777" w:rsidR="001F7456" w:rsidRPr="00445611" w:rsidRDefault="001F7456" w:rsidP="001F7456">
      <w:pPr>
        <w:spacing w:before="240" w:after="240" w:line="360" w:lineRule="auto"/>
        <w:ind w:right="50"/>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2F039968"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Artículo 3</w:t>
      </w:r>
      <w:r w:rsidRPr="00445611">
        <w:rPr>
          <w:rFonts w:ascii="Palatino Linotype" w:eastAsia="Palatino Linotype" w:hAnsi="Palatino Linotype" w:cs="Palatino Linotype"/>
          <w:i/>
          <w:sz w:val="22"/>
          <w:szCs w:val="22"/>
        </w:rPr>
        <w:t>. Para los efectos de la presente Ley se entenderá por:</w:t>
      </w:r>
    </w:p>
    <w:p w14:paraId="3820FC61"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p>
    <w:p w14:paraId="647EE7A8"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lastRenderedPageBreak/>
        <w:t>IX. Datos personales:</w:t>
      </w:r>
      <w:r w:rsidRPr="00445611">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738A10BD"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XX. Información clasificada</w:t>
      </w:r>
      <w:r w:rsidRPr="00445611">
        <w:rPr>
          <w:rFonts w:ascii="Palatino Linotype" w:eastAsia="Palatino Linotype" w:hAnsi="Palatino Linotype" w:cs="Palatino Linotype"/>
          <w:i/>
          <w:sz w:val="22"/>
          <w:szCs w:val="22"/>
        </w:rPr>
        <w:t>: Aquella considerada por la presente Ley como reservada o confidencial;</w:t>
      </w:r>
    </w:p>
    <w:p w14:paraId="12B11468"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XXI. Información confidencial:</w:t>
      </w:r>
      <w:r w:rsidRPr="00445611">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E688311"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XLV. Versión pública:</w:t>
      </w:r>
      <w:r w:rsidRPr="00445611">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A79003C"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p>
    <w:p w14:paraId="0F0AEE91"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Artículo 91. </w:t>
      </w:r>
      <w:r w:rsidRPr="00445611">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16EF264"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Artículo 132. </w:t>
      </w:r>
      <w:r w:rsidRPr="00445611">
        <w:rPr>
          <w:rFonts w:ascii="Palatino Linotype" w:eastAsia="Palatino Linotype" w:hAnsi="Palatino Linotype" w:cs="Palatino Linotype"/>
          <w:i/>
          <w:sz w:val="22"/>
          <w:szCs w:val="22"/>
        </w:rPr>
        <w:t>La clasificación de la información se llevará a cabo en el momento en que:</w:t>
      </w:r>
    </w:p>
    <w:p w14:paraId="0855A546"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I</w:t>
      </w:r>
      <w:r w:rsidRPr="00445611">
        <w:rPr>
          <w:rFonts w:ascii="Palatino Linotype" w:eastAsia="Palatino Linotype" w:hAnsi="Palatino Linotype" w:cs="Palatino Linotype"/>
          <w:i/>
          <w:sz w:val="22"/>
          <w:szCs w:val="22"/>
        </w:rPr>
        <w:t>. Se reciba una solicitud de acceso a la información;</w:t>
      </w:r>
    </w:p>
    <w:p w14:paraId="58B211B8"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II</w:t>
      </w:r>
      <w:r w:rsidRPr="00445611">
        <w:rPr>
          <w:rFonts w:ascii="Palatino Linotype" w:eastAsia="Palatino Linotype" w:hAnsi="Palatino Linotype" w:cs="Palatino Linotype"/>
          <w:i/>
          <w:sz w:val="22"/>
          <w:szCs w:val="22"/>
        </w:rPr>
        <w:t>. Se determine mediante resolución de autoridad competente; o</w:t>
      </w:r>
    </w:p>
    <w:p w14:paraId="425EAEE3"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III</w:t>
      </w:r>
      <w:r w:rsidRPr="00445611">
        <w:rPr>
          <w:rFonts w:ascii="Palatino Linotype" w:eastAsia="Palatino Linotype" w:hAnsi="Palatino Linotype" w:cs="Palatino Linotype"/>
          <w:i/>
          <w:sz w:val="22"/>
          <w:szCs w:val="22"/>
        </w:rPr>
        <w:t>. Se generen versiones públicas para dar cumplimiento a las obligaciones de transparencia previstas en esta Ley.</w:t>
      </w:r>
    </w:p>
    <w:p w14:paraId="45681BA6"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p>
    <w:p w14:paraId="45F97955"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Artículo 143</w:t>
      </w:r>
      <w:r w:rsidRPr="0044561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EB09D68"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I.</w:t>
      </w:r>
      <w:r w:rsidRPr="00445611">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89344FF"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II.</w:t>
      </w:r>
      <w:r w:rsidRPr="00445611">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4CAB68A"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III</w:t>
      </w:r>
      <w:r w:rsidRPr="00445611">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5FC9A60C"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55F3F300" w14:textId="77777777" w:rsidR="001F7456" w:rsidRPr="00445611" w:rsidRDefault="001F7456" w:rsidP="001F7456">
      <w:pPr>
        <w:spacing w:before="120" w:after="120"/>
        <w:ind w:left="567" w:right="902"/>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ABE1C46" w14:textId="77777777" w:rsidR="001F7456" w:rsidRPr="00445611" w:rsidRDefault="001F7456" w:rsidP="001F7456">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3A4F51AB"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siendo estas las siguientes:</w:t>
      </w:r>
    </w:p>
    <w:p w14:paraId="0FFCD55B"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p>
    <w:p w14:paraId="7191BB6E" w14:textId="77777777" w:rsidR="001F7456" w:rsidRPr="00445611" w:rsidRDefault="001F7456" w:rsidP="001F7456">
      <w:pPr>
        <w:spacing w:line="276" w:lineRule="auto"/>
        <w:ind w:left="567"/>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“CAPÍTULO VIII </w:t>
      </w:r>
    </w:p>
    <w:p w14:paraId="7ED04DB7" w14:textId="77777777" w:rsidR="001F7456" w:rsidRPr="00445611" w:rsidRDefault="001F7456" w:rsidP="001F7456">
      <w:pPr>
        <w:spacing w:line="276" w:lineRule="auto"/>
        <w:ind w:left="567"/>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DE LOS ELEMENTOS PARA LA CLASIFICACIÓN </w:t>
      </w:r>
    </w:p>
    <w:p w14:paraId="18424EE8" w14:textId="77777777" w:rsidR="001F7456" w:rsidRPr="00445611" w:rsidRDefault="001F7456" w:rsidP="001F7456">
      <w:pP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Quincuagésimo.</w:t>
      </w:r>
      <w:r w:rsidRPr="00445611">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2D9E3A3" w14:textId="77777777" w:rsidR="001F7456" w:rsidRPr="00445611" w:rsidRDefault="001F7456" w:rsidP="001F7456">
      <w:pP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Quincuagésimo primero.</w:t>
      </w:r>
      <w:r w:rsidRPr="00445611">
        <w:rPr>
          <w:rFonts w:ascii="Palatino Linotype" w:eastAsia="Palatino Linotype" w:hAnsi="Palatino Linotype" w:cs="Palatino Linotype"/>
          <w:i/>
          <w:sz w:val="22"/>
          <w:szCs w:val="22"/>
        </w:rPr>
        <w:t xml:space="preserve"> Toda acta del Comité de Transparencia deberá contener: </w:t>
      </w:r>
    </w:p>
    <w:p w14:paraId="3BFEB763" w14:textId="77777777" w:rsidR="001F7456" w:rsidRPr="00445611" w:rsidRDefault="001F7456" w:rsidP="001F7456">
      <w:pPr>
        <w:numPr>
          <w:ilvl w:val="1"/>
          <w:numId w:val="13"/>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El número de sesión y fecha; </w:t>
      </w:r>
    </w:p>
    <w:p w14:paraId="35CE1C45" w14:textId="77777777" w:rsidR="001F7456" w:rsidRPr="00445611" w:rsidRDefault="001F7456" w:rsidP="001F7456">
      <w:pPr>
        <w:numPr>
          <w:ilvl w:val="1"/>
          <w:numId w:val="13"/>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El nombre del área que solicitó la clasificación de información; </w:t>
      </w:r>
    </w:p>
    <w:p w14:paraId="3F1F4B99" w14:textId="77777777" w:rsidR="001F7456" w:rsidRPr="00445611" w:rsidRDefault="001F7456" w:rsidP="001F7456">
      <w:pPr>
        <w:numPr>
          <w:ilvl w:val="1"/>
          <w:numId w:val="13"/>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lastRenderedPageBreak/>
        <w:t xml:space="preserve">La fundamentación legal y motivación correspondiente; </w:t>
      </w:r>
    </w:p>
    <w:p w14:paraId="2EA3FFD4" w14:textId="77777777" w:rsidR="001F7456" w:rsidRPr="00445611" w:rsidRDefault="001F7456" w:rsidP="001F7456">
      <w:pPr>
        <w:numPr>
          <w:ilvl w:val="1"/>
          <w:numId w:val="13"/>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La resolución o resoluciones aprobadas; y </w:t>
      </w:r>
    </w:p>
    <w:p w14:paraId="649A3A49" w14:textId="77777777" w:rsidR="001F7456" w:rsidRPr="00445611" w:rsidRDefault="001F7456" w:rsidP="001F7456">
      <w:pPr>
        <w:numPr>
          <w:ilvl w:val="1"/>
          <w:numId w:val="13"/>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La rúbrica o firma digital de cada integrante del Comité de Transparencia. </w:t>
      </w:r>
    </w:p>
    <w:p w14:paraId="0BBAED4C"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1D2E29DE"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I. Los motivos y razonamientos que sustenten la confirmación o modificación de la prueba de daño;</w:t>
      </w:r>
    </w:p>
    <w:p w14:paraId="0F08F867"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II. Descripción de las partes o secciones reservadas, en caso de clasificación parcial; </w:t>
      </w:r>
    </w:p>
    <w:p w14:paraId="662E3738"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III. El periodo por el que mantendrá su clasificación y fecha de expiración; y </w:t>
      </w:r>
    </w:p>
    <w:p w14:paraId="16095B34"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7FFC9707"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83AF024"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281B4DA7"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Quincuagésimo segundo. </w:t>
      </w:r>
      <w:r w:rsidRPr="00445611">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A7EB877"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bookmarkStart w:id="3" w:name="_heading=h.lnxbz9" w:colFirst="0" w:colLast="0"/>
      <w:bookmarkEnd w:id="3"/>
      <w:r w:rsidRPr="00445611">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A777AEF"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I. Fijar la fecha en que se elaboró la versión pública y la fecha en la cual el Comité de</w:t>
      </w:r>
    </w:p>
    <w:p w14:paraId="44B3E429"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Transparencia confirmó dicha versión;</w:t>
      </w:r>
    </w:p>
    <w:p w14:paraId="4444E1B8"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21942E1B"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III. Señalar las personas o instancias autorizadas a acceder a la información clasificada.</w:t>
      </w:r>
    </w:p>
    <w:p w14:paraId="4CB9889E"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04BAE1D4" w14:textId="77777777" w:rsidR="001F7456" w:rsidRPr="00445611" w:rsidRDefault="001F7456" w:rsidP="001F7456">
      <w:pPr>
        <w:pBdr>
          <w:top w:val="nil"/>
          <w:left w:val="nil"/>
          <w:bottom w:val="nil"/>
          <w:right w:val="nil"/>
          <w:between w:val="nil"/>
        </w:pBdr>
        <w:spacing w:line="276" w:lineRule="auto"/>
        <w:ind w:right="900"/>
        <w:jc w:val="both"/>
        <w:rPr>
          <w:rFonts w:ascii="Palatino Linotype" w:eastAsia="Palatino Linotype" w:hAnsi="Palatino Linotype" w:cs="Palatino Linotype"/>
          <w:b/>
          <w:i/>
          <w:sz w:val="22"/>
          <w:szCs w:val="22"/>
        </w:rPr>
      </w:pPr>
    </w:p>
    <w:p w14:paraId="10763FFC"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Quincuagésimo cuarto. </w:t>
      </w:r>
      <w:r w:rsidRPr="00445611">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3816257"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35A67B7F" w14:textId="77777777" w:rsidR="001F7456" w:rsidRPr="00445611" w:rsidRDefault="001F7456" w:rsidP="001F7456">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Quincuagésimo quinto. </w:t>
      </w:r>
      <w:r w:rsidRPr="00445611">
        <w:rPr>
          <w:rFonts w:ascii="Palatino Linotype" w:eastAsia="Palatino Linotype" w:hAnsi="Palatino Linotype" w:cs="Palatino Linotype"/>
          <w:i/>
          <w:sz w:val="22"/>
          <w:szCs w:val="22"/>
        </w:rPr>
        <w:t xml:space="preserve">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4EDC9373" w14:textId="77777777" w:rsidR="001F7456" w:rsidRPr="00445611" w:rsidRDefault="001F7456" w:rsidP="001F7456">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F117439" w14:textId="77777777" w:rsidR="001F7456" w:rsidRPr="00445611" w:rsidRDefault="001F7456" w:rsidP="001F7456">
      <w:pPr>
        <w:spacing w:before="240"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En el caso específico, las actas entrega-recepción también contienen los datos personales de los servidores, que de hacerse públicos afectarían su intimidad y vida privada; es por ello </w:t>
      </w:r>
      <w:r w:rsidRPr="00445611">
        <w:rPr>
          <w:rFonts w:ascii="Palatino Linotype" w:eastAsia="Palatino Linotype" w:hAnsi="Palatino Linotype" w:cs="Palatino Linotype"/>
          <w:sz w:val="22"/>
          <w:szCs w:val="22"/>
        </w:rPr>
        <w:lastRenderedPageBreak/>
        <w:t xml:space="preserve">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445611">
        <w:rPr>
          <w:rFonts w:ascii="Palatino Linotype" w:eastAsia="Palatino Linotype" w:hAnsi="Palatino Linotype" w:cs="Palatino Linotype"/>
          <w:b/>
          <w:sz w:val="22"/>
          <w:szCs w:val="22"/>
        </w:rPr>
        <w:t>Registro Federal de Contribuyentes</w:t>
      </w:r>
      <w:r w:rsidRPr="00445611">
        <w:rPr>
          <w:rFonts w:ascii="Palatino Linotype" w:eastAsia="Palatino Linotype" w:hAnsi="Palatino Linotype" w:cs="Palatino Linotype"/>
          <w:sz w:val="22"/>
          <w:szCs w:val="22"/>
        </w:rPr>
        <w:t xml:space="preserve"> (RFC) y la </w:t>
      </w:r>
      <w:r w:rsidRPr="00445611">
        <w:rPr>
          <w:rFonts w:ascii="Palatino Linotype" w:eastAsia="Palatino Linotype" w:hAnsi="Palatino Linotype" w:cs="Palatino Linotype"/>
          <w:b/>
          <w:sz w:val="22"/>
          <w:szCs w:val="22"/>
        </w:rPr>
        <w:t>Clave Única de Registro de Población</w:t>
      </w:r>
      <w:r w:rsidRPr="00445611">
        <w:rPr>
          <w:rFonts w:ascii="Palatino Linotype" w:eastAsia="Palatino Linotype" w:hAnsi="Palatino Linotype" w:cs="Palatino Linotype"/>
          <w:sz w:val="22"/>
          <w:szCs w:val="22"/>
        </w:rPr>
        <w:t xml:space="preserve"> (CURP).</w:t>
      </w:r>
    </w:p>
    <w:p w14:paraId="5BA4998E" w14:textId="77777777" w:rsidR="001F7456" w:rsidRPr="00445611" w:rsidRDefault="001F7456" w:rsidP="001F7456">
      <w:pPr>
        <w:spacing w:line="360" w:lineRule="auto"/>
        <w:ind w:right="49"/>
        <w:jc w:val="both"/>
        <w:rPr>
          <w:rFonts w:ascii="Palatino Linotype" w:eastAsia="Palatino Linotype" w:hAnsi="Palatino Linotype" w:cs="Palatino Linotype"/>
          <w:sz w:val="22"/>
          <w:szCs w:val="22"/>
        </w:rPr>
      </w:pPr>
    </w:p>
    <w:p w14:paraId="54A3B753"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Por cuanto hace al </w:t>
      </w:r>
      <w:r w:rsidRPr="00445611">
        <w:rPr>
          <w:rFonts w:ascii="Palatino Linotype" w:eastAsia="Palatino Linotype" w:hAnsi="Palatino Linotype" w:cs="Palatino Linotype"/>
          <w:b/>
          <w:sz w:val="22"/>
          <w:szCs w:val="22"/>
        </w:rPr>
        <w:t>Registro Federal de Contribuyentes (RFC),</w:t>
      </w:r>
      <w:r w:rsidRPr="00445611">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27BCC3B8"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p>
    <w:p w14:paraId="0FAD3826"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34FB62B"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p>
    <w:p w14:paraId="240C311E" w14:textId="77777777" w:rsidR="001F7456" w:rsidRPr="00445611" w:rsidRDefault="001F7456" w:rsidP="001F7456">
      <w:pPr>
        <w:spacing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Lo anterior es compartido por el entonces Instituto Federal de Acceso a la Información Pública y Protección de Datos Personales (IFAI) a través del Criterio 19/17, el cual es del tenor literal siguiente:</w:t>
      </w:r>
    </w:p>
    <w:p w14:paraId="02C506CC" w14:textId="77777777" w:rsidR="001F7456" w:rsidRPr="00445611" w:rsidRDefault="001F7456" w:rsidP="001F7456">
      <w:pPr>
        <w:spacing w:line="360" w:lineRule="auto"/>
        <w:ind w:left="851" w:right="900"/>
        <w:jc w:val="both"/>
        <w:rPr>
          <w:rFonts w:ascii="Palatino Linotype" w:eastAsia="Palatino Linotype" w:hAnsi="Palatino Linotype" w:cs="Palatino Linotype"/>
          <w:b/>
          <w:i/>
          <w:sz w:val="22"/>
          <w:szCs w:val="22"/>
        </w:rPr>
      </w:pPr>
    </w:p>
    <w:p w14:paraId="5BA281BF" w14:textId="77777777" w:rsidR="001F7456" w:rsidRPr="00445611" w:rsidRDefault="001F7456" w:rsidP="001F7456">
      <w:pPr>
        <w:spacing w:line="276" w:lineRule="auto"/>
        <w:ind w:left="851"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“Registro Federal de Contribuyentes (RFC) de personas físicas</w:t>
      </w:r>
      <w:r w:rsidRPr="00445611">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04585ABA"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p>
    <w:p w14:paraId="4C9D4FFC"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4A125C26"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p>
    <w:p w14:paraId="3D660355"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De igual manera la </w:t>
      </w:r>
      <w:r w:rsidRPr="00445611">
        <w:rPr>
          <w:rFonts w:ascii="Palatino Linotype" w:eastAsia="Palatino Linotype" w:hAnsi="Palatino Linotype" w:cs="Palatino Linotype"/>
          <w:b/>
          <w:sz w:val="22"/>
          <w:szCs w:val="22"/>
        </w:rPr>
        <w:t>Clave Única de Registro de Población (CURP)</w:t>
      </w:r>
      <w:r w:rsidRPr="00445611">
        <w:rPr>
          <w:rFonts w:ascii="Palatino Linotype" w:eastAsia="Palatino Linotype" w:hAnsi="Palatino Linotype" w:cs="Palatino Linotype"/>
          <w:sz w:val="22"/>
          <w:szCs w:val="22"/>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0D9AB271"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p>
    <w:p w14:paraId="02BC555F"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Argumento que es compartido por el Instituto Nacional de Transparencia, Acceso a la Información y Protección de Datos Personales, INAI</w:t>
      </w:r>
      <w:r w:rsidRPr="00445611">
        <w:rPr>
          <w:rFonts w:ascii="Palatino Linotype" w:eastAsia="Palatino Linotype" w:hAnsi="Palatino Linotype" w:cs="Palatino Linotype"/>
          <w:b/>
          <w:sz w:val="22"/>
          <w:szCs w:val="22"/>
        </w:rPr>
        <w:t xml:space="preserve">, conforme al </w:t>
      </w:r>
      <w:r w:rsidRPr="00445611">
        <w:rPr>
          <w:rFonts w:ascii="Palatino Linotype" w:eastAsia="Palatino Linotype" w:hAnsi="Palatino Linotype" w:cs="Palatino Linotype"/>
          <w:sz w:val="22"/>
          <w:szCs w:val="22"/>
        </w:rPr>
        <w:t xml:space="preserve">criterio 18/17, el cual refiere: </w:t>
      </w:r>
    </w:p>
    <w:p w14:paraId="0E23D975" w14:textId="77777777" w:rsidR="001F7456" w:rsidRPr="00445611" w:rsidRDefault="001F7456" w:rsidP="001F7456">
      <w:pPr>
        <w:spacing w:line="276" w:lineRule="auto"/>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“Clave Única de Registro de Población (CURP). </w:t>
      </w:r>
      <w:r w:rsidRPr="00445611">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05A1CF9" w14:textId="77777777" w:rsidR="001F7456" w:rsidRPr="00445611" w:rsidRDefault="001F7456" w:rsidP="001F7456">
      <w:pPr>
        <w:spacing w:line="360" w:lineRule="auto"/>
        <w:ind w:right="-91"/>
        <w:jc w:val="both"/>
        <w:rPr>
          <w:rFonts w:ascii="Palatino Linotype" w:eastAsia="Palatino Linotype" w:hAnsi="Palatino Linotype" w:cs="Palatino Linotype"/>
          <w:sz w:val="22"/>
          <w:szCs w:val="22"/>
        </w:rPr>
      </w:pPr>
    </w:p>
    <w:p w14:paraId="6C16412A" w14:textId="799D8EA1" w:rsidR="001F7456" w:rsidRPr="00445611" w:rsidRDefault="001F7456" w:rsidP="001F7456">
      <w:pPr>
        <w:spacing w:line="360" w:lineRule="auto"/>
        <w:ind w:right="-93"/>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lastRenderedPageBreak/>
        <w:t xml:space="preserve">Al respecto, es de señalar que </w:t>
      </w:r>
      <w:r w:rsidRPr="00445611">
        <w:rPr>
          <w:rFonts w:ascii="Palatino Linotype" w:eastAsia="Palatino Linotype" w:hAnsi="Palatino Linotype" w:cs="Palatino Linotype"/>
          <w:b/>
          <w:sz w:val="22"/>
          <w:szCs w:val="22"/>
        </w:rPr>
        <w:t xml:space="preserve">la firma </w:t>
      </w:r>
      <w:r w:rsidRPr="00445611">
        <w:rPr>
          <w:rFonts w:ascii="Palatino Linotype" w:eastAsia="Palatino Linotype" w:hAnsi="Palatino Linotype" w:cs="Palatino Linotype"/>
          <w:sz w:val="22"/>
          <w:szCs w:val="22"/>
        </w:rPr>
        <w:t xml:space="preserve">es considerada un dato personal, al tratarse de información gráfica a través de la cual su titular exterioriza su voluntad en actos públicos y privados; no obstante, en el presente caso, dicho dato, es de la autoridad emisora. </w:t>
      </w:r>
    </w:p>
    <w:p w14:paraId="2CCED7C1" w14:textId="77777777" w:rsidR="001F7456" w:rsidRPr="00445611" w:rsidRDefault="001F7456" w:rsidP="001F7456">
      <w:pPr>
        <w:spacing w:line="360" w:lineRule="auto"/>
        <w:ind w:right="-93"/>
        <w:jc w:val="both"/>
        <w:rPr>
          <w:rFonts w:ascii="Palatino Linotype" w:eastAsia="Palatino Linotype" w:hAnsi="Palatino Linotype" w:cs="Palatino Linotype"/>
          <w:sz w:val="22"/>
          <w:szCs w:val="22"/>
        </w:rPr>
      </w:pPr>
    </w:p>
    <w:p w14:paraId="1637C562" w14:textId="77777777" w:rsidR="001F7456" w:rsidRPr="00445611" w:rsidRDefault="001F7456" w:rsidP="001F7456">
      <w:pPr>
        <w:spacing w:line="360" w:lineRule="auto"/>
        <w:ind w:right="-93"/>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Al respecto, este Instituto, considera que entregar la firmas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749BF1E7" w14:textId="77777777" w:rsidR="001F7456" w:rsidRPr="00445611" w:rsidRDefault="001F7456" w:rsidP="001F7456">
      <w:pPr>
        <w:spacing w:line="360" w:lineRule="auto"/>
        <w:ind w:right="-93"/>
        <w:jc w:val="both"/>
        <w:rPr>
          <w:rFonts w:ascii="Palatino Linotype" w:eastAsia="Palatino Linotype" w:hAnsi="Palatino Linotype" w:cs="Palatino Linotype"/>
          <w:sz w:val="22"/>
          <w:szCs w:val="22"/>
        </w:rPr>
      </w:pPr>
    </w:p>
    <w:p w14:paraId="1D9C18B1" w14:textId="77777777" w:rsidR="001F7456" w:rsidRPr="00445611" w:rsidRDefault="001F7456" w:rsidP="001F7456">
      <w:pPr>
        <w:spacing w:line="360" w:lineRule="auto"/>
        <w:ind w:right="-93"/>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086BF5D4" w14:textId="77777777" w:rsidR="001F7456" w:rsidRPr="00445611" w:rsidRDefault="001F7456" w:rsidP="001F7456">
      <w:pPr>
        <w:spacing w:line="360" w:lineRule="auto"/>
        <w:ind w:right="-93"/>
        <w:jc w:val="both"/>
        <w:rPr>
          <w:rFonts w:ascii="Palatino Linotype" w:eastAsia="Palatino Linotype" w:hAnsi="Palatino Linotype" w:cs="Palatino Linotype"/>
          <w:sz w:val="22"/>
          <w:szCs w:val="22"/>
        </w:rPr>
      </w:pPr>
    </w:p>
    <w:p w14:paraId="30C269FC" w14:textId="77777777" w:rsidR="001F7456" w:rsidRPr="00445611" w:rsidRDefault="001F7456" w:rsidP="001F7456">
      <w:pPr>
        <w:spacing w:line="360" w:lineRule="auto"/>
        <w:ind w:right="49"/>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Sirve de sustento a lo anterior el Criterio de Interpretación 02/19 emitido por el Instituto Nacional de Transparencia, Acceso a la Información y Protección de Datos Personales, cuyo rubro y texto establecen lo siguiente:</w:t>
      </w:r>
    </w:p>
    <w:p w14:paraId="2D68A338" w14:textId="77777777" w:rsidR="001F7456" w:rsidRPr="00445611" w:rsidRDefault="001F7456" w:rsidP="001F7456">
      <w:pPr>
        <w:spacing w:after="160" w:line="276" w:lineRule="auto"/>
        <w:ind w:right="-93"/>
        <w:jc w:val="both"/>
        <w:rPr>
          <w:rFonts w:ascii="Palatino Linotype" w:eastAsia="Palatino Linotype" w:hAnsi="Palatino Linotype" w:cs="Palatino Linotype"/>
          <w:sz w:val="22"/>
          <w:szCs w:val="22"/>
        </w:rPr>
      </w:pPr>
    </w:p>
    <w:p w14:paraId="224A5770" w14:textId="77777777" w:rsidR="001F7456" w:rsidRPr="00445611" w:rsidRDefault="001F7456" w:rsidP="001D309D">
      <w:pPr>
        <w:tabs>
          <w:tab w:val="left" w:pos="7513"/>
        </w:tabs>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FIRMA Y RÚBRICA DE SERVIDORES PÚBLICOS.</w:t>
      </w:r>
      <w:r w:rsidRPr="00445611">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9093117"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p>
    <w:p w14:paraId="10AD0B30" w14:textId="77777777" w:rsidR="001F7456" w:rsidRPr="00445611" w:rsidRDefault="001F7456" w:rsidP="001F7456">
      <w:pPr>
        <w:spacing w:after="240" w:line="360" w:lineRule="auto"/>
        <w:jc w:val="both"/>
        <w:rPr>
          <w:sz w:val="22"/>
          <w:szCs w:val="22"/>
        </w:rPr>
      </w:pPr>
      <w:r w:rsidRPr="00445611">
        <w:rPr>
          <w:rFonts w:ascii="Palatino Linotype" w:eastAsia="Palatino Linotype" w:hAnsi="Palatino Linotype" w:cs="Palatino Linotype"/>
          <w:sz w:val="22"/>
          <w:szCs w:val="22"/>
        </w:rPr>
        <w:t xml:space="preserve">Por lo que se refiere a la credencial para votar, constituyen datos personales el nombre, domicilio, huella digital, fotografía del elector, clave de registro o elector, Clave Única del Registro de Población y firma, tal como se refiere en el artículo 156 numeral 1, incisos d), g) </w:t>
      </w:r>
      <w:r w:rsidRPr="00445611">
        <w:rPr>
          <w:rFonts w:ascii="Palatino Linotype" w:eastAsia="Palatino Linotype" w:hAnsi="Palatino Linotype" w:cs="Palatino Linotype"/>
          <w:sz w:val="22"/>
          <w:szCs w:val="22"/>
        </w:rPr>
        <w:lastRenderedPageBreak/>
        <w:t>e i) de la Ley General de Instituciones y Procedimientos Electorales que enlista los datos que, cuando menos, debe contener la credencial para votar, como son: </w:t>
      </w:r>
    </w:p>
    <w:p w14:paraId="5992DD05"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Artículo 156</w:t>
      </w:r>
      <w:r w:rsidRPr="00445611">
        <w:rPr>
          <w:rFonts w:ascii="Palatino Linotype" w:eastAsia="Palatino Linotype" w:hAnsi="Palatino Linotype" w:cs="Palatino Linotype"/>
          <w:i/>
          <w:sz w:val="22"/>
          <w:szCs w:val="22"/>
        </w:rPr>
        <w:t>.</w:t>
      </w:r>
    </w:p>
    <w:p w14:paraId="7235E593"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b/>
          <w:i/>
          <w:sz w:val="22"/>
          <w:szCs w:val="22"/>
        </w:rPr>
        <w:t>1.</w:t>
      </w:r>
      <w:r w:rsidRPr="00445611">
        <w:rPr>
          <w:rFonts w:ascii="Palatino Linotype" w:eastAsia="Palatino Linotype" w:hAnsi="Palatino Linotype" w:cs="Palatino Linotype"/>
          <w:i/>
          <w:sz w:val="22"/>
          <w:szCs w:val="22"/>
        </w:rPr>
        <w:t xml:space="preserve"> </w:t>
      </w:r>
      <w:r w:rsidRPr="00445611">
        <w:rPr>
          <w:rFonts w:ascii="Palatino Linotype" w:eastAsia="Palatino Linotype" w:hAnsi="Palatino Linotype" w:cs="Palatino Linotype"/>
          <w:b/>
          <w:i/>
          <w:sz w:val="22"/>
          <w:szCs w:val="22"/>
          <w:u w:val="single"/>
        </w:rPr>
        <w:t>La credencial para votar deberá contener, cuando menos, los siguientes datos del elector</w:t>
      </w:r>
      <w:r w:rsidRPr="00445611">
        <w:rPr>
          <w:rFonts w:ascii="Palatino Linotype" w:eastAsia="Palatino Linotype" w:hAnsi="Palatino Linotype" w:cs="Palatino Linotype"/>
          <w:i/>
          <w:sz w:val="22"/>
          <w:szCs w:val="22"/>
        </w:rPr>
        <w:t>:</w:t>
      </w:r>
    </w:p>
    <w:p w14:paraId="18B533AA"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w:t>
      </w:r>
    </w:p>
    <w:p w14:paraId="7A8BAC96"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 xml:space="preserve">d) </w:t>
      </w:r>
      <w:r w:rsidRPr="00445611">
        <w:rPr>
          <w:rFonts w:ascii="Palatino Linotype" w:eastAsia="Palatino Linotype" w:hAnsi="Palatino Linotype" w:cs="Palatino Linotype"/>
          <w:b/>
          <w:i/>
          <w:sz w:val="22"/>
          <w:szCs w:val="22"/>
          <w:u w:val="single"/>
        </w:rPr>
        <w:t>Domicilio</w:t>
      </w:r>
      <w:r w:rsidRPr="00445611">
        <w:rPr>
          <w:rFonts w:ascii="Palatino Linotype" w:eastAsia="Palatino Linotype" w:hAnsi="Palatino Linotype" w:cs="Palatino Linotype"/>
          <w:i/>
          <w:sz w:val="22"/>
          <w:szCs w:val="22"/>
        </w:rPr>
        <w:t>;</w:t>
      </w:r>
    </w:p>
    <w:p w14:paraId="5B6900A9"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w:t>
      </w:r>
    </w:p>
    <w:p w14:paraId="664B2B22"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 xml:space="preserve">g) </w:t>
      </w:r>
      <w:r w:rsidRPr="00445611">
        <w:rPr>
          <w:rFonts w:ascii="Palatino Linotype" w:eastAsia="Palatino Linotype" w:hAnsi="Palatino Linotype" w:cs="Palatino Linotype"/>
          <w:b/>
          <w:i/>
          <w:sz w:val="22"/>
          <w:szCs w:val="22"/>
        </w:rPr>
        <w:t>Firma</w:t>
      </w:r>
      <w:r w:rsidRPr="00445611">
        <w:rPr>
          <w:rFonts w:ascii="Palatino Linotype" w:eastAsia="Palatino Linotype" w:hAnsi="Palatino Linotype" w:cs="Palatino Linotype"/>
          <w:i/>
          <w:sz w:val="22"/>
          <w:szCs w:val="22"/>
        </w:rPr>
        <w:t xml:space="preserve">, </w:t>
      </w:r>
      <w:r w:rsidRPr="00445611">
        <w:rPr>
          <w:rFonts w:ascii="Palatino Linotype" w:eastAsia="Palatino Linotype" w:hAnsi="Palatino Linotype" w:cs="Palatino Linotype"/>
          <w:b/>
          <w:i/>
          <w:sz w:val="22"/>
          <w:szCs w:val="22"/>
          <w:u w:val="single"/>
        </w:rPr>
        <w:t>huella digital</w:t>
      </w:r>
      <w:r w:rsidRPr="00445611">
        <w:rPr>
          <w:rFonts w:ascii="Palatino Linotype" w:eastAsia="Palatino Linotype" w:hAnsi="Palatino Linotype" w:cs="Palatino Linotype"/>
          <w:i/>
          <w:sz w:val="22"/>
          <w:szCs w:val="22"/>
        </w:rPr>
        <w:t xml:space="preserve"> y </w:t>
      </w:r>
      <w:r w:rsidRPr="00445611">
        <w:rPr>
          <w:rFonts w:ascii="Palatino Linotype" w:eastAsia="Palatino Linotype" w:hAnsi="Palatino Linotype" w:cs="Palatino Linotype"/>
          <w:b/>
          <w:i/>
          <w:sz w:val="22"/>
          <w:szCs w:val="22"/>
          <w:u w:val="single"/>
        </w:rPr>
        <w:t>fotografía del elector</w:t>
      </w:r>
      <w:r w:rsidRPr="00445611">
        <w:rPr>
          <w:rFonts w:ascii="Palatino Linotype" w:eastAsia="Palatino Linotype" w:hAnsi="Palatino Linotype" w:cs="Palatino Linotype"/>
          <w:i/>
          <w:sz w:val="22"/>
          <w:szCs w:val="22"/>
        </w:rPr>
        <w:t>;</w:t>
      </w:r>
    </w:p>
    <w:p w14:paraId="6CC2AC16"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w:t>
      </w:r>
    </w:p>
    <w:p w14:paraId="0350C80C"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 xml:space="preserve">i) </w:t>
      </w:r>
      <w:r w:rsidRPr="00445611">
        <w:rPr>
          <w:rFonts w:ascii="Palatino Linotype" w:eastAsia="Palatino Linotype" w:hAnsi="Palatino Linotype" w:cs="Palatino Linotype"/>
          <w:b/>
          <w:i/>
          <w:sz w:val="22"/>
          <w:szCs w:val="22"/>
          <w:u w:val="single"/>
        </w:rPr>
        <w:t>Clave Única del Registro de Población</w:t>
      </w:r>
      <w:r w:rsidRPr="00445611">
        <w:rPr>
          <w:rFonts w:ascii="Palatino Linotype" w:eastAsia="Palatino Linotype" w:hAnsi="Palatino Linotype" w:cs="Palatino Linotype"/>
          <w:i/>
          <w:sz w:val="22"/>
          <w:szCs w:val="22"/>
        </w:rPr>
        <w:t>. ” (Énfasis añadido)</w:t>
      </w:r>
    </w:p>
    <w:p w14:paraId="4D17382B" w14:textId="77777777" w:rsidR="001F7456" w:rsidRPr="00445611" w:rsidRDefault="001F7456" w:rsidP="001F7456">
      <w:pPr>
        <w:spacing w:line="360" w:lineRule="auto"/>
      </w:pPr>
    </w:p>
    <w:p w14:paraId="0ED2B23A" w14:textId="77777777" w:rsidR="001F7456" w:rsidRPr="00445611" w:rsidRDefault="001F7456" w:rsidP="001F7456">
      <w:pPr>
        <w:spacing w:before="240" w:after="240" w:line="360" w:lineRule="auto"/>
        <w:jc w:val="both"/>
        <w:rPr>
          <w:sz w:val="22"/>
          <w:szCs w:val="22"/>
        </w:rPr>
      </w:pPr>
      <w:r w:rsidRPr="00445611">
        <w:rPr>
          <w:rFonts w:ascii="Palatino Linotype" w:eastAsia="Palatino Linotype" w:hAnsi="Palatino Linotype" w:cs="Palatino Linotype"/>
          <w:sz w:val="22"/>
          <w:szCs w:val="22"/>
        </w:rPr>
        <w:t>Así, el conocimiento de dichos datos afecta la esfera más íntima de su Titular, en razón de que su utilización indebida pueda dar origen a un riesgo grave para éste.</w:t>
      </w:r>
    </w:p>
    <w:p w14:paraId="440C1511" w14:textId="77777777" w:rsidR="001F7456" w:rsidRPr="00445611" w:rsidRDefault="001F7456" w:rsidP="001F7456">
      <w:pPr>
        <w:spacing w:before="240" w:after="240" w:line="360" w:lineRule="auto"/>
        <w:jc w:val="both"/>
        <w:rPr>
          <w:sz w:val="22"/>
          <w:szCs w:val="22"/>
        </w:rPr>
      </w:pPr>
      <w:r w:rsidRPr="00445611">
        <w:rPr>
          <w:rFonts w:ascii="Palatino Linotype" w:eastAsia="Palatino Linotype" w:hAnsi="Palatino Linotype" w:cs="Palatino Linotype"/>
          <w:sz w:val="22"/>
          <w:szCs w:val="22"/>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1E90F748" w14:textId="77777777" w:rsidR="001F7456" w:rsidRPr="00445611" w:rsidRDefault="001F7456" w:rsidP="001F7456">
      <w:pPr>
        <w:spacing w:before="240" w:after="240" w:line="360" w:lineRule="auto"/>
        <w:jc w:val="both"/>
        <w:rPr>
          <w:sz w:val="22"/>
          <w:szCs w:val="22"/>
        </w:rPr>
      </w:pPr>
      <w:r w:rsidRPr="00445611">
        <w:rPr>
          <w:rFonts w:ascii="Palatino Linotype" w:eastAsia="Palatino Linotype" w:hAnsi="Palatino Linotype" w:cs="Palatino Linotype"/>
          <w:sz w:val="22"/>
          <w:szCs w:val="22"/>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7">
        <w:r w:rsidRPr="00445611">
          <w:rPr>
            <w:rFonts w:ascii="Palatino Linotype" w:eastAsia="Palatino Linotype" w:hAnsi="Palatino Linotype" w:cs="Palatino Linotype"/>
            <w:sz w:val="22"/>
            <w:szCs w:val="22"/>
            <w:u w:val="single"/>
          </w:rPr>
          <w:t>http://portalanterior.ine.mx/archivos2/portal/credencial/pdf-credencial/ABC_credenciales_ INE_2015.pdf</w:t>
        </w:r>
      </w:hyperlink>
      <w:r w:rsidRPr="00445611">
        <w:rPr>
          <w:rFonts w:ascii="Palatino Linotype" w:eastAsia="Palatino Linotype" w:hAnsi="Palatino Linotype" w:cs="Palatino Linotype"/>
          <w:sz w:val="22"/>
          <w:szCs w:val="22"/>
        </w:rPr>
        <w:t xml:space="preserve"> , como se muestra a continuación, en su parte medular: </w:t>
      </w:r>
    </w:p>
    <w:p w14:paraId="3A6B5149" w14:textId="77777777" w:rsidR="001F7456" w:rsidRPr="00445611" w:rsidRDefault="001F7456" w:rsidP="001F7456">
      <w:pPr>
        <w:spacing w:before="240" w:after="240" w:line="360" w:lineRule="auto"/>
        <w:jc w:val="both"/>
        <w:rPr>
          <w:sz w:val="22"/>
          <w:szCs w:val="22"/>
        </w:rPr>
      </w:pPr>
      <w:r w:rsidRPr="00445611">
        <w:rPr>
          <w:rFonts w:ascii="Palatino Linotype" w:eastAsia="Palatino Linotype" w:hAnsi="Palatino Linotype" w:cs="Palatino Linotype"/>
          <w:sz w:val="22"/>
          <w:szCs w:val="22"/>
        </w:rPr>
        <w:t>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421A25FA" w14:textId="77777777" w:rsidR="001F7456" w:rsidRPr="00445611" w:rsidRDefault="001F7456" w:rsidP="001F7456">
      <w:pPr>
        <w:spacing w:before="240" w:after="240" w:line="360" w:lineRule="auto"/>
        <w:jc w:val="both"/>
        <w:rPr>
          <w:sz w:val="22"/>
          <w:szCs w:val="22"/>
        </w:rPr>
      </w:pPr>
      <w:r w:rsidRPr="00445611">
        <w:rPr>
          <w:rFonts w:ascii="Palatino Linotype" w:eastAsia="Palatino Linotype" w:hAnsi="Palatino Linotype" w:cs="Palatino Linotype"/>
          <w:sz w:val="22"/>
          <w:szCs w:val="22"/>
        </w:rPr>
        <w:t>En el caso de la edad, se trata de un dato personal sensible que concierne únicamente a su titular, al corresponder a su esfera más íntima. </w:t>
      </w:r>
    </w:p>
    <w:p w14:paraId="002FB41A" w14:textId="77777777" w:rsidR="001F7456" w:rsidRPr="00445611" w:rsidRDefault="001F7456" w:rsidP="001F7456">
      <w:pPr>
        <w:spacing w:before="240" w:after="240" w:line="360" w:lineRule="auto"/>
        <w:jc w:val="both"/>
        <w:rPr>
          <w:sz w:val="22"/>
          <w:szCs w:val="22"/>
        </w:rPr>
      </w:pPr>
      <w:r w:rsidRPr="00445611">
        <w:rPr>
          <w:rFonts w:ascii="Palatino Linotype" w:eastAsia="Palatino Linotype" w:hAnsi="Palatino Linotype" w:cs="Palatino Linotype"/>
          <w:sz w:val="22"/>
          <w:szCs w:val="22"/>
        </w:rPr>
        <w:t>El código de barras bidimensional y cifrado, como fue anteriormente mencionado, se trata de un medio de almacenamiento de información, que en el caso de las credenciales para votar, contiene datos e información, utilizada para efectos electorales, misma, que únicamente concierne a las autoridades competentes en la materia y a su propio titular.</w:t>
      </w:r>
    </w:p>
    <w:p w14:paraId="411CF97A" w14:textId="77777777" w:rsidR="001F7456" w:rsidRPr="00445611" w:rsidRDefault="001F7456" w:rsidP="001F7456">
      <w:pPr>
        <w:spacing w:before="240" w:after="240" w:line="360" w:lineRule="auto"/>
        <w:jc w:val="both"/>
        <w:rPr>
          <w:sz w:val="22"/>
          <w:szCs w:val="22"/>
        </w:rPr>
      </w:pPr>
      <w:r w:rsidRPr="00445611">
        <w:rPr>
          <w:rFonts w:ascii="Palatino Linotype" w:eastAsia="Palatino Linotype" w:hAnsi="Palatino Linotype" w:cs="Palatino Linotype"/>
          <w:sz w:val="22"/>
          <w:szCs w:val="22"/>
        </w:rPr>
        <w:t>Por lo que se refiere a la CURP</w:t>
      </w:r>
      <w:r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0F9B815C" w14:textId="77777777" w:rsidR="001F7456" w:rsidRPr="00445611" w:rsidRDefault="001F7456" w:rsidP="001F7456">
      <w:pPr>
        <w:spacing w:before="280" w:after="280" w:line="360" w:lineRule="auto"/>
        <w:jc w:val="both"/>
        <w:rPr>
          <w:sz w:val="22"/>
          <w:szCs w:val="22"/>
        </w:rPr>
      </w:pPr>
      <w:r w:rsidRPr="00445611">
        <w:rPr>
          <w:rFonts w:ascii="Palatino Linotype" w:eastAsia="Palatino Linotype" w:hAnsi="Palatino Linotype" w:cs="Palatino Linotype"/>
          <w:sz w:val="22"/>
          <w:szCs w:val="22"/>
        </w:rPr>
        <w:t>Lo anterior, tiene sustento en los artículos 86 y 91 de la Ley General de Población, la cual señala lo siguiente:</w:t>
      </w:r>
    </w:p>
    <w:p w14:paraId="5BBE6596" w14:textId="77777777" w:rsidR="001F7456" w:rsidRPr="00445611" w:rsidRDefault="001F7456" w:rsidP="001F7456">
      <w:pPr>
        <w:spacing w:line="276" w:lineRule="auto"/>
        <w:ind w:left="567" w:right="851"/>
        <w:jc w:val="both"/>
        <w:rPr>
          <w:sz w:val="22"/>
          <w:szCs w:val="22"/>
        </w:rPr>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 xml:space="preserve">Artículo 86. </w:t>
      </w:r>
      <w:r w:rsidRPr="00445611">
        <w:rPr>
          <w:rFonts w:ascii="Palatino Linotype" w:eastAsia="Palatino Linotype" w:hAnsi="Palatino Linotype" w:cs="Palatino Linotype"/>
          <w:i/>
          <w:sz w:val="22"/>
          <w:szCs w:val="22"/>
        </w:rPr>
        <w:t>El Registro Nacional de Población tiene como finalidad registrar a cada una de las personas que integran la población del país, con los datos que permitan certificar y acreditar fehacientemente su identidad.</w:t>
      </w:r>
    </w:p>
    <w:p w14:paraId="324C0A0E" w14:textId="77777777" w:rsidR="001F7456" w:rsidRPr="00445611" w:rsidRDefault="001F7456" w:rsidP="001F7456">
      <w:pPr>
        <w:spacing w:line="276" w:lineRule="auto"/>
        <w:ind w:left="567" w:right="851"/>
        <w:jc w:val="both"/>
        <w:rPr>
          <w:sz w:val="22"/>
          <w:szCs w:val="22"/>
        </w:rPr>
      </w:pPr>
      <w:r w:rsidRPr="00445611">
        <w:rPr>
          <w:rFonts w:ascii="Palatino Linotype" w:eastAsia="Palatino Linotype" w:hAnsi="Palatino Linotype" w:cs="Palatino Linotype"/>
          <w:b/>
          <w:i/>
          <w:sz w:val="22"/>
          <w:szCs w:val="22"/>
        </w:rPr>
        <w:t>Artículo 91. Al incorporar a una persona en el Registro Nacional de Población</w:t>
      </w:r>
      <w:r w:rsidRPr="00445611">
        <w:rPr>
          <w:rFonts w:ascii="Palatino Linotype" w:eastAsia="Palatino Linotype" w:hAnsi="Palatino Linotype" w:cs="Palatino Linotype"/>
          <w:i/>
          <w:sz w:val="22"/>
          <w:szCs w:val="22"/>
        </w:rPr>
        <w:t xml:space="preserve">, se le asignará una clave </w:t>
      </w:r>
      <w:r w:rsidRPr="00445611">
        <w:rPr>
          <w:rFonts w:ascii="Palatino Linotype" w:eastAsia="Palatino Linotype" w:hAnsi="Palatino Linotype" w:cs="Palatino Linotype"/>
          <w:b/>
          <w:i/>
          <w:sz w:val="22"/>
          <w:szCs w:val="22"/>
        </w:rPr>
        <w:t xml:space="preserve">que se denominará Clave Única de Registro </w:t>
      </w:r>
      <w:r w:rsidRPr="00445611">
        <w:rPr>
          <w:rFonts w:ascii="Palatino Linotype" w:eastAsia="Palatino Linotype" w:hAnsi="Palatino Linotype" w:cs="Palatino Linotype"/>
          <w:b/>
          <w:i/>
          <w:sz w:val="22"/>
          <w:szCs w:val="22"/>
        </w:rPr>
        <w:lastRenderedPageBreak/>
        <w:t>de Población</w:t>
      </w:r>
      <w:r w:rsidRPr="00445611">
        <w:rPr>
          <w:rFonts w:ascii="Palatino Linotype" w:eastAsia="Palatino Linotype" w:hAnsi="Palatino Linotype" w:cs="Palatino Linotype"/>
          <w:i/>
          <w:sz w:val="22"/>
          <w:szCs w:val="22"/>
        </w:rPr>
        <w:t xml:space="preserve">. </w:t>
      </w:r>
      <w:r w:rsidRPr="00445611">
        <w:rPr>
          <w:rFonts w:ascii="Palatino Linotype" w:eastAsia="Palatino Linotype" w:hAnsi="Palatino Linotype" w:cs="Palatino Linotype"/>
          <w:b/>
          <w:i/>
          <w:sz w:val="22"/>
          <w:szCs w:val="22"/>
        </w:rPr>
        <w:t>Esta servirá para</w:t>
      </w:r>
      <w:r w:rsidRPr="00445611">
        <w:rPr>
          <w:rFonts w:ascii="Palatino Linotype" w:eastAsia="Palatino Linotype" w:hAnsi="Palatino Linotype" w:cs="Palatino Linotype"/>
          <w:i/>
          <w:sz w:val="22"/>
          <w:szCs w:val="22"/>
        </w:rPr>
        <w:t xml:space="preserve"> registrarla e </w:t>
      </w:r>
      <w:r w:rsidRPr="00445611">
        <w:rPr>
          <w:rFonts w:ascii="Palatino Linotype" w:eastAsia="Palatino Linotype" w:hAnsi="Palatino Linotype" w:cs="Palatino Linotype"/>
          <w:b/>
          <w:i/>
          <w:sz w:val="22"/>
          <w:szCs w:val="22"/>
        </w:rPr>
        <w:t>identificarla en forma individual</w:t>
      </w:r>
      <w:r w:rsidRPr="00445611">
        <w:rPr>
          <w:rFonts w:ascii="Palatino Linotype" w:eastAsia="Palatino Linotype" w:hAnsi="Palatino Linotype" w:cs="Palatino Linotype"/>
          <w:i/>
          <w:sz w:val="22"/>
          <w:szCs w:val="22"/>
        </w:rPr>
        <w:t>.”(Énfasis añadido)</w:t>
      </w:r>
    </w:p>
    <w:p w14:paraId="2A2A7768" w14:textId="77777777" w:rsidR="001F7456" w:rsidRPr="00445611" w:rsidRDefault="001F7456" w:rsidP="001F7456">
      <w:pPr>
        <w:spacing w:before="280" w:after="280" w:line="360" w:lineRule="auto"/>
        <w:jc w:val="both"/>
        <w:rPr>
          <w:sz w:val="22"/>
          <w:szCs w:val="22"/>
        </w:rPr>
      </w:pPr>
      <w:r w:rsidRPr="00445611">
        <w:rPr>
          <w:rFonts w:ascii="Palatino Linotype" w:eastAsia="Palatino Linotype" w:hAnsi="Palatino Linotype" w:cs="Palatino Linotype"/>
          <w:sz w:val="22"/>
          <w:szCs w:val="22"/>
        </w:rPr>
        <w:t>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3A338CB9" w14:textId="77777777" w:rsidR="001F7456" w:rsidRPr="00445611" w:rsidRDefault="001F7456" w:rsidP="001F7456">
      <w:pPr>
        <w:spacing w:before="280" w:after="280" w:line="360" w:lineRule="auto"/>
        <w:jc w:val="both"/>
        <w:rPr>
          <w:sz w:val="22"/>
          <w:szCs w:val="22"/>
        </w:rPr>
      </w:pPr>
      <w:r w:rsidRPr="00445611">
        <w:rPr>
          <w:rFonts w:ascii="Palatino Linotype" w:eastAsia="Palatino Linotype" w:hAnsi="Palatino Linotype" w:cs="Palatino Linotype"/>
          <w:sz w:val="22"/>
          <w:szCs w:val="22"/>
        </w:rPr>
        <w:t>Al respecto, el INAI, a través del Criterio 18/17 de la Segunda Época, señala literalmente lo siguiente:</w:t>
      </w:r>
    </w:p>
    <w:p w14:paraId="66AA7B08"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b/>
          <w:i/>
          <w:sz w:val="22"/>
          <w:szCs w:val="22"/>
        </w:rPr>
        <w:t>Clave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Única</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de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Registro</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de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Población</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(CURP).</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b/>
          <w:i/>
          <w:sz w:val="22"/>
          <w:szCs w:val="22"/>
        </w:rPr>
        <w:t>La</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Clave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Única</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de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Registro</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de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Población</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se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integra</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por</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datos</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personales</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que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sólo</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conciernen</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al</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particular</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titular</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la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misma,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b/>
          <w:i/>
          <w:sz w:val="22"/>
          <w:szCs w:val="22"/>
        </w:rPr>
        <w:t>como</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lo</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son</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su</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nombre,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apellidos,</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fecha</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de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nacimiento,</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lugar</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de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nacimiento</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y</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sexo</w:t>
      </w: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Dichos</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datos,</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constituyen</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información</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que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distingue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plenamente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una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persona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física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del</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resto</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los</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habitantes</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del</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país,</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b/>
          <w:i/>
          <w:sz w:val="22"/>
          <w:szCs w:val="22"/>
        </w:rPr>
        <w:t>por</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lo</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que</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la</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CURP</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está</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considerada</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como</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información</w:t>
      </w:r>
      <w:r w:rsidRPr="00445611">
        <w:rPr>
          <w:rFonts w:ascii="Palatino Linotype" w:eastAsia="Palatino Linotype" w:hAnsi="Palatino Linotype" w:cs="Palatino Linotype"/>
          <w:b/>
          <w:i/>
        </w:rPr>
        <w:t xml:space="preserve"> </w:t>
      </w:r>
      <w:r w:rsidRPr="00445611">
        <w:rPr>
          <w:rFonts w:ascii="Palatino Linotype" w:eastAsia="Palatino Linotype" w:hAnsi="Palatino Linotype" w:cs="Palatino Linotype"/>
          <w:b/>
          <w:i/>
          <w:sz w:val="22"/>
          <w:szCs w:val="22"/>
        </w:rPr>
        <w:t>confidencial</w:t>
      </w: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i/>
        </w:rPr>
        <w:t> </w:t>
      </w:r>
    </w:p>
    <w:p w14:paraId="353EDC57"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Resoluciones:</w:t>
      </w:r>
    </w:p>
    <w:p w14:paraId="4797C7CD"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RRA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3995/16.</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Secretaría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la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Defensa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Nacional.</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1</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febrero</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2017.</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Por</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unanimidad.</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Comisionado</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Ponente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Rosendoevgueni</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Monterrey</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Chepov.</w:t>
      </w:r>
    </w:p>
    <w:p w14:paraId="24D8E747" w14:textId="77777777" w:rsidR="001F7456" w:rsidRPr="00445611" w:rsidRDefault="001F7456" w:rsidP="001F7456">
      <w:pPr>
        <w:spacing w:line="276" w:lineRule="auto"/>
        <w:ind w:left="851" w:right="851"/>
        <w:jc w:val="both"/>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RRA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0937/17.</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Senado</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la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República.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15</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marzo</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2017.</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Por</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unanimidad.</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Comisionada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Ponente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Ximena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Puente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la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Mora.</w:t>
      </w:r>
      <w:r w:rsidRPr="00445611">
        <w:rPr>
          <w:rFonts w:ascii="Palatino Linotype" w:eastAsia="Palatino Linotype" w:hAnsi="Palatino Linotype" w:cs="Palatino Linotype"/>
          <w:i/>
        </w:rPr>
        <w:t> </w:t>
      </w:r>
    </w:p>
    <w:p w14:paraId="302D6689" w14:textId="77777777" w:rsidR="001F7456" w:rsidRPr="00445611" w:rsidRDefault="001F7456" w:rsidP="001F7456">
      <w:pPr>
        <w:spacing w:line="276" w:lineRule="auto"/>
        <w:ind w:left="851" w:right="851"/>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RRA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0478/17.</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Secretaría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Relaciones</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Exteriores.</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26</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abril</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de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2017.</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Por</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unanimidad.</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Comisionada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Ponente</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Areli</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Cano</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Guadiana.”</w:t>
      </w:r>
      <w:r w:rsidRPr="00445611">
        <w:rPr>
          <w:rFonts w:ascii="Palatino Linotype" w:eastAsia="Palatino Linotype" w:hAnsi="Palatino Linotype" w:cs="Palatino Linotype"/>
          <w:i/>
        </w:rPr>
        <w:t xml:space="preserve"> </w:t>
      </w:r>
      <w:r w:rsidRPr="00445611">
        <w:rPr>
          <w:rFonts w:ascii="Palatino Linotype" w:eastAsia="Palatino Linotype" w:hAnsi="Palatino Linotype" w:cs="Palatino Linotype"/>
          <w:i/>
          <w:sz w:val="22"/>
          <w:szCs w:val="22"/>
        </w:rPr>
        <w:t>(Énfasis añadido)</w:t>
      </w:r>
    </w:p>
    <w:p w14:paraId="58C36425" w14:textId="77777777" w:rsidR="001F7456" w:rsidRPr="00445611" w:rsidRDefault="001F7456" w:rsidP="001F7456">
      <w:pPr>
        <w:spacing w:line="276" w:lineRule="auto"/>
        <w:ind w:left="851" w:right="851"/>
        <w:jc w:val="both"/>
      </w:pPr>
    </w:p>
    <w:p w14:paraId="5AE5B921" w14:textId="77777777" w:rsidR="001F7456" w:rsidRPr="00445611" w:rsidRDefault="001F7456" w:rsidP="001F7456">
      <w:pPr>
        <w:tabs>
          <w:tab w:val="left" w:pos="6570"/>
        </w:tabs>
        <w:spacing w:line="360" w:lineRule="auto"/>
        <w:jc w:val="both"/>
        <w:rPr>
          <w:sz w:val="22"/>
          <w:szCs w:val="22"/>
        </w:rPr>
      </w:pPr>
      <w:r w:rsidRPr="00445611">
        <w:rPr>
          <w:rFonts w:ascii="Palatino Linotype" w:eastAsia="Palatino Linotype" w:hAnsi="Palatino Linotype" w:cs="Palatino Linotype"/>
          <w:sz w:val="22"/>
          <w:szCs w:val="22"/>
        </w:rPr>
        <w:lastRenderedPageBreak/>
        <w:t>De lo anterior, se desprende que la CURP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39FC1116" w14:textId="77777777" w:rsidR="001F7456" w:rsidRPr="00445611" w:rsidRDefault="001F7456" w:rsidP="001F7456">
      <w:pPr>
        <w:spacing w:before="280" w:after="280" w:line="360" w:lineRule="auto"/>
        <w:jc w:val="both"/>
        <w:rPr>
          <w:sz w:val="22"/>
          <w:szCs w:val="22"/>
        </w:rPr>
      </w:pPr>
      <w:r w:rsidRPr="00445611">
        <w:rPr>
          <w:rFonts w:ascii="Palatino Linotype" w:eastAsia="Palatino Linotype" w:hAnsi="Palatino Linotype" w:cs="Palatino Linotype"/>
          <w:sz w:val="22"/>
          <w:szCs w:val="22"/>
        </w:rPr>
        <w:t>El domicilio particular, 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16285AA0" w14:textId="77777777" w:rsidR="001F7456" w:rsidRPr="00445611" w:rsidRDefault="001F7456" w:rsidP="001F7456">
      <w:pPr>
        <w:spacing w:before="280" w:after="280" w:line="360" w:lineRule="auto"/>
        <w:jc w:val="both"/>
        <w:rPr>
          <w:sz w:val="22"/>
          <w:szCs w:val="22"/>
        </w:rPr>
      </w:pPr>
      <w:r w:rsidRPr="00445611">
        <w:rPr>
          <w:rFonts w:ascii="Palatino Linotype" w:eastAsia="Palatino Linotype" w:hAnsi="Palatino Linotype" w:cs="Palatino Linotype"/>
          <w:sz w:val="22"/>
          <w:szCs w:val="22"/>
        </w:rPr>
        <w:t>Por lo que la clasificación del domicilio particular, por tratarse de un dato personal confidencial, en términos del artículo 143, fracción I de la Ley de Transparencia y Acceso a la Información Pública del Estado de México y Municipios. </w:t>
      </w:r>
    </w:p>
    <w:p w14:paraId="2529799A" w14:textId="77777777" w:rsidR="001F7456" w:rsidRPr="00445611" w:rsidRDefault="001F7456" w:rsidP="001F7456">
      <w:pPr>
        <w:spacing w:line="360" w:lineRule="auto"/>
        <w:jc w:val="both"/>
        <w:rPr>
          <w:sz w:val="22"/>
          <w:szCs w:val="22"/>
        </w:rPr>
      </w:pPr>
      <w:r w:rsidRPr="00445611">
        <w:rPr>
          <w:rFonts w:ascii="Palatino Linotype" w:eastAsia="Palatino Linotype" w:hAnsi="Palatino Linotype" w:cs="Palatino Linotype"/>
          <w:sz w:val="22"/>
          <w:szCs w:val="22"/>
        </w:rPr>
        <w:t xml:space="preserve">En lo que corresponde a la huella dactilar, 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18">
        <w:r w:rsidRPr="00445611">
          <w:rPr>
            <w:rFonts w:ascii="Palatino Linotype" w:eastAsia="Palatino Linotype" w:hAnsi="Palatino Linotype" w:cs="Palatino Linotype"/>
            <w:sz w:val="22"/>
            <w:szCs w:val="22"/>
            <w:u w:val="single"/>
          </w:rPr>
          <w:t>https://docplayer.es/5455342-Nuevas-tecnologias-biometricas-instituto-nacional-de-ciencias-penales-procuraduria-general-de-la-republica-version-1-0.html</w:t>
        </w:r>
      </w:hyperlink>
      <w:r w:rsidRPr="00445611">
        <w:rPr>
          <w:rFonts w:ascii="Palatino Linotype" w:eastAsia="Palatino Linotype" w:hAnsi="Palatino Linotype" w:cs="Palatino Linotype"/>
          <w:sz w:val="22"/>
          <w:szCs w:val="22"/>
        </w:rPr>
        <w:t>, se indica que existen tres principios fundamentales para la identificación de las huellas dactilares, a saber: </w:t>
      </w:r>
    </w:p>
    <w:p w14:paraId="432ADBBE" w14:textId="77777777" w:rsidR="001F7456" w:rsidRPr="00445611" w:rsidRDefault="001F7456" w:rsidP="001F7456">
      <w:pPr>
        <w:spacing w:line="360" w:lineRule="auto"/>
        <w:jc w:val="both"/>
      </w:pPr>
    </w:p>
    <w:p w14:paraId="5E3CD6D9" w14:textId="77777777" w:rsidR="001F7456" w:rsidRPr="00445611" w:rsidRDefault="001F7456" w:rsidP="001F7456">
      <w:pPr>
        <w:numPr>
          <w:ilvl w:val="0"/>
          <w:numId w:val="14"/>
        </w:numPr>
        <w:spacing w:line="276" w:lineRule="auto"/>
        <w:ind w:right="474"/>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Primer principio. La huella es una característica individual. No hay dos huellas con características en las crestas que sean idénticas. </w:t>
      </w:r>
    </w:p>
    <w:p w14:paraId="5F0B1FF7" w14:textId="77777777" w:rsidR="001F7456" w:rsidRPr="00445611" w:rsidRDefault="001F7456" w:rsidP="001F7456">
      <w:pPr>
        <w:numPr>
          <w:ilvl w:val="0"/>
          <w:numId w:val="14"/>
        </w:numPr>
        <w:spacing w:line="276" w:lineRule="auto"/>
        <w:ind w:right="474"/>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Segundo principio. Una huella permanece sin cambios durante toda la vida de un individuo (sin embargo, puede adquirir cicatrices o cualquier otra deformación que impida su identificación clara). </w:t>
      </w:r>
    </w:p>
    <w:p w14:paraId="48D63E77" w14:textId="77777777" w:rsidR="001F7456" w:rsidRPr="00445611" w:rsidRDefault="001F7456" w:rsidP="001F7456">
      <w:pPr>
        <w:numPr>
          <w:ilvl w:val="0"/>
          <w:numId w:val="14"/>
        </w:numPr>
        <w:spacing w:line="276" w:lineRule="auto"/>
        <w:ind w:right="474"/>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Tercer principio. Las huellas tienen patrones que se forman con sus crestas, lo que hace posible clasificarlas sistemáticamente para agilizar las búsquedas. </w:t>
      </w:r>
    </w:p>
    <w:p w14:paraId="5E273F1C" w14:textId="77777777" w:rsidR="001F7456" w:rsidRPr="00445611" w:rsidRDefault="001F7456" w:rsidP="001F7456">
      <w:pPr>
        <w:spacing w:line="276" w:lineRule="auto"/>
        <w:rPr>
          <w:sz w:val="22"/>
          <w:szCs w:val="22"/>
        </w:rPr>
      </w:pPr>
    </w:p>
    <w:p w14:paraId="22ACF3E2" w14:textId="77777777" w:rsidR="001F7456" w:rsidRPr="00445611" w:rsidRDefault="001F7456" w:rsidP="001F7456">
      <w:pPr>
        <w:spacing w:line="360" w:lineRule="auto"/>
        <w:jc w:val="both"/>
        <w:rPr>
          <w:sz w:val="22"/>
          <w:szCs w:val="22"/>
        </w:rPr>
      </w:pPr>
      <w:r w:rsidRPr="00445611">
        <w:rPr>
          <w:rFonts w:ascii="Palatino Linotype" w:eastAsia="Palatino Linotype" w:hAnsi="Palatino Linotype" w:cs="Palatino Linotype"/>
          <w:sz w:val="22"/>
          <w:szCs w:val="22"/>
        </w:rPr>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6014EF5B" w14:textId="77777777" w:rsidR="001F7456" w:rsidRPr="00445611" w:rsidRDefault="001F7456" w:rsidP="001F7456">
      <w:pPr>
        <w:spacing w:line="360" w:lineRule="auto"/>
        <w:rPr>
          <w:sz w:val="22"/>
          <w:szCs w:val="22"/>
        </w:rPr>
      </w:pPr>
    </w:p>
    <w:p w14:paraId="1E2F5020" w14:textId="77777777" w:rsidR="001F7456" w:rsidRPr="00445611" w:rsidRDefault="001F7456" w:rsidP="001F7456">
      <w:pPr>
        <w:spacing w:line="360" w:lineRule="auto"/>
        <w:jc w:val="both"/>
        <w:rPr>
          <w:sz w:val="22"/>
          <w:szCs w:val="22"/>
        </w:rPr>
      </w:pPr>
      <w:r w:rsidRPr="00445611">
        <w:rPr>
          <w:rFonts w:ascii="Palatino Linotype" w:eastAsia="Palatino Linotype" w:hAnsi="Palatino Linotype" w:cs="Palatino Linotype"/>
          <w:sz w:val="22"/>
          <w:szCs w:val="22"/>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18219BD7" w14:textId="77777777" w:rsidR="001F7456" w:rsidRPr="00445611" w:rsidRDefault="001F7456" w:rsidP="001F7456"/>
    <w:p w14:paraId="5C645421" w14:textId="77777777" w:rsidR="001F7456" w:rsidRPr="00445611" w:rsidRDefault="001F7456" w:rsidP="001F7456">
      <w:pPr>
        <w:ind w:left="567" w:right="567"/>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b/>
          <w:i/>
          <w:sz w:val="22"/>
          <w:szCs w:val="22"/>
        </w:rPr>
        <w:t xml:space="preserve">“La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w:t>
      </w:r>
      <w:r w:rsidRPr="00445611">
        <w:rPr>
          <w:rFonts w:ascii="Palatino Linotype" w:eastAsia="Palatino Linotype" w:hAnsi="Palatino Linotype" w:cs="Palatino Linotype"/>
          <w:b/>
          <w:i/>
          <w:sz w:val="22"/>
          <w:szCs w:val="22"/>
        </w:rPr>
        <w:lastRenderedPageBreak/>
        <w:t>hay dos personas que posean idénticas huellas dactilares;</w:t>
      </w:r>
      <w:r w:rsidRPr="00445611">
        <w:rPr>
          <w:rFonts w:ascii="Palatino Linotype" w:eastAsia="Palatino Linotype" w:hAnsi="Palatino Linotype" w:cs="Palatino Linotype"/>
          <w:i/>
          <w:sz w:val="22"/>
          <w:szCs w:val="22"/>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0FFC6BB4" w14:textId="77777777" w:rsidR="001F7456" w:rsidRPr="00445611" w:rsidRDefault="001F7456" w:rsidP="001F7456">
      <w:pPr>
        <w:ind w:left="567" w:right="567"/>
        <w:jc w:val="both"/>
      </w:pPr>
    </w:p>
    <w:p w14:paraId="61BC9994" w14:textId="77777777" w:rsidR="001F7456" w:rsidRPr="00445611" w:rsidRDefault="001F7456" w:rsidP="001F7456">
      <w:pPr>
        <w:spacing w:line="360" w:lineRule="auto"/>
        <w:jc w:val="both"/>
        <w:rPr>
          <w:sz w:val="22"/>
          <w:szCs w:val="22"/>
        </w:rPr>
      </w:pPr>
      <w:r w:rsidRPr="00445611">
        <w:rPr>
          <w:rFonts w:ascii="Palatino Linotype" w:eastAsia="Palatino Linotype" w:hAnsi="Palatino Linotype" w:cs="Palatino Linotype"/>
          <w:sz w:val="22"/>
          <w:szCs w:val="22"/>
        </w:rPr>
        <w:t xml:space="preserve"> En la actualidad existen sistemas denominados AFIS por sus siglas en inglés </w:t>
      </w:r>
      <w:r w:rsidRPr="00445611">
        <w:rPr>
          <w:rFonts w:ascii="Palatino Linotype" w:eastAsia="Palatino Linotype" w:hAnsi="Palatino Linotype" w:cs="Palatino Linotype"/>
          <w:i/>
          <w:sz w:val="22"/>
          <w:szCs w:val="22"/>
        </w:rPr>
        <w:t>Automated Fingerprint Identification System</w:t>
      </w:r>
      <w:r w:rsidRPr="00445611">
        <w:rPr>
          <w:rFonts w:ascii="Palatino Linotype" w:eastAsia="Palatino Linotype" w:hAnsi="Palatino Linotype" w:cs="Palatino Linotype"/>
          <w:sz w:val="22"/>
          <w:szCs w:val="22"/>
        </w:rPr>
        <w:t xml:space="preserve"> que son sistemas informáticos que permiten la captura, 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1B5C9DA8" w14:textId="77777777" w:rsidR="001F7456" w:rsidRPr="00445611" w:rsidRDefault="001F7456" w:rsidP="001F7456">
      <w:pPr>
        <w:spacing w:line="360" w:lineRule="auto"/>
        <w:rPr>
          <w:sz w:val="22"/>
          <w:szCs w:val="22"/>
        </w:rPr>
      </w:pPr>
    </w:p>
    <w:p w14:paraId="4B18F62B" w14:textId="77777777" w:rsidR="001F7456" w:rsidRPr="00445611" w:rsidRDefault="001F7456" w:rsidP="001F7456">
      <w:pPr>
        <w:spacing w:line="360" w:lineRule="auto"/>
        <w:jc w:val="both"/>
        <w:rPr>
          <w:sz w:val="22"/>
          <w:szCs w:val="22"/>
        </w:rPr>
      </w:pPr>
      <w:r w:rsidRPr="00445611">
        <w:rPr>
          <w:rFonts w:ascii="Palatino Linotype" w:eastAsia="Palatino Linotype" w:hAnsi="Palatino Linotype" w:cs="Palatino Linotype"/>
          <w:sz w:val="22"/>
          <w:szCs w:val="22"/>
        </w:rPr>
        <w:t xml:space="preserve">En términos de la calidad de la imagen se debe observar que en la NOM-151-SCFI-2016 publicada en el Diario Oficial de la Federación el 30 de Marzo de 2017, se determina que la calidad propicia para realizar la digitalización de documentos físicos en formato de imagen </w:t>
      </w:r>
      <w:r w:rsidRPr="00445611">
        <w:rPr>
          <w:rFonts w:ascii="Palatino Linotype" w:eastAsia="Palatino Linotype" w:hAnsi="Palatino Linotype" w:cs="Palatino Linotype"/>
          <w:sz w:val="22"/>
          <w:szCs w:val="22"/>
        </w:rPr>
        <w:lastRenderedPageBreak/>
        <w:t>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14:paraId="17A8BC0C" w14:textId="77777777" w:rsidR="001F7456" w:rsidRPr="00445611" w:rsidRDefault="001F7456" w:rsidP="001F7456">
      <w:pPr>
        <w:spacing w:line="360" w:lineRule="auto"/>
        <w:rPr>
          <w:sz w:val="22"/>
          <w:szCs w:val="22"/>
        </w:rPr>
      </w:pPr>
    </w:p>
    <w:p w14:paraId="3F42C577"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7F9E4D67" w14:textId="77777777" w:rsidR="001F7456" w:rsidRPr="00445611" w:rsidRDefault="001F7456" w:rsidP="001F7456">
      <w:pPr>
        <w:spacing w:line="360" w:lineRule="auto"/>
        <w:jc w:val="both"/>
        <w:rPr>
          <w:sz w:val="22"/>
          <w:szCs w:val="22"/>
        </w:rPr>
      </w:pPr>
    </w:p>
    <w:p w14:paraId="770C6D30" w14:textId="77777777" w:rsidR="001F7456" w:rsidRPr="00445611" w:rsidRDefault="001F7456" w:rsidP="001F7456">
      <w:pPr>
        <w:spacing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32C5C58C" w14:textId="77777777" w:rsidR="001F7456" w:rsidRPr="00445611" w:rsidRDefault="001F7456" w:rsidP="001F7456">
      <w:pPr>
        <w:pBdr>
          <w:top w:val="nil"/>
          <w:left w:val="nil"/>
          <w:bottom w:val="nil"/>
          <w:right w:val="nil"/>
          <w:between w:val="nil"/>
        </w:pBdr>
        <w:spacing w:before="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 xml:space="preserve">Ahora bien, con relación a las observaciones de las actas de entrega-recepción que serán materia de cumplimiento, se destaca que para el caso de que las observaciones se encuentren pendientes de solventar a la fecha de la solicitud o bien aquellas de las que derive algún procedimiento administrativo en trámite,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deberá emitir el Acuerdo del Comité de Transparencia, donde clasifique de manera fundada y motivada estos soportes documentales, ello en términos de los artículos 49, fracciones II y VIII, 140 fracción VIII, así </w:t>
      </w:r>
      <w:r w:rsidRPr="00445611">
        <w:rPr>
          <w:rFonts w:ascii="Palatino Linotype" w:eastAsia="Palatino Linotype" w:hAnsi="Palatino Linotype" w:cs="Palatino Linotype"/>
          <w:sz w:val="22"/>
          <w:szCs w:val="22"/>
        </w:rPr>
        <w:lastRenderedPageBreak/>
        <w:t>como 141 de la Ley de Transparencia y Acceso a la Información Pública del Estado de México y Municipios.</w:t>
      </w:r>
    </w:p>
    <w:p w14:paraId="6838501E" w14:textId="77777777" w:rsidR="001F7456" w:rsidRPr="00445611" w:rsidRDefault="001F7456" w:rsidP="001F7456"/>
    <w:p w14:paraId="53667AF2" w14:textId="77777777" w:rsidR="001F7456" w:rsidRPr="00445611" w:rsidRDefault="001F7456" w:rsidP="001F7456">
      <w:pPr>
        <w:pBdr>
          <w:top w:val="nil"/>
          <w:left w:val="nil"/>
          <w:bottom w:val="nil"/>
          <w:right w:val="nil"/>
          <w:between w:val="nil"/>
        </w:pBdr>
        <w:spacing w:before="240" w:line="360" w:lineRule="auto"/>
        <w:jc w:val="both"/>
        <w:rPr>
          <w:sz w:val="22"/>
          <w:szCs w:val="22"/>
        </w:rPr>
      </w:pPr>
      <w:r w:rsidRPr="00445611">
        <w:rPr>
          <w:rFonts w:ascii="Palatino Linotype" w:eastAsia="Palatino Linotype" w:hAnsi="Palatino Linotype" w:cs="Palatino Linotype"/>
          <w:sz w:val="22"/>
          <w:szCs w:val="22"/>
        </w:rPr>
        <w:t xml:space="preserve">Bajo este contexto, se considera que en el supuesto de que la información se encuentre en el supuesto antes establecido,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deberá clasificar las observaciones, emitiendo en su caso el acuerdo correspondiente</w:t>
      </w:r>
      <w:r w:rsidRPr="00445611">
        <w:rPr>
          <w:rFonts w:ascii="Palatino Linotype" w:eastAsia="Palatino Linotype" w:hAnsi="Palatino Linotype" w:cs="Palatino Linotype"/>
          <w:b/>
          <w:sz w:val="22"/>
          <w:szCs w:val="22"/>
        </w:rPr>
        <w:t>,</w:t>
      </w:r>
      <w:r w:rsidRPr="00445611">
        <w:rPr>
          <w:rFonts w:ascii="Palatino Linotype" w:eastAsia="Palatino Linotype" w:hAnsi="Palatino Linotype" w:cs="Palatino Linotype"/>
          <w:sz w:val="22"/>
          <w:szCs w:val="22"/>
        </w:rPr>
        <w:t xml:space="preserve"> luego entonces, para realizar la reserva de la información, no basta con invocar alguna de las causales previstas en la Ley de transparencia local. En sentido contrario, dicha valoración debe realizarse a través de lo que se conoce como </w:t>
      </w:r>
      <w:r w:rsidRPr="00445611">
        <w:rPr>
          <w:rFonts w:ascii="Palatino Linotype" w:eastAsia="Palatino Linotype" w:hAnsi="Palatino Linotype" w:cs="Palatino Linotype"/>
          <w:b/>
          <w:i/>
          <w:sz w:val="22"/>
          <w:szCs w:val="22"/>
        </w:rPr>
        <w:t xml:space="preserve">“prueba de daño”, </w:t>
      </w:r>
      <w:r w:rsidRPr="00445611">
        <w:rPr>
          <w:rFonts w:ascii="Palatino Linotype" w:eastAsia="Palatino Linotype" w:hAnsi="Palatino Linotype" w:cs="Palatino Linotype"/>
          <w:sz w:val="22"/>
          <w:szCs w:val="22"/>
        </w:rPr>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riesgo actual e inminente.</w:t>
      </w:r>
    </w:p>
    <w:p w14:paraId="1D876CE9" w14:textId="77777777" w:rsidR="001F7456" w:rsidRPr="00445611" w:rsidRDefault="001F7456" w:rsidP="001F7456">
      <w:pPr>
        <w:spacing w:line="360" w:lineRule="auto"/>
        <w:rPr>
          <w:sz w:val="22"/>
          <w:szCs w:val="22"/>
        </w:rPr>
      </w:pPr>
    </w:p>
    <w:p w14:paraId="6F69D5B2" w14:textId="77777777" w:rsidR="001F7456" w:rsidRPr="00445611" w:rsidRDefault="001F7456" w:rsidP="001F7456">
      <w:pPr>
        <w:pBdr>
          <w:top w:val="nil"/>
          <w:left w:val="nil"/>
          <w:bottom w:val="nil"/>
          <w:right w:val="nil"/>
          <w:between w:val="nil"/>
        </w:pBdr>
        <w:spacing w:line="360" w:lineRule="auto"/>
        <w:jc w:val="both"/>
        <w:rPr>
          <w:sz w:val="22"/>
          <w:szCs w:val="22"/>
        </w:rPr>
      </w:pPr>
      <w:r w:rsidRPr="00445611">
        <w:rPr>
          <w:rFonts w:ascii="Palatino Linotype" w:eastAsia="Palatino Linotype" w:hAnsi="Palatino Linotype" w:cs="Palatino Linotype"/>
          <w:sz w:val="22"/>
          <w:szCs w:val="22"/>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445611">
        <w:rPr>
          <w:rFonts w:ascii="Palatino Linotype" w:eastAsia="Palatino Linotype" w:hAnsi="Palatino Linotype" w:cs="Palatino Linotype"/>
          <w:b/>
          <w:sz w:val="22"/>
          <w:szCs w:val="22"/>
          <w:u w:val="single"/>
        </w:rPr>
        <w:t>sino de cada uno de los documentos que lo integran</w:t>
      </w:r>
      <w:r w:rsidRPr="00445611">
        <w:rPr>
          <w:rFonts w:ascii="Palatino Linotype" w:eastAsia="Palatino Linotype" w:hAnsi="Palatino Linotype" w:cs="Palatino Linotype"/>
          <w:sz w:val="22"/>
          <w:szCs w:val="22"/>
        </w:rPr>
        <w:t>.</w:t>
      </w:r>
    </w:p>
    <w:p w14:paraId="4A381090" w14:textId="77777777" w:rsidR="001F7456" w:rsidRPr="00445611" w:rsidRDefault="001F7456" w:rsidP="001F7456">
      <w:pPr>
        <w:spacing w:line="360" w:lineRule="auto"/>
        <w:rPr>
          <w:sz w:val="22"/>
          <w:szCs w:val="22"/>
        </w:rPr>
      </w:pPr>
    </w:p>
    <w:p w14:paraId="63E04ABD" w14:textId="77777777" w:rsidR="001F7456" w:rsidRPr="00445611" w:rsidRDefault="001F7456" w:rsidP="001F7456">
      <w:pPr>
        <w:pBdr>
          <w:top w:val="nil"/>
          <w:left w:val="nil"/>
          <w:bottom w:val="nil"/>
          <w:right w:val="nil"/>
          <w:between w:val="nil"/>
        </w:pBdr>
        <w:spacing w:line="360" w:lineRule="auto"/>
        <w:jc w:val="both"/>
        <w:rPr>
          <w:sz w:val="22"/>
          <w:szCs w:val="22"/>
        </w:rPr>
      </w:pPr>
      <w:r w:rsidRPr="00445611">
        <w:rPr>
          <w:rFonts w:ascii="Palatino Linotype" w:eastAsia="Palatino Linotype" w:hAnsi="Palatino Linotype" w:cs="Palatino Linotype"/>
          <w:sz w:val="22"/>
          <w:szCs w:val="22"/>
        </w:rPr>
        <w:t>Para aplicar la prueba de daño, se deberán de precisar las razones objetivas por las que la apertura genera una afectación, acreditando que:</w:t>
      </w:r>
    </w:p>
    <w:p w14:paraId="2EA01A1D" w14:textId="77777777" w:rsidR="001F7456" w:rsidRPr="00445611" w:rsidRDefault="001F7456" w:rsidP="001F7456"/>
    <w:p w14:paraId="4F16A220" w14:textId="77777777" w:rsidR="001F7456" w:rsidRPr="00445611" w:rsidRDefault="001F7456" w:rsidP="001F7456">
      <w:pPr>
        <w:pBdr>
          <w:top w:val="nil"/>
          <w:left w:val="nil"/>
          <w:bottom w:val="nil"/>
          <w:right w:val="nil"/>
          <w:between w:val="nil"/>
        </w:pBdr>
        <w:spacing w:after="240" w:line="360" w:lineRule="auto"/>
        <w:ind w:left="567" w:right="851"/>
        <w:jc w:val="both"/>
        <w:rPr>
          <w:sz w:val="22"/>
          <w:szCs w:val="22"/>
        </w:rPr>
      </w:pPr>
      <w:r w:rsidRPr="00445611">
        <w:rPr>
          <w:rFonts w:ascii="Palatino Linotype" w:eastAsia="Palatino Linotype" w:hAnsi="Palatino Linotype" w:cs="Palatino Linotype"/>
          <w:sz w:val="22"/>
          <w:szCs w:val="22"/>
        </w:rPr>
        <w:lastRenderedPageBreak/>
        <w:t>I. La divulgación de la información representa un riesgo real, demostrable e identificable del perjuicio significativo al interés público o a la seguridad pública; </w:t>
      </w:r>
    </w:p>
    <w:p w14:paraId="32568C6E" w14:textId="77777777" w:rsidR="001F7456" w:rsidRPr="00445611" w:rsidRDefault="001F7456" w:rsidP="001F7456">
      <w:pPr>
        <w:pBdr>
          <w:top w:val="nil"/>
          <w:left w:val="nil"/>
          <w:bottom w:val="nil"/>
          <w:right w:val="nil"/>
          <w:between w:val="nil"/>
        </w:pBdr>
        <w:spacing w:after="240" w:line="360" w:lineRule="auto"/>
        <w:ind w:left="567" w:right="851"/>
        <w:jc w:val="both"/>
        <w:rPr>
          <w:sz w:val="22"/>
          <w:szCs w:val="22"/>
        </w:rPr>
      </w:pPr>
      <w:r w:rsidRPr="00445611">
        <w:rPr>
          <w:rFonts w:ascii="Palatino Linotype" w:eastAsia="Palatino Linotype" w:hAnsi="Palatino Linotype" w:cs="Palatino Linotype"/>
          <w:sz w:val="22"/>
          <w:szCs w:val="22"/>
        </w:rPr>
        <w:t>II. El riesgo de perjuicio que supondría la divulgación supera el interés público general de que se difunda; y </w:t>
      </w:r>
    </w:p>
    <w:p w14:paraId="3D561388" w14:textId="77777777" w:rsidR="001F7456" w:rsidRPr="00445611" w:rsidRDefault="001F7456" w:rsidP="001F7456">
      <w:pPr>
        <w:pBdr>
          <w:top w:val="nil"/>
          <w:left w:val="nil"/>
          <w:bottom w:val="nil"/>
          <w:right w:val="nil"/>
          <w:between w:val="nil"/>
        </w:pBdr>
        <w:spacing w:after="240" w:line="360" w:lineRule="auto"/>
        <w:ind w:left="567" w:right="851"/>
        <w:jc w:val="both"/>
        <w:rPr>
          <w:sz w:val="22"/>
          <w:szCs w:val="22"/>
        </w:rPr>
      </w:pPr>
      <w:r w:rsidRPr="00445611">
        <w:rPr>
          <w:rFonts w:ascii="Palatino Linotype" w:eastAsia="Palatino Linotype" w:hAnsi="Palatino Linotype" w:cs="Palatino Linotype"/>
          <w:sz w:val="22"/>
          <w:szCs w:val="22"/>
        </w:rPr>
        <w:t>III. La limitación se adecua al principio de proporcionalidad y representa el medio menos restrictivo disponible para evitar el perjuicio. </w:t>
      </w:r>
    </w:p>
    <w:p w14:paraId="2A380B65" w14:textId="77777777" w:rsidR="001F7456" w:rsidRPr="00445611" w:rsidRDefault="001F7456" w:rsidP="001F7456">
      <w:pPr>
        <w:pBdr>
          <w:top w:val="nil"/>
          <w:left w:val="nil"/>
          <w:bottom w:val="nil"/>
          <w:right w:val="nil"/>
          <w:between w:val="nil"/>
        </w:pBdr>
        <w:spacing w:line="360" w:lineRule="auto"/>
        <w:jc w:val="both"/>
        <w:rPr>
          <w:sz w:val="22"/>
          <w:szCs w:val="22"/>
        </w:rPr>
      </w:pPr>
      <w:r w:rsidRPr="00445611">
        <w:rPr>
          <w:rFonts w:ascii="Palatino Linotype" w:eastAsia="Palatino Linotype" w:hAnsi="Palatino Linotype" w:cs="Palatino Linotype"/>
          <w:sz w:val="22"/>
          <w:szCs w:val="22"/>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4319E401" w14:textId="77777777" w:rsidR="001F7456" w:rsidRPr="00445611" w:rsidRDefault="001F7456" w:rsidP="001F7456">
      <w:pPr>
        <w:spacing w:line="360" w:lineRule="auto"/>
        <w:rPr>
          <w:sz w:val="22"/>
          <w:szCs w:val="22"/>
        </w:rPr>
      </w:pPr>
    </w:p>
    <w:p w14:paraId="534CCAB0" w14:textId="77777777" w:rsidR="001F7456" w:rsidRPr="00445611" w:rsidRDefault="001F7456" w:rsidP="001F7456">
      <w:pPr>
        <w:pBdr>
          <w:top w:val="nil"/>
          <w:left w:val="nil"/>
          <w:bottom w:val="nil"/>
          <w:right w:val="nil"/>
          <w:between w:val="nil"/>
        </w:pBdr>
        <w:spacing w:line="360" w:lineRule="auto"/>
        <w:jc w:val="both"/>
        <w:rPr>
          <w:sz w:val="22"/>
          <w:szCs w:val="22"/>
        </w:rPr>
      </w:pPr>
      <w:r w:rsidRPr="00445611">
        <w:rPr>
          <w:rFonts w:ascii="Palatino Linotype" w:eastAsia="Palatino Linotype" w:hAnsi="Palatino Linotype" w:cs="Palatino Linotype"/>
          <w:sz w:val="22"/>
          <w:szCs w:val="22"/>
        </w:rPr>
        <w:t>Identificado ese riesgo, se debe demostrar que el mismo supera el interés público general porque se difunda dicha información. </w:t>
      </w:r>
    </w:p>
    <w:p w14:paraId="440890FD" w14:textId="77777777" w:rsidR="001F7456" w:rsidRPr="00445611" w:rsidRDefault="001F7456" w:rsidP="001F7456">
      <w:pPr>
        <w:spacing w:line="360" w:lineRule="auto"/>
        <w:rPr>
          <w:sz w:val="22"/>
          <w:szCs w:val="22"/>
        </w:rPr>
      </w:pPr>
    </w:p>
    <w:p w14:paraId="17AF0597" w14:textId="77777777" w:rsidR="001F7456" w:rsidRPr="00445611" w:rsidRDefault="001F7456" w:rsidP="001F7456">
      <w:pPr>
        <w:pBdr>
          <w:top w:val="nil"/>
          <w:left w:val="nil"/>
          <w:bottom w:val="nil"/>
          <w:right w:val="nil"/>
          <w:between w:val="nil"/>
        </w:pBdr>
        <w:spacing w:line="360" w:lineRule="auto"/>
        <w:jc w:val="both"/>
        <w:rPr>
          <w:sz w:val="22"/>
          <w:szCs w:val="22"/>
        </w:rPr>
      </w:pPr>
      <w:r w:rsidRPr="00445611">
        <w:rPr>
          <w:rFonts w:ascii="Palatino Linotype" w:eastAsia="Palatino Linotype" w:hAnsi="Palatino Linotype" w:cs="Palatino Linotype"/>
          <w:sz w:val="22"/>
          <w:szCs w:val="22"/>
        </w:rPr>
        <w:t>Y, por último,  que la limitación es acorde con el principio de proporcionalidad, para ello, se sugiere emplear los tres juicios propuestos por la Corte Constitucional Colombiana, siguiendo el principio de ponderación propuesto por el Tribunal Constitucional Alemán, el juicio de idoneidad, que la medida adoptada sea la idónea para el ejercicio del derecho; de necesidad, que sea necesaria para que el derecho que prevalece se ejerza y el de estricta proporcionalidad esto es, que el derecho que prevalezca sea en la dimensión estrictamente proporcional al derecho que retrocede.</w:t>
      </w:r>
    </w:p>
    <w:p w14:paraId="307636DE" w14:textId="77777777" w:rsidR="001F7456" w:rsidRPr="00445611" w:rsidRDefault="001F7456" w:rsidP="001F7456">
      <w:pPr>
        <w:pBdr>
          <w:top w:val="nil"/>
          <w:left w:val="nil"/>
          <w:bottom w:val="nil"/>
          <w:right w:val="nil"/>
          <w:between w:val="nil"/>
        </w:pBdr>
        <w:spacing w:line="360" w:lineRule="auto"/>
        <w:jc w:val="both"/>
        <w:rPr>
          <w:sz w:val="22"/>
          <w:szCs w:val="22"/>
        </w:rPr>
      </w:pPr>
      <w:r w:rsidRPr="00445611">
        <w:rPr>
          <w:rFonts w:ascii="Palatino Linotype" w:eastAsia="Palatino Linotype" w:hAnsi="Palatino Linotype" w:cs="Palatino Linotype"/>
          <w:sz w:val="22"/>
          <w:szCs w:val="22"/>
        </w:rPr>
        <w:lastRenderedPageBreak/>
        <w:t>Es así, que al configurarse tales requisitos, se otorga certidumbre jurídica y se protege la esfera más íntima del derecho humano constitucional y convencionalmente reconocido. </w:t>
      </w:r>
    </w:p>
    <w:p w14:paraId="4223A14A" w14:textId="77777777" w:rsidR="001F7456" w:rsidRPr="00445611" w:rsidRDefault="001F7456" w:rsidP="001F7456">
      <w:pPr>
        <w:pBdr>
          <w:top w:val="nil"/>
          <w:left w:val="nil"/>
          <w:bottom w:val="nil"/>
          <w:right w:val="nil"/>
          <w:between w:val="nil"/>
        </w:pBdr>
        <w:spacing w:before="240" w:line="360" w:lineRule="auto"/>
        <w:jc w:val="both"/>
        <w:rPr>
          <w:sz w:val="22"/>
          <w:szCs w:val="22"/>
        </w:rPr>
      </w:pPr>
      <w:r w:rsidRPr="00445611">
        <w:rPr>
          <w:rFonts w:ascii="Palatino Linotype" w:eastAsia="Palatino Linotype" w:hAnsi="Palatino Linotype" w:cs="Palatino Linotype"/>
          <w:sz w:val="22"/>
          <w:szCs w:val="22"/>
        </w:rPr>
        <w:t>En virtud de lo anterior, se desprende que los Acuerdos de Reserva deberán de cumplir los siguientes parámetros de forma y fondo:</w:t>
      </w:r>
    </w:p>
    <w:p w14:paraId="6BEF6806" w14:textId="77777777" w:rsidR="001F7456" w:rsidRPr="00445611" w:rsidRDefault="001F7456" w:rsidP="001F7456">
      <w:pPr>
        <w:numPr>
          <w:ilvl w:val="0"/>
          <w:numId w:val="11"/>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Número de folio de la solicitud</w:t>
      </w:r>
    </w:p>
    <w:p w14:paraId="5A76ADB5" w14:textId="77777777" w:rsidR="001F7456" w:rsidRPr="00445611" w:rsidRDefault="001F7456" w:rsidP="001F7456">
      <w:pPr>
        <w:numPr>
          <w:ilvl w:val="0"/>
          <w:numId w:val="11"/>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Referencia a la información solicitada</w:t>
      </w:r>
    </w:p>
    <w:p w14:paraId="15F2D897" w14:textId="77777777" w:rsidR="001F7456" w:rsidRPr="00445611" w:rsidRDefault="001F7456" w:rsidP="001F7456">
      <w:pPr>
        <w:numPr>
          <w:ilvl w:val="0"/>
          <w:numId w:val="11"/>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Causal aplicable del artículo 113 de la Ley General, vinculándola con el Lineamiento específico del presente ordenamiento y, cuando corresponda, el supuesto normativo que expresamente le otorga el carácter de información reservada</w:t>
      </w:r>
    </w:p>
    <w:p w14:paraId="206BD88C" w14:textId="77777777" w:rsidR="001F7456" w:rsidRPr="00445611" w:rsidRDefault="001F7456" w:rsidP="001F7456">
      <w:pPr>
        <w:numPr>
          <w:ilvl w:val="0"/>
          <w:numId w:val="11"/>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Fundamento y motivación legal</w:t>
      </w:r>
    </w:p>
    <w:p w14:paraId="645F3578" w14:textId="77777777" w:rsidR="001F7456" w:rsidRPr="00445611" w:rsidRDefault="001F7456" w:rsidP="001F7456">
      <w:pPr>
        <w:numPr>
          <w:ilvl w:val="0"/>
          <w:numId w:val="11"/>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Conexión entre los fundamentos y motivos que dieron origen a la reserva de la información</w:t>
      </w:r>
    </w:p>
    <w:p w14:paraId="339328CB" w14:textId="77777777" w:rsidR="001F7456" w:rsidRPr="00445611" w:rsidRDefault="001F7456" w:rsidP="001F7456">
      <w:pPr>
        <w:pBdr>
          <w:top w:val="nil"/>
          <w:left w:val="nil"/>
          <w:bottom w:val="nil"/>
          <w:right w:val="nil"/>
          <w:between w:val="nil"/>
        </w:pBdr>
        <w:spacing w:before="240" w:line="276" w:lineRule="auto"/>
        <w:jc w:val="both"/>
        <w:rPr>
          <w:sz w:val="22"/>
          <w:szCs w:val="22"/>
        </w:rPr>
      </w:pPr>
      <w:r w:rsidRPr="00445611">
        <w:rPr>
          <w:rFonts w:ascii="Palatino Linotype" w:eastAsia="Palatino Linotype" w:hAnsi="Palatino Linotype" w:cs="Palatino Linotype"/>
          <w:b/>
          <w:sz w:val="22"/>
          <w:szCs w:val="22"/>
        </w:rPr>
        <w:t>Prueba de daño </w:t>
      </w:r>
    </w:p>
    <w:p w14:paraId="2F90B250" w14:textId="77777777" w:rsidR="001F7456" w:rsidRPr="00445611" w:rsidRDefault="001F7456" w:rsidP="001F7456">
      <w:pPr>
        <w:numPr>
          <w:ilvl w:val="0"/>
          <w:numId w:val="12"/>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Riesgo real, demostrable e identificable (modo, tiempo y lugar)</w:t>
      </w:r>
    </w:p>
    <w:p w14:paraId="5D15743D" w14:textId="77777777" w:rsidR="001F7456" w:rsidRPr="00445611" w:rsidRDefault="001F7456" w:rsidP="001F7456">
      <w:pPr>
        <w:numPr>
          <w:ilvl w:val="0"/>
          <w:numId w:val="12"/>
        </w:numPr>
        <w:pBdr>
          <w:top w:val="nil"/>
          <w:left w:val="nil"/>
          <w:bottom w:val="nil"/>
          <w:right w:val="nil"/>
          <w:between w:val="nil"/>
        </w:pBdr>
        <w:spacing w:before="240" w:line="276"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Temporalidad de la reserva de la información</w:t>
      </w:r>
    </w:p>
    <w:p w14:paraId="1B192573" w14:textId="77777777" w:rsidR="001F7456" w:rsidRPr="00445611" w:rsidRDefault="001F7456" w:rsidP="001F7456">
      <w:pPr>
        <w:numPr>
          <w:ilvl w:val="0"/>
          <w:numId w:val="12"/>
        </w:numPr>
        <w:pBdr>
          <w:top w:val="nil"/>
          <w:left w:val="nil"/>
          <w:bottom w:val="nil"/>
          <w:right w:val="nil"/>
          <w:between w:val="nil"/>
        </w:pBdr>
        <w:spacing w:before="240" w:line="276" w:lineRule="auto"/>
        <w:jc w:val="both"/>
        <w:rPr>
          <w:rFonts w:ascii="Palatino Linotype" w:eastAsia="Palatino Linotype" w:hAnsi="Palatino Linotype" w:cs="Palatino Linotype"/>
        </w:rPr>
      </w:pPr>
      <w:r w:rsidRPr="00445611">
        <w:rPr>
          <w:rFonts w:ascii="Palatino Linotype" w:eastAsia="Palatino Linotype" w:hAnsi="Palatino Linotype" w:cs="Palatino Linotype"/>
          <w:sz w:val="22"/>
          <w:szCs w:val="22"/>
        </w:rPr>
        <w:t>Autoridades competentes </w:t>
      </w:r>
    </w:p>
    <w:p w14:paraId="2EBE65B9" w14:textId="77777777" w:rsidR="001F7456" w:rsidRPr="00445611" w:rsidRDefault="001F7456" w:rsidP="001F7456">
      <w:pPr>
        <w:pBdr>
          <w:top w:val="nil"/>
          <w:left w:val="nil"/>
          <w:bottom w:val="nil"/>
          <w:right w:val="nil"/>
          <w:between w:val="nil"/>
        </w:pBdr>
        <w:spacing w:before="240" w:line="360" w:lineRule="auto"/>
        <w:jc w:val="both"/>
        <w:rPr>
          <w:sz w:val="22"/>
          <w:szCs w:val="22"/>
        </w:rPr>
      </w:pPr>
      <w:r w:rsidRPr="00445611">
        <w:rPr>
          <w:rFonts w:ascii="Palatino Linotype" w:eastAsia="Palatino Linotype" w:hAnsi="Palatino Linotype" w:cs="Palatino Linotype"/>
          <w:sz w:val="22"/>
          <w:szCs w:val="22"/>
        </w:rPr>
        <w:t>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595145D8"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lastRenderedPageBreak/>
        <w:t xml:space="preserve"> “Artículo 140. El acceso a la información pública será restringido excepcionalmente, cuando por razones de interés público, ésta sea clasificada como reservada, conforme a los criterios siguientes: </w:t>
      </w:r>
    </w:p>
    <w:p w14:paraId="1DF14EEE"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I. Comprometa la seguridad pública y cuente con un propósito genuino y un efecto demostrable; </w:t>
      </w:r>
    </w:p>
    <w:p w14:paraId="4D6DC3AC"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II. Pueda menoscabar la conducción de las negociaciones y relaciones internacionales; </w:t>
      </w:r>
    </w:p>
    <w:p w14:paraId="06F874B4"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04A1E15B"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IV. Ponga en riesgo la vida, la seguridad o la salud de una persona física; </w:t>
      </w:r>
    </w:p>
    <w:p w14:paraId="514F09DE"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V. Aquella cuya divulgación obstruya o pueda causar un serio perjuicio a: </w:t>
      </w:r>
    </w:p>
    <w:p w14:paraId="603A711F" w14:textId="77777777" w:rsidR="001F7456" w:rsidRPr="00445611" w:rsidRDefault="001F7456" w:rsidP="001F7456">
      <w:pPr>
        <w:pBdr>
          <w:top w:val="nil"/>
          <w:left w:val="nil"/>
          <w:bottom w:val="nil"/>
          <w:right w:val="nil"/>
          <w:between w:val="nil"/>
        </w:pBdr>
        <w:spacing w:before="240" w:after="160" w:line="276" w:lineRule="auto"/>
        <w:ind w:left="851" w:right="851"/>
        <w:jc w:val="both"/>
      </w:pPr>
      <w:bookmarkStart w:id="4" w:name="_heading=h.35nkun2" w:colFirst="0" w:colLast="0"/>
      <w:bookmarkEnd w:id="4"/>
      <w:r w:rsidRPr="00445611">
        <w:rPr>
          <w:rFonts w:ascii="Palatino Linotype" w:eastAsia="Palatino Linotype" w:hAnsi="Palatino Linotype" w:cs="Palatino Linotype"/>
          <w:i/>
          <w:sz w:val="22"/>
          <w:szCs w:val="22"/>
        </w:rPr>
        <w:t>1. Las actividades de fiscalización, verificación, inspección, comprobación y auditoría sobre el cumplimiento de las Leyes; o </w:t>
      </w:r>
    </w:p>
    <w:p w14:paraId="3D12AC8C"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2. La recaudación de las contribuciones. </w:t>
      </w:r>
    </w:p>
    <w:p w14:paraId="10723B1F"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0952D9F3"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VII. La que contengan las opiniones, recomendaciones o puntos de vista que formen parte del proceso deliberativo de los servidores públicos, hasta en tanto sea adoptada la decisión definitiva, la cual deberá estar documentada; </w:t>
      </w:r>
    </w:p>
    <w:p w14:paraId="4A7FEFE8"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lastRenderedPageBreak/>
        <w:t>VIII. Vulnere la conducción de los expedientes judiciales o de los procedimientos administrativos seguidos en forma de juicio, en tanto no hayan quedado firmes; </w:t>
      </w:r>
    </w:p>
    <w:p w14:paraId="29236CB4"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IX. Se encuentre contenida dentro de las investigaciones de hechos que la Ley señale como delitos y se tramiten ante el Ministerio Público; </w:t>
      </w:r>
    </w:p>
    <w:p w14:paraId="4F0DEB90"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6412D9AA"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42352D3E"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 xml:space="preserve">XI. Las que por disposición expresa de una ley tengan tal carácter, siempre que sean acordes con las bases, principios y disposiciones establecidos en esta Ley y no la contravengan; así como las previstas en tratados internacionales.” </w:t>
      </w:r>
    </w:p>
    <w:p w14:paraId="0D157F3D" w14:textId="77777777" w:rsidR="001F7456" w:rsidRPr="00445611" w:rsidRDefault="001F7456" w:rsidP="001F7456">
      <w:pPr>
        <w:pBdr>
          <w:top w:val="nil"/>
          <w:left w:val="nil"/>
          <w:bottom w:val="nil"/>
          <w:right w:val="nil"/>
          <w:between w:val="nil"/>
        </w:pBdr>
        <w:spacing w:before="240" w:line="360" w:lineRule="auto"/>
        <w:jc w:val="both"/>
        <w:rPr>
          <w:sz w:val="22"/>
          <w:szCs w:val="22"/>
        </w:rPr>
      </w:pPr>
      <w:r w:rsidRPr="00445611">
        <w:rPr>
          <w:rFonts w:ascii="Palatino Linotype" w:eastAsia="Palatino Linotype" w:hAnsi="Palatino Linotype" w:cs="Palatino Linotype"/>
          <w:sz w:val="22"/>
          <w:szCs w:val="22"/>
        </w:rPr>
        <w:t xml:space="preserve">En virtud de lo anterior, resulta competencia del </w:t>
      </w:r>
      <w:r w:rsidRPr="00445611">
        <w:rPr>
          <w:rFonts w:ascii="Palatino Linotype" w:eastAsia="Palatino Linotype" w:hAnsi="Palatino Linotype" w:cs="Palatino Linotype"/>
          <w:b/>
          <w:sz w:val="22"/>
          <w:szCs w:val="22"/>
        </w:rPr>
        <w:t xml:space="preserve">Sujeto Obligado </w:t>
      </w:r>
      <w:r w:rsidRPr="00445611">
        <w:rPr>
          <w:rFonts w:ascii="Palatino Linotype" w:eastAsia="Palatino Linotype" w:hAnsi="Palatino Linotype" w:cs="Palatino Linotype"/>
          <w:sz w:val="22"/>
          <w:szCs w:val="22"/>
        </w:rPr>
        <w:t>apreciar el contenido de la información en cita, a efecto de valorar la posible actualización de una causal de reserva, y en consecuencia, determinar su procedencia conforme a la pauta metodológica referida con anterioridad, esto, observando la restricción que en términos del numeral 142 de la Ley de Transparencia local no podrá invocarse bajo los siguientes supuestos normativos:</w:t>
      </w:r>
    </w:p>
    <w:p w14:paraId="0CBF073A"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“Artículo 142. Bajo ninguna circunstancia podrá invocarse el carácter de reservado cuando:</w:t>
      </w:r>
    </w:p>
    <w:p w14:paraId="1784FB2A"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 I. Se trate de violaciones graves de derechos humanos, calificada así por autoridad competente; </w:t>
      </w:r>
    </w:p>
    <w:p w14:paraId="63A42B7C"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 xml:space="preserve">II. Se trate de la investigación de posibles violaciones graves de derechos humanos aun cuando no exista pronunciamiento previo de autoridad competente, cuando </w:t>
      </w:r>
      <w:r w:rsidRPr="00445611">
        <w:rPr>
          <w:rFonts w:ascii="Palatino Linotype" w:eastAsia="Palatino Linotype" w:hAnsi="Palatino Linotype" w:cs="Palatino Linotype"/>
          <w:i/>
          <w:sz w:val="22"/>
          <w:szCs w:val="22"/>
        </w:rPr>
        <w:lastRenderedPageBreak/>
        <w:t>se determine, a partir de criterios cuantitativos y cualitativos la trascendencia social de las violaciones; </w:t>
      </w:r>
    </w:p>
    <w:p w14:paraId="2C251ADA"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2683D8C4" w14:textId="77777777" w:rsidR="001F7456" w:rsidRPr="00445611" w:rsidRDefault="001F7456" w:rsidP="001F7456">
      <w:pPr>
        <w:pBdr>
          <w:top w:val="nil"/>
          <w:left w:val="nil"/>
          <w:bottom w:val="nil"/>
          <w:right w:val="nil"/>
          <w:between w:val="nil"/>
        </w:pBdr>
        <w:spacing w:before="240" w:after="160" w:line="276" w:lineRule="auto"/>
        <w:ind w:left="851" w:right="851"/>
        <w:jc w:val="both"/>
      </w:pPr>
      <w:r w:rsidRPr="00445611">
        <w:rPr>
          <w:rFonts w:ascii="Palatino Linotype" w:eastAsia="Palatino Linotype" w:hAnsi="Palatino Linotype" w:cs="Palatino Linotype"/>
          <w:i/>
          <w:sz w:val="22"/>
          <w:szCs w:val="22"/>
        </w:rPr>
        <w:t xml:space="preserve">IV. Se trate de información relacionada con actos de corrupción de conformidad con las disposiciones jurídicas aplicables.” </w:t>
      </w:r>
    </w:p>
    <w:p w14:paraId="2B1F9A31"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sz w:val="22"/>
          <w:szCs w:val="22"/>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766B0C1C" w14:textId="77777777" w:rsidR="00830242" w:rsidRPr="00445611" w:rsidRDefault="00540CF8">
      <w:pPr>
        <w:numPr>
          <w:ilvl w:val="0"/>
          <w:numId w:val="2"/>
        </w:numPr>
        <w:pBdr>
          <w:top w:val="nil"/>
          <w:left w:val="nil"/>
          <w:bottom w:val="nil"/>
          <w:right w:val="nil"/>
          <w:between w:val="nil"/>
        </w:pBdr>
        <w:spacing w:before="240" w:after="240" w:line="360" w:lineRule="auto"/>
        <w:ind w:left="567" w:hanging="141"/>
        <w:jc w:val="center"/>
        <w:rPr>
          <w:rFonts w:ascii="Palatino Linotype" w:eastAsia="Palatino Linotype" w:hAnsi="Palatino Linotype" w:cs="Palatino Linotype"/>
          <w:b/>
        </w:rPr>
      </w:pPr>
      <w:r w:rsidRPr="00445611">
        <w:rPr>
          <w:rFonts w:ascii="Palatino Linotype" w:eastAsia="Palatino Linotype" w:hAnsi="Palatino Linotype" w:cs="Palatino Linotype"/>
          <w:b/>
        </w:rPr>
        <w:t>R E S U E L V E:</w:t>
      </w:r>
    </w:p>
    <w:p w14:paraId="03BC84DD" w14:textId="65D88F04" w:rsidR="00830242" w:rsidRPr="00445611" w:rsidRDefault="00540CF8">
      <w:pPr>
        <w:spacing w:before="240" w:after="240" w:line="360" w:lineRule="auto"/>
        <w:jc w:val="both"/>
        <w:rPr>
          <w:rFonts w:ascii="Palatino Linotype" w:eastAsia="Palatino Linotype" w:hAnsi="Palatino Linotype" w:cs="Palatino Linotype"/>
          <w:b/>
          <w:sz w:val="22"/>
          <w:szCs w:val="22"/>
        </w:rPr>
      </w:pPr>
      <w:bookmarkStart w:id="5" w:name="_heading=h.3znysh7" w:colFirst="0" w:colLast="0"/>
      <w:bookmarkEnd w:id="5"/>
      <w:r w:rsidRPr="00445611">
        <w:rPr>
          <w:rFonts w:ascii="Palatino Linotype" w:eastAsia="Palatino Linotype" w:hAnsi="Palatino Linotype" w:cs="Palatino Linotype"/>
          <w:b/>
          <w:sz w:val="22"/>
          <w:szCs w:val="22"/>
        </w:rPr>
        <w:t xml:space="preserve">Primero. </w:t>
      </w:r>
      <w:r w:rsidRPr="00445611">
        <w:rPr>
          <w:rFonts w:ascii="Palatino Linotype" w:eastAsia="Palatino Linotype" w:hAnsi="Palatino Linotype" w:cs="Palatino Linotype"/>
          <w:sz w:val="22"/>
          <w:szCs w:val="22"/>
        </w:rPr>
        <w:t>Resultan</w:t>
      </w:r>
      <w:r w:rsidRPr="00445611">
        <w:rPr>
          <w:rFonts w:ascii="Palatino Linotype" w:eastAsia="Palatino Linotype" w:hAnsi="Palatino Linotype" w:cs="Palatino Linotype"/>
          <w:b/>
          <w:sz w:val="22"/>
          <w:szCs w:val="22"/>
        </w:rPr>
        <w:t xml:space="preserve"> </w:t>
      </w:r>
      <w:r w:rsidR="00C164FD" w:rsidRPr="00445611">
        <w:rPr>
          <w:rFonts w:ascii="Palatino Linotype" w:eastAsia="Palatino Linotype" w:hAnsi="Palatino Linotype" w:cs="Palatino Linotype"/>
          <w:b/>
          <w:sz w:val="22"/>
          <w:szCs w:val="22"/>
        </w:rPr>
        <w:t xml:space="preserve">parcialmente </w:t>
      </w:r>
      <w:r w:rsidRPr="00445611">
        <w:rPr>
          <w:rFonts w:ascii="Palatino Linotype" w:eastAsia="Palatino Linotype" w:hAnsi="Palatino Linotype" w:cs="Palatino Linotype"/>
          <w:b/>
          <w:sz w:val="22"/>
          <w:szCs w:val="22"/>
        </w:rPr>
        <w:t xml:space="preserve">fundados </w:t>
      </w:r>
      <w:r w:rsidRPr="00445611">
        <w:rPr>
          <w:rFonts w:ascii="Palatino Linotype" w:eastAsia="Palatino Linotype" w:hAnsi="Palatino Linotype" w:cs="Palatino Linotype"/>
          <w:sz w:val="22"/>
          <w:szCs w:val="22"/>
        </w:rPr>
        <w:t xml:space="preserve">los motivos de inconformidad hechos valer por </w:t>
      </w:r>
      <w:r w:rsidRPr="00445611">
        <w:rPr>
          <w:rFonts w:ascii="Palatino Linotype" w:eastAsia="Palatino Linotype" w:hAnsi="Palatino Linotype" w:cs="Palatino Linotype"/>
          <w:b/>
          <w:sz w:val="22"/>
          <w:szCs w:val="22"/>
        </w:rPr>
        <w:t>la parte Recurrente</w:t>
      </w:r>
      <w:r w:rsidRPr="00445611">
        <w:rPr>
          <w:rFonts w:ascii="Palatino Linotype" w:eastAsia="Palatino Linotype" w:hAnsi="Palatino Linotype" w:cs="Palatino Linotype"/>
          <w:sz w:val="22"/>
          <w:szCs w:val="22"/>
        </w:rPr>
        <w:t xml:space="preserve"> en los Recursos de Revisión</w:t>
      </w:r>
      <w:r w:rsidRPr="00445611">
        <w:rPr>
          <w:rFonts w:ascii="Palatino Linotype" w:eastAsia="Palatino Linotype" w:hAnsi="Palatino Linotype" w:cs="Palatino Linotype"/>
          <w:b/>
          <w:sz w:val="22"/>
          <w:szCs w:val="22"/>
        </w:rPr>
        <w:t xml:space="preserve"> </w:t>
      </w:r>
      <w:r w:rsidR="00213D03" w:rsidRPr="00445611">
        <w:rPr>
          <w:rFonts w:ascii="Palatino Linotype" w:eastAsia="Palatino Linotype" w:hAnsi="Palatino Linotype" w:cs="Palatino Linotype"/>
          <w:b/>
          <w:sz w:val="22"/>
          <w:szCs w:val="22"/>
        </w:rPr>
        <w:t>02864/INFOEM/IP/RR/2024 y 02865/INFOEM/IP/RR/2024 acumulados</w:t>
      </w:r>
      <w:r w:rsidRPr="00445611">
        <w:rPr>
          <w:rFonts w:ascii="Palatino Linotype" w:eastAsia="Palatino Linotype" w:hAnsi="Palatino Linotype" w:cs="Palatino Linotype"/>
          <w:b/>
          <w:sz w:val="22"/>
          <w:szCs w:val="22"/>
        </w:rPr>
        <w:t xml:space="preserve">, </w:t>
      </w:r>
      <w:r w:rsidRPr="00445611">
        <w:rPr>
          <w:rFonts w:ascii="Palatino Linotype" w:eastAsia="Palatino Linotype" w:hAnsi="Palatino Linotype" w:cs="Palatino Linotype"/>
          <w:sz w:val="22"/>
          <w:szCs w:val="22"/>
        </w:rPr>
        <w:t>por lo que</w:t>
      </w:r>
      <w:r w:rsidRPr="00445611">
        <w:rPr>
          <w:rFonts w:ascii="Palatino Linotype" w:eastAsia="Palatino Linotype" w:hAnsi="Palatino Linotype" w:cs="Palatino Linotype"/>
          <w:b/>
          <w:sz w:val="22"/>
          <w:szCs w:val="22"/>
        </w:rPr>
        <w:t xml:space="preserve">, en términos del Considerando Cuarto </w:t>
      </w:r>
      <w:r w:rsidRPr="00445611">
        <w:rPr>
          <w:rFonts w:ascii="Palatino Linotype" w:eastAsia="Palatino Linotype" w:hAnsi="Palatino Linotype" w:cs="Palatino Linotype"/>
          <w:sz w:val="22"/>
          <w:szCs w:val="22"/>
        </w:rPr>
        <w:t xml:space="preserve">de la presente resolución, </w:t>
      </w:r>
      <w:r w:rsidR="00746811" w:rsidRPr="00445611">
        <w:rPr>
          <w:rFonts w:ascii="Palatino Linotype" w:eastAsia="Palatino Linotype" w:hAnsi="Palatino Linotype" w:cs="Palatino Linotype"/>
          <w:b/>
          <w:sz w:val="22"/>
          <w:szCs w:val="22"/>
        </w:rPr>
        <w:t>se MODIFI</w:t>
      </w:r>
      <w:r w:rsidRPr="00445611">
        <w:rPr>
          <w:rFonts w:ascii="Palatino Linotype" w:eastAsia="Palatino Linotype" w:hAnsi="Palatino Linotype" w:cs="Palatino Linotype"/>
          <w:b/>
          <w:sz w:val="22"/>
          <w:szCs w:val="22"/>
        </w:rPr>
        <w:t xml:space="preserve">CAN </w:t>
      </w:r>
      <w:r w:rsidRPr="00445611">
        <w:rPr>
          <w:rFonts w:ascii="Palatino Linotype" w:eastAsia="Palatino Linotype" w:hAnsi="Palatino Linotype" w:cs="Palatino Linotype"/>
          <w:sz w:val="22"/>
          <w:szCs w:val="22"/>
        </w:rPr>
        <w:t>las respuestas del</w:t>
      </w:r>
      <w:r w:rsidRPr="00445611">
        <w:rPr>
          <w:rFonts w:ascii="Palatino Linotype" w:eastAsia="Palatino Linotype" w:hAnsi="Palatino Linotype" w:cs="Palatino Linotype"/>
          <w:b/>
          <w:sz w:val="22"/>
          <w:szCs w:val="22"/>
        </w:rPr>
        <w:t xml:space="preserve"> Sujeto Obligado.</w:t>
      </w:r>
    </w:p>
    <w:p w14:paraId="6FE1F2CE" w14:textId="1A821DD2" w:rsidR="00746811" w:rsidRPr="00445611" w:rsidRDefault="00540CF8" w:rsidP="005E380E">
      <w:pPr>
        <w:spacing w:before="240" w:after="240" w:line="360" w:lineRule="auto"/>
        <w:ind w:right="49"/>
        <w:jc w:val="both"/>
        <w:rPr>
          <w:rFonts w:ascii="Palatino Linotype" w:eastAsia="Palatino Linotype" w:hAnsi="Palatino Linotype" w:cs="Palatino Linotype"/>
          <w:b/>
          <w:sz w:val="22"/>
          <w:szCs w:val="22"/>
        </w:rPr>
      </w:pPr>
      <w:r w:rsidRPr="00445611">
        <w:rPr>
          <w:rFonts w:ascii="Palatino Linotype" w:eastAsia="Palatino Linotype" w:hAnsi="Palatino Linotype" w:cs="Palatino Linotype"/>
          <w:b/>
          <w:sz w:val="22"/>
          <w:szCs w:val="22"/>
        </w:rPr>
        <w:t xml:space="preserve">Segundo. </w:t>
      </w:r>
      <w:bookmarkStart w:id="6" w:name="_heading=h.17dp8vu" w:colFirst="0" w:colLast="0"/>
      <w:bookmarkEnd w:id="6"/>
      <w:r w:rsidR="00746811" w:rsidRPr="00445611">
        <w:rPr>
          <w:rFonts w:ascii="Palatino Linotype" w:eastAsia="Palatino Linotype" w:hAnsi="Palatino Linotype" w:cs="Palatino Linotype"/>
          <w:sz w:val="22"/>
          <w:szCs w:val="22"/>
        </w:rPr>
        <w:t xml:space="preserve">Se </w:t>
      </w:r>
      <w:r w:rsidR="00746811" w:rsidRPr="00445611">
        <w:rPr>
          <w:rFonts w:ascii="Palatino Linotype" w:eastAsia="Palatino Linotype" w:hAnsi="Palatino Linotype" w:cs="Palatino Linotype"/>
          <w:b/>
          <w:sz w:val="22"/>
          <w:szCs w:val="22"/>
        </w:rPr>
        <w:t>Ordena</w:t>
      </w:r>
      <w:r w:rsidR="00746811" w:rsidRPr="00445611">
        <w:rPr>
          <w:rFonts w:ascii="Palatino Linotype" w:eastAsia="Palatino Linotype" w:hAnsi="Palatino Linotype" w:cs="Palatino Linotype"/>
          <w:sz w:val="22"/>
          <w:szCs w:val="22"/>
        </w:rPr>
        <w:t xml:space="preserve"> al </w:t>
      </w:r>
      <w:r w:rsidR="00746811" w:rsidRPr="00445611">
        <w:rPr>
          <w:rFonts w:ascii="Palatino Linotype" w:eastAsia="Palatino Linotype" w:hAnsi="Palatino Linotype" w:cs="Palatino Linotype"/>
          <w:b/>
          <w:sz w:val="22"/>
          <w:szCs w:val="22"/>
        </w:rPr>
        <w:t>Sujeto Obligado</w:t>
      </w:r>
      <w:r w:rsidR="00746811" w:rsidRPr="00445611">
        <w:rPr>
          <w:rFonts w:ascii="Palatino Linotype" w:eastAsia="Palatino Linotype" w:hAnsi="Palatino Linotype" w:cs="Palatino Linotype"/>
          <w:sz w:val="22"/>
          <w:szCs w:val="22"/>
        </w:rPr>
        <w:t xml:space="preserve">, en términos de los Considerandos </w:t>
      </w:r>
      <w:r w:rsidR="00746811" w:rsidRPr="00445611">
        <w:rPr>
          <w:rFonts w:ascii="Palatino Linotype" w:eastAsia="Palatino Linotype" w:hAnsi="Palatino Linotype" w:cs="Palatino Linotype"/>
          <w:b/>
          <w:sz w:val="22"/>
          <w:szCs w:val="22"/>
        </w:rPr>
        <w:t xml:space="preserve">Cuarto y Quinto </w:t>
      </w:r>
      <w:r w:rsidR="00746811" w:rsidRPr="00445611">
        <w:rPr>
          <w:rFonts w:ascii="Palatino Linotype" w:eastAsia="Palatino Linotype" w:hAnsi="Palatino Linotype" w:cs="Palatino Linotype"/>
          <w:sz w:val="22"/>
          <w:szCs w:val="22"/>
        </w:rPr>
        <w:t>de esta resolución, haga entrega, en todas las modalidades que permita la documentación, tales como, disco compacto, dispositivo de almacenamiento, consulta directa, copias simples o certificadas, con posibilidad de entrega en la Unidad de Transparencia o a domicilio por correo certificado, previo pago de los derechos correspondientes, de ser procedente en versión pública, lo siguiente:</w:t>
      </w:r>
    </w:p>
    <w:p w14:paraId="5EAEAE22" w14:textId="77777777" w:rsidR="00AE1561" w:rsidRPr="00445611" w:rsidRDefault="00213D03" w:rsidP="00213D03">
      <w:pPr>
        <w:pStyle w:val="Prrafodelista"/>
        <w:numPr>
          <w:ilvl w:val="0"/>
          <w:numId w:val="7"/>
        </w:numPr>
        <w:ind w:left="567" w:right="900" w:hanging="141"/>
        <w:jc w:val="both"/>
        <w:rPr>
          <w:rFonts w:ascii="Palatino Linotype" w:eastAsia="Palatino Linotype" w:hAnsi="Palatino Linotype" w:cs="Palatino Linotype"/>
          <w:b/>
          <w:i/>
          <w:sz w:val="22"/>
          <w:szCs w:val="22"/>
        </w:rPr>
      </w:pPr>
      <w:r w:rsidRPr="00445611">
        <w:rPr>
          <w:rFonts w:ascii="Palatino Linotype" w:eastAsia="Palatino Linotype" w:hAnsi="Palatino Linotype" w:cs="Palatino Linotype"/>
          <w:b/>
          <w:i/>
          <w:sz w:val="22"/>
          <w:szCs w:val="22"/>
        </w:rPr>
        <w:lastRenderedPageBreak/>
        <w:t>L</w:t>
      </w:r>
      <w:r w:rsidR="001D309D" w:rsidRPr="00445611">
        <w:rPr>
          <w:rFonts w:ascii="Palatino Linotype" w:eastAsia="Palatino Linotype" w:hAnsi="Palatino Linotype" w:cs="Palatino Linotype"/>
          <w:b/>
          <w:i/>
          <w:sz w:val="22"/>
          <w:szCs w:val="22"/>
        </w:rPr>
        <w:t xml:space="preserve">as documentales que den cuenta de la entrega-recepción, </w:t>
      </w:r>
      <w:r w:rsidRPr="00445611">
        <w:rPr>
          <w:rFonts w:ascii="Palatino Linotype" w:eastAsia="Palatino Linotype" w:hAnsi="Palatino Linotype" w:cs="Palatino Linotype"/>
          <w:b/>
          <w:i/>
          <w:sz w:val="22"/>
          <w:szCs w:val="22"/>
        </w:rPr>
        <w:t>generadas durante los años 2022 y 2023</w:t>
      </w:r>
      <w:r w:rsidR="00540CF8" w:rsidRPr="00445611">
        <w:rPr>
          <w:rFonts w:ascii="Palatino Linotype" w:eastAsia="Palatino Linotype" w:hAnsi="Palatino Linotype" w:cs="Palatino Linotype"/>
          <w:b/>
          <w:i/>
          <w:sz w:val="22"/>
          <w:szCs w:val="22"/>
        </w:rPr>
        <w:t>.</w:t>
      </w:r>
    </w:p>
    <w:p w14:paraId="6E5B39DF" w14:textId="77777777" w:rsidR="00830242" w:rsidRPr="00445611" w:rsidRDefault="00830242">
      <w:pPr>
        <w:ind w:left="567" w:right="900"/>
        <w:jc w:val="both"/>
        <w:rPr>
          <w:rFonts w:ascii="Palatino Linotype" w:eastAsia="Palatino Linotype" w:hAnsi="Palatino Linotype" w:cs="Palatino Linotype"/>
          <w:b/>
          <w:i/>
          <w:sz w:val="22"/>
          <w:szCs w:val="22"/>
        </w:rPr>
      </w:pPr>
    </w:p>
    <w:p w14:paraId="3CC812F4" w14:textId="77777777" w:rsidR="00830242" w:rsidRPr="00445611" w:rsidRDefault="00540CF8">
      <w:pPr>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445611">
        <w:rPr>
          <w:rFonts w:ascii="Palatino Linotype" w:eastAsia="Palatino Linotype" w:hAnsi="Palatino Linotype" w:cs="Palatino Linotype"/>
          <w:b/>
          <w:i/>
          <w:sz w:val="22"/>
          <w:szCs w:val="22"/>
        </w:rPr>
        <w:t>la parte Recurrente</w:t>
      </w:r>
      <w:r w:rsidRPr="00445611">
        <w:rPr>
          <w:rFonts w:ascii="Palatino Linotype" w:eastAsia="Palatino Linotype" w:hAnsi="Palatino Linotype" w:cs="Palatino Linotype"/>
          <w:i/>
          <w:sz w:val="22"/>
          <w:szCs w:val="22"/>
        </w:rPr>
        <w:t>.</w:t>
      </w:r>
    </w:p>
    <w:p w14:paraId="0C012B2E" w14:textId="77777777" w:rsidR="00746811" w:rsidRPr="00445611" w:rsidRDefault="00746811">
      <w:pPr>
        <w:ind w:left="567" w:right="900"/>
        <w:jc w:val="both"/>
        <w:rPr>
          <w:rFonts w:ascii="Palatino Linotype" w:eastAsia="Palatino Linotype" w:hAnsi="Palatino Linotype" w:cs="Palatino Linotype"/>
          <w:i/>
          <w:sz w:val="22"/>
          <w:szCs w:val="22"/>
        </w:rPr>
      </w:pPr>
    </w:p>
    <w:p w14:paraId="380762A3" w14:textId="4187753A" w:rsidR="00746811" w:rsidRPr="00445611" w:rsidRDefault="00746811" w:rsidP="00746811">
      <w:pPr>
        <w:spacing w:line="276" w:lineRule="auto"/>
        <w:ind w:left="567" w:right="900"/>
        <w:jc w:val="both"/>
        <w:rPr>
          <w:rFonts w:ascii="Palatino Linotype" w:eastAsia="Palatino Linotype" w:hAnsi="Palatino Linotype" w:cs="Palatino Linotype"/>
          <w:i/>
          <w:sz w:val="22"/>
          <w:szCs w:val="22"/>
        </w:rPr>
      </w:pPr>
      <w:r w:rsidRPr="00445611">
        <w:rPr>
          <w:rFonts w:ascii="Palatino Linotype" w:eastAsia="Palatino Linotype" w:hAnsi="Palatino Linotype" w:cs="Palatino Linotype"/>
          <w:i/>
          <w:sz w:val="22"/>
          <w:szCs w:val="22"/>
        </w:rPr>
        <w:t xml:space="preserve">Para tal situación, a través del Sistema de Acceso a la Información Mexiquense (SAIMEX), deberá indicar el procedimiento que tendrá que seguir el Particular, para acceder a la documentación, es decir, los pasos para realizar el pago de derechos, en caso de proceder, y la manera de obtener la información como domicilio de la Unidad de Transparencia, días y horarios de atención en términos del artículo 166 de la Ley de Transparencia y Acceso a la Información Pública del Estado de México y Municipios, así como el nombre del servidor público que le atenderá. Además, deberá señalarle que en caso de que </w:t>
      </w:r>
      <w:r w:rsidRPr="00445611">
        <w:rPr>
          <w:rFonts w:ascii="Palatino Linotype" w:eastAsia="Palatino Linotype" w:hAnsi="Palatino Linotype" w:cs="Palatino Linotype"/>
          <w:b/>
          <w:i/>
          <w:sz w:val="22"/>
          <w:szCs w:val="22"/>
        </w:rPr>
        <w:t>la parte Recurrente</w:t>
      </w:r>
      <w:r w:rsidRPr="00445611">
        <w:rPr>
          <w:rFonts w:ascii="Palatino Linotype" w:eastAsia="Palatino Linotype" w:hAnsi="Palatino Linotype" w:cs="Palatino Linotype"/>
          <w:i/>
          <w:sz w:val="22"/>
          <w:szCs w:val="22"/>
        </w:rPr>
        <w:t xml:space="preserve"> proporcione el dispositivo electrónico y acuda por la información a la Unidad de Transparencia, la entrega de la información, será sin costo.</w:t>
      </w:r>
    </w:p>
    <w:p w14:paraId="628BE6B1" w14:textId="77777777" w:rsidR="00830242" w:rsidRPr="00445611" w:rsidRDefault="00830242" w:rsidP="00746811">
      <w:pPr>
        <w:ind w:right="900"/>
        <w:jc w:val="both"/>
        <w:rPr>
          <w:rFonts w:ascii="Palatino Linotype" w:eastAsia="Palatino Linotype" w:hAnsi="Palatino Linotype" w:cs="Palatino Linotype"/>
          <w:i/>
          <w:sz w:val="22"/>
          <w:szCs w:val="22"/>
        </w:rPr>
      </w:pPr>
    </w:p>
    <w:p w14:paraId="2C1DFC27"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t xml:space="preserve">Tercero.  Notifíquese vía SAIMEX, </w:t>
      </w:r>
      <w:r w:rsidRPr="00445611">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55F3492"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r w:rsidRPr="00445611">
        <w:rPr>
          <w:rFonts w:ascii="Palatino Linotype" w:eastAsia="Palatino Linotype" w:hAnsi="Palatino Linotype" w:cs="Palatino Linotype"/>
          <w:b/>
          <w:sz w:val="22"/>
          <w:szCs w:val="22"/>
        </w:rPr>
        <w:lastRenderedPageBreak/>
        <w:t xml:space="preserve">Cuarto. </w:t>
      </w:r>
      <w:r w:rsidRPr="00445611">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445611">
        <w:rPr>
          <w:rFonts w:ascii="Palatino Linotype" w:eastAsia="Palatino Linotype" w:hAnsi="Palatino Linotype" w:cs="Palatino Linotype"/>
          <w:b/>
          <w:sz w:val="22"/>
          <w:szCs w:val="22"/>
        </w:rPr>
        <w:t>Sujeto Obligado</w:t>
      </w:r>
      <w:r w:rsidRPr="00445611">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07074B3" w14:textId="77777777" w:rsidR="00830242" w:rsidRPr="00445611" w:rsidRDefault="00540CF8">
      <w:pPr>
        <w:spacing w:before="240" w:after="240" w:line="360" w:lineRule="auto"/>
        <w:jc w:val="both"/>
        <w:rPr>
          <w:rFonts w:ascii="Palatino Linotype" w:eastAsia="Palatino Linotype" w:hAnsi="Palatino Linotype" w:cs="Palatino Linotype"/>
          <w:sz w:val="22"/>
          <w:szCs w:val="22"/>
        </w:rPr>
      </w:pPr>
      <w:bookmarkStart w:id="7" w:name="_heading=h.tyjcwt" w:colFirst="0" w:colLast="0"/>
      <w:bookmarkEnd w:id="7"/>
      <w:r w:rsidRPr="00445611">
        <w:rPr>
          <w:rFonts w:ascii="Palatino Linotype" w:eastAsia="Palatino Linotype" w:hAnsi="Palatino Linotype" w:cs="Palatino Linotype"/>
          <w:b/>
          <w:sz w:val="22"/>
          <w:szCs w:val="22"/>
        </w:rPr>
        <w:t xml:space="preserve">Quinto. Notifíquese vía SAIMEX, </w:t>
      </w:r>
      <w:r w:rsidRPr="00445611">
        <w:rPr>
          <w:rFonts w:ascii="Palatino Linotype" w:eastAsia="Palatino Linotype" w:hAnsi="Palatino Linotype" w:cs="Palatino Linotype"/>
          <w:sz w:val="22"/>
          <w:szCs w:val="22"/>
        </w:rPr>
        <w:t>a</w:t>
      </w:r>
      <w:r w:rsidRPr="00445611">
        <w:rPr>
          <w:rFonts w:ascii="Palatino Linotype" w:eastAsia="Palatino Linotype" w:hAnsi="Palatino Linotype" w:cs="Palatino Linotype"/>
          <w:b/>
          <w:sz w:val="22"/>
          <w:szCs w:val="22"/>
        </w:rPr>
        <w:t xml:space="preserve"> la parte Recurrente</w:t>
      </w:r>
      <w:r w:rsidRPr="00445611">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75399838" w14:textId="0755E773" w:rsidR="00830242" w:rsidRPr="00445611" w:rsidRDefault="00540CF8">
      <w:pPr>
        <w:spacing w:before="240" w:after="240" w:line="360" w:lineRule="auto"/>
        <w:jc w:val="both"/>
        <w:rPr>
          <w:rFonts w:ascii="Palatino Linotype" w:eastAsia="Palatino Linotype" w:hAnsi="Palatino Linotype" w:cs="Palatino Linotype"/>
        </w:rPr>
        <w:sectPr w:rsidR="00830242" w:rsidRPr="00445611">
          <w:headerReference w:type="even" r:id="rId19"/>
          <w:headerReference w:type="default" r:id="rId20"/>
          <w:footerReference w:type="even" r:id="rId21"/>
          <w:footerReference w:type="default" r:id="rId22"/>
          <w:headerReference w:type="first" r:id="rId23"/>
          <w:footerReference w:type="first" r:id="rId24"/>
          <w:pgSz w:w="12240" w:h="15840"/>
          <w:pgMar w:top="621" w:right="1701" w:bottom="1701" w:left="1701" w:header="618" w:footer="709" w:gutter="0"/>
          <w:pgNumType w:start="1"/>
          <w:cols w:space="720"/>
          <w:titlePg/>
        </w:sectPr>
      </w:pPr>
      <w:r w:rsidRPr="0044561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746BA5" w:rsidRPr="00445611">
        <w:rPr>
          <w:rFonts w:ascii="Palatino Linotype" w:eastAsia="Palatino Linotype" w:hAnsi="Palatino Linotype" w:cs="Palatino Linotype"/>
        </w:rPr>
        <w:t xml:space="preserve"> (EMITIENDO VOTO PARTICULAR)</w:t>
      </w:r>
      <w:r w:rsidRPr="00445611">
        <w:rPr>
          <w:rFonts w:ascii="Palatino Linotype" w:eastAsia="Palatino Linotype" w:hAnsi="Palatino Linotype" w:cs="Palatino Linotype"/>
        </w:rPr>
        <w:t xml:space="preserve"> Y GUADALUPE RAMÍREZ PEÑA; EN LA TRIGÉSIMA </w:t>
      </w:r>
      <w:r w:rsidR="00746BA5" w:rsidRPr="00445611">
        <w:rPr>
          <w:rFonts w:ascii="Palatino Linotype" w:eastAsia="Palatino Linotype" w:hAnsi="Palatino Linotype" w:cs="Palatino Linotype"/>
        </w:rPr>
        <w:t>CUARTA</w:t>
      </w:r>
      <w:r w:rsidRPr="00445611">
        <w:rPr>
          <w:rFonts w:ascii="Palatino Linotype" w:eastAsia="Palatino Linotype" w:hAnsi="Palatino Linotype" w:cs="Palatino Linotype"/>
        </w:rPr>
        <w:t xml:space="preserve"> SESIÓ</w:t>
      </w:r>
      <w:r w:rsidR="00746BA5" w:rsidRPr="00445611">
        <w:rPr>
          <w:rFonts w:ascii="Palatino Linotype" w:eastAsia="Palatino Linotype" w:hAnsi="Palatino Linotype" w:cs="Palatino Linotype"/>
        </w:rPr>
        <w:t>N ORDINARIA CELEBRADA EL VEINTICINCO</w:t>
      </w:r>
      <w:r w:rsidRPr="00445611">
        <w:rPr>
          <w:rFonts w:ascii="Palatino Linotype" w:eastAsia="Palatino Linotype" w:hAnsi="Palatino Linotype" w:cs="Palatino Linotype"/>
        </w:rPr>
        <w:t xml:space="preserve"> DE SEPTIEMBRE DE DOS MIL VEINTICUATRO, ANTE EL SECRETARIO TÉCNICO DEL PLENO, ALEXIS TAPIA RAMÍREZ.</w:t>
      </w:r>
    </w:p>
    <w:p w14:paraId="3D918818" w14:textId="77777777" w:rsidR="00830242" w:rsidRPr="00445611" w:rsidRDefault="00830242">
      <w:pPr>
        <w:spacing w:before="240" w:after="240"/>
        <w:jc w:val="both"/>
        <w:rPr>
          <w:rFonts w:ascii="Palatino Linotype" w:eastAsia="Palatino Linotype" w:hAnsi="Palatino Linotype" w:cs="Palatino Linotype"/>
          <w:sz w:val="20"/>
          <w:szCs w:val="20"/>
        </w:rPr>
      </w:pPr>
    </w:p>
    <w:p w14:paraId="131EC761" w14:textId="77777777" w:rsidR="00830242" w:rsidRPr="00445611" w:rsidRDefault="00830242">
      <w:pPr>
        <w:spacing w:before="240" w:after="240"/>
        <w:jc w:val="both"/>
        <w:rPr>
          <w:rFonts w:ascii="Palatino Linotype" w:eastAsia="Palatino Linotype" w:hAnsi="Palatino Linotype" w:cs="Palatino Linotype"/>
          <w:sz w:val="20"/>
          <w:szCs w:val="20"/>
        </w:rPr>
      </w:pPr>
      <w:bookmarkStart w:id="8" w:name="_heading=h.1fob9te" w:colFirst="0" w:colLast="0"/>
      <w:bookmarkEnd w:id="8"/>
    </w:p>
    <w:sectPr w:rsidR="00830242" w:rsidRPr="00445611">
      <w:headerReference w:type="first" r:id="rId25"/>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0510" w14:textId="77777777" w:rsidR="0054619C" w:rsidRDefault="0054619C">
      <w:r>
        <w:separator/>
      </w:r>
    </w:p>
  </w:endnote>
  <w:endnote w:type="continuationSeparator" w:id="0">
    <w:p w14:paraId="674BAF86" w14:textId="77777777" w:rsidR="0054619C" w:rsidRDefault="0054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2DA2" w14:textId="77777777" w:rsidR="00237C6D" w:rsidRDefault="00237C6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C113" w14:textId="77777777" w:rsidR="00237C6D" w:rsidRDefault="00237C6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46BA5">
      <w:rPr>
        <w:rFonts w:ascii="Palatino Linotype" w:eastAsia="Palatino Linotype" w:hAnsi="Palatino Linotype" w:cs="Palatino Linotype"/>
        <w:b/>
        <w:noProof/>
        <w:color w:val="000000"/>
        <w:sz w:val="20"/>
        <w:szCs w:val="20"/>
      </w:rPr>
      <w:t>71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46BA5">
      <w:rPr>
        <w:rFonts w:ascii="Palatino Linotype" w:eastAsia="Palatino Linotype" w:hAnsi="Palatino Linotype" w:cs="Palatino Linotype"/>
        <w:b/>
        <w:noProof/>
        <w:color w:val="000000"/>
        <w:sz w:val="20"/>
        <w:szCs w:val="20"/>
      </w:rPr>
      <w:t>72</w:t>
    </w:r>
    <w:r>
      <w:rPr>
        <w:rFonts w:ascii="Palatino Linotype" w:eastAsia="Palatino Linotype" w:hAnsi="Palatino Linotype" w:cs="Palatino Linotype"/>
        <w:b/>
        <w:color w:val="000000"/>
        <w:sz w:val="20"/>
        <w:szCs w:val="20"/>
      </w:rPr>
      <w:fldChar w:fldCharType="end"/>
    </w:r>
  </w:p>
  <w:p w14:paraId="2FDED3CA" w14:textId="77777777" w:rsidR="00237C6D" w:rsidRDefault="00237C6D">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126FB6B7" w14:textId="77777777" w:rsidR="00237C6D" w:rsidRDefault="00237C6D"/>
  <w:p w14:paraId="62C14526" w14:textId="77777777" w:rsidR="00237C6D" w:rsidRDefault="00237C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5D4A" w14:textId="77777777" w:rsidR="00237C6D" w:rsidRDefault="00237C6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46BA5">
      <w:rPr>
        <w:rFonts w:ascii="Palatino Linotype" w:eastAsia="Palatino Linotype" w:hAnsi="Palatino Linotype" w:cs="Palatino Linotype"/>
        <w:b/>
        <w:noProof/>
        <w:color w:val="000000"/>
        <w:sz w:val="20"/>
        <w:szCs w:val="20"/>
      </w:rPr>
      <w:t>72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46BA5">
      <w:rPr>
        <w:rFonts w:ascii="Palatino Linotype" w:eastAsia="Palatino Linotype" w:hAnsi="Palatino Linotype" w:cs="Palatino Linotype"/>
        <w:b/>
        <w:noProof/>
        <w:color w:val="000000"/>
        <w:sz w:val="20"/>
        <w:szCs w:val="20"/>
      </w:rPr>
      <w:t>72</w:t>
    </w:r>
    <w:r>
      <w:rPr>
        <w:rFonts w:ascii="Palatino Linotype" w:eastAsia="Palatino Linotype" w:hAnsi="Palatino Linotype" w:cs="Palatino Linotype"/>
        <w:b/>
        <w:color w:val="000000"/>
        <w:sz w:val="20"/>
        <w:szCs w:val="20"/>
      </w:rPr>
      <w:fldChar w:fldCharType="end"/>
    </w:r>
  </w:p>
  <w:p w14:paraId="4D7DC63C" w14:textId="77777777" w:rsidR="00237C6D" w:rsidRDefault="00237C6D">
    <w:pPr>
      <w:pBdr>
        <w:top w:val="nil"/>
        <w:left w:val="nil"/>
        <w:bottom w:val="nil"/>
        <w:right w:val="nil"/>
        <w:between w:val="nil"/>
      </w:pBdr>
      <w:tabs>
        <w:tab w:val="center" w:pos="4252"/>
        <w:tab w:val="right" w:pos="8504"/>
      </w:tabs>
      <w:rPr>
        <w:rFonts w:ascii="Cambria" w:eastAsia="Cambria" w:hAnsi="Cambria" w:cs="Cambria"/>
        <w:color w:val="000000"/>
      </w:rPr>
    </w:pPr>
  </w:p>
  <w:p w14:paraId="6D2ACA47" w14:textId="77777777" w:rsidR="00237C6D" w:rsidRDefault="00237C6D"/>
  <w:p w14:paraId="1D9F07DF" w14:textId="77777777" w:rsidR="00237C6D" w:rsidRDefault="00237C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9116" w14:textId="77777777" w:rsidR="0054619C" w:rsidRDefault="0054619C">
      <w:r>
        <w:separator/>
      </w:r>
    </w:p>
  </w:footnote>
  <w:footnote w:type="continuationSeparator" w:id="0">
    <w:p w14:paraId="475E4655" w14:textId="77777777" w:rsidR="0054619C" w:rsidRDefault="0054619C">
      <w:r>
        <w:continuationSeparator/>
      </w:r>
    </w:p>
  </w:footnote>
  <w:footnote w:id="1">
    <w:p w14:paraId="0F292263" w14:textId="77777777" w:rsidR="00237C6D" w:rsidRDefault="00237C6D">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3818D86D" w14:textId="77777777" w:rsidR="00237C6D" w:rsidRDefault="00237C6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C33AABC" w14:textId="77777777" w:rsidR="00237C6D" w:rsidRDefault="00237C6D">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5529BFAB" w14:textId="77777777" w:rsidR="00237C6D" w:rsidRDefault="00237C6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E89" w14:textId="77777777" w:rsidR="00237C6D" w:rsidRDefault="00237C6D">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EA3E" w14:textId="77777777" w:rsidR="00237C6D" w:rsidRDefault="00237C6D">
    <w:pPr>
      <w:rPr>
        <w:rFonts w:ascii="Cambria" w:eastAsia="Cambria" w:hAnsi="Cambria" w:cs="Cambria"/>
        <w:color w:val="000000"/>
      </w:rPr>
    </w:pPr>
    <w:r>
      <w:rPr>
        <w:noProof/>
      </w:rPr>
      <w:drawing>
        <wp:anchor distT="0" distB="0" distL="0" distR="0" simplePos="0" relativeHeight="251658240" behindDoc="1" locked="0" layoutInCell="1" hidden="0" allowOverlap="1" wp14:anchorId="52D72285" wp14:editId="2254326B">
          <wp:simplePos x="0" y="0"/>
          <wp:positionH relativeFrom="column">
            <wp:posOffset>-1080128</wp:posOffset>
          </wp:positionH>
          <wp:positionV relativeFrom="paragraph">
            <wp:posOffset>-234306</wp:posOffset>
          </wp:positionV>
          <wp:extent cx="7809865" cy="10165715"/>
          <wp:effectExtent l="0" t="0" r="0" b="0"/>
          <wp:wrapNone/>
          <wp:docPr id="3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d"/>
      <w:tblW w:w="6945" w:type="dxa"/>
      <w:tblInd w:w="3261" w:type="dxa"/>
      <w:tblLayout w:type="fixed"/>
      <w:tblLook w:val="0400" w:firstRow="0" w:lastRow="0" w:firstColumn="0" w:lastColumn="0" w:noHBand="0" w:noVBand="1"/>
    </w:tblPr>
    <w:tblGrid>
      <w:gridCol w:w="2390"/>
      <w:gridCol w:w="4555"/>
    </w:tblGrid>
    <w:tr w:rsidR="00237C6D" w14:paraId="144369EB" w14:textId="77777777" w:rsidTr="00D4686E">
      <w:trPr>
        <w:trHeight w:val="502"/>
      </w:trPr>
      <w:tc>
        <w:tcPr>
          <w:tcW w:w="2390" w:type="dxa"/>
          <w:shd w:val="clear" w:color="auto" w:fill="auto"/>
        </w:tcPr>
        <w:p w14:paraId="694C0FBB" w14:textId="77777777" w:rsidR="00237C6D" w:rsidRDefault="00237C6D">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55" w:type="dxa"/>
          <w:shd w:val="clear" w:color="auto" w:fill="auto"/>
          <w:vAlign w:val="center"/>
        </w:tcPr>
        <w:p w14:paraId="26047684" w14:textId="77777777" w:rsidR="00237C6D" w:rsidRDefault="00237C6D" w:rsidP="00C943C2">
          <w:pPr>
            <w:ind w:right="1302"/>
            <w:jc w:val="both"/>
            <w:rPr>
              <w:rFonts w:ascii="Palatino Linotype" w:eastAsia="Palatino Linotype" w:hAnsi="Palatino Linotype" w:cs="Palatino Linotype"/>
              <w:b/>
            </w:rPr>
          </w:pPr>
          <w:r w:rsidRPr="00C943C2">
            <w:rPr>
              <w:rFonts w:ascii="Palatino Linotype" w:eastAsia="Palatino Linotype" w:hAnsi="Palatino Linotype" w:cs="Palatino Linotype"/>
              <w:b/>
            </w:rPr>
            <w:t>02864/INFOEM/IP/RR/2024</w:t>
          </w:r>
          <w:r>
            <w:rPr>
              <w:rFonts w:ascii="Palatino Linotype" w:eastAsia="Palatino Linotype" w:hAnsi="Palatino Linotype" w:cs="Palatino Linotype"/>
              <w:b/>
            </w:rPr>
            <w:t xml:space="preserve"> </w:t>
          </w:r>
          <w:r w:rsidRPr="00C943C2">
            <w:rPr>
              <w:rFonts w:ascii="Palatino Linotype" w:eastAsia="Palatino Linotype" w:hAnsi="Palatino Linotype" w:cs="Palatino Linotype"/>
              <w:b/>
            </w:rPr>
            <w:t>y acumulado</w:t>
          </w:r>
        </w:p>
      </w:tc>
    </w:tr>
    <w:tr w:rsidR="00237C6D" w14:paraId="0C9AD770" w14:textId="77777777" w:rsidTr="00D4686E">
      <w:trPr>
        <w:trHeight w:val="190"/>
      </w:trPr>
      <w:tc>
        <w:tcPr>
          <w:tcW w:w="2390" w:type="dxa"/>
          <w:shd w:val="clear" w:color="auto" w:fill="auto"/>
          <w:vAlign w:val="center"/>
        </w:tcPr>
        <w:p w14:paraId="7943062E" w14:textId="77777777" w:rsidR="00237C6D" w:rsidRDefault="00237C6D">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5" w:type="dxa"/>
          <w:shd w:val="clear" w:color="auto" w:fill="auto"/>
          <w:vAlign w:val="center"/>
        </w:tcPr>
        <w:p w14:paraId="1B50FA31" w14:textId="77777777" w:rsidR="00237C6D" w:rsidRDefault="00237C6D" w:rsidP="00D4686E">
          <w:pPr>
            <w:ind w:left="27" w:right="-824"/>
            <w:jc w:val="both"/>
            <w:rPr>
              <w:rFonts w:ascii="Palatino Linotype" w:eastAsia="Palatino Linotype" w:hAnsi="Palatino Linotype" w:cs="Palatino Linotype"/>
              <w:b/>
            </w:rPr>
          </w:pPr>
          <w:r w:rsidRPr="00D4686E">
            <w:rPr>
              <w:rFonts w:ascii="Palatino Linotype" w:eastAsia="Palatino Linotype" w:hAnsi="Palatino Linotype" w:cs="Palatino Linotype"/>
              <w:b/>
            </w:rPr>
            <w:t>Ayuntamiento de Tlalnepantla de Baz</w:t>
          </w:r>
        </w:p>
      </w:tc>
    </w:tr>
    <w:tr w:rsidR="00237C6D" w14:paraId="4657962C" w14:textId="77777777" w:rsidTr="00D4686E">
      <w:trPr>
        <w:trHeight w:val="251"/>
      </w:trPr>
      <w:tc>
        <w:tcPr>
          <w:tcW w:w="2390" w:type="dxa"/>
          <w:shd w:val="clear" w:color="auto" w:fill="auto"/>
          <w:vAlign w:val="center"/>
        </w:tcPr>
        <w:p w14:paraId="2B47888E" w14:textId="77777777" w:rsidR="00237C6D" w:rsidRDefault="00237C6D">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5" w:type="dxa"/>
          <w:shd w:val="clear" w:color="auto" w:fill="auto"/>
          <w:vAlign w:val="center"/>
        </w:tcPr>
        <w:p w14:paraId="724E7125" w14:textId="77777777" w:rsidR="00237C6D" w:rsidRDefault="00237C6D">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928E808" w14:textId="77777777" w:rsidR="00237C6D" w:rsidRDefault="00237C6D">
    <w:pPr>
      <w:rPr>
        <w:rFonts w:ascii="Cambria" w:eastAsia="Cambria" w:hAnsi="Cambria" w:cs="Cambria"/>
        <w:color w:val="000000"/>
      </w:rPr>
    </w:pPr>
    <w:r>
      <w:tab/>
    </w:r>
  </w:p>
  <w:p w14:paraId="215A50C7" w14:textId="77777777" w:rsidR="00237C6D" w:rsidRDefault="00237C6D">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C8BD" w14:textId="77777777" w:rsidR="00237C6D" w:rsidRDefault="00237C6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1EEE24" wp14:editId="24A2A88E">
          <wp:simplePos x="0" y="0"/>
          <wp:positionH relativeFrom="column">
            <wp:posOffset>-934926</wp:posOffset>
          </wp:positionH>
          <wp:positionV relativeFrom="paragraph">
            <wp:posOffset>-357608</wp:posOffset>
          </wp:positionV>
          <wp:extent cx="7809865" cy="10165715"/>
          <wp:effectExtent l="0" t="0" r="0" b="0"/>
          <wp:wrapNone/>
          <wp:docPr id="3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e"/>
      <w:tblW w:w="6378" w:type="dxa"/>
      <w:tblInd w:w="3261" w:type="dxa"/>
      <w:tblLayout w:type="fixed"/>
      <w:tblLook w:val="0400" w:firstRow="0" w:lastRow="0" w:firstColumn="0" w:lastColumn="0" w:noHBand="0" w:noVBand="1"/>
    </w:tblPr>
    <w:tblGrid>
      <w:gridCol w:w="2512"/>
      <w:gridCol w:w="3866"/>
    </w:tblGrid>
    <w:tr w:rsidR="00237C6D" w14:paraId="2BA153D7" w14:textId="77777777">
      <w:trPr>
        <w:trHeight w:val="442"/>
      </w:trPr>
      <w:tc>
        <w:tcPr>
          <w:tcW w:w="2512" w:type="dxa"/>
          <w:shd w:val="clear" w:color="auto" w:fill="auto"/>
          <w:vAlign w:val="center"/>
        </w:tcPr>
        <w:p w14:paraId="05E7ECDB" w14:textId="77777777" w:rsidR="00237C6D" w:rsidRDefault="00237C6D">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2D763A24" w14:textId="77777777" w:rsidR="00237C6D" w:rsidRDefault="00237C6D">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02864/INFOEM/IP/RR/2024y acumulado</w:t>
          </w:r>
        </w:p>
      </w:tc>
    </w:tr>
    <w:tr w:rsidR="00237C6D" w14:paraId="6DDCA018" w14:textId="77777777">
      <w:trPr>
        <w:trHeight w:val="95"/>
      </w:trPr>
      <w:tc>
        <w:tcPr>
          <w:tcW w:w="2512" w:type="dxa"/>
          <w:shd w:val="clear" w:color="auto" w:fill="auto"/>
          <w:vAlign w:val="center"/>
        </w:tcPr>
        <w:p w14:paraId="671A33FF" w14:textId="77777777" w:rsidR="00237C6D" w:rsidRDefault="00237C6D">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7349B61E" w14:textId="77777777" w:rsidR="00237C6D" w:rsidRDefault="00237C6D">
          <w:pPr>
            <w:jc w:val="both"/>
            <w:rPr>
              <w:rFonts w:ascii="Palatino Linotype" w:eastAsia="Palatino Linotype" w:hAnsi="Palatino Linotype" w:cs="Palatino Linotype"/>
              <w:b/>
            </w:rPr>
          </w:pPr>
        </w:p>
      </w:tc>
    </w:tr>
    <w:tr w:rsidR="00237C6D" w14:paraId="7CDC6EFA" w14:textId="77777777">
      <w:trPr>
        <w:trHeight w:val="168"/>
      </w:trPr>
      <w:tc>
        <w:tcPr>
          <w:tcW w:w="2512" w:type="dxa"/>
          <w:shd w:val="clear" w:color="auto" w:fill="auto"/>
          <w:vAlign w:val="center"/>
        </w:tcPr>
        <w:p w14:paraId="43F6BB05" w14:textId="77777777" w:rsidR="00237C6D" w:rsidRDefault="00237C6D">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6B7183DC" w14:textId="77777777" w:rsidR="00237C6D" w:rsidRDefault="00237C6D" w:rsidP="00D4686E">
          <w:pPr>
            <w:ind w:left="-45" w:right="-824"/>
            <w:jc w:val="both"/>
            <w:rPr>
              <w:rFonts w:ascii="Palatino Linotype" w:eastAsia="Palatino Linotype" w:hAnsi="Palatino Linotype" w:cs="Palatino Linotype"/>
              <w:b/>
            </w:rPr>
          </w:pPr>
          <w:r w:rsidRPr="00D4686E">
            <w:rPr>
              <w:rFonts w:ascii="Palatino Linotype" w:eastAsia="Palatino Linotype" w:hAnsi="Palatino Linotype" w:cs="Palatino Linotype"/>
              <w:b/>
            </w:rPr>
            <w:t>Ayuntamiento de Tlalnepantla de Baz</w:t>
          </w:r>
        </w:p>
      </w:tc>
    </w:tr>
    <w:tr w:rsidR="00237C6D" w14:paraId="635A53E3" w14:textId="77777777">
      <w:trPr>
        <w:trHeight w:val="221"/>
      </w:trPr>
      <w:tc>
        <w:tcPr>
          <w:tcW w:w="2512" w:type="dxa"/>
          <w:shd w:val="clear" w:color="auto" w:fill="auto"/>
          <w:vAlign w:val="center"/>
        </w:tcPr>
        <w:p w14:paraId="2F9A67EE" w14:textId="77777777" w:rsidR="00237C6D" w:rsidRDefault="00237C6D">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5191D9B8" w14:textId="77777777" w:rsidR="00237C6D" w:rsidRDefault="00237C6D">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1B5128D3" w14:textId="77777777" w:rsidR="00237C6D" w:rsidRDefault="00237C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DC5B" w14:textId="77777777" w:rsidR="00237C6D" w:rsidRDefault="00237C6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85D"/>
    <w:multiLevelType w:val="hybridMultilevel"/>
    <w:tmpl w:val="125E26D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2546432"/>
    <w:multiLevelType w:val="multilevel"/>
    <w:tmpl w:val="366637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44799F"/>
    <w:multiLevelType w:val="hybridMultilevel"/>
    <w:tmpl w:val="316079E4"/>
    <w:lvl w:ilvl="0" w:tplc="B4C44944">
      <w:start w:val="1"/>
      <w:numFmt w:val="decimal"/>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57B3BD6"/>
    <w:multiLevelType w:val="hybridMultilevel"/>
    <w:tmpl w:val="B2FC0256"/>
    <w:lvl w:ilvl="0" w:tplc="523C2162">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43258A"/>
    <w:multiLevelType w:val="multilevel"/>
    <w:tmpl w:val="D562CBCE"/>
    <w:lvl w:ilvl="0">
      <w:start w:val="7"/>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4C2202"/>
    <w:multiLevelType w:val="hybridMultilevel"/>
    <w:tmpl w:val="4C8C219C"/>
    <w:lvl w:ilvl="0" w:tplc="FFE82204">
      <w:start w:val="1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7B2948"/>
    <w:multiLevelType w:val="multilevel"/>
    <w:tmpl w:val="C16E0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AE21D74"/>
    <w:multiLevelType w:val="multilevel"/>
    <w:tmpl w:val="56488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D43610B"/>
    <w:multiLevelType w:val="multilevel"/>
    <w:tmpl w:val="520866F0"/>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D712F14"/>
    <w:multiLevelType w:val="multilevel"/>
    <w:tmpl w:val="9C445FFC"/>
    <w:lvl w:ilvl="0">
      <w:start w:val="1"/>
      <w:numFmt w:val="upperRoman"/>
      <w:pStyle w:val="Listaconvietas3"/>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180824"/>
    <w:multiLevelType w:val="multilevel"/>
    <w:tmpl w:val="D8B08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4438AD"/>
    <w:multiLevelType w:val="multilevel"/>
    <w:tmpl w:val="19788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367D7B"/>
    <w:multiLevelType w:val="multilevel"/>
    <w:tmpl w:val="6AD85E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6BE05042"/>
    <w:multiLevelType w:val="multilevel"/>
    <w:tmpl w:val="5AF87A12"/>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9"/>
  </w:num>
  <w:num w:numId="3">
    <w:abstractNumId w:val="12"/>
  </w:num>
  <w:num w:numId="4">
    <w:abstractNumId w:val="11"/>
  </w:num>
  <w:num w:numId="5">
    <w:abstractNumId w:val="10"/>
  </w:num>
  <w:num w:numId="6">
    <w:abstractNumId w:val="4"/>
  </w:num>
  <w:num w:numId="7">
    <w:abstractNumId w:val="0"/>
  </w:num>
  <w:num w:numId="8">
    <w:abstractNumId w:val="5"/>
  </w:num>
  <w:num w:numId="9">
    <w:abstractNumId w:val="3"/>
  </w:num>
  <w:num w:numId="10">
    <w:abstractNumId w:val="2"/>
  </w:num>
  <w:num w:numId="11">
    <w:abstractNumId w:val="1"/>
  </w:num>
  <w:num w:numId="12">
    <w:abstractNumId w:val="7"/>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42"/>
    <w:rsid w:val="000255E7"/>
    <w:rsid w:val="00145E60"/>
    <w:rsid w:val="001C075E"/>
    <w:rsid w:val="001C6CB6"/>
    <w:rsid w:val="001D309D"/>
    <w:rsid w:val="001D5A3B"/>
    <w:rsid w:val="001F7456"/>
    <w:rsid w:val="00213D03"/>
    <w:rsid w:val="00237C6D"/>
    <w:rsid w:val="002C2BFE"/>
    <w:rsid w:val="002C631E"/>
    <w:rsid w:val="003B06AA"/>
    <w:rsid w:val="003C6016"/>
    <w:rsid w:val="003E1E26"/>
    <w:rsid w:val="003F5F75"/>
    <w:rsid w:val="00445611"/>
    <w:rsid w:val="00481EBA"/>
    <w:rsid w:val="004C1C1B"/>
    <w:rsid w:val="004E1FBF"/>
    <w:rsid w:val="004E20B6"/>
    <w:rsid w:val="00533DD6"/>
    <w:rsid w:val="00540CF8"/>
    <w:rsid w:val="0054619C"/>
    <w:rsid w:val="005561BE"/>
    <w:rsid w:val="005B131D"/>
    <w:rsid w:val="005C351A"/>
    <w:rsid w:val="005E380E"/>
    <w:rsid w:val="005F2BE5"/>
    <w:rsid w:val="00716F8A"/>
    <w:rsid w:val="007219B3"/>
    <w:rsid w:val="007431C7"/>
    <w:rsid w:val="00746811"/>
    <w:rsid w:val="00746BA5"/>
    <w:rsid w:val="0076708D"/>
    <w:rsid w:val="0077116D"/>
    <w:rsid w:val="007819B8"/>
    <w:rsid w:val="00830242"/>
    <w:rsid w:val="00841B06"/>
    <w:rsid w:val="008A657A"/>
    <w:rsid w:val="009C2557"/>
    <w:rsid w:val="009D1F3A"/>
    <w:rsid w:val="00A41BED"/>
    <w:rsid w:val="00A9640B"/>
    <w:rsid w:val="00AD108A"/>
    <w:rsid w:val="00AE1561"/>
    <w:rsid w:val="00B04524"/>
    <w:rsid w:val="00C164FD"/>
    <w:rsid w:val="00C404D0"/>
    <w:rsid w:val="00C943C2"/>
    <w:rsid w:val="00CD5459"/>
    <w:rsid w:val="00CE42E1"/>
    <w:rsid w:val="00D4686E"/>
    <w:rsid w:val="00E806AE"/>
    <w:rsid w:val="00ED54B7"/>
    <w:rsid w:val="00ED720C"/>
    <w:rsid w:val="00F23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155F"/>
  <w15:docId w15:val="{3F2486E3-6776-4878-8D4D-EF3D1A23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06"/>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6"/>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top w:w="15" w:type="dxa"/>
        <w:left w:w="15" w:type="dxa"/>
        <w:bottom w:w="15" w:type="dxa"/>
        <w:right w:w="15" w:type="dxa"/>
      </w:tblCellMar>
    </w:tblPr>
  </w:style>
  <w:style w:type="table" w:customStyle="1" w:styleId="affd">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0"/>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apple-tab-span">
    <w:name w:val="apple-tab-span"/>
    <w:basedOn w:val="Fuentedeprrafopredeter"/>
    <w:rsid w:val="0084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3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ocplayer.es/5455342-Nuevas-tecnologias-biometricas-instituto-nacional-de-ciencias-penales-procuraduria-general-de-la-republica-version-1-0.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portalanterior.ine.mx/archivos2/portal/credencial/pdf-credencial/ABC_credenciales_%20INE_2015.pdf"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YcQ9zFJ+xROkIccFz5Xftg/p/Q==">CgMxLjAyCGguZ2pkZ3hzMgloLjMwajB6bGwyCWguNGQzNG9nODIJaC4zem55c2g3MgloLjF0M2g1c2YyCGgudHlqY3d0MgloLjFmb2I5dGU4AHIhMXVKRjMzYXJmcDZXZzI4bDZhUUthbHc3ZzN6eVdDZHZ0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9492AB-6207-48A3-8E30-453543E2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18516</Words>
  <Characters>101841</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120117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2024-09-27T04:13:00Z</cp:lastPrinted>
  <dcterms:created xsi:type="dcterms:W3CDTF">2024-10-02T22:47:00Z</dcterms:created>
  <dcterms:modified xsi:type="dcterms:W3CDTF">2024-10-02T22:47:00Z</dcterms:modified>
</cp:coreProperties>
</file>