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4AEDB"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dieciséis de octubre de dos mil veinticuatro. </w:t>
      </w:r>
    </w:p>
    <w:p w14:paraId="61C4B2A4"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5206286D" w14:textId="5F08C5D2"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Visto</w:t>
      </w:r>
      <w:r w:rsidRPr="00DF5B9C">
        <w:rPr>
          <w:rFonts w:ascii="Palatino Linotype" w:eastAsia="Palatino Linotype" w:hAnsi="Palatino Linotype" w:cs="Palatino Linotype"/>
          <w:sz w:val="22"/>
          <w:szCs w:val="22"/>
        </w:rPr>
        <w:t xml:space="preserve"> el expediente relativo al recurso de revisión </w:t>
      </w:r>
      <w:r w:rsidRPr="00DF5B9C">
        <w:rPr>
          <w:rFonts w:ascii="Palatino Linotype" w:eastAsia="Palatino Linotype" w:hAnsi="Palatino Linotype" w:cs="Palatino Linotype"/>
          <w:b/>
          <w:sz w:val="22"/>
          <w:szCs w:val="22"/>
        </w:rPr>
        <w:t>05139/INFOEM/IP/RR/2024</w:t>
      </w:r>
      <w:r w:rsidRPr="00DF5B9C">
        <w:rPr>
          <w:rFonts w:ascii="Palatino Linotype" w:eastAsia="Palatino Linotype" w:hAnsi="Palatino Linotype" w:cs="Palatino Linotype"/>
          <w:sz w:val="22"/>
          <w:szCs w:val="22"/>
        </w:rPr>
        <w:t xml:space="preserve">, interpuesto por </w:t>
      </w:r>
      <w:r w:rsidR="00E80FD2">
        <w:rPr>
          <w:rFonts w:ascii="Palatino Linotype" w:eastAsia="Palatino Linotype" w:hAnsi="Palatino Linotype" w:cs="Palatino Linotype"/>
          <w:b/>
          <w:sz w:val="22"/>
          <w:szCs w:val="22"/>
        </w:rPr>
        <w:t>XXXX XXXXX</w:t>
      </w:r>
      <w:r w:rsidRPr="00DF5B9C">
        <w:rPr>
          <w:rFonts w:ascii="Palatino Linotype" w:eastAsia="Palatino Linotype" w:hAnsi="Palatino Linotype" w:cs="Palatino Linotype"/>
          <w:b/>
          <w:sz w:val="22"/>
          <w:szCs w:val="22"/>
        </w:rPr>
        <w:t xml:space="preserve">, </w:t>
      </w:r>
      <w:r w:rsidRPr="00DF5B9C">
        <w:rPr>
          <w:rFonts w:ascii="Palatino Linotype" w:eastAsia="Palatino Linotype" w:hAnsi="Palatino Linotype" w:cs="Palatino Linotype"/>
          <w:sz w:val="22"/>
          <w:szCs w:val="22"/>
        </w:rPr>
        <w:t>en lo sucesivo se le denominará la parte</w:t>
      </w:r>
      <w:r w:rsidRPr="00DF5B9C">
        <w:rPr>
          <w:rFonts w:ascii="Palatino Linotype" w:eastAsia="Palatino Linotype" w:hAnsi="Palatino Linotype" w:cs="Palatino Linotype"/>
          <w:b/>
          <w:sz w:val="22"/>
          <w:szCs w:val="22"/>
        </w:rPr>
        <w:t xml:space="preserve"> RECURRENTE</w:t>
      </w:r>
      <w:r w:rsidRPr="00DF5B9C">
        <w:rPr>
          <w:rFonts w:ascii="Palatino Linotype" w:eastAsia="Palatino Linotype" w:hAnsi="Palatino Linotype" w:cs="Palatino Linotype"/>
          <w:sz w:val="22"/>
          <w:szCs w:val="22"/>
        </w:rPr>
        <w:t>, en contra de la respuesta a su solicitud de información con número de folio</w:t>
      </w:r>
      <w:r w:rsidRPr="00DF5B9C">
        <w:rPr>
          <w:rFonts w:ascii="Palatino Linotype" w:eastAsia="Palatino Linotype" w:hAnsi="Palatino Linotype" w:cs="Palatino Linotype"/>
          <w:b/>
          <w:sz w:val="22"/>
          <w:szCs w:val="22"/>
        </w:rPr>
        <w:t xml:space="preserve">  00216/OASCUATIZC/IP/2024</w:t>
      </w:r>
      <w:r w:rsidRPr="00DF5B9C">
        <w:rPr>
          <w:rFonts w:ascii="Palatino Linotype" w:eastAsia="Palatino Linotype" w:hAnsi="Palatino Linotype" w:cs="Palatino Linotype"/>
          <w:sz w:val="22"/>
          <w:szCs w:val="22"/>
        </w:rPr>
        <w:t xml:space="preserve">, por parte de la </w:t>
      </w:r>
      <w:r w:rsidRPr="00DF5B9C">
        <w:rPr>
          <w:rFonts w:ascii="Palatino Linotype" w:eastAsia="Palatino Linotype" w:hAnsi="Palatino Linotype" w:cs="Palatino Linotype"/>
          <w:b/>
          <w:sz w:val="22"/>
          <w:szCs w:val="22"/>
        </w:rPr>
        <w:t xml:space="preserve">Organismo Público Descentralizado Municipal para la Prestación de Los Servicios de Agua Potable Alcantarillado y Saneamiento de Cuautitlán Izcalli denominado OPERAGUA, O.P.D.M. </w:t>
      </w:r>
      <w:r w:rsidRPr="00DF5B9C">
        <w:rPr>
          <w:rFonts w:ascii="Palatino Linotype" w:eastAsia="Palatino Linotype" w:hAnsi="Palatino Linotype" w:cs="Palatino Linotype"/>
          <w:sz w:val="22"/>
          <w:szCs w:val="22"/>
        </w:rPr>
        <w:t xml:space="preserve">en lo sucesivo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w:t>
      </w:r>
      <w:r w:rsidRPr="00DF5B9C">
        <w:rPr>
          <w:rFonts w:ascii="Palatino Linotype" w:eastAsia="Palatino Linotype" w:hAnsi="Palatino Linotype" w:cs="Palatino Linotype"/>
          <w:b/>
          <w:sz w:val="22"/>
          <w:szCs w:val="22"/>
        </w:rPr>
        <w:t xml:space="preserve"> </w:t>
      </w:r>
      <w:r w:rsidRPr="00DF5B9C">
        <w:rPr>
          <w:rFonts w:ascii="Palatino Linotype" w:eastAsia="Palatino Linotype" w:hAnsi="Palatino Linotype" w:cs="Palatino Linotype"/>
          <w:sz w:val="22"/>
          <w:szCs w:val="22"/>
        </w:rPr>
        <w:t>se procede a dictar la presente resolución, con base en los siguientes:</w:t>
      </w:r>
    </w:p>
    <w:p w14:paraId="5149B82F" w14:textId="77777777" w:rsidR="00ED67FF" w:rsidRPr="00DF5B9C" w:rsidRDefault="00644A6E">
      <w:pPr>
        <w:numPr>
          <w:ilvl w:val="0"/>
          <w:numId w:val="1"/>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DF5B9C">
        <w:rPr>
          <w:rFonts w:ascii="Palatino Linotype" w:eastAsia="Palatino Linotype" w:hAnsi="Palatino Linotype" w:cs="Palatino Linotype"/>
          <w:b/>
          <w:sz w:val="22"/>
          <w:szCs w:val="22"/>
        </w:rPr>
        <w:t>A N T E C E D E N T E S:</w:t>
      </w:r>
    </w:p>
    <w:p w14:paraId="142BD412" w14:textId="77777777" w:rsidR="00ED67FF" w:rsidRPr="00DF5B9C" w:rsidRDefault="00ED67F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07366B7" w14:textId="77777777" w:rsidR="00ED67FF" w:rsidRPr="00DF5B9C" w:rsidRDefault="00644A6E">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DF5B9C">
        <w:rPr>
          <w:rFonts w:ascii="Palatino Linotype" w:eastAsia="Palatino Linotype" w:hAnsi="Palatino Linotype" w:cs="Palatino Linotype"/>
          <w:b/>
          <w:sz w:val="22"/>
          <w:szCs w:val="22"/>
        </w:rPr>
        <w:t xml:space="preserve">Solicitud de acceso a la información. </w:t>
      </w:r>
      <w:r w:rsidRPr="00DF5B9C">
        <w:rPr>
          <w:rFonts w:ascii="Palatino Linotype" w:eastAsia="Palatino Linotype" w:hAnsi="Palatino Linotype" w:cs="Palatino Linotype"/>
          <w:sz w:val="22"/>
          <w:szCs w:val="22"/>
        </w:rPr>
        <w:t xml:space="preserve">Con fecha </w:t>
      </w:r>
      <w:r w:rsidRPr="00DF5B9C">
        <w:rPr>
          <w:rFonts w:ascii="Palatino Linotype" w:eastAsia="Palatino Linotype" w:hAnsi="Palatino Linotype" w:cs="Palatino Linotype"/>
          <w:b/>
          <w:sz w:val="22"/>
          <w:szCs w:val="22"/>
        </w:rPr>
        <w:t>doce de agosto de dos mil veinticuatro</w:t>
      </w:r>
      <w:r w:rsidRPr="00DF5B9C">
        <w:rPr>
          <w:rFonts w:ascii="Palatino Linotype" w:eastAsia="Palatino Linotype" w:hAnsi="Palatino Linotype" w:cs="Palatino Linotype"/>
          <w:sz w:val="22"/>
          <w:szCs w:val="22"/>
        </w:rPr>
        <w:t xml:space="preserve">, la parte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formuló solicitud de acceso a información pública al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a través del Sistema de Acceso a la Información Mexiquense, en adelante </w:t>
      </w:r>
      <w:r w:rsidRPr="00DF5B9C">
        <w:rPr>
          <w:rFonts w:ascii="Palatino Linotype" w:eastAsia="Palatino Linotype" w:hAnsi="Palatino Linotype" w:cs="Palatino Linotype"/>
          <w:b/>
          <w:sz w:val="22"/>
          <w:szCs w:val="22"/>
        </w:rPr>
        <w:t>SAIMEX</w:t>
      </w:r>
      <w:r w:rsidRPr="00DF5B9C">
        <w:rPr>
          <w:rFonts w:ascii="Palatino Linotype" w:eastAsia="Palatino Linotype" w:hAnsi="Palatino Linotype" w:cs="Palatino Linotype"/>
          <w:sz w:val="22"/>
          <w:szCs w:val="22"/>
        </w:rPr>
        <w:t>, requiriéndole lo siguiente:</w:t>
      </w:r>
    </w:p>
    <w:p w14:paraId="163872D1" w14:textId="77777777" w:rsidR="00ED67FF" w:rsidRPr="00DF5B9C" w:rsidRDefault="00ED67F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E998AFA"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“Solicito los oficios de entrega de los informes trimestrales al </w:t>
      </w:r>
      <w:proofErr w:type="spellStart"/>
      <w:r w:rsidRPr="00DF5B9C">
        <w:rPr>
          <w:rFonts w:ascii="Palatino Linotype" w:eastAsia="Palatino Linotype" w:hAnsi="Palatino Linotype" w:cs="Palatino Linotype"/>
          <w:i/>
          <w:sz w:val="22"/>
          <w:szCs w:val="22"/>
        </w:rPr>
        <w:t>osfem</w:t>
      </w:r>
      <w:proofErr w:type="spellEnd"/>
      <w:r w:rsidRPr="00DF5B9C">
        <w:rPr>
          <w:rFonts w:ascii="Palatino Linotype" w:eastAsia="Palatino Linotype" w:hAnsi="Palatino Linotype" w:cs="Palatino Linotype"/>
          <w:i/>
          <w:sz w:val="22"/>
          <w:szCs w:val="22"/>
        </w:rPr>
        <w:t xml:space="preserve"> por lo que corresponde al primero, segundo y tercer trimestre del ejercicio fiscal 2024 así como la </w:t>
      </w:r>
      <w:proofErr w:type="spellStart"/>
      <w:r w:rsidRPr="00DF5B9C">
        <w:rPr>
          <w:rFonts w:ascii="Palatino Linotype" w:eastAsia="Palatino Linotype" w:hAnsi="Palatino Linotype" w:cs="Palatino Linotype"/>
          <w:i/>
          <w:sz w:val="22"/>
          <w:szCs w:val="22"/>
        </w:rPr>
        <w:t>documentacion</w:t>
      </w:r>
      <w:proofErr w:type="spellEnd"/>
      <w:r w:rsidRPr="00DF5B9C">
        <w:rPr>
          <w:rFonts w:ascii="Palatino Linotype" w:eastAsia="Palatino Linotype" w:hAnsi="Palatino Linotype" w:cs="Palatino Linotype"/>
          <w:i/>
          <w:sz w:val="22"/>
          <w:szCs w:val="22"/>
        </w:rPr>
        <w:t xml:space="preserve"> y archivos remitidos al </w:t>
      </w:r>
      <w:proofErr w:type="spellStart"/>
      <w:r w:rsidRPr="00DF5B9C">
        <w:rPr>
          <w:rFonts w:ascii="Palatino Linotype" w:eastAsia="Palatino Linotype" w:hAnsi="Palatino Linotype" w:cs="Palatino Linotype"/>
          <w:i/>
          <w:sz w:val="22"/>
          <w:szCs w:val="22"/>
        </w:rPr>
        <w:t>osfem</w:t>
      </w:r>
      <w:proofErr w:type="spellEnd"/>
      <w:r w:rsidRPr="00DF5B9C">
        <w:rPr>
          <w:rFonts w:ascii="Palatino Linotype" w:eastAsia="Palatino Linotype" w:hAnsi="Palatino Linotype" w:cs="Palatino Linotype"/>
          <w:i/>
          <w:sz w:val="22"/>
          <w:szCs w:val="22"/>
        </w:rPr>
        <w:t xml:space="preserve"> y de ser el caso remitir la </w:t>
      </w:r>
      <w:proofErr w:type="spellStart"/>
      <w:r w:rsidRPr="00DF5B9C">
        <w:rPr>
          <w:rFonts w:ascii="Palatino Linotype" w:eastAsia="Palatino Linotype" w:hAnsi="Palatino Linotype" w:cs="Palatino Linotype"/>
          <w:i/>
          <w:sz w:val="22"/>
          <w:szCs w:val="22"/>
        </w:rPr>
        <w:t>version</w:t>
      </w:r>
      <w:proofErr w:type="spellEnd"/>
      <w:r w:rsidRPr="00DF5B9C">
        <w:rPr>
          <w:rFonts w:ascii="Palatino Linotype" w:eastAsia="Palatino Linotype" w:hAnsi="Palatino Linotype" w:cs="Palatino Linotype"/>
          <w:i/>
          <w:sz w:val="22"/>
          <w:szCs w:val="22"/>
        </w:rPr>
        <w:t xml:space="preserve"> publica”</w:t>
      </w:r>
    </w:p>
    <w:p w14:paraId="33756480" w14:textId="77777777" w:rsidR="00ED67FF" w:rsidRPr="00DF5B9C" w:rsidRDefault="00ED67FF">
      <w:pPr>
        <w:spacing w:line="360" w:lineRule="auto"/>
        <w:ind w:left="709" w:right="900"/>
        <w:jc w:val="both"/>
        <w:rPr>
          <w:rFonts w:ascii="Palatino Linotype" w:eastAsia="Palatino Linotype" w:hAnsi="Palatino Linotype" w:cs="Palatino Linotype"/>
          <w:b/>
          <w:i/>
          <w:sz w:val="22"/>
          <w:szCs w:val="22"/>
        </w:rPr>
      </w:pPr>
    </w:p>
    <w:p w14:paraId="399D4782"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 xml:space="preserve">Modalidad elegida para la entrega de la información: </w:t>
      </w:r>
      <w:r w:rsidRPr="00DF5B9C">
        <w:rPr>
          <w:rFonts w:ascii="Palatino Linotype" w:eastAsia="Palatino Linotype" w:hAnsi="Palatino Linotype" w:cs="Palatino Linotype"/>
          <w:sz w:val="22"/>
          <w:szCs w:val="22"/>
        </w:rPr>
        <w:t xml:space="preserve">a través del Sistema de Acceso a la Información Mexiquense. </w:t>
      </w:r>
    </w:p>
    <w:p w14:paraId="61CD2B3A" w14:textId="77777777" w:rsidR="00ED67FF" w:rsidRPr="00DF5B9C" w:rsidRDefault="00ED67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004A95" w14:textId="77777777" w:rsidR="00ED67FF" w:rsidRPr="00DF5B9C" w:rsidRDefault="00644A6E">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 xml:space="preserve">Respuesta. </w:t>
      </w:r>
      <w:r w:rsidRPr="00DF5B9C">
        <w:rPr>
          <w:rFonts w:ascii="Palatino Linotype" w:eastAsia="Palatino Linotype" w:hAnsi="Palatino Linotype" w:cs="Palatino Linotype"/>
          <w:sz w:val="22"/>
          <w:szCs w:val="22"/>
        </w:rPr>
        <w:t xml:space="preserve">Con fecha </w:t>
      </w:r>
      <w:r w:rsidRPr="00DF5B9C">
        <w:rPr>
          <w:rFonts w:ascii="Palatino Linotype" w:eastAsia="Palatino Linotype" w:hAnsi="Palatino Linotype" w:cs="Palatino Linotype"/>
          <w:b/>
          <w:sz w:val="22"/>
          <w:szCs w:val="22"/>
        </w:rPr>
        <w:t>veintidós de agosto de dos mil veinticuatro</w:t>
      </w:r>
      <w:r w:rsidRPr="00DF5B9C">
        <w:rPr>
          <w:rFonts w:ascii="Palatino Linotype" w:eastAsia="Palatino Linotype" w:hAnsi="Palatino Linotype" w:cs="Palatino Linotype"/>
          <w:sz w:val="22"/>
          <w:szCs w:val="22"/>
        </w:rPr>
        <w:t xml:space="preserve">,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0139E8EF" w14:textId="77777777" w:rsidR="00ED67FF" w:rsidRPr="00DF5B9C" w:rsidRDefault="00ED67FF">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25A9D225" w14:textId="77777777" w:rsidR="00ED67FF" w:rsidRPr="00DF5B9C" w:rsidRDefault="00644A6E">
      <w:pPr>
        <w:tabs>
          <w:tab w:val="left" w:pos="7371"/>
        </w:tabs>
        <w:spacing w:line="360"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EFAD8E" w14:textId="77777777" w:rsidR="00ED67FF" w:rsidRPr="00DF5B9C" w:rsidRDefault="00644A6E">
      <w:pPr>
        <w:tabs>
          <w:tab w:val="left" w:pos="7371"/>
        </w:tabs>
        <w:spacing w:line="360"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Le envío archivos electrónicos con respuesta a su solicitud de información con número de folio SAIMEX 00216/OASCUATIZC/IP/2024” (Sic)</w:t>
      </w:r>
    </w:p>
    <w:p w14:paraId="4BE21D4E"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3C8B0D2E"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Del mismo modo,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adjuntó a su respuesta los siguientes archivos electrónicos: </w:t>
      </w:r>
    </w:p>
    <w:p w14:paraId="3D85815E" w14:textId="77777777" w:rsidR="00ED67FF" w:rsidRPr="00DF5B9C" w:rsidRDefault="00644A6E">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i/>
          <w:sz w:val="22"/>
          <w:szCs w:val="22"/>
        </w:rPr>
        <w:t>ANEXO SAIMEX 216.pdf</w:t>
      </w:r>
      <w:r w:rsidRPr="00DF5B9C">
        <w:rPr>
          <w:rFonts w:ascii="Palatino Linotype" w:eastAsia="Palatino Linotype" w:hAnsi="Palatino Linotype" w:cs="Palatino Linotype"/>
          <w:sz w:val="22"/>
          <w:szCs w:val="22"/>
        </w:rPr>
        <w:t xml:space="preserve">: </w:t>
      </w:r>
    </w:p>
    <w:p w14:paraId="45C0BCF4" w14:textId="77777777" w:rsidR="00ED67FF" w:rsidRPr="00DF5B9C" w:rsidRDefault="00644A6E">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Oficio número OIOPDM/DG/0255/2024 de fecha veinticinco de abril de dos mil veinticuatro, signado por el Director General del Organismo Público Descentralizado para la Prestación de los Servicios de Agua Potable, Alcantarillado y Saneamiento del Municipio de Cuautitlán Izcalli, denominado </w:t>
      </w:r>
      <w:r w:rsidRPr="00DF5B9C">
        <w:rPr>
          <w:rFonts w:ascii="Palatino Linotype" w:eastAsia="Palatino Linotype" w:hAnsi="Palatino Linotype" w:cs="Palatino Linotype"/>
          <w:sz w:val="22"/>
          <w:szCs w:val="22"/>
        </w:rPr>
        <w:lastRenderedPageBreak/>
        <w:t xml:space="preserve">OPERAGUA Izcalli O.P.D.M. dirigido a la H. “LXI” Legislatura del Estado de México, mediante el cual refiere hacer entrega del Módulo I, Submódulo “Pólizas y CFDI” del Organismo, del primer trimestre del ejercicio fiscal 2024, el cual se integra como sigue: </w:t>
      </w:r>
    </w:p>
    <w:p w14:paraId="0E1DB343"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Enero</w:t>
      </w:r>
    </w:p>
    <w:p w14:paraId="2472C3EB"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Pólizas: </w:t>
      </w:r>
    </w:p>
    <w:p w14:paraId="61D2D926"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70E16B48"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12DD9941"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5A4CFBE6"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5668839D"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028E0ECE" w14:textId="77777777" w:rsidR="00ED67FF" w:rsidRPr="00DF5B9C" w:rsidRDefault="00ED67FF">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p>
    <w:p w14:paraId="1EDAB67A"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47971E4B"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0B720807"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Archivo</w:t>
      </w:r>
    </w:p>
    <w:p w14:paraId="30AAB3C9"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Febrero: </w:t>
      </w:r>
    </w:p>
    <w:p w14:paraId="1FBFE530"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1FC81AA3"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5AB29B88"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110592B7"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1DDA35F2"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575458FC"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59E68DBE"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7CD895D3"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Marzo: </w:t>
      </w:r>
    </w:p>
    <w:p w14:paraId="1BF8BDC2"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309489EE"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4D7C29C1"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2F5AB718"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lastRenderedPageBreak/>
        <w:t>Pólizas de Cheques con los documentos comprobatorios</w:t>
      </w:r>
    </w:p>
    <w:p w14:paraId="462ECF5D"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0CD5ECBE"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05E7F338"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CFDI por concepto de Nómina. “</w:t>
      </w:r>
    </w:p>
    <w:p w14:paraId="2E6A55AE"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4065BFBD" w14:textId="77777777" w:rsidR="00ED67FF" w:rsidRPr="00DF5B9C" w:rsidRDefault="00644A6E">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Oficio número OIOPDM/044/DG/2024 de fecha cinco de agosto de dos mil veinticuatro, signado por el Director General del Organismo Público Descentralizado para la Prestación de los Servicios de Agua Potable, Alcantarillado y Saneamiento del Municipio de Cuautitlán Izcalli, denominado OPERAGUA Izcalli O.P.D.M. dirigido a la H. “LXI” Legislatura del Estado de México, mediante el cual refiere hacer entrega del Módulo I, Submódulo “Pólizas y CFDI” del Organismo, del segundo trimestre del ejercicio fiscal 2024, el cual se integra como sigue: </w:t>
      </w:r>
    </w:p>
    <w:p w14:paraId="1A799319"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Abril</w:t>
      </w:r>
    </w:p>
    <w:p w14:paraId="450CECF7"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Pólizas: </w:t>
      </w:r>
    </w:p>
    <w:p w14:paraId="1BEB9321"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377812D5"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147757EA"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41745A04"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27AE1329"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5C21DF37" w14:textId="77777777" w:rsidR="00ED67FF" w:rsidRPr="00DF5B9C" w:rsidRDefault="00ED67FF">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p>
    <w:p w14:paraId="1A7D1A39"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4C63BCFF"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295656A2"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Archivo</w:t>
      </w:r>
    </w:p>
    <w:p w14:paraId="70465014"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Mayo: </w:t>
      </w:r>
    </w:p>
    <w:p w14:paraId="547AF731"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0C69EA3F"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lastRenderedPageBreak/>
        <w:t>Pólizas de Diario con los documentos comprobatorios</w:t>
      </w:r>
    </w:p>
    <w:p w14:paraId="564C2563"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42433123"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26C0F451"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536990C8"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13E41BD4"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310C5F52"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Junio: </w:t>
      </w:r>
    </w:p>
    <w:p w14:paraId="42B19552"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31BA3E09"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50EAB18A"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56A9E5E8"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4EE5C8E7"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605914AA"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547ABA4A"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CFDI por concepto de Nómina. “</w:t>
      </w:r>
    </w:p>
    <w:p w14:paraId="03497E61"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35820C61" w14:textId="77777777" w:rsidR="00ED67FF" w:rsidRPr="00DF5B9C" w:rsidRDefault="00644A6E">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i/>
          <w:sz w:val="22"/>
          <w:szCs w:val="22"/>
        </w:rPr>
        <w:t>CONTESTACIÓN SAIMEX 216.pdf</w:t>
      </w:r>
      <w:r w:rsidRPr="00DF5B9C">
        <w:rPr>
          <w:rFonts w:ascii="Palatino Linotype" w:eastAsia="Palatino Linotype" w:hAnsi="Palatino Linotype" w:cs="Palatino Linotype"/>
          <w:sz w:val="22"/>
          <w:szCs w:val="22"/>
        </w:rPr>
        <w:t>: Oficio número DAF/0750/JASL/20204 de fecha veinte de agosto de dos mil veinticuatro, signado por e</w:t>
      </w:r>
      <w:r w:rsidRPr="00DF5B9C">
        <w:rPr>
          <w:rFonts w:ascii="Palatino Linotype" w:eastAsia="Palatino Linotype" w:hAnsi="Palatino Linotype" w:cs="Palatino Linotype"/>
          <w:b/>
          <w:sz w:val="22"/>
          <w:szCs w:val="22"/>
        </w:rPr>
        <w:t>l Director de Administración y Finanzas OPERAGUA IZCALLI O.P.D.M</w:t>
      </w:r>
      <w:r w:rsidRPr="00DF5B9C">
        <w:rPr>
          <w:rFonts w:ascii="Palatino Linotype" w:eastAsia="Palatino Linotype" w:hAnsi="Palatino Linotype" w:cs="Palatino Linotype"/>
          <w:sz w:val="22"/>
          <w:szCs w:val="22"/>
        </w:rPr>
        <w:t xml:space="preserve">., dirigido a la Coordinadora de Transparencia y Archivo mediante el cual informó que después de haber realizado una búsqueda exhaustiva y minuciosa en los archivos físicos y digitales para localizar los documentos que contengan la información materia de la solicitud de información, </w:t>
      </w:r>
      <w:r w:rsidRPr="00DF5B9C">
        <w:rPr>
          <w:rFonts w:ascii="Palatino Linotype" w:eastAsia="Palatino Linotype" w:hAnsi="Palatino Linotype" w:cs="Palatino Linotype"/>
          <w:b/>
          <w:sz w:val="22"/>
          <w:szCs w:val="22"/>
        </w:rPr>
        <w:t>hace entrega de la información solicitada, aclarando que la información proporcionada es con corte al segundo trimestre de 2024</w:t>
      </w:r>
      <w:r w:rsidRPr="00DF5B9C">
        <w:rPr>
          <w:rFonts w:ascii="Palatino Linotype" w:eastAsia="Palatino Linotype" w:hAnsi="Palatino Linotype" w:cs="Palatino Linotype"/>
          <w:sz w:val="22"/>
          <w:szCs w:val="22"/>
        </w:rPr>
        <w:t xml:space="preserve">, </w:t>
      </w:r>
      <w:r w:rsidRPr="00DF5B9C">
        <w:rPr>
          <w:rFonts w:ascii="Palatino Linotype" w:eastAsia="Palatino Linotype" w:hAnsi="Palatino Linotype" w:cs="Palatino Linotype"/>
          <w:b/>
          <w:sz w:val="22"/>
          <w:szCs w:val="22"/>
          <w:u w:val="single"/>
        </w:rPr>
        <w:t xml:space="preserve">toda vez que, la información correspondiente al tercer trimestre de 2024, se encuentra en </w:t>
      </w:r>
      <w:r w:rsidRPr="00DF5B9C">
        <w:rPr>
          <w:rFonts w:ascii="Palatino Linotype" w:eastAsia="Palatino Linotype" w:hAnsi="Palatino Linotype" w:cs="Palatino Linotype"/>
          <w:b/>
          <w:sz w:val="22"/>
          <w:szCs w:val="22"/>
          <w:u w:val="single"/>
        </w:rPr>
        <w:lastRenderedPageBreak/>
        <w:t>proceso de elaboración y conciliación de acuerdo al calendario de entrega de los informes trimestrales emitido por el OSFEM</w:t>
      </w:r>
      <w:r w:rsidRPr="00DF5B9C">
        <w:rPr>
          <w:rFonts w:ascii="Palatino Linotype" w:eastAsia="Palatino Linotype" w:hAnsi="Palatino Linotype" w:cs="Palatino Linotype"/>
          <w:sz w:val="22"/>
          <w:szCs w:val="22"/>
        </w:rPr>
        <w:t xml:space="preserve">. </w:t>
      </w:r>
    </w:p>
    <w:p w14:paraId="5921C778" w14:textId="77777777" w:rsidR="00ED67FF" w:rsidRPr="00DF5B9C" w:rsidRDefault="00ED67F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FEE3C74" w14:textId="77777777" w:rsidR="00ED67FF" w:rsidRPr="00DF5B9C" w:rsidRDefault="00644A6E">
      <w:pPr>
        <w:numPr>
          <w:ilvl w:val="0"/>
          <w:numId w:val="8"/>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 xml:space="preserve">Interposición del recurso de revisión. </w:t>
      </w:r>
      <w:r w:rsidRPr="00DF5B9C">
        <w:rPr>
          <w:rFonts w:ascii="Palatino Linotype" w:eastAsia="Palatino Linotype" w:hAnsi="Palatino Linotype" w:cs="Palatino Linotype"/>
          <w:sz w:val="22"/>
          <w:szCs w:val="22"/>
        </w:rPr>
        <w:t xml:space="preserve">Inconforme con la respuesta del </w:t>
      </w:r>
      <w:r w:rsidRPr="00DF5B9C">
        <w:rPr>
          <w:rFonts w:ascii="Palatino Linotype" w:eastAsia="Palatino Linotype" w:hAnsi="Palatino Linotype" w:cs="Palatino Linotype"/>
          <w:b/>
          <w:sz w:val="22"/>
          <w:szCs w:val="22"/>
        </w:rPr>
        <w:t>SUJETO OBLIGADO, la parte RECURRENTE</w:t>
      </w:r>
      <w:r w:rsidRPr="00DF5B9C">
        <w:rPr>
          <w:rFonts w:ascii="Palatino Linotype" w:eastAsia="Palatino Linotype" w:hAnsi="Palatino Linotype" w:cs="Palatino Linotype"/>
          <w:sz w:val="22"/>
          <w:szCs w:val="22"/>
        </w:rPr>
        <w:t xml:space="preserve"> interpuso recurso de revisión a través del SAIMEX en fecha </w:t>
      </w:r>
      <w:r w:rsidRPr="00DF5B9C">
        <w:rPr>
          <w:rFonts w:ascii="Palatino Linotype" w:eastAsia="Palatino Linotype" w:hAnsi="Palatino Linotype" w:cs="Palatino Linotype"/>
          <w:b/>
          <w:sz w:val="22"/>
          <w:szCs w:val="22"/>
        </w:rPr>
        <w:t>veintiséis de agosto de dos mil veinticuatro</w:t>
      </w:r>
      <w:r w:rsidRPr="00DF5B9C">
        <w:rPr>
          <w:rFonts w:ascii="Palatino Linotype" w:eastAsia="Palatino Linotype" w:hAnsi="Palatino Linotype" w:cs="Palatino Linotype"/>
          <w:sz w:val="22"/>
          <w:szCs w:val="22"/>
        </w:rPr>
        <w:t>, a través del cual expresó lo siguiente:</w:t>
      </w:r>
    </w:p>
    <w:p w14:paraId="719223A0" w14:textId="77777777" w:rsidR="00ED67FF" w:rsidRPr="00DF5B9C" w:rsidRDefault="00ED67FF">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E6DAA23" w14:textId="77777777" w:rsidR="00ED67FF" w:rsidRPr="00DF5B9C" w:rsidRDefault="00644A6E">
      <w:pPr>
        <w:spacing w:line="360" w:lineRule="auto"/>
        <w:ind w:left="567"/>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sz w:val="22"/>
          <w:szCs w:val="22"/>
        </w:rPr>
        <w:t xml:space="preserve">Acto impugnado. </w:t>
      </w:r>
      <w:r w:rsidRPr="00DF5B9C">
        <w:rPr>
          <w:rFonts w:ascii="Palatino Linotype" w:eastAsia="Palatino Linotype" w:hAnsi="Palatino Linotype" w:cs="Palatino Linotype"/>
          <w:i/>
          <w:sz w:val="22"/>
          <w:szCs w:val="22"/>
        </w:rPr>
        <w:t xml:space="preserve">“se </w:t>
      </w:r>
      <w:proofErr w:type="spellStart"/>
      <w:r w:rsidRPr="00DF5B9C">
        <w:rPr>
          <w:rFonts w:ascii="Palatino Linotype" w:eastAsia="Palatino Linotype" w:hAnsi="Palatino Linotype" w:cs="Palatino Linotype"/>
          <w:i/>
          <w:sz w:val="22"/>
          <w:szCs w:val="22"/>
        </w:rPr>
        <w:t>precenta</w:t>
      </w:r>
      <w:proofErr w:type="spellEnd"/>
      <w:r w:rsidRPr="00DF5B9C">
        <w:rPr>
          <w:rFonts w:ascii="Palatino Linotype" w:eastAsia="Palatino Linotype" w:hAnsi="Palatino Linotype" w:cs="Palatino Linotype"/>
          <w:i/>
          <w:sz w:val="22"/>
          <w:szCs w:val="22"/>
        </w:rPr>
        <w:t xml:space="preserve"> parcial la respuesta ya que no se anexa la </w:t>
      </w:r>
      <w:proofErr w:type="spellStart"/>
      <w:r w:rsidRPr="00DF5B9C">
        <w:rPr>
          <w:rFonts w:ascii="Palatino Linotype" w:eastAsia="Palatino Linotype" w:hAnsi="Palatino Linotype" w:cs="Palatino Linotype"/>
          <w:i/>
          <w:sz w:val="22"/>
          <w:szCs w:val="22"/>
        </w:rPr>
        <w:t>informacion</w:t>
      </w:r>
      <w:proofErr w:type="spellEnd"/>
      <w:r w:rsidRPr="00DF5B9C">
        <w:rPr>
          <w:rFonts w:ascii="Palatino Linotype" w:eastAsia="Palatino Linotype" w:hAnsi="Palatino Linotype" w:cs="Palatino Linotype"/>
          <w:i/>
          <w:sz w:val="22"/>
          <w:szCs w:val="22"/>
        </w:rPr>
        <w:t xml:space="preserve"> adjunta a los oficios” </w:t>
      </w:r>
    </w:p>
    <w:p w14:paraId="2024C1AE" w14:textId="77777777" w:rsidR="00ED67FF" w:rsidRPr="00DF5B9C" w:rsidRDefault="00ED67FF">
      <w:pPr>
        <w:spacing w:line="360" w:lineRule="auto"/>
        <w:ind w:left="567"/>
        <w:rPr>
          <w:rFonts w:ascii="Palatino Linotype" w:eastAsia="Palatino Linotype" w:hAnsi="Palatino Linotype" w:cs="Palatino Linotype"/>
          <w:sz w:val="22"/>
          <w:szCs w:val="22"/>
        </w:rPr>
      </w:pPr>
    </w:p>
    <w:p w14:paraId="3D26F632" w14:textId="77777777" w:rsidR="00ED67FF" w:rsidRPr="00DF5B9C" w:rsidRDefault="00644A6E">
      <w:pPr>
        <w:pBdr>
          <w:top w:val="nil"/>
          <w:left w:val="nil"/>
          <w:bottom w:val="nil"/>
          <w:right w:val="nil"/>
          <w:between w:val="nil"/>
        </w:pBdr>
        <w:spacing w:line="360" w:lineRule="auto"/>
        <w:ind w:left="567"/>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sz w:val="22"/>
          <w:szCs w:val="22"/>
        </w:rPr>
        <w:t xml:space="preserve">Motivos de inconformidad. </w:t>
      </w:r>
      <w:r w:rsidRPr="00DF5B9C">
        <w:rPr>
          <w:rFonts w:ascii="Palatino Linotype" w:eastAsia="Palatino Linotype" w:hAnsi="Palatino Linotype" w:cs="Palatino Linotype"/>
          <w:i/>
          <w:sz w:val="22"/>
          <w:szCs w:val="22"/>
        </w:rPr>
        <w:t xml:space="preserve">“se </w:t>
      </w:r>
      <w:proofErr w:type="spellStart"/>
      <w:r w:rsidRPr="00DF5B9C">
        <w:rPr>
          <w:rFonts w:ascii="Palatino Linotype" w:eastAsia="Palatino Linotype" w:hAnsi="Palatino Linotype" w:cs="Palatino Linotype"/>
          <w:i/>
          <w:sz w:val="22"/>
          <w:szCs w:val="22"/>
        </w:rPr>
        <w:t>precenta</w:t>
      </w:r>
      <w:proofErr w:type="spellEnd"/>
      <w:r w:rsidRPr="00DF5B9C">
        <w:rPr>
          <w:rFonts w:ascii="Palatino Linotype" w:eastAsia="Palatino Linotype" w:hAnsi="Palatino Linotype" w:cs="Palatino Linotype"/>
          <w:i/>
          <w:sz w:val="22"/>
          <w:szCs w:val="22"/>
        </w:rPr>
        <w:t xml:space="preserve"> parcial la respuesta ya que no se anexa la </w:t>
      </w:r>
      <w:proofErr w:type="spellStart"/>
      <w:r w:rsidRPr="00DF5B9C">
        <w:rPr>
          <w:rFonts w:ascii="Palatino Linotype" w:eastAsia="Palatino Linotype" w:hAnsi="Palatino Linotype" w:cs="Palatino Linotype"/>
          <w:i/>
          <w:sz w:val="22"/>
          <w:szCs w:val="22"/>
        </w:rPr>
        <w:t>informacion</w:t>
      </w:r>
      <w:proofErr w:type="spellEnd"/>
      <w:r w:rsidRPr="00DF5B9C">
        <w:rPr>
          <w:rFonts w:ascii="Palatino Linotype" w:eastAsia="Palatino Linotype" w:hAnsi="Palatino Linotype" w:cs="Palatino Linotype"/>
          <w:i/>
          <w:sz w:val="22"/>
          <w:szCs w:val="22"/>
        </w:rPr>
        <w:t xml:space="preserve"> adjunta a los oficios”</w:t>
      </w:r>
    </w:p>
    <w:p w14:paraId="1ABFA8AB" w14:textId="77777777" w:rsidR="00ED67FF" w:rsidRPr="00DF5B9C" w:rsidRDefault="00ED67FF">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45B66D0E" w14:textId="77777777" w:rsidR="00ED67FF" w:rsidRPr="00DF5B9C" w:rsidRDefault="00644A6E">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 xml:space="preserve">Turno. </w:t>
      </w:r>
      <w:r w:rsidRPr="00DF5B9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DF5B9C">
        <w:rPr>
          <w:rFonts w:ascii="Palatino Linotype" w:eastAsia="Palatino Linotype" w:hAnsi="Palatino Linotype" w:cs="Palatino Linotype"/>
          <w:b/>
          <w:sz w:val="22"/>
          <w:szCs w:val="22"/>
        </w:rPr>
        <w:t>05139/INFOEM/IP/RR/2024</w:t>
      </w:r>
      <w:r w:rsidRPr="00DF5B9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DF5B9C">
        <w:rPr>
          <w:rFonts w:ascii="Palatino Linotype" w:eastAsia="Palatino Linotype" w:hAnsi="Palatino Linotype" w:cs="Palatino Linotype"/>
          <w:b/>
          <w:sz w:val="22"/>
          <w:szCs w:val="22"/>
        </w:rPr>
        <w:t>Guadalupe Ramírez Peña</w:t>
      </w:r>
      <w:r w:rsidRPr="00DF5B9C">
        <w:rPr>
          <w:rFonts w:ascii="Palatino Linotype" w:eastAsia="Palatino Linotype" w:hAnsi="Palatino Linotype" w:cs="Palatino Linotype"/>
          <w:sz w:val="22"/>
          <w:szCs w:val="22"/>
        </w:rPr>
        <w:t>, para su análisis, estudio, elaboración del proyecto y presentación ante el Pleno de este Instituto.</w:t>
      </w:r>
    </w:p>
    <w:p w14:paraId="02829020" w14:textId="77777777" w:rsidR="00ED67FF" w:rsidRPr="00DF5B9C" w:rsidRDefault="00ED67F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5DFCD86" w14:textId="77777777" w:rsidR="00ED67FF" w:rsidRPr="00DF5B9C" w:rsidRDefault="00644A6E">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DF5B9C">
        <w:rPr>
          <w:rFonts w:ascii="Palatino Linotype" w:eastAsia="Palatino Linotype" w:hAnsi="Palatino Linotype" w:cs="Palatino Linotype"/>
          <w:b/>
          <w:sz w:val="22"/>
          <w:szCs w:val="22"/>
        </w:rPr>
        <w:t xml:space="preserve">Admisión del recurso de revisión: </w:t>
      </w:r>
      <w:r w:rsidRPr="00DF5B9C">
        <w:rPr>
          <w:rFonts w:ascii="Palatino Linotype" w:eastAsia="Palatino Linotype" w:hAnsi="Palatino Linotype" w:cs="Palatino Linotype"/>
          <w:sz w:val="22"/>
          <w:szCs w:val="22"/>
        </w:rPr>
        <w:t xml:space="preserve">En fecha </w:t>
      </w:r>
      <w:r w:rsidRPr="00DF5B9C">
        <w:rPr>
          <w:rFonts w:ascii="Palatino Linotype" w:eastAsia="Palatino Linotype" w:hAnsi="Palatino Linotype" w:cs="Palatino Linotype"/>
          <w:b/>
          <w:sz w:val="22"/>
          <w:szCs w:val="22"/>
        </w:rPr>
        <w:t>veintinueve de agosto de dos mil veinticuatro</w:t>
      </w:r>
      <w:r w:rsidRPr="00DF5B9C">
        <w:rPr>
          <w:rFonts w:ascii="Palatino Linotype" w:eastAsia="Palatino Linotype" w:hAnsi="Palatino Linotype" w:cs="Palatino Linotype"/>
          <w:sz w:val="22"/>
          <w:szCs w:val="22"/>
        </w:rPr>
        <w:t xml:space="preserve">, la Comisionada Ponente admitió a trámite el recurso de revisión que ahora se </w:t>
      </w:r>
      <w:r w:rsidRPr="00DF5B9C">
        <w:rPr>
          <w:rFonts w:ascii="Palatino Linotype" w:eastAsia="Palatino Linotype" w:hAnsi="Palatino Linotype" w:cs="Palatino Linotype"/>
          <w:sz w:val="22"/>
          <w:szCs w:val="22"/>
        </w:rPr>
        <w:lastRenderedPageBreak/>
        <w:t xml:space="preserve">resuelve, dando un plazo máximo de siete días hábiles para que las partes manifestaran lo que a su derecho resultara conveniente, ofrecieran pruebas, formularan alegatos y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presentara su informe justificado.</w:t>
      </w:r>
    </w:p>
    <w:p w14:paraId="55DC8CD6" w14:textId="77777777" w:rsidR="00ED67FF" w:rsidRPr="00DF5B9C" w:rsidRDefault="00ED67F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913C197" w14:textId="77777777" w:rsidR="00ED67FF" w:rsidRPr="00DF5B9C" w:rsidRDefault="00644A6E">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Manifestaciones</w:t>
      </w:r>
      <w:r w:rsidRPr="00DF5B9C">
        <w:rPr>
          <w:rFonts w:ascii="Palatino Linotype" w:eastAsia="Palatino Linotype" w:hAnsi="Palatino Linotype" w:cs="Palatino Linotype"/>
          <w:sz w:val="22"/>
          <w:szCs w:val="22"/>
        </w:rPr>
        <w:t xml:space="preserve">: De las constancias que obran en el expediente electrónico del SAIMEX se desprende que el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fue omiso en presentar sus alegatos o manifestación alguna. </w:t>
      </w:r>
    </w:p>
    <w:p w14:paraId="55F67B25" w14:textId="77777777" w:rsidR="00ED67FF" w:rsidRPr="00DF5B9C" w:rsidRDefault="00ED67F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BDF2A9B" w14:textId="77777777" w:rsidR="00ED67FF" w:rsidRPr="00DF5B9C" w:rsidRDefault="00644A6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Por su parte,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en fecha </w:t>
      </w:r>
      <w:r w:rsidRPr="00DF5B9C">
        <w:rPr>
          <w:rFonts w:ascii="Palatino Linotype" w:eastAsia="Palatino Linotype" w:hAnsi="Palatino Linotype" w:cs="Palatino Linotype"/>
          <w:b/>
          <w:sz w:val="22"/>
          <w:szCs w:val="22"/>
        </w:rPr>
        <w:t>veintinueve de agosto de dos mil veinticuatro</w:t>
      </w:r>
      <w:r w:rsidRPr="00DF5B9C">
        <w:rPr>
          <w:rFonts w:ascii="Palatino Linotype" w:eastAsia="Palatino Linotype" w:hAnsi="Palatino Linotype" w:cs="Palatino Linotype"/>
          <w:sz w:val="22"/>
          <w:szCs w:val="22"/>
        </w:rPr>
        <w:t xml:space="preserve">, adjunto los archivos electrónicos siguientes: </w:t>
      </w:r>
    </w:p>
    <w:p w14:paraId="6B727949" w14:textId="77777777" w:rsidR="00ED67FF" w:rsidRPr="00DF5B9C" w:rsidRDefault="00ED67F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1A3E4D3" w14:textId="77777777" w:rsidR="00ED67FF" w:rsidRPr="00DF5B9C" w:rsidRDefault="00644A6E">
      <w:pPr>
        <w:numPr>
          <w:ilvl w:val="0"/>
          <w:numId w:val="5"/>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r w:rsidRPr="00DF5B9C">
        <w:rPr>
          <w:rFonts w:ascii="Palatino Linotype" w:eastAsia="Palatino Linotype" w:hAnsi="Palatino Linotype" w:cs="Palatino Linotype"/>
          <w:b/>
          <w:sz w:val="22"/>
          <w:szCs w:val="22"/>
        </w:rPr>
        <w:t xml:space="preserve">CONTESTACIÓN RR 5139 SAIMEX 216.pdf: </w:t>
      </w:r>
      <w:r w:rsidRPr="00DF5B9C">
        <w:rPr>
          <w:rFonts w:ascii="Palatino Linotype" w:eastAsia="Palatino Linotype" w:hAnsi="Palatino Linotype" w:cs="Palatino Linotype"/>
          <w:sz w:val="22"/>
          <w:szCs w:val="22"/>
        </w:rPr>
        <w:t xml:space="preserve">Oficio número DAF/0765/JASL/2024 de fecha veintiocho de agosto de dos mil veinticuatro, signado por el Director de Administración y Finanzas, mediante el cual ratificó su respuesta emitida en el oficio número DAF/0750/JASL/2024. </w:t>
      </w:r>
    </w:p>
    <w:p w14:paraId="278E3D82" w14:textId="77777777" w:rsidR="00ED67FF" w:rsidRPr="00DF5B9C" w:rsidRDefault="00ED67FF">
      <w:pPr>
        <w:pBdr>
          <w:top w:val="nil"/>
          <w:left w:val="nil"/>
          <w:bottom w:val="nil"/>
          <w:right w:val="nil"/>
          <w:between w:val="nil"/>
        </w:pBdr>
        <w:ind w:left="708"/>
        <w:rPr>
          <w:rFonts w:ascii="Palatino Linotype" w:eastAsia="Palatino Linotype" w:hAnsi="Palatino Linotype" w:cs="Palatino Linotype"/>
          <w:sz w:val="22"/>
          <w:szCs w:val="22"/>
        </w:rPr>
      </w:pPr>
    </w:p>
    <w:p w14:paraId="16DA6950" w14:textId="77777777" w:rsidR="00ED67FF" w:rsidRPr="00DF5B9C" w:rsidRDefault="00644A6E">
      <w:pPr>
        <w:numPr>
          <w:ilvl w:val="0"/>
          <w:numId w:val="2"/>
        </w:numPr>
        <w:pBdr>
          <w:top w:val="nil"/>
          <w:left w:val="nil"/>
          <w:bottom w:val="nil"/>
          <w:right w:val="nil"/>
          <w:between w:val="nil"/>
        </w:pBdr>
        <w:tabs>
          <w:tab w:val="left" w:pos="426"/>
        </w:tabs>
        <w:spacing w:after="240" w:line="360" w:lineRule="auto"/>
        <w:ind w:left="0" w:right="50" w:firstLine="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Ampliación del plazo para emitir resolución.</w:t>
      </w:r>
      <w:r w:rsidRPr="00DF5B9C">
        <w:rPr>
          <w:rFonts w:ascii="Palatino Linotype" w:eastAsia="Palatino Linotype" w:hAnsi="Palatino Linotype" w:cs="Palatino Linotype"/>
          <w:sz w:val="22"/>
          <w:szCs w:val="22"/>
        </w:rPr>
        <w:t xml:space="preserve"> El </w:t>
      </w:r>
      <w:r w:rsidRPr="00DF5B9C">
        <w:rPr>
          <w:rFonts w:ascii="Palatino Linotype" w:eastAsia="Palatino Linotype" w:hAnsi="Palatino Linotype" w:cs="Palatino Linotype"/>
          <w:b/>
          <w:sz w:val="22"/>
          <w:szCs w:val="22"/>
        </w:rPr>
        <w:t>nueve de octubre de dos mil veinticuatro</w:t>
      </w:r>
      <w:r w:rsidRPr="00DF5B9C">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406E7AC" w14:textId="77777777" w:rsidR="00ED67FF" w:rsidRPr="00DF5B9C" w:rsidRDefault="00644A6E">
      <w:pPr>
        <w:numPr>
          <w:ilvl w:val="0"/>
          <w:numId w:val="2"/>
        </w:numPr>
        <w:pBdr>
          <w:top w:val="nil"/>
          <w:left w:val="nil"/>
          <w:bottom w:val="nil"/>
          <w:right w:val="nil"/>
          <w:between w:val="nil"/>
        </w:pBdr>
        <w:tabs>
          <w:tab w:val="left" w:pos="426"/>
        </w:tabs>
        <w:spacing w:after="240" w:line="360" w:lineRule="auto"/>
        <w:ind w:left="0" w:right="50" w:firstLine="0"/>
        <w:jc w:val="both"/>
        <w:rPr>
          <w:rFonts w:ascii="Palatino Linotype" w:eastAsia="Palatino Linotype" w:hAnsi="Palatino Linotype" w:cs="Palatino Linotype"/>
        </w:rPr>
      </w:pPr>
      <w:r w:rsidRPr="00DF5B9C">
        <w:rPr>
          <w:rFonts w:ascii="Palatino Linotype" w:eastAsia="Palatino Linotype" w:hAnsi="Palatino Linotype" w:cs="Palatino Linotype"/>
          <w:b/>
          <w:sz w:val="22"/>
          <w:szCs w:val="22"/>
        </w:rPr>
        <w:t xml:space="preserve">Cierre de instrucción. </w:t>
      </w:r>
      <w:r w:rsidRPr="00DF5B9C">
        <w:rPr>
          <w:rFonts w:ascii="Palatino Linotype" w:eastAsia="Palatino Linotype" w:hAnsi="Palatino Linotype" w:cs="Palatino Linotype"/>
          <w:sz w:val="22"/>
          <w:szCs w:val="22"/>
        </w:rPr>
        <w:t xml:space="preserve">El </w:t>
      </w:r>
      <w:r w:rsidRPr="00DF5B9C">
        <w:rPr>
          <w:rFonts w:ascii="Palatino Linotype" w:eastAsia="Palatino Linotype" w:hAnsi="Palatino Linotype" w:cs="Palatino Linotype"/>
          <w:b/>
          <w:sz w:val="22"/>
          <w:szCs w:val="22"/>
        </w:rPr>
        <w:t>nueve de octubre de dos mil veinticuatro</w:t>
      </w:r>
      <w:r w:rsidRPr="00DF5B9C">
        <w:rPr>
          <w:rFonts w:ascii="Palatino Linotype" w:eastAsia="Palatino Linotype" w:hAnsi="Palatino Linotype" w:cs="Palatino Linotype"/>
          <w:sz w:val="22"/>
          <w:szCs w:val="22"/>
        </w:rPr>
        <w:t xml:space="preserve">, la Comisionada Ponente determinó el cierre de instrucción en términos de la fracción VI del artículo 185 de </w:t>
      </w:r>
      <w:r w:rsidRPr="00DF5B9C">
        <w:rPr>
          <w:rFonts w:ascii="Palatino Linotype" w:eastAsia="Palatino Linotype" w:hAnsi="Palatino Linotype" w:cs="Palatino Linotype"/>
          <w:sz w:val="22"/>
          <w:szCs w:val="22"/>
        </w:rPr>
        <w:lastRenderedPageBreak/>
        <w:t xml:space="preserve">la Ley de Transparencia y Acceso a la Información Pública del Estado de México y Municipios. </w:t>
      </w:r>
    </w:p>
    <w:p w14:paraId="27F28182"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D5F31C5"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6805085D" w14:textId="77777777" w:rsidR="00ED67FF" w:rsidRPr="00DF5B9C" w:rsidRDefault="00644A6E">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DF5B9C">
        <w:rPr>
          <w:rFonts w:ascii="Palatino Linotype" w:eastAsia="Palatino Linotype" w:hAnsi="Palatino Linotype" w:cs="Palatino Linotype"/>
          <w:b/>
          <w:sz w:val="22"/>
          <w:szCs w:val="22"/>
        </w:rPr>
        <w:t>C O N S I D E R A N D O:</w:t>
      </w:r>
    </w:p>
    <w:p w14:paraId="241EC1A9" w14:textId="77777777" w:rsidR="00ED67FF" w:rsidRPr="00DF5B9C" w:rsidRDefault="00ED67FF">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AF83D1F"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 xml:space="preserve">Primero. Competencia. </w:t>
      </w:r>
      <w:r w:rsidRPr="00DF5B9C">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04DA81A" w14:textId="77777777" w:rsidR="00ED67FF" w:rsidRPr="00DF5B9C" w:rsidRDefault="00ED67FF">
      <w:pPr>
        <w:spacing w:line="360" w:lineRule="auto"/>
        <w:jc w:val="both"/>
        <w:rPr>
          <w:rFonts w:ascii="Palatino Linotype" w:eastAsia="Palatino Linotype" w:hAnsi="Palatino Linotype" w:cs="Palatino Linotype"/>
          <w:b/>
          <w:sz w:val="22"/>
          <w:szCs w:val="22"/>
        </w:rPr>
      </w:pPr>
    </w:p>
    <w:p w14:paraId="2E36BF1E"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Segundo. Oportunidad y Procedibilidad del Recurso de Revisión</w:t>
      </w:r>
      <w:r w:rsidRPr="00DF5B9C">
        <w:rPr>
          <w:rFonts w:ascii="Palatino Linotype" w:eastAsia="Palatino Linotype" w:hAnsi="Palatino Linotype" w:cs="Palatino Linotype"/>
          <w:sz w:val="22"/>
          <w:szCs w:val="22"/>
        </w:rPr>
        <w:t xml:space="preserve">. Previo al estudio del fondo del asunto, se procede a analizar los requisitos de oportunidad y procedibilidad que </w:t>
      </w:r>
      <w:r w:rsidRPr="00DF5B9C">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054EBB4B"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3873D41C"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proporcionó su respuesta a la solicitud de información el </w:t>
      </w:r>
      <w:r w:rsidRPr="00DF5B9C">
        <w:rPr>
          <w:rFonts w:ascii="Palatino Linotype" w:eastAsia="Palatino Linotype" w:hAnsi="Palatino Linotype" w:cs="Palatino Linotype"/>
          <w:b/>
          <w:sz w:val="22"/>
          <w:szCs w:val="22"/>
        </w:rPr>
        <w:t>veintidós de agosto de dos mil veinticuatro</w:t>
      </w:r>
      <w:r w:rsidRPr="00DF5B9C">
        <w:rPr>
          <w:rFonts w:ascii="Palatino Linotype" w:eastAsia="Palatino Linotype" w:hAnsi="Palatino Linotype" w:cs="Palatino Linotype"/>
          <w:sz w:val="22"/>
          <w:szCs w:val="22"/>
        </w:rPr>
        <w:t xml:space="preserve">, y la parte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presentó su recurso de revisión el </w:t>
      </w:r>
      <w:r w:rsidRPr="00DF5B9C">
        <w:rPr>
          <w:rFonts w:ascii="Palatino Linotype" w:eastAsia="Palatino Linotype" w:hAnsi="Palatino Linotype" w:cs="Palatino Linotype"/>
          <w:b/>
          <w:sz w:val="22"/>
          <w:szCs w:val="22"/>
        </w:rPr>
        <w:t>veintiséis de agosto de dos mil veinticuatro</w:t>
      </w:r>
      <w:r w:rsidRPr="00DF5B9C">
        <w:rPr>
          <w:rFonts w:ascii="Palatino Linotype" w:eastAsia="Palatino Linotype" w:hAnsi="Palatino Linotype" w:cs="Palatino Linotype"/>
          <w:sz w:val="22"/>
          <w:szCs w:val="22"/>
        </w:rPr>
        <w:t>;</w:t>
      </w:r>
      <w:r w:rsidRPr="00DF5B9C">
        <w:rPr>
          <w:rFonts w:ascii="Palatino Linotype" w:eastAsia="Palatino Linotype" w:hAnsi="Palatino Linotype" w:cs="Palatino Linotype"/>
          <w:b/>
          <w:sz w:val="22"/>
          <w:szCs w:val="22"/>
        </w:rPr>
        <w:t xml:space="preserve"> </w:t>
      </w:r>
      <w:r w:rsidRPr="00DF5B9C">
        <w:rPr>
          <w:rFonts w:ascii="Palatino Linotype" w:eastAsia="Palatino Linotype" w:hAnsi="Palatino Linotype" w:cs="Palatino Linotype"/>
          <w:sz w:val="22"/>
          <w:szCs w:val="22"/>
        </w:rPr>
        <w:t xml:space="preserve">esto es al segundo día hábil siguiente en que tuvo conocimiento de la respuesta. </w:t>
      </w:r>
    </w:p>
    <w:p w14:paraId="4E9D01EC" w14:textId="77777777" w:rsidR="00ED67FF" w:rsidRPr="00DF5B9C" w:rsidRDefault="00ED67FF">
      <w:pPr>
        <w:spacing w:line="360" w:lineRule="auto"/>
        <w:ind w:right="843"/>
        <w:jc w:val="both"/>
        <w:rPr>
          <w:rFonts w:ascii="Palatino Linotype" w:eastAsia="Palatino Linotype" w:hAnsi="Palatino Linotype" w:cs="Palatino Linotype"/>
          <w:i/>
          <w:sz w:val="22"/>
          <w:szCs w:val="22"/>
        </w:rPr>
      </w:pPr>
    </w:p>
    <w:p w14:paraId="785FAD12"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Es de suma importancia mencionar que, si bien la parte no proporcionó el nombre completo para ser identificado como se advierte en el detalle de seguimiento del </w:t>
      </w:r>
      <w:r w:rsidRPr="00DF5B9C">
        <w:rPr>
          <w:rFonts w:ascii="Palatino Linotype" w:eastAsia="Palatino Linotype" w:hAnsi="Palatino Linotype" w:cs="Palatino Linotype"/>
          <w:b/>
          <w:sz w:val="22"/>
          <w:szCs w:val="22"/>
        </w:rPr>
        <w:t>SAIMEX</w:t>
      </w:r>
      <w:r w:rsidRPr="00DF5B9C">
        <w:rPr>
          <w:rFonts w:ascii="Palatino Linotype" w:eastAsia="Palatino Linotype" w:hAnsi="Palatino Linotype" w:cs="Palatino Linotype"/>
          <w:sz w:val="22"/>
          <w:szCs w:val="22"/>
        </w:rPr>
        <w:t>,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97F92CA"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7E2EFD9C" w14:textId="77777777" w:rsidR="00ED67FF" w:rsidRPr="00DF5B9C" w:rsidRDefault="00644A6E">
      <w:pPr>
        <w:spacing w:line="276" w:lineRule="auto"/>
        <w:ind w:left="567" w:right="843"/>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"Las solicitudes anónimas, con </w:t>
      </w:r>
      <w:r w:rsidRPr="00DF5B9C">
        <w:rPr>
          <w:rFonts w:ascii="Palatino Linotype" w:eastAsia="Palatino Linotype" w:hAnsi="Palatino Linotype" w:cs="Palatino Linotype"/>
          <w:b/>
          <w:i/>
          <w:sz w:val="22"/>
          <w:szCs w:val="22"/>
        </w:rPr>
        <w:t>nombre incompleto</w:t>
      </w:r>
      <w:r w:rsidRPr="00DF5B9C">
        <w:rPr>
          <w:rFonts w:ascii="Palatino Linotype" w:eastAsia="Palatino Linotype" w:hAnsi="Palatino Linotype" w:cs="Palatino Linotype"/>
          <w:i/>
          <w:sz w:val="22"/>
          <w:szCs w:val="22"/>
        </w:rPr>
        <w:t xml:space="preserve"> o seudónimo serán procedentes para su trámite por parte del sujeto obligado ante quien se presente. No podrá requerirse información adicional con motivo del nombre proporcionado por el solicitante."</w:t>
      </w:r>
    </w:p>
    <w:p w14:paraId="6BC44CA5"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64BD4343" w14:textId="77777777" w:rsidR="00ED67FF" w:rsidRPr="00DF5B9C" w:rsidRDefault="00644A6E">
      <w:pPr>
        <w:spacing w:line="360" w:lineRule="auto"/>
        <w:jc w:val="both"/>
        <w:rPr>
          <w:rFonts w:ascii="Palatino Linotype" w:eastAsia="Palatino Linotype" w:hAnsi="Palatino Linotype" w:cs="Palatino Linotype"/>
          <w:b/>
          <w:sz w:val="22"/>
          <w:szCs w:val="22"/>
        </w:rPr>
      </w:pPr>
      <w:r w:rsidRPr="00DF5B9C">
        <w:rPr>
          <w:rFonts w:ascii="Palatino Linotype" w:eastAsia="Palatino Linotype" w:hAnsi="Palatino Linotype" w:cs="Palatino Linotype"/>
          <w:sz w:val="22"/>
          <w:szCs w:val="22"/>
        </w:rPr>
        <w:lastRenderedPageBreak/>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DF5B9C">
        <w:rPr>
          <w:rFonts w:ascii="Palatino Linotype" w:eastAsia="Palatino Linotype" w:hAnsi="Palatino Linotype" w:cs="Palatino Linotype"/>
          <w:b/>
          <w:sz w:val="22"/>
          <w:szCs w:val="22"/>
        </w:rPr>
        <w:t>SAIMEX.</w:t>
      </w:r>
    </w:p>
    <w:p w14:paraId="4BCA3BC7"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2864245A"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24D3491E"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58A8D51F"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r w:rsidRPr="00DF5B9C">
        <w:rPr>
          <w:rFonts w:ascii="Palatino Linotype" w:eastAsia="Palatino Linotype" w:hAnsi="Palatino Linotype" w:cs="Palatino Linotype"/>
          <w:b/>
          <w:i/>
          <w:sz w:val="22"/>
          <w:szCs w:val="22"/>
        </w:rPr>
        <w:t xml:space="preserve">Artículo 179. </w:t>
      </w:r>
      <w:r w:rsidRPr="00DF5B9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004DC34"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35809DD8"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V. La entrega de información incompleta;</w:t>
      </w:r>
    </w:p>
    <w:p w14:paraId="223430FA" w14:textId="77777777" w:rsidR="00ED67FF" w:rsidRPr="00DF5B9C" w:rsidRDefault="00644A6E">
      <w:pPr>
        <w:spacing w:line="360"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 </w:t>
      </w:r>
    </w:p>
    <w:p w14:paraId="4747A190"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Tercero. Materia de Revisión</w:t>
      </w:r>
      <w:r w:rsidRPr="00DF5B9C">
        <w:rPr>
          <w:rFonts w:ascii="Palatino Linotype" w:eastAsia="Palatino Linotype" w:hAnsi="Palatino Linotype" w:cs="Palatino Linotype"/>
          <w:sz w:val="22"/>
          <w:szCs w:val="22"/>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V del artículo 179 de la Ley en la materia. </w:t>
      </w:r>
    </w:p>
    <w:p w14:paraId="220DFABD"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0D58EDF2"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Cuarto.</w:t>
      </w:r>
      <w:r w:rsidRPr="00DF5B9C">
        <w:rPr>
          <w:rFonts w:ascii="Palatino Linotype" w:eastAsia="Palatino Linotype" w:hAnsi="Palatino Linotype" w:cs="Palatino Linotype"/>
          <w:sz w:val="22"/>
          <w:szCs w:val="22"/>
        </w:rPr>
        <w:t xml:space="preserve"> </w:t>
      </w:r>
      <w:r w:rsidRPr="00DF5B9C">
        <w:rPr>
          <w:rFonts w:ascii="Palatino Linotype" w:eastAsia="Palatino Linotype" w:hAnsi="Palatino Linotype" w:cs="Palatino Linotype"/>
          <w:b/>
          <w:sz w:val="22"/>
          <w:szCs w:val="22"/>
        </w:rPr>
        <w:t>Estudio de fondo del asunto.</w:t>
      </w:r>
      <w:r w:rsidRPr="00DF5B9C">
        <w:rPr>
          <w:rFonts w:ascii="Palatino Linotype" w:eastAsia="Palatino Linotype" w:hAnsi="Palatino Linotype" w:cs="Palatino Linotype"/>
          <w:sz w:val="22"/>
          <w:szCs w:val="22"/>
        </w:rPr>
        <w:t xml:space="preserve">  Antes de entrar al análisis de los pronunciamientos del Sujeto Obligado en la respuesta proporcionada, así como en el informe justificado, es </w:t>
      </w:r>
      <w:r w:rsidRPr="00DF5B9C">
        <w:rPr>
          <w:rFonts w:ascii="Palatino Linotype" w:eastAsia="Palatino Linotype" w:hAnsi="Palatino Linotype" w:cs="Palatino Linotype"/>
          <w:sz w:val="22"/>
          <w:szCs w:val="22"/>
        </w:rPr>
        <w:lastRenderedPageBreak/>
        <w:t>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7AD02C1" w14:textId="77777777" w:rsidR="00ED67FF" w:rsidRPr="00DF5B9C" w:rsidRDefault="00ED67FF">
      <w:pPr>
        <w:spacing w:line="276" w:lineRule="auto"/>
        <w:ind w:left="567" w:right="560"/>
        <w:jc w:val="both"/>
        <w:rPr>
          <w:rFonts w:ascii="Palatino Linotype" w:eastAsia="Palatino Linotype" w:hAnsi="Palatino Linotype" w:cs="Palatino Linotype"/>
          <w:i/>
          <w:sz w:val="22"/>
          <w:szCs w:val="22"/>
        </w:rPr>
      </w:pPr>
    </w:p>
    <w:p w14:paraId="334F758A"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Artículo 1o.</w:t>
      </w:r>
      <w:r w:rsidRPr="00DF5B9C">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A5CF74B"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2B87A8A7"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E5DCF2F"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3FE2009C" w14:textId="77777777" w:rsidR="00ED67FF" w:rsidRPr="00DF5B9C" w:rsidRDefault="00644A6E">
      <w:pPr>
        <w:spacing w:line="276" w:lineRule="auto"/>
        <w:ind w:left="567" w:right="560"/>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“Artículo 6o.</w:t>
      </w:r>
    </w:p>
    <w:p w14:paraId="5C3E45E6"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5C0C719A"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A. Para el ejercicio del derecho de acceso a la información, la Federación y las entidades federativas, en el ámbito de sus respectivas competencias, se regirán por los siguientes principios y bases:</w:t>
      </w:r>
    </w:p>
    <w:p w14:paraId="646F141C"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lastRenderedPageBreak/>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6356FB"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 II. La información que se refiere a la vida privada y los datos personales será protegida en los términos y con las excepciones que fijen las leyes.</w:t>
      </w:r>
    </w:p>
    <w:p w14:paraId="420CA8BC"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 III. Toda persona, sin necesidad de acreditar interés alguno o justificar su utilización, tendrá acceso gratuito a la información pública, a sus datos personales o a la rectificación de éstos.</w:t>
      </w:r>
    </w:p>
    <w:p w14:paraId="7AB20E0F"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 IV. Se establecerán mecanismos de acceso a la información y procedimientos de revisión expeditos que se sustanciarán ante los organismos autónomos especializados e imparciales que establece esta Constitución.</w:t>
      </w:r>
    </w:p>
    <w:p w14:paraId="1BD24685"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CE81389"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 VI. Las leyes determinarán la manera en que los sujetos obligados deberán hacer pública la información relativa a los recursos públicos que entreguen a personas físicas o morales.</w:t>
      </w:r>
    </w:p>
    <w:p w14:paraId="1E4269F4" w14:textId="77777777" w:rsidR="00ED67FF" w:rsidRPr="00DF5B9C" w:rsidRDefault="00644A6E">
      <w:pPr>
        <w:spacing w:line="276" w:lineRule="auto"/>
        <w:ind w:left="567" w:right="56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 VII. La inobservancia a las disposiciones en materia de acceso a la información pública será sancionada en los términos que dispongan las leyes. [...]</w:t>
      </w:r>
    </w:p>
    <w:p w14:paraId="74E780CA"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7044CCB3"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6DF108"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06C47915"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r w:rsidRPr="00DF5B9C">
        <w:rPr>
          <w:rFonts w:ascii="Palatino Linotype" w:eastAsia="Palatino Linotype" w:hAnsi="Palatino Linotype" w:cs="Palatino Linotype"/>
          <w:b/>
          <w:i/>
          <w:sz w:val="22"/>
          <w:szCs w:val="22"/>
        </w:rPr>
        <w:t>Artículo 4.</w:t>
      </w:r>
      <w:r w:rsidRPr="00DF5B9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65BE72"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47EE82"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E95DBED" w14:textId="77777777" w:rsidR="00ED67FF" w:rsidRPr="00DF5B9C" w:rsidRDefault="00ED67FF">
      <w:pPr>
        <w:spacing w:line="360" w:lineRule="auto"/>
        <w:ind w:left="567" w:right="560"/>
        <w:jc w:val="both"/>
        <w:rPr>
          <w:rFonts w:ascii="Palatino Linotype" w:eastAsia="Palatino Linotype" w:hAnsi="Palatino Linotype" w:cs="Palatino Linotype"/>
          <w:i/>
          <w:sz w:val="22"/>
          <w:szCs w:val="22"/>
        </w:rPr>
      </w:pPr>
    </w:p>
    <w:p w14:paraId="7622DFBF"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2EE9B9F"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06D4F8B5"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r w:rsidRPr="00DF5B9C">
        <w:rPr>
          <w:rFonts w:ascii="Palatino Linotype" w:eastAsia="Palatino Linotype" w:hAnsi="Palatino Linotype" w:cs="Palatino Linotype"/>
          <w:b/>
          <w:i/>
          <w:sz w:val="22"/>
          <w:szCs w:val="22"/>
        </w:rPr>
        <w:t>Artículo 12.</w:t>
      </w:r>
      <w:r w:rsidRPr="00DF5B9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355F858"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425117A"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1D1C3011"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5D6CBF3C"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2FF15071" w14:textId="77777777" w:rsidR="00ED67FF" w:rsidRPr="00DF5B9C" w:rsidRDefault="00644A6E">
      <w:pPr>
        <w:spacing w:line="276" w:lineRule="auto"/>
        <w:ind w:left="851"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lastRenderedPageBreak/>
        <w:t>Criterio 03/17</w:t>
      </w:r>
    </w:p>
    <w:p w14:paraId="57A7CB40"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DF5B9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B2D4C09" w14:textId="77777777" w:rsidR="00ED67FF" w:rsidRPr="00DF5B9C" w:rsidRDefault="00ED67FF">
      <w:pPr>
        <w:spacing w:line="360" w:lineRule="auto"/>
        <w:ind w:left="567" w:right="560"/>
        <w:jc w:val="both"/>
        <w:rPr>
          <w:rFonts w:ascii="Palatino Linotype" w:eastAsia="Palatino Linotype" w:hAnsi="Palatino Linotype" w:cs="Palatino Linotype"/>
          <w:b/>
          <w:i/>
          <w:sz w:val="22"/>
          <w:szCs w:val="22"/>
        </w:rPr>
      </w:pPr>
    </w:p>
    <w:p w14:paraId="73CAE3C9"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9919326"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70C6FFD4"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w:t>
      </w:r>
      <w:r w:rsidRPr="00DF5B9C">
        <w:rPr>
          <w:rFonts w:ascii="Palatino Linotype" w:eastAsia="Palatino Linotype" w:hAnsi="Palatino Linotype" w:cs="Palatino Linotype"/>
          <w:sz w:val="22"/>
          <w:szCs w:val="22"/>
        </w:rPr>
        <w:lastRenderedPageBreak/>
        <w:t>cada Sujeto Obligado; como así se establece en la Ley de Transparencia y Acceso a la Información Pública del Estado de México y Municipios.</w:t>
      </w:r>
    </w:p>
    <w:p w14:paraId="1D515EDB"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55B0AE55"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61CC440" w14:textId="77777777" w:rsidR="00ED67FF" w:rsidRPr="00DF5B9C" w:rsidRDefault="00ED67FF">
      <w:pPr>
        <w:spacing w:line="360" w:lineRule="auto"/>
        <w:ind w:left="567" w:right="560"/>
        <w:jc w:val="both"/>
        <w:rPr>
          <w:rFonts w:ascii="Palatino Linotype" w:eastAsia="Palatino Linotype" w:hAnsi="Palatino Linotype" w:cs="Palatino Linotype"/>
          <w:i/>
          <w:sz w:val="22"/>
          <w:szCs w:val="22"/>
        </w:rPr>
      </w:pPr>
    </w:p>
    <w:p w14:paraId="48A1AF21"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r w:rsidRPr="00DF5B9C">
        <w:rPr>
          <w:rFonts w:ascii="Palatino Linotype" w:eastAsia="Palatino Linotype" w:hAnsi="Palatino Linotype" w:cs="Palatino Linotype"/>
          <w:b/>
          <w:i/>
          <w:sz w:val="22"/>
          <w:szCs w:val="22"/>
        </w:rPr>
        <w:t>Artículo 3.</w:t>
      </w:r>
      <w:r w:rsidRPr="00DF5B9C">
        <w:rPr>
          <w:rFonts w:ascii="Palatino Linotype" w:eastAsia="Palatino Linotype" w:hAnsi="Palatino Linotype" w:cs="Palatino Linotype"/>
          <w:i/>
          <w:sz w:val="22"/>
          <w:szCs w:val="22"/>
        </w:rPr>
        <w:t xml:space="preserve"> Para los efectos de la presente Ley se entenderá por:</w:t>
      </w:r>
    </w:p>
    <w:p w14:paraId="7DC863C5"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0BA87428"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XI. Documento:</w:t>
      </w:r>
      <w:r w:rsidRPr="00DF5B9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87CD21C"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47956320"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w:t>
      </w:r>
      <w:r w:rsidRPr="00DF5B9C">
        <w:rPr>
          <w:rFonts w:ascii="Palatino Linotype" w:eastAsia="Palatino Linotype" w:hAnsi="Palatino Linotype" w:cs="Palatino Linotype"/>
          <w:sz w:val="22"/>
          <w:szCs w:val="22"/>
        </w:rPr>
        <w:lastRenderedPageBreak/>
        <w:t>Pública del Estado de México y Municipios; publicado en el Periódico Oficial del Gobierno del Estado Libre y Soberano de México “Gaceta del Gobierno”, el diecinueve de octubre de dos mil once, cuyo rubro y texto refieren lo siguiente:</w:t>
      </w:r>
    </w:p>
    <w:p w14:paraId="49088C21"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67F4AF18" w14:textId="77777777" w:rsidR="00ED67FF" w:rsidRPr="00DF5B9C" w:rsidRDefault="00644A6E">
      <w:pPr>
        <w:spacing w:line="276" w:lineRule="auto"/>
        <w:ind w:left="851"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i/>
          <w:sz w:val="22"/>
          <w:szCs w:val="22"/>
        </w:rPr>
        <w:t>“</w:t>
      </w:r>
      <w:r w:rsidRPr="00DF5B9C">
        <w:rPr>
          <w:rFonts w:ascii="Palatino Linotype" w:eastAsia="Palatino Linotype" w:hAnsi="Palatino Linotype" w:cs="Palatino Linotype"/>
          <w:b/>
          <w:i/>
          <w:sz w:val="22"/>
          <w:szCs w:val="22"/>
        </w:rPr>
        <w:t>CRITERIO 0002-11</w:t>
      </w:r>
    </w:p>
    <w:p w14:paraId="30EE1525"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F5B9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ADF5B9"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4B8866A"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1)</w:t>
      </w:r>
      <w:r w:rsidRPr="00DF5B9C">
        <w:rPr>
          <w:rFonts w:ascii="Palatino Linotype" w:eastAsia="Palatino Linotype" w:hAnsi="Palatino Linotype" w:cs="Palatino Linotype"/>
          <w:i/>
          <w:sz w:val="22"/>
          <w:szCs w:val="22"/>
        </w:rPr>
        <w:tab/>
        <w:t>Que se trate de información registrada en cualquier soporte documental, que en ejercicio de las atribuciones conferidas, sea generada por los Sujetos Obligados;</w:t>
      </w:r>
    </w:p>
    <w:p w14:paraId="36093992"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2)</w:t>
      </w:r>
      <w:r w:rsidRPr="00DF5B9C">
        <w:rPr>
          <w:rFonts w:ascii="Palatino Linotype" w:eastAsia="Palatino Linotype" w:hAnsi="Palatino Linotype" w:cs="Palatino Linotype"/>
          <w:i/>
          <w:sz w:val="22"/>
          <w:szCs w:val="22"/>
        </w:rPr>
        <w:tab/>
        <w:t>Que se trate de información registrada en cualquier soporte documental, que en ejercicio de las atribuciones conferidas, sea administrada por los Sujetos Obligados, y</w:t>
      </w:r>
    </w:p>
    <w:p w14:paraId="1AF25E33" w14:textId="77777777" w:rsidR="00ED67FF" w:rsidRPr="00DF5B9C" w:rsidRDefault="00644A6E">
      <w:pPr>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5F147AEE"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2FBCE357"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De ahí que el Sujeto Obligado cuenta con el deber de satisfacer las solicitudes de acceso a la información que le sean formuladas y entregar la información pública que obre en sus </w:t>
      </w:r>
      <w:r w:rsidRPr="00DF5B9C">
        <w:rPr>
          <w:rFonts w:ascii="Palatino Linotype" w:eastAsia="Palatino Linotype" w:hAnsi="Palatino Linotype" w:cs="Palatino Linotype"/>
          <w:sz w:val="22"/>
          <w:szCs w:val="22"/>
        </w:rPr>
        <w:lastRenderedPageBreak/>
        <w:t>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C6A4323"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139EA14F"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De las actuaciones que integran el expediente electrónico, se procede al análisis de los agravios hechos valer por el Recurrente, relativos a la negativa a la información solicitada, lo que actualiza la causal de procedencia prevista en la fracción I del artículo 179 de la Ley de Transparencia y Acceso a la Información Pública del Estado de México y Municipios. </w:t>
      </w:r>
    </w:p>
    <w:p w14:paraId="479F1676"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3D2D80A3"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Para ello, en principio resulta recordar que la pretensión del ahora </w:t>
      </w:r>
      <w:r w:rsidRPr="00DF5B9C">
        <w:rPr>
          <w:rFonts w:ascii="Palatino Linotype" w:eastAsia="Palatino Linotype" w:hAnsi="Palatino Linotype" w:cs="Palatino Linotype"/>
          <w:b/>
          <w:sz w:val="22"/>
          <w:szCs w:val="22"/>
        </w:rPr>
        <w:t xml:space="preserve">Recurrente </w:t>
      </w:r>
      <w:r w:rsidRPr="00DF5B9C">
        <w:rPr>
          <w:rFonts w:ascii="Palatino Linotype" w:eastAsia="Palatino Linotype" w:hAnsi="Palatino Linotype" w:cs="Palatino Linotype"/>
          <w:sz w:val="22"/>
          <w:szCs w:val="22"/>
        </w:rPr>
        <w:t xml:space="preserve">es obtener la siguiente información: </w:t>
      </w:r>
    </w:p>
    <w:p w14:paraId="15ACC9E7"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20CA70D8" w14:textId="77777777" w:rsidR="00ED67FF" w:rsidRPr="00DF5B9C" w:rsidRDefault="00644A6E">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DF5B9C">
        <w:rPr>
          <w:rFonts w:ascii="Palatino Linotype" w:eastAsia="Palatino Linotype" w:hAnsi="Palatino Linotype" w:cs="Palatino Linotype"/>
          <w:sz w:val="22"/>
          <w:szCs w:val="22"/>
        </w:rPr>
        <w:t xml:space="preserve">Los oficios de entrega de los informes trimestrales remitidos al Órgano Superior de Fiscalización del Estado de México, del primero, segundo y tercer trimestre del ejercicio fiscal 2024; así como la documentación y archivos remitidos, de ser el caso en versión pública: </w:t>
      </w:r>
    </w:p>
    <w:p w14:paraId="1157E4B7"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73EDF693"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En respuesta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a través de la Dirección de Administración y Finanzas, informó que después de haber realizado una búsqueda exhaustiva y minuciosa en sus </w:t>
      </w:r>
      <w:r w:rsidRPr="00DF5B9C">
        <w:rPr>
          <w:rFonts w:ascii="Palatino Linotype" w:eastAsia="Palatino Linotype" w:hAnsi="Palatino Linotype" w:cs="Palatino Linotype"/>
          <w:sz w:val="22"/>
          <w:szCs w:val="22"/>
        </w:rPr>
        <w:lastRenderedPageBreak/>
        <w:t xml:space="preserve">archivos físicos y digitales, hace entrega de la información solicitada, aclarando que la información proporcionada es con corte al segundo trimestre de 2024, toda vez que, la información correspondiente al tercer trimestre de 2024, se encuentra en proceso de elaboración y conciliación de acuerdo al calendario de entrega de los informes trimestrales emitido por el OSFEM. Adjuntando a su respuesta los siguientes oficios: </w:t>
      </w:r>
    </w:p>
    <w:p w14:paraId="0B196B27"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6930737C" w14:textId="77777777" w:rsidR="00ED67FF" w:rsidRPr="00DF5B9C" w:rsidRDefault="00644A6E">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Oficio número OIOPDM/DG/0255/2024 de fecha veinticinco de abril de dos mil veinticuatro, signado por el Director General del Organismo Público Descentralizado para la Prestación de los Servicios de Agua Potable, Alcantarillado y Saneamiento del Municipio de Cuautitlán Izcalli, denominado OPERAGUA Izcalli O.P.D.M. dirigido a la H. “LXI” Legislatura del Estado de México, mediante el cual refiere hacer entrega del Módulo I, Submódulo “Pólizas y CFDI” del Organismo, del primer trimestre del ejercicio fiscal 2024, el cual se integra como sigue: </w:t>
      </w:r>
    </w:p>
    <w:p w14:paraId="02CB3E5B"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Enero</w:t>
      </w:r>
    </w:p>
    <w:p w14:paraId="4A23E886"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Pólizas: </w:t>
      </w:r>
    </w:p>
    <w:p w14:paraId="5E9C30C0"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29071EF3"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113B2B05"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25EE1105"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390FBB1E"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2B8A409F" w14:textId="77777777" w:rsidR="00ED67FF" w:rsidRPr="00DF5B9C" w:rsidRDefault="00ED67FF">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p>
    <w:p w14:paraId="71DDDB9E"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673F1DA7"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7B61872D"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lastRenderedPageBreak/>
        <w:t>Archivo</w:t>
      </w:r>
    </w:p>
    <w:p w14:paraId="678BBEAF"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Febrero: </w:t>
      </w:r>
    </w:p>
    <w:p w14:paraId="771F2ACB"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01B9AB2E"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4AE8B9E2"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5D2FF974"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1481CCA2"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52940F22"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1515729B"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72DA6352"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Marzo: </w:t>
      </w:r>
    </w:p>
    <w:p w14:paraId="3F2137C7"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786591D9"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6B9939C0"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704967C5"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4B1ED57F"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78F13662"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58C05838"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CFDI por concepto de Nómina. “</w:t>
      </w:r>
    </w:p>
    <w:p w14:paraId="660537AE"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7135F828" w14:textId="77777777" w:rsidR="00ED67FF" w:rsidRPr="00DF5B9C" w:rsidRDefault="00644A6E">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Oficio número OIOPDM/044/DG/2024 de fecha cinco de agosto de dos mil veinticuatro, signado por el Director General del Organismo Público Descentralizado para la Prestación de los Servicios de Agua Potable, Alcantarillado y Saneamiento del Municipio de Cuautitlán Izcalli, denominado OPERAGUA Izcalli O.P.D.M. dirigido a la H. “LXI” Legislatura del Estado de México, mediante el cual refiere hacer entrega del Módulo I, Submódulo “Pólizas y CFDI” del Organismo, del segundo trimestre del ejercicio fiscal 2024, el cual se integra como sigue: </w:t>
      </w:r>
    </w:p>
    <w:p w14:paraId="3E7E1097"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lastRenderedPageBreak/>
        <w:t>Abril</w:t>
      </w:r>
    </w:p>
    <w:p w14:paraId="054F46A7"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Pólizas: </w:t>
      </w:r>
    </w:p>
    <w:p w14:paraId="4D562752"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7D2F4688"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19B1D621"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56707A3E"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340E7697"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29E83F12" w14:textId="77777777" w:rsidR="00ED67FF" w:rsidRPr="00DF5B9C" w:rsidRDefault="00ED67FF">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p>
    <w:p w14:paraId="4DC86291"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1B7A2407"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37C4E1BB"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Archivo</w:t>
      </w:r>
    </w:p>
    <w:p w14:paraId="17149DD3"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Mayo: </w:t>
      </w:r>
    </w:p>
    <w:p w14:paraId="0CF767CB"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0A559CCF"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116D5E4F"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2BC7BD84"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28BE2900"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2237B9BF"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4EDD9892"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CFDI por concepto de Nómina. </w:t>
      </w:r>
    </w:p>
    <w:p w14:paraId="2632FE1F"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u w:val="single"/>
        </w:rPr>
      </w:pPr>
      <w:r w:rsidRPr="00DF5B9C">
        <w:rPr>
          <w:rFonts w:ascii="Palatino Linotype" w:eastAsia="Palatino Linotype" w:hAnsi="Palatino Linotype" w:cs="Palatino Linotype"/>
          <w:b/>
          <w:i/>
          <w:sz w:val="22"/>
          <w:szCs w:val="22"/>
          <w:u w:val="single"/>
        </w:rPr>
        <w:t xml:space="preserve">Junio: </w:t>
      </w:r>
    </w:p>
    <w:p w14:paraId="0D4BA004"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Ingresos con los documentos comprobatorios</w:t>
      </w:r>
    </w:p>
    <w:p w14:paraId="29466823"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Diario con los documentos comprobatorios</w:t>
      </w:r>
    </w:p>
    <w:p w14:paraId="0D15C06A"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Egresos con los documentos comprobatorios</w:t>
      </w:r>
    </w:p>
    <w:p w14:paraId="168350BE"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Pólizas de Cheques con los documentos comprobatorios</w:t>
      </w:r>
    </w:p>
    <w:p w14:paraId="46BD3F45" w14:textId="77777777" w:rsidR="00ED67FF" w:rsidRPr="00DF5B9C" w:rsidRDefault="00644A6E">
      <w:pPr>
        <w:numPr>
          <w:ilvl w:val="0"/>
          <w:numId w:val="6"/>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Archivo SIFE </w:t>
      </w:r>
    </w:p>
    <w:p w14:paraId="65312763" w14:textId="77777777" w:rsidR="00ED67FF" w:rsidRPr="00DF5B9C" w:rsidRDefault="00644A6E">
      <w:pPr>
        <w:pBdr>
          <w:top w:val="nil"/>
          <w:left w:val="nil"/>
          <w:bottom w:val="nil"/>
          <w:right w:val="nil"/>
          <w:between w:val="nil"/>
        </w:pBdr>
        <w:spacing w:line="276" w:lineRule="auto"/>
        <w:ind w:left="1418" w:right="616"/>
        <w:jc w:val="both"/>
        <w:rPr>
          <w:rFonts w:ascii="Palatino Linotype" w:eastAsia="Palatino Linotype" w:hAnsi="Palatino Linotype" w:cs="Palatino Linotype"/>
          <w:b/>
          <w:i/>
          <w:sz w:val="22"/>
          <w:szCs w:val="22"/>
        </w:rPr>
      </w:pPr>
      <w:r w:rsidRPr="00DF5B9C">
        <w:rPr>
          <w:rFonts w:ascii="Palatino Linotype" w:eastAsia="Palatino Linotype" w:hAnsi="Palatino Linotype" w:cs="Palatino Linotype"/>
          <w:b/>
          <w:i/>
          <w:sz w:val="22"/>
          <w:szCs w:val="22"/>
        </w:rPr>
        <w:t xml:space="preserve">CFDI: </w:t>
      </w:r>
    </w:p>
    <w:p w14:paraId="29C0DB54" w14:textId="77777777" w:rsidR="00ED67FF" w:rsidRPr="00DF5B9C" w:rsidRDefault="00644A6E">
      <w:pPr>
        <w:numPr>
          <w:ilvl w:val="0"/>
          <w:numId w:val="4"/>
        </w:numPr>
        <w:pBdr>
          <w:top w:val="nil"/>
          <w:left w:val="nil"/>
          <w:bottom w:val="nil"/>
          <w:right w:val="nil"/>
          <w:between w:val="nil"/>
        </w:pBdr>
        <w:spacing w:line="276" w:lineRule="auto"/>
        <w:ind w:left="1418" w:right="616" w:firstLine="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CFDI por concepto de Nómina. “</w:t>
      </w:r>
    </w:p>
    <w:p w14:paraId="66AB019A" w14:textId="77777777" w:rsidR="00ED67FF" w:rsidRPr="00DF5B9C" w:rsidRDefault="00ED67FF">
      <w:pPr>
        <w:pBdr>
          <w:top w:val="nil"/>
          <w:left w:val="nil"/>
          <w:bottom w:val="nil"/>
          <w:right w:val="nil"/>
          <w:between w:val="nil"/>
        </w:pBdr>
        <w:spacing w:line="360" w:lineRule="auto"/>
        <w:ind w:left="1080" w:right="49"/>
        <w:jc w:val="both"/>
        <w:rPr>
          <w:rFonts w:ascii="Palatino Linotype" w:eastAsia="Palatino Linotype" w:hAnsi="Palatino Linotype" w:cs="Palatino Linotype"/>
          <w:sz w:val="22"/>
          <w:szCs w:val="22"/>
        </w:rPr>
      </w:pPr>
    </w:p>
    <w:p w14:paraId="496953DA"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lastRenderedPageBreak/>
        <w:t xml:space="preserve">No conforme con la respuesta, el hoy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interpuso el recurso de revisión que se analiza en el presente asunto, inconformándose medularmente de la entrega de información incompleta, ya </w:t>
      </w:r>
      <w:r w:rsidRPr="00DF5B9C">
        <w:rPr>
          <w:rFonts w:ascii="Palatino Linotype" w:eastAsia="Palatino Linotype" w:hAnsi="Palatino Linotype" w:cs="Palatino Linotype"/>
          <w:b/>
          <w:sz w:val="22"/>
          <w:szCs w:val="22"/>
          <w:u w:val="single"/>
        </w:rPr>
        <w:t>que no se anexó la información adjunta a los oficios</w:t>
      </w:r>
      <w:r w:rsidRPr="00DF5B9C">
        <w:rPr>
          <w:rFonts w:ascii="Palatino Linotype" w:eastAsia="Palatino Linotype" w:hAnsi="Palatino Linotype" w:cs="Palatino Linotype"/>
          <w:sz w:val="22"/>
          <w:szCs w:val="22"/>
        </w:rPr>
        <w:t xml:space="preserve">. </w:t>
      </w:r>
    </w:p>
    <w:p w14:paraId="68C2A30A"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0DF5B677"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Ante la interposición del recurso de revisión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rindió su informe justificado, en el cual el Director de Administración y Finanzas ratificó su respuesta emitida en el Oficio número DAF/0750/JASL/2024. </w:t>
      </w:r>
    </w:p>
    <w:p w14:paraId="2665A210"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24070772"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En este contexto, resulta conveniente analizar la respuesta del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a fin de verificar si el requerimiento ha sido colmado total o parcialmente por éste y entonces de aquellos puntos que no hayan sido atendidos, analizar la procedencia o no de la entrega de los documentos, así como los términos en que se deberá realizar la misma.</w:t>
      </w:r>
    </w:p>
    <w:p w14:paraId="3CB56CC4"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171A7891" w14:textId="77777777" w:rsidR="00ED67FF" w:rsidRPr="00DF5B9C" w:rsidRDefault="00644A6E">
      <w:pPr>
        <w:spacing w:line="360" w:lineRule="auto"/>
        <w:ind w:right="49"/>
        <w:jc w:val="both"/>
        <w:rPr>
          <w:rFonts w:ascii="Palatino Linotype" w:eastAsia="Palatino Linotype" w:hAnsi="Palatino Linotype" w:cs="Palatino Linotype"/>
          <w:b/>
          <w:sz w:val="22"/>
          <w:szCs w:val="22"/>
          <w:u w:val="single"/>
        </w:rPr>
      </w:pPr>
      <w:r w:rsidRPr="00DF5B9C">
        <w:rPr>
          <w:rFonts w:ascii="Palatino Linotype" w:eastAsia="Palatino Linotype" w:hAnsi="Palatino Linotype" w:cs="Palatino Linotype"/>
          <w:sz w:val="22"/>
          <w:szCs w:val="22"/>
        </w:rPr>
        <w:t xml:space="preserve">Ahora bien, conviene iniciar el presente estudio señalando que, la parte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en sus motivos de inconformidad</w:t>
      </w:r>
      <w:r w:rsidRPr="00DF5B9C">
        <w:rPr>
          <w:rFonts w:ascii="Palatino Linotype" w:eastAsia="Palatino Linotype" w:hAnsi="Palatino Linotype" w:cs="Palatino Linotype"/>
          <w:b/>
          <w:sz w:val="22"/>
          <w:szCs w:val="22"/>
        </w:rPr>
        <w:t xml:space="preserve">, </w:t>
      </w:r>
      <w:r w:rsidRPr="00DF5B9C">
        <w:rPr>
          <w:rFonts w:ascii="Palatino Linotype" w:eastAsia="Palatino Linotype" w:hAnsi="Palatino Linotype" w:cs="Palatino Linotype"/>
          <w:b/>
          <w:sz w:val="22"/>
          <w:szCs w:val="22"/>
          <w:u w:val="single"/>
        </w:rPr>
        <w:t>impugna únicamente lo relativo a la falta de los documentos anexos a los oficios en los que el Sujeto Obligado remitió al Órgano Superior de Fiscalización del Estado de México, el Módulo I, Submódulo “Pólizas y CFDI” del Organismo Público Descentralizado para la Prestación de los Servicios de Agua Potable, Alcantarillado y Saneamiento del Municipio de Cuautitlán Izcalli, denominado OPERAGUA Izcalli O.P.D.M., del primero y segundo trimestre del ejercicio fiscal 2024 al OSFEM.</w:t>
      </w:r>
    </w:p>
    <w:p w14:paraId="6D901296" w14:textId="77777777" w:rsidR="00ED67FF" w:rsidRPr="00DF5B9C" w:rsidRDefault="00ED67FF">
      <w:pPr>
        <w:spacing w:after="160" w:line="360" w:lineRule="auto"/>
        <w:jc w:val="both"/>
        <w:rPr>
          <w:rFonts w:ascii="Palatino Linotype" w:eastAsia="Palatino Linotype" w:hAnsi="Palatino Linotype" w:cs="Palatino Linotype"/>
          <w:sz w:val="22"/>
          <w:szCs w:val="22"/>
        </w:rPr>
      </w:pPr>
    </w:p>
    <w:p w14:paraId="4B26025F" w14:textId="77777777" w:rsidR="00ED67FF" w:rsidRPr="00DF5B9C" w:rsidRDefault="00644A6E">
      <w:pPr>
        <w:spacing w:after="160" w:line="360" w:lineRule="auto"/>
        <w:jc w:val="both"/>
        <w:rPr>
          <w:rFonts w:ascii="Palatino Linotype" w:eastAsia="Palatino Linotype" w:hAnsi="Palatino Linotype" w:cs="Palatino Linotype"/>
          <w:b/>
          <w:sz w:val="22"/>
          <w:szCs w:val="22"/>
        </w:rPr>
      </w:pPr>
      <w:r w:rsidRPr="00DF5B9C">
        <w:rPr>
          <w:rFonts w:ascii="Palatino Linotype" w:eastAsia="Palatino Linotype" w:hAnsi="Palatino Linotype" w:cs="Palatino Linotype"/>
          <w:sz w:val="22"/>
          <w:szCs w:val="22"/>
        </w:rPr>
        <w:lastRenderedPageBreak/>
        <w:t xml:space="preserve">En este tenor, la parte de la información entregada y que no fue impugnada debe declararse consentida, esto es respecto a los oficios de entrega de los informes trimestrales remitidos al OSFEM del tercer trimestre del ejercicio fiscal 2024, toda vez que, al no haber realizado manifestaciones de inconformidad al respecto, no pueden producirse efectos jurídicos tendentes a revocar, confirmar o modificar el acto reclamado, ya que, en el caso concreto se infiere que la información proporcionada por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satisface parte de la solicitud presentada.</w:t>
      </w:r>
    </w:p>
    <w:p w14:paraId="0C35D659" w14:textId="77777777" w:rsidR="00ED67FF" w:rsidRPr="00DF5B9C" w:rsidRDefault="00644A6E">
      <w:pPr>
        <w:spacing w:before="240" w:after="240"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Lo anterior es así, debido a que cuando un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impugna la respuesta del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w:t>
      </w:r>
      <w:r w:rsidRPr="00DF5B9C">
        <w:rPr>
          <w:rFonts w:ascii="Palatino Linotype" w:eastAsia="Palatino Linotype" w:hAnsi="Palatino Linotype" w:cs="Palatino Linotype"/>
          <w:b/>
          <w:sz w:val="22"/>
          <w:szCs w:val="22"/>
        </w:rPr>
        <w:t>la parte Recurrente</w:t>
      </w:r>
      <w:r w:rsidRPr="00DF5B9C">
        <w:rPr>
          <w:rFonts w:ascii="Palatino Linotype" w:eastAsia="Palatino Linotype" w:hAnsi="Palatino Linotype" w:cs="Palatino Linotype"/>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86CD406" w14:textId="77777777" w:rsidR="00ED67FF" w:rsidRPr="00DF5B9C" w:rsidRDefault="00644A6E">
      <w:pPr>
        <w:spacing w:before="240" w:after="240" w:line="276" w:lineRule="auto"/>
        <w:ind w:left="851" w:right="900"/>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 xml:space="preserve">“REVISIÓN EN AMPARO. LOS RESOLUTIVOS NO COMBATIDOS DEBEN DECLARARSE FIRMES. </w:t>
      </w:r>
      <w:r w:rsidRPr="00DF5B9C">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20EACCA" w14:textId="77777777" w:rsidR="00ED67FF" w:rsidRPr="00DF5B9C" w:rsidRDefault="00644A6E">
      <w:pPr>
        <w:spacing w:before="240" w:after="240"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lastRenderedPageBreak/>
        <w:t>Consecuentemente, se reitera que la parte de la solicitud que no fue impugnada debe declararse consentida por la parte</w:t>
      </w:r>
      <w:r w:rsidRPr="00DF5B9C">
        <w:rPr>
          <w:rFonts w:ascii="Palatino Linotype" w:eastAsia="Palatino Linotype" w:hAnsi="Palatino Linotype" w:cs="Palatino Linotype"/>
          <w:b/>
          <w:sz w:val="22"/>
          <w:szCs w:val="22"/>
        </w:rPr>
        <w:t xml:space="preserve"> Recurrente</w:t>
      </w:r>
      <w:r w:rsidRPr="00DF5B9C">
        <w:rPr>
          <w:rFonts w:ascii="Palatino Linotype" w:eastAsia="Palatino Linotype" w:hAnsi="Palatino Linotype" w:cs="Palatino Linotype"/>
          <w:sz w:val="22"/>
          <w:szCs w:val="22"/>
        </w:rPr>
        <w:t>, en razón de que no se realizaron manifestaciones de inconformidad, por lo que no pueden producirse efectos jurídicos tendentes a revocar, confirmar o modificar el acto reclamado ya que se infiere un consentimiento de la parte</w:t>
      </w:r>
      <w:r w:rsidRPr="00DF5B9C">
        <w:rPr>
          <w:rFonts w:ascii="Palatino Linotype" w:eastAsia="Palatino Linotype" w:hAnsi="Palatino Linotype" w:cs="Palatino Linotype"/>
          <w:b/>
          <w:sz w:val="22"/>
          <w:szCs w:val="22"/>
        </w:rPr>
        <w:t xml:space="preserve"> Recurrente</w:t>
      </w:r>
      <w:r w:rsidRPr="00DF5B9C">
        <w:rPr>
          <w:rFonts w:ascii="Palatino Linotype" w:eastAsia="Palatino Linotype" w:hAnsi="Palatino Linotype" w:cs="Palatino Linotype"/>
          <w:sz w:val="22"/>
          <w:szCs w:val="22"/>
        </w:rPr>
        <w:t xml:space="preserve"> ante la falta de impugnación eficaz. </w:t>
      </w:r>
    </w:p>
    <w:p w14:paraId="1807AD95" w14:textId="77777777" w:rsidR="00ED67FF" w:rsidRPr="00DF5B9C" w:rsidRDefault="00644A6E">
      <w:pPr>
        <w:spacing w:before="240" w:after="240"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799AEBB1" w14:textId="77777777" w:rsidR="00ED67FF" w:rsidRPr="00DF5B9C" w:rsidRDefault="00644A6E">
      <w:pPr>
        <w:spacing w:before="240" w:after="240" w:line="276" w:lineRule="auto"/>
        <w:ind w:left="567" w:right="90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i/>
          <w:smallCaps/>
          <w:sz w:val="22"/>
          <w:szCs w:val="22"/>
        </w:rPr>
        <w:t xml:space="preserve">“ACTOS CONSENTIDOS. SON LOS QUE NO SE IMPUGNAN MEDIANTE EL RECURSO IDÓNEO. </w:t>
      </w:r>
      <w:r w:rsidRPr="00DF5B9C">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750D8D7"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Ahora bien, a efecto de garantizar el efectivo ejercicio del derecho de acceso a la información pública que asiste al particular, resulta conveniente reiterar que el presente análisis versará en estricto sentido respecto de los documentos anexos referidos en los oficios remitidos en respuesta, es decir, el Módulo I, Submódulo “Pólizas y CFDI” del Organismo Público Descentralizado para la Prestación de los Servicios de Agua Potable, Alcantarillado y Saneamiento del Municipio de Cuautitlán Izcalli, denominado OPERAGUA Izcalli </w:t>
      </w:r>
      <w:r w:rsidRPr="00DF5B9C">
        <w:rPr>
          <w:rFonts w:ascii="Palatino Linotype" w:eastAsia="Palatino Linotype" w:hAnsi="Palatino Linotype" w:cs="Palatino Linotype"/>
          <w:sz w:val="22"/>
          <w:szCs w:val="22"/>
        </w:rPr>
        <w:lastRenderedPageBreak/>
        <w:t>O.P.D.M., del primero y segundo trimestre del ejercicio fiscal 2024 al Órgano Superior de Fiscalización del Estado de México.</w:t>
      </w:r>
    </w:p>
    <w:p w14:paraId="039B8D8C"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0191D462"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Expuesto lo anterior, resulta conveniente puntualizar que dentro de los oficios remitidos en respuesta, en efecto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anexó los documentos referentes al Módulo I, Submódulo “Pólizas y CFDI” del Organismo Público Descentralizado para la Prestación de los Servicios de Agua Potable, Alcantarillado y Saneamiento del Municipio de Cuautitlán Izcalli, tal y como se muestra a continuación </w:t>
      </w:r>
    </w:p>
    <w:p w14:paraId="528D60A2" w14:textId="77777777" w:rsidR="00ED67FF" w:rsidRPr="00DF5B9C" w:rsidRDefault="00644A6E">
      <w:pPr>
        <w:spacing w:line="360" w:lineRule="auto"/>
        <w:ind w:right="49"/>
        <w:jc w:val="center"/>
        <w:rPr>
          <w:rFonts w:ascii="Palatino Linotype" w:eastAsia="Palatino Linotype" w:hAnsi="Palatino Linotype" w:cs="Palatino Linotype"/>
          <w:sz w:val="22"/>
          <w:szCs w:val="22"/>
        </w:rPr>
      </w:pPr>
      <w:r w:rsidRPr="00DF5B9C">
        <w:rPr>
          <w:rFonts w:ascii="Palatino Linotype" w:eastAsia="Palatino Linotype" w:hAnsi="Palatino Linotype" w:cs="Palatino Linotype"/>
          <w:noProof/>
          <w:sz w:val="22"/>
          <w:szCs w:val="22"/>
          <w:lang w:val="es-MX" w:eastAsia="es-MX"/>
        </w:rPr>
        <w:drawing>
          <wp:inline distT="0" distB="0" distL="0" distR="0" wp14:anchorId="20F78480" wp14:editId="52A2D5AD">
            <wp:extent cx="4519560" cy="3895186"/>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519560" cy="3895186"/>
                    </a:xfrm>
                    <a:prstGeom prst="rect">
                      <a:avLst/>
                    </a:prstGeom>
                    <a:ln/>
                  </pic:spPr>
                </pic:pic>
              </a:graphicData>
            </a:graphic>
          </wp:inline>
        </w:drawing>
      </w:r>
      <w:r w:rsidRPr="00DF5B9C">
        <w:rPr>
          <w:noProof/>
          <w:lang w:val="es-MX" w:eastAsia="es-MX"/>
        </w:rPr>
        <mc:AlternateContent>
          <mc:Choice Requires="wpg">
            <w:drawing>
              <wp:anchor distT="0" distB="0" distL="114300" distR="114300" simplePos="0" relativeHeight="251658240" behindDoc="0" locked="0" layoutInCell="1" hidden="0" allowOverlap="1" wp14:anchorId="4BEC2A02" wp14:editId="3E14789A">
                <wp:simplePos x="0" y="0"/>
                <wp:positionH relativeFrom="column">
                  <wp:posOffset>508000</wp:posOffset>
                </wp:positionH>
                <wp:positionV relativeFrom="paragraph">
                  <wp:posOffset>1168400</wp:posOffset>
                </wp:positionV>
                <wp:extent cx="4418522" cy="338228"/>
                <wp:effectExtent l="0" t="0" r="0" b="0"/>
                <wp:wrapNone/>
                <wp:docPr id="33" name="Rectángulo 33"/>
                <wp:cNvGraphicFramePr/>
                <a:graphic xmlns:a="http://schemas.openxmlformats.org/drawingml/2006/main">
                  <a:graphicData uri="http://schemas.microsoft.com/office/word/2010/wordprocessingShape">
                    <wps:wsp>
                      <wps:cNvSpPr/>
                      <wps:spPr>
                        <a:xfrm>
                          <a:off x="3146264" y="3620411"/>
                          <a:ext cx="4399472" cy="319178"/>
                        </a:xfrm>
                        <a:prstGeom prst="rect">
                          <a:avLst/>
                        </a:prstGeom>
                        <a:noFill/>
                        <a:ln w="19050" cap="flat" cmpd="sng">
                          <a:solidFill>
                            <a:srgbClr val="FF0000"/>
                          </a:solidFill>
                          <a:prstDash val="solid"/>
                          <a:miter lim="800000"/>
                          <a:headEnd type="none" w="sm" len="sm"/>
                          <a:tailEnd type="none" w="sm" len="sm"/>
                        </a:ln>
                      </wps:spPr>
                      <wps:txbx>
                        <w:txbxContent>
                          <w:p w14:paraId="2D48BE77" w14:textId="77777777" w:rsidR="00ED67FF" w:rsidRDefault="00ED67FF">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508000</wp:posOffset>
                </wp:positionH>
                <wp:positionV relativeFrom="paragraph">
                  <wp:posOffset>1168400</wp:posOffset>
                </wp:positionV>
                <wp:extent cx="4418522" cy="338228"/>
                <wp:effectExtent b="0" l="0" r="0" t="0"/>
                <wp:wrapNone/>
                <wp:docPr id="3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418522" cy="338228"/>
                        </a:xfrm>
                        <a:prstGeom prst="rect"/>
                        <a:ln/>
                      </pic:spPr>
                    </pic:pic>
                  </a:graphicData>
                </a:graphic>
              </wp:anchor>
            </w:drawing>
          </mc:Fallback>
        </mc:AlternateContent>
      </w:r>
    </w:p>
    <w:p w14:paraId="14C10710" w14:textId="77777777" w:rsidR="00ED67FF" w:rsidRPr="00DF5B9C" w:rsidRDefault="00644A6E">
      <w:pPr>
        <w:spacing w:line="360" w:lineRule="auto"/>
        <w:ind w:right="49"/>
        <w:jc w:val="center"/>
        <w:rPr>
          <w:rFonts w:ascii="Palatino Linotype" w:eastAsia="Palatino Linotype" w:hAnsi="Palatino Linotype" w:cs="Palatino Linotype"/>
          <w:sz w:val="22"/>
          <w:szCs w:val="22"/>
        </w:rPr>
      </w:pPr>
      <w:r w:rsidRPr="00DF5B9C">
        <w:rPr>
          <w:rFonts w:ascii="Palatino Linotype" w:eastAsia="Palatino Linotype" w:hAnsi="Palatino Linotype" w:cs="Palatino Linotype"/>
          <w:noProof/>
          <w:sz w:val="22"/>
          <w:szCs w:val="22"/>
          <w:lang w:val="es-MX" w:eastAsia="es-MX"/>
        </w:rPr>
        <w:lastRenderedPageBreak/>
        <w:drawing>
          <wp:inline distT="0" distB="0" distL="0" distR="0" wp14:anchorId="326378AC" wp14:editId="2D193853">
            <wp:extent cx="4528278" cy="4924335"/>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28278" cy="4924335"/>
                    </a:xfrm>
                    <a:prstGeom prst="rect">
                      <a:avLst/>
                    </a:prstGeom>
                    <a:ln/>
                  </pic:spPr>
                </pic:pic>
              </a:graphicData>
            </a:graphic>
          </wp:inline>
        </w:drawing>
      </w:r>
      <w:r w:rsidRPr="00DF5B9C">
        <w:rPr>
          <w:noProof/>
          <w:lang w:val="es-MX" w:eastAsia="es-MX"/>
        </w:rPr>
        <mc:AlternateContent>
          <mc:Choice Requires="wpg">
            <w:drawing>
              <wp:anchor distT="0" distB="0" distL="114300" distR="114300" simplePos="0" relativeHeight="251659264" behindDoc="0" locked="0" layoutInCell="1" hidden="0" allowOverlap="1" wp14:anchorId="3B9299D3" wp14:editId="02240D0C">
                <wp:simplePos x="0" y="0"/>
                <wp:positionH relativeFrom="column">
                  <wp:posOffset>342900</wp:posOffset>
                </wp:positionH>
                <wp:positionV relativeFrom="paragraph">
                  <wp:posOffset>2984500</wp:posOffset>
                </wp:positionV>
                <wp:extent cx="4660062" cy="536635"/>
                <wp:effectExtent l="0" t="0" r="0" b="0"/>
                <wp:wrapNone/>
                <wp:docPr id="34" name="Rectángulo 34"/>
                <wp:cNvGraphicFramePr/>
                <a:graphic xmlns:a="http://schemas.openxmlformats.org/drawingml/2006/main">
                  <a:graphicData uri="http://schemas.microsoft.com/office/word/2010/wordprocessingShape">
                    <wps:wsp>
                      <wps:cNvSpPr/>
                      <wps:spPr>
                        <a:xfrm>
                          <a:off x="3025494" y="3521208"/>
                          <a:ext cx="4641012" cy="517585"/>
                        </a:xfrm>
                        <a:prstGeom prst="rect">
                          <a:avLst/>
                        </a:prstGeom>
                        <a:noFill/>
                        <a:ln w="19050" cap="flat" cmpd="sng">
                          <a:solidFill>
                            <a:srgbClr val="FF0000"/>
                          </a:solidFill>
                          <a:prstDash val="solid"/>
                          <a:miter lim="800000"/>
                          <a:headEnd type="none" w="sm" len="sm"/>
                          <a:tailEnd type="none" w="sm" len="sm"/>
                        </a:ln>
                      </wps:spPr>
                      <wps:txbx>
                        <w:txbxContent>
                          <w:p w14:paraId="05507F36" w14:textId="77777777" w:rsidR="00ED67FF" w:rsidRDefault="00ED67FF">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342900</wp:posOffset>
                </wp:positionH>
                <wp:positionV relativeFrom="paragraph">
                  <wp:posOffset>2984500</wp:posOffset>
                </wp:positionV>
                <wp:extent cx="4660062" cy="536635"/>
                <wp:effectExtent b="0" l="0" r="0" t="0"/>
                <wp:wrapNone/>
                <wp:docPr id="3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660062" cy="536635"/>
                        </a:xfrm>
                        <a:prstGeom prst="rect"/>
                        <a:ln/>
                      </pic:spPr>
                    </pic:pic>
                  </a:graphicData>
                </a:graphic>
              </wp:anchor>
            </w:drawing>
          </mc:Fallback>
        </mc:AlternateContent>
      </w:r>
    </w:p>
    <w:p w14:paraId="4C38B872" w14:textId="77777777" w:rsidR="00ED67FF" w:rsidRPr="00DF5B9C" w:rsidRDefault="00644A6E">
      <w:pPr>
        <w:spacing w:line="360" w:lineRule="auto"/>
        <w:ind w:right="49"/>
        <w:jc w:val="center"/>
        <w:rPr>
          <w:rFonts w:ascii="Palatino Linotype" w:eastAsia="Palatino Linotype" w:hAnsi="Palatino Linotype" w:cs="Palatino Linotype"/>
          <w:sz w:val="22"/>
          <w:szCs w:val="22"/>
        </w:rPr>
      </w:pPr>
      <w:r w:rsidRPr="00DF5B9C">
        <w:rPr>
          <w:rFonts w:ascii="Palatino Linotype" w:eastAsia="Palatino Linotype" w:hAnsi="Palatino Linotype" w:cs="Palatino Linotype"/>
          <w:noProof/>
          <w:sz w:val="22"/>
          <w:szCs w:val="22"/>
          <w:lang w:val="es-MX" w:eastAsia="es-MX"/>
        </w:rPr>
        <w:lastRenderedPageBreak/>
        <w:drawing>
          <wp:inline distT="0" distB="0" distL="0" distR="0" wp14:anchorId="3C152D39" wp14:editId="1374AF77">
            <wp:extent cx="4800241" cy="5771369"/>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00241" cy="5771369"/>
                    </a:xfrm>
                    <a:prstGeom prst="rect">
                      <a:avLst/>
                    </a:prstGeom>
                    <a:ln/>
                  </pic:spPr>
                </pic:pic>
              </a:graphicData>
            </a:graphic>
          </wp:inline>
        </w:drawing>
      </w:r>
    </w:p>
    <w:p w14:paraId="3708B9C4" w14:textId="77777777" w:rsidR="00ED67FF" w:rsidRPr="00DF5B9C" w:rsidRDefault="00644A6E">
      <w:pPr>
        <w:spacing w:line="360" w:lineRule="auto"/>
        <w:ind w:right="49"/>
        <w:jc w:val="center"/>
        <w:rPr>
          <w:rFonts w:ascii="Palatino Linotype" w:eastAsia="Palatino Linotype" w:hAnsi="Palatino Linotype" w:cs="Palatino Linotype"/>
          <w:sz w:val="22"/>
          <w:szCs w:val="22"/>
        </w:rPr>
      </w:pPr>
      <w:r w:rsidRPr="00DF5B9C">
        <w:rPr>
          <w:rFonts w:ascii="Palatino Linotype" w:eastAsia="Palatino Linotype" w:hAnsi="Palatino Linotype" w:cs="Palatino Linotype"/>
          <w:noProof/>
          <w:sz w:val="22"/>
          <w:szCs w:val="22"/>
          <w:lang w:val="es-MX" w:eastAsia="es-MX"/>
        </w:rPr>
        <w:lastRenderedPageBreak/>
        <w:drawing>
          <wp:inline distT="0" distB="0" distL="0" distR="0" wp14:anchorId="7E7C24D8" wp14:editId="7B9E70A5">
            <wp:extent cx="3624792" cy="4257484"/>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624792" cy="4257484"/>
                    </a:xfrm>
                    <a:prstGeom prst="rect">
                      <a:avLst/>
                    </a:prstGeom>
                    <a:ln/>
                  </pic:spPr>
                </pic:pic>
              </a:graphicData>
            </a:graphic>
          </wp:inline>
        </w:drawing>
      </w:r>
    </w:p>
    <w:p w14:paraId="64CB7190" w14:textId="77777777" w:rsidR="00ED67FF" w:rsidRPr="00DF5B9C" w:rsidRDefault="00644A6E">
      <w:pPr>
        <w:spacing w:line="360" w:lineRule="auto"/>
        <w:ind w:right="49"/>
        <w:jc w:val="center"/>
        <w:rPr>
          <w:rFonts w:ascii="Palatino Linotype" w:eastAsia="Palatino Linotype" w:hAnsi="Palatino Linotype" w:cs="Palatino Linotype"/>
          <w:sz w:val="22"/>
          <w:szCs w:val="22"/>
        </w:rPr>
      </w:pPr>
      <w:r w:rsidRPr="00DF5B9C">
        <w:rPr>
          <w:rFonts w:ascii="Palatino Linotype" w:eastAsia="Palatino Linotype" w:hAnsi="Palatino Linotype" w:cs="Palatino Linotype"/>
          <w:noProof/>
          <w:sz w:val="22"/>
          <w:szCs w:val="22"/>
          <w:lang w:val="es-MX" w:eastAsia="es-MX"/>
        </w:rPr>
        <w:drawing>
          <wp:inline distT="0" distB="0" distL="0" distR="0" wp14:anchorId="085465A7" wp14:editId="28CC66F3">
            <wp:extent cx="3863769" cy="1682151"/>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863769" cy="1682151"/>
                    </a:xfrm>
                    <a:prstGeom prst="rect">
                      <a:avLst/>
                    </a:prstGeom>
                    <a:ln/>
                  </pic:spPr>
                </pic:pic>
              </a:graphicData>
            </a:graphic>
          </wp:inline>
        </w:drawing>
      </w:r>
    </w:p>
    <w:p w14:paraId="6BD08796"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39EE835F"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Sin embargo, fue omiso en hacer entrega de la información que se anexó a dichos oficios y la cual desea conocer la parte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ello derivado de que desde el inicio de su solicitud precisó que también solicitaba </w:t>
      </w:r>
      <w:r w:rsidRPr="00DF5B9C">
        <w:rPr>
          <w:rFonts w:ascii="Palatino Linotype" w:eastAsia="Palatino Linotype" w:hAnsi="Palatino Linotype" w:cs="Palatino Linotype"/>
          <w:i/>
          <w:sz w:val="22"/>
          <w:szCs w:val="22"/>
        </w:rPr>
        <w:t xml:space="preserve">“… </w:t>
      </w:r>
      <w:proofErr w:type="spellStart"/>
      <w:r w:rsidRPr="00DF5B9C">
        <w:rPr>
          <w:rFonts w:ascii="Palatino Linotype" w:eastAsia="Palatino Linotype" w:hAnsi="Palatino Linotype" w:cs="Palatino Linotype"/>
          <w:i/>
          <w:sz w:val="22"/>
          <w:szCs w:val="22"/>
        </w:rPr>
        <w:t>asi</w:t>
      </w:r>
      <w:proofErr w:type="spellEnd"/>
      <w:r w:rsidRPr="00DF5B9C">
        <w:rPr>
          <w:rFonts w:ascii="Palatino Linotype" w:eastAsia="Palatino Linotype" w:hAnsi="Palatino Linotype" w:cs="Palatino Linotype"/>
          <w:i/>
          <w:sz w:val="22"/>
          <w:szCs w:val="22"/>
        </w:rPr>
        <w:t xml:space="preserve"> como la </w:t>
      </w:r>
      <w:proofErr w:type="spellStart"/>
      <w:r w:rsidRPr="00DF5B9C">
        <w:rPr>
          <w:rFonts w:ascii="Palatino Linotype" w:eastAsia="Palatino Linotype" w:hAnsi="Palatino Linotype" w:cs="Palatino Linotype"/>
          <w:i/>
          <w:sz w:val="22"/>
          <w:szCs w:val="22"/>
        </w:rPr>
        <w:t>documentacion</w:t>
      </w:r>
      <w:proofErr w:type="spellEnd"/>
      <w:r w:rsidRPr="00DF5B9C">
        <w:rPr>
          <w:rFonts w:ascii="Palatino Linotype" w:eastAsia="Palatino Linotype" w:hAnsi="Palatino Linotype" w:cs="Palatino Linotype"/>
          <w:i/>
          <w:sz w:val="22"/>
          <w:szCs w:val="22"/>
        </w:rPr>
        <w:t xml:space="preserve"> y archivos remitidos al </w:t>
      </w:r>
      <w:proofErr w:type="spellStart"/>
      <w:r w:rsidRPr="00DF5B9C">
        <w:rPr>
          <w:rFonts w:ascii="Palatino Linotype" w:eastAsia="Palatino Linotype" w:hAnsi="Palatino Linotype" w:cs="Palatino Linotype"/>
          <w:i/>
          <w:sz w:val="22"/>
          <w:szCs w:val="22"/>
        </w:rPr>
        <w:t>osfem</w:t>
      </w:r>
      <w:proofErr w:type="spellEnd"/>
      <w:r w:rsidRPr="00DF5B9C">
        <w:rPr>
          <w:rFonts w:ascii="Palatino Linotype" w:eastAsia="Palatino Linotype" w:hAnsi="Palatino Linotype" w:cs="Palatino Linotype"/>
          <w:i/>
          <w:sz w:val="22"/>
          <w:szCs w:val="22"/>
        </w:rPr>
        <w:t xml:space="preserve"> y de ser el caso remitir la </w:t>
      </w:r>
      <w:proofErr w:type="spellStart"/>
      <w:r w:rsidRPr="00DF5B9C">
        <w:rPr>
          <w:rFonts w:ascii="Palatino Linotype" w:eastAsia="Palatino Linotype" w:hAnsi="Palatino Linotype" w:cs="Palatino Linotype"/>
          <w:i/>
          <w:sz w:val="22"/>
          <w:szCs w:val="22"/>
        </w:rPr>
        <w:t>version</w:t>
      </w:r>
      <w:proofErr w:type="spellEnd"/>
      <w:r w:rsidRPr="00DF5B9C">
        <w:rPr>
          <w:rFonts w:ascii="Palatino Linotype" w:eastAsia="Palatino Linotype" w:hAnsi="Palatino Linotype" w:cs="Palatino Linotype"/>
          <w:i/>
          <w:sz w:val="22"/>
          <w:szCs w:val="22"/>
        </w:rPr>
        <w:t xml:space="preserve"> publica</w:t>
      </w:r>
      <w:r w:rsidRPr="00DF5B9C">
        <w:rPr>
          <w:rFonts w:ascii="Palatino Linotype" w:eastAsia="Palatino Linotype" w:hAnsi="Palatino Linotype" w:cs="Palatino Linotype"/>
          <w:sz w:val="22"/>
          <w:szCs w:val="22"/>
        </w:rPr>
        <w:t xml:space="preserve">”, lo que en este caso no aconteció, toda vez que omitió adjuntar la documentación comprobatoria y justificativa que fue puesta a disposición del Órgano Superior de Fiscalización del Estado de México, por ello, es importante traer a colación el Criterio 02/2017 emitido por el Instituto Nacional de Transparencia, Acceso a la Información y Protección de Datos Personales se establece que: </w:t>
      </w:r>
    </w:p>
    <w:p w14:paraId="0E32B359" w14:textId="77777777" w:rsidR="00ED67FF" w:rsidRPr="00DF5B9C" w:rsidRDefault="00ED67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171D05" w14:textId="77777777" w:rsidR="00ED67FF" w:rsidRPr="00DF5B9C" w:rsidRDefault="00644A6E">
      <w:pPr>
        <w:ind w:left="567" w:right="567"/>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DF5B9C">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3C131CA" w14:textId="77777777" w:rsidR="00ED67FF" w:rsidRPr="00DF5B9C" w:rsidRDefault="00644A6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 </w:t>
      </w:r>
    </w:p>
    <w:p w14:paraId="559FFE94" w14:textId="77777777" w:rsidR="00ED67FF" w:rsidRPr="00DF5B9C" w:rsidRDefault="00644A6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w:t>
      </w:r>
      <w:r w:rsidRPr="00DF5B9C">
        <w:rPr>
          <w:rFonts w:ascii="Palatino Linotype" w:eastAsia="Palatino Linotype" w:hAnsi="Palatino Linotype" w:cs="Palatino Linotype"/>
          <w:sz w:val="22"/>
          <w:szCs w:val="22"/>
        </w:rPr>
        <w:lastRenderedPageBreak/>
        <w:t xml:space="preserve">particular y la respuesta proporcionada por el sujeto obligado, mientras que la exhaustividad establece que el sujeto obligado </w:t>
      </w:r>
      <w:r w:rsidRPr="00DF5B9C">
        <w:rPr>
          <w:rFonts w:ascii="Palatino Linotype" w:eastAsia="Palatino Linotype" w:hAnsi="Palatino Linotype" w:cs="Palatino Linotype"/>
          <w:b/>
          <w:sz w:val="22"/>
          <w:szCs w:val="22"/>
          <w:u w:val="single"/>
        </w:rPr>
        <w:t>deberá atender de manera expresa cada uno de los puntos solicitados</w:t>
      </w:r>
      <w:r w:rsidRPr="00DF5B9C">
        <w:rPr>
          <w:rFonts w:ascii="Palatino Linotype" w:eastAsia="Palatino Linotype" w:hAnsi="Palatino Linotype" w:cs="Palatino Linotype"/>
          <w:sz w:val="22"/>
          <w:szCs w:val="22"/>
        </w:rPr>
        <w:t xml:space="preserve">, situación que en el presente caso </w:t>
      </w:r>
      <w:r w:rsidRPr="00DF5B9C">
        <w:rPr>
          <w:rFonts w:ascii="Palatino Linotype" w:eastAsia="Palatino Linotype" w:hAnsi="Palatino Linotype" w:cs="Palatino Linotype"/>
          <w:b/>
          <w:sz w:val="22"/>
          <w:szCs w:val="22"/>
          <w:u w:val="single"/>
        </w:rPr>
        <w:t>no aconteció</w:t>
      </w:r>
      <w:r w:rsidRPr="00DF5B9C">
        <w:rPr>
          <w:rFonts w:ascii="Palatino Linotype" w:eastAsia="Palatino Linotype" w:hAnsi="Palatino Linotype" w:cs="Palatino Linotype"/>
          <w:sz w:val="22"/>
          <w:szCs w:val="22"/>
        </w:rPr>
        <w:t xml:space="preserve">, pues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no se pronunció y tampoco proporcionó los documentos que refiere </w:t>
      </w:r>
    </w:p>
    <w:p w14:paraId="75F658B1" w14:textId="77777777" w:rsidR="00ED67FF" w:rsidRPr="00DF5B9C" w:rsidRDefault="00ED67F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6B571D8" w14:textId="77777777" w:rsidR="00ED67FF" w:rsidRPr="00DF5B9C" w:rsidRDefault="00644A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DF5B9C">
        <w:rPr>
          <w:rFonts w:ascii="Palatino Linotype" w:eastAsia="Palatino Linotype" w:hAnsi="Palatino Linotype" w:cs="Palatino Linotype"/>
          <w:sz w:val="22"/>
          <w:szCs w:val="22"/>
        </w:rPr>
        <w:t xml:space="preserve">Es por lo que, se determina ordenar al Sujeto Obligado realizar una nueva búsqueda exhaustiva y razonable, con la finalidad de que proporcione, de ser el caso, en versión pública, </w:t>
      </w:r>
      <w:r w:rsidRPr="00DF5B9C">
        <w:rPr>
          <w:rFonts w:ascii="Palatino Linotype" w:eastAsia="Palatino Linotype" w:hAnsi="Palatino Linotype" w:cs="Palatino Linotype"/>
          <w:b/>
          <w:sz w:val="22"/>
          <w:szCs w:val="22"/>
        </w:rPr>
        <w:t xml:space="preserve">los anexos referidos en los oficios número OIOPDM/DG/0255/2024 y OIOPDM/DG/0444/2024 remitidos en respuesta. </w:t>
      </w:r>
    </w:p>
    <w:p w14:paraId="79DD228A" w14:textId="77777777" w:rsidR="00ED67FF" w:rsidRPr="00DF5B9C" w:rsidRDefault="00ED67F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382F561"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Quinto. Versión Pública</w:t>
      </w:r>
      <w:r w:rsidRPr="00DF5B9C">
        <w:rPr>
          <w:rFonts w:ascii="Palatino Linotype" w:eastAsia="Palatino Linotype" w:hAnsi="Palatino Linotype" w:cs="Palatino Linotype"/>
          <w:sz w:val="22"/>
          <w:szCs w:val="22"/>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420C5DC9"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6F76AFCC" w14:textId="77777777" w:rsidR="00ED67FF" w:rsidRPr="00DF5B9C" w:rsidRDefault="00644A6E">
      <w:pPr>
        <w:spacing w:line="360" w:lineRule="auto"/>
        <w:ind w:right="50"/>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374325C3" w14:textId="77777777" w:rsidR="00ED67FF" w:rsidRPr="00DF5B9C" w:rsidRDefault="00ED67FF">
      <w:pPr>
        <w:spacing w:line="360" w:lineRule="auto"/>
        <w:ind w:right="50"/>
        <w:jc w:val="both"/>
        <w:rPr>
          <w:rFonts w:ascii="Palatino Linotype" w:eastAsia="Palatino Linotype" w:hAnsi="Palatino Linotype" w:cs="Palatino Linotype"/>
          <w:sz w:val="22"/>
          <w:szCs w:val="22"/>
        </w:rPr>
      </w:pPr>
    </w:p>
    <w:p w14:paraId="260C7F09"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lastRenderedPageBreak/>
        <w:t>“</w:t>
      </w:r>
      <w:r w:rsidRPr="00DF5B9C">
        <w:rPr>
          <w:rFonts w:ascii="Palatino Linotype" w:eastAsia="Palatino Linotype" w:hAnsi="Palatino Linotype" w:cs="Palatino Linotype"/>
          <w:b/>
          <w:i/>
          <w:sz w:val="22"/>
          <w:szCs w:val="22"/>
        </w:rPr>
        <w:t>Artículo 3.</w:t>
      </w:r>
      <w:r w:rsidRPr="00DF5B9C">
        <w:rPr>
          <w:rFonts w:ascii="Palatino Linotype" w:eastAsia="Palatino Linotype" w:hAnsi="Palatino Linotype" w:cs="Palatino Linotype"/>
          <w:i/>
          <w:sz w:val="22"/>
          <w:szCs w:val="22"/>
        </w:rPr>
        <w:t xml:space="preserve"> Para los efectos de la presente Ley se entenderá por:</w:t>
      </w:r>
    </w:p>
    <w:p w14:paraId="487243E7"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62A3C145"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3F3A516D"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XX. Información clasificada: Aquella considerada por la presente Ley como reservada o confidencial;</w:t>
      </w:r>
    </w:p>
    <w:p w14:paraId="3B52A8E0"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2570E4"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5068BAA9"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5CCDCB85"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Artículo 91.</w:t>
      </w:r>
      <w:r w:rsidRPr="00DF5B9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E059D42"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Artículo 132.</w:t>
      </w:r>
      <w:r w:rsidRPr="00DF5B9C">
        <w:rPr>
          <w:rFonts w:ascii="Palatino Linotype" w:eastAsia="Palatino Linotype" w:hAnsi="Palatino Linotype" w:cs="Palatino Linotype"/>
          <w:i/>
          <w:sz w:val="22"/>
          <w:szCs w:val="22"/>
        </w:rPr>
        <w:t xml:space="preserve"> La clasificación de la información se llevará a cabo en el momento en que:</w:t>
      </w:r>
    </w:p>
    <w:p w14:paraId="186ED50E" w14:textId="77777777" w:rsidR="00ED67FF" w:rsidRPr="00DF5B9C" w:rsidRDefault="00644A6E">
      <w:pPr>
        <w:tabs>
          <w:tab w:val="left" w:pos="1134"/>
        </w:tabs>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 Se reciba una solicitud de acceso a la información;</w:t>
      </w:r>
    </w:p>
    <w:p w14:paraId="6EF03906" w14:textId="77777777" w:rsidR="00ED67FF" w:rsidRPr="00DF5B9C" w:rsidRDefault="00644A6E">
      <w:pPr>
        <w:tabs>
          <w:tab w:val="left" w:pos="1134"/>
        </w:tabs>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II. Se determine mediante resolución de autoridad competente; o</w:t>
      </w:r>
    </w:p>
    <w:p w14:paraId="10C88B33" w14:textId="77777777" w:rsidR="00ED67FF" w:rsidRPr="00DF5B9C" w:rsidRDefault="00644A6E">
      <w:pPr>
        <w:tabs>
          <w:tab w:val="left" w:pos="1134"/>
        </w:tabs>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III. Se generen versiones públicas para dar cumplimiento a las obligaciones de transparencia previstas en esta Ley.</w:t>
      </w:r>
    </w:p>
    <w:p w14:paraId="7890EC48"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6AC56E4E"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Artículo 143</w:t>
      </w:r>
      <w:r w:rsidRPr="00DF5B9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32592C2"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37BF006"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04B3DDF7"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035700A9"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BC10226"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67C52D4" w14:textId="77777777" w:rsidR="00ED67FF" w:rsidRPr="00DF5B9C" w:rsidRDefault="00ED67FF">
      <w:pPr>
        <w:spacing w:line="276" w:lineRule="auto"/>
        <w:ind w:left="567" w:right="616"/>
        <w:jc w:val="both"/>
        <w:rPr>
          <w:rFonts w:ascii="Palatino Linotype" w:eastAsia="Palatino Linotype" w:hAnsi="Palatino Linotype" w:cs="Palatino Linotype"/>
          <w:i/>
          <w:sz w:val="22"/>
          <w:szCs w:val="22"/>
        </w:rPr>
      </w:pPr>
    </w:p>
    <w:p w14:paraId="1A8285DB"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55D955"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247F6341"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Con base en lo expuesto, se insiste que en la versión pública de los documentos que se ordenan se deben testar aquellos elementos que actualicen alguna causal de clasificación y, por ende, debe ser pública toda la demás información que no encuadre en los conceptos anteriores.</w:t>
      </w:r>
    </w:p>
    <w:p w14:paraId="460F7221" w14:textId="77777777" w:rsidR="00ED67FF" w:rsidRPr="00DF5B9C" w:rsidRDefault="00ED67FF">
      <w:pPr>
        <w:spacing w:line="360" w:lineRule="auto"/>
        <w:jc w:val="both"/>
        <w:rPr>
          <w:rFonts w:ascii="Palatino Linotype" w:eastAsia="Palatino Linotype" w:hAnsi="Palatino Linotype" w:cs="Palatino Linotype"/>
          <w:sz w:val="22"/>
          <w:szCs w:val="22"/>
        </w:rPr>
      </w:pPr>
    </w:p>
    <w:p w14:paraId="599A3AB2"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lastRenderedPageBreak/>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0CCAAF49" w14:textId="77777777" w:rsidR="00ED67FF" w:rsidRPr="00DF5B9C" w:rsidRDefault="00ED67FF">
      <w:pPr>
        <w:spacing w:line="276" w:lineRule="auto"/>
        <w:ind w:left="567" w:right="616"/>
        <w:jc w:val="both"/>
        <w:rPr>
          <w:rFonts w:ascii="Palatino Linotype" w:eastAsia="Palatino Linotype" w:hAnsi="Palatino Linotype" w:cs="Palatino Linotype"/>
          <w:sz w:val="22"/>
          <w:szCs w:val="22"/>
        </w:rPr>
      </w:pPr>
    </w:p>
    <w:p w14:paraId="56B33738"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 “</w:t>
      </w:r>
      <w:r w:rsidRPr="00DF5B9C">
        <w:rPr>
          <w:rFonts w:ascii="Palatino Linotype" w:eastAsia="Palatino Linotype" w:hAnsi="Palatino Linotype" w:cs="Palatino Linotype"/>
          <w:b/>
          <w:i/>
          <w:sz w:val="22"/>
          <w:szCs w:val="22"/>
        </w:rPr>
        <w:t>Quincuagésimo</w:t>
      </w:r>
      <w:r w:rsidRPr="00DF5B9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45A45EC"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Quincuagésimo primero.</w:t>
      </w:r>
      <w:r w:rsidRPr="00DF5B9C">
        <w:rPr>
          <w:rFonts w:ascii="Palatino Linotype" w:eastAsia="Palatino Linotype" w:hAnsi="Palatino Linotype" w:cs="Palatino Linotype"/>
          <w:i/>
          <w:sz w:val="22"/>
          <w:szCs w:val="22"/>
        </w:rPr>
        <w:t xml:space="preserve"> Toda acta del Comité de Transparencia deberá contener: </w:t>
      </w:r>
    </w:p>
    <w:p w14:paraId="06393BC4"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 El número de sesión y fecha; </w:t>
      </w:r>
    </w:p>
    <w:p w14:paraId="5CB67730"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II. El nombre del área que solicitó la clasificación de información; </w:t>
      </w:r>
    </w:p>
    <w:p w14:paraId="5F0753FD"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III. La fundamentación legal y motivación correspondiente; </w:t>
      </w:r>
    </w:p>
    <w:p w14:paraId="372DEBCD"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IV. La resolución o resoluciones aprobadas; y </w:t>
      </w:r>
    </w:p>
    <w:p w14:paraId="77BBD79C"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V. La rúbrica o firma digital de cada integrante del Comité de Transparencia. </w:t>
      </w:r>
    </w:p>
    <w:p w14:paraId="7C4B6817"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3E53443"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 Los motivos y razonamientos que sustenten la confirmación o modificación de la prueba de daño;</w:t>
      </w:r>
    </w:p>
    <w:p w14:paraId="3B12DC8F"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II. Descripción de las partes o secciones reservadas, en caso de clasificación parcial; </w:t>
      </w:r>
    </w:p>
    <w:p w14:paraId="5DA43B48"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III. El periodo por el que mantendrá su clasificación y fecha de expiración; y </w:t>
      </w:r>
    </w:p>
    <w:p w14:paraId="00831120"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F34B58B"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42562D2"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094D08FB"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Quincuagésimo segundo.</w:t>
      </w:r>
      <w:r w:rsidRPr="00DF5B9C">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B5E2DDE"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7128FB1"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3E1F3E76"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FAC0171"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III. Señalar las personas o instancias autorizadas a acceder a la información clasificada.</w:t>
      </w:r>
    </w:p>
    <w:p w14:paraId="14C03E52"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E238357" w14:textId="77777777" w:rsidR="00ED67FF" w:rsidRPr="00DF5B9C" w:rsidRDefault="00ED67FF">
      <w:pPr>
        <w:spacing w:line="276" w:lineRule="auto"/>
        <w:ind w:left="567" w:right="616"/>
        <w:jc w:val="both"/>
        <w:rPr>
          <w:rFonts w:ascii="Palatino Linotype" w:eastAsia="Palatino Linotype" w:hAnsi="Palatino Linotype" w:cs="Palatino Linotype"/>
          <w:i/>
          <w:sz w:val="22"/>
          <w:szCs w:val="22"/>
        </w:rPr>
      </w:pPr>
    </w:p>
    <w:p w14:paraId="2372793F"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79A23B27" w14:textId="77777777" w:rsidR="00ED67FF" w:rsidRPr="00DF5B9C" w:rsidRDefault="00644A6E">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r w:rsidRPr="00DF5B9C">
        <w:rPr>
          <w:rFonts w:ascii="Palatino Linotype" w:eastAsia="Palatino Linotype" w:hAnsi="Palatino Linotype" w:cs="Palatino Linotype"/>
          <w:b/>
          <w:i/>
          <w:sz w:val="22"/>
          <w:szCs w:val="22"/>
        </w:rPr>
        <w:t>Quincuagésimo cuarto.</w:t>
      </w:r>
      <w:r w:rsidRPr="00DF5B9C">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FC43C21"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lastRenderedPageBreak/>
        <w:t>Quincuagésimo quinto.</w:t>
      </w:r>
      <w:r w:rsidRPr="00DF5B9C">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DF5B9C">
        <w:rPr>
          <w:rFonts w:ascii="Palatino Linotype" w:eastAsia="Palatino Linotype" w:hAnsi="Palatino Linotype" w:cs="Palatino Linotype"/>
          <w:i/>
          <w:sz w:val="22"/>
          <w:szCs w:val="22"/>
        </w:rPr>
        <w:t>testado</w:t>
      </w:r>
      <w:proofErr w:type="spellEnd"/>
      <w:r w:rsidRPr="00DF5B9C">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643ACA9"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w:t>
      </w:r>
    </w:p>
    <w:p w14:paraId="6D438DBC"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b/>
          <w:i/>
          <w:sz w:val="22"/>
          <w:szCs w:val="22"/>
        </w:rPr>
        <w:t>Quincuagésimo séptimo.</w:t>
      </w:r>
      <w:r w:rsidRPr="00DF5B9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3A143EE"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6CB7EB2F"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6C64F3A"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0DA464D"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0C7D6D5" w14:textId="77777777" w:rsidR="00ED67FF" w:rsidRPr="00DF5B9C" w:rsidRDefault="00644A6E">
      <w:pPr>
        <w:spacing w:line="276" w:lineRule="auto"/>
        <w:ind w:left="567"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D898191" w14:textId="77777777" w:rsidR="00ED67FF" w:rsidRPr="00DF5B9C" w:rsidRDefault="00ED67FF">
      <w:pPr>
        <w:spacing w:line="276" w:lineRule="auto"/>
        <w:ind w:left="567" w:right="616"/>
        <w:jc w:val="both"/>
        <w:rPr>
          <w:rFonts w:ascii="Palatino Linotype" w:eastAsia="Palatino Linotype" w:hAnsi="Palatino Linotype" w:cs="Palatino Linotype"/>
          <w:i/>
          <w:sz w:val="22"/>
          <w:szCs w:val="22"/>
        </w:rPr>
      </w:pPr>
    </w:p>
    <w:p w14:paraId="1F3C8FDD" w14:textId="77777777" w:rsidR="00ED67FF" w:rsidRPr="00DF5B9C" w:rsidRDefault="00644A6E">
      <w:pPr>
        <w:spacing w:line="360" w:lineRule="auto"/>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w:t>
      </w:r>
      <w:r w:rsidRPr="00DF5B9C">
        <w:rPr>
          <w:rFonts w:ascii="Palatino Linotype" w:eastAsia="Palatino Linotype" w:hAnsi="Palatino Linotype" w:cs="Palatino Linotype"/>
          <w:sz w:val="22"/>
          <w:szCs w:val="22"/>
        </w:rPr>
        <w:lastRenderedPageBreak/>
        <w:t>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167D23F"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36F9A73C" w14:textId="77777777" w:rsidR="00ED67FF" w:rsidRPr="00DF5B9C" w:rsidRDefault="00644A6E">
      <w:pPr>
        <w:spacing w:line="360" w:lineRule="auto"/>
        <w:ind w:right="49"/>
        <w:jc w:val="both"/>
        <w:rPr>
          <w:rFonts w:ascii="Palatino Linotype" w:eastAsia="Palatino Linotype" w:hAnsi="Palatino Linotype" w:cs="Palatino Linotype"/>
          <w:b/>
          <w:sz w:val="22"/>
          <w:szCs w:val="22"/>
        </w:rPr>
      </w:pPr>
      <w:r w:rsidRPr="00DF5B9C">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el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dentro del recurso de revisión </w:t>
      </w:r>
      <w:r w:rsidRPr="00DF5B9C">
        <w:rPr>
          <w:rFonts w:ascii="Palatino Linotype" w:eastAsia="Palatino Linotype" w:hAnsi="Palatino Linotype" w:cs="Palatino Linotype"/>
          <w:b/>
          <w:sz w:val="22"/>
          <w:szCs w:val="22"/>
        </w:rPr>
        <w:t>05139/INFOEM/IP/RR/2024</w:t>
      </w:r>
      <w:r w:rsidRPr="00DF5B9C">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Pr="00DF5B9C">
        <w:rPr>
          <w:rFonts w:ascii="Palatino Linotype" w:eastAsia="Palatino Linotype" w:hAnsi="Palatino Linotype" w:cs="Palatino Linotype"/>
          <w:b/>
          <w:sz w:val="22"/>
          <w:szCs w:val="22"/>
        </w:rPr>
        <w:t xml:space="preserve">Modifica </w:t>
      </w:r>
      <w:r w:rsidRPr="00DF5B9C">
        <w:rPr>
          <w:rFonts w:ascii="Palatino Linotype" w:eastAsia="Palatino Linotype" w:hAnsi="Palatino Linotype" w:cs="Palatino Linotype"/>
          <w:sz w:val="22"/>
          <w:szCs w:val="22"/>
        </w:rPr>
        <w:t xml:space="preserve">la respuesta del </w:t>
      </w:r>
      <w:r w:rsidRPr="00DF5B9C">
        <w:rPr>
          <w:rFonts w:ascii="Palatino Linotype" w:eastAsia="Palatino Linotype" w:hAnsi="Palatino Linotype" w:cs="Palatino Linotype"/>
          <w:b/>
          <w:sz w:val="22"/>
          <w:szCs w:val="22"/>
        </w:rPr>
        <w:t xml:space="preserve">Sujeto Obligado </w:t>
      </w:r>
      <w:r w:rsidRPr="00DF5B9C">
        <w:rPr>
          <w:rFonts w:ascii="Palatino Linotype" w:eastAsia="Palatino Linotype" w:hAnsi="Palatino Linotype" w:cs="Palatino Linotype"/>
          <w:sz w:val="22"/>
          <w:szCs w:val="22"/>
        </w:rPr>
        <w:t>a la solicitud de información</w:t>
      </w:r>
      <w:r w:rsidRPr="00DF5B9C">
        <w:rPr>
          <w:rFonts w:ascii="Palatino Linotype" w:eastAsia="Palatino Linotype" w:hAnsi="Palatino Linotype" w:cs="Palatino Linotype"/>
          <w:b/>
          <w:sz w:val="22"/>
          <w:szCs w:val="22"/>
        </w:rPr>
        <w:t xml:space="preserve"> 00216/OASCUATIZC/IP/2024</w:t>
      </w:r>
      <w:r w:rsidRPr="00DF5B9C">
        <w:rPr>
          <w:rFonts w:ascii="Palatino Linotype" w:eastAsia="Palatino Linotype" w:hAnsi="Palatino Linotype" w:cs="Palatino Linotype"/>
          <w:sz w:val="22"/>
          <w:szCs w:val="22"/>
        </w:rPr>
        <w:t xml:space="preserve">. </w:t>
      </w:r>
    </w:p>
    <w:p w14:paraId="22917573" w14:textId="77777777" w:rsidR="00ED67FF" w:rsidRPr="00DF5B9C" w:rsidRDefault="00ED67FF">
      <w:pPr>
        <w:spacing w:line="360" w:lineRule="auto"/>
        <w:ind w:right="49"/>
        <w:jc w:val="both"/>
        <w:rPr>
          <w:rFonts w:ascii="Palatino Linotype" w:eastAsia="Palatino Linotype" w:hAnsi="Palatino Linotype" w:cs="Palatino Linotype"/>
          <w:b/>
          <w:sz w:val="22"/>
          <w:szCs w:val="22"/>
        </w:rPr>
      </w:pPr>
    </w:p>
    <w:p w14:paraId="41538FA6" w14:textId="24E4F268"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E343BA5" w14:textId="34E12E2A" w:rsidR="00FE1DC7" w:rsidRPr="00DF5B9C" w:rsidRDefault="00FE1DC7">
      <w:pPr>
        <w:spacing w:line="360" w:lineRule="auto"/>
        <w:ind w:right="49"/>
        <w:jc w:val="both"/>
        <w:rPr>
          <w:rFonts w:ascii="Palatino Linotype" w:eastAsia="Palatino Linotype" w:hAnsi="Palatino Linotype" w:cs="Palatino Linotype"/>
          <w:sz w:val="22"/>
          <w:szCs w:val="22"/>
        </w:rPr>
      </w:pPr>
    </w:p>
    <w:p w14:paraId="3DB4D999" w14:textId="5E0CA257" w:rsidR="00FE1DC7" w:rsidRPr="00DF5B9C" w:rsidRDefault="00FE1DC7">
      <w:pPr>
        <w:spacing w:line="360" w:lineRule="auto"/>
        <w:ind w:right="49"/>
        <w:jc w:val="both"/>
        <w:rPr>
          <w:rFonts w:ascii="Palatino Linotype" w:eastAsia="Palatino Linotype" w:hAnsi="Palatino Linotype" w:cs="Palatino Linotype"/>
          <w:sz w:val="22"/>
          <w:szCs w:val="22"/>
        </w:rPr>
      </w:pPr>
    </w:p>
    <w:p w14:paraId="25BCC2B1" w14:textId="77777777" w:rsidR="00FE1DC7" w:rsidRPr="00DF5B9C" w:rsidRDefault="00FE1DC7">
      <w:pPr>
        <w:spacing w:line="360" w:lineRule="auto"/>
        <w:ind w:right="49"/>
        <w:jc w:val="both"/>
        <w:rPr>
          <w:rFonts w:ascii="Palatino Linotype" w:eastAsia="Palatino Linotype" w:hAnsi="Palatino Linotype" w:cs="Palatino Linotype"/>
          <w:sz w:val="22"/>
          <w:szCs w:val="22"/>
        </w:rPr>
      </w:pPr>
    </w:p>
    <w:p w14:paraId="3DBAA919" w14:textId="77777777" w:rsidR="00ED67FF" w:rsidRPr="00DF5B9C" w:rsidRDefault="00ED67FF">
      <w:pPr>
        <w:spacing w:line="360" w:lineRule="auto"/>
        <w:rPr>
          <w:rFonts w:ascii="Palatino Linotype" w:eastAsia="Palatino Linotype" w:hAnsi="Palatino Linotype" w:cs="Palatino Linotype"/>
          <w:b/>
          <w:sz w:val="22"/>
          <w:szCs w:val="22"/>
        </w:rPr>
      </w:pPr>
    </w:p>
    <w:p w14:paraId="3CF5FD19" w14:textId="77777777" w:rsidR="00ED67FF" w:rsidRPr="00DF5B9C" w:rsidRDefault="00644A6E">
      <w:pPr>
        <w:spacing w:line="360" w:lineRule="auto"/>
        <w:jc w:val="center"/>
        <w:rPr>
          <w:rFonts w:ascii="Palatino Linotype" w:eastAsia="Palatino Linotype" w:hAnsi="Palatino Linotype" w:cs="Palatino Linotype"/>
          <w:b/>
          <w:sz w:val="22"/>
          <w:szCs w:val="22"/>
        </w:rPr>
      </w:pPr>
      <w:r w:rsidRPr="00DF5B9C">
        <w:rPr>
          <w:rFonts w:ascii="Palatino Linotype" w:eastAsia="Palatino Linotype" w:hAnsi="Palatino Linotype" w:cs="Palatino Linotype"/>
          <w:b/>
          <w:sz w:val="22"/>
          <w:szCs w:val="22"/>
        </w:rPr>
        <w:lastRenderedPageBreak/>
        <w:t>R E S U E L V E:</w:t>
      </w:r>
    </w:p>
    <w:p w14:paraId="43FB79D4" w14:textId="77777777" w:rsidR="00ED67FF" w:rsidRPr="00DF5B9C" w:rsidRDefault="00ED67FF">
      <w:pPr>
        <w:spacing w:line="360" w:lineRule="auto"/>
        <w:rPr>
          <w:rFonts w:ascii="Palatino Linotype" w:eastAsia="Palatino Linotype" w:hAnsi="Palatino Linotype" w:cs="Palatino Linotype"/>
          <w:b/>
          <w:sz w:val="22"/>
          <w:szCs w:val="22"/>
        </w:rPr>
      </w:pPr>
    </w:p>
    <w:p w14:paraId="217D9A60"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Primero.</w:t>
      </w:r>
      <w:r w:rsidRPr="00DF5B9C">
        <w:rPr>
          <w:rFonts w:ascii="Palatino Linotype" w:eastAsia="Palatino Linotype" w:hAnsi="Palatino Linotype" w:cs="Palatino Linotype"/>
          <w:sz w:val="22"/>
          <w:szCs w:val="22"/>
        </w:rPr>
        <w:t xml:space="preserve"> Resultan</w:t>
      </w:r>
      <w:r w:rsidRPr="00DF5B9C">
        <w:rPr>
          <w:rFonts w:ascii="Palatino Linotype" w:eastAsia="Palatino Linotype" w:hAnsi="Palatino Linotype" w:cs="Palatino Linotype"/>
          <w:b/>
          <w:sz w:val="22"/>
          <w:szCs w:val="22"/>
        </w:rPr>
        <w:t xml:space="preserve"> Fundados</w:t>
      </w:r>
      <w:r w:rsidRPr="00DF5B9C">
        <w:rPr>
          <w:rFonts w:ascii="Palatino Linotype" w:eastAsia="Palatino Linotype" w:hAnsi="Palatino Linotype" w:cs="Palatino Linotype"/>
          <w:sz w:val="22"/>
          <w:szCs w:val="22"/>
        </w:rPr>
        <w:t xml:space="preserve"> los motivos de inconformidad hechos valer por el </w:t>
      </w:r>
      <w:r w:rsidRPr="00DF5B9C">
        <w:rPr>
          <w:rFonts w:ascii="Palatino Linotype" w:eastAsia="Palatino Linotype" w:hAnsi="Palatino Linotype" w:cs="Palatino Linotype"/>
          <w:b/>
          <w:sz w:val="22"/>
          <w:szCs w:val="22"/>
        </w:rPr>
        <w:t>Recurrente</w:t>
      </w:r>
      <w:r w:rsidRPr="00DF5B9C">
        <w:rPr>
          <w:rFonts w:ascii="Palatino Linotype" w:eastAsia="Palatino Linotype" w:hAnsi="Palatino Linotype" w:cs="Palatino Linotype"/>
          <w:sz w:val="22"/>
          <w:szCs w:val="22"/>
        </w:rPr>
        <w:t xml:space="preserve"> en el Recurso de Revisión </w:t>
      </w:r>
      <w:r w:rsidRPr="00DF5B9C">
        <w:rPr>
          <w:rFonts w:ascii="Palatino Linotype" w:eastAsia="Palatino Linotype" w:hAnsi="Palatino Linotype" w:cs="Palatino Linotype"/>
          <w:b/>
          <w:sz w:val="22"/>
          <w:szCs w:val="22"/>
        </w:rPr>
        <w:t>05139/INFOEM/IP/RR/2024</w:t>
      </w:r>
      <w:r w:rsidRPr="00DF5B9C">
        <w:rPr>
          <w:rFonts w:ascii="Palatino Linotype" w:eastAsia="Palatino Linotype" w:hAnsi="Palatino Linotype" w:cs="Palatino Linotype"/>
          <w:sz w:val="22"/>
          <w:szCs w:val="22"/>
        </w:rPr>
        <w:t xml:space="preserve">, por lo que, en términos del </w:t>
      </w:r>
      <w:r w:rsidRPr="00DF5B9C">
        <w:rPr>
          <w:rFonts w:ascii="Palatino Linotype" w:eastAsia="Palatino Linotype" w:hAnsi="Palatino Linotype" w:cs="Palatino Linotype"/>
          <w:b/>
          <w:sz w:val="22"/>
          <w:szCs w:val="22"/>
        </w:rPr>
        <w:t>Considerando Cuarto</w:t>
      </w:r>
      <w:r w:rsidRPr="00DF5B9C">
        <w:rPr>
          <w:rFonts w:ascii="Palatino Linotype" w:eastAsia="Palatino Linotype" w:hAnsi="Palatino Linotype" w:cs="Palatino Linotype"/>
          <w:sz w:val="22"/>
          <w:szCs w:val="22"/>
        </w:rPr>
        <w:t xml:space="preserve"> de esta resolución, se </w:t>
      </w:r>
      <w:r w:rsidRPr="00DF5B9C">
        <w:rPr>
          <w:rFonts w:ascii="Palatino Linotype" w:eastAsia="Palatino Linotype" w:hAnsi="Palatino Linotype" w:cs="Palatino Linotype"/>
          <w:b/>
          <w:sz w:val="22"/>
          <w:szCs w:val="22"/>
        </w:rPr>
        <w:t>Modifica</w:t>
      </w:r>
      <w:r w:rsidRPr="00DF5B9C">
        <w:rPr>
          <w:rFonts w:ascii="Palatino Linotype" w:eastAsia="Palatino Linotype" w:hAnsi="Palatino Linotype" w:cs="Palatino Linotype"/>
          <w:sz w:val="22"/>
          <w:szCs w:val="22"/>
        </w:rPr>
        <w:t xml:space="preserve"> la respuesta emitida por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w:t>
      </w:r>
    </w:p>
    <w:p w14:paraId="6A981EFA"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68E94F4F" w14:textId="77777777" w:rsidR="00ED67FF" w:rsidRPr="00DF5B9C" w:rsidRDefault="00644A6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4" w:name="_heading=h.4d34og8" w:colFirst="0" w:colLast="0"/>
      <w:bookmarkEnd w:id="4"/>
      <w:r w:rsidRPr="00DF5B9C">
        <w:rPr>
          <w:rFonts w:ascii="Palatino Linotype" w:eastAsia="Palatino Linotype" w:hAnsi="Palatino Linotype" w:cs="Palatino Linotype"/>
          <w:b/>
          <w:sz w:val="22"/>
          <w:szCs w:val="22"/>
        </w:rPr>
        <w:t>Segundo</w:t>
      </w:r>
      <w:r w:rsidRPr="00DF5B9C">
        <w:rPr>
          <w:rFonts w:ascii="Palatino Linotype" w:eastAsia="Palatino Linotype" w:hAnsi="Palatino Linotype" w:cs="Palatino Linotype"/>
          <w:sz w:val="22"/>
          <w:szCs w:val="22"/>
        </w:rPr>
        <w:t xml:space="preserve">. Se </w:t>
      </w:r>
      <w:r w:rsidRPr="00DF5B9C">
        <w:rPr>
          <w:rFonts w:ascii="Palatino Linotype" w:eastAsia="Palatino Linotype" w:hAnsi="Palatino Linotype" w:cs="Palatino Linotype"/>
          <w:b/>
          <w:sz w:val="22"/>
          <w:szCs w:val="22"/>
        </w:rPr>
        <w:t>ordena</w:t>
      </w:r>
      <w:r w:rsidRPr="00DF5B9C">
        <w:rPr>
          <w:rFonts w:ascii="Palatino Linotype" w:eastAsia="Palatino Linotype" w:hAnsi="Palatino Linotype" w:cs="Palatino Linotype"/>
          <w:sz w:val="22"/>
          <w:szCs w:val="22"/>
        </w:rPr>
        <w:t xml:space="preserve"> al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a que, en términos del Considerando Cuarto y Quinto, haga entrega, vía Sistema de Acceso a la Información Mexiquense, de ser el caso en versión pública, de la siguiente información: </w:t>
      </w:r>
    </w:p>
    <w:p w14:paraId="59947884" w14:textId="77777777" w:rsidR="00ED67FF" w:rsidRPr="00DF5B9C" w:rsidRDefault="00ED67F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FE05298" w14:textId="77777777" w:rsidR="00ED67FF" w:rsidRPr="00DF5B9C" w:rsidRDefault="00644A6E">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bookmarkStart w:id="5" w:name="_heading=h.2s8eyo1" w:colFirst="0" w:colLast="0"/>
      <w:bookmarkEnd w:id="5"/>
      <w:r w:rsidRPr="00DF5B9C">
        <w:rPr>
          <w:rFonts w:ascii="Palatino Linotype" w:eastAsia="Palatino Linotype" w:hAnsi="Palatino Linotype" w:cs="Palatino Linotype"/>
          <w:sz w:val="22"/>
          <w:szCs w:val="22"/>
        </w:rPr>
        <w:t>Los anexos referidos en los oficios número OIOPDM/DG/0255/2024 y OIOPDM/DG/0444/2024 remitidos en respuesta.</w:t>
      </w:r>
    </w:p>
    <w:p w14:paraId="4BCD679C" w14:textId="77777777" w:rsidR="00ED67FF" w:rsidRPr="00DF5B9C" w:rsidRDefault="00ED67FF">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p>
    <w:p w14:paraId="220CB612" w14:textId="77777777" w:rsidR="00ED67FF" w:rsidRPr="00DF5B9C" w:rsidRDefault="00644A6E">
      <w:pPr>
        <w:pBdr>
          <w:top w:val="nil"/>
          <w:left w:val="nil"/>
          <w:bottom w:val="nil"/>
          <w:right w:val="nil"/>
          <w:between w:val="nil"/>
        </w:pBdr>
        <w:tabs>
          <w:tab w:val="left" w:pos="567"/>
          <w:tab w:val="left" w:pos="993"/>
        </w:tabs>
        <w:spacing w:line="276" w:lineRule="auto"/>
        <w:ind w:left="851" w:right="616"/>
        <w:jc w:val="both"/>
        <w:rPr>
          <w:rFonts w:ascii="Palatino Linotype" w:eastAsia="Palatino Linotype" w:hAnsi="Palatino Linotype" w:cs="Palatino Linotype"/>
          <w:i/>
          <w:sz w:val="22"/>
          <w:szCs w:val="22"/>
        </w:rPr>
      </w:pPr>
      <w:r w:rsidRPr="00DF5B9C">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o la clasificación de documentos confidenciales en su totalidad  que se formulen y se pongan a disposición de la parte Recurrente, mismo que igualmente hará de su conocimiento.</w:t>
      </w:r>
    </w:p>
    <w:p w14:paraId="5CB1A7AE" w14:textId="5585C708" w:rsidR="00ED67FF" w:rsidRPr="00DF5B9C" w:rsidRDefault="00ED67FF">
      <w:pPr>
        <w:pBdr>
          <w:top w:val="nil"/>
          <w:left w:val="nil"/>
          <w:bottom w:val="nil"/>
          <w:right w:val="nil"/>
          <w:between w:val="nil"/>
        </w:pBdr>
        <w:tabs>
          <w:tab w:val="left" w:pos="567"/>
          <w:tab w:val="left" w:pos="993"/>
        </w:tabs>
        <w:spacing w:line="276" w:lineRule="auto"/>
        <w:ind w:right="616"/>
        <w:jc w:val="both"/>
        <w:rPr>
          <w:rFonts w:ascii="Palatino Linotype" w:eastAsia="Palatino Linotype" w:hAnsi="Palatino Linotype" w:cs="Palatino Linotype"/>
          <w:i/>
          <w:sz w:val="22"/>
          <w:szCs w:val="22"/>
        </w:rPr>
      </w:pPr>
    </w:p>
    <w:p w14:paraId="083169BB" w14:textId="77777777" w:rsidR="00FE1DC7" w:rsidRPr="00DF5B9C" w:rsidRDefault="00FE1DC7">
      <w:pPr>
        <w:pBdr>
          <w:top w:val="nil"/>
          <w:left w:val="nil"/>
          <w:bottom w:val="nil"/>
          <w:right w:val="nil"/>
          <w:between w:val="nil"/>
        </w:pBdr>
        <w:tabs>
          <w:tab w:val="left" w:pos="567"/>
          <w:tab w:val="left" w:pos="993"/>
        </w:tabs>
        <w:spacing w:line="276" w:lineRule="auto"/>
        <w:ind w:right="616"/>
        <w:jc w:val="both"/>
        <w:rPr>
          <w:rFonts w:ascii="Palatino Linotype" w:eastAsia="Palatino Linotype" w:hAnsi="Palatino Linotype" w:cs="Palatino Linotype"/>
          <w:i/>
          <w:sz w:val="22"/>
          <w:szCs w:val="22"/>
        </w:rPr>
      </w:pPr>
    </w:p>
    <w:p w14:paraId="267AA191"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lastRenderedPageBreak/>
        <w:t>Tercero.</w:t>
      </w:r>
      <w:r w:rsidRPr="00DF5B9C">
        <w:rPr>
          <w:rFonts w:ascii="Palatino Linotype" w:eastAsia="Palatino Linotype" w:hAnsi="Palatino Linotype" w:cs="Palatino Linotype"/>
          <w:sz w:val="22"/>
          <w:szCs w:val="22"/>
        </w:rPr>
        <w:t xml:space="preserve"> </w:t>
      </w:r>
      <w:r w:rsidRPr="00DF5B9C">
        <w:rPr>
          <w:rFonts w:ascii="Palatino Linotype" w:eastAsia="Palatino Linotype" w:hAnsi="Palatino Linotype" w:cs="Palatino Linotype"/>
          <w:b/>
          <w:sz w:val="22"/>
          <w:szCs w:val="22"/>
        </w:rPr>
        <w:t xml:space="preserve">Notifíquese </w:t>
      </w:r>
      <w:r w:rsidRPr="00DF5B9C">
        <w:rPr>
          <w:rFonts w:ascii="Palatino Linotype" w:eastAsia="Palatino Linotype" w:hAnsi="Palatino Linotype" w:cs="Palatino Linotype"/>
          <w:sz w:val="22"/>
          <w:szCs w:val="22"/>
        </w:rPr>
        <w:t>vía</w:t>
      </w:r>
      <w:r w:rsidRPr="00DF5B9C">
        <w:rPr>
          <w:rFonts w:ascii="Palatino Linotype" w:eastAsia="Palatino Linotype" w:hAnsi="Palatino Linotype" w:cs="Palatino Linotype"/>
          <w:b/>
          <w:sz w:val="22"/>
          <w:szCs w:val="22"/>
        </w:rPr>
        <w:t xml:space="preserve"> SAIMEX </w:t>
      </w:r>
      <w:r w:rsidRPr="00DF5B9C">
        <w:rPr>
          <w:rFonts w:ascii="Palatino Linotype" w:eastAsia="Palatino Linotype" w:hAnsi="Palatino Linotype" w:cs="Palatino Linotype"/>
          <w:sz w:val="22"/>
          <w:szCs w:val="22"/>
        </w:rPr>
        <w:t xml:space="preserve">la presente resolución al </w:t>
      </w:r>
      <w:r w:rsidRPr="00DF5B9C">
        <w:rPr>
          <w:rFonts w:ascii="Palatino Linotype" w:eastAsia="Palatino Linotype" w:hAnsi="Palatino Linotype" w:cs="Palatino Linotype"/>
          <w:b/>
          <w:sz w:val="22"/>
          <w:szCs w:val="22"/>
        </w:rPr>
        <w:t xml:space="preserve">Titular de la Unidad de Transparencia </w:t>
      </w:r>
      <w:r w:rsidRPr="00DF5B9C">
        <w:rPr>
          <w:rFonts w:ascii="Palatino Linotype" w:eastAsia="Palatino Linotype" w:hAnsi="Palatino Linotype" w:cs="Palatino Linotype"/>
          <w:sz w:val="22"/>
          <w:szCs w:val="22"/>
        </w:rPr>
        <w:t xml:space="preserve">del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950BF8" w14:textId="77777777" w:rsidR="00ED67FF" w:rsidRPr="00DF5B9C" w:rsidRDefault="00ED67FF">
      <w:pPr>
        <w:spacing w:line="360" w:lineRule="auto"/>
        <w:ind w:right="49"/>
        <w:jc w:val="both"/>
        <w:rPr>
          <w:rFonts w:ascii="Palatino Linotype" w:eastAsia="Palatino Linotype" w:hAnsi="Palatino Linotype" w:cs="Palatino Linotype"/>
          <w:b/>
          <w:sz w:val="22"/>
          <w:szCs w:val="22"/>
        </w:rPr>
      </w:pPr>
    </w:p>
    <w:p w14:paraId="75F91031"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Cuarto.</w:t>
      </w:r>
      <w:r w:rsidRPr="00DF5B9C">
        <w:rPr>
          <w:rFonts w:ascii="Palatino Linotype" w:eastAsia="Palatino Linotype" w:hAnsi="Palatino Linotype" w:cs="Palatino Linotype"/>
          <w:sz w:val="22"/>
          <w:szCs w:val="22"/>
        </w:rPr>
        <w:t xml:space="preserve"> </w:t>
      </w:r>
      <w:r w:rsidRPr="00DF5B9C">
        <w:rPr>
          <w:rFonts w:ascii="Palatino Linotype" w:eastAsia="Palatino Linotype" w:hAnsi="Palatino Linotype" w:cs="Palatino Linotype"/>
          <w:b/>
          <w:sz w:val="22"/>
          <w:szCs w:val="22"/>
        </w:rPr>
        <w:t>Notifíquese vía SAIMEX</w:t>
      </w:r>
      <w:r w:rsidRPr="00DF5B9C">
        <w:rPr>
          <w:rFonts w:ascii="Palatino Linotype" w:eastAsia="Palatino Linotype" w:hAnsi="Palatino Linotype" w:cs="Palatino Linotype"/>
          <w:sz w:val="22"/>
          <w:szCs w:val="22"/>
        </w:rPr>
        <w:t xml:space="preserve"> a la parte </w:t>
      </w:r>
      <w:r w:rsidRPr="00DF5B9C">
        <w:rPr>
          <w:rFonts w:ascii="Palatino Linotype" w:eastAsia="Palatino Linotype" w:hAnsi="Palatino Linotype" w:cs="Palatino Linotype"/>
          <w:b/>
          <w:sz w:val="22"/>
          <w:szCs w:val="22"/>
        </w:rPr>
        <w:t xml:space="preserve">Recurrente </w:t>
      </w:r>
      <w:r w:rsidRPr="00DF5B9C">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EEF259A"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6782843F" w14:textId="77777777" w:rsidR="00ED67FF" w:rsidRPr="00DF5B9C" w:rsidRDefault="00644A6E">
      <w:pPr>
        <w:spacing w:line="360" w:lineRule="auto"/>
        <w:ind w:right="49"/>
        <w:jc w:val="both"/>
        <w:rPr>
          <w:rFonts w:ascii="Palatino Linotype" w:eastAsia="Palatino Linotype" w:hAnsi="Palatino Linotype" w:cs="Palatino Linotype"/>
          <w:sz w:val="22"/>
          <w:szCs w:val="22"/>
        </w:rPr>
      </w:pPr>
      <w:r w:rsidRPr="00DF5B9C">
        <w:rPr>
          <w:rFonts w:ascii="Palatino Linotype" w:eastAsia="Palatino Linotype" w:hAnsi="Palatino Linotype" w:cs="Palatino Linotype"/>
          <w:b/>
          <w:sz w:val="22"/>
          <w:szCs w:val="22"/>
        </w:rPr>
        <w:t>Quinto.</w:t>
      </w:r>
      <w:r w:rsidRPr="00DF5B9C">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DF5B9C">
        <w:rPr>
          <w:rFonts w:ascii="Palatino Linotype" w:eastAsia="Palatino Linotype" w:hAnsi="Palatino Linotype" w:cs="Palatino Linotype"/>
          <w:b/>
          <w:sz w:val="22"/>
          <w:szCs w:val="22"/>
        </w:rPr>
        <w:t>Sujeto Obligado</w:t>
      </w:r>
      <w:r w:rsidRPr="00DF5B9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518561B" w14:textId="77777777" w:rsidR="00ED67FF" w:rsidRPr="00DF5B9C" w:rsidRDefault="00ED67FF">
      <w:pPr>
        <w:spacing w:line="360" w:lineRule="auto"/>
        <w:ind w:right="49"/>
        <w:jc w:val="both"/>
        <w:rPr>
          <w:rFonts w:ascii="Palatino Linotype" w:eastAsia="Palatino Linotype" w:hAnsi="Palatino Linotype" w:cs="Palatino Linotype"/>
          <w:sz w:val="22"/>
          <w:szCs w:val="22"/>
        </w:rPr>
      </w:pPr>
    </w:p>
    <w:p w14:paraId="61AC0EE4" w14:textId="77777777" w:rsidR="00ED67FF" w:rsidRPr="00DF5B9C" w:rsidRDefault="00644A6E">
      <w:pPr>
        <w:spacing w:before="240" w:after="240" w:line="360" w:lineRule="auto"/>
        <w:jc w:val="both"/>
        <w:rPr>
          <w:rFonts w:ascii="Palatino Linotype" w:eastAsia="Palatino Linotype" w:hAnsi="Palatino Linotype" w:cs="Palatino Linotype"/>
          <w:sz w:val="22"/>
          <w:szCs w:val="22"/>
        </w:rPr>
        <w:sectPr w:rsidR="00ED67FF" w:rsidRPr="00DF5B9C">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bookmarkStart w:id="6" w:name="_heading=h.1fob9te" w:colFirst="0" w:colLast="0"/>
      <w:bookmarkEnd w:id="6"/>
      <w:r w:rsidRPr="00DF5B9C">
        <w:rPr>
          <w:rFonts w:ascii="Palatino Linotype" w:eastAsia="Palatino Linotype" w:hAnsi="Palatino Linotype" w:cs="Palatino Linotype"/>
          <w:sz w:val="22"/>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DIECISÉIS DE OCTUBRE DE DOS MIL VEINTICUATRO, ANTE EL SECRETARIO TÉCNICO DEL PLENO ALEXIS TAPIA RAMÍREZ.  </w:t>
      </w:r>
    </w:p>
    <w:p w14:paraId="20C42CCD" w14:textId="77777777" w:rsidR="00ED67FF" w:rsidRPr="00DF5B9C" w:rsidRDefault="00ED67FF">
      <w:pPr>
        <w:spacing w:line="360" w:lineRule="auto"/>
        <w:jc w:val="both"/>
        <w:rPr>
          <w:rFonts w:ascii="Palatino Linotype" w:eastAsia="Palatino Linotype" w:hAnsi="Palatino Linotype" w:cs="Palatino Linotype"/>
          <w:sz w:val="22"/>
          <w:szCs w:val="22"/>
        </w:rPr>
      </w:pPr>
    </w:p>
    <w:sectPr w:rsidR="00ED67FF" w:rsidRPr="00DF5B9C">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A4421" w14:textId="77777777" w:rsidR="008A2BFC" w:rsidRDefault="008A2BFC">
      <w:r>
        <w:separator/>
      </w:r>
    </w:p>
  </w:endnote>
  <w:endnote w:type="continuationSeparator" w:id="0">
    <w:p w14:paraId="15FEE542" w14:textId="77777777" w:rsidR="008A2BFC" w:rsidRDefault="008A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9B96" w14:textId="77777777" w:rsidR="00ED67FF" w:rsidRDefault="00644A6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6019E">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6019E">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3094A0B6" w14:textId="77777777" w:rsidR="00ED67FF" w:rsidRDefault="00ED67FF">
    <w:pPr>
      <w:pBdr>
        <w:top w:val="nil"/>
        <w:left w:val="nil"/>
        <w:bottom w:val="nil"/>
        <w:right w:val="nil"/>
        <w:between w:val="nil"/>
      </w:pBdr>
      <w:tabs>
        <w:tab w:val="center" w:pos="4252"/>
        <w:tab w:val="right" w:pos="8504"/>
      </w:tabs>
      <w:rPr>
        <w:color w:val="000000"/>
      </w:rPr>
    </w:pPr>
  </w:p>
  <w:p w14:paraId="50E62A14" w14:textId="77777777" w:rsidR="00ED67FF" w:rsidRDefault="00ED67F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1F8D" w14:textId="77777777" w:rsidR="00ED67FF" w:rsidRDefault="00644A6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6019E">
      <w:rPr>
        <w:rFonts w:ascii="Arial" w:eastAsia="Arial" w:hAnsi="Arial" w:cs="Arial"/>
        <w:b/>
        <w:noProof/>
        <w:color w:val="000000"/>
        <w:sz w:val="20"/>
        <w:szCs w:val="20"/>
      </w:rPr>
      <w:t>40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6019E">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348B1A3F" w14:textId="77777777" w:rsidR="00ED67FF" w:rsidRDefault="00ED67F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FF4A" w14:textId="77777777" w:rsidR="008A2BFC" w:rsidRDefault="008A2BFC">
      <w:r>
        <w:separator/>
      </w:r>
    </w:p>
  </w:footnote>
  <w:footnote w:type="continuationSeparator" w:id="0">
    <w:p w14:paraId="0571F1D4" w14:textId="77777777" w:rsidR="008A2BFC" w:rsidRDefault="008A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E31E" w14:textId="77777777" w:rsidR="00ED67FF" w:rsidRDefault="00644A6E">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1D6A4DFB" wp14:editId="123E537A">
          <wp:simplePos x="0" y="0"/>
          <wp:positionH relativeFrom="column">
            <wp:posOffset>-638174</wp:posOffset>
          </wp:positionH>
          <wp:positionV relativeFrom="paragraph">
            <wp:posOffset>-450214</wp:posOffset>
          </wp:positionV>
          <wp:extent cx="7809876" cy="10165823"/>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528" w:type="dxa"/>
      <w:tblInd w:w="3261" w:type="dxa"/>
      <w:tblLayout w:type="fixed"/>
      <w:tblLook w:val="0400" w:firstRow="0" w:lastRow="0" w:firstColumn="0" w:lastColumn="0" w:noHBand="0" w:noVBand="1"/>
    </w:tblPr>
    <w:tblGrid>
      <w:gridCol w:w="2551"/>
      <w:gridCol w:w="2977"/>
    </w:tblGrid>
    <w:tr w:rsidR="00ED67FF" w14:paraId="1F130BF8" w14:textId="77777777">
      <w:tc>
        <w:tcPr>
          <w:tcW w:w="2551" w:type="dxa"/>
          <w:vAlign w:val="center"/>
        </w:tcPr>
        <w:p w14:paraId="1FEBE3D2" w14:textId="77777777" w:rsidR="00ED67FF" w:rsidRDefault="00644A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78FB4AC" w14:textId="77777777" w:rsidR="00ED67FF" w:rsidRDefault="00644A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05139/INFOEM/IP/RR/2024</w:t>
          </w:r>
        </w:p>
      </w:tc>
    </w:tr>
    <w:tr w:rsidR="00ED67FF" w14:paraId="11BE1DE8" w14:textId="77777777">
      <w:trPr>
        <w:trHeight w:val="228"/>
      </w:trPr>
      <w:tc>
        <w:tcPr>
          <w:tcW w:w="2551" w:type="dxa"/>
          <w:vAlign w:val="center"/>
        </w:tcPr>
        <w:p w14:paraId="38BEE8A2" w14:textId="77777777" w:rsidR="00ED67FF" w:rsidRDefault="00644A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EEF69E5" w14:textId="77777777" w:rsidR="00ED67FF" w:rsidRDefault="00644A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 denominado OPERAGUA, O.P.D.M.</w:t>
          </w:r>
        </w:p>
      </w:tc>
    </w:tr>
    <w:tr w:rsidR="00ED67FF" w14:paraId="1595741C" w14:textId="77777777">
      <w:tc>
        <w:tcPr>
          <w:tcW w:w="2551" w:type="dxa"/>
          <w:vAlign w:val="center"/>
        </w:tcPr>
        <w:p w14:paraId="458E0B19" w14:textId="77777777" w:rsidR="00ED67FF" w:rsidRDefault="00644A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54C924C" w14:textId="77777777" w:rsidR="00ED67FF" w:rsidRDefault="00644A6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940B73" w14:textId="77777777" w:rsidR="00ED67FF" w:rsidRDefault="00644A6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DD2B" w14:textId="77777777" w:rsidR="00ED67FF" w:rsidRDefault="00644A6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C15391F" wp14:editId="553D573E">
          <wp:simplePos x="0" y="0"/>
          <wp:positionH relativeFrom="column">
            <wp:posOffset>-798193</wp:posOffset>
          </wp:positionH>
          <wp:positionV relativeFrom="paragraph">
            <wp:posOffset>-399413</wp:posOffset>
          </wp:positionV>
          <wp:extent cx="7809876" cy="10165823"/>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ED67FF" w14:paraId="725EC623" w14:textId="77777777">
      <w:tc>
        <w:tcPr>
          <w:tcW w:w="2551" w:type="dxa"/>
          <w:vAlign w:val="center"/>
        </w:tcPr>
        <w:p w14:paraId="3C87682E" w14:textId="77777777" w:rsidR="00ED67FF" w:rsidRDefault="00644A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1B470F9" w14:textId="77777777" w:rsidR="00ED67FF" w:rsidRDefault="00644A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05139/INFOEM/IP/RR/2024</w:t>
          </w:r>
        </w:p>
      </w:tc>
    </w:tr>
    <w:tr w:rsidR="00ED67FF" w14:paraId="3209786A" w14:textId="77777777">
      <w:tc>
        <w:tcPr>
          <w:tcW w:w="2551" w:type="dxa"/>
          <w:vAlign w:val="center"/>
        </w:tcPr>
        <w:p w14:paraId="38E42A12" w14:textId="77777777" w:rsidR="00ED67FF" w:rsidRDefault="00644A6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42ECA09" w14:textId="0A1ABD0F" w:rsidR="00ED67FF" w:rsidRDefault="00E80FD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w:t>
          </w:r>
        </w:p>
      </w:tc>
    </w:tr>
    <w:tr w:rsidR="00ED67FF" w14:paraId="13C3077E" w14:textId="77777777">
      <w:trPr>
        <w:trHeight w:val="228"/>
      </w:trPr>
      <w:tc>
        <w:tcPr>
          <w:tcW w:w="2551" w:type="dxa"/>
          <w:vAlign w:val="center"/>
        </w:tcPr>
        <w:p w14:paraId="305D3660" w14:textId="77777777" w:rsidR="00ED67FF" w:rsidRDefault="00644A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2FBDFBD" w14:textId="77777777" w:rsidR="00ED67FF" w:rsidRDefault="00644A6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 denominado OPERAGUA, O.P.D.M.</w:t>
          </w:r>
        </w:p>
      </w:tc>
    </w:tr>
    <w:tr w:rsidR="00ED67FF" w14:paraId="7EDC551E" w14:textId="77777777">
      <w:tc>
        <w:tcPr>
          <w:tcW w:w="2551" w:type="dxa"/>
          <w:vAlign w:val="center"/>
        </w:tcPr>
        <w:p w14:paraId="3C03183C" w14:textId="77777777" w:rsidR="00ED67FF" w:rsidRDefault="00644A6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DC58DC3" w14:textId="77777777" w:rsidR="00ED67FF" w:rsidRDefault="00644A6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5BA5396" w14:textId="77777777" w:rsidR="00ED67FF" w:rsidRDefault="00ED67F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5FB4" w14:textId="77777777" w:rsidR="00ED67FF" w:rsidRDefault="00ED67FF">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41430FD" w14:textId="77777777" w:rsidR="00ED67FF" w:rsidRDefault="00ED67F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D6805"/>
    <w:multiLevelType w:val="multilevel"/>
    <w:tmpl w:val="8E3046CA"/>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FED7EC2"/>
    <w:multiLevelType w:val="multilevel"/>
    <w:tmpl w:val="6DC242D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289B0D74"/>
    <w:multiLevelType w:val="multilevel"/>
    <w:tmpl w:val="7B8AD564"/>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9B45E8"/>
    <w:multiLevelType w:val="multilevel"/>
    <w:tmpl w:val="27CC3F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1C66DD"/>
    <w:multiLevelType w:val="multilevel"/>
    <w:tmpl w:val="0C4E5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7B03F1"/>
    <w:multiLevelType w:val="multilevel"/>
    <w:tmpl w:val="E8DE224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045678"/>
    <w:multiLevelType w:val="multilevel"/>
    <w:tmpl w:val="021436FE"/>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87457E"/>
    <w:multiLevelType w:val="multilevel"/>
    <w:tmpl w:val="68282C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7"/>
  </w:num>
  <w:num w:numId="5">
    <w:abstractNumId w:val="5"/>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7FF"/>
    <w:rsid w:val="000F314C"/>
    <w:rsid w:val="0016019E"/>
    <w:rsid w:val="00644A6E"/>
    <w:rsid w:val="008A2BFC"/>
    <w:rsid w:val="008D1204"/>
    <w:rsid w:val="00DF5B9C"/>
    <w:rsid w:val="00E80FD2"/>
    <w:rsid w:val="00ED67FF"/>
    <w:rsid w:val="00FE1D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42658"/>
  <w15:docId w15:val="{37495DAD-1AF6-44D6-A00A-70AA02E9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1D0919"/>
    <w:rPr>
      <w:color w:val="605E5C"/>
      <w:shd w:val="clear" w:color="auto" w:fill="E1DFDD"/>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jnLxi1iXApkcRlg6hf8DHcmSAw==">CgMxLjAyCWguM3pueXNoNzIIaC5namRneHMyCWguMzBqMHpsbDIJaC4zZHk2dmttMgloLjRkMzRvZzgyCWguMnM4ZXlvMTIJaC4xZm9iOXRlOAByITFNd09EYTlVTGx1ajltajZ6aVJpQjhaMEstMUdDOFZiQg==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7916</Words>
  <Characters>43542</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2024-10-18T20:22:00Z</cp:lastPrinted>
  <dcterms:created xsi:type="dcterms:W3CDTF">2024-10-25T18:15:00Z</dcterms:created>
  <dcterms:modified xsi:type="dcterms:W3CDTF">2024-10-25T18:15:00Z</dcterms:modified>
</cp:coreProperties>
</file>