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C16F" w14:textId="77777777" w:rsidR="00B01F10" w:rsidRDefault="00EE7D75">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rPr>
        <w:t xml:space="preserve">fecha </w:t>
      </w:r>
      <w:r>
        <w:rPr>
          <w:rFonts w:ascii="Palatino Linotype" w:eastAsia="Palatino Linotype" w:hAnsi="Palatino Linotype" w:cs="Palatino Linotype"/>
          <w:color w:val="000000"/>
        </w:rPr>
        <w:t>diecinueve (19) de junio de dos mil veinticuatro.</w:t>
      </w:r>
    </w:p>
    <w:p w14:paraId="69659723" w14:textId="77777777" w:rsidR="00B01F10" w:rsidRDefault="00B01F10">
      <w:pPr>
        <w:tabs>
          <w:tab w:val="left" w:pos="3465"/>
        </w:tabs>
        <w:spacing w:line="360" w:lineRule="auto"/>
        <w:jc w:val="both"/>
        <w:rPr>
          <w:rFonts w:ascii="Palatino Linotype" w:eastAsia="Palatino Linotype" w:hAnsi="Palatino Linotype" w:cs="Palatino Linotype"/>
          <w:color w:val="000000"/>
        </w:rPr>
      </w:pPr>
    </w:p>
    <w:p w14:paraId="7964156B" w14:textId="71499AEF" w:rsidR="00B01F10" w:rsidRDefault="00EE7D7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01373/INFOEM/IP/RR/2024</w:t>
      </w:r>
      <w:r>
        <w:rPr>
          <w:rFonts w:ascii="Palatino Linotype" w:eastAsia="Palatino Linotype" w:hAnsi="Palatino Linotype" w:cs="Palatino Linotype"/>
          <w:color w:val="000000"/>
        </w:rPr>
        <w:t xml:space="preserve">, interpuesto por </w:t>
      </w:r>
      <w:r w:rsidR="005068DD">
        <w:rPr>
          <w:rFonts w:ascii="Palatino Linotype" w:eastAsia="Palatino Linotype" w:hAnsi="Palatino Linotype" w:cs="Palatino Linotype"/>
          <w:b/>
          <w:color w:val="000000"/>
        </w:rPr>
        <w:t>XXX XXX</w:t>
      </w:r>
      <w:r>
        <w:rPr>
          <w:rFonts w:ascii="Palatino Linotype" w:eastAsia="Palatino Linotype" w:hAnsi="Palatino Linotype" w:cs="Palatino Linotype"/>
          <w:color w:val="000000"/>
        </w:rPr>
        <w:t xml:space="preserve">, en lo sucesivo la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San Felipe del Progreso</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0F96A5CE" w14:textId="77777777" w:rsidR="00B01F10" w:rsidRDefault="00B01F10">
      <w:pPr>
        <w:spacing w:line="360" w:lineRule="auto"/>
        <w:jc w:val="both"/>
        <w:rPr>
          <w:rFonts w:ascii="Palatino Linotype" w:eastAsia="Palatino Linotype" w:hAnsi="Palatino Linotype" w:cs="Palatino Linotype"/>
          <w:b/>
          <w:color w:val="000000"/>
        </w:rPr>
      </w:pPr>
    </w:p>
    <w:p w14:paraId="21639419" w14:textId="77777777" w:rsidR="00B01F10" w:rsidRDefault="00EE7D75">
      <w:pPr>
        <w:pStyle w:val="Ttulo1"/>
        <w:spacing w:before="0" w:line="360" w:lineRule="auto"/>
        <w:jc w:val="center"/>
        <w:rPr>
          <w:b/>
          <w:color w:val="000000"/>
        </w:rPr>
      </w:pPr>
      <w:bookmarkStart w:id="0" w:name="_heading=h.gjdgxs" w:colFirst="0" w:colLast="0"/>
      <w:bookmarkEnd w:id="0"/>
      <w:r>
        <w:rPr>
          <w:b/>
          <w:color w:val="000000"/>
        </w:rPr>
        <w:t>A N T E C E D E N T E S</w:t>
      </w:r>
    </w:p>
    <w:p w14:paraId="043548C5"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B355E33"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(07) de marzo de dos mil veinticuatro</w:t>
      </w:r>
      <w:r>
        <w:rPr>
          <w:rFonts w:ascii="Palatino Linotype" w:eastAsia="Palatino Linotype" w:hAnsi="Palatino Linotype" w:cs="Palatino Linotype"/>
          <w:color w:val="000000"/>
        </w:rPr>
        <w:t>, la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Pr>
          <w:rFonts w:ascii="Palatino Linotype" w:eastAsia="Palatino Linotype" w:hAnsi="Palatino Linotype" w:cs="Palatino Linotype"/>
          <w:b/>
          <w:color w:val="000000"/>
        </w:rPr>
        <w:t>00019/FELIPRO/IP/2024,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requirió lo siguiente:</w:t>
      </w:r>
    </w:p>
    <w:p w14:paraId="196B7996" w14:textId="77777777" w:rsidR="00B01F10"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4B2425AA" w14:textId="68D6061A" w:rsidR="00B01F10"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“Copia del CERTIFICADO PARCELARIO </w:t>
      </w:r>
      <w:r w:rsidR="005068DD">
        <w:rPr>
          <w:rFonts w:ascii="Palatino Linotype" w:eastAsia="Palatino Linotype" w:hAnsi="Palatino Linotype" w:cs="Palatino Linotype"/>
          <w:i/>
          <w:color w:val="000000"/>
        </w:rPr>
        <w:t>0</w:t>
      </w:r>
      <w:r>
        <w:rPr>
          <w:rFonts w:ascii="Palatino Linotype" w:eastAsia="Palatino Linotype" w:hAnsi="Palatino Linotype" w:cs="Palatino Linotype"/>
          <w:i/>
          <w:color w:val="000000"/>
        </w:rPr>
        <w:t xml:space="preserve"> SUPERFICIE DE HECTARIAS Y QUE SE ENCUENTRA UBICADA EN EL EJIDO DE SAN JERONIMO BONCHETE, MUNICIPIO DE SAN FELIPE DEL PROGRESO, ACREDITA CERTIFICADO PARCELARIO EN ORIGINAL EXPEDIDO POR EL REGISTRO AGRARIO NACIONAL.” </w:t>
      </w:r>
      <w:r>
        <w:rPr>
          <w:rFonts w:ascii="Palatino Linotype" w:eastAsia="Palatino Linotype" w:hAnsi="Palatino Linotype" w:cs="Palatino Linotype"/>
          <w:color w:val="000000"/>
        </w:rPr>
        <w:t>(Sic).</w:t>
      </w:r>
    </w:p>
    <w:p w14:paraId="44C5D11C" w14:textId="77777777" w:rsidR="00B01F10" w:rsidRDefault="00B01F10">
      <w:pPr>
        <w:spacing w:line="360" w:lineRule="auto"/>
        <w:ind w:right="333"/>
        <w:jc w:val="both"/>
        <w:rPr>
          <w:rFonts w:ascii="Palatino Linotype" w:eastAsia="Palatino Linotype" w:hAnsi="Palatino Linotype" w:cs="Palatino Linotype"/>
          <w:color w:val="000000"/>
        </w:rPr>
      </w:pPr>
    </w:p>
    <w:p w14:paraId="73F3FDA7"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7256F1BE"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once (11) 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0C84EC74" w14:textId="77777777" w:rsidR="00B01F10"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 “En seguimiento y atención de su petición, presentada mediante el Sistema de Control de Solicitudes de Información del Estado de México (SAIMEX). Con fundamento en el artículo 12 y 167 de la Ley de Transparencia y Acceso a la Información Pública del Estado de México y Municipios, a su pedimento me permito informarle que usted puede obtener el documento que solicita a través del Registro Agrario Nacional, puede consultar los requisitos y procesos del tramite en el siguiente link: https://www.gob.mx/tramites/ficha/solicita-ante-el-ran-la-reposicion-de-tus-certificado-en-caso-de-la-perdida-o-extravio/RAN2342 Así mismo, informarle que este ayuntamiento no emite dicha información. Con base en lo anterior reciba un cordial saludo.”</w:t>
      </w:r>
      <w:r>
        <w:rPr>
          <w:rFonts w:ascii="Palatino Linotype" w:eastAsia="Palatino Linotype" w:hAnsi="Palatino Linotype" w:cs="Palatino Linotype"/>
          <w:color w:val="000000"/>
          <w:sz w:val="22"/>
          <w:szCs w:val="22"/>
        </w:rPr>
        <w:t xml:space="preserve"> (Sic.)</w:t>
      </w:r>
    </w:p>
    <w:p w14:paraId="626FDD4E" w14:textId="77777777" w:rsidR="00B01F10" w:rsidRDefault="00B01F10">
      <w:pPr>
        <w:pBdr>
          <w:top w:val="nil"/>
          <w:left w:val="nil"/>
          <w:bottom w:val="nil"/>
          <w:right w:val="nil"/>
          <w:between w:val="nil"/>
        </w:pBdr>
        <w:ind w:right="567"/>
        <w:jc w:val="both"/>
        <w:rPr>
          <w:rFonts w:ascii="Palatino Linotype" w:eastAsia="Palatino Linotype" w:hAnsi="Palatino Linotype" w:cs="Palatino Linotype"/>
          <w:color w:val="000000"/>
        </w:rPr>
      </w:pPr>
    </w:p>
    <w:p w14:paraId="7889D7E4" w14:textId="77777777" w:rsidR="00B01F10"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Adjunto al acuse de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a el particular un archivo electrónico, cuyo nombre y contenido se resume a continuación:</w:t>
      </w:r>
    </w:p>
    <w:p w14:paraId="5B2C4EDF" w14:textId="77777777" w:rsidR="00B01F10" w:rsidRDefault="00EE7D75">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rPr>
      </w:pPr>
      <w:r>
        <w:rPr>
          <w:rFonts w:ascii="Palatino Linotype" w:eastAsia="Palatino Linotype" w:hAnsi="Palatino Linotype" w:cs="Palatino Linotype"/>
          <w:b/>
          <w:i/>
          <w:color w:val="000000"/>
          <w:sz w:val="22"/>
          <w:szCs w:val="22"/>
        </w:rPr>
        <w:t>“null.pdf”</w:t>
      </w:r>
      <w:r>
        <w:rPr>
          <w:rFonts w:ascii="Palatino Linotype" w:eastAsia="Palatino Linotype" w:hAnsi="Palatino Linotype" w:cs="Palatino Linotype"/>
          <w:color w:val="000000"/>
          <w:sz w:val="22"/>
          <w:szCs w:val="22"/>
        </w:rPr>
        <w:t>: Documento consistente en una foja en blanco, sin ningún tipo de contenido.</w:t>
      </w:r>
    </w:p>
    <w:p w14:paraId="4DDAA364" w14:textId="77777777" w:rsidR="00B01F10" w:rsidRDefault="00B01F1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57BB201F" w14:textId="77777777" w:rsidR="00B01F10"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once (11) de marzo de dos mil veinticuatro</w:t>
      </w:r>
      <w:r>
        <w:rPr>
          <w:rFonts w:ascii="Palatino Linotype" w:eastAsia="Palatino Linotype" w:hAnsi="Palatino Linotype" w:cs="Palatino Linotype"/>
          <w:color w:val="000000"/>
        </w:rPr>
        <w:t xml:space="preserve">, la particular interpuso el recurso de revisión </w:t>
      </w:r>
      <w:r>
        <w:rPr>
          <w:rFonts w:ascii="Palatino Linotype" w:eastAsia="Palatino Linotype" w:hAnsi="Palatino Linotype" w:cs="Palatino Linotype"/>
          <w:b/>
          <w:color w:val="000000"/>
        </w:rPr>
        <w:t>01373/INFOEM/IP/RR/2024</w:t>
      </w:r>
      <w:r>
        <w:rPr>
          <w:rFonts w:ascii="Palatino Linotype" w:eastAsia="Palatino Linotype" w:hAnsi="Palatino Linotype" w:cs="Palatino Linotype"/>
          <w:color w:val="000000"/>
        </w:rPr>
        <w:t>; impugnación en la que refirió lo siguiente:</w:t>
      </w:r>
    </w:p>
    <w:p w14:paraId="40CC3B93" w14:textId="77777777" w:rsidR="00B01F10" w:rsidRDefault="00EE7D75">
      <w:pPr>
        <w:numPr>
          <w:ilvl w:val="0"/>
          <w:numId w:val="4"/>
        </w:numPr>
        <w:pBdr>
          <w:top w:val="nil"/>
          <w:left w:val="nil"/>
          <w:bottom w:val="nil"/>
          <w:right w:val="nil"/>
          <w:between w:val="nil"/>
        </w:pBdr>
        <w:tabs>
          <w:tab w:val="left" w:pos="993"/>
        </w:tabs>
        <w:spacing w:line="276" w:lineRule="auto"/>
        <w:ind w:left="1134"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NO ENTREGO NINGUNA RESPUESTA ESCRITA POR SU UNIDAD DE TRANSPARENCIA”</w:t>
      </w:r>
      <w:r>
        <w:rPr>
          <w:rFonts w:ascii="Palatino Linotype" w:eastAsia="Palatino Linotype" w:hAnsi="Palatino Linotype" w:cs="Palatino Linotype"/>
          <w:color w:val="000000"/>
          <w:sz w:val="22"/>
          <w:szCs w:val="22"/>
        </w:rPr>
        <w:t xml:space="preserve"> (Sic).</w:t>
      </w:r>
    </w:p>
    <w:p w14:paraId="761648F8" w14:textId="77777777" w:rsidR="00B01F10" w:rsidRDefault="00EE7D75">
      <w:pPr>
        <w:numPr>
          <w:ilvl w:val="0"/>
          <w:numId w:val="4"/>
        </w:numPr>
        <w:pBdr>
          <w:top w:val="nil"/>
          <w:left w:val="nil"/>
          <w:bottom w:val="nil"/>
          <w:right w:val="nil"/>
          <w:between w:val="nil"/>
        </w:pBdr>
        <w:tabs>
          <w:tab w:val="left" w:pos="993"/>
        </w:tabs>
        <w:spacing w:line="276" w:lineRule="auto"/>
        <w:ind w:left="1134"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“CERO RESPUESTA”</w:t>
      </w:r>
      <w:r>
        <w:rPr>
          <w:rFonts w:ascii="Palatino Linotype" w:eastAsia="Palatino Linotype" w:hAnsi="Palatino Linotype" w:cs="Palatino Linotype"/>
          <w:color w:val="000000"/>
          <w:sz w:val="22"/>
          <w:szCs w:val="22"/>
        </w:rPr>
        <w:t xml:space="preserve"> (Sic)</w:t>
      </w:r>
    </w:p>
    <w:p w14:paraId="4FFA58BD"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22B343C"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01373/INFOEM/IP/RR/2024</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5E7FB903"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4E99269"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w:t>
      </w:r>
      <w:r>
        <w:rPr>
          <w:rFonts w:ascii="Palatino Linotype" w:eastAsia="Palatino Linotype" w:hAnsi="Palatino Linotype" w:cs="Palatino Linotype"/>
          <w:b/>
          <w:color w:val="000000"/>
        </w:rPr>
        <w:t>diecinueve (19) de marzo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procedente.</w:t>
      </w:r>
    </w:p>
    <w:p w14:paraId="6FA2BCAE"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12D46B0"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dentro del expediente digital formado en el SAIMEX,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presentó su informe justificado para confirmar, modificar o revocar su respuesta original; en el mismo sentido,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omitió el presentar cualquier tipo de alegatos o manifestaciones. Se adjunta la captura del apartado de </w:t>
      </w:r>
      <w:r>
        <w:rPr>
          <w:rFonts w:ascii="Palatino Linotype" w:eastAsia="Palatino Linotype" w:hAnsi="Palatino Linotype" w:cs="Palatino Linotype"/>
          <w:i/>
          <w:color w:val="000000"/>
        </w:rPr>
        <w:t>Manifestaciones</w:t>
      </w:r>
      <w:r>
        <w:rPr>
          <w:rFonts w:ascii="Palatino Linotype" w:eastAsia="Palatino Linotype" w:hAnsi="Palatino Linotype" w:cs="Palatino Linotype"/>
          <w:color w:val="000000"/>
        </w:rPr>
        <w:t xml:space="preserve"> como referencia:</w:t>
      </w:r>
    </w:p>
    <w:p w14:paraId="50FDA1EE"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D3A190E" w14:textId="77777777" w:rsidR="00B01F10" w:rsidRDefault="00EE7D75">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6E093140" wp14:editId="71B34B6C">
            <wp:extent cx="4931183" cy="1137665"/>
            <wp:effectExtent l="12700" t="12700" r="12700" b="127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31183" cy="1137665"/>
                    </a:xfrm>
                    <a:prstGeom prst="rect">
                      <a:avLst/>
                    </a:prstGeom>
                    <a:ln w="12700">
                      <a:solidFill>
                        <a:srgbClr val="000000"/>
                      </a:solidFill>
                      <a:prstDash val="solid"/>
                    </a:ln>
                  </pic:spPr>
                </pic:pic>
              </a:graphicData>
            </a:graphic>
          </wp:inline>
        </w:drawing>
      </w:r>
    </w:p>
    <w:p w14:paraId="28DFEFA6"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1F98AAC"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seis (06) de junio de dos mil veinticuatro</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4D49BA61"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0800989"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AFA8EA1"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93EA9BB"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4022C7E"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271DB81"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FEB5C3"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A8FC1C5"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8098ACA"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11E5AA0"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 dicha dilación atendiendo a los siguientes criterios:</w:t>
      </w:r>
    </w:p>
    <w:p w14:paraId="04876D8B" w14:textId="77777777" w:rsidR="00B01F10"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5A821090" w14:textId="77777777" w:rsidR="00B01F10"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4AC249F3" w14:textId="77777777" w:rsidR="00B01F10"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1A9BBD81" w14:textId="77777777" w:rsidR="00B01F10"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63C1C99D"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C607E61"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DD09C2"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6CC2C00"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61C0AB47"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77B43C"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64A3BCA"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8E46DA0" w14:textId="77777777" w:rsidR="00B01F10"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14:paraId="1E4E8AA3" w14:textId="77777777" w:rsidR="00B01F10"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46295E30" w14:textId="77777777" w:rsidR="00B01F10"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w:t>
      </w:r>
      <w:r>
        <w:rPr>
          <w:rFonts w:ascii="Palatino Linotype" w:eastAsia="Palatino Linotype" w:hAnsi="Palatino Linotype" w:cs="Palatino Linotype"/>
          <w:i/>
          <w:color w:val="000000"/>
          <w:sz w:val="22"/>
          <w:szCs w:val="22"/>
        </w:rPr>
        <w:lastRenderedPageBreak/>
        <w:t>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14:paraId="3C0F4283"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07764B9"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6F5FCB78"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90DB89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lastRenderedPageBreak/>
        <w:t xml:space="preserve">Finalmente, el </w:t>
      </w:r>
      <w:r>
        <w:rPr>
          <w:rFonts w:ascii="Palatino Linotype" w:eastAsia="Palatino Linotype" w:hAnsi="Palatino Linotype" w:cs="Palatino Linotype"/>
          <w:b/>
          <w:color w:val="000000"/>
        </w:rPr>
        <w:t>seis (06) de junio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r w:rsidR="00A63595">
        <w:rPr>
          <w:rFonts w:ascii="Palatino Linotype" w:eastAsia="Palatino Linotype" w:hAnsi="Palatino Linotype" w:cs="Palatino Linotype"/>
          <w:color w:val="000000"/>
        </w:rPr>
        <w:t>---------------------------</w:t>
      </w:r>
    </w:p>
    <w:p w14:paraId="2E7099AF" w14:textId="77777777" w:rsidR="00A63595" w:rsidRDefault="00A63595" w:rsidP="00A63595">
      <w:bookmarkStart w:id="3" w:name="_heading=h.wee2tkd1eq3l" w:colFirst="0" w:colLast="0"/>
      <w:bookmarkStart w:id="4" w:name="_heading=h.3znysh7" w:colFirst="0" w:colLast="0"/>
      <w:bookmarkEnd w:id="3"/>
      <w:bookmarkEnd w:id="4"/>
    </w:p>
    <w:p w14:paraId="30C493F6" w14:textId="77777777" w:rsidR="00A63595" w:rsidRDefault="00A63595" w:rsidP="00A63595"/>
    <w:p w14:paraId="006CFF7D" w14:textId="77777777" w:rsidR="00B01F10" w:rsidRPr="00A63595" w:rsidRDefault="00A63595" w:rsidP="00A63595">
      <w:pPr>
        <w:jc w:val="center"/>
        <w:rPr>
          <w:rFonts w:ascii="Palatino Linotype" w:hAnsi="Palatino Linotype"/>
          <w:b/>
          <w:color w:val="000000"/>
        </w:rPr>
      </w:pPr>
      <w:r w:rsidRPr="00A63595">
        <w:rPr>
          <w:rFonts w:ascii="Palatino Linotype" w:hAnsi="Palatino Linotype"/>
        </w:rPr>
        <w:t>C</w:t>
      </w:r>
      <w:r w:rsidR="00EE7D75" w:rsidRPr="00A63595">
        <w:rPr>
          <w:rFonts w:ascii="Palatino Linotype" w:hAnsi="Palatino Linotype"/>
          <w:b/>
          <w:color w:val="000000"/>
        </w:rPr>
        <w:t xml:space="preserve"> O N S I D E R A N D O</w:t>
      </w:r>
    </w:p>
    <w:p w14:paraId="70921DF2" w14:textId="77777777" w:rsidR="00B01F10" w:rsidRDefault="00B01F10">
      <w:pPr>
        <w:rPr>
          <w:color w:val="000000"/>
        </w:rPr>
      </w:pPr>
    </w:p>
    <w:p w14:paraId="3093CE51" w14:textId="77777777" w:rsidR="00B01F10" w:rsidRDefault="00B01F10">
      <w:pPr>
        <w:rPr>
          <w:color w:val="000000"/>
        </w:rPr>
      </w:pPr>
    </w:p>
    <w:p w14:paraId="315ED31E" w14:textId="77777777" w:rsidR="00B01F10" w:rsidRDefault="00EE7D75">
      <w:pPr>
        <w:pStyle w:val="Ttulo2"/>
        <w:spacing w:before="0"/>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1DD5E9A3"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270CD7C"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C87DB86" w14:textId="77777777" w:rsidR="00B01F10" w:rsidRDefault="00EE7D75">
      <w:pPr>
        <w:pStyle w:val="Ttulo2"/>
        <w:tabs>
          <w:tab w:val="left" w:pos="426"/>
        </w:tabs>
        <w:spacing w:before="0"/>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14:paraId="72FD7679"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once (11) de marzo de dos mil veinticuatro</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 xml:space="preserve">doce (12) de marzo </w:t>
      </w:r>
      <w:r>
        <w:rPr>
          <w:rFonts w:ascii="Palatino Linotype" w:eastAsia="Palatino Linotype" w:hAnsi="Palatino Linotype" w:cs="Palatino Linotype"/>
        </w:rPr>
        <w:t>al</w:t>
      </w:r>
      <w:r>
        <w:rPr>
          <w:rFonts w:ascii="Palatino Linotype" w:eastAsia="Palatino Linotype" w:hAnsi="Palatino Linotype" w:cs="Palatino Linotype"/>
          <w:b/>
        </w:rPr>
        <w:t xml:space="preserve"> nueve (09) de abril de dos mil veinticuatro</w:t>
      </w:r>
      <w:r>
        <w:rPr>
          <w:rFonts w:ascii="Palatino Linotype" w:eastAsia="Palatino Linotype" w:hAnsi="Palatino Linotype" w:cs="Palatino Linotype"/>
        </w:rPr>
        <w:t xml:space="preserve">; sin contemplar en el cómputo los sábados, domingos y </w:t>
      </w:r>
      <w:r>
        <w:rPr>
          <w:rFonts w:ascii="Palatino Linotype" w:eastAsia="Palatino Linotype" w:hAnsi="Palatino Linotype" w:cs="Palatino Linotype"/>
        </w:rPr>
        <w:lastRenderedPageBreak/>
        <w:t>días inhábiles, en términos del artículo 3, fracción X, de la Ley de Transparencia y Acceso a la Información Pública del Estado de México y Municipios.</w:t>
      </w:r>
    </w:p>
    <w:p w14:paraId="00B6F526"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05E76995"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obran dentro del expediente digital, formado en el SAIMEX, se aprecia que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su inconformidad el </w:t>
      </w:r>
      <w:r>
        <w:rPr>
          <w:rFonts w:ascii="Palatino Linotype" w:eastAsia="Palatino Linotype" w:hAnsi="Palatino Linotype" w:cs="Palatino Linotype"/>
          <w:b/>
        </w:rPr>
        <w:t>once (11) de marzo de dos mil veinticuatro</w:t>
      </w:r>
      <w:r>
        <w:rPr>
          <w:rFonts w:ascii="Palatino Linotype" w:eastAsia="Palatino Linotype" w:hAnsi="Palatino Linotype" w:cs="Palatino Linotype"/>
        </w:rPr>
        <w:t xml:space="preserve">; esto es, un día antes de que iniciara el plazo precitado, </w:t>
      </w:r>
      <w:r>
        <w:rPr>
          <w:rFonts w:ascii="Palatino Linotype" w:eastAsia="Palatino Linotype" w:hAnsi="Palatino Linotype" w:cs="Palatino Linotype"/>
          <w:b/>
        </w:rPr>
        <w:t>circunstancia que no es determinante para declarar extemporaneidad</w:t>
      </w:r>
      <w:r>
        <w:rPr>
          <w:rFonts w:ascii="Palatino Linotype" w:eastAsia="Palatino Linotype" w:hAnsi="Palatino Linotype" w:cs="Palatino Linotype"/>
        </w:rPr>
        <w:t>, toda vez que el tiempo concedido es para delimitar el término en que se puede impugnar las respuestas, luego entonces, no impide que se presente antes de iniciado el plazo concedido.</w:t>
      </w:r>
    </w:p>
    <w:p w14:paraId="19CA2424"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7AD94216"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respecto, cabe señalar que cuando el medio de impugnación se haya interpuesto el mismo día en que se notificó la respuesta impugnada, resulta insuficiente para tener por extemporáneo el recurso de revisión de mérito, toda vez que la Ley de Transparencia y Acceso a la Información Pública del Estado de México y Municipios sólo establece que este medio de defensa se ha de promover dentro de los 15 días hábiles siguientes en que se tenga conocimiento de la respuesta impugnada; sin embargo, no prohíbe que el recurso de revisión se presente el mismo día en que ésta fue notificada. Por lo que es de señalar que, en aras de privilegiar el derecho de acceso a la información, se entrará al estudio del presente recurso de revisión sin que la fecha en que se presentó afecte la resolución.</w:t>
      </w:r>
    </w:p>
    <w:p w14:paraId="7BC95216"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755F1165"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Discernimiento de este Órgano Garante que se robustece con la jurisprudencia número 1a./J. 41/2015 (10a.), Décima Época, sustentada por la Primera Sala de la Suprema Corte de Justicia de la Nación, visible en la página 569, libro 19, tomo I, de la </w:t>
      </w:r>
      <w:r>
        <w:rPr>
          <w:rFonts w:ascii="Palatino Linotype" w:eastAsia="Palatino Linotype" w:hAnsi="Palatino Linotype" w:cs="Palatino Linotype"/>
        </w:rPr>
        <w:lastRenderedPageBreak/>
        <w:t>Gaceta del Semanario Judicial de la Federación, del mes de junio de 2015, cuyo rubro y texto disponen:</w:t>
      </w:r>
    </w:p>
    <w:p w14:paraId="5B2B5630" w14:textId="77777777" w:rsidR="00B01F10" w:rsidRDefault="00EE7D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RECURSO DE RECLAMACIÓN. SU INTERPOSICIÓN NO ES EXTEMPORÁNEA SI SE REALIZA ANTES DE QUE INICIE EL PLAZO PARA HACERLO. </w:t>
      </w:r>
      <w:r>
        <w:rPr>
          <w:rFonts w:ascii="Palatino Linotype" w:eastAsia="Palatino Linotype" w:hAnsi="Palatino Linotype" w:cs="Palatino Linotype"/>
          <w:i/>
          <w:color w:val="000000"/>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8964B14"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28CAF75D"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porque, en primer lugar, es necesario que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ser notificada,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actúe, ya que, por el contrario, lo que demuestra es el interés de éste para ejercer su derecho bajo el principio constitucional de justicia expedita.</w:t>
      </w:r>
    </w:p>
    <w:p w14:paraId="0D806E00"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1308A6DB"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lo que la presentación del recurso de revisión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4DF5E385" w14:textId="77777777" w:rsidR="00B01F10" w:rsidRDefault="00B01F10">
      <w:pPr>
        <w:tabs>
          <w:tab w:val="left" w:pos="426"/>
        </w:tabs>
        <w:spacing w:line="360" w:lineRule="auto"/>
        <w:ind w:right="49"/>
        <w:jc w:val="both"/>
        <w:rPr>
          <w:rFonts w:ascii="Palatino Linotype" w:eastAsia="Palatino Linotype" w:hAnsi="Palatino Linotype" w:cs="Palatino Linotype"/>
        </w:rPr>
      </w:pPr>
    </w:p>
    <w:p w14:paraId="6D26357D" w14:textId="77777777" w:rsidR="00B01F10" w:rsidRDefault="00EE7D75">
      <w:pPr>
        <w:numPr>
          <w:ilvl w:val="0"/>
          <w:numId w:val="3"/>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la interposición del recurso de revisión antes de que inicie el plazo para su presentación no es determinante para declararlo extemporáneo, siempre y cuando ello </w:t>
      </w:r>
      <w:r>
        <w:rPr>
          <w:rFonts w:ascii="Palatino Linotype" w:eastAsia="Palatino Linotype" w:hAnsi="Palatino Linotype" w:cs="Palatino Linotype"/>
        </w:rPr>
        <w:lastRenderedPageBreak/>
        <w:t xml:space="preserve">ocurra de manera posterior a que se haya notificado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-tal como ocurre en el presente asunto-.</w:t>
      </w:r>
    </w:p>
    <w:p w14:paraId="6DDEE3E2" w14:textId="77777777" w:rsidR="00B01F10"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AD94F76"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DCA2D2C" w14:textId="77777777" w:rsidR="00B01F10"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033B983" w14:textId="77777777" w:rsidR="00B01F10" w:rsidRDefault="00EE7D7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0B60D034" w14:textId="77777777" w:rsidR="00B01F10"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bookmarkStart w:id="8" w:name="_heading=h.1t3h5sf" w:colFirst="0" w:colLast="0"/>
      <w:bookmarkEnd w:id="8"/>
      <w:r>
        <w:rPr>
          <w:rFonts w:ascii="Palatino Linotype" w:eastAsia="Palatino Linotype" w:hAnsi="Palatino Linotype" w:cs="Palatino Linotype"/>
          <w:color w:val="000000"/>
        </w:rPr>
        <w:t xml:space="preserve">Se requirió la copia de un Certificado Parcelario, con número específico y que ampara una parcela ubicada en el Ejido de San Jerónimo Bonchete.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manifestó incompetente para poseer la información y, orientó a la particular a dirigir su solicitud ante el Registro Agrario Nacional.</w:t>
      </w:r>
    </w:p>
    <w:p w14:paraId="1C2006E0" w14:textId="77777777" w:rsidR="00B01F10"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3B48AC2" w14:textId="77777777" w:rsidR="00B01F10"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mediante el recurso de revisión con número indicado al rubro, y en el que señaló por agravios, esencialmente, la falta de respuesta escrita.</w:t>
      </w:r>
    </w:p>
    <w:p w14:paraId="103BDD9E" w14:textId="77777777" w:rsidR="00A63595" w:rsidRDefault="00A63595" w:rsidP="00A63595">
      <w:pPr>
        <w:pStyle w:val="Prrafodelista"/>
        <w:rPr>
          <w:rFonts w:ascii="Palatino Linotype" w:eastAsia="Palatino Linotype" w:hAnsi="Palatino Linotype" w:cs="Palatino Linotype"/>
          <w:color w:val="000000"/>
        </w:rPr>
      </w:pPr>
    </w:p>
    <w:p w14:paraId="63B19F28" w14:textId="77777777" w:rsidR="00B01F10"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w:t>
      </w:r>
      <w:r>
        <w:rPr>
          <w:rFonts w:ascii="Palatino Linotype" w:eastAsia="Palatino Linotype" w:hAnsi="Palatino Linotype" w:cs="Palatino Linotype"/>
        </w:rPr>
        <w:t>contenidos</w:t>
      </w:r>
      <w:r>
        <w:rPr>
          <w:rFonts w:ascii="Palatino Linotype" w:eastAsia="Palatino Linotype" w:hAnsi="Palatino Linotype" w:cs="Palatino Linotype"/>
          <w:color w:val="000000"/>
        </w:rPr>
        <w:t xml:space="preserve"> en el artículo 11 de la Ley de Transparencia y Acceso a la Información Pública del </w:t>
      </w:r>
      <w:r>
        <w:rPr>
          <w:rFonts w:ascii="Palatino Linotype" w:eastAsia="Palatino Linotype" w:hAnsi="Palatino Linotype" w:cs="Palatino Linotype"/>
          <w:color w:val="000000"/>
        </w:rPr>
        <w:lastRenderedPageBreak/>
        <w:t xml:space="preserve">Estado de México y Municipios, los cuales señalan que en la generación, publicación y entrega de información se deberá garantizar que ésta sea </w:t>
      </w:r>
      <w:r>
        <w:rPr>
          <w:rFonts w:ascii="Palatino Linotype" w:eastAsia="Palatino Linotype" w:hAnsi="Palatino Linotype" w:cs="Palatino Linotype"/>
          <w:b/>
          <w:color w:val="000000"/>
        </w:rPr>
        <w:t>congruente</w:t>
      </w:r>
      <w:r>
        <w:rPr>
          <w:rFonts w:ascii="Palatino Linotype" w:eastAsia="Palatino Linotype" w:hAnsi="Palatino Linotype" w:cs="Palatino Linotype"/>
          <w:color w:val="000000"/>
        </w:rPr>
        <w:t>.</w:t>
      </w:r>
    </w:p>
    <w:p w14:paraId="3033BA8B" w14:textId="77777777" w:rsidR="00B01F10"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B882762" w14:textId="77777777" w:rsidR="00B01F10"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actualizan las causales de procedencia del recurso de revisión establecidas en el artículo 179 fracciones IV y/o VII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4"/>
      </w:r>
      <w:r>
        <w:rPr>
          <w:rFonts w:ascii="Palatino Linotype" w:eastAsia="Palatino Linotype" w:hAnsi="Palatino Linotype" w:cs="Palatino Linotype"/>
          <w:color w:val="000000"/>
        </w:rPr>
        <w:t>.</w:t>
      </w:r>
    </w:p>
    <w:p w14:paraId="415BBFFB" w14:textId="77777777" w:rsidR="00B01F10" w:rsidRDefault="00B01F10">
      <w:pPr>
        <w:rPr>
          <w:rFonts w:ascii="Palatino Linotype" w:eastAsia="Palatino Linotype" w:hAnsi="Palatino Linotype" w:cs="Palatino Linotype"/>
          <w:color w:val="000000"/>
        </w:rPr>
      </w:pPr>
    </w:p>
    <w:p w14:paraId="77E0D0CE" w14:textId="77777777" w:rsidR="00B01F10" w:rsidRDefault="00B01F10">
      <w:pPr>
        <w:rPr>
          <w:rFonts w:ascii="Palatino Linotype" w:eastAsia="Palatino Linotype" w:hAnsi="Palatino Linotype" w:cs="Palatino Linotype"/>
          <w:color w:val="000000"/>
        </w:rPr>
      </w:pPr>
    </w:p>
    <w:p w14:paraId="06B759C3" w14:textId="77777777" w:rsidR="00B01F10" w:rsidRDefault="00EE7D75">
      <w:pPr>
        <w:pStyle w:val="Ttulo2"/>
        <w:tabs>
          <w:tab w:val="left" w:pos="426"/>
        </w:tabs>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t>CUARTO. Estudio y Resolución del asunto.</w:t>
      </w:r>
    </w:p>
    <w:p w14:paraId="42FB491C" w14:textId="77777777" w:rsidR="00B01F10" w:rsidRDefault="00EE7D75">
      <w:pPr>
        <w:pStyle w:val="Ttulo3"/>
        <w:spacing w:before="0" w:after="0" w:line="360" w:lineRule="auto"/>
        <w:rPr>
          <w:rFonts w:ascii="Palatino Linotype" w:eastAsia="Palatino Linotype" w:hAnsi="Palatino Linotype" w:cs="Palatino Linotype"/>
          <w:color w:val="000000"/>
          <w:sz w:val="24"/>
          <w:szCs w:val="24"/>
        </w:rPr>
      </w:pPr>
      <w:bookmarkStart w:id="10" w:name="_heading=h.17dp8vu" w:colFirst="0" w:colLast="0"/>
      <w:bookmarkEnd w:id="10"/>
      <w:r>
        <w:rPr>
          <w:rFonts w:ascii="Palatino Linotype" w:eastAsia="Palatino Linotype" w:hAnsi="Palatino Linotype" w:cs="Palatino Linotype"/>
          <w:color w:val="000000"/>
          <w:sz w:val="24"/>
          <w:szCs w:val="24"/>
        </w:rPr>
        <w:t>I. De la atención a la solicitud de información.</w:t>
      </w:r>
    </w:p>
    <w:p w14:paraId="3D3084A6"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14:paraId="095DA71B"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8E05F45"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Para atender las solicitudes de información, los Sujetos Obligados contarán con un área denominada </w:t>
      </w:r>
      <w:r>
        <w:rPr>
          <w:rFonts w:ascii="Palatino Linotype" w:eastAsia="Palatino Linotype" w:hAnsi="Palatino Linotype" w:cs="Palatino Linotype"/>
          <w:b/>
          <w:color w:val="000000"/>
        </w:rPr>
        <w:t>Unidad de Transparencia</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la cual será presidida por un Titular, quien fungirá como enlace entre éstos y los solicitantes. Dicha Unidad </w:t>
      </w:r>
      <w:r>
        <w:rPr>
          <w:rFonts w:ascii="Palatino Linotype" w:eastAsia="Palatino Linotype" w:hAnsi="Palatino Linotype" w:cs="Palatino Linotype"/>
          <w:b/>
          <w:color w:val="000000"/>
        </w:rPr>
        <w:t>será la encargada de tramitar internamente la solicitud de información</w:t>
      </w:r>
      <w:r>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Pr>
          <w:rFonts w:ascii="Palatino Linotype" w:eastAsia="Palatino Linotype" w:hAnsi="Palatino Linotype" w:cs="Palatino Linotype"/>
          <w:b/>
          <w:color w:val="000000"/>
        </w:rPr>
        <w:t xml:space="preserve">gestionar la atención a las solicitudes de información </w:t>
      </w:r>
      <w:r>
        <w:rPr>
          <w:rFonts w:ascii="Palatino Linotype" w:eastAsia="Palatino Linotype" w:hAnsi="Palatino Linotype" w:cs="Palatino Linotype"/>
          <w:color w:val="000000"/>
        </w:rPr>
        <w:t>en los términos de la Ley General y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w:t>
      </w:r>
    </w:p>
    <w:p w14:paraId="02B3B735"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3881743"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56F14938" w14:textId="77777777" w:rsidR="00B01F10"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14:paraId="0192DF0F" w14:textId="77777777" w:rsidR="00B01F10"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7A8403A2" w14:textId="77777777" w:rsidR="00B01F10"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Entregar, en su caso, a los particulares la información solicitada; y </w:t>
      </w:r>
    </w:p>
    <w:p w14:paraId="358C5F1B" w14:textId="77777777" w:rsidR="00B01F10"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14:paraId="65295A8F"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841249"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Otros sujetos del proceso de atención a las solicitudes de información son los </w:t>
      </w:r>
      <w:r>
        <w:rPr>
          <w:rFonts w:ascii="Palatino Linotype" w:eastAsia="Palatino Linotype" w:hAnsi="Palatino Linotype" w:cs="Palatino Linotype"/>
          <w:b/>
          <w:color w:val="000000"/>
        </w:rPr>
        <w:t>servidores públicos habilitados</w:t>
      </w:r>
      <w:r>
        <w:rPr>
          <w:rFonts w:ascii="Palatino Linotype" w:eastAsia="Palatino Linotype" w:hAnsi="Palatino Linotype" w:cs="Palatino Linotype"/>
          <w:color w:val="000000"/>
        </w:rPr>
        <w:t xml:space="preserve">, quienes serán designados por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propuesta del responsable de la Unidad de Transparencia</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w:t>
      </w:r>
    </w:p>
    <w:p w14:paraId="2BBE81C4" w14:textId="77777777" w:rsidR="00B01F10"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Localizar la información que le solicite la Unidad de Transparencia; y</w:t>
      </w:r>
    </w:p>
    <w:p w14:paraId="468510CC" w14:textId="77777777" w:rsidR="00B01F10"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79E23EB8"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78D0629"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83253B1"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DC1B6CB"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expuesto lo anterior, de la lectura a la solicitud de información </w:t>
      </w:r>
      <w:r>
        <w:rPr>
          <w:rFonts w:ascii="Palatino Linotype" w:eastAsia="Palatino Linotype" w:hAnsi="Palatino Linotype" w:cs="Palatino Linotype"/>
          <w:b/>
          <w:color w:val="000000"/>
        </w:rPr>
        <w:t>00019/FELIPRO/IP/2024</w:t>
      </w:r>
      <w:r>
        <w:rPr>
          <w:rFonts w:ascii="Palatino Linotype" w:eastAsia="Palatino Linotype" w:hAnsi="Palatino Linotype" w:cs="Palatino Linotype"/>
          <w:color w:val="000000"/>
        </w:rPr>
        <w:t xml:space="preserve"> y, como fuera señalado en el </w:t>
      </w:r>
      <w:r>
        <w:rPr>
          <w:rFonts w:ascii="Palatino Linotype" w:eastAsia="Palatino Linotype" w:hAnsi="Palatino Linotype" w:cs="Palatino Linotype"/>
          <w:i/>
          <w:color w:val="000000"/>
        </w:rPr>
        <w:t>Planteamiento de la Litis</w:t>
      </w:r>
      <w:r>
        <w:rPr>
          <w:rFonts w:ascii="Palatino Linotype" w:eastAsia="Palatino Linotype" w:hAnsi="Palatino Linotype" w:cs="Palatino Linotype"/>
          <w:color w:val="000000"/>
        </w:rPr>
        <w:t xml:space="preserve"> de esta resolución, se advierte que la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14:paraId="4B8E6F93" w14:textId="77777777" w:rsidR="00B01F10" w:rsidRDefault="00EE7D75">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Copia del Certificado Parcelario que ampara una parcela específica ubicada en el Ejido de San Jerónimo Bonchete.</w:t>
      </w:r>
    </w:p>
    <w:p w14:paraId="325B2E79"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12AA27"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a través del acuse digital de respuesta a la solicitud de información </w:t>
      </w:r>
      <w:r>
        <w:rPr>
          <w:rFonts w:ascii="Palatino Linotype" w:eastAsia="Palatino Linotype" w:hAnsi="Palatino Linotype" w:cs="Palatino Linotype"/>
          <w:b/>
          <w:color w:val="000000"/>
        </w:rPr>
        <w:t>00019/FELIPRO/IP/2024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informó lo siguiente:</w:t>
      </w:r>
    </w:p>
    <w:p w14:paraId="3A167DF9" w14:textId="77777777" w:rsidR="00B01F10" w:rsidRDefault="00EE7D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“En seguimiento y atención de su petición, presentada mediante el Sistema de Control de Solicitudes de Información del Estado de México (SAIMEX). Con fundamento en el artículo 12 y 167 de la Ley de Transparencia y Acceso a la Información Pública del Estado de México y Municipios, a su pedimento me permito informarle que usted puede obtener el documento que solicita a través del Registro Agrario Nacional, puede consultar los requisitos y procesos del tramite en el siguiente link: https://www.gob.mx/tramites/ficha/solicita-ante-el-ran-la-reposicion-de-tus-certificado-en-caso-de-la-perdida-o-extravio/RAN2342 Así mismo, informarle que este ayuntamiento no emite dicha información. Con base en lo anterior reciba un cordial saludo.”</w:t>
      </w:r>
      <w:r>
        <w:rPr>
          <w:rFonts w:ascii="Palatino Linotype" w:eastAsia="Palatino Linotype" w:hAnsi="Palatino Linotype" w:cs="Palatino Linotype"/>
          <w:color w:val="000000"/>
          <w:sz w:val="22"/>
          <w:szCs w:val="22"/>
        </w:rPr>
        <w:t xml:space="preserve"> (Sic)</w:t>
      </w:r>
    </w:p>
    <w:p w14:paraId="0BEB9134"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la transcripción referida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podemos rescatar los siguientes elementos:</w:t>
      </w:r>
    </w:p>
    <w:p w14:paraId="672E1FE6"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se manifestó incompetente para poseer, generar o administrar lo solicitado; por ello, orientó a la entonces </w:t>
      </w:r>
      <w:r>
        <w:rPr>
          <w:rFonts w:ascii="Palatino Linotype" w:eastAsia="Palatino Linotype" w:hAnsi="Palatino Linotype" w:cs="Palatino Linotype"/>
          <w:b/>
          <w:color w:val="000000"/>
          <w:sz w:val="22"/>
          <w:szCs w:val="22"/>
        </w:rPr>
        <w:t>SOLICITANTE</w:t>
      </w:r>
      <w:r>
        <w:rPr>
          <w:rFonts w:ascii="Palatino Linotype" w:eastAsia="Palatino Linotype" w:hAnsi="Palatino Linotype" w:cs="Palatino Linotype"/>
          <w:color w:val="000000"/>
          <w:sz w:val="22"/>
          <w:szCs w:val="22"/>
        </w:rPr>
        <w:t xml:space="preserve"> a dirigir su solicitud al Registro Agrario Nacional.</w:t>
      </w:r>
    </w:p>
    <w:p w14:paraId="6F8ABA9B"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Aunado a lo anterior, en seguimiento a los principios de auxilio y orientación a los particulares,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compartió una dirección electrónica (</w:t>
      </w:r>
      <w:hyperlink r:id="rId10">
        <w:r>
          <w:rPr>
            <w:rFonts w:ascii="Palatino Linotype" w:eastAsia="Palatino Linotype" w:hAnsi="Palatino Linotype" w:cs="Palatino Linotype"/>
            <w:i/>
            <w:color w:val="0000FF"/>
            <w:sz w:val="22"/>
            <w:szCs w:val="22"/>
            <w:u w:val="single"/>
          </w:rPr>
          <w:t>https://www.gob.mx/tramites/ficha/solicita-ante-el-ran-la-reposicion-de-tus-certificado-en-caso-de-la-perdida-o-extravio/RAN2342</w:t>
        </w:r>
      </w:hyperlink>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donde la particular podría solicitar la reposición del certificado.</w:t>
      </w:r>
    </w:p>
    <w:p w14:paraId="3825B668"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9D3956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acompañamiento a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adjuntó un archivo electrónico, titulado </w:t>
      </w:r>
      <w:r>
        <w:rPr>
          <w:rFonts w:ascii="Palatino Linotype" w:eastAsia="Palatino Linotype" w:hAnsi="Palatino Linotype" w:cs="Palatino Linotype"/>
          <w:b/>
          <w:i/>
          <w:color w:val="000000"/>
        </w:rPr>
        <w:t>“null.pdf”</w:t>
      </w:r>
      <w:r>
        <w:rPr>
          <w:rFonts w:ascii="Palatino Linotype" w:eastAsia="Palatino Linotype" w:hAnsi="Palatino Linotype" w:cs="Palatino Linotype"/>
          <w:color w:val="000000"/>
        </w:rPr>
        <w:t>, consistente en una foja en blanco, sin ningún tipo de información.</w:t>
      </w:r>
    </w:p>
    <w:p w14:paraId="6517D0FB" w14:textId="77777777" w:rsidR="00A63595" w:rsidRDefault="00A63595" w:rsidP="00A635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DB92657"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la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el recurso de revisión </w:t>
      </w:r>
      <w:r>
        <w:rPr>
          <w:rFonts w:ascii="Palatino Linotype" w:eastAsia="Palatino Linotype" w:hAnsi="Palatino Linotype" w:cs="Palatino Linotype"/>
          <w:b/>
          <w:color w:val="000000"/>
        </w:rPr>
        <w:t>01373/INFOEM/IP/RR/2024</w:t>
      </w:r>
      <w:r>
        <w:rPr>
          <w:rFonts w:ascii="Palatino Linotype" w:eastAsia="Palatino Linotype" w:hAnsi="Palatino Linotype" w:cs="Palatino Linotype"/>
          <w:color w:val="000000"/>
        </w:rPr>
        <w:t>, en el que señaló por agravios, los siguientes:</w:t>
      </w:r>
    </w:p>
    <w:p w14:paraId="2300CCCC"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Que no se le entregó ninguna respuesta escrita.</w:t>
      </w:r>
    </w:p>
    <w:p w14:paraId="70BD64E1"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CD4037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Razón de lo anterior, se procederá a analizar la naturaleza de lo solicitado, así como el marco legal de competencia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poseer, generar y/o administrar la información.</w:t>
      </w:r>
    </w:p>
    <w:p w14:paraId="5C961CFC"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E2DC32" w14:textId="77777777" w:rsidR="00B01F10" w:rsidRDefault="00EE7D75">
      <w:pPr>
        <w:pStyle w:val="Ttulo3"/>
        <w:spacing w:before="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II. Del Ayuntamiento de San Felipe del Progreso.</w:t>
      </w:r>
    </w:p>
    <w:p w14:paraId="6B262C2C"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la Constitución Política de los Estados Unidos Mexicanos establece que los estados que integran a nuestro país, adoptarán, para su régimen interior, la </w:t>
      </w:r>
      <w:r>
        <w:rPr>
          <w:rFonts w:ascii="Palatino Linotype" w:eastAsia="Palatino Linotype" w:hAnsi="Palatino Linotype" w:cs="Palatino Linotype"/>
          <w:color w:val="000000"/>
        </w:rPr>
        <w:lastRenderedPageBreak/>
        <w:t xml:space="preserve">forma de gobierno republicano, representativo, democrático, laico y popular, teniendo como base de su división territorial y de su organización política y administrativa, el </w:t>
      </w:r>
      <w:r>
        <w:rPr>
          <w:rFonts w:ascii="Palatino Linotype" w:eastAsia="Palatino Linotype" w:hAnsi="Palatino Linotype" w:cs="Palatino Linotype"/>
          <w:b/>
          <w:color w:val="000000"/>
        </w:rPr>
        <w:t>municipio libre</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Al respecto,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integrado por un </w:t>
      </w:r>
      <w:r>
        <w:rPr>
          <w:rFonts w:ascii="Palatino Linotype" w:eastAsia="Palatino Linotype" w:hAnsi="Palatino Linotype" w:cs="Palatino Linotype"/>
          <w:b/>
          <w:color w:val="000000"/>
        </w:rPr>
        <w:t>Presidente o Presidenta Municipal</w:t>
      </w:r>
      <w:r>
        <w:rPr>
          <w:rFonts w:ascii="Palatino Linotype" w:eastAsia="Palatino Linotype" w:hAnsi="Palatino Linotype" w:cs="Palatino Linotype"/>
          <w:color w:val="000000"/>
        </w:rPr>
        <w:t xml:space="preserve"> y el número de </w:t>
      </w:r>
      <w:r>
        <w:rPr>
          <w:rFonts w:ascii="Palatino Linotype" w:eastAsia="Palatino Linotype" w:hAnsi="Palatino Linotype" w:cs="Palatino Linotype"/>
          <w:b/>
          <w:color w:val="000000"/>
        </w:rPr>
        <w:t>regidurías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sindicaturas</w:t>
      </w:r>
      <w:r>
        <w:rPr>
          <w:rFonts w:ascii="Palatino Linotype" w:eastAsia="Palatino Linotype" w:hAnsi="Palatino Linotype" w:cs="Palatino Linotype"/>
          <w:color w:val="000000"/>
        </w:rPr>
        <w:t xml:space="preserve"> que la ley determine, de conformidad con el principio de paridad</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xml:space="preserve">. </w:t>
      </w:r>
    </w:p>
    <w:p w14:paraId="32799529"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D5C256D"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seguimiento al mandato constitucional, la Ley Orgánica Municipal del Estado de México señala que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y no habrá ninguna autoridad intermedia entre éste y el Gobierno del Estado</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w:t>
      </w:r>
    </w:p>
    <w:p w14:paraId="5314B724" w14:textId="77777777" w:rsidR="00A63595" w:rsidRDefault="00A63595" w:rsidP="00A63595">
      <w:pPr>
        <w:pStyle w:val="Prrafodelista"/>
        <w:rPr>
          <w:rFonts w:ascii="Palatino Linotype" w:eastAsia="Palatino Linotype" w:hAnsi="Palatino Linotype" w:cs="Palatino Linotype"/>
          <w:color w:val="000000"/>
        </w:rPr>
      </w:pPr>
    </w:p>
    <w:p w14:paraId="5CC2B352"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w:t>
      </w:r>
    </w:p>
    <w:p w14:paraId="3466496D"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 presidente, </w:t>
      </w:r>
      <w:r>
        <w:rPr>
          <w:rFonts w:ascii="Palatino Linotype" w:eastAsia="Palatino Linotype" w:hAnsi="Palatino Linotype" w:cs="Palatino Linotype"/>
          <w:b/>
          <w:color w:val="000000"/>
          <w:sz w:val="22"/>
          <w:szCs w:val="22"/>
        </w:rPr>
        <w:t>un síndico</w:t>
      </w:r>
      <w:r>
        <w:rPr>
          <w:rFonts w:ascii="Palatino Linotype" w:eastAsia="Palatino Linotype" w:hAnsi="Palatino Linotype" w:cs="Palatino Linotype"/>
          <w:color w:val="000000"/>
          <w:sz w:val="22"/>
          <w:szCs w:val="22"/>
        </w:rPr>
        <w:t xml:space="preserve"> y cuatro regidores, electos por planilla según el principio de mayoría relativa, y tres regidores designados según el principio de representación proporcional, cuando se trate de municipios que tengan una población de </w:t>
      </w:r>
      <w:r>
        <w:rPr>
          <w:rFonts w:ascii="Palatino Linotype" w:eastAsia="Palatino Linotype" w:hAnsi="Palatino Linotype" w:cs="Palatino Linotype"/>
          <w:sz w:val="22"/>
          <w:szCs w:val="22"/>
        </w:rPr>
        <w:t>menos de 150</w:t>
      </w:r>
      <w:r>
        <w:rPr>
          <w:rFonts w:ascii="Palatino Linotype" w:eastAsia="Palatino Linotype" w:hAnsi="Palatino Linotype" w:cs="Palatino Linotype"/>
          <w:color w:val="000000"/>
          <w:sz w:val="22"/>
          <w:szCs w:val="22"/>
        </w:rPr>
        <w:t xml:space="preserve"> mil habitantes.</w:t>
      </w:r>
    </w:p>
    <w:p w14:paraId="531B9F02"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 presidente, </w:t>
      </w:r>
      <w:r>
        <w:rPr>
          <w:rFonts w:ascii="Palatino Linotype" w:eastAsia="Palatino Linotype" w:hAnsi="Palatino Linotype" w:cs="Palatino Linotype"/>
          <w:b/>
          <w:color w:val="000000"/>
          <w:sz w:val="22"/>
          <w:szCs w:val="22"/>
        </w:rPr>
        <w:t>un síndico</w:t>
      </w:r>
      <w:r>
        <w:rPr>
          <w:rFonts w:ascii="Palatino Linotype" w:eastAsia="Palatino Linotype" w:hAnsi="Palatino Linotype" w:cs="Palatino Linotype"/>
          <w:color w:val="000000"/>
          <w:sz w:val="22"/>
          <w:szCs w:val="22"/>
        </w:rPr>
        <w:t xml:space="preserve"> y cinco regidores, electos por planilla según el principio de mayoría relativa, y cuatro regidores designados según el principio de </w:t>
      </w:r>
      <w:r>
        <w:rPr>
          <w:rFonts w:ascii="Palatino Linotype" w:eastAsia="Palatino Linotype" w:hAnsi="Palatino Linotype" w:cs="Palatino Linotype"/>
          <w:color w:val="000000"/>
          <w:sz w:val="22"/>
          <w:szCs w:val="22"/>
        </w:rPr>
        <w:lastRenderedPageBreak/>
        <w:t xml:space="preserve">representación proporcional, cuando se trate de municipios que tengan una población de más de 150 mil habitantes y menos de 500 mil habitantes. </w:t>
      </w:r>
    </w:p>
    <w:p w14:paraId="65AFE358"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2"/>
          <w:szCs w:val="22"/>
        </w:rPr>
        <w:t xml:space="preserve">Un presidente, </w:t>
      </w:r>
      <w:r>
        <w:rPr>
          <w:rFonts w:ascii="Palatino Linotype" w:eastAsia="Palatino Linotype" w:hAnsi="Palatino Linotype" w:cs="Palatino Linotype"/>
          <w:b/>
          <w:color w:val="000000"/>
          <w:sz w:val="22"/>
          <w:szCs w:val="22"/>
        </w:rPr>
        <w:t>un síndico</w:t>
      </w:r>
      <w:r>
        <w:rPr>
          <w:rFonts w:ascii="Palatino Linotype" w:eastAsia="Palatino Linotype" w:hAnsi="Palatino Linotype" w:cs="Palatino Linotype"/>
          <w:color w:val="000000"/>
          <w:sz w:val="22"/>
          <w:szCs w:val="22"/>
        </w:rPr>
        <w:t xml:space="preserve"> y siete regidores, electos por planilla según el principio de mayoría relativa; un síndico y cinco regidores designados según el principio de representación proporcional, cuando se trate de municipios que tengan una población de más de 500 mil habitantes</w:t>
      </w:r>
      <w:r>
        <w:rPr>
          <w:rFonts w:ascii="Palatino Linotype" w:eastAsia="Palatino Linotype" w:hAnsi="Palatino Linotype" w:cs="Palatino Linotype"/>
          <w:color w:val="000000"/>
        </w:rPr>
        <w:t>.</w:t>
      </w:r>
    </w:p>
    <w:p w14:paraId="27B19C15"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3BDA7CB"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ser órganos deliberantes, 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deberán los asuntos de su competencia de forma colegiada</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 Para ello,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7DDB1299"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8658173"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para el despacho, estudio y planeación de los diversos asuntos de la administración municipal, el ayuntamiento contará por lo menos con las siguientes dependencias</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14:paraId="4923FB02"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secretaría del ayuntamiento; </w:t>
      </w:r>
    </w:p>
    <w:p w14:paraId="04615A97"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tesorería municipal. </w:t>
      </w:r>
    </w:p>
    <w:p w14:paraId="25DD04AF"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Obras Públicas o equivalente. </w:t>
      </w:r>
    </w:p>
    <w:p w14:paraId="2B097F66"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Desarrollo Económico o equivalente. </w:t>
      </w:r>
    </w:p>
    <w:p w14:paraId="26692D05"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Dirección de Desarrollo Urbano o equivalente;</w:t>
      </w:r>
    </w:p>
    <w:p w14:paraId="2BF0DECD"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Ecología o equivalente. </w:t>
      </w:r>
    </w:p>
    <w:p w14:paraId="52A02AF9"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La Dirección de Desarrollo Social o equivalente. </w:t>
      </w:r>
    </w:p>
    <w:p w14:paraId="659D7DC1"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Coordinación Municipal de Protección Civil o equivalente. </w:t>
      </w:r>
    </w:p>
    <w:p w14:paraId="65EE3325"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las Mujeres o equivalente. </w:t>
      </w:r>
    </w:p>
    <w:p w14:paraId="7E2D1111"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Dirección del Campo o equivalente, preferentemente en los municipios cuyas características geográficas, territoriales, sociales, culturales, políticas y económicas sean predominantemente inherentes al ámbito rural.</w:t>
      </w:r>
    </w:p>
    <w:p w14:paraId="21F4B855"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45051CC"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la Ley Orgánica Municipal del Estado de México, en su artículo 12, establece que los municipios controlarán y vigilarán, coordinada y concurrentemente con el Gobierno del Estado, la </w:t>
      </w:r>
      <w:r>
        <w:rPr>
          <w:rFonts w:ascii="Palatino Linotype" w:eastAsia="Palatino Linotype" w:hAnsi="Palatino Linotype" w:cs="Palatino Linotype"/>
          <w:b/>
          <w:color w:val="000000"/>
        </w:rPr>
        <w:t>utilización del suelo</w:t>
      </w:r>
      <w:r>
        <w:rPr>
          <w:rFonts w:ascii="Palatino Linotype" w:eastAsia="Palatino Linotype" w:hAnsi="Palatino Linotype" w:cs="Palatino Linotype"/>
          <w:color w:val="000000"/>
        </w:rPr>
        <w:t xml:space="preserve"> en sus jurisdicciones territoriales, en los términos de la ley de la materia y los Planes de Desarrollo Urbano correspondientes.</w:t>
      </w:r>
    </w:p>
    <w:p w14:paraId="585ECC6F" w14:textId="77777777" w:rsidR="00A63595" w:rsidRDefault="00A63595" w:rsidP="00A635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D5A98C"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diverso 96 Sexies, señala que la o el Titular de la </w:t>
      </w:r>
      <w:r>
        <w:rPr>
          <w:rFonts w:ascii="Palatino Linotype" w:eastAsia="Palatino Linotype" w:hAnsi="Palatino Linotype" w:cs="Palatino Linotype"/>
          <w:b/>
          <w:color w:val="000000"/>
        </w:rPr>
        <w:t>Dirección de Desarrollo Urbano</w:t>
      </w:r>
      <w:r>
        <w:rPr>
          <w:rFonts w:ascii="Palatino Linotype" w:eastAsia="Palatino Linotype" w:hAnsi="Palatino Linotype" w:cs="Palatino Linotype"/>
          <w:color w:val="000000"/>
        </w:rPr>
        <w:t xml:space="preserve"> tendrá, entre sus atribuciones, vigilar la utilización y aprovechamiento del suelo con fines urbanos, en su circunscripción territorial; y, analizar las </w:t>
      </w:r>
      <w:r>
        <w:rPr>
          <w:rFonts w:ascii="Palatino Linotype" w:eastAsia="Palatino Linotype" w:hAnsi="Palatino Linotype" w:cs="Palatino Linotype"/>
          <w:b/>
          <w:color w:val="000000"/>
        </w:rPr>
        <w:t>cédulas informativas de zonificación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licencias de uso de suelo</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licencias de construcción</w:t>
      </w:r>
      <w:r>
        <w:rPr>
          <w:rFonts w:ascii="Palatino Linotype" w:eastAsia="Palatino Linotype" w:hAnsi="Palatino Linotype" w:cs="Palatino Linotype"/>
          <w:color w:val="000000"/>
        </w:rPr>
        <w:t>.</w:t>
      </w:r>
    </w:p>
    <w:p w14:paraId="6AD636EC"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05FE7C"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que la o el </w:t>
      </w:r>
      <w:r>
        <w:rPr>
          <w:rFonts w:ascii="Palatino Linotype" w:eastAsia="Palatino Linotype" w:hAnsi="Palatino Linotype" w:cs="Palatino Linotype"/>
          <w:b/>
          <w:color w:val="000000"/>
        </w:rPr>
        <w:t>Titular del Campo</w:t>
      </w:r>
      <w:r>
        <w:rPr>
          <w:rFonts w:ascii="Palatino Linotype" w:eastAsia="Palatino Linotype" w:hAnsi="Palatino Linotype" w:cs="Palatino Linotype"/>
          <w:color w:val="000000"/>
        </w:rPr>
        <w:t xml:space="preserve">, o equivalente, se encargará de </w:t>
      </w:r>
      <w:r>
        <w:rPr>
          <w:rFonts w:ascii="Palatino Linotype" w:eastAsia="Palatino Linotype" w:hAnsi="Palatino Linotype" w:cs="Palatino Linotype"/>
          <w:b/>
          <w:color w:val="000000"/>
        </w:rPr>
        <w:t>fomentar el desarrollo rural</w:t>
      </w:r>
      <w:r>
        <w:rPr>
          <w:rFonts w:ascii="Palatino Linotype" w:eastAsia="Palatino Linotype" w:hAnsi="Palatino Linotype" w:cs="Palatino Linotype"/>
          <w:color w:val="000000"/>
        </w:rPr>
        <w:t xml:space="preserve"> de las actividades agrícolas, pecuarias, acuícolas, forestales, pesquera, agroindustriales, y de la sanidad por acuerdo del ayuntamiento en coordinación con las autoridades estatales y federales correspondientes, establecidas en la ley de la </w:t>
      </w:r>
      <w:r>
        <w:rPr>
          <w:rFonts w:ascii="Palatino Linotype" w:eastAsia="Palatino Linotype" w:hAnsi="Palatino Linotype" w:cs="Palatino Linotype"/>
          <w:color w:val="000000"/>
        </w:rPr>
        <w:lastRenderedPageBreak/>
        <w:t>materia; así como realizar la programación y ejecución de asesorías y servicios relacionados</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w:t>
      </w:r>
    </w:p>
    <w:p w14:paraId="7C00B389"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1F47C77"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razón de lo anterior, se concluye que los ayuntamientos cuentan con competencia para coordinar y vigilar la </w:t>
      </w:r>
      <w:r>
        <w:rPr>
          <w:rFonts w:ascii="Palatino Linotype" w:eastAsia="Palatino Linotype" w:hAnsi="Palatino Linotype" w:cs="Palatino Linotype"/>
          <w:b/>
          <w:color w:val="000000"/>
        </w:rPr>
        <w:t>utilización del suelo</w:t>
      </w:r>
      <w:r>
        <w:rPr>
          <w:rFonts w:ascii="Palatino Linotype" w:eastAsia="Palatino Linotype" w:hAnsi="Palatino Linotype" w:cs="Palatino Linotype"/>
          <w:color w:val="000000"/>
        </w:rPr>
        <w:t xml:space="preserve"> en sus jurisdicciones territoriales, empero, ello es únicamente aplicable respecto a las zonas urbanas y rurales; pues, como se ha establecido, las zonas ejidales son reguladas por lo dispuesto por el artículo 27 de la Constitución Política de los Estados Unidos Mexicanos, la Ley Agraria y demás ordenamientos aplicables.</w:t>
      </w:r>
    </w:p>
    <w:p w14:paraId="5B57B812"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3D7862" w14:textId="77777777" w:rsidR="00B01F10" w:rsidRDefault="00EE7D75">
      <w:pPr>
        <w:pStyle w:val="Ttulo3"/>
        <w:spacing w:before="0"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III. Del Registro Agrario Nacional.</w:t>
      </w:r>
    </w:p>
    <w:p w14:paraId="04402C62"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Constitución Política de los Estados Unidos Mexicanos, en su numeral 27, señala que la propiedad de las tierras y aguas comprendidas dentro de los límites del territorio nacional, corresponde originariamente a la Nación, la cual ha tenido y tiene el derecho de transmitir el dominio de ellas a los particulares, constituyendo la propiedad privada.</w:t>
      </w:r>
    </w:p>
    <w:p w14:paraId="2CF36AD8"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1569FA3"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Más adelante, en su fracción VII, reconoce la personalidad jurídica de los núcleos de población ejidales y comunales y se protege su propiedad sobre la tierra, tanto para el asentamiento humano como para actividades productivas; así mismo, se establece que la Ley protegerá la integridad de las tierras de los grupos indígenas.</w:t>
      </w:r>
    </w:p>
    <w:p w14:paraId="4336E869"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C7EE6D4"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efectos de lo anterior, y considerando el respeto y fortalecimiento de la vida comunitaria de los ejidos y comunidades, </w:t>
      </w:r>
      <w:r>
        <w:rPr>
          <w:rFonts w:ascii="Palatino Linotype" w:eastAsia="Palatino Linotype" w:hAnsi="Palatino Linotype" w:cs="Palatino Linotype"/>
          <w:b/>
          <w:color w:val="000000"/>
        </w:rPr>
        <w:t>la Ley</w:t>
      </w:r>
      <w:r>
        <w:rPr>
          <w:rFonts w:ascii="Palatino Linotype" w:eastAsia="Palatino Linotype" w:hAnsi="Palatino Linotype" w:cs="Palatino Linotype"/>
          <w:color w:val="000000"/>
        </w:rPr>
        <w:t xml:space="preserve"> protegerá la tierra para el asentamiento </w:t>
      </w:r>
      <w:r>
        <w:rPr>
          <w:rFonts w:ascii="Palatino Linotype" w:eastAsia="Palatino Linotype" w:hAnsi="Palatino Linotype" w:cs="Palatino Linotype"/>
          <w:color w:val="000000"/>
        </w:rPr>
        <w:lastRenderedPageBreak/>
        <w:t xml:space="preserve">humano y </w:t>
      </w:r>
      <w:r>
        <w:rPr>
          <w:rFonts w:ascii="Palatino Linotype" w:eastAsia="Palatino Linotype" w:hAnsi="Palatino Linotype" w:cs="Palatino Linotype"/>
          <w:b/>
          <w:color w:val="000000"/>
        </w:rPr>
        <w:t>regulará el aprovechamiento de tierras</w:t>
      </w:r>
      <w:r>
        <w:rPr>
          <w:rFonts w:ascii="Palatino Linotype" w:eastAsia="Palatino Linotype" w:hAnsi="Palatino Linotype" w:cs="Palatino Linotype"/>
          <w:color w:val="000000"/>
        </w:rPr>
        <w:t>, bosques y aguas de uso común y la provisión de acciones de fomento necesarias para elevar el nivel de vida de sus pobladores.</w:t>
      </w:r>
      <w:r>
        <w:rPr>
          <w:rFonts w:ascii="Palatino Linotype" w:eastAsia="Palatino Linotype" w:hAnsi="Palatino Linotype" w:cs="Palatino Linotype"/>
          <w:color w:val="000000"/>
          <w:vertAlign w:val="superscript"/>
        </w:rPr>
        <w:footnoteReference w:id="17"/>
      </w:r>
    </w:p>
    <w:p w14:paraId="1B6A0EF6"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ECCB2D5"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se reconoce la voluntad de los ejidatarios y comuneros para adoptar las condiciones que más les convengan en el aprovechamiento de sus recursos productivos</w:t>
      </w:r>
      <w:r>
        <w:rPr>
          <w:rFonts w:ascii="Palatino Linotype" w:eastAsia="Palatino Linotype" w:hAnsi="Palatino Linotype" w:cs="Palatino Linotype"/>
          <w:color w:val="000000"/>
          <w:vertAlign w:val="superscript"/>
        </w:rPr>
        <w:footnoteReference w:id="18"/>
      </w:r>
      <w:r>
        <w:rPr>
          <w:rFonts w:ascii="Palatino Linotype" w:eastAsia="Palatino Linotype" w:hAnsi="Palatino Linotype" w:cs="Palatino Linotype"/>
          <w:color w:val="000000"/>
        </w:rPr>
        <w:t>. Sin embargo, se establece que la Ley regulará el ejercicio de los derechos de los comuneros sobre la tierra y de cada ejidatario sobre su parcela; así 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w:t>
      </w:r>
      <w:r>
        <w:rPr>
          <w:rFonts w:ascii="Palatino Linotype" w:eastAsia="Palatino Linotype" w:hAnsi="Palatino Linotype" w:cs="Palatino Linotype"/>
          <w:color w:val="000000"/>
          <w:vertAlign w:val="superscript"/>
        </w:rPr>
        <w:footnoteReference w:id="19"/>
      </w:r>
      <w:r>
        <w:rPr>
          <w:rFonts w:ascii="Palatino Linotype" w:eastAsia="Palatino Linotype" w:hAnsi="Palatino Linotype" w:cs="Palatino Linotype"/>
          <w:color w:val="000000"/>
        </w:rPr>
        <w:t>.</w:t>
      </w:r>
    </w:p>
    <w:p w14:paraId="1DF56973"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ADB32F9"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seguimiento al mandato constitucional, se crea la Ley Agraria, la cual replica que los núcleos de población ejidales o ejidos tienen personalidad jurídica y patrimonio propio y son propietarios de las tierras que les han sido dotadas o de las que hubieren adquirido por cualquier otro título</w:t>
      </w:r>
      <w:r>
        <w:rPr>
          <w:rFonts w:ascii="Palatino Linotype" w:eastAsia="Palatino Linotype" w:hAnsi="Palatino Linotype" w:cs="Palatino Linotype"/>
          <w:color w:val="000000"/>
          <w:vertAlign w:val="superscript"/>
        </w:rPr>
        <w:footnoteReference w:id="20"/>
      </w:r>
      <w:r>
        <w:rPr>
          <w:rFonts w:ascii="Palatino Linotype" w:eastAsia="Palatino Linotype" w:hAnsi="Palatino Linotype" w:cs="Palatino Linotype"/>
          <w:color w:val="000000"/>
        </w:rPr>
        <w:t>.</w:t>
      </w:r>
    </w:p>
    <w:p w14:paraId="763F5E42"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8100814"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ejidos operarán de acuerdo con su reglamento interno, sin más limitaciones en sus actividades que las que dispone la Ley Agraria</w:t>
      </w:r>
      <w:r>
        <w:rPr>
          <w:rFonts w:ascii="Palatino Linotype" w:eastAsia="Palatino Linotype" w:hAnsi="Palatino Linotype" w:cs="Palatino Linotype"/>
          <w:color w:val="000000"/>
          <w:vertAlign w:val="superscript"/>
        </w:rPr>
        <w:footnoteReference w:id="21"/>
      </w:r>
      <w:r>
        <w:rPr>
          <w:rFonts w:ascii="Palatino Linotype" w:eastAsia="Palatino Linotype" w:hAnsi="Palatino Linotype" w:cs="Palatino Linotype"/>
          <w:color w:val="000000"/>
        </w:rPr>
        <w:t xml:space="preserve">. Su reglamento se inscribirá en el </w:t>
      </w:r>
      <w:r>
        <w:rPr>
          <w:rFonts w:ascii="Palatino Linotype" w:eastAsia="Palatino Linotype" w:hAnsi="Palatino Linotype" w:cs="Palatino Linotype"/>
          <w:b/>
          <w:color w:val="000000"/>
        </w:rPr>
        <w:lastRenderedPageBreak/>
        <w:t>Registro Agrario Nacional</w:t>
      </w:r>
      <w:r>
        <w:rPr>
          <w:rFonts w:ascii="Palatino Linotype" w:eastAsia="Palatino Linotype" w:hAnsi="Palatino Linotype" w:cs="Palatino Linotype"/>
          <w:color w:val="000000"/>
        </w:rPr>
        <w:t>, y deberá contener las bases generales para la organización económica y social del ejido que se adopten libremente, los requisitos para admitir nuevos ejidatarios, las reglas para el aprovechamiento de las tierras de uso común, así como las demás disposiciones que conforme a la Ley de mérito deban ser incluidas en el reglamento y las demás que cada ejido considere pertinentes</w:t>
      </w:r>
      <w:r>
        <w:rPr>
          <w:rFonts w:ascii="Palatino Linotype" w:eastAsia="Palatino Linotype" w:hAnsi="Palatino Linotype" w:cs="Palatino Linotype"/>
          <w:color w:val="000000"/>
          <w:vertAlign w:val="superscript"/>
        </w:rPr>
        <w:footnoteReference w:id="22"/>
      </w:r>
      <w:r>
        <w:rPr>
          <w:rFonts w:ascii="Palatino Linotype" w:eastAsia="Palatino Linotype" w:hAnsi="Palatino Linotype" w:cs="Palatino Linotype"/>
          <w:color w:val="000000"/>
        </w:rPr>
        <w:t>.</w:t>
      </w:r>
    </w:p>
    <w:p w14:paraId="1A12DC15"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091CBFF"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se reconoce que cada ejido contará con tres órganos, a saber</w:t>
      </w:r>
      <w:r>
        <w:rPr>
          <w:rFonts w:ascii="Palatino Linotype" w:eastAsia="Palatino Linotype" w:hAnsi="Palatino Linotype" w:cs="Palatino Linotype"/>
          <w:color w:val="000000"/>
          <w:vertAlign w:val="superscript"/>
        </w:rPr>
        <w:footnoteReference w:id="23"/>
      </w:r>
      <w:r>
        <w:rPr>
          <w:rFonts w:ascii="Palatino Linotype" w:eastAsia="Palatino Linotype" w:hAnsi="Palatino Linotype" w:cs="Palatino Linotype"/>
          <w:color w:val="000000"/>
        </w:rPr>
        <w:t>:</w:t>
      </w:r>
    </w:p>
    <w:p w14:paraId="544BE295"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b/>
          <w:color w:val="000000"/>
          <w:sz w:val="22"/>
          <w:szCs w:val="22"/>
        </w:rPr>
        <w:t>asamblea</w:t>
      </w:r>
      <w:r>
        <w:rPr>
          <w:rFonts w:ascii="Palatino Linotype" w:eastAsia="Palatino Linotype" w:hAnsi="Palatino Linotype" w:cs="Palatino Linotype"/>
          <w:color w:val="000000"/>
          <w:sz w:val="22"/>
          <w:szCs w:val="22"/>
        </w:rPr>
        <w:t>, como órgano supremo y en la que participan todos los ejidatarios</w:t>
      </w:r>
      <w:r>
        <w:rPr>
          <w:rFonts w:ascii="Palatino Linotype" w:eastAsia="Palatino Linotype" w:hAnsi="Palatino Linotype" w:cs="Palatino Linotype"/>
          <w:color w:val="000000"/>
          <w:sz w:val="22"/>
          <w:szCs w:val="22"/>
          <w:vertAlign w:val="superscript"/>
        </w:rPr>
        <w:footnoteReference w:id="24"/>
      </w:r>
      <w:r>
        <w:rPr>
          <w:rFonts w:ascii="Palatino Linotype" w:eastAsia="Palatino Linotype" w:hAnsi="Palatino Linotype" w:cs="Palatino Linotype"/>
          <w:color w:val="000000"/>
          <w:sz w:val="22"/>
          <w:szCs w:val="22"/>
        </w:rPr>
        <w:t>.</w:t>
      </w:r>
    </w:p>
    <w:p w14:paraId="7E404C03"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comisariado ejidal</w:t>
      </w:r>
      <w:r>
        <w:rPr>
          <w:rFonts w:ascii="Palatino Linotype" w:eastAsia="Palatino Linotype" w:hAnsi="Palatino Linotype" w:cs="Palatino Linotype"/>
          <w:color w:val="000000"/>
          <w:sz w:val="22"/>
          <w:szCs w:val="22"/>
        </w:rPr>
        <w:t>, encargado de e la ejecución de los acuerdos de la asamblea, así como de la representación y gestión administrativa del ejido</w:t>
      </w:r>
      <w:r>
        <w:rPr>
          <w:rFonts w:ascii="Palatino Linotype" w:eastAsia="Palatino Linotype" w:hAnsi="Palatino Linotype" w:cs="Palatino Linotype"/>
          <w:color w:val="000000"/>
          <w:sz w:val="22"/>
          <w:szCs w:val="22"/>
          <w:vertAlign w:val="superscript"/>
        </w:rPr>
        <w:footnoteReference w:id="25"/>
      </w:r>
      <w:r>
        <w:rPr>
          <w:rFonts w:ascii="Palatino Linotype" w:eastAsia="Palatino Linotype" w:hAnsi="Palatino Linotype" w:cs="Palatino Linotype"/>
          <w:color w:val="000000"/>
          <w:sz w:val="22"/>
          <w:szCs w:val="22"/>
        </w:rPr>
        <w:t>; y</w:t>
      </w:r>
    </w:p>
    <w:p w14:paraId="03B0FFC9"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consejo de vigilancia</w:t>
      </w:r>
      <w:r>
        <w:rPr>
          <w:rFonts w:ascii="Palatino Linotype" w:eastAsia="Palatino Linotype" w:hAnsi="Palatino Linotype" w:cs="Palatino Linotype"/>
          <w:color w:val="000000"/>
          <w:sz w:val="22"/>
          <w:szCs w:val="22"/>
        </w:rPr>
        <w:t>, supeditado a vigilar que los actos del comisariado se ajusten a los preceptos de la ley y, de revisar las cuentas y operaciones del comisariado a fin de darlas a conocer a la asamblea y denunciar ante ésta las irregularidades en que haya incurrido el comisariado</w:t>
      </w:r>
      <w:r>
        <w:rPr>
          <w:rFonts w:ascii="Palatino Linotype" w:eastAsia="Palatino Linotype" w:hAnsi="Palatino Linotype" w:cs="Palatino Linotype"/>
          <w:color w:val="000000"/>
          <w:sz w:val="22"/>
          <w:szCs w:val="22"/>
          <w:vertAlign w:val="superscript"/>
        </w:rPr>
        <w:footnoteReference w:id="26"/>
      </w:r>
      <w:r>
        <w:rPr>
          <w:rFonts w:ascii="Palatino Linotype" w:eastAsia="Palatino Linotype" w:hAnsi="Palatino Linotype" w:cs="Palatino Linotype"/>
          <w:color w:val="000000"/>
          <w:sz w:val="22"/>
          <w:szCs w:val="22"/>
        </w:rPr>
        <w:t>.</w:t>
      </w:r>
    </w:p>
    <w:p w14:paraId="38517CB0"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9294E65"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efectos de la Ley Agraria, las tierras ejidales, por su destino, se dividirán en tres grupos, a saber</w:t>
      </w:r>
      <w:r>
        <w:rPr>
          <w:rFonts w:ascii="Palatino Linotype" w:eastAsia="Palatino Linotype" w:hAnsi="Palatino Linotype" w:cs="Palatino Linotype"/>
          <w:color w:val="000000"/>
          <w:vertAlign w:val="superscript"/>
        </w:rPr>
        <w:footnoteReference w:id="27"/>
      </w:r>
      <w:r>
        <w:rPr>
          <w:rFonts w:ascii="Palatino Linotype" w:eastAsia="Palatino Linotype" w:hAnsi="Palatino Linotype" w:cs="Palatino Linotype"/>
          <w:color w:val="000000"/>
        </w:rPr>
        <w:t>:</w:t>
      </w:r>
    </w:p>
    <w:p w14:paraId="30B14618"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Tierras para el asentamiento humano; </w:t>
      </w:r>
    </w:p>
    <w:p w14:paraId="1BDAD28C"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Tierras de uso común; y </w:t>
      </w:r>
    </w:p>
    <w:p w14:paraId="34CC17CE"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Tierras parceladas</w:t>
      </w:r>
      <w:r>
        <w:rPr>
          <w:rFonts w:ascii="Palatino Linotype" w:eastAsia="Palatino Linotype" w:hAnsi="Palatino Linotype" w:cs="Palatino Linotype"/>
          <w:color w:val="000000"/>
          <w:sz w:val="22"/>
          <w:szCs w:val="22"/>
        </w:rPr>
        <w:t>.</w:t>
      </w:r>
    </w:p>
    <w:p w14:paraId="14BA169A"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4201C07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para el control de la tenencia de la tierra y la seguridad documental derivados de la aplicación de la Ley Agraria, funcionará el </w:t>
      </w:r>
      <w:r>
        <w:rPr>
          <w:rFonts w:ascii="Palatino Linotype" w:eastAsia="Palatino Linotype" w:hAnsi="Palatino Linotype" w:cs="Palatino Linotype"/>
          <w:b/>
          <w:color w:val="000000"/>
        </w:rPr>
        <w:t>Registro Agrario Nacional</w:t>
      </w:r>
      <w:r>
        <w:rPr>
          <w:rFonts w:ascii="Palatino Linotype" w:eastAsia="Palatino Linotype" w:hAnsi="Palatino Linotype" w:cs="Palatino Linotype"/>
          <w:color w:val="000000"/>
        </w:rPr>
        <w:t>, en el que se inscribirán los documentos en que consten las operaciones originales y las modificaciones que sufra la propiedad de las tierras y los derechos legalmente constituidos sobre la propiedad ejidal y comunal</w:t>
      </w:r>
      <w:r>
        <w:rPr>
          <w:rFonts w:ascii="Palatino Linotype" w:eastAsia="Palatino Linotype" w:hAnsi="Palatino Linotype" w:cs="Palatino Linotype"/>
          <w:color w:val="000000"/>
          <w:vertAlign w:val="superscript"/>
        </w:rPr>
        <w:footnoteReference w:id="28"/>
      </w:r>
      <w:r>
        <w:rPr>
          <w:rFonts w:ascii="Palatino Linotype" w:eastAsia="Palatino Linotype" w:hAnsi="Palatino Linotype" w:cs="Palatino Linotype"/>
          <w:color w:val="000000"/>
        </w:rPr>
        <w:t>.</w:t>
      </w:r>
    </w:p>
    <w:p w14:paraId="5841DA71"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165FDE2"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Registro Agrario Nacional</w:t>
      </w:r>
      <w:r>
        <w:rPr>
          <w:rFonts w:ascii="Palatino Linotype" w:eastAsia="Palatino Linotype" w:hAnsi="Palatino Linotype" w:cs="Palatino Linotype"/>
          <w:color w:val="000000"/>
        </w:rPr>
        <w:t xml:space="preserve"> será público y cualquier persona podrá obtener información sobre sus asientos e inscripciones y obtener, a su costa, las copias que solicite</w:t>
      </w:r>
      <w:r>
        <w:rPr>
          <w:rFonts w:ascii="Palatino Linotype" w:eastAsia="Palatino Linotype" w:hAnsi="Palatino Linotype" w:cs="Palatino Linotype"/>
          <w:color w:val="000000"/>
          <w:vertAlign w:val="superscript"/>
        </w:rPr>
        <w:footnoteReference w:id="29"/>
      </w:r>
      <w:r>
        <w:rPr>
          <w:rFonts w:ascii="Palatino Linotype" w:eastAsia="Palatino Linotype" w:hAnsi="Palatino Linotype" w:cs="Palatino Linotype"/>
          <w:color w:val="000000"/>
        </w:rPr>
        <w:t xml:space="preserve">. De conformidad con lo establecido por el artículo 152 de la Ley Agraria, se deberán inscribir en el </w:t>
      </w:r>
      <w:r>
        <w:rPr>
          <w:rFonts w:ascii="Palatino Linotype" w:eastAsia="Palatino Linotype" w:hAnsi="Palatino Linotype" w:cs="Palatino Linotype"/>
          <w:b/>
          <w:color w:val="000000"/>
        </w:rPr>
        <w:t>Registro Agrario Nacional</w:t>
      </w:r>
      <w:r>
        <w:rPr>
          <w:rFonts w:ascii="Palatino Linotype" w:eastAsia="Palatino Linotype" w:hAnsi="Palatino Linotype" w:cs="Palatino Linotype"/>
          <w:color w:val="000000"/>
        </w:rPr>
        <w:t>:</w:t>
      </w:r>
    </w:p>
    <w:p w14:paraId="70C9C953"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Todas s las resoluciones judiciales o administrativas que reconozcan, creen, modifiquen o extingan derechos ejidales o comunales; </w:t>
      </w:r>
    </w:p>
    <w:p w14:paraId="083D69AB"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u w:val="single"/>
        </w:rPr>
        <w:t>Los certificados o títulos que amparen derechos sobre</w:t>
      </w:r>
      <w:r>
        <w:rPr>
          <w:rFonts w:ascii="Palatino Linotype" w:eastAsia="Palatino Linotype" w:hAnsi="Palatino Linotype" w:cs="Palatino Linotype"/>
          <w:b/>
          <w:color w:val="000000"/>
          <w:sz w:val="22"/>
          <w:szCs w:val="22"/>
        </w:rPr>
        <w:t xml:space="preserve"> solares, tierras de uso común y </w:t>
      </w:r>
      <w:r>
        <w:rPr>
          <w:rFonts w:ascii="Palatino Linotype" w:eastAsia="Palatino Linotype" w:hAnsi="Palatino Linotype" w:cs="Palatino Linotype"/>
          <w:b/>
          <w:color w:val="000000"/>
          <w:sz w:val="22"/>
          <w:szCs w:val="22"/>
          <w:u w:val="single"/>
        </w:rPr>
        <w:t>parcelas</w:t>
      </w:r>
      <w:r>
        <w:rPr>
          <w:rFonts w:ascii="Palatino Linotype" w:eastAsia="Palatino Linotype" w:hAnsi="Palatino Linotype" w:cs="Palatino Linotype"/>
          <w:b/>
          <w:color w:val="000000"/>
          <w:sz w:val="22"/>
          <w:szCs w:val="22"/>
        </w:rPr>
        <w:t xml:space="preserve"> de ejidatarios o comuneros</w:t>
      </w:r>
      <w:r>
        <w:rPr>
          <w:rFonts w:ascii="Palatino Linotype" w:eastAsia="Palatino Linotype" w:hAnsi="Palatino Linotype" w:cs="Palatino Linotype"/>
          <w:color w:val="000000"/>
          <w:sz w:val="22"/>
          <w:szCs w:val="22"/>
        </w:rPr>
        <w:t xml:space="preserve">; </w:t>
      </w:r>
    </w:p>
    <w:p w14:paraId="370B89FB"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títulos primordiales de las comunidades y, en su caso, los títulos que las reconozcan como comunidades tradicionales; </w:t>
      </w:r>
    </w:p>
    <w:p w14:paraId="50B93940"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planos y delimitación de las tierras a que se refiere el artículo 56 de la Ley; </w:t>
      </w:r>
    </w:p>
    <w:p w14:paraId="6CD628A2"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planos y documentos relativos al catastro y censo rurales; </w:t>
      </w:r>
    </w:p>
    <w:p w14:paraId="6EE1CDA1"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documentos relativos a las sociedades mercantiles; </w:t>
      </w:r>
    </w:p>
    <w:p w14:paraId="679A8036"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decretos de expropiación de bienes ejidales o comunales; y </w:t>
      </w:r>
    </w:p>
    <w:p w14:paraId="2D359905" w14:textId="77777777" w:rsidR="00B01F10" w:rsidRDefault="00EE7D7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demás actos y documentos que disponga la Ley, sus reglamentos u otras leyes.</w:t>
      </w:r>
    </w:p>
    <w:p w14:paraId="7C3C22E3"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A136902" w14:textId="77777777" w:rsidR="00B01F10" w:rsidRDefault="00EE7D75">
      <w:pPr>
        <w:pStyle w:val="Ttulo3"/>
        <w:spacing w:before="0"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IV. De la manifestación de incompetencia.</w:t>
      </w:r>
    </w:p>
    <w:p w14:paraId="45B04605"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lo largo del estudio, hemos establecido el procedimiento que deben seguir los Sujetos Obligados a fin de otorgar una adecuada atención a las solicitudes de información; sin embargo, en los casos que se actualice una notoria incompetencia, el procedimiento se acorta de sobremanera.</w:t>
      </w:r>
    </w:p>
    <w:p w14:paraId="167B14EC"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ADE52D1"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el artículo 167 de la Ley de Transparencia y Acceso a la Información Pública del Estado de México y Municipios, establece lo siguiente:</w:t>
      </w:r>
    </w:p>
    <w:p w14:paraId="0E1BCE6E" w14:textId="77777777" w:rsidR="00B01F10" w:rsidRDefault="00EE7D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167.</w:t>
      </w:r>
      <w:r>
        <w:rPr>
          <w:rFonts w:ascii="Palatino Linotype" w:eastAsia="Palatino Linotype" w:hAnsi="Palatino Linotype" w:cs="Palatino Linotype"/>
          <w:i/>
          <w:color w:val="000000"/>
          <w:sz w:val="22"/>
          <w:szCs w:val="22"/>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5BCB15C5" w14:textId="77777777" w:rsidR="00B01F10" w:rsidRDefault="00EE7D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90F0F2B"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1C5ADF9"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colige que, cuando la Unidad de Transparencia reciba una solicitud de información, y ésta determine una notoria incompetencia, deberá hacerlo del conocimiento del Solicitante dentro de los tres días hábiles posteriores a </w:t>
      </w:r>
      <w:r>
        <w:rPr>
          <w:rFonts w:ascii="Palatino Linotype" w:eastAsia="Palatino Linotype" w:hAnsi="Palatino Linotype" w:cs="Palatino Linotype"/>
        </w:rPr>
        <w:t>la</w:t>
      </w:r>
      <w:r>
        <w:rPr>
          <w:rFonts w:ascii="Palatino Linotype" w:eastAsia="Palatino Linotype" w:hAnsi="Palatino Linotype" w:cs="Palatino Linotype"/>
          <w:color w:val="000000"/>
        </w:rPr>
        <w:t xml:space="preserve"> fecha de presentación.</w:t>
      </w:r>
    </w:p>
    <w:p w14:paraId="47B022FE"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3B35B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presente asunto, de las constancias que obran dentro del expediente digital formado en el SAIMEX, se advierte que la solicitud de información </w:t>
      </w:r>
      <w:r>
        <w:rPr>
          <w:rFonts w:ascii="Palatino Linotype" w:eastAsia="Palatino Linotype" w:hAnsi="Palatino Linotype" w:cs="Palatino Linotype"/>
          <w:b/>
          <w:color w:val="000000"/>
        </w:rPr>
        <w:t>00019/FELIPRO/IP/2024</w:t>
      </w:r>
      <w:r>
        <w:rPr>
          <w:rFonts w:ascii="Palatino Linotype" w:eastAsia="Palatino Linotype" w:hAnsi="Palatino Linotype" w:cs="Palatino Linotype"/>
          <w:color w:val="000000"/>
        </w:rPr>
        <w:t xml:space="preserve"> se presentó el siete (07) de marzo de dos mil veinticuatro, mientras que la Unidad de Transparencia manifestó su incompetencia el once (11) de marzo de dos mil veintidós; esto es, al </w:t>
      </w:r>
      <w:r>
        <w:rPr>
          <w:rFonts w:ascii="Palatino Linotype" w:eastAsia="Palatino Linotype" w:hAnsi="Palatino Linotype" w:cs="Palatino Linotype"/>
          <w:b/>
          <w:color w:val="000000"/>
        </w:rPr>
        <w:t>segundo</w:t>
      </w:r>
      <w:r>
        <w:rPr>
          <w:rFonts w:ascii="Palatino Linotype" w:eastAsia="Palatino Linotype" w:hAnsi="Palatino Linotype" w:cs="Palatino Linotype"/>
          <w:color w:val="000000"/>
        </w:rPr>
        <w:t xml:space="preserve"> día hábil posterior a la presentación. Por lo tanto, se concluye que la manifestación de la Unidad de Transparencia se externó durante el plazo establecido en la Ley de la materia.</w:t>
      </w:r>
    </w:p>
    <w:p w14:paraId="3988F70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debe omitirse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señaló, dentro del recurso de revisión </w:t>
      </w:r>
      <w:r>
        <w:rPr>
          <w:rFonts w:ascii="Palatino Linotype" w:eastAsia="Palatino Linotype" w:hAnsi="Palatino Linotype" w:cs="Palatino Linotype"/>
          <w:b/>
          <w:color w:val="000000"/>
        </w:rPr>
        <w:t>01373/INFOEM/IP/RR/2024</w:t>
      </w:r>
      <w:r>
        <w:rPr>
          <w:rFonts w:ascii="Palatino Linotype" w:eastAsia="Palatino Linotype" w:hAnsi="Palatino Linotype" w:cs="Palatino Linotype"/>
          <w:color w:val="000000"/>
        </w:rPr>
        <w:t xml:space="preserve">, que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le causaba agravio porque “</w:t>
      </w:r>
      <w:r>
        <w:rPr>
          <w:rFonts w:ascii="Palatino Linotype" w:eastAsia="Palatino Linotype" w:hAnsi="Palatino Linotype" w:cs="Palatino Linotype"/>
          <w:i/>
          <w:color w:val="000000"/>
        </w:rPr>
        <w:t>no entregó ninguna respuesta escrita”</w:t>
      </w:r>
      <w:r>
        <w:rPr>
          <w:rFonts w:ascii="Palatino Linotype" w:eastAsia="Palatino Linotype" w:hAnsi="Palatino Linotype" w:cs="Palatino Linotype"/>
          <w:color w:val="000000"/>
        </w:rPr>
        <w:t>.</w:t>
      </w:r>
    </w:p>
    <w:p w14:paraId="567A05A3"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237113D"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Empero, contrario a los motivos de inconformidad externados por la particular, y de acuerdo con lo establecido en el apartado de </w:t>
      </w:r>
      <w:r>
        <w:rPr>
          <w:rFonts w:ascii="Palatino Linotype" w:eastAsia="Palatino Linotype" w:hAnsi="Palatino Linotype" w:cs="Palatino Linotype"/>
          <w:i/>
          <w:color w:val="000000"/>
        </w:rPr>
        <w:t>Antecedentes</w:t>
      </w:r>
      <w:r>
        <w:rPr>
          <w:rFonts w:ascii="Palatino Linotype" w:eastAsia="Palatino Linotype" w:hAnsi="Palatino Linotype" w:cs="Palatino Linotype"/>
          <w:color w:val="000000"/>
        </w:rPr>
        <w:t xml:space="preserve">, así como el </w:t>
      </w:r>
      <w:r>
        <w:rPr>
          <w:rFonts w:ascii="Palatino Linotype" w:eastAsia="Palatino Linotype" w:hAnsi="Palatino Linotype" w:cs="Palatino Linotype"/>
          <w:b/>
          <w:color w:val="000000"/>
        </w:rPr>
        <w:t>punto I</w:t>
      </w:r>
      <w:r>
        <w:rPr>
          <w:rFonts w:ascii="Palatino Linotype" w:eastAsia="Palatino Linotype" w:hAnsi="Palatino Linotype" w:cs="Palatino Linotype"/>
          <w:color w:val="000000"/>
        </w:rPr>
        <w:t xml:space="preserve"> del presente estudio, se advierte que si bien es cierto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un documento completamente en blanco, denominado </w:t>
      </w:r>
      <w:r>
        <w:rPr>
          <w:rFonts w:ascii="Palatino Linotype" w:eastAsia="Palatino Linotype" w:hAnsi="Palatino Linotype" w:cs="Palatino Linotype"/>
          <w:b/>
          <w:i/>
          <w:color w:val="000000"/>
        </w:rPr>
        <w:t>“null.pdf”</w:t>
      </w:r>
      <w:r>
        <w:rPr>
          <w:rFonts w:ascii="Palatino Linotype" w:eastAsia="Palatino Linotype" w:hAnsi="Palatino Linotype" w:cs="Palatino Linotype"/>
          <w:color w:val="000000"/>
        </w:rPr>
        <w:t xml:space="preserve">, también lo es que, en el acuse de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hizo del conocimiento de la particular que </w:t>
      </w:r>
      <w:r>
        <w:rPr>
          <w:rFonts w:ascii="Palatino Linotype" w:eastAsia="Palatino Linotype" w:hAnsi="Palatino Linotype" w:cs="Palatino Linotype"/>
          <w:b/>
          <w:color w:val="000000"/>
        </w:rPr>
        <w:t>el Ayuntamiento de San Felipe del Progreso no emitía la información solicitada</w:t>
      </w:r>
      <w:r>
        <w:rPr>
          <w:rFonts w:ascii="Palatino Linotype" w:eastAsia="Palatino Linotype" w:hAnsi="Palatino Linotype" w:cs="Palatino Linotype"/>
          <w:color w:val="000000"/>
        </w:rPr>
        <w:t>.</w:t>
      </w:r>
    </w:p>
    <w:p w14:paraId="359D0E87"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4321D0"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lo anterior,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señaló a la particular que podría solicitar el documento al Registro Agrario Nacional y, para tal efecto, compartió una dirección </w:t>
      </w:r>
      <w:r>
        <w:rPr>
          <w:rFonts w:ascii="Palatino Linotype" w:eastAsia="Palatino Linotype" w:hAnsi="Palatino Linotype" w:cs="Palatino Linotype"/>
          <w:i/>
          <w:color w:val="000000"/>
        </w:rPr>
        <w:t>web</w:t>
      </w:r>
      <w:r>
        <w:rPr>
          <w:rFonts w:ascii="Palatino Linotype" w:eastAsia="Palatino Linotype" w:hAnsi="Palatino Linotype" w:cs="Palatino Linotype"/>
          <w:i/>
          <w:color w:val="000000"/>
          <w:vertAlign w:val="superscript"/>
        </w:rPr>
        <w:footnoteReference w:id="30"/>
      </w:r>
      <w:r>
        <w:rPr>
          <w:rFonts w:ascii="Palatino Linotype" w:eastAsia="Palatino Linotype" w:hAnsi="Palatino Linotype" w:cs="Palatino Linotype"/>
          <w:color w:val="000000"/>
        </w:rPr>
        <w:t xml:space="preserve"> con la cual acceder al portal oficial del Gobierno Federal, en un apartado dedicado a proveer información para solicitar la reposición de los </w:t>
      </w:r>
      <w:r>
        <w:rPr>
          <w:rFonts w:ascii="Palatino Linotype" w:eastAsia="Palatino Linotype" w:hAnsi="Palatino Linotype" w:cs="Palatino Linotype"/>
          <w:b/>
          <w:color w:val="000000"/>
        </w:rPr>
        <w:t>certificados parcelarios</w:t>
      </w:r>
      <w:r>
        <w:rPr>
          <w:rFonts w:ascii="Palatino Linotype" w:eastAsia="Palatino Linotype" w:hAnsi="Palatino Linotype" w:cs="Palatino Linotype"/>
          <w:color w:val="000000"/>
        </w:rPr>
        <w:t xml:space="preserve"> y de derechos sobre tierras de uso común, ante el </w:t>
      </w:r>
      <w:r>
        <w:rPr>
          <w:rFonts w:ascii="Palatino Linotype" w:eastAsia="Palatino Linotype" w:hAnsi="Palatino Linotype" w:cs="Palatino Linotype"/>
          <w:b/>
          <w:color w:val="000000"/>
        </w:rPr>
        <w:t>Registro Agrario Nacional</w:t>
      </w:r>
      <w:r>
        <w:rPr>
          <w:rFonts w:ascii="Palatino Linotype" w:eastAsia="Palatino Linotype" w:hAnsi="Palatino Linotype" w:cs="Palatino Linotype"/>
          <w:color w:val="000000"/>
        </w:rPr>
        <w:t>. Se adjunta a continuación un fragmento del portal de mérito como referencia:</w:t>
      </w:r>
    </w:p>
    <w:p w14:paraId="5B75216C"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90058D" w14:textId="77777777" w:rsidR="00B01F10" w:rsidRDefault="00EE7D75">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06617316" wp14:editId="6388C86A">
            <wp:extent cx="4791155" cy="2260593"/>
            <wp:effectExtent l="12700" t="12700" r="12700" b="127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791155" cy="2260593"/>
                    </a:xfrm>
                    <a:prstGeom prst="rect">
                      <a:avLst/>
                    </a:prstGeom>
                    <a:ln w="12700">
                      <a:solidFill>
                        <a:srgbClr val="000000"/>
                      </a:solidFill>
                      <a:prstDash val="solid"/>
                    </a:ln>
                  </pic:spPr>
                </pic:pic>
              </a:graphicData>
            </a:graphic>
          </wp:inline>
        </w:drawing>
      </w:r>
    </w:p>
    <w:p w14:paraId="2B31B97B"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A5738F" w14:textId="77777777" w:rsidR="00F146D5" w:rsidRPr="005C66D3" w:rsidRDefault="00F146D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5C66D3">
        <w:rPr>
          <w:rFonts w:ascii="Palatino Linotype" w:eastAsia="Palatino Linotype" w:hAnsi="Palatino Linotype" w:cs="Palatino Linotype"/>
          <w:color w:val="000000"/>
        </w:rPr>
        <w:t xml:space="preserve">Consecuencia de lo anterior, se dejan a salvo los derechos del </w:t>
      </w:r>
      <w:r w:rsidRPr="005C66D3">
        <w:rPr>
          <w:rFonts w:ascii="Palatino Linotype" w:eastAsia="Palatino Linotype" w:hAnsi="Palatino Linotype" w:cs="Palatino Linotype"/>
          <w:b/>
          <w:color w:val="000000"/>
        </w:rPr>
        <w:t>RECURRENTE</w:t>
      </w:r>
      <w:r w:rsidRPr="005C66D3">
        <w:rPr>
          <w:rFonts w:ascii="Palatino Linotype" w:eastAsia="Palatino Linotype" w:hAnsi="Palatino Linotype" w:cs="Palatino Linotype"/>
          <w:color w:val="000000"/>
        </w:rPr>
        <w:t xml:space="preserve"> a fin de que, de considerarlo idóneo a sus intereses, presente su solicitud de información al Registro Agrario Nacional, a través de la Plataforma Nacional de Transparencia</w:t>
      </w:r>
      <w:r w:rsidRPr="005C66D3">
        <w:rPr>
          <w:rStyle w:val="Refdenotaalpie"/>
          <w:rFonts w:ascii="Palatino Linotype" w:eastAsia="Palatino Linotype" w:hAnsi="Palatino Linotype" w:cs="Palatino Linotype"/>
          <w:color w:val="000000"/>
        </w:rPr>
        <w:footnoteReference w:id="31"/>
      </w:r>
      <w:r w:rsidRPr="005C66D3">
        <w:rPr>
          <w:rFonts w:ascii="Palatino Linotype" w:eastAsia="Palatino Linotype" w:hAnsi="Palatino Linotype" w:cs="Palatino Linotype"/>
          <w:color w:val="000000"/>
        </w:rPr>
        <w:t xml:space="preserve"> (PNT). </w:t>
      </w:r>
    </w:p>
    <w:p w14:paraId="3F4F008D" w14:textId="77777777" w:rsidR="00F146D5" w:rsidRDefault="00F146D5" w:rsidP="00F146D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4D505A0" w14:textId="77777777" w:rsidR="00B01F10" w:rsidRDefault="00F146D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w:t>
      </w:r>
      <w:r w:rsidR="00EE7D75">
        <w:rPr>
          <w:rFonts w:ascii="Palatino Linotype" w:eastAsia="Palatino Linotype" w:hAnsi="Palatino Linotype" w:cs="Palatino Linotype"/>
          <w:color w:val="000000"/>
        </w:rPr>
        <w:t xml:space="preserve">uego entonces, este Organismo Garante concluye conforme a derecho el </w:t>
      </w:r>
      <w:r w:rsidR="00EE7D75">
        <w:rPr>
          <w:rFonts w:ascii="Palatino Linotype" w:eastAsia="Palatino Linotype" w:hAnsi="Palatino Linotype" w:cs="Palatino Linotype"/>
          <w:b/>
          <w:color w:val="000000"/>
        </w:rPr>
        <w:t>confirmar</w:t>
      </w:r>
      <w:r w:rsidR="00EE7D75">
        <w:rPr>
          <w:rFonts w:ascii="Palatino Linotype" w:eastAsia="Palatino Linotype" w:hAnsi="Palatino Linotype" w:cs="Palatino Linotype"/>
          <w:color w:val="000000"/>
        </w:rPr>
        <w:t xml:space="preserve"> la respuesta otorgada a la solicitud de información </w:t>
      </w:r>
      <w:r w:rsidR="00EE7D75">
        <w:rPr>
          <w:rFonts w:ascii="Palatino Linotype" w:eastAsia="Palatino Linotype" w:hAnsi="Palatino Linotype" w:cs="Palatino Linotype"/>
          <w:b/>
          <w:color w:val="000000"/>
        </w:rPr>
        <w:t>00019/FELIPRO/IP/2024</w:t>
      </w:r>
      <w:r w:rsidR="00EE7D75">
        <w:rPr>
          <w:rFonts w:ascii="Palatino Linotype" w:eastAsia="Palatino Linotype" w:hAnsi="Palatino Linotype" w:cs="Palatino Linotype"/>
          <w:color w:val="000000"/>
        </w:rPr>
        <w:t>.</w:t>
      </w:r>
    </w:p>
    <w:p w14:paraId="0B45B441"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C20CF06" w14:textId="77777777" w:rsidR="00B01F10" w:rsidRDefault="00EE7D75">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SEXTO. Decisión.</w:t>
      </w:r>
    </w:p>
    <w:p w14:paraId="61B2CF80"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lo largo del presente estudio, se identificó el marco de competencia de los ayuntamientos, con respecto al control y vigilancia de las zonas urbanas y rurales establecidos en sus respectivas demarcaciones. Por otro lado, se estableció que los núcleos de población ejidales estaban regulados por las disposiciones establecidas en el artículo 27, fracción VII, de la Constitución Política de los Estados Unidos Mexicanos y la Ley Agraria.</w:t>
      </w:r>
    </w:p>
    <w:p w14:paraId="23CF55CA" w14:textId="77777777" w:rsidR="00B01F10"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11" w:name="_heading=h.3rdcrjn" w:colFirst="0" w:colLast="0"/>
      <w:bookmarkEnd w:id="11"/>
      <w:r>
        <w:rPr>
          <w:rFonts w:ascii="Palatino Linotype" w:eastAsia="Palatino Linotype" w:hAnsi="Palatino Linotype" w:cs="Palatino Linotype"/>
          <w:color w:val="000000"/>
        </w:rPr>
        <w:lastRenderedPageBreak/>
        <w:t xml:space="preserve">Por </w:t>
      </w:r>
      <w:r>
        <w:rPr>
          <w:rFonts w:ascii="Palatino Linotype" w:eastAsia="Palatino Linotype" w:hAnsi="Palatino Linotype" w:cs="Palatino Linotype"/>
        </w:rPr>
        <w:t xml:space="preserve">lo tanto, en consecuencia y en mérito de lo expuesto en líneas anteriores, resultan infundadas las razones o motivos de inconformidad hechos valer por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dentro del recurso de revisión </w:t>
      </w:r>
      <w:r>
        <w:rPr>
          <w:rFonts w:ascii="Palatino Linotype" w:eastAsia="Palatino Linotype" w:hAnsi="Palatino Linotype" w:cs="Palatino Linotype"/>
          <w:b/>
        </w:rPr>
        <w:t>01373/INFOEM/IP/RR/2024</w:t>
      </w:r>
      <w:r>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se </w:t>
      </w:r>
      <w:r>
        <w:rPr>
          <w:rFonts w:ascii="Palatino Linotype" w:eastAsia="Palatino Linotype" w:hAnsi="Palatino Linotype" w:cs="Palatino Linotype"/>
          <w:b/>
        </w:rPr>
        <w:t>CONFIRMA</w:t>
      </w:r>
      <w:r>
        <w:rPr>
          <w:rFonts w:ascii="Palatino Linotype" w:eastAsia="Palatino Linotype" w:hAnsi="Palatino Linotype" w:cs="Palatino Linotype"/>
        </w:rPr>
        <w:t xml:space="preserve"> la respuesta a la solicitud de información número </w:t>
      </w:r>
      <w:r>
        <w:rPr>
          <w:rFonts w:ascii="Palatino Linotype" w:eastAsia="Palatino Linotype" w:hAnsi="Palatino Linotype" w:cs="Palatino Linotype"/>
          <w:b/>
        </w:rPr>
        <w:t>00019/FELIPRO/IP/2024</w:t>
      </w:r>
      <w:r>
        <w:rPr>
          <w:rFonts w:ascii="Palatino Linotype" w:eastAsia="Palatino Linotype" w:hAnsi="Palatino Linotype" w:cs="Palatino Linotype"/>
        </w:rPr>
        <w:t>.</w:t>
      </w:r>
    </w:p>
    <w:p w14:paraId="641AFCA0" w14:textId="77777777" w:rsidR="00B01F10"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A5A6295" w14:textId="77777777" w:rsidR="00A63595" w:rsidRPr="00A63595" w:rsidRDefault="00EE7D75" w:rsidP="00A6359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r w:rsidR="00F146D5">
        <w:rPr>
          <w:rFonts w:ascii="Palatino Linotype" w:eastAsia="Palatino Linotype" w:hAnsi="Palatino Linotype" w:cs="Palatino Linotype"/>
          <w:color w:val="000000"/>
        </w:rPr>
        <w:t>-------------</w:t>
      </w:r>
      <w:r w:rsidR="00A63595">
        <w:rPr>
          <w:rFonts w:ascii="Palatino Linotype" w:eastAsia="Palatino Linotype" w:hAnsi="Palatino Linotype" w:cs="Palatino Linotype"/>
          <w:color w:val="000000"/>
        </w:rPr>
        <w:t>-------------------------------</w:t>
      </w:r>
      <w:bookmarkStart w:id="12" w:name="_heading=h.26in1rg" w:colFirst="0" w:colLast="0"/>
      <w:bookmarkEnd w:id="12"/>
    </w:p>
    <w:p w14:paraId="7884F3DF" w14:textId="77777777" w:rsidR="00A63595" w:rsidRDefault="00A63595" w:rsidP="00A63595">
      <w:pPr>
        <w:pStyle w:val="Prrafodelista"/>
        <w:rPr>
          <w:b/>
          <w:color w:val="000000"/>
        </w:rPr>
      </w:pPr>
    </w:p>
    <w:p w14:paraId="1F8CBB0F" w14:textId="77777777" w:rsidR="00A63595" w:rsidRDefault="00A63595" w:rsidP="00A63595">
      <w:pPr>
        <w:pStyle w:val="Prrafodelista"/>
        <w:rPr>
          <w:b/>
          <w:color w:val="000000"/>
        </w:rPr>
      </w:pPr>
    </w:p>
    <w:p w14:paraId="74F0EA77" w14:textId="77777777" w:rsidR="00B01F10" w:rsidRPr="00A63595" w:rsidRDefault="00EE7D75" w:rsidP="00A63595">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A63595">
        <w:rPr>
          <w:rFonts w:ascii="Palatino Linotype" w:hAnsi="Palatino Linotype"/>
          <w:b/>
          <w:color w:val="000000"/>
        </w:rPr>
        <w:t>R E S O L U T I V O S</w:t>
      </w:r>
    </w:p>
    <w:p w14:paraId="595FC406" w14:textId="77777777" w:rsidR="00B01F10" w:rsidRDefault="00B01F10">
      <w:pPr>
        <w:spacing w:line="360" w:lineRule="auto"/>
        <w:jc w:val="both"/>
        <w:rPr>
          <w:rFonts w:ascii="Palatino Linotype" w:eastAsia="Palatino Linotype" w:hAnsi="Palatino Linotype" w:cs="Palatino Linotype"/>
          <w:b/>
        </w:rPr>
      </w:pPr>
    </w:p>
    <w:p w14:paraId="49F0107E" w14:textId="77777777" w:rsidR="00B01F10" w:rsidRDefault="00EE7D7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01373/INFOEM/IP/RR/2024,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de la presente resolución.</w:t>
      </w:r>
    </w:p>
    <w:p w14:paraId="19B58459" w14:textId="77777777" w:rsidR="00B01F10" w:rsidRDefault="00B01F10">
      <w:pPr>
        <w:spacing w:line="360" w:lineRule="auto"/>
        <w:jc w:val="both"/>
        <w:rPr>
          <w:rFonts w:ascii="Palatino Linotype" w:eastAsia="Palatino Linotype" w:hAnsi="Palatino Linotype" w:cs="Palatino Linotype"/>
          <w:b/>
        </w:rPr>
      </w:pPr>
    </w:p>
    <w:p w14:paraId="63A30440" w14:textId="77777777" w:rsidR="00B01F10" w:rsidRDefault="00EE7D75">
      <w:pPr>
        <w:spacing w:line="360" w:lineRule="auto"/>
        <w:jc w:val="both"/>
        <w:rPr>
          <w:rFonts w:ascii="Palatino Linotype" w:eastAsia="Palatino Linotype" w:hAnsi="Palatino Linotype" w:cs="Palatino Linotype"/>
          <w:color w:val="000000"/>
        </w:rPr>
      </w:pPr>
      <w:bookmarkStart w:id="13" w:name="_heading=h.lnxbz9" w:colFirst="0" w:colLast="0"/>
      <w:bookmarkEnd w:id="13"/>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CONFIRMA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Ayuntamiento de San Felipe del Progreso</w:t>
      </w:r>
      <w:r>
        <w:rPr>
          <w:rFonts w:ascii="Palatino Linotype" w:eastAsia="Palatino Linotype" w:hAnsi="Palatino Linotype" w:cs="Palatino Linotype"/>
        </w:rPr>
        <w:t>, a la solicitud</w:t>
      </w:r>
      <w:r>
        <w:rPr>
          <w:rFonts w:ascii="Palatino Linotype" w:eastAsia="Palatino Linotype" w:hAnsi="Palatino Linotype" w:cs="Palatino Linotype"/>
          <w:b/>
        </w:rPr>
        <w:t xml:space="preserve"> 00019/FELIPRO/IP/2024.</w:t>
      </w:r>
    </w:p>
    <w:p w14:paraId="7FE6F4BF" w14:textId="77777777" w:rsidR="00B01F10" w:rsidRDefault="00B01F10">
      <w:pPr>
        <w:spacing w:line="360" w:lineRule="auto"/>
        <w:jc w:val="both"/>
        <w:rPr>
          <w:rFonts w:ascii="Palatino Linotype" w:eastAsia="Palatino Linotype" w:hAnsi="Palatino Linotype" w:cs="Palatino Linotype"/>
          <w:color w:val="000000"/>
        </w:rPr>
      </w:pPr>
    </w:p>
    <w:p w14:paraId="5A4839FF" w14:textId="77777777" w:rsidR="00B01F10" w:rsidRDefault="00EE7D7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REMÍTASE, </w:t>
      </w:r>
      <w:r>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SUJETO OBLIGADO.</w:t>
      </w:r>
    </w:p>
    <w:p w14:paraId="1FE5DA29" w14:textId="77777777" w:rsidR="00B01F10" w:rsidRDefault="00B01F10">
      <w:pPr>
        <w:spacing w:line="360" w:lineRule="auto"/>
        <w:jc w:val="both"/>
        <w:rPr>
          <w:rFonts w:ascii="Palatino Linotype" w:eastAsia="Palatino Linotype" w:hAnsi="Palatino Linotype" w:cs="Palatino Linotype"/>
          <w:color w:val="000000"/>
        </w:rPr>
      </w:pPr>
    </w:p>
    <w:p w14:paraId="4FEF074C" w14:textId="77777777" w:rsidR="00B01F10" w:rsidRDefault="00EE7D7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Notifíquese 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14:paraId="1FF7D57D" w14:textId="77777777" w:rsidR="00B01F10" w:rsidRDefault="00EE7D7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lastRenderedPageBreak/>
        <w:t>QUINTO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hace del conocimiento de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01C5DEF3" w14:textId="77777777" w:rsidR="00B01F10" w:rsidRDefault="00B01F10">
      <w:pPr>
        <w:spacing w:line="360" w:lineRule="auto"/>
        <w:jc w:val="both"/>
        <w:rPr>
          <w:rFonts w:ascii="Palatino Linotype" w:eastAsia="Palatino Linotype" w:hAnsi="Palatino Linotype" w:cs="Palatino Linotype"/>
          <w:color w:val="000000"/>
        </w:rPr>
      </w:pPr>
    </w:p>
    <w:p w14:paraId="1F06CF25" w14:textId="77777777" w:rsidR="00B01F10" w:rsidRDefault="00EE7D75">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14:paraId="63458121" w14:textId="77777777" w:rsidR="00B01F10" w:rsidRDefault="00B01F10">
      <w:pPr>
        <w:spacing w:line="360" w:lineRule="auto"/>
        <w:ind w:right="48"/>
        <w:jc w:val="both"/>
        <w:rPr>
          <w:rFonts w:ascii="Palatino Linotype" w:eastAsia="Palatino Linotype" w:hAnsi="Palatino Linotype" w:cs="Palatino Linotype"/>
        </w:rPr>
      </w:pPr>
    </w:p>
    <w:p w14:paraId="7C77B2CA" w14:textId="77777777" w:rsidR="00B01F10" w:rsidRDefault="00B01F10">
      <w:pPr>
        <w:spacing w:line="360" w:lineRule="auto"/>
        <w:ind w:right="48"/>
        <w:jc w:val="both"/>
        <w:rPr>
          <w:rFonts w:ascii="Palatino Linotype" w:eastAsia="Palatino Linotype" w:hAnsi="Palatino Linotype" w:cs="Palatino Linotype"/>
        </w:rPr>
      </w:pPr>
    </w:p>
    <w:p w14:paraId="1712ED7D" w14:textId="77777777" w:rsidR="00B01F10" w:rsidRDefault="00B01F10">
      <w:pPr>
        <w:spacing w:line="360" w:lineRule="auto"/>
        <w:ind w:right="48"/>
        <w:jc w:val="both"/>
        <w:rPr>
          <w:rFonts w:ascii="Palatino Linotype" w:eastAsia="Palatino Linotype" w:hAnsi="Palatino Linotype" w:cs="Palatino Linotype"/>
        </w:rPr>
      </w:pPr>
    </w:p>
    <w:p w14:paraId="4C2DA2DC" w14:textId="77777777" w:rsidR="00B01F10" w:rsidRDefault="00B01F10">
      <w:pPr>
        <w:spacing w:line="360" w:lineRule="auto"/>
        <w:ind w:right="48"/>
        <w:jc w:val="both"/>
        <w:rPr>
          <w:rFonts w:ascii="Palatino Linotype" w:eastAsia="Palatino Linotype" w:hAnsi="Palatino Linotype" w:cs="Palatino Linotype"/>
        </w:rPr>
      </w:pPr>
    </w:p>
    <w:p w14:paraId="0DCDB295" w14:textId="77777777" w:rsidR="00B01F10" w:rsidRDefault="00B01F10">
      <w:pPr>
        <w:spacing w:line="360" w:lineRule="auto"/>
        <w:ind w:right="48"/>
        <w:jc w:val="both"/>
        <w:rPr>
          <w:rFonts w:ascii="Palatino Linotype" w:eastAsia="Palatino Linotype" w:hAnsi="Palatino Linotype" w:cs="Palatino Linotype"/>
        </w:rPr>
      </w:pPr>
    </w:p>
    <w:p w14:paraId="2748BDBF" w14:textId="77777777" w:rsidR="00B01F10" w:rsidRDefault="00B01F10">
      <w:pPr>
        <w:spacing w:line="360" w:lineRule="auto"/>
        <w:ind w:right="48"/>
        <w:jc w:val="both"/>
        <w:rPr>
          <w:rFonts w:ascii="Palatino Linotype" w:eastAsia="Palatino Linotype" w:hAnsi="Palatino Linotype" w:cs="Palatino Linotype"/>
        </w:rPr>
      </w:pPr>
    </w:p>
    <w:p w14:paraId="2CA40408" w14:textId="77777777" w:rsidR="00B01F10" w:rsidRDefault="00B01F10">
      <w:pPr>
        <w:spacing w:line="360" w:lineRule="auto"/>
        <w:ind w:right="48"/>
        <w:jc w:val="both"/>
        <w:rPr>
          <w:rFonts w:ascii="Palatino Linotype" w:eastAsia="Palatino Linotype" w:hAnsi="Palatino Linotype" w:cs="Palatino Linotype"/>
        </w:rPr>
      </w:pPr>
    </w:p>
    <w:p w14:paraId="2B3B70DD" w14:textId="77777777" w:rsidR="00B01F10" w:rsidRDefault="00B01F10">
      <w:pPr>
        <w:spacing w:line="360" w:lineRule="auto"/>
        <w:ind w:right="48"/>
        <w:jc w:val="both"/>
        <w:rPr>
          <w:rFonts w:ascii="Palatino Linotype" w:eastAsia="Palatino Linotype" w:hAnsi="Palatino Linotype" w:cs="Palatino Linotype"/>
        </w:rPr>
      </w:pPr>
    </w:p>
    <w:p w14:paraId="22658C7A" w14:textId="77777777" w:rsidR="00B01F10" w:rsidRDefault="00B01F10">
      <w:pPr>
        <w:spacing w:line="360" w:lineRule="auto"/>
        <w:ind w:right="48"/>
        <w:jc w:val="both"/>
        <w:rPr>
          <w:rFonts w:ascii="Palatino Linotype" w:eastAsia="Palatino Linotype" w:hAnsi="Palatino Linotype" w:cs="Palatino Linotype"/>
        </w:rPr>
      </w:pPr>
    </w:p>
    <w:p w14:paraId="2CCAF505" w14:textId="77777777" w:rsidR="00B01F10" w:rsidRDefault="00B01F10">
      <w:pPr>
        <w:spacing w:line="360" w:lineRule="auto"/>
        <w:ind w:right="48"/>
        <w:jc w:val="both"/>
        <w:rPr>
          <w:rFonts w:ascii="Palatino Linotype" w:eastAsia="Palatino Linotype" w:hAnsi="Palatino Linotype" w:cs="Palatino Linotype"/>
        </w:rPr>
      </w:pPr>
    </w:p>
    <w:p w14:paraId="01268C59" w14:textId="77777777" w:rsidR="00B01F10" w:rsidRDefault="00B01F10">
      <w:pPr>
        <w:spacing w:line="360" w:lineRule="auto"/>
        <w:ind w:right="48"/>
        <w:jc w:val="both"/>
        <w:rPr>
          <w:rFonts w:ascii="Palatino Linotype" w:eastAsia="Palatino Linotype" w:hAnsi="Palatino Linotype" w:cs="Palatino Linotype"/>
        </w:rPr>
      </w:pPr>
    </w:p>
    <w:p w14:paraId="3EE2E968" w14:textId="77777777" w:rsidR="00B01F10" w:rsidRDefault="00B01F10">
      <w:pPr>
        <w:spacing w:line="360" w:lineRule="auto"/>
        <w:ind w:right="48"/>
        <w:jc w:val="both"/>
        <w:rPr>
          <w:rFonts w:ascii="Palatino Linotype" w:eastAsia="Palatino Linotype" w:hAnsi="Palatino Linotype" w:cs="Palatino Linotype"/>
        </w:rPr>
      </w:pPr>
    </w:p>
    <w:p w14:paraId="222101AB" w14:textId="77777777" w:rsidR="00B01F10" w:rsidRDefault="00B01F10">
      <w:pPr>
        <w:spacing w:line="360" w:lineRule="auto"/>
        <w:ind w:right="48"/>
        <w:jc w:val="both"/>
        <w:rPr>
          <w:rFonts w:ascii="Palatino Linotype" w:eastAsia="Palatino Linotype" w:hAnsi="Palatino Linotype" w:cs="Palatino Linotype"/>
        </w:rPr>
      </w:pPr>
    </w:p>
    <w:p w14:paraId="6749B59D" w14:textId="77777777" w:rsidR="00B01F10" w:rsidRDefault="00B01F10">
      <w:pPr>
        <w:spacing w:line="360" w:lineRule="auto"/>
        <w:ind w:right="48"/>
        <w:jc w:val="both"/>
        <w:rPr>
          <w:rFonts w:ascii="Palatino Linotype" w:eastAsia="Palatino Linotype" w:hAnsi="Palatino Linotype" w:cs="Palatino Linotype"/>
        </w:rPr>
      </w:pPr>
    </w:p>
    <w:p w14:paraId="11C94698" w14:textId="77777777" w:rsidR="00B01F10" w:rsidRDefault="00B01F10">
      <w:pPr>
        <w:spacing w:line="360" w:lineRule="auto"/>
        <w:ind w:right="48"/>
        <w:jc w:val="both"/>
        <w:rPr>
          <w:rFonts w:ascii="Palatino Linotype" w:eastAsia="Palatino Linotype" w:hAnsi="Palatino Linotype" w:cs="Palatino Linotype"/>
        </w:rPr>
      </w:pPr>
    </w:p>
    <w:p w14:paraId="71A5E0AD" w14:textId="77777777" w:rsidR="00B01F10" w:rsidRDefault="00B01F10">
      <w:pPr>
        <w:spacing w:line="360" w:lineRule="auto"/>
        <w:ind w:right="48"/>
        <w:jc w:val="both"/>
        <w:rPr>
          <w:rFonts w:ascii="Palatino Linotype" w:eastAsia="Palatino Linotype" w:hAnsi="Palatino Linotype" w:cs="Palatino Linotype"/>
        </w:rPr>
      </w:pPr>
    </w:p>
    <w:p w14:paraId="03A9342E" w14:textId="77777777" w:rsidR="00B01F10" w:rsidRDefault="00B01F10">
      <w:pPr>
        <w:spacing w:line="360" w:lineRule="auto"/>
        <w:ind w:right="48"/>
        <w:jc w:val="both"/>
        <w:rPr>
          <w:rFonts w:ascii="Palatino Linotype" w:eastAsia="Palatino Linotype" w:hAnsi="Palatino Linotype" w:cs="Palatino Linotype"/>
        </w:rPr>
      </w:pPr>
    </w:p>
    <w:p w14:paraId="0D436869" w14:textId="77777777" w:rsidR="00B01F10" w:rsidRDefault="00B01F10">
      <w:pPr>
        <w:rPr>
          <w:rFonts w:ascii="Palatino Linotype" w:eastAsia="Palatino Linotype" w:hAnsi="Palatino Linotype" w:cs="Palatino Linotype"/>
          <w:color w:val="000000"/>
        </w:rPr>
      </w:pPr>
    </w:p>
    <w:sectPr w:rsidR="00B01F10" w:rsidSect="00A63595">
      <w:headerReference w:type="default" r:id="rId12"/>
      <w:footerReference w:type="default" r:id="rId13"/>
      <w:headerReference w:type="first" r:id="rId14"/>
      <w:footerReference w:type="first" r:id="rId15"/>
      <w:pgSz w:w="12240" w:h="15840"/>
      <w:pgMar w:top="2021" w:right="1325"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A8C1" w14:textId="77777777" w:rsidR="00D8610C" w:rsidRDefault="00D8610C">
      <w:r>
        <w:separator/>
      </w:r>
    </w:p>
  </w:endnote>
  <w:endnote w:type="continuationSeparator" w:id="0">
    <w:p w14:paraId="59B4F97C" w14:textId="77777777" w:rsidR="00D8610C" w:rsidRDefault="00D8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0885" w14:textId="77777777" w:rsidR="00B01F10" w:rsidRDefault="00EE7D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C66D3">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C66D3">
      <w:rPr>
        <w:rFonts w:ascii="Palatino Linotype" w:eastAsia="Palatino Linotype" w:hAnsi="Palatino Linotype" w:cs="Palatino Linotype"/>
        <w:b/>
        <w:noProof/>
        <w:color w:val="000000"/>
        <w:sz w:val="22"/>
        <w:szCs w:val="22"/>
      </w:rPr>
      <w:t>29</w:t>
    </w:r>
    <w:r>
      <w:rPr>
        <w:rFonts w:ascii="Palatino Linotype" w:eastAsia="Palatino Linotype" w:hAnsi="Palatino Linotype" w:cs="Palatino Linotype"/>
        <w:b/>
        <w:color w:val="000000"/>
        <w:sz w:val="22"/>
        <w:szCs w:val="22"/>
      </w:rPr>
      <w:fldChar w:fldCharType="end"/>
    </w:r>
  </w:p>
  <w:p w14:paraId="59A39F26" w14:textId="77777777" w:rsidR="00B01F10" w:rsidRDefault="00B01F1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3A3F" w14:textId="77777777" w:rsidR="00B01F10" w:rsidRDefault="00EE7D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C66D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C66D3">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p>
  <w:p w14:paraId="395070F5" w14:textId="77777777" w:rsidR="00B01F10" w:rsidRDefault="00B01F1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29BB" w14:textId="77777777" w:rsidR="00D8610C" w:rsidRDefault="00D8610C">
      <w:r>
        <w:separator/>
      </w:r>
    </w:p>
  </w:footnote>
  <w:footnote w:type="continuationSeparator" w:id="0">
    <w:p w14:paraId="27938406" w14:textId="77777777" w:rsidR="00D8610C" w:rsidRDefault="00D8610C">
      <w:r>
        <w:continuationSeparator/>
      </w:r>
    </w:p>
  </w:footnote>
  <w:footnote w:id="1">
    <w:p w14:paraId="4487E01D" w14:textId="77777777" w:rsidR="00B01F10" w:rsidRDefault="00EE7D75">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2BAD8FE7"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3">
    <w:p w14:paraId="3C7662D1"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 w:id="4">
    <w:p w14:paraId="24B9B3DC" w14:textId="77777777" w:rsidR="00B01F10" w:rsidRDefault="00EE7D75">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0335C0CA" w14:textId="77777777" w:rsidR="00B01F10" w:rsidRDefault="00EE7D75">
      <w:pPr>
        <w:pBdr>
          <w:top w:val="nil"/>
          <w:left w:val="nil"/>
          <w:bottom w:val="nil"/>
          <w:right w:val="nil"/>
          <w:between w:val="nil"/>
        </w:pBdr>
        <w:jc w:val="both"/>
        <w:rPr>
          <w:i/>
          <w:color w:val="000000"/>
          <w:sz w:val="20"/>
          <w:szCs w:val="20"/>
        </w:rPr>
      </w:pPr>
      <w:r>
        <w:rPr>
          <w:i/>
          <w:color w:val="000000"/>
          <w:sz w:val="20"/>
          <w:szCs w:val="20"/>
        </w:rPr>
        <w:t>(...)</w:t>
      </w:r>
    </w:p>
    <w:p w14:paraId="4031ABE5" w14:textId="77777777" w:rsidR="00B01F10" w:rsidRDefault="00EE7D75">
      <w:pPr>
        <w:pBdr>
          <w:top w:val="nil"/>
          <w:left w:val="nil"/>
          <w:bottom w:val="nil"/>
          <w:right w:val="nil"/>
          <w:between w:val="nil"/>
        </w:pBdr>
        <w:jc w:val="both"/>
        <w:rPr>
          <w:i/>
          <w:color w:val="000000"/>
          <w:sz w:val="20"/>
          <w:szCs w:val="20"/>
        </w:rPr>
      </w:pPr>
      <w:r>
        <w:rPr>
          <w:b/>
          <w:i/>
          <w:color w:val="000000"/>
          <w:sz w:val="20"/>
          <w:szCs w:val="20"/>
        </w:rPr>
        <w:t>IV.</w:t>
      </w:r>
      <w:r>
        <w:rPr>
          <w:i/>
          <w:color w:val="000000"/>
          <w:sz w:val="20"/>
          <w:szCs w:val="20"/>
        </w:rPr>
        <w:t xml:space="preserve"> La declaración de incompetencia por el sujeto obligado;</w:t>
      </w:r>
    </w:p>
    <w:p w14:paraId="4C9C57F8" w14:textId="77777777" w:rsidR="00B01F10" w:rsidRDefault="00EE7D75">
      <w:pPr>
        <w:pBdr>
          <w:top w:val="nil"/>
          <w:left w:val="nil"/>
          <w:bottom w:val="nil"/>
          <w:right w:val="nil"/>
          <w:between w:val="nil"/>
        </w:pBdr>
        <w:jc w:val="both"/>
        <w:rPr>
          <w:i/>
          <w:color w:val="000000"/>
          <w:sz w:val="20"/>
          <w:szCs w:val="20"/>
        </w:rPr>
      </w:pPr>
      <w:r>
        <w:rPr>
          <w:i/>
          <w:color w:val="000000"/>
          <w:sz w:val="20"/>
          <w:szCs w:val="20"/>
        </w:rPr>
        <w:t>(…)</w:t>
      </w:r>
    </w:p>
    <w:p w14:paraId="24E7A587" w14:textId="77777777" w:rsidR="00B01F10" w:rsidRDefault="00EE7D75">
      <w:pPr>
        <w:pBdr>
          <w:top w:val="nil"/>
          <w:left w:val="nil"/>
          <w:bottom w:val="nil"/>
          <w:right w:val="nil"/>
          <w:between w:val="nil"/>
        </w:pBdr>
        <w:jc w:val="both"/>
        <w:rPr>
          <w:i/>
          <w:color w:val="000000"/>
          <w:sz w:val="20"/>
          <w:szCs w:val="20"/>
        </w:rPr>
      </w:pPr>
      <w:r>
        <w:rPr>
          <w:b/>
          <w:i/>
          <w:color w:val="000000"/>
          <w:sz w:val="20"/>
          <w:szCs w:val="20"/>
        </w:rPr>
        <w:t>VII.</w:t>
      </w:r>
      <w:r>
        <w:rPr>
          <w:i/>
          <w:color w:val="000000"/>
          <w:sz w:val="20"/>
          <w:szCs w:val="20"/>
        </w:rPr>
        <w:t xml:space="preserve"> La falta de respuesta a una solicitud de acceso a la información;</w:t>
      </w:r>
    </w:p>
    <w:p w14:paraId="65C5FD1D" w14:textId="77777777" w:rsidR="00B01F10" w:rsidRDefault="00EE7D75">
      <w:pPr>
        <w:pBdr>
          <w:top w:val="nil"/>
          <w:left w:val="nil"/>
          <w:bottom w:val="nil"/>
          <w:right w:val="nil"/>
          <w:between w:val="nil"/>
        </w:pBdr>
        <w:jc w:val="both"/>
        <w:rPr>
          <w:color w:val="000000"/>
          <w:sz w:val="20"/>
          <w:szCs w:val="20"/>
        </w:rPr>
      </w:pPr>
      <w:r>
        <w:rPr>
          <w:i/>
          <w:color w:val="000000"/>
          <w:sz w:val="20"/>
          <w:szCs w:val="20"/>
        </w:rPr>
        <w:t>(…)”</w:t>
      </w:r>
    </w:p>
  </w:footnote>
  <w:footnote w:id="5">
    <w:p w14:paraId="778C2FE7"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6">
    <w:p w14:paraId="5816A01C"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7">
    <w:p w14:paraId="7709414A"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8">
    <w:p w14:paraId="391A9C09"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9">
    <w:p w14:paraId="4CE0CB54"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0">
    <w:p w14:paraId="66E528FC"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 Ídem.</w:t>
      </w:r>
    </w:p>
  </w:footnote>
  <w:footnote w:id="11">
    <w:p w14:paraId="006232BA"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12">
    <w:p w14:paraId="5240C19E"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Ídem.</w:t>
      </w:r>
    </w:p>
  </w:footnote>
  <w:footnote w:id="13">
    <w:p w14:paraId="19509F26"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27, Ley Orgánica Municipal del Estado de México.</w:t>
      </w:r>
    </w:p>
  </w:footnote>
  <w:footnote w:id="14">
    <w:p w14:paraId="44F62103"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28, Ídem.</w:t>
      </w:r>
    </w:p>
  </w:footnote>
  <w:footnote w:id="15">
    <w:p w14:paraId="315D5060"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87, Ídem.</w:t>
      </w:r>
    </w:p>
  </w:footnote>
  <w:footnote w:id="16">
    <w:p w14:paraId="63E13602"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96 Sexdecies, Ley Orgánica Municipal del Estado de México.</w:t>
      </w:r>
    </w:p>
  </w:footnote>
  <w:footnote w:id="17">
    <w:p w14:paraId="51E1E156"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27, fracción VII, Constitución Política de los Estados Unidos Mexicanos.</w:t>
      </w:r>
    </w:p>
  </w:footnote>
  <w:footnote w:id="18">
    <w:p w14:paraId="618E8EAF"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19">
    <w:p w14:paraId="3504C5BD"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20">
    <w:p w14:paraId="1322A84C"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 Ley Agraria.</w:t>
      </w:r>
    </w:p>
  </w:footnote>
  <w:footnote w:id="21">
    <w:p w14:paraId="339F2DC6"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10, Ídem.</w:t>
      </w:r>
    </w:p>
  </w:footnote>
  <w:footnote w:id="22">
    <w:p w14:paraId="7CABC750"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23">
    <w:p w14:paraId="650A45B7"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21, Ley Agraria.</w:t>
      </w:r>
    </w:p>
  </w:footnote>
  <w:footnote w:id="24">
    <w:p w14:paraId="56216ED9"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22, Ídem.</w:t>
      </w:r>
    </w:p>
  </w:footnote>
  <w:footnote w:id="25">
    <w:p w14:paraId="5BA64DDA"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32,Ídem.</w:t>
      </w:r>
    </w:p>
  </w:footnote>
  <w:footnote w:id="26">
    <w:p w14:paraId="160587EE"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36, Ley Agraria.</w:t>
      </w:r>
    </w:p>
  </w:footnote>
  <w:footnote w:id="27">
    <w:p w14:paraId="6D3C5FDE"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44, Ídem.</w:t>
      </w:r>
    </w:p>
  </w:footnote>
  <w:footnote w:id="28">
    <w:p w14:paraId="4036C082"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148, Ídem.</w:t>
      </w:r>
    </w:p>
  </w:footnote>
  <w:footnote w:id="29">
    <w:p w14:paraId="0F84149F"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151, Ídem.</w:t>
      </w:r>
    </w:p>
  </w:footnote>
  <w:footnote w:id="30">
    <w:p w14:paraId="5917BF9F" w14:textId="77777777" w:rsidR="00B01F10" w:rsidRDefault="00EE7D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https://www.gob.mx/tramites/ficha/solicita-ante-el-ran-la-reposicion-de-tus-certificado-en-caso-de-la-perdida-o-extravio/RAN2342</w:t>
      </w:r>
    </w:p>
  </w:footnote>
  <w:footnote w:id="31">
    <w:p w14:paraId="7F1F28E0" w14:textId="77777777" w:rsidR="00F146D5" w:rsidRDefault="00F146D5">
      <w:pPr>
        <w:pStyle w:val="Textonotapie"/>
      </w:pPr>
      <w:r>
        <w:rPr>
          <w:rStyle w:val="Refdenotaalpie"/>
        </w:rPr>
        <w:footnoteRef/>
      </w:r>
      <w:r>
        <w:t xml:space="preserve"> Disponible en: </w:t>
      </w:r>
      <w:r w:rsidRPr="00F146D5">
        <w:t>https://www.plataformadetransparencia.org.mx/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1A1" w14:textId="77777777" w:rsidR="00B01F10" w:rsidRDefault="00EE7D75">
    <w:pPr>
      <w:widowControl w:val="0"/>
      <w:pBdr>
        <w:top w:val="nil"/>
        <w:left w:val="nil"/>
        <w:bottom w:val="nil"/>
        <w:right w:val="nil"/>
        <w:between w:val="nil"/>
      </w:pBdr>
      <w:spacing w:line="276" w:lineRule="auto"/>
      <w:rPr>
        <w:color w:val="000000"/>
      </w:rPr>
    </w:pPr>
    <w:r>
      <w:rPr>
        <w:noProof/>
      </w:rPr>
      <w:drawing>
        <wp:anchor distT="0" distB="0" distL="0" distR="0" simplePos="0" relativeHeight="251657216" behindDoc="1" locked="0" layoutInCell="1" hidden="0" allowOverlap="1" wp14:anchorId="5CFAF1FA" wp14:editId="2221FE2E">
          <wp:simplePos x="0" y="0"/>
          <wp:positionH relativeFrom="column">
            <wp:posOffset>-1115205</wp:posOffset>
          </wp:positionH>
          <wp:positionV relativeFrom="paragraph">
            <wp:posOffset>-448008</wp:posOffset>
          </wp:positionV>
          <wp:extent cx="7694930" cy="100203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5"/>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B01F10" w14:paraId="688E8705" w14:textId="77777777">
      <w:trPr>
        <w:trHeight w:val="138"/>
      </w:trPr>
      <w:tc>
        <w:tcPr>
          <w:tcW w:w="3690" w:type="dxa"/>
          <w:vAlign w:val="center"/>
        </w:tcPr>
        <w:p w14:paraId="1E97A438" w14:textId="77777777" w:rsidR="00B01F10" w:rsidRDefault="00EE7D75">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3A83ACF2" w14:textId="77777777" w:rsidR="00B01F10" w:rsidRDefault="00EE7D75">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01373/INFOEM/IP/RR/2024</w:t>
          </w:r>
        </w:p>
      </w:tc>
    </w:tr>
    <w:tr w:rsidR="00B01F10" w14:paraId="56A1B1AD" w14:textId="77777777">
      <w:trPr>
        <w:trHeight w:val="233"/>
      </w:trPr>
      <w:tc>
        <w:tcPr>
          <w:tcW w:w="3690" w:type="dxa"/>
          <w:vAlign w:val="center"/>
        </w:tcPr>
        <w:p w14:paraId="3EDEB31E" w14:textId="77777777" w:rsidR="00B01F10" w:rsidRDefault="00EE7D75">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08A59BF" w14:textId="77777777" w:rsidR="00B01F10" w:rsidRDefault="00EE7D7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San Felipe del Progreso</w:t>
          </w:r>
        </w:p>
      </w:tc>
    </w:tr>
    <w:tr w:rsidR="00B01F10" w14:paraId="3B6601B1" w14:textId="77777777">
      <w:trPr>
        <w:trHeight w:val="321"/>
      </w:trPr>
      <w:tc>
        <w:tcPr>
          <w:tcW w:w="3690" w:type="dxa"/>
          <w:vAlign w:val="center"/>
        </w:tcPr>
        <w:p w14:paraId="142A2A05" w14:textId="77777777" w:rsidR="00B01F10" w:rsidRDefault="00EE7D75">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309ABD89" w14:textId="77777777" w:rsidR="00B01F10" w:rsidRDefault="00EE7D7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535BC3BC" w14:textId="77777777" w:rsidR="00B01F10" w:rsidRDefault="00B01F1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767" w14:textId="77777777" w:rsidR="00B01F10" w:rsidRDefault="00B01F10">
    <w:pPr>
      <w:widowControl w:val="0"/>
      <w:pBdr>
        <w:top w:val="nil"/>
        <w:left w:val="nil"/>
        <w:bottom w:val="nil"/>
        <w:right w:val="nil"/>
        <w:between w:val="nil"/>
      </w:pBdr>
      <w:spacing w:line="276" w:lineRule="auto"/>
      <w:rPr>
        <w:color w:val="000000"/>
        <w:sz w:val="20"/>
        <w:szCs w:val="20"/>
      </w:rPr>
    </w:pPr>
  </w:p>
  <w:tbl>
    <w:tblPr>
      <w:tblStyle w:val="a6"/>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B01F10" w14:paraId="20EED1EA" w14:textId="77777777">
      <w:trPr>
        <w:trHeight w:val="138"/>
      </w:trPr>
      <w:tc>
        <w:tcPr>
          <w:tcW w:w="3690" w:type="dxa"/>
          <w:vAlign w:val="center"/>
        </w:tcPr>
        <w:p w14:paraId="5ABCCADC" w14:textId="77777777" w:rsidR="00B01F10" w:rsidRDefault="00EE7D75">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17BF4CB7" w14:textId="77777777" w:rsidR="00B01F10" w:rsidRDefault="00EE7D7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01373/INFOEM/IP/RR/2024</w:t>
          </w:r>
        </w:p>
      </w:tc>
    </w:tr>
    <w:tr w:rsidR="00B01F10" w14:paraId="2AF51ACC" w14:textId="77777777">
      <w:trPr>
        <w:trHeight w:val="233"/>
      </w:trPr>
      <w:tc>
        <w:tcPr>
          <w:tcW w:w="3690" w:type="dxa"/>
          <w:vAlign w:val="center"/>
        </w:tcPr>
        <w:p w14:paraId="04F7B1CA" w14:textId="77777777" w:rsidR="00B01F10" w:rsidRDefault="00EE7D75">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2D6C3334" w14:textId="2862E834" w:rsidR="00B01F10" w:rsidRDefault="005068DD">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XXX XXX</w:t>
          </w:r>
        </w:p>
      </w:tc>
    </w:tr>
    <w:tr w:rsidR="00B01F10" w14:paraId="1CE3606E" w14:textId="77777777">
      <w:trPr>
        <w:trHeight w:val="321"/>
      </w:trPr>
      <w:tc>
        <w:tcPr>
          <w:tcW w:w="3690" w:type="dxa"/>
          <w:vAlign w:val="center"/>
        </w:tcPr>
        <w:p w14:paraId="1811D3D6" w14:textId="77777777" w:rsidR="00B01F10" w:rsidRDefault="00EE7D75">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7EF87668" w14:textId="77777777" w:rsidR="00B01F10" w:rsidRDefault="00EE7D7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San Felipe del Progreso</w:t>
          </w:r>
        </w:p>
      </w:tc>
    </w:tr>
    <w:tr w:rsidR="00B01F10" w14:paraId="01AE6E63" w14:textId="77777777">
      <w:trPr>
        <w:trHeight w:val="321"/>
      </w:trPr>
      <w:tc>
        <w:tcPr>
          <w:tcW w:w="3690" w:type="dxa"/>
          <w:vAlign w:val="center"/>
        </w:tcPr>
        <w:p w14:paraId="59F71E1F" w14:textId="77777777" w:rsidR="00B01F10" w:rsidRDefault="00EE7D75">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784B7402" w14:textId="77777777" w:rsidR="00B01F10" w:rsidRDefault="00EE7D75">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1BCD709B" w14:textId="77777777" w:rsidR="00B01F10" w:rsidRDefault="00D8610C">
    <w:pPr>
      <w:pBdr>
        <w:top w:val="nil"/>
        <w:left w:val="nil"/>
        <w:bottom w:val="nil"/>
        <w:right w:val="nil"/>
        <w:between w:val="nil"/>
      </w:pBdr>
      <w:tabs>
        <w:tab w:val="center" w:pos="4252"/>
        <w:tab w:val="right" w:pos="8504"/>
        <w:tab w:val="left" w:pos="3103"/>
      </w:tabs>
      <w:rPr>
        <w:color w:val="000000"/>
      </w:rPr>
    </w:pPr>
    <w:r>
      <w:rPr>
        <w:color w:val="000000"/>
      </w:rPr>
      <w:pict w14:anchorId="0D20F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1pt;margin-top:-124.3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F30"/>
    <w:multiLevelType w:val="multilevel"/>
    <w:tmpl w:val="9F2C06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56554"/>
    <w:multiLevelType w:val="multilevel"/>
    <w:tmpl w:val="1D34D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643160F"/>
    <w:multiLevelType w:val="multilevel"/>
    <w:tmpl w:val="FF04F114"/>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BC6B99"/>
    <w:multiLevelType w:val="multilevel"/>
    <w:tmpl w:val="53926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0D1BB7"/>
    <w:multiLevelType w:val="multilevel"/>
    <w:tmpl w:val="E564BB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A4B13"/>
    <w:multiLevelType w:val="multilevel"/>
    <w:tmpl w:val="DDE401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6672227">
    <w:abstractNumId w:val="4"/>
  </w:num>
  <w:num w:numId="2" w16cid:durableId="899244997">
    <w:abstractNumId w:val="3"/>
  </w:num>
  <w:num w:numId="3" w16cid:durableId="555508247">
    <w:abstractNumId w:val="2"/>
  </w:num>
  <w:num w:numId="4" w16cid:durableId="1999767330">
    <w:abstractNumId w:val="1"/>
  </w:num>
  <w:num w:numId="5" w16cid:durableId="550842570">
    <w:abstractNumId w:val="5"/>
  </w:num>
  <w:num w:numId="6" w16cid:durableId="165074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10"/>
    <w:rsid w:val="0021415D"/>
    <w:rsid w:val="005068DD"/>
    <w:rsid w:val="00506F61"/>
    <w:rsid w:val="005C66D3"/>
    <w:rsid w:val="006B2DE7"/>
    <w:rsid w:val="00A63595"/>
    <w:rsid w:val="00B01F10"/>
    <w:rsid w:val="00B14199"/>
    <w:rsid w:val="00D8610C"/>
    <w:rsid w:val="00DC382A"/>
    <w:rsid w:val="00EE7D75"/>
    <w:rsid w:val="00F146D5"/>
    <w:rsid w:val="00F40476"/>
    <w:rsid w:val="00F90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200C"/>
  <w15:docId w15:val="{A0CCA9DB-177E-4CB9-A678-38257B2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08" w:type="dxa"/>
        <w:right w:w="108" w:type="dxa"/>
      </w:tblCellMar>
    </w:tblPr>
  </w:style>
  <w:style w:type="table" w:customStyle="1" w:styleId="a1">
    <w:basedOn w:val="TableNormal0"/>
    <w:rPr>
      <w:color w:val="000000"/>
      <w:sz w:val="22"/>
      <w:szCs w:val="22"/>
    </w:rPr>
    <w:tblPr>
      <w:tblStyleRowBandSize w:val="1"/>
      <w:tblStyleColBandSize w:val="1"/>
      <w:tblCellMar>
        <w:left w:w="108" w:type="dxa"/>
        <w:right w:w="108" w:type="dxa"/>
      </w:tblCellMar>
    </w:tblPr>
  </w:style>
  <w:style w:type="table" w:customStyle="1" w:styleId="a2">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rPr>
      <w:color w:val="000000"/>
      <w:sz w:val="22"/>
      <w:szCs w:val="22"/>
    </w:rPr>
    <w:tblPr>
      <w:tblStyleRowBandSize w:val="1"/>
      <w:tblStyleColBandSize w:val="1"/>
      <w:tblCellMar>
        <w:left w:w="108" w:type="dxa"/>
        <w:right w:w="108" w:type="dxa"/>
      </w:tblCellMar>
    </w:tblPr>
  </w:style>
  <w:style w:type="table" w:customStyle="1" w:styleId="a4">
    <w:basedOn w:val="TableNormal0"/>
    <w:rPr>
      <w:color w:val="000000"/>
      <w:sz w:val="22"/>
      <w:szCs w:val="22"/>
    </w:rPr>
    <w:tblPr>
      <w:tblStyleRowBandSize w:val="1"/>
      <w:tblStyleColBandSize w:val="1"/>
      <w:tblCellMar>
        <w:left w:w="108" w:type="dxa"/>
        <w:right w:w="108" w:type="dxa"/>
      </w:tblCellMar>
    </w:tblPr>
  </w:style>
  <w:style w:type="table" w:customStyle="1" w:styleId="a5">
    <w:basedOn w:val="TableNormal0"/>
    <w:rPr>
      <w:color w:val="000000"/>
      <w:sz w:val="22"/>
      <w:szCs w:val="22"/>
    </w:rPr>
    <w:tblPr>
      <w:tblStyleRowBandSize w:val="1"/>
      <w:tblStyleColBandSize w:val="1"/>
      <w:tblCellMar>
        <w:left w:w="108" w:type="dxa"/>
        <w:right w:w="108" w:type="dxa"/>
      </w:tblCellMar>
    </w:tblPr>
  </w:style>
  <w:style w:type="table" w:customStyle="1" w:styleId="a6">
    <w:basedOn w:val="TableNormal0"/>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tramites/ficha/solicita-ante-el-ran-la-reposicion-de-tus-certificado-en-caso-de-la-perdida-o-extravio/RAN234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OCgBKoedhvLyTLGn1IeMimA==">CgMxLjAyCGguZ2pkZ3hzMgloLjMwajB6bGwyCWguMWZvYjl0ZTIOaC53ZWUydGtkMWVxM2wyCWguM3pueXNoNzIJaC4yZXQ5MnAwMghoLnR5amN3dDIJaC4zZHk2dmttMgloLjF0M2g1c2YyCWguNGQzNG9nODIJaC4xN2RwOHZ1MgloLjNyZGNyam4yCWguMjZpbjFyZzIIaC5sbnhiejk4AHIhMTBac3gyQkpRejNtV0E0QW5iY01jRVAxQTBudEhzeGQx</go:docsCustomData>
</go:gDocsCustomXmlDataStorage>
</file>

<file path=customXml/itemProps1.xml><?xml version="1.0" encoding="utf-8"?>
<ds:datastoreItem xmlns:ds="http://schemas.openxmlformats.org/officeDocument/2006/customXml" ds:itemID="{5C2D1567-1128-45B0-844F-93C075DE26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6427</Words>
  <Characters>35352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6</cp:revision>
  <cp:lastPrinted>2024-06-20T20:45:00Z</cp:lastPrinted>
  <dcterms:created xsi:type="dcterms:W3CDTF">2024-06-18T17:43:00Z</dcterms:created>
  <dcterms:modified xsi:type="dcterms:W3CDTF">2024-06-26T18:20:00Z</dcterms:modified>
</cp:coreProperties>
</file>