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aaetidv341je" w:id="0"/>
      <w:bookmarkEnd w:id="0"/>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veintiséis de junio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00044/INFOEM/IP/RR/2024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XXXXX 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00363/SEMUJS/IP/2023,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Secretaría de las Mujeres,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bookmarkStart w:colFirst="0" w:colLast="0" w:name="_heading=h.4d34og8" w:id="2"/>
      <w:bookmarkEnd w:id="2"/>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de noviembre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mediante la cual requirió la información siguiente: </w:t>
      </w:r>
    </w:p>
    <w:p w:rsidR="00000000" w:rsidDel="00000000" w:rsidP="00000000" w:rsidRDefault="00000000" w:rsidRPr="00000000" w14:paraId="00000006">
      <w:pPr>
        <w:spacing w:after="120" w:before="12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3"/>
      <w:bookmarkEnd w:id="3"/>
      <w:r w:rsidDel="00000000" w:rsidR="00000000" w:rsidRPr="00000000">
        <w:rPr>
          <w:rFonts w:ascii="Palatino Linotype" w:cs="Palatino Linotype" w:eastAsia="Palatino Linotype" w:hAnsi="Palatino Linotype"/>
          <w:i w:val="1"/>
          <w:sz w:val="22"/>
          <w:szCs w:val="22"/>
          <w:rtl w:val="0"/>
        </w:rPr>
        <w:t xml:space="preserve"> “solicito en versión publica el expediente personal de las servidoras y servidores que ingresaron el 01 de enero de 2023 a la fecha, por cualqueir via de contratación, incluyendo confianza, base, por honorarios, tiempo determinado, asimilado a salarios, etc.</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bookmarkStart w:colFirst="0" w:colLast="0" w:name="_heading=h.3dy6vkm" w:id="4"/>
      <w:bookmarkEnd w:id="4"/>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diecinueve de diciembre de dos mil veintitrés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relación a su solicitud de información con número de folio 00363/SEMUJS/IP/2023, me permito dar respuesta a través de un oficio y cuatro archivos anexos, con el fin de dar cumplimiento a lo establecido en la Ley de Transparencia y Acceso a la Información Pública del Estado de México y Municipios...” (sic)</w:t>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lo siguiente:</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emitido por la Titular de la Unidad de Transparencia mediante el cual informa a la persona solicitante, en lo medular, el cambio de modalidad en la entrega de la información a consulta directa, a solicitud de la Coordinación Administrativa, bajo el argumento de que la documentación requerida sobrepasa las capacidades técnicas del SAIMEX, por lo que no es posible realizar la entrega bajo la modalidad requerida.</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emitido por la Coordinadora Administrativa, mediante el cual, derivado de la búsqueda exhaustiva y razonable en los archivos de dicha unidad administrativa, informó que los expedientes del personal de la Secretaría de las Mujeres del uno de enero al treinta de noviembre de dos mil veintitrés, asciende a un aproximado de 15,000 fojas, por lo que a fin de dar cumplimiento en los términos establecidos en la normatividad y para no afectar el correcto funcionamiento de procesar y entregar la información dado que se requiere atención precisa, coordinada y exacta, solicitó a la Unidad de Transparencia el cambio de modalidad a consulta directa, con fundamento en el artículo 158 de la Ley de Transparencia y Acceso a la Información Pública del Estado de México y Municipios, así como el registro ante este Instituto de la incidencia respectiva en la Bitácora a cargo de la Dirección General de Informática.</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refirió que la información se ponía a disposición de la persona solicitante en las instalaciones de la Coordinación Administrativa, para lo cual proporcionó la dirección, horario de atención, medio de contacto, así como las formalidades para efectos de la consulta y señaló que en caso de requerir copias simples o certificadas de la información, estas serían proporcionadas previo pago de derechos de conformidad con lo establecido en el artículo 73 del Código Financiero del Estado de México y Municipios.</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finalmente señaló que en los expedientes de personal existe información susceptible de ser clasificada como confidencial, por tratarse de datos personales concernientes a una persona física identificada o identificable, mismos que se señalan el documento de mérito, por lo que solicitó se sometiera n a consideración del Comité de Transparencia la clasificación de los datos personales contenidos en los documentos que integran los expedientes de personal como información confidencial, a fin de emitir la versión pública para dar respuesta a la solicitud.</w:t>
      </w:r>
    </w:p>
    <w:p w:rsidR="00000000" w:rsidDel="00000000" w:rsidP="00000000" w:rsidRDefault="00000000" w:rsidRPr="00000000" w14:paraId="0000000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Acta  de la Trigésima Tercera Sesión Extraordinaria del Comité de Transparencia  de la Secretaría de las Mujeres, de fecha quince de diciembre de dos mil veintitrés, en la cual somete a consideración de los integrantes la propuesta de clasificación  de la información como confidencial a fin de dar respuesta a la solicitud de información a través de la versión pública de los documentos requeridos.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Resolución del Comité de Transparencia de la Secretaría de las Mujeres, de fecha quince de diciembre de dos mil veintitrés, mediante la cual en lo medular, se confirma la clasificación de los datos personales contenidos en los documentos que integran los expedientes de personal, como información confidencial, y se aprueba la versión pública del “Expediente personal de las personas servidoras públicas de la Secretaría de las Mujeres que ingresaron el 01 de enero de 2023 al 30 de noviembre de 2023”</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Cuadro de clasificación de los datos personales contenidos en los documentos que integran el Expediente de personal de los servidores públicos requeridos.</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once de enero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3">
      <w:pPr>
        <w:tabs>
          <w:tab w:val="left" w:leader="none" w:pos="2400"/>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14">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la información completa” (sic)</w:t>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bookmarkStart w:colFirst="0" w:colLast="0" w:name="_heading=h.30j0zll" w:id="5"/>
      <w:bookmarkEnd w:id="5"/>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6">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“cambia la modalidad de entregar la información, generando con ello que no se tenga acceso y pretendiendo de manera dolosa que se presente físicamente la persona que la solicita con la finalidad únicamente de conocer su identidad</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17">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dieciséis de enero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bookmarkStart w:colFirst="0" w:colLast="0" w:name="_heading=h.2s8eyo1" w:id="6"/>
      <w:bookmarkEnd w:id="6"/>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veintitrés de enero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su informe justificado, mediante el cual, ratifica en lo sustancial la respuesta proporcionada en primera instancia, no obstante, dicho documento se hizo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sin embargo, fue omisa en ejercer dicha prerrogativa.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doce de abril de dos mil veinticuatro, </w:t>
      </w:r>
      <w:r w:rsidDel="00000000" w:rsidR="00000000" w:rsidRPr="00000000">
        <w:rPr>
          <w:rFonts w:ascii="Palatino Linotype" w:cs="Palatino Linotype" w:eastAsia="Palatino Linotype" w:hAnsi="Palatino Linotype"/>
          <w:rtl w:val="0"/>
        </w:rPr>
        <w:t xml:space="preserve">se amplió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0">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1">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2">
      <w:pPr>
        <w:numPr>
          <w:ilvl w:val="0"/>
          <w:numId w:val="4"/>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3">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8">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9">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B">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Requerimiento de información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veintidós de mayo de dos mil veinticuatro</w:t>
      </w:r>
      <w:r w:rsidDel="00000000" w:rsidR="00000000" w:rsidRPr="00000000">
        <w:rPr>
          <w:rFonts w:ascii="Palatino Linotype" w:cs="Palatino Linotype" w:eastAsia="Palatino Linotype" w:hAnsi="Palatino Linotype"/>
          <w:rtl w:val="0"/>
        </w:rPr>
        <w:t xml:space="preserve">, este Organismo Garante hizo un requerimiento de información adicional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correo electrónico, </w:t>
        <w:tab/>
        <w:t xml:space="preserve">el cual consistió en lo siguiente: </w:t>
      </w:r>
    </w:p>
    <w:p w:rsidR="00000000" w:rsidDel="00000000" w:rsidP="00000000" w:rsidRDefault="00000000" w:rsidRPr="00000000" w14:paraId="0000002C">
      <w:pPr>
        <w:widowControl w:val="0"/>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las constancias que integran el expediente del recurso de revisión </w:t>
      </w:r>
      <w:r w:rsidDel="00000000" w:rsidR="00000000" w:rsidRPr="00000000">
        <w:rPr>
          <w:rFonts w:ascii="Palatino Linotype" w:cs="Palatino Linotype" w:eastAsia="Palatino Linotype" w:hAnsi="Palatino Linotype"/>
          <w:b w:val="1"/>
          <w:i w:val="1"/>
          <w:sz w:val="22"/>
          <w:szCs w:val="22"/>
          <w:rtl w:val="0"/>
        </w:rPr>
        <w:t xml:space="preserve">00044/INFOEM/IP/RR/2024,</w:t>
      </w:r>
      <w:r w:rsidDel="00000000" w:rsidR="00000000" w:rsidRPr="00000000">
        <w:rPr>
          <w:rFonts w:ascii="Palatino Linotype" w:cs="Palatino Linotype" w:eastAsia="Palatino Linotype" w:hAnsi="Palatino Linotype"/>
          <w:i w:val="1"/>
          <w:sz w:val="22"/>
          <w:szCs w:val="22"/>
          <w:rtl w:val="0"/>
        </w:rPr>
        <w:t xml:space="preserve"> se desprende que en respuesta a la solicitud de información </w:t>
      </w:r>
      <w:r w:rsidDel="00000000" w:rsidR="00000000" w:rsidRPr="00000000">
        <w:rPr>
          <w:rFonts w:ascii="Palatino Linotype" w:cs="Palatino Linotype" w:eastAsia="Palatino Linotype" w:hAnsi="Palatino Linotype"/>
          <w:b w:val="1"/>
          <w:i w:val="1"/>
          <w:sz w:val="22"/>
          <w:szCs w:val="22"/>
          <w:rtl w:val="0"/>
        </w:rPr>
        <w:t xml:space="preserve">00363/SEMUJS/IP/2023</w:t>
      </w:r>
      <w:r w:rsidDel="00000000" w:rsidR="00000000" w:rsidRPr="00000000">
        <w:rPr>
          <w:rFonts w:ascii="Palatino Linotype" w:cs="Palatino Linotype" w:eastAsia="Palatino Linotype" w:hAnsi="Palatino Linotype"/>
          <w:i w:val="1"/>
          <w:sz w:val="22"/>
          <w:szCs w:val="22"/>
          <w:rtl w:val="0"/>
        </w:rPr>
        <w:t xml:space="preserve">, que le dio origen, la Coordinadora Administrativa, tras realizar una búsqueda exhaustiva y razonable en los archivos del área a su cargo, manifestó la imposibilidad técnica y administrativa para hacer entrega de la información derivado del cúmulo de documentos que ascienden a 15,000 fojas, argumentando además que se requiere la atención precisa, coordinada y exacta a fin de dar cumplimiento en los términos establecidos en la normatividad, por lo que, a fin de no afectar el correcto funcionamiento de procesar y entregar la información, solicitó el cambio de modalidad a consulta directa, con fundamento en el artículo 158 de la Ley de Transparencia y Acceso a la Información Pública del Estado de México y Municipios.</w:t>
      </w:r>
    </w:p>
    <w:p w:rsidR="00000000" w:rsidDel="00000000" w:rsidP="00000000" w:rsidRDefault="00000000" w:rsidRPr="00000000" w14:paraId="0000002D">
      <w:pPr>
        <w:widowControl w:val="0"/>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Atento a lo anterior, la que suscribe, con fundamento en el artículo 14, fracciones I, II, V y XVI del Reglamento Interno del Instituto de Transparencia, Acceso a la Información Pública y Protección de Datos Personales del Estado de México y Municipios, </w:t>
      </w:r>
      <w:r w:rsidDel="00000000" w:rsidR="00000000" w:rsidRPr="00000000">
        <w:rPr>
          <w:rFonts w:ascii="Palatino Linotype" w:cs="Palatino Linotype" w:eastAsia="Palatino Linotype" w:hAnsi="Palatino Linotype"/>
          <w:b w:val="1"/>
          <w:i w:val="1"/>
          <w:sz w:val="22"/>
          <w:szCs w:val="22"/>
          <w:rtl w:val="0"/>
        </w:rPr>
        <w:t xml:space="preserve">con el objeto de contar con los elementos necesarios para la elaboración del proyecto de resolución correspondiente</w:t>
      </w:r>
      <w:r w:rsidDel="00000000" w:rsidR="00000000" w:rsidRPr="00000000">
        <w:rPr>
          <w:rFonts w:ascii="Palatino Linotype" w:cs="Palatino Linotype" w:eastAsia="Palatino Linotype" w:hAnsi="Palatino Linotype"/>
          <w:i w:val="1"/>
          <w:sz w:val="22"/>
          <w:szCs w:val="22"/>
          <w:rtl w:val="0"/>
        </w:rPr>
        <w:t xml:space="preserve">, requiere al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para que precise lo siguiente:</w:t>
      </w:r>
    </w:p>
    <w:p w:rsidR="00000000" w:rsidDel="00000000" w:rsidP="00000000" w:rsidRDefault="00000000" w:rsidRPr="00000000" w14:paraId="0000002E">
      <w:pPr>
        <w:widowControl w:val="0"/>
        <w:tabs>
          <w:tab w:val="left" w:leader="none" w:pos="1276"/>
        </w:tabs>
        <w:spacing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Número de servidores públicos que ingresaron o fueron dados de alta del uno de enero al treinta de noviembre de dos mil veintitrés.</w:t>
      </w:r>
    </w:p>
    <w:p w:rsidR="00000000" w:rsidDel="00000000" w:rsidP="00000000" w:rsidRDefault="00000000" w:rsidRPr="00000000" w14:paraId="0000002F">
      <w:pPr>
        <w:widowControl w:val="0"/>
        <w:tabs>
          <w:tab w:val="left" w:leader="none" w:pos="1276"/>
        </w:tabs>
        <w:spacing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Nombre de los servidores públicos que ingresaron o fueron dados de alta del uno de enero al treinta de noviembre de dos mil veintitrés.</w:t>
      </w:r>
    </w:p>
    <w:p w:rsidR="00000000" w:rsidDel="00000000" w:rsidP="00000000" w:rsidRDefault="00000000" w:rsidRPr="00000000" w14:paraId="00000030">
      <w:pPr>
        <w:widowControl w:val="0"/>
        <w:tabs>
          <w:tab w:val="left" w:leader="none" w:pos="1276"/>
        </w:tabs>
        <w:spacing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Qué documentos integran un expediente de personal, y bajo que lineamiento, norma o fundamento legal se integran.</w:t>
      </w:r>
    </w:p>
    <w:p w:rsidR="00000000" w:rsidDel="00000000" w:rsidP="00000000" w:rsidRDefault="00000000" w:rsidRPr="00000000" w14:paraId="00000031">
      <w:pPr>
        <w:widowControl w:val="0"/>
        <w:tabs>
          <w:tab w:val="left" w:leader="none" w:pos="1276"/>
        </w:tabs>
        <w:spacing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Número de documentos aproximado por cada expediente de personal de los servidores públicos que ingresaron o fueron dados de alta del uno de enero al treinta de noviembre de dos mil veintitrés, sin considerar aquellos que deben clasificarse como confidenciales en su totalidad; de manera enunciativa, más no limitativa: acta de nacimiento, Clave Única de Registro de Población (CURP), cédula de identificación fiscal,  comprobante de domicilio, credencial para votar, cartas de recomendación, Cartilla de Servicio Militar, contrato bancario, entre otros.</w:t>
      </w:r>
    </w:p>
    <w:p w:rsidR="00000000" w:rsidDel="00000000" w:rsidP="00000000" w:rsidRDefault="00000000" w:rsidRPr="00000000" w14:paraId="00000032">
      <w:pPr>
        <w:widowControl w:val="0"/>
        <w:spacing w:before="24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Cualquier otro dato que permita esclarecer que los documentos que integran los expedientes de personal de los servidores públicos que ingresaron o fueron dados de alta del uno de enero al treinta de noviembre de dos mil veintitrés, susceptibles de ser entregados en versión pública, ascienden a 15,000 fojas.</w:t>
      </w:r>
    </w:p>
    <w:p w:rsidR="00000000" w:rsidDel="00000000" w:rsidP="00000000" w:rsidRDefault="00000000" w:rsidRPr="00000000" w14:paraId="00000033">
      <w:pPr>
        <w:widowControl w:val="0"/>
        <w:spacing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de mérito deberá ser entregada a este Instituto en un lapso no mayor a tres días, a partir del día siguiente a la notificación del presente, a través del SAIMEX, de acuerdo a lo establecido en el artículo 29 del Código de Procedimientos Administrativos del Estado de México de aplicación supletoria a la Ley de Transparencia y Acceso a la Información Pública del Estado de México y Municipios…”</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9. Desahogo del requerimiento de información adicional.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veintisiete de mayo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veinticuatro,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 SAIMEX, y mediante correo electrónico, el escrito mediante el cual desahogó el requerimiento de información adicional, medularmente en los siguientes términos:</w:t>
      </w:r>
      <w:r w:rsidDel="00000000" w:rsidR="00000000" w:rsidRPr="00000000">
        <w:rPr>
          <w:rtl w:val="0"/>
        </w:rPr>
      </w:r>
    </w:p>
    <w:p w:rsidR="00000000" w:rsidDel="00000000" w:rsidP="00000000" w:rsidRDefault="00000000" w:rsidRPr="00000000" w14:paraId="00000035">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4860000" cy="4318058"/>
            <wp:effectExtent b="0" l="0" r="0" t="0"/>
            <wp:docPr id="1643919199" name="image10.png"/>
            <a:graphic>
              <a:graphicData uri="http://schemas.openxmlformats.org/drawingml/2006/picture">
                <pic:pic>
                  <pic:nvPicPr>
                    <pic:cNvPr id="0" name="image10.png"/>
                    <pic:cNvPicPr preferRelativeResize="0"/>
                  </pic:nvPicPr>
                  <pic:blipFill>
                    <a:blip r:embed="rId7"/>
                    <a:srcRect b="26594" l="0" r="0" t="1"/>
                    <a:stretch>
                      <a:fillRect/>
                    </a:stretch>
                  </pic:blipFill>
                  <pic:spPr>
                    <a:xfrm>
                      <a:off x="0" y="0"/>
                      <a:ext cx="4860000" cy="431805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4860000" cy="1495147"/>
            <wp:effectExtent b="0" l="0" r="0" t="0"/>
            <wp:docPr id="1643919201" name="image10.png"/>
            <a:graphic>
              <a:graphicData uri="http://schemas.openxmlformats.org/drawingml/2006/picture">
                <pic:pic>
                  <pic:nvPicPr>
                    <pic:cNvPr id="0" name="image10.png"/>
                    <pic:cNvPicPr preferRelativeResize="0"/>
                  </pic:nvPicPr>
                  <pic:blipFill>
                    <a:blip r:embed="rId7"/>
                    <a:srcRect b="0" l="0" r="0" t="74584"/>
                    <a:stretch>
                      <a:fillRect/>
                    </a:stretch>
                  </pic:blipFill>
                  <pic:spPr>
                    <a:xfrm>
                      <a:off x="0" y="0"/>
                      <a:ext cx="4860000" cy="1495147"/>
                    </a:xfrm>
                    <a:prstGeom prst="rect"/>
                    <a:ln/>
                  </pic:spPr>
                </pic:pic>
              </a:graphicData>
            </a:graphic>
          </wp:inline>
        </w:drawing>
      </w:r>
      <w:r w:rsidDel="00000000" w:rsidR="00000000" w:rsidRPr="00000000">
        <w:rPr>
          <w:rFonts w:ascii="Palatino Linotype" w:cs="Palatino Linotype" w:eastAsia="Palatino Linotype" w:hAnsi="Palatino Linotype"/>
          <w:b w:val="1"/>
        </w:rPr>
        <w:drawing>
          <wp:inline distB="0" distT="0" distL="0" distR="0">
            <wp:extent cx="4860000" cy="4024548"/>
            <wp:effectExtent b="0" l="0" r="0" t="0"/>
            <wp:docPr id="164391920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860000" cy="402454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en fecha catorce de junio de dos mil veinticuatro, en alcance al desahogo del requerimiento de información adicional, a través de correo electrónico,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 manifestó lo siguiente:</w:t>
      </w:r>
    </w:p>
    <w:p w:rsidR="00000000" w:rsidDel="00000000" w:rsidP="00000000" w:rsidRDefault="00000000" w:rsidRPr="00000000" w14:paraId="00000038">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1591405"/>
            <wp:effectExtent b="0" l="0" r="0" t="0"/>
            <wp:docPr id="164391920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860000" cy="159140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60000" cy="2808330"/>
            <wp:effectExtent b="0" l="0" r="0" t="0"/>
            <wp:docPr id="164391920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860000" cy="280833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Anexos:</w:t>
      </w:r>
    </w:p>
    <w:p w:rsidR="00000000" w:rsidDel="00000000" w:rsidP="00000000" w:rsidRDefault="00000000" w:rsidRPr="00000000" w14:paraId="0000003B">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Listado que contiene el nombre de los 991 servidores públicos que fueron dados de alta del uno de enero al treinta de noviembre de dos mil veintitrés.</w:t>
      </w:r>
    </w:p>
    <w:p w:rsidR="00000000" w:rsidDel="00000000" w:rsidP="00000000" w:rsidRDefault="00000000" w:rsidRPr="00000000" w14:paraId="0000003C">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Expediente de personal de una servidora pública que consta de diez fojas.</w:t>
      </w:r>
    </w:p>
    <w:p w:rsidR="00000000" w:rsidDel="00000000" w:rsidP="00000000" w:rsidRDefault="00000000" w:rsidRPr="00000000" w14:paraId="0000003D">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Solicitud de empleo “Formato 20301/NP-104/19”</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tres de junio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0">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bookmarkStart w:colFirst="0" w:colLast="0" w:name="_heading=h.tyjcwt" w:id="7"/>
      <w:bookmarkEnd w:id="7"/>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diecinueve de diciembre de dos mil veintitrés,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once de enero de dos mil veinticuatro</w:t>
      </w:r>
      <w:r w:rsidDel="00000000" w:rsidR="00000000" w:rsidRPr="00000000">
        <w:rPr>
          <w:rFonts w:ascii="Palatino Linotype" w:cs="Palatino Linotype" w:eastAsia="Palatino Linotype" w:hAnsi="Palatino Linotype"/>
          <w:rtl w:val="0"/>
        </w:rPr>
        <w:t xml:space="preserve">, esto es al segundo día hábil posterior en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bookmarkStart w:colFirst="0" w:colLast="0" w:name="_heading=h.3znysh7" w:id="8"/>
      <w:bookmarkEnd w:id="8"/>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VIII del ordenamiento legal citado, que a la letra dice: </w:t>
      </w:r>
    </w:p>
    <w:p w:rsidR="00000000" w:rsidDel="00000000" w:rsidP="00000000" w:rsidRDefault="00000000" w:rsidRPr="00000000" w14:paraId="0000004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7">
      <w:pPr>
        <w:spacing w:after="120" w:before="120" w:lineRule="auto"/>
        <w:ind w:left="1134"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La notificación, entrega o puesta a disposición de información en una modalidad o formato distinto al solicitado;”</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bookmarkStart w:colFirst="0" w:colLast="0" w:name="_heading=h.26in1rg" w:id="9"/>
      <w:bookmarkEnd w:id="9"/>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1">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5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54">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5">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5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62">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Expediente de personal de las servidoras y servidores que ingresaron del uno de enero al treinta de noviembre de dos mil veintitrés, por cualquier vía de contratación (confianza, base, por honorarios, tiempo determinado, asimilado a salarios, etcétera), en versión pública.</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atendiendo a la materia de la solicitud, de conformidad con lo establecido en los artículos 53 fracción IV y 162 de la Ley de Transparencia y Acceso a la Información Pública del Estado de México y Municipios, la Unidad de Transparencia turnó la solicitud de información a la Coordinación Administrativa, como la unidad administrativa competente para conocer la información que es del interés de la persona solicitante, al tener como objetivo, de conformidad con el Manual General de Organización de la Secretaría de las Mujeres, planear, coordinar y supervisar las actividades relacionadas con el manejo y aprovechamiento de los recursos humanos, materiales y financieros, así como con la prestación de los servicios generales requeridos por las unidades administrativas de la Secretaría de las Mujeres, así como de sus órganos desconcentrados, para el óptimo desarrollo de sus funciones, conforme a las normas y disposiciones legales vigentes en la materia.</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de conformidad con el Manual General de Organización y el artículo 12 del Reglamento Interior de la Secretaría de las Mujeres, la Coordinación Administrativa cuenta con las siguientes atribuciones en su parte conducente:</w:t>
      </w:r>
    </w:p>
    <w:p w:rsidR="00000000" w:rsidDel="00000000" w:rsidP="00000000" w:rsidRDefault="00000000" w:rsidRPr="00000000" w14:paraId="00000065">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Planear, organizar y administrar el aprovechamiento de los recursos humanos, materiales y financieros, necesarios para el funcionamiento de la Secretaría, manteniendo una coordinación permanente con las dependencias vinculadas a dichas actividades;</w:t>
      </w:r>
    </w:p>
    <w:p w:rsidR="00000000" w:rsidDel="00000000" w:rsidP="00000000" w:rsidRDefault="00000000" w:rsidRPr="00000000" w14:paraId="00000066">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Vigilar que la relación laboral entre el personal contratado y la Secretaría sea acorde a los ordenamientos legales aplicables en la materia.</w:t>
      </w:r>
    </w:p>
    <w:p w:rsidR="00000000" w:rsidDel="00000000" w:rsidP="00000000" w:rsidRDefault="00000000" w:rsidRPr="00000000" w14:paraId="00000067">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Gestionar ante la Dirección General de Personal los trámites relacionados con la administración y desarrollo de los recursos humanos adscritos a la Secretaría.</w:t>
      </w:r>
    </w:p>
    <w:p w:rsidR="00000000" w:rsidDel="00000000" w:rsidP="00000000" w:rsidRDefault="00000000" w:rsidRPr="00000000" w14:paraId="00000068">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Coordinar y dirigir los sistemas de reclutamiento, selección, contratación y desarrollo del personal adscrito a la Secretaría.</w:t>
      </w:r>
    </w:p>
    <w:p w:rsidR="00000000" w:rsidDel="00000000" w:rsidP="00000000" w:rsidRDefault="00000000" w:rsidRPr="00000000" w14:paraId="00000069">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Supervisar el resguardo y la actualización de los expedientes del personal adscrito a la Secretaría que obran en el archivo</w:t>
      </w:r>
      <w:r w:rsidDel="00000000" w:rsidR="00000000" w:rsidRPr="00000000">
        <w:rPr>
          <w:rFonts w:ascii="Palatino Linotype" w:cs="Palatino Linotype" w:eastAsia="Palatino Linotype" w:hAnsi="Palatino Linotype"/>
          <w:rtl w:val="0"/>
        </w:rPr>
        <w:t xml:space="preserve">, salvaguardando la información en términos de las disposiciones legales aplicables en la materia.</w:t>
      </w:r>
    </w:p>
    <w:p w:rsidR="00000000" w:rsidDel="00000000" w:rsidP="00000000" w:rsidRDefault="00000000" w:rsidRPr="00000000" w14:paraId="0000006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en atención a la solicitud, la servidora pública habilitada, derivado de la búsqueda exhaustiva y razonable en los archivos que obran en el área a su cargo, manifestó que los expedientes del personal de la Secretaría de las Mujeres que ingresó del uno de enero al treinta de noviembre de dos mil veintitrés, asciende a un aproximado de 15,000 fojas, por lo que derivado del cúmulo de información, además de requerir atención precisa, coordinada y exacta, se sobrepasan las capacidades del SAIMEX, razón por la cual, con fundamento en el artículo 158 de la Ley de Transparencia y Acceso a la Información Pública del Estado de México y Municipios, solicitó a la Unidad de Transparencia el registro de la incidencia respectiva ante este Instituto, y notificara a la persona solicitante el cambio de modalidad en la entrega a consulta directa, y puso a disposición la información requerida en las instalaciones de dicha Coordinación, para lo cual proporcionó la dirección, horario de atención, medio de contacto, así como las formalidades para efectos de la consulta y señaló que en caso de requerir copias simples o certificadas de la información, estas serían proporcionadas previo pago de derechos de conformidad con lo establecido en el artículo 73 del Código Financiero del Estado de México y Municipios.</w:t>
      </w:r>
    </w:p>
    <w:p w:rsidR="00000000" w:rsidDel="00000000" w:rsidP="00000000" w:rsidRDefault="00000000" w:rsidRPr="00000000" w14:paraId="0000006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la etapa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ratificó en lo sustancial la respuesta emitida en primera instancia, mientras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manifestar alegato alguno, por lo tanto se tiene por precuido su Derecho para tal efecto.</w:t>
      </w:r>
    </w:p>
    <w:p w:rsidR="00000000" w:rsidDel="00000000" w:rsidP="00000000" w:rsidRDefault="00000000" w:rsidRPr="00000000" w14:paraId="0000006C">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los motivos de inconformidad de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suponen que existió una omisión en el actuar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al momento de realizar un cambio de modalidad, pues como ha quedado claro, esta requirió que la información le fuera remitida mediante el SAIMEX, sistema que tiene como propósito facilitar en la entidad el ejercicio del derecho humano de acceso a la información pública, de forma sencilla y gratuita, como se ilustra a continuación: </w:t>
      </w:r>
    </w:p>
    <w:p w:rsidR="00000000" w:rsidDel="00000000" w:rsidP="00000000" w:rsidRDefault="00000000" w:rsidRPr="00000000" w14:paraId="0000006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33880"/>
            <wp:effectExtent b="0" l="0" r="0" t="0"/>
            <wp:docPr id="164391920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612130" cy="183388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w:t>
      </w:r>
      <w:r w:rsidDel="00000000" w:rsidR="00000000" w:rsidRPr="00000000">
        <w:rPr>
          <w:rFonts w:ascii="Palatino Linotype" w:cs="Palatino Linotype" w:eastAsia="Palatino Linotype" w:hAnsi="Palatino Linotype"/>
          <w:b w:val="1"/>
          <w:u w:val="single"/>
          <w:rtl w:val="0"/>
        </w:rPr>
        <w:t xml:space="preserve">cambio de modalidad</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conviene mencionar que el artículo 155, fracción V, de la Ley de Transparencia y Acceso a la Información Pública del Estado de México y Municipios, precisa que para presentar una solicitud, la persona solicitante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su parte, el artículo 158 de la Ley de Transparencia y Acceso a la Información Pública del Estado de México y Municipios,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000000" w:rsidDel="00000000" w:rsidP="00000000" w:rsidRDefault="00000000" w:rsidRPr="00000000" w14:paraId="00000071">
      <w:pPr>
        <w:spacing w:after="120" w:before="120" w:lineRule="auto"/>
        <w:ind w:left="851"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DE LOS ACTOS ADMINISTRATIVOS</w:t>
      </w:r>
      <w:r w:rsidDel="00000000" w:rsidR="00000000" w:rsidRPr="00000000">
        <w:rPr>
          <w:rFonts w:ascii="Palatino Linotype" w:cs="Palatino Linotype" w:eastAsia="Palatino Linotype" w:hAnsi="Palatino Linotype"/>
          <w:i w:val="1"/>
          <w:sz w:val="22"/>
          <w:szCs w:val="22"/>
          <w:rtl w:val="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000000" w:rsidDel="00000000" w:rsidP="00000000" w:rsidRDefault="00000000" w:rsidRPr="00000000" w14:paraId="00000072">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000000" w:rsidDel="00000000" w:rsidP="00000000" w:rsidRDefault="00000000" w:rsidRPr="00000000" w14:paraId="00000073">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74">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w:t>
      </w:r>
      <w:r w:rsidDel="00000000" w:rsidR="00000000" w:rsidRPr="00000000">
        <w:rPr>
          <w:rFonts w:ascii="Palatino Linotype" w:cs="Palatino Linotype" w:eastAsia="Palatino Linotype" w:hAnsi="Palatino Linotype"/>
          <w:i w:val="1"/>
          <w:sz w:val="22"/>
          <w:szCs w:val="22"/>
          <w:u w:val="single"/>
          <w:rtl w:val="0"/>
        </w:rPr>
        <w:t xml:space="preserve">el sujeto obligado deberá ofrecer otra u otras modalidades de entrega.</w:t>
      </w:r>
      <w:r w:rsidDel="00000000" w:rsidR="00000000" w:rsidRPr="00000000">
        <w:rPr>
          <w:rFonts w:ascii="Palatino Linotype" w:cs="Palatino Linotype" w:eastAsia="Palatino Linotype" w:hAnsi="Palatino Linotype"/>
          <w:i w:val="1"/>
          <w:sz w:val="22"/>
          <w:szCs w:val="22"/>
          <w:rtl w:val="0"/>
        </w:rPr>
        <w:t xml:space="preserve"> En cualquier caso, se deberá fundar y motivar la necesidad de ofrecer otras modalidades.”</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000000" w:rsidDel="00000000" w:rsidP="00000000" w:rsidRDefault="00000000" w:rsidRPr="00000000" w14:paraId="0000007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los costos de reproducción y, en su caso, de envío para la obtención de la información deberán ser cubiertos por el solicitante de manera previa a la entrega por parte del Sujeto Obligado.</w:t>
      </w:r>
    </w:p>
    <w:p w:rsidR="00000000" w:rsidDel="00000000" w:rsidP="00000000" w:rsidRDefault="00000000" w:rsidRPr="00000000" w14:paraId="000000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 las personas solicitantes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79">
      <w:pPr>
        <w:spacing w:after="120" w:before="120" w:lineRule="auto"/>
        <w:ind w:left="851" w:right="85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2"/>
          <w:szCs w:val="22"/>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Del="00000000" w:rsidR="00000000" w:rsidRPr="00000000">
        <w:rPr>
          <w:rFonts w:ascii="Palatino Linotype" w:cs="Palatino Linotype" w:eastAsia="Palatino Linotype" w:hAnsi="Palatino Linotype"/>
          <w:b w:val="1"/>
          <w:i w:val="1"/>
          <w:sz w:val="22"/>
          <w:szCs w:val="22"/>
          <w:u w:val="single"/>
          <w:rtl w:val="0"/>
        </w:rPr>
        <w:t xml:space="preserve">en todas las modalidades que permita el documento de que se trate, procurando reducir, en todo momento, los costos de entrega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w:t>
      </w:r>
      <w:r w:rsidDel="00000000" w:rsidR="00000000" w:rsidRPr="00000000">
        <w:rPr>
          <w:rFonts w:ascii="Palatino Linotype" w:cs="Palatino Linotype" w:eastAsia="Palatino Linotype" w:hAnsi="Palatino Linotype"/>
          <w:b w:val="1"/>
          <w:rtl w:val="0"/>
        </w:rPr>
        <w:t xml:space="preserve"> la información no pueda entregarse o enviarse en la modalidad elegida, </w:t>
      </w:r>
      <w:r w:rsidDel="00000000" w:rsidR="00000000" w:rsidRPr="00000000">
        <w:rPr>
          <w:rFonts w:ascii="Palatino Linotype" w:cs="Palatino Linotype" w:eastAsia="Palatino Linotype" w:hAnsi="Palatino Linotype"/>
          <w:rtl w:val="0"/>
        </w:rPr>
        <w:t xml:space="preserve">para que la obligación de acceso a la información se tenga por cumplida, </w:t>
      </w:r>
      <w:r w:rsidDel="00000000" w:rsidR="00000000" w:rsidRPr="00000000">
        <w:rPr>
          <w:rFonts w:ascii="Palatino Linotype" w:cs="Palatino Linotype" w:eastAsia="Palatino Linotype" w:hAnsi="Palatino Linotype"/>
          <w:b w:val="1"/>
          <w:rtl w:val="0"/>
        </w:rPr>
        <w:t xml:space="preserve">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 la necesidad de ofrecer otras modalidades</w:t>
      </w:r>
      <w:r w:rsidDel="00000000" w:rsidR="00000000" w:rsidRPr="00000000">
        <w:rPr>
          <w:rFonts w:ascii="Palatino Linotype" w:cs="Palatino Linotype" w:eastAsia="Palatino Linotype" w:hAnsi="Palatino Linotype"/>
          <w:rtl w:val="0"/>
        </w:rPr>
        <w:t xml:space="preserve"> que lo permitan, </w:t>
      </w:r>
      <w:r w:rsidDel="00000000" w:rsidR="00000000" w:rsidRPr="00000000">
        <w:rPr>
          <w:rFonts w:ascii="Palatino Linotype" w:cs="Palatino Linotype" w:eastAsia="Palatino Linotype" w:hAnsi="Palatino Linotype"/>
          <w:b w:val="1"/>
          <w:rtl w:val="0"/>
        </w:rPr>
        <w:t xml:space="preserve">procurando reducir los costos de entrega.</w:t>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tabs>
          <w:tab w:val="left" w:leader="none" w:pos="567"/>
        </w:tabs>
        <w:spacing w:after="240" w:before="240" w:line="360" w:lineRule="auto"/>
        <w:ind w:left="284"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Las razones por las cuales la información implicaba un análisis, estudio o procesamiento de datos;</w:t>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tabs>
          <w:tab w:val="left" w:leader="none" w:pos="567"/>
        </w:tabs>
        <w:spacing w:after="240" w:before="240" w:line="360" w:lineRule="auto"/>
        <w:ind w:left="284"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tiempo no es suficiente para atender la solicitud en la modalidad elegida, y</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tabs>
          <w:tab w:val="left" w:leader="none" w:pos="567"/>
        </w:tabs>
        <w:spacing w:after="240" w:before="240" w:line="360" w:lineRule="auto"/>
        <w:ind w:left="284"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 cantidad de recursos humanos y materiales con los que cuenta el Sujeto Obligado son insuficientes.</w:t>
      </w:r>
    </w:p>
    <w:p w:rsidR="00000000" w:rsidDel="00000000" w:rsidP="00000000" w:rsidRDefault="00000000" w:rsidRPr="00000000" w14:paraId="0000007F">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toda vez que la respuesta a la solicitud, si bien refería la cantidad de documentos que integran los expedientes de personal de los servidores públicos, con la finalidad de establecer la necesidad del cambio de modalidad propuesto, ya que de la lectura de los documentos mediante los cuales se dio respuesta, no se advertían elementos que dieran certeza a este Organismo sobre la procedencia de dicho cambio, pues no se señaló por ejemplo, el número de expedientes de personal generados o bien el número de servidores públicos dados de alta en la temporalidad señalada, asimismo no se señaló de manera clara si la cantidad de documentos reportada correspondía con todos los documentos integran los expedientes de personal, o solo a aquellos que son susceptibles de entrega a la luz del Derecho de acceso a la Información en contra posición con los Derechos a protección de los datos personales y a lo privacidad, este Instituto realizó un requerimiento de información adicional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mediante correo electrónico, con la finalidad de esclarecer si el presente asunto reunía los elementos necesarios para realizar el cambio de modalidad en la entrega de la información, y en desahogo al mismo, este manifestó en lo medular lo siguiente:</w:t>
      </w:r>
    </w:p>
    <w:p w:rsidR="00000000" w:rsidDel="00000000" w:rsidP="00000000" w:rsidRDefault="00000000" w:rsidRPr="00000000" w14:paraId="00000080">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Que el número de servidores públicos que ingresaron o fueron dados de alta del uno de enero al treinta de noviembre de dos mil veintitrés, era de 991.</w:t>
      </w:r>
    </w:p>
    <w:p w:rsidR="00000000" w:rsidDel="00000000" w:rsidP="00000000" w:rsidRDefault="00000000" w:rsidRPr="00000000" w14:paraId="00000081">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Precisó el fundamento legal mediante el cual se integran los expedientes de personal, así como los documentos que lo integran.</w:t>
      </w:r>
    </w:p>
    <w:p w:rsidR="00000000" w:rsidDel="00000000" w:rsidP="00000000" w:rsidRDefault="00000000" w:rsidRPr="00000000" w14:paraId="00000082">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Precisó que el número de documentos aproximado que integran cada expediente de personal de servidores públicos que ingresaron o fueron dados de alta en el periodo señalado, sin considerar aquellos que deben clasificarse como confidenciales en su totalidad, y precisó cuáles son estos.</w:t>
      </w:r>
    </w:p>
    <w:p w:rsidR="00000000" w:rsidDel="00000000" w:rsidP="00000000" w:rsidRDefault="00000000" w:rsidRPr="00000000" w14:paraId="00000083">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Proporcionó un expediente de personal digitalizado en resolución máxima de 150Dpi's, escala de grises y formato "PDF", extraído directamente del escáner, precisando que el peso total de este es de 3.53 MB.</w:t>
      </w:r>
    </w:p>
    <w:p w:rsidR="00000000" w:rsidDel="00000000" w:rsidP="00000000" w:rsidRDefault="00000000" w:rsidRPr="00000000" w14:paraId="00000084">
      <w:pPr>
        <w:spacing w:after="240" w:before="240" w:line="360" w:lineRule="auto"/>
        <w:ind w:left="426"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Señaló el número de hojas aproximado de la solitud de empleo Formato 20301/np-104/19, y del currículo vitae por servidor público.</w:t>
      </w:r>
    </w:p>
    <w:p w:rsidR="00000000" w:rsidDel="00000000" w:rsidP="00000000" w:rsidRDefault="00000000" w:rsidRPr="00000000" w14:paraId="0000008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arriba a la conclusión de que en el presente asunto la información que es del interés de la persona solicitante efectivamente sobrepasa las capacidades del SAIMEX, ya que si bien, en un primer momento,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señaló que los documentos mediante los cuales atendería la solicitud de información ascendía a 15,000 hojas, del análisis de la información proporcionada por el área competente en desahogo del requerimiento de información adicional realizado por este Instituto, se colige lo siguiente: </w:t>
      </w:r>
    </w:p>
    <w:p w:rsidR="00000000" w:rsidDel="00000000" w:rsidP="00000000" w:rsidRDefault="00000000" w:rsidRPr="00000000" w14:paraId="00000086">
      <w:pPr>
        <w:spacing w:after="240" w:before="240" w:line="360" w:lineRule="auto"/>
        <w:ind w:left="142"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Que de los documentos que integran el expediente de personal, solo son susceptibles de entrega 8 de manera íntegra o en versión pública atendiendo a su naturaleza, de los cuales la solicitud de empleo se integra por 2 hojas, y el curriculum vitae por 1 o 2 hojas por servidor público, dando un total de 9 o 10 hojas por expediente, aproximadamente.</w:t>
      </w:r>
    </w:p>
    <w:p w:rsidR="00000000" w:rsidDel="00000000" w:rsidP="00000000" w:rsidRDefault="00000000" w:rsidRPr="00000000" w14:paraId="00000087">
      <w:pPr>
        <w:spacing w:after="240" w:before="240" w:line="360" w:lineRule="auto"/>
        <w:ind w:left="142"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Al tratarse de información de 991 servidores públicos, esta podría ascender a un total de 8,919 a 9910 hojas aproximadamente.</w:t>
      </w:r>
    </w:p>
    <w:p w:rsidR="00000000" w:rsidDel="00000000" w:rsidP="00000000" w:rsidRDefault="00000000" w:rsidRPr="00000000" w14:paraId="00000088">
      <w:pPr>
        <w:spacing w:after="240" w:before="240" w:line="360" w:lineRule="auto"/>
        <w:ind w:left="142"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Tomando como referencia el peso del expediente proporcionado por el Sujeto Obligado, que es de 3.53 MB: como se ilustra a continuación para mejor referencia:</w:t>
      </w:r>
    </w:p>
    <w:p w:rsidR="00000000" w:rsidDel="00000000" w:rsidP="00000000" w:rsidRDefault="00000000" w:rsidRPr="00000000" w14:paraId="00000089">
      <w:pPr>
        <w:spacing w:after="240" w:before="24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3354868"/>
            <wp:effectExtent b="0" l="0" r="0" t="0"/>
            <wp:docPr id="164391920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040000" cy="33548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876300</wp:posOffset>
                </wp:positionV>
                <wp:extent cx="346075" cy="184150"/>
                <wp:effectExtent b="0" l="0" r="0" t="0"/>
                <wp:wrapNone/>
                <wp:docPr id="1643919197" name=""/>
                <a:graphic>
                  <a:graphicData uri="http://schemas.microsoft.com/office/word/2010/wordprocessingShape">
                    <wps:wsp>
                      <wps:cNvCnPr/>
                      <wps:spPr>
                        <a:xfrm flipH="1">
                          <a:off x="5198363" y="3713325"/>
                          <a:ext cx="295275" cy="133350"/>
                        </a:xfrm>
                        <a:prstGeom prst="straightConnector1">
                          <a:avLst/>
                        </a:prstGeom>
                        <a:noFill/>
                        <a:ln cap="flat" cmpd="sng" w="25400">
                          <a:solidFill>
                            <a:srgbClr val="C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876300</wp:posOffset>
                </wp:positionV>
                <wp:extent cx="346075" cy="184150"/>
                <wp:effectExtent b="0" l="0" r="0" t="0"/>
                <wp:wrapNone/>
                <wp:docPr id="1643919197"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346075" cy="184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-101599</wp:posOffset>
                </wp:positionV>
                <wp:extent cx="828675" cy="504825"/>
                <wp:effectExtent b="0" l="0" r="0" t="0"/>
                <wp:wrapNone/>
                <wp:docPr id="1643919196" name=""/>
                <a:graphic>
                  <a:graphicData uri="http://schemas.microsoft.com/office/word/2010/wordprocessingShape">
                    <wps:wsp>
                      <wps:cNvSpPr/>
                      <wps:cNvPr id="2" name="Shape 2"/>
                      <wps:spPr>
                        <a:xfrm>
                          <a:off x="4969763" y="3565688"/>
                          <a:ext cx="752475" cy="428625"/>
                        </a:xfrm>
                        <a:prstGeom prst="rect">
                          <a:avLst/>
                        </a:prstGeom>
                        <a:noFill/>
                        <a:ln cap="flat" cmpd="sng" w="381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-101599</wp:posOffset>
                </wp:positionV>
                <wp:extent cx="828675" cy="504825"/>
                <wp:effectExtent b="0" l="0" r="0" t="0"/>
                <wp:wrapNone/>
                <wp:docPr id="1643919196"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828675" cy="504825"/>
                        </a:xfrm>
                        <a:prstGeom prst="rect"/>
                        <a:ln/>
                      </pic:spPr>
                    </pic:pic>
                  </a:graphicData>
                </a:graphic>
              </wp:anchor>
            </w:drawing>
          </mc:Fallback>
        </mc:AlternateContent>
      </w:r>
    </w:p>
    <w:p w:rsidR="00000000" w:rsidDel="00000000" w:rsidP="00000000" w:rsidRDefault="00000000" w:rsidRPr="00000000" w14:paraId="0000008A">
      <w:pPr>
        <w:spacing w:after="240" w:before="240" w:line="360" w:lineRule="auto"/>
        <w:ind w:left="142"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el peso de los 991 expedientes sería equivalente a 3,498.5 MB aproximadamente.</w:t>
      </w:r>
    </w:p>
    <w:p w:rsidR="00000000" w:rsidDel="00000000" w:rsidP="00000000" w:rsidRDefault="00000000" w:rsidRPr="00000000" w14:paraId="0000008B">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en diversas solicitudes de reportes de incidencia, derivado de la sustanciación de diversos recursos de revisión, la Dirección General Informática de este Instituto ha hecho saber que el sistema SAIMEX, tiene un soporte tecnológico para que se puedan adjuntar archivos con un peso aproximado de 500Mb o su equivalente de hasta 8,000 hojas </w:t>
      </w:r>
      <w:r w:rsidDel="00000000" w:rsidR="00000000" w:rsidRPr="00000000">
        <w:rPr>
          <w:rFonts w:ascii="Palatino Linotype" w:cs="Palatino Linotype" w:eastAsia="Palatino Linotype" w:hAnsi="Palatino Linotype"/>
          <w:b w:val="1"/>
          <w:u w:val="single"/>
          <w:rtl w:val="0"/>
        </w:rPr>
        <w:t xml:space="preserve">bajo parámetros escaneo en resolución máxima de 150Dpi’s, escala de grises y formato PDF, extraído directamente del escáner,</w:t>
      </w:r>
      <w:r w:rsidDel="00000000" w:rsidR="00000000" w:rsidRPr="00000000">
        <w:rPr>
          <w:rFonts w:ascii="Palatino Linotype" w:cs="Palatino Linotype" w:eastAsia="Palatino Linotype" w:hAnsi="Palatino Linotype"/>
          <w:rtl w:val="0"/>
        </w:rPr>
        <w:t xml:space="preserve"> como se muestra a continuación: </w:t>
      </w:r>
    </w:p>
    <w:p w:rsidR="00000000" w:rsidDel="00000000" w:rsidP="00000000" w:rsidRDefault="00000000" w:rsidRPr="00000000" w14:paraId="0000008C">
      <w:pPr>
        <w:spacing w:after="36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1227606"/>
            <wp:effectExtent b="0" l="0" r="0" t="0"/>
            <wp:docPr id="1643919208" name="image11.png"/>
            <a:graphic>
              <a:graphicData uri="http://schemas.openxmlformats.org/drawingml/2006/picture">
                <pic:pic>
                  <pic:nvPicPr>
                    <pic:cNvPr id="0" name="image11.png"/>
                    <pic:cNvPicPr preferRelativeResize="0"/>
                  </pic:nvPicPr>
                  <pic:blipFill>
                    <a:blip r:embed="rId15"/>
                    <a:srcRect b="0" l="0" r="0" t="32484"/>
                    <a:stretch>
                      <a:fillRect/>
                    </a:stretch>
                  </pic:blipFill>
                  <pic:spPr>
                    <a:xfrm>
                      <a:off x="0" y="0"/>
                      <a:ext cx="4500000" cy="1227606"/>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toda vez que de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desahogo del requerimiento de información adicional se desprende que los documentos mediante los cuales se pretende atender la solicitud de acceso a la información, excede las 8,000 hojas, así como el peso aproximado de 500MB, que soporta el SAIMEX, este Organismo Garante concluye que la imposibilidad para atender las solicitudes de información a través del sistema SAIMEX, ha quedado demostrada.</w:t>
      </w:r>
    </w:p>
    <w:p w:rsidR="00000000" w:rsidDel="00000000" w:rsidP="00000000" w:rsidRDefault="00000000" w:rsidRPr="00000000" w14:paraId="0000008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Sujeto Obligado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el Particular proporciona los medios para la entrega de la misma.</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como se advierte de las constancias que integran el expediente del asunto que nos ocupa,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limitó a ofrecer el cambio de modalidad a consulta directa, así como la emisión de copias simples o certificadas, la expedición de información en medios magnéticos o en disco compacto, o bien el escaneo y digitalización, previo pago de derechos, de conformidad con lo establecido en el artículo 73 del Código Financiero del Estado de México y Municipios, sin perder de vista que el mismo precepto legal dispone también que la entrega de información no tendrá costo si el solicitante proporciona el medio magnético o el disco compacto en el que requiera la información, salvo el costo por escaneo y digitalización, de ser el caso.</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mejor referencia se agrega el pronunciamiento emitido por la servidora pública habilitada:</w:t>
      </w:r>
    </w:p>
    <w:p w:rsidR="00000000" w:rsidDel="00000000" w:rsidP="00000000" w:rsidRDefault="00000000" w:rsidRPr="00000000" w14:paraId="0000009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075180"/>
            <wp:effectExtent b="0" l="0" r="0" t="0"/>
            <wp:docPr id="164391920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612130" cy="207518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5612130" cy="3729990"/>
            <wp:effectExtent b="0" l="0" r="0" t="0"/>
            <wp:docPr id="16439192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612130" cy="372999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si bien acreditó la entrega de la información mediante una modalidad distinta a la solicitada, también lo es que no ofreció todos los medios por los cuales pudiera entregar la información,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rsidR="00000000" w:rsidDel="00000000" w:rsidP="00000000" w:rsidRDefault="00000000" w:rsidRPr="00000000" w14:paraId="00000094">
      <w:pPr>
        <w:spacing w:after="240" w:before="240" w:line="360" w:lineRule="auto"/>
        <w:jc w:val="both"/>
        <w:rPr/>
      </w:pPr>
      <w:r w:rsidDel="00000000" w:rsidR="00000000" w:rsidRPr="00000000">
        <w:rPr>
          <w:rFonts w:ascii="Palatino Linotype" w:cs="Palatino Linotype" w:eastAsia="Palatino Linotype" w:hAnsi="Palatino Linotype"/>
          <w:rtl w:val="0"/>
        </w:rPr>
        <w:t xml:space="preserve">Asimismo, respecto del cobro por escaneo y digitalización, es de suma importancia mencionar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Del="00000000" w:rsidR="00000000" w:rsidRPr="00000000">
        <w:rPr>
          <w:rFonts w:ascii="Palatino Linotype" w:cs="Palatino Linotype" w:eastAsia="Palatino Linotype" w:hAnsi="Palatino Linotype"/>
          <w:b w:val="1"/>
          <w:rtl w:val="0"/>
        </w:rPr>
        <w:t xml:space="preserve">gratuidad</w:t>
      </w:r>
      <w:r w:rsidDel="00000000" w:rsidR="00000000" w:rsidRPr="00000000">
        <w:rPr>
          <w:rFonts w:ascii="Palatino Linotype" w:cs="Palatino Linotype" w:eastAsia="Palatino Linotype" w:hAnsi="Palatino Linotype"/>
          <w:rtl w:val="0"/>
        </w:rPr>
        <w:t xml:space="preserve">, de certeza, de celeridad, de objetividad, entre otros.</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Del="00000000" w:rsidR="00000000" w:rsidRPr="00000000">
        <w:rPr>
          <w:rFonts w:ascii="Palatino Linotype" w:cs="Palatino Linotype" w:eastAsia="Palatino Linotype" w:hAnsi="Palatino Linotype"/>
          <w:b w:val="1"/>
          <w:color w:val="000000"/>
          <w:rtl w:val="0"/>
        </w:rPr>
        <w:t xml:space="preserve">reproducción</w:t>
      </w:r>
      <w:r w:rsidDel="00000000" w:rsidR="00000000" w:rsidRPr="00000000">
        <w:rPr>
          <w:rFonts w:ascii="Palatino Linotype" w:cs="Palatino Linotype" w:eastAsia="Palatino Linotype" w:hAnsi="Palatino Linotype"/>
          <w:color w:val="000000"/>
          <w:rtl w:val="0"/>
        </w:rPr>
        <w:t xml:space="preserve"> de la información, y en su caso del costo de </w:t>
      </w:r>
      <w:r w:rsidDel="00000000" w:rsidR="00000000" w:rsidRPr="00000000">
        <w:rPr>
          <w:rFonts w:ascii="Palatino Linotype" w:cs="Palatino Linotype" w:eastAsia="Palatino Linotype" w:hAnsi="Palatino Linotype"/>
          <w:b w:val="1"/>
          <w:color w:val="000000"/>
          <w:rtl w:val="0"/>
        </w:rPr>
        <w:t xml:space="preserve">envío</w:t>
      </w:r>
      <w:r w:rsidDel="00000000" w:rsidR="00000000" w:rsidRPr="00000000">
        <w:rPr>
          <w:rFonts w:ascii="Palatino Linotype" w:cs="Palatino Linotype" w:eastAsia="Palatino Linotype" w:hAnsi="Palatino Linotype"/>
          <w:color w:val="000000"/>
          <w:rtl w:val="0"/>
        </w:rPr>
        <w:t xml:space="preserve">, finalmente, conlleva implícitamente un esfuerzo por parte de los Sujetos Obligados para reducir los costos de entrega de la información.</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r w:rsidDel="00000000" w:rsidR="00000000" w:rsidRPr="00000000">
        <w:rPr>
          <w:rtl w:val="0"/>
        </w:rPr>
      </w:r>
    </w:p>
    <w:p w:rsidR="00000000" w:rsidDel="00000000" w:rsidP="00000000" w:rsidRDefault="00000000" w:rsidRPr="00000000" w14:paraId="00000099">
      <w:pPr>
        <w:spacing w:line="360" w:lineRule="auto"/>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Del="00000000" w:rsidR="00000000" w:rsidRPr="00000000">
        <w:rPr>
          <w:rFonts w:ascii="Palatino Linotype" w:cs="Palatino Linotype" w:eastAsia="Palatino Linotype" w:hAnsi="Palatino Linotype"/>
          <w:b w:val="1"/>
          <w:i w:val="1"/>
          <w:color w:val="000000"/>
          <w:rtl w:val="0"/>
        </w:rPr>
        <w:t xml:space="preserve">gratuitos</w:t>
      </w:r>
      <w:r w:rsidDel="00000000" w:rsidR="00000000" w:rsidRPr="00000000">
        <w:rPr>
          <w:rFonts w:ascii="Palatino Linotype" w:cs="Palatino Linotype" w:eastAsia="Palatino Linotype" w:hAnsi="Palatino Linotype"/>
          <w:color w:val="000000"/>
          <w:rtl w:val="0"/>
        </w:rPr>
        <w:t xml:space="preserve">, refiere en los artículos 17 y 150, que la búsqueda y acceso a la información es gratuita y </w:t>
      </w:r>
      <w:r w:rsidDel="00000000" w:rsidR="00000000" w:rsidRPr="00000000">
        <w:rPr>
          <w:rFonts w:ascii="Palatino Linotype" w:cs="Palatino Linotype" w:eastAsia="Palatino Linotype" w:hAnsi="Palatino Linotype"/>
          <w:b w:val="1"/>
          <w:i w:val="1"/>
          <w:color w:val="000000"/>
          <w:rtl w:val="0"/>
        </w:rPr>
        <w:t xml:space="preserve">sólo se cubrirá en su caso, los gastos de reproducción, </w:t>
      </w:r>
      <w:r w:rsidDel="00000000" w:rsidR="00000000" w:rsidRPr="00000000">
        <w:rPr>
          <w:rFonts w:ascii="Palatino Linotype" w:cs="Palatino Linotype" w:eastAsia="Palatino Linotype" w:hAnsi="Palatino Linotype"/>
          <w:b w:val="1"/>
          <w:i w:val="1"/>
          <w:color w:val="000000"/>
          <w:u w:val="single"/>
          <w:rtl w:val="0"/>
        </w:rPr>
        <w:t xml:space="preserve">por la modalidad de entrega solicitada, o por el envío</w:t>
      </w:r>
      <w:r w:rsidDel="00000000" w:rsidR="00000000" w:rsidRPr="00000000">
        <w:rPr>
          <w:rFonts w:ascii="Palatino Linotype" w:cs="Palatino Linotype" w:eastAsia="Palatino Linotype" w:hAnsi="Palatino Linotype"/>
          <w:color w:val="000000"/>
          <w:u w:val="single"/>
          <w:rtl w:val="0"/>
        </w:rPr>
        <w:t xml:space="preserve"> </w:t>
      </w:r>
      <w:r w:rsidDel="00000000" w:rsidR="00000000" w:rsidRPr="00000000">
        <w:rPr>
          <w:rFonts w:ascii="Palatino Linotype" w:cs="Palatino Linotype" w:eastAsia="Palatino Linotype" w:hAnsi="Palatino Linotype"/>
          <w:color w:val="000000"/>
          <w:rtl w:val="0"/>
        </w:rPr>
        <w:t xml:space="preserve">de conformidad con los derechos, productos y aprovechamientos establecidos en la legislación aplicable, en razón de que el procedimiento de acceso a la información es la garantía primaria del derecho en cuestión y </w:t>
      </w:r>
      <w:r w:rsidDel="00000000" w:rsidR="00000000" w:rsidRPr="00000000">
        <w:rPr>
          <w:rFonts w:ascii="Palatino Linotype" w:cs="Palatino Linotype" w:eastAsia="Palatino Linotype" w:hAnsi="Palatino Linotype"/>
          <w:i w:val="1"/>
          <w:color w:val="000000"/>
          <w:rtl w:val="0"/>
        </w:rPr>
        <w:t xml:space="preserve">se rige por los principios de simplicidad, rapidez</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color w:val="000000"/>
          <w:rtl w:val="0"/>
        </w:rPr>
        <w:t xml:space="preserve">gratuidad</w:t>
      </w:r>
      <w:r w:rsidDel="00000000" w:rsidR="00000000" w:rsidRPr="00000000">
        <w:rPr>
          <w:rFonts w:ascii="Palatino Linotype" w:cs="Palatino Linotype" w:eastAsia="Palatino Linotype" w:hAnsi="Palatino Linotype"/>
          <w:color w:val="000000"/>
          <w:rtl w:val="0"/>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r w:rsidDel="00000000" w:rsidR="00000000" w:rsidRPr="00000000">
        <w:rPr>
          <w:rtl w:val="0"/>
        </w:rPr>
      </w:r>
    </w:p>
    <w:p w:rsidR="00000000" w:rsidDel="00000000" w:rsidP="00000000" w:rsidRDefault="00000000" w:rsidRPr="00000000" w14:paraId="0000009B">
      <w:pPr>
        <w:spacing w:line="360" w:lineRule="auto"/>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Del="00000000" w:rsidR="00000000" w:rsidRPr="00000000">
        <w:rPr>
          <w:rFonts w:ascii="Palatino Linotype" w:cs="Palatino Linotype" w:eastAsia="Palatino Linotype" w:hAnsi="Palatino Linotype"/>
          <w:b w:val="1"/>
          <w:i w:val="1"/>
          <w:color w:val="000000"/>
          <w:rtl w:val="0"/>
        </w:rPr>
        <w:t xml:space="preserve">en caso de que se tenga que generar un gasto por la reproducción, por el envío, o por la modalidad de entrega solicitada</w:t>
      </w:r>
      <w:r w:rsidDel="00000000" w:rsidR="00000000" w:rsidRPr="00000000">
        <w:rPr>
          <w:rFonts w:ascii="Palatino Linotype" w:cs="Palatino Linotype" w:eastAsia="Palatino Linotype" w:hAnsi="Palatino Linotype"/>
          <w:color w:val="000000"/>
          <w:rtl w:val="0"/>
        </w:rPr>
        <w:t xml:space="preserve">, supuestos que encuadran con lo establecido en los artículos 9 fracción III, 17, 165, 174, 175 de la Ley de Acceso a la Información Pública del Estado de México y Municipios, así como el artículo 4.22 de su Reglamento.</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9. </w:t>
      </w:r>
      <w:r w:rsidDel="00000000" w:rsidR="00000000" w:rsidRPr="00000000">
        <w:rPr>
          <w:rFonts w:ascii="Palatino Linotype" w:cs="Palatino Linotype" w:eastAsia="Palatino Linotype" w:hAnsi="Palatino Linotype"/>
          <w:i w:val="1"/>
          <w:color w:val="000000"/>
          <w:sz w:val="22"/>
          <w:szCs w:val="22"/>
          <w:rtl w:val="0"/>
        </w:rPr>
        <w:t xml:space="preserve">El Instituto deberá regir su funcionamiento de acuerdo a los siguientes </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principios: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III. Gratuidad:</w:t>
      </w:r>
      <w:r w:rsidDel="00000000" w:rsidR="00000000" w:rsidRPr="00000000">
        <w:rPr>
          <w:rFonts w:ascii="Palatino Linotype" w:cs="Palatino Linotype" w:eastAsia="Palatino Linotype" w:hAnsi="Palatino Linotype"/>
          <w:i w:val="1"/>
          <w:color w:val="000000"/>
          <w:sz w:val="22"/>
          <w:szCs w:val="22"/>
          <w:rtl w:val="0"/>
        </w:rPr>
        <w:t xml:space="preserve"> Consiste en que el acceso a la información pública no genera costo alguno para los solicitantes, </w:t>
      </w:r>
      <w:r w:rsidDel="00000000" w:rsidR="00000000" w:rsidRPr="00000000">
        <w:rPr>
          <w:rFonts w:ascii="Palatino Linotype" w:cs="Palatino Linotype" w:eastAsia="Palatino Linotype" w:hAnsi="Palatino Linotype"/>
          <w:b w:val="1"/>
          <w:i w:val="1"/>
          <w:color w:val="000000"/>
          <w:sz w:val="22"/>
          <w:szCs w:val="22"/>
          <w:rtl w:val="0"/>
        </w:rPr>
        <w:t xml:space="preserve">sólo podrá requerirse el cobro correspondiente a la modalidad de reproducción y</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entrega solicitada</w:t>
      </w:r>
      <w:r w:rsidDel="00000000" w:rsidR="00000000" w:rsidRPr="00000000">
        <w:rPr>
          <w:rFonts w:ascii="Palatino Linotype" w:cs="Palatino Linotype" w:eastAsia="Palatino Linotype" w:hAnsi="Palatino Linotype"/>
          <w:i w:val="1"/>
          <w:color w:val="000000"/>
          <w:sz w:val="22"/>
          <w:szCs w:val="22"/>
          <w:rtl w:val="0"/>
        </w:rPr>
        <w:t xml:space="preserve"> conforme a lo establecido en la presente Ley y demás disposiciones jurídicas aplicables;</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17.</w:t>
      </w:r>
      <w:r w:rsidDel="00000000" w:rsidR="00000000" w:rsidRPr="00000000">
        <w:rPr>
          <w:rFonts w:ascii="Palatino Linotype" w:cs="Palatino Linotype" w:eastAsia="Palatino Linotype" w:hAnsi="Palatino Linotype"/>
          <w:i w:val="1"/>
          <w:color w:val="000000"/>
          <w:sz w:val="22"/>
          <w:szCs w:val="22"/>
          <w:rtl w:val="0"/>
        </w:rPr>
        <w:t xml:space="preserve"> La búsqueda y acceso a la información es gratuita y </w:t>
      </w:r>
      <w:r w:rsidDel="00000000" w:rsidR="00000000" w:rsidRPr="00000000">
        <w:rPr>
          <w:rFonts w:ascii="Palatino Linotype" w:cs="Palatino Linotype" w:eastAsia="Palatino Linotype" w:hAnsi="Palatino Linotype"/>
          <w:b w:val="1"/>
          <w:i w:val="1"/>
          <w:color w:val="000000"/>
          <w:sz w:val="22"/>
          <w:szCs w:val="22"/>
          <w:rtl w:val="0"/>
        </w:rPr>
        <w:t xml:space="preserve">solo se cubrirán los gastos de reproducción, o por la modalidad de entrega solicitada, así como por el envío,</w:t>
      </w:r>
      <w:r w:rsidDel="00000000" w:rsidR="00000000" w:rsidRPr="00000000">
        <w:rPr>
          <w:rFonts w:ascii="Palatino Linotype" w:cs="Palatino Linotype" w:eastAsia="Palatino Linotype" w:hAnsi="Palatino Linotype"/>
          <w:i w:val="1"/>
          <w:color w:val="000000"/>
          <w:sz w:val="22"/>
          <w:szCs w:val="22"/>
          <w:rtl w:val="0"/>
        </w:rPr>
        <w:t xml:space="preserve"> que en su caso se genere, de conformidad con los derechos, productos y aprovechamientos establecidos en la legislación aplicable, sin que exceda de los límites establecidos en la presente Ley.</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165.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La información que se entregue en versión pública, </w:t>
      </w:r>
      <w:r w:rsidDel="00000000" w:rsidR="00000000" w:rsidRPr="00000000">
        <w:rPr>
          <w:rFonts w:ascii="Palatino Linotype" w:cs="Palatino Linotype" w:eastAsia="Palatino Linotype" w:hAnsi="Palatino Linotype"/>
          <w:b w:val="1"/>
          <w:i w:val="1"/>
          <w:color w:val="000000"/>
          <w:sz w:val="22"/>
          <w:szCs w:val="22"/>
          <w:rtl w:val="0"/>
        </w:rPr>
        <w:t xml:space="preserve">cuya modalidad de reproducción o envío tenga un costo,</w:t>
      </w:r>
      <w:r w:rsidDel="00000000" w:rsidR="00000000" w:rsidRPr="00000000">
        <w:rPr>
          <w:rFonts w:ascii="Palatino Linotype" w:cs="Palatino Linotype" w:eastAsia="Palatino Linotype" w:hAnsi="Palatino Linotype"/>
          <w:i w:val="1"/>
          <w:color w:val="000000"/>
          <w:sz w:val="22"/>
          <w:szCs w:val="22"/>
          <w:rtl w:val="0"/>
        </w:rPr>
        <w:t xml:space="preserve"> procederá una vez que se acredite el pago respectivo. No puede entenderse como reproducción la elaboración de la misma.</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174. En caso de existir costos para obtener la información </w:t>
      </w:r>
      <w:r w:rsidDel="00000000" w:rsidR="00000000" w:rsidRPr="00000000">
        <w:rPr>
          <w:rFonts w:ascii="Palatino Linotype" w:cs="Palatino Linotype" w:eastAsia="Palatino Linotype" w:hAnsi="Palatino Linotype"/>
          <w:i w:val="1"/>
          <w:color w:val="000000"/>
          <w:sz w:val="22"/>
          <w:szCs w:val="22"/>
          <w:rtl w:val="0"/>
        </w:rPr>
        <w:t xml:space="preserve">deberán cubrirse de manera previa a la entrega y </w:t>
      </w:r>
      <w:r w:rsidDel="00000000" w:rsidR="00000000" w:rsidRPr="00000000">
        <w:rPr>
          <w:rFonts w:ascii="Palatino Linotype" w:cs="Palatino Linotype" w:eastAsia="Palatino Linotype" w:hAnsi="Palatino Linotype"/>
          <w:b w:val="1"/>
          <w:i w:val="1"/>
          <w:color w:val="000000"/>
          <w:sz w:val="22"/>
          <w:szCs w:val="22"/>
          <w:rtl w:val="0"/>
        </w:rPr>
        <w:t xml:space="preserve">no podrán ser superiores a la suma de: </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 El costo de los materiales utilizados en la reproducción</w:t>
      </w:r>
      <w:r w:rsidDel="00000000" w:rsidR="00000000" w:rsidRPr="00000000">
        <w:rPr>
          <w:rFonts w:ascii="Palatino Linotype" w:cs="Palatino Linotype" w:eastAsia="Palatino Linotype" w:hAnsi="Palatino Linotype"/>
          <w:i w:val="1"/>
          <w:color w:val="000000"/>
          <w:sz w:val="22"/>
          <w:szCs w:val="22"/>
          <w:rtl w:val="0"/>
        </w:rPr>
        <w:t xml:space="preserve"> de la información;</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 El costo de envío,</w:t>
      </w:r>
      <w:r w:rsidDel="00000000" w:rsidR="00000000" w:rsidRPr="00000000">
        <w:rPr>
          <w:rFonts w:ascii="Palatino Linotype" w:cs="Palatino Linotype" w:eastAsia="Palatino Linotype" w:hAnsi="Palatino Linotype"/>
          <w:i w:val="1"/>
          <w:color w:val="000000"/>
          <w:sz w:val="22"/>
          <w:szCs w:val="22"/>
          <w:rtl w:val="0"/>
        </w:rPr>
        <w:t xml:space="preserve"> en su caso; y</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III. El pago de la certificación de los documentos,</w:t>
      </w:r>
      <w:r w:rsidDel="00000000" w:rsidR="00000000" w:rsidRPr="00000000">
        <w:rPr>
          <w:rFonts w:ascii="Palatino Linotype" w:cs="Palatino Linotype" w:eastAsia="Palatino Linotype" w:hAnsi="Palatino Linotype"/>
          <w:i w:val="1"/>
          <w:color w:val="000000"/>
          <w:sz w:val="22"/>
          <w:szCs w:val="22"/>
          <w:rtl w:val="0"/>
        </w:rPr>
        <w:t xml:space="preserve"> cuando proceda.</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Las cuotas de los derechos aplicables deberán establecerse, en su caso, en el </w:t>
      </w:r>
      <w:r w:rsidDel="00000000" w:rsidR="00000000" w:rsidRPr="00000000">
        <w:rPr>
          <w:rFonts w:ascii="Palatino Linotype" w:cs="Palatino Linotype" w:eastAsia="Palatino Linotype" w:hAnsi="Palatino Linotype"/>
          <w:b w:val="1"/>
          <w:i w:val="1"/>
          <w:color w:val="000000"/>
          <w:sz w:val="22"/>
          <w:szCs w:val="22"/>
          <w:rtl w:val="0"/>
        </w:rPr>
        <w:t xml:space="preserve">Código Financiero del Estado de México y Municipios </w:t>
      </w:r>
      <w:r w:rsidDel="00000000" w:rsidR="00000000" w:rsidRPr="00000000">
        <w:rPr>
          <w:rFonts w:ascii="Palatino Linotype" w:cs="Palatino Linotype" w:eastAsia="Palatino Linotype" w:hAnsi="Palatino Linotype"/>
          <w:i w:val="1"/>
          <w:color w:val="000000"/>
          <w:sz w:val="22"/>
          <w:szCs w:val="22"/>
          <w:rtl w:val="0"/>
        </w:rPr>
        <w:t xml:space="preserve">y demás disposiciones jurídicas aplicables, las cuales se publicarán en los sitios de internet de los sujetos obligados…”</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175.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ningún caso, el pago de derechos deberá exceder el </w:t>
      </w:r>
      <w:r w:rsidDel="00000000" w:rsidR="00000000" w:rsidRPr="00000000">
        <w:rPr>
          <w:rFonts w:ascii="Palatino Linotype" w:cs="Palatino Linotype" w:eastAsia="Palatino Linotype" w:hAnsi="Palatino Linotype"/>
          <w:b w:val="1"/>
          <w:i w:val="1"/>
          <w:color w:val="000000"/>
          <w:sz w:val="22"/>
          <w:szCs w:val="22"/>
          <w:rtl w:val="0"/>
        </w:rPr>
        <w:t xml:space="preserve">costo de reproducción de la información en el material solicitado.”</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567" w:right="61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4.22.- </w:t>
      </w:r>
      <w:r w:rsidDel="00000000" w:rsidR="00000000" w:rsidRPr="00000000">
        <w:rPr>
          <w:rFonts w:ascii="Palatino Linotype" w:cs="Palatino Linotype" w:eastAsia="Palatino Linotype" w:hAnsi="Palatino Linotype"/>
          <w:i w:val="1"/>
          <w:color w:val="000000"/>
          <w:sz w:val="22"/>
          <w:szCs w:val="22"/>
          <w:rtl w:val="0"/>
        </w:rPr>
        <w:t xml:space="preserve">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r w:rsidDel="00000000" w:rsidR="00000000" w:rsidRPr="00000000">
        <w:rPr>
          <w:rtl w:val="0"/>
        </w:rPr>
      </w:r>
    </w:p>
    <w:p w:rsidR="00000000" w:rsidDel="00000000" w:rsidP="00000000" w:rsidRDefault="00000000" w:rsidRPr="00000000" w14:paraId="000000B1">
      <w:pPr>
        <w:spacing w:line="360" w:lineRule="auto"/>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él envió de la misma o el pago por la certificación, sin embargo, </w:t>
      </w:r>
      <w:r w:rsidDel="00000000" w:rsidR="00000000" w:rsidRPr="00000000">
        <w:rPr>
          <w:rFonts w:ascii="Palatino Linotype" w:cs="Palatino Linotype" w:eastAsia="Palatino Linotype" w:hAnsi="Palatino Linotype"/>
          <w:b w:val="1"/>
          <w:color w:val="000000"/>
          <w:u w:val="single"/>
          <w:rtl w:val="0"/>
        </w:rPr>
        <w:t xml:space="preserve">la digitalización o escaneo de la información, no conlleva la utilización de materiales que generen un costo</w:t>
      </w:r>
      <w:r w:rsidDel="00000000" w:rsidR="00000000" w:rsidRPr="00000000">
        <w:rPr>
          <w:rFonts w:ascii="Palatino Linotype" w:cs="Palatino Linotype" w:eastAsia="Palatino Linotype" w:hAnsi="Palatino Linotype"/>
          <w:color w:val="000000"/>
          <w:rtl w:val="0"/>
        </w:rPr>
        <w:t xml:space="preserve">, por ello, en materia de transparencia no es procedente el pago de derechos por concepto de escaneo o digitalización, pues se asume que los Sujetos Obligados cuentan con los medios para realizar dichas acciones sin costo alguno.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Bajo los argumentos expuestos, resulta procedente ordenar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poner a disposición de la persona solicitante los expedientes de personal de los servidores públicos que ingresaron o fueron dados de alta del uno de enero al treinta de noviembre de dos mil veintitrés, en versión pública, en todas las modalidades posibles, de manera enunciativa, más no limitativa: </w:t>
      </w:r>
      <w:r w:rsidDel="00000000" w:rsidR="00000000" w:rsidRPr="00000000">
        <w:rPr>
          <w:rFonts w:ascii="Palatino Linotype" w:cs="Palatino Linotype" w:eastAsia="Palatino Linotype" w:hAnsi="Palatino Linotype"/>
          <w:b w:val="1"/>
          <w:color w:val="000000"/>
          <w:u w:val="single"/>
          <w:rtl w:val="0"/>
        </w:rPr>
        <w:t xml:space="preserve">disco compacto, dispositivos de almacenamiento (CD-ROOM, USB, Disco duro extraíble, etc.), consulta directa, copias simples o certificadas, con posibilidad de entrega en la Unidad de Transparencia o a domicilio por correo certificado, previo pago de los derechos correspondientes.CURP</w:t>
      </w:r>
      <w:r w:rsidDel="00000000" w:rsidR="00000000" w:rsidRPr="00000000">
        <w:rPr>
          <w:rtl w:val="0"/>
        </w:rPr>
      </w:r>
    </w:p>
    <w:p w:rsidR="00000000" w:rsidDel="00000000" w:rsidP="00000000" w:rsidRDefault="00000000" w:rsidRPr="00000000" w14:paraId="000000B4">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aclarar, para el caso que no pueda subir la información en una liga electrónica de acceso en Internet, por no contar con presupuesto, ni con el equipo electrónico adecuado para tal circunstancia, podrá omitir dicha modalidad, para la entrega de la misma.</w:t>
      </w:r>
    </w:p>
    <w:p w:rsidR="00000000" w:rsidDel="00000000" w:rsidP="00000000" w:rsidRDefault="00000000" w:rsidRPr="00000000" w14:paraId="000000B5">
      <w:pPr>
        <w:spacing w:after="12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respecto a los documentos que por su naturaleza deban  ser clasificados como confidenciales en su totalidad, tales como acta de nacimiento, Clave Única de Registro de Población (CURP), cédula de identificación fiscal,  comprobante de domicilio, credencial para votar, cartas de recomendación, Cartilla de Servicio Militar, contrato bancario, entre otros, deberá hacer entrega del acuerdo de clasificación correspondiente.</w:t>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mencionar que si bien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hizo de conocimiento que de conformidad con el artículo 166 párrafo segundo de la Ley de Transparencia y Acceso a la Información Pública del Estado de México y Municipios, la persona solicitante tendría un plazo de sesenta días hábiles para consultar la información, contando a parir de que el solicitante hubiere realizado, de ser el caso, el pago respectivo, </w:t>
      </w:r>
      <w:r w:rsidDel="00000000" w:rsidR="00000000" w:rsidRPr="00000000">
        <w:rPr>
          <w:rFonts w:ascii="Palatino Linotype" w:cs="Palatino Linotype" w:eastAsia="Palatino Linotype" w:hAnsi="Palatino Linotype"/>
          <w:b w:val="1"/>
          <w:rtl w:val="0"/>
        </w:rPr>
        <w:t xml:space="preserve">este se deberá volver a contar a partir del día siguiente al que se notifique la presente resolución</w:t>
      </w:r>
      <w:r w:rsidDel="00000000" w:rsidR="00000000" w:rsidRPr="00000000">
        <w:rPr>
          <w:rFonts w:ascii="Palatino Linotype" w:cs="Palatino Linotype" w:eastAsia="Palatino Linotype" w:hAnsi="Palatino Linotype"/>
          <w:rtl w:val="0"/>
        </w:rPr>
        <w:t xml:space="preserve">, en términos del segundo párrafo del artículo 166 de la Ley de Transparencia y Acceso a la Información Pública del Estado de México y Municipios.</w:t>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dentro del transcurso del término señalado en el párrafo anterior, la parte</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acude por la información,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debe remitir a este Instituto, por conducto de la Secretaría Técnica del Pleno, el acuse de recibo de la información de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sin embargo, si una vez fenecido el plazo, el solicitante no acudiera por los documentos ordenados,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mediante acuerdo </w:t>
      </w:r>
      <w:r w:rsidDel="00000000" w:rsidR="00000000" w:rsidRPr="00000000">
        <w:rPr>
          <w:rFonts w:ascii="Palatino Linotype" w:cs="Palatino Linotype" w:eastAsia="Palatino Linotype" w:hAnsi="Palatino Linotype"/>
          <w:b w:val="1"/>
          <w:rtl w:val="0"/>
        </w:rPr>
        <w:t xml:space="preserve">dará por concluida la solicitud</w:t>
      </w:r>
      <w:r w:rsidDel="00000000" w:rsidR="00000000" w:rsidRPr="00000000">
        <w:rPr>
          <w:rFonts w:ascii="Palatino Linotype" w:cs="Palatino Linotype" w:eastAsia="Palatino Linotype" w:hAnsi="Palatino Linotype"/>
          <w:rtl w:val="0"/>
        </w:rPr>
        <w:t xml:space="preserve"> y podrá, de ser el caso, realizar la destrucción del material en el que se reprodujo, situación que también deberá informar a este Instituto, por el mismo conducto.</w:t>
      </w:r>
    </w:p>
    <w:p w:rsidR="00000000" w:rsidDel="00000000" w:rsidP="00000000" w:rsidRDefault="00000000" w:rsidRPr="00000000" w14:paraId="000000B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menoscabo al derecho a la protección de los datos personales de terceros.</w:t>
      </w:r>
    </w:p>
    <w:p w:rsidR="00000000" w:rsidDel="00000000" w:rsidP="00000000" w:rsidRDefault="00000000" w:rsidRPr="00000000" w14:paraId="000000BA">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presente caso, la existe información susceptible de clasificarse como confidencial al tratarse de datos personales concernientes a una persona física e identificable, a saber:</w:t>
      </w:r>
    </w:p>
    <w:p w:rsidR="00000000" w:rsidDel="00000000" w:rsidP="00000000" w:rsidRDefault="00000000" w:rsidRPr="00000000" w14:paraId="000000BB">
      <w:pPr>
        <w:widowControl w:val="0"/>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bookmarkStart w:colFirst="0" w:colLast="0" w:name="_heading=h.lnxbz9" w:id="10"/>
      <w:bookmarkEnd w:id="10"/>
      <w:r w:rsidDel="00000000" w:rsidR="00000000" w:rsidRPr="00000000">
        <w:rPr>
          <w:rFonts w:ascii="Palatino Linotype" w:cs="Palatino Linotype" w:eastAsia="Palatino Linotype" w:hAnsi="Palatino Linotype"/>
          <w:color w:val="000000"/>
          <w:rtl w:val="0"/>
        </w:rPr>
        <w:t xml:space="preserve">Solicitud de empleo.</w: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Carta de recomendación. </w:t>
      </w:r>
    </w:p>
    <w:p w:rsidR="00000000" w:rsidDel="00000000" w:rsidP="00000000" w:rsidRDefault="00000000" w:rsidRPr="00000000" w14:paraId="000000BE">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Currículum Vitae. </w:t>
      </w:r>
    </w:p>
    <w:p w:rsidR="00000000" w:rsidDel="00000000" w:rsidP="00000000" w:rsidRDefault="00000000" w:rsidRPr="00000000" w14:paraId="000000BF">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Contrato Bancario</w:t>
      </w:r>
    </w:p>
    <w:p w:rsidR="00000000" w:rsidDel="00000000" w:rsidP="00000000" w:rsidRDefault="00000000" w:rsidRPr="00000000" w14:paraId="000000C0">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Acta de Nacimiento. </w:t>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Constancia de la Clave Única de Registro de Población. </w:t>
      </w:r>
    </w:p>
    <w:p w:rsidR="00000000" w:rsidDel="00000000" w:rsidP="00000000" w:rsidRDefault="00000000" w:rsidRPr="00000000" w14:paraId="000000C2">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Grado máximo de estudios</w:t>
      </w:r>
    </w:p>
    <w:p w:rsidR="00000000" w:rsidDel="00000000" w:rsidP="00000000" w:rsidRDefault="00000000" w:rsidRPr="00000000" w14:paraId="000000C3">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Cartilla de Servicio Militar</w:t>
      </w:r>
    </w:p>
    <w:p w:rsidR="00000000" w:rsidDel="00000000" w:rsidP="00000000" w:rsidRDefault="00000000" w:rsidRPr="00000000" w14:paraId="000000C4">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Comprobante de domicilio</w:t>
      </w:r>
    </w:p>
    <w:p w:rsidR="00000000" w:rsidDel="00000000" w:rsidP="00000000" w:rsidRDefault="00000000" w:rsidRPr="00000000" w14:paraId="000000C5">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Credencial Electoral emitida por el Instituto Federal Electoral. </w:t>
      </w:r>
    </w:p>
    <w:p w:rsidR="00000000" w:rsidDel="00000000" w:rsidP="00000000" w:rsidRDefault="00000000" w:rsidRPr="00000000" w14:paraId="000000C6">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Certificado de no deudor alimentario moroso</w:t>
      </w:r>
    </w:p>
    <w:p w:rsidR="00000000" w:rsidDel="00000000" w:rsidP="00000000" w:rsidRDefault="00000000" w:rsidRPr="00000000" w14:paraId="000000C7">
      <w:pPr>
        <w:numPr>
          <w:ilvl w:val="0"/>
          <w:numId w:val="7"/>
        </w:numPr>
        <w:pBdr>
          <w:top w:space="0" w:sz="0" w:val="nil"/>
          <w:left w:space="0" w:sz="0" w:val="nil"/>
          <w:bottom w:space="0" w:sz="0" w:val="nil"/>
          <w:right w:space="0" w:sz="0" w:val="nil"/>
          <w:between w:space="0" w:sz="0" w:val="nil"/>
        </w:pBdr>
        <w:spacing w:after="240" w:before="240" w:lineRule="auto"/>
        <w:ind w:left="78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RFC (Cédula de identificación fiscal)</w:t>
      </w:r>
    </w:p>
    <w:p w:rsidR="00000000" w:rsidDel="00000000" w:rsidP="00000000" w:rsidRDefault="00000000" w:rsidRPr="00000000" w14:paraId="000000C8">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destacar que, estos documentos no se tienen que hacer del conocimiento de la parte Recurrente, debido a que, se dejan a la vista datos personales en algunos documentos y, no es posible entregar documentos que por su naturaleza se consideran confidenciales en su totalidad, situación que se analizará al tenor de lo siguiente: </w:t>
      </w:r>
    </w:p>
    <w:p w:rsidR="00000000" w:rsidDel="00000000" w:rsidP="00000000" w:rsidRDefault="00000000" w:rsidRPr="00000000" w14:paraId="000000C9">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Solicitud de empleo. </w:t>
      </w:r>
      <w:r w:rsidDel="00000000" w:rsidR="00000000" w:rsidRPr="00000000">
        <w:rPr>
          <w:rtl w:val="0"/>
        </w:rPr>
      </w:r>
    </w:p>
    <w:p w:rsidR="00000000" w:rsidDel="00000000" w:rsidP="00000000" w:rsidRDefault="00000000" w:rsidRPr="00000000" w14:paraId="000000CA">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rsidR="00000000" w:rsidDel="00000000" w:rsidP="00000000" w:rsidRDefault="00000000" w:rsidRPr="00000000" w14:paraId="000000CB">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rsidR="00000000" w:rsidDel="00000000" w:rsidP="00000000" w:rsidRDefault="00000000" w:rsidRPr="00000000" w14:paraId="000000C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Currículum Vitae o Información Curricular y constancia de grado máximo de estudios. </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es de señalar que el Currículum Vitae es una locución latina que literalmente significa “carrera de vida”, y que la Real Academia Española ha definido como “la relación de los títulos, honores, cargos, trabajo realizado y datos biográficos que califican a una persona. En ese sentido, el currículum además de señalar datos personales refiere los estudios realizados y con ello, el nivel académico que se ostenta, así como la experiencia laboral que incluyen los cargos ocupados, periodos y funciones. </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el Currículum Vitae es aquel documento que las personas elaboran con datos de identificación y contacto, preparación académica y experiencia profesional, el cual es presentado ante un posible empleador, quien podrá identificar el nivel de conocimientos de su titular, así como, su perfil profesional o laboral para el desempeño del cargo al que aspira.</w:t>
      </w:r>
    </w:p>
    <w:p w:rsidR="00000000" w:rsidDel="00000000" w:rsidP="00000000" w:rsidRDefault="00000000" w:rsidRPr="00000000" w14:paraId="000000D2">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información que contenga la preparación académica y experiencia profesional, sirve como medio de identificación para que a su titular lo relacionen con el nivel de estudios con el que se ostenta; por lo que dicha documentación permite conocer de manera indudable si la persona que se desempeña como funcionario público tiene el perfil idóneo para desarrollar las actividades y atribuciones que deriven de su cargo, aunado a que si estos documentos forman parte de los requisitos de acceso al cargo, esto toma mayor relevancia, toda vez que el acceso a ellos, daría certeza de que su designación fue apegada a la norma.</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es viable señalar que la información curricular se encuentra establecida como una obligación común de transparencia que los sujetos obligados deben cumplir como mínimo, esto de conformidad con la fracción XXI del artículo 92 de la Ley de la materia que medularmente establece que se debe otorgar el acceso de manera actualizada y permanente sobre la información curricular, desde el nivel de jefe de departamento o equivalente, hasta el titular del sujeto obligado. </w:t>
      </w:r>
    </w:p>
    <w:p w:rsidR="00000000" w:rsidDel="00000000" w:rsidP="00000000" w:rsidRDefault="00000000" w:rsidRPr="00000000" w14:paraId="000000D4">
      <w:pPr>
        <w:tabs>
          <w:tab w:val="left" w:leader="none" w:pos="3828"/>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 acuerdo con el formato 17 LGT_Art_70_Fr_XVII (información curricular y las sanciones administrativas definitivas de los servidores públicos y personas que desempeñan un empleo, cargo o comisión) de los Lineamientos Generales-, que deben de difundir los sujetos obligados en los portales de Internet y en la Plataforma Nacional de Transparencia, establece como datos a publicar, de los servidores públicos, su información curricular, tal como lo es, </w:t>
      </w:r>
      <w:r w:rsidDel="00000000" w:rsidR="00000000" w:rsidRPr="00000000">
        <w:rPr>
          <w:rFonts w:ascii="Palatino Linotype" w:cs="Palatino Linotype" w:eastAsia="Palatino Linotype" w:hAnsi="Palatino Linotype"/>
          <w:b w:val="1"/>
          <w:rtl w:val="0"/>
        </w:rPr>
        <w:t xml:space="preserve">el nivel máximo de estudios concluido y comprobable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así como la experiencia laboral, </w:t>
      </w:r>
      <w:r w:rsidDel="00000000" w:rsidR="00000000" w:rsidRPr="00000000">
        <w:rPr>
          <w:rFonts w:ascii="Palatino Linotype" w:cs="Palatino Linotype" w:eastAsia="Palatino Linotype" w:hAnsi="Palatino Linotype"/>
          <w:rtl w:val="0"/>
        </w:rPr>
        <w:t xml:space="preserve">tal como se muestra continuación:</w:t>
      </w:r>
    </w:p>
    <w:p w:rsidR="00000000" w:rsidDel="00000000" w:rsidP="00000000" w:rsidRDefault="00000000" w:rsidRPr="00000000" w14:paraId="000000D5">
      <w:pPr>
        <w:tabs>
          <w:tab w:val="left" w:leader="none" w:pos="8931"/>
        </w:tabs>
        <w:spacing w:after="240" w:before="240" w:line="360" w:lineRule="auto"/>
        <w:ind w:left="567" w:right="-9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33237" cy="1514070"/>
            <wp:effectExtent b="0" l="0" r="0" t="0"/>
            <wp:docPr descr="Interfaz de usuario gráfica, Aplicación, Tabla&#10;&#10;Descripción generada automáticamente" id="1643919209" name="image6.png"/>
            <a:graphic>
              <a:graphicData uri="http://schemas.openxmlformats.org/drawingml/2006/picture">
                <pic:pic>
                  <pic:nvPicPr>
                    <pic:cNvPr descr="Interfaz de usuario gráfica, Aplicación, Tabla&#10;&#10;Descripción generada automáticamente" id="0" name="image6.png"/>
                    <pic:cNvPicPr preferRelativeResize="0"/>
                  </pic:nvPicPr>
                  <pic:blipFill>
                    <a:blip r:embed="rId18"/>
                    <a:srcRect b="0" l="0" r="0" t="0"/>
                    <a:stretch>
                      <a:fillRect/>
                    </a:stretch>
                  </pic:blipFill>
                  <pic:spPr>
                    <a:xfrm>
                      <a:off x="0" y="0"/>
                      <a:ext cx="5033237" cy="151407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Bajo este orden de ideas, la entrega de los documentos que acreditan el nivel académico o de preparación en algún área del conocimiento, aporta elementos de convicción sobre su legalidad y legitimidad, además de que permite verificar que los servidores públicos del Ayuntamiento de Malinalco acreditaron el nivel académico y la experiencia necesaria para ocupar un cargo público dentro de su estructura orgánica.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el presente caso, es de mencionar que, el Sujeto Obligado dejó a la vista datos como la </w:t>
      </w:r>
      <w:r w:rsidDel="00000000" w:rsidR="00000000" w:rsidRPr="00000000">
        <w:rPr>
          <w:rFonts w:ascii="Palatino Linotype" w:cs="Palatino Linotype" w:eastAsia="Palatino Linotype" w:hAnsi="Palatino Linotype"/>
          <w:b w:val="1"/>
          <w:color w:val="000000"/>
          <w:u w:val="single"/>
          <w:rtl w:val="0"/>
        </w:rPr>
        <w:t xml:space="preserve">fecha de nacimiento </w:t>
      </w:r>
      <w:r w:rsidDel="00000000" w:rsidR="00000000" w:rsidRPr="00000000">
        <w:rPr>
          <w:rFonts w:ascii="Palatino Linotype" w:cs="Palatino Linotype" w:eastAsia="Palatino Linotype" w:hAnsi="Palatino Linotype"/>
          <w:color w:val="000000"/>
          <w:rtl w:val="0"/>
        </w:rPr>
        <w:t xml:space="preserve">del servidor público, por lo que, es de mencionar que este es un dato personal que debe ser clasificado como confidencial debido a que revela el día exacto en que nació y la edad de la persona, por lo que debe ser protegido y más cuando se encuentra vinculado con el nombre de alguien específico.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se dejó a la vista información relacionada con </w:t>
      </w:r>
      <w:r w:rsidDel="00000000" w:rsidR="00000000" w:rsidRPr="00000000">
        <w:rPr>
          <w:rFonts w:ascii="Palatino Linotype" w:cs="Palatino Linotype" w:eastAsia="Palatino Linotype" w:hAnsi="Palatino Linotype"/>
          <w:b w:val="1"/>
          <w:color w:val="000000"/>
          <w:u w:val="single"/>
          <w:rtl w:val="0"/>
        </w:rPr>
        <w:t xml:space="preserve">domicilios de particulares</w:t>
      </w:r>
      <w:r w:rsidDel="00000000" w:rsidR="00000000" w:rsidRPr="00000000">
        <w:rPr>
          <w:rFonts w:ascii="Palatino Linotype" w:cs="Palatino Linotype" w:eastAsia="Palatino Linotype" w:hAnsi="Palatino Linotype"/>
          <w:color w:val="000000"/>
          <w:rtl w:val="0"/>
        </w:rPr>
        <w:t xml:space="preserve">, los cuales dan cuenta de los lugares en donde residen habitualmente las personas, por lo que permite hacerlos identificables y ubicables, propiciando que puedan ser molestados en su casa o negocio, por lo que, es confidencial.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otro lado, en relación con </w:t>
      </w:r>
      <w:r w:rsidDel="00000000" w:rsidR="00000000" w:rsidRPr="00000000">
        <w:rPr>
          <w:rFonts w:ascii="Palatino Linotype" w:cs="Palatino Linotype" w:eastAsia="Palatino Linotype" w:hAnsi="Palatino Linotype"/>
          <w:b w:val="1"/>
          <w:color w:val="000000"/>
          <w:u w:val="single"/>
          <w:rtl w:val="0"/>
        </w:rPr>
        <w:t xml:space="preserve">los intereses particulares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es de mencionar que se tratan de apreciaciones personales y subjetivas del servidor público, por lo que, es información que no abona en nada a la transparencia ni rinde cuentas de la forma de actuar de un trabajador, por lo que, guarda carácter de confidencial. </w:t>
      </w:r>
    </w:p>
    <w:p w:rsidR="00000000" w:rsidDel="00000000" w:rsidP="00000000" w:rsidRDefault="00000000" w:rsidRPr="00000000" w14:paraId="000000DA">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Carta de recomendación</w:t>
      </w:r>
    </w:p>
    <w:p w:rsidR="00000000" w:rsidDel="00000000" w:rsidP="00000000" w:rsidRDefault="00000000" w:rsidRPr="00000000" w14:paraId="000000D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dichos documentos, es de señalar que corresponden aquellos documentos en donde personas particulares dan referencias o una valoración de la persona que recomiendan, las cuales pueden contener información  de su forma de actuar, comportarse, valores, entre otras cuestiones, por lo que, se considera que son documentos de naturaleza privada, pues no abonan en nada a la transparencia, ni rinden cuentas del actuar de una trabajadora gubernamental, sino corresponde una apreciación subjetiva de una persona para recomendar a otra, las cuales son ocupadas comúnmente al solicitar un empleo.</w:t>
      </w:r>
    </w:p>
    <w:p w:rsidR="00000000" w:rsidDel="00000000" w:rsidP="00000000" w:rsidRDefault="00000000" w:rsidRPr="00000000" w14:paraId="000000DC">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considera que dichos documentos actualizan la clasificación, de la causal establecida en el artículo 143, fracción I, de la Ley de Transparencia y Acceso a la Información Pública del Estado de México y Municipios.</w:t>
      </w:r>
    </w:p>
    <w:p w:rsidR="00000000" w:rsidDel="00000000" w:rsidP="00000000" w:rsidRDefault="00000000" w:rsidRPr="00000000" w14:paraId="000000DD">
      <w:pPr>
        <w:numPr>
          <w:ilvl w:val="0"/>
          <w:numId w:val="2"/>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Análisis de la información relativa al nombre, número de cuenta bancaria, clabe interbancaria y Registro Federal de Contribuyentes de personas físicas y jurídico colectivas.</w:t>
      </w:r>
    </w:p>
    <w:p w:rsidR="00000000" w:rsidDel="00000000" w:rsidP="00000000" w:rsidRDefault="00000000" w:rsidRPr="00000000" w14:paraId="000000D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la finalidad de pasar al análisis de cada uno de los datos personales que componen la información que se consigna en el rubro de “Descripción” del Estado de Cuenta, es pertinente decir que la Universidad puede allegarse de recursos desde dos fuentes principales, la primera compuesta por los recursos financieros aportados por los Gobiernos Federal y Estatal y la segunda proveniente del sector privado o social mediante subsidios, financiamientos, inversiones, participaciones, donaciones, contratos, convenios, acuerdos y otros.</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por lo que hace a depósitos y/o transferencias efectuadas desde y para cualquier ente público de gobierno, por evidentes razones, </w:t>
      </w:r>
      <w:r w:rsidDel="00000000" w:rsidR="00000000" w:rsidRPr="00000000">
        <w:rPr>
          <w:rFonts w:ascii="Palatino Linotype" w:cs="Palatino Linotype" w:eastAsia="Palatino Linotype" w:hAnsi="Palatino Linotype"/>
          <w:b w:val="1"/>
          <w:rtl w:val="0"/>
        </w:rPr>
        <w:t xml:space="preserve">su nombre, número de cuenta bancaria, clabe interbancaria y Registro Federal de Contribuyentes no puede ser clasificado como confidencial,</w:t>
      </w:r>
      <w:r w:rsidDel="00000000" w:rsidR="00000000" w:rsidRPr="00000000">
        <w:rPr>
          <w:rFonts w:ascii="Palatino Linotype" w:cs="Palatino Linotype" w:eastAsia="Palatino Linotype" w:hAnsi="Palatino Linotype"/>
          <w:rtl w:val="0"/>
        </w:rPr>
        <w:t xml:space="preserve"> al operar con recursos públicos, ser entes Sujetos a la Ley de Transparencia y Acceso a la Información Pública del Estado de México y Municipios, además de que es una obligación de transparencia la información financiera sobre el presupuesto asignado, así como los informes del ejercicio trimestral del gasto, en términos de la Ley General de Contabilidad Gubernamental y demás disposiciones jurídicas aplicables.</w:t>
      </w:r>
    </w:p>
    <w:p w:rsidR="00000000" w:rsidDel="00000000" w:rsidP="00000000" w:rsidRDefault="00000000" w:rsidRPr="00000000" w14:paraId="000000E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Al respecto, el Instituto Nacional de Transparencia, Acceso a la Información Pública y Protección de Datos Personales, mediante el Criterio 11-17 se ha pronunciado y establecido que la difusión de </w:t>
      </w:r>
      <w:r w:rsidDel="00000000" w:rsidR="00000000" w:rsidRPr="00000000">
        <w:rPr>
          <w:rFonts w:ascii="Palatino Linotype" w:cs="Palatino Linotype" w:eastAsia="Palatino Linotype" w:hAnsi="Palatino Linotype"/>
          <w:b w:val="1"/>
          <w:rtl w:val="0"/>
        </w:rPr>
        <w:t xml:space="preserve">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por lo que hace al RFC de un ente público, se tiene la certeza de que no contiene datos personales, pues está conformado por una serie de letras y número que, en el mejor de los casos, dan cuenta de las siglas de la institución y su año de registro ante el Servicio de Administración Tributaria, datos irrelevantes cuya difusión no afecta actos de carácter económico, contable, jurídico o administrativo. Por lo que también es público.</w:t>
      </w:r>
    </w:p>
    <w:p w:rsidR="00000000" w:rsidDel="00000000" w:rsidP="00000000" w:rsidRDefault="00000000" w:rsidRPr="00000000" w14:paraId="000000E2">
      <w:pPr>
        <w:spacing w:after="240" w:before="24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Consecuentemente, </w:t>
      </w:r>
      <w:r w:rsidDel="00000000" w:rsidR="00000000" w:rsidRPr="00000000">
        <w:rPr>
          <w:rFonts w:ascii="Palatino Linotype" w:cs="Palatino Linotype" w:eastAsia="Palatino Linotype" w:hAnsi="Palatino Linotype"/>
          <w:b w:val="1"/>
          <w:u w:val="single"/>
          <w:rtl w:val="0"/>
        </w:rPr>
        <w:t xml:space="preserve">el nombre, número de cuenta bancaria, clabe interbancaria y Registro Federal de Contribuyentes de cualquier ente público no puede ser clasificado como confidencial.</w:t>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Estudio aparte merece el nombre, número de cuenta bancaria, clabe interbancaria y Registro Federal de Contribuyentes de personas físicas y jurídicas colectivas.</w:t>
      </w:r>
    </w:p>
    <w:p w:rsidR="00000000" w:rsidDel="00000000" w:rsidP="00000000" w:rsidRDefault="00000000" w:rsidRPr="00000000" w14:paraId="000000E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Acta de nacimiento</w:t>
      </w:r>
    </w:p>
    <w:p w:rsidR="00000000" w:rsidDel="00000000" w:rsidP="00000000" w:rsidRDefault="00000000" w:rsidRPr="00000000" w14:paraId="000000E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rsidR="00000000" w:rsidDel="00000000" w:rsidP="00000000" w:rsidRDefault="00000000" w:rsidRPr="00000000" w14:paraId="000000E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rsidR="00000000" w:rsidDel="00000000" w:rsidP="00000000" w:rsidRDefault="00000000" w:rsidRPr="00000000" w14:paraId="000000E9">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w:t>
        <w:tab/>
        <w:t xml:space="preserve">Folio de Impresión.</w:t>
      </w:r>
    </w:p>
    <w:p w:rsidR="00000000" w:rsidDel="00000000" w:rsidP="00000000" w:rsidRDefault="00000000" w:rsidRPr="00000000" w14:paraId="000000EA">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w:t>
        <w:tab/>
        <w:t xml:space="preserve">Denominación del Documento.</w:t>
      </w:r>
    </w:p>
    <w:p w:rsidR="00000000" w:rsidDel="00000000" w:rsidP="00000000" w:rsidRDefault="00000000" w:rsidRPr="00000000" w14:paraId="000000EB">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w:t>
        <w:tab/>
        <w:t xml:space="preserve">Identificador Electrónico. </w:t>
      </w:r>
    </w:p>
    <w:p w:rsidR="00000000" w:rsidDel="00000000" w:rsidP="00000000" w:rsidRDefault="00000000" w:rsidRPr="00000000" w14:paraId="000000EC">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w:t>
        <w:tab/>
        <w:t xml:space="preserve">Elementos del Registro. </w:t>
      </w:r>
    </w:p>
    <w:p w:rsidR="00000000" w:rsidDel="00000000" w:rsidP="00000000" w:rsidRDefault="00000000" w:rsidRPr="00000000" w14:paraId="000000ED">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w:t>
        <w:tab/>
        <w:t xml:space="preserve">Datos de la Persona Registrada. </w:t>
      </w:r>
    </w:p>
    <w:p w:rsidR="00000000" w:rsidDel="00000000" w:rsidP="00000000" w:rsidRDefault="00000000" w:rsidRPr="00000000" w14:paraId="000000EE">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w:t>
        <w:tab/>
        <w:t xml:space="preserve">Datos de Filiación de la Persona Registrada. </w:t>
      </w:r>
    </w:p>
    <w:p w:rsidR="00000000" w:rsidDel="00000000" w:rsidP="00000000" w:rsidRDefault="00000000" w:rsidRPr="00000000" w14:paraId="000000EF">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w:t>
        <w:tab/>
        <w:t xml:space="preserve">Anotaciones Marginales. </w:t>
      </w:r>
    </w:p>
    <w:p w:rsidR="00000000" w:rsidDel="00000000" w:rsidP="00000000" w:rsidRDefault="00000000" w:rsidRPr="00000000" w14:paraId="000000F0">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w:t>
        <w:tab/>
        <w:t xml:space="preserve">Certificación. </w:t>
      </w:r>
    </w:p>
    <w:p w:rsidR="00000000" w:rsidDel="00000000" w:rsidP="00000000" w:rsidRDefault="00000000" w:rsidRPr="00000000" w14:paraId="000000F1">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w:t>
        <w:tab/>
        <w:t xml:space="preserve">Código Bidimensional QR que contiene información encriptada del acta. </w:t>
      </w:r>
    </w:p>
    <w:p w:rsidR="00000000" w:rsidDel="00000000" w:rsidP="00000000" w:rsidRDefault="00000000" w:rsidRPr="00000000" w14:paraId="000000F2">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w:t>
        <w:tab/>
        <w:t xml:space="preserve">Leyenda “Soy México” </w:t>
      </w:r>
    </w:p>
    <w:p w:rsidR="00000000" w:rsidDel="00000000" w:rsidP="00000000" w:rsidRDefault="00000000" w:rsidRPr="00000000" w14:paraId="000000F3">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w:t>
        <w:tab/>
        <w:t xml:space="preserve">Firma Electrónica Avanzada. </w:t>
      </w:r>
    </w:p>
    <w:p w:rsidR="00000000" w:rsidDel="00000000" w:rsidP="00000000" w:rsidRDefault="00000000" w:rsidRPr="00000000" w14:paraId="000000F4">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w:t>
        <w:tab/>
        <w:t xml:space="preserve">Firma y datos de la autoridad emisora. </w:t>
      </w:r>
    </w:p>
    <w:p w:rsidR="00000000" w:rsidDel="00000000" w:rsidP="00000000" w:rsidRDefault="00000000" w:rsidRPr="00000000" w14:paraId="000000F5">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w:t>
        <w:tab/>
        <w:t xml:space="preserve">Código QR. </w:t>
      </w:r>
    </w:p>
    <w:p w:rsidR="00000000" w:rsidDel="00000000" w:rsidP="00000000" w:rsidRDefault="00000000" w:rsidRPr="00000000" w14:paraId="000000F6">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w:t>
        <w:tab/>
        <w:t xml:space="preserve">Código de Verificación.</w:t>
      </w:r>
    </w:p>
    <w:p w:rsidR="00000000" w:rsidDel="00000000" w:rsidP="00000000" w:rsidRDefault="00000000" w:rsidRPr="00000000" w14:paraId="000000F7">
      <w:pPr>
        <w:spacing w:after="240" w:before="24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w:t>
        <w:tab/>
        <w:t xml:space="preserve">Leyenda de instrucciones para la verificación del documento. </w:t>
      </w:r>
    </w:p>
    <w:p w:rsidR="00000000" w:rsidDel="00000000" w:rsidP="00000000" w:rsidRDefault="00000000" w:rsidRPr="00000000" w14:paraId="000000F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000000" w:rsidDel="00000000" w:rsidP="00000000" w:rsidRDefault="00000000" w:rsidRPr="00000000" w14:paraId="000000F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0FB">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Clave Única de Registro de Población</w:t>
      </w:r>
    </w:p>
    <w:p w:rsidR="00000000" w:rsidDel="00000000" w:rsidP="00000000" w:rsidRDefault="00000000" w:rsidRPr="00000000" w14:paraId="000000F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000000" w:rsidDel="00000000" w:rsidP="00000000" w:rsidRDefault="00000000" w:rsidRPr="00000000" w14:paraId="000000F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Secretaría de Gobernación en las direcciones </w:t>
      </w:r>
      <w:hyperlink r:id="rId19">
        <w:r w:rsidDel="00000000" w:rsidR="00000000" w:rsidRPr="00000000">
          <w:rPr>
            <w:rFonts w:ascii="Palatino Linotype" w:cs="Palatino Linotype" w:eastAsia="Palatino Linotype" w:hAnsi="Palatino Linotype"/>
            <w:color w:val="000000"/>
            <w:u w:val="single"/>
            <w:rtl w:val="0"/>
          </w:rPr>
          <w:t xml:space="preserve">https://consultas.curp.gob.mx/CurpSP/html/informacionecurpPS.html</w:t>
        </w:r>
      </w:hyperlink>
      <w:r w:rsidDel="00000000" w:rsidR="00000000" w:rsidRPr="00000000">
        <w:rPr>
          <w:rFonts w:ascii="Palatino Linotype" w:cs="Palatino Linotype" w:eastAsia="Palatino Linotype" w:hAnsi="Palatino Linotype"/>
          <w:rtl w:val="0"/>
        </w:rPr>
        <w:t xml:space="preserve"> y </w:t>
      </w:r>
      <w:hyperlink r:id="rId20">
        <w:r w:rsidDel="00000000" w:rsidR="00000000" w:rsidRPr="00000000">
          <w:rPr>
            <w:rFonts w:ascii="Palatino Linotype" w:cs="Palatino Linotype" w:eastAsia="Palatino Linotype" w:hAnsi="Palatino Linotype"/>
            <w:color w:val="000000"/>
            <w:u w:val="single"/>
            <w:rtl w:val="0"/>
          </w:rPr>
          <w:t xml:space="preserve">https://www.gob.mx/segob/renapo/acciones-y-programas/clave-unica-de-registro-de-poblacion-curp-142226</w:t>
        </w:r>
      </w:hyperlink>
      <w:r w:rsidDel="00000000" w:rsidR="00000000" w:rsidRPr="00000000">
        <w:rPr>
          <w:rFonts w:ascii="Palatino Linotype" w:cs="Palatino Linotype" w:eastAsia="Palatino Linotype" w:hAnsi="Palatino Linotype"/>
          <w:rtl w:val="0"/>
        </w:rPr>
        <w:t xml:space="preserve"> (consultadas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000000" w:rsidDel="00000000" w:rsidP="00000000" w:rsidRDefault="00000000" w:rsidRPr="00000000" w14:paraId="000000FF">
      <w:pPr>
        <w:numPr>
          <w:ilvl w:val="0"/>
          <w:numId w:val="3"/>
        </w:numPr>
        <w:spacing w:after="120" w:before="12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primero y segundo apellidos, así como al nombre de pila;</w:t>
      </w:r>
    </w:p>
    <w:p w:rsidR="00000000" w:rsidDel="00000000" w:rsidP="00000000" w:rsidRDefault="00000000" w:rsidRPr="00000000" w14:paraId="00000100">
      <w:pPr>
        <w:numPr>
          <w:ilvl w:val="0"/>
          <w:numId w:val="3"/>
        </w:numPr>
        <w:spacing w:after="120" w:before="12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fecha de nacimiento;</w:t>
      </w:r>
    </w:p>
    <w:p w:rsidR="00000000" w:rsidDel="00000000" w:rsidP="00000000" w:rsidRDefault="00000000" w:rsidRPr="00000000" w14:paraId="00000101">
      <w:pPr>
        <w:numPr>
          <w:ilvl w:val="0"/>
          <w:numId w:val="3"/>
        </w:numPr>
        <w:spacing w:after="120" w:before="12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sexo, y</w:t>
      </w:r>
    </w:p>
    <w:p w:rsidR="00000000" w:rsidDel="00000000" w:rsidP="00000000" w:rsidRDefault="00000000" w:rsidRPr="00000000" w14:paraId="00000102">
      <w:pPr>
        <w:numPr>
          <w:ilvl w:val="0"/>
          <w:numId w:val="3"/>
        </w:numPr>
        <w:spacing w:after="120" w:before="120" w:line="360" w:lineRule="auto"/>
        <w:ind w:left="71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entidad federativa de nacimiento.</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dos últimos elementos de la Clave Única de Registro de Población evitan la duplicidad de la Clave y garantizan su correcta integración.</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Criterio 18/17, emitido por el Instituto Nacional de Transparencia, Acceso a la Información y Protección de Datos Personales, que establece lo siguiente:</w:t>
      </w:r>
    </w:p>
    <w:p w:rsidR="00000000" w:rsidDel="00000000" w:rsidP="00000000" w:rsidRDefault="00000000" w:rsidRPr="00000000" w14:paraId="0000010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00000" w:rsidDel="00000000" w:rsidP="00000000" w:rsidRDefault="00000000" w:rsidRPr="00000000" w14:paraId="0000010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rsidR="00000000" w:rsidDel="00000000" w:rsidP="00000000" w:rsidRDefault="00000000" w:rsidRPr="00000000" w14:paraId="00000109">
      <w:pPr>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Hoja de liberación de servicio militar. </w:t>
      </w:r>
      <w:r w:rsidDel="00000000" w:rsidR="00000000" w:rsidRPr="00000000">
        <w:rPr>
          <w:rtl w:val="0"/>
        </w:rPr>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trata de información que se relaciona con la esfera de privacidad más íntima de personas físicas y no es susceptible de entregarse, aún siendo en versión pública, pues en contenido del mismo se encontraría testado en su mayoría dejándose observar únicamente lo correspondiente al formato principal o básico del documento, lo cual aludiría a un formato cuya información resulta irrelevante, situación que conlleva a determinar que el documento debe ser clasificado en su totalidad, en términos de la fracción I del artículo 143 de la Ley de Transparencia y Acceso a la Información Pública del Estado de México y Municipios. </w:t>
      </w:r>
    </w:p>
    <w:p w:rsidR="00000000" w:rsidDel="00000000" w:rsidP="00000000" w:rsidRDefault="00000000" w:rsidRPr="00000000" w14:paraId="0000010B">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Comprobante de domicilio</w:t>
      </w:r>
    </w:p>
    <w:p w:rsidR="00000000" w:rsidDel="00000000" w:rsidP="00000000" w:rsidRDefault="00000000" w:rsidRPr="00000000" w14:paraId="0000010C">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00000" w:rsidDel="00000000" w:rsidP="00000000" w:rsidRDefault="00000000" w:rsidRPr="00000000" w14:paraId="0000010D">
      <w:pPr>
        <w:spacing w:after="240" w:before="240"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la misma manera, lo establece el artículo 29 del Código Civil Federal, al precisar que el domicilio de personas físicas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es el lugar donde residen habitualmente, el lugar del centro principal de sus negocios, donde residan o el lugar donde se encuentren.</w:t>
      </w:r>
      <w:r w:rsidDel="00000000" w:rsidR="00000000" w:rsidRPr="00000000">
        <w:rPr>
          <w:rtl w:val="0"/>
        </w:rPr>
      </w:r>
    </w:p>
    <w:p w:rsidR="00000000" w:rsidDel="00000000" w:rsidP="00000000" w:rsidRDefault="00000000" w:rsidRPr="00000000" w14:paraId="0000010E">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00000" w:rsidDel="00000000" w:rsidP="00000000" w:rsidRDefault="00000000" w:rsidRPr="00000000" w14:paraId="0000010F">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00000000" w:rsidDel="00000000" w:rsidP="00000000" w:rsidRDefault="00000000" w:rsidRPr="00000000" w14:paraId="00000110">
      <w:pPr>
        <w:spacing w:after="240" w:before="24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actualiza la clasificación del domicilio y su comprobante, de conformidad con la fracción I, del artículo 143 de la Ley de Transparencia y Acceso a la Información Pública del Estado de México y Municipios.</w:t>
      </w:r>
    </w:p>
    <w:p w:rsidR="00000000" w:rsidDel="00000000" w:rsidP="00000000" w:rsidRDefault="00000000" w:rsidRPr="00000000" w14:paraId="00000111">
      <w:pPr>
        <w:spacing w:after="240" w:before="24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after="240" w:before="24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after="240" w:before="24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Credencial para votar</w:t>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000000" w:rsidDel="00000000" w:rsidP="00000000" w:rsidRDefault="00000000" w:rsidRPr="00000000" w14:paraId="0000011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manera particular el artículo 156, de la Ley General de Instituciones y Procedimientos Electorales dispone que la credencial para votar deberá contener, cuando menos, los siguientes datos:</w:t>
      </w:r>
      <w:r w:rsidDel="00000000" w:rsidR="00000000" w:rsidRPr="00000000">
        <w:rPr>
          <w:rtl w:val="0"/>
        </w:rPr>
      </w:r>
    </w:p>
    <w:p w:rsidR="00000000" w:rsidDel="00000000" w:rsidP="00000000" w:rsidRDefault="00000000" w:rsidRPr="00000000" w14:paraId="00000117">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w:t>
      </w:r>
      <w:r w:rsidDel="00000000" w:rsidR="00000000" w:rsidRPr="00000000">
        <w:rPr>
          <w:rFonts w:ascii="Palatino Linotype" w:cs="Palatino Linotype" w:eastAsia="Palatino Linotype" w:hAnsi="Palatino Linotype"/>
          <w:i w:val="1"/>
          <w:rtl w:val="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000000" w:rsidDel="00000000" w:rsidP="00000000" w:rsidRDefault="00000000" w:rsidRPr="00000000" w14:paraId="00000118">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 </w:t>
      </w:r>
      <w:r w:rsidDel="00000000" w:rsidR="00000000" w:rsidRPr="00000000">
        <w:rPr>
          <w:rFonts w:ascii="Palatino Linotype" w:cs="Palatino Linotype" w:eastAsia="Palatino Linotype" w:hAnsi="Palatino Linotype"/>
          <w:i w:val="1"/>
          <w:rtl w:val="0"/>
        </w:rPr>
        <w:t xml:space="preserve">Sección electoral en donde deberá votar el ciudadano. En el caso de los ciudadanos residentes en el extranjero no será necesario incluir este requisito; </w:t>
      </w:r>
    </w:p>
    <w:p w:rsidR="00000000" w:rsidDel="00000000" w:rsidP="00000000" w:rsidRDefault="00000000" w:rsidRPr="00000000" w14:paraId="00000119">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 </w:t>
      </w:r>
      <w:r w:rsidDel="00000000" w:rsidR="00000000" w:rsidRPr="00000000">
        <w:rPr>
          <w:rFonts w:ascii="Palatino Linotype" w:cs="Palatino Linotype" w:eastAsia="Palatino Linotype" w:hAnsi="Palatino Linotype"/>
          <w:i w:val="1"/>
          <w:rtl w:val="0"/>
        </w:rPr>
        <w:t xml:space="preserve">Apellido paterno, apellido materno y nombre completo; </w:t>
      </w:r>
    </w:p>
    <w:p w:rsidR="00000000" w:rsidDel="00000000" w:rsidP="00000000" w:rsidRDefault="00000000" w:rsidRPr="00000000" w14:paraId="0000011A">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 </w:t>
      </w:r>
      <w:r w:rsidDel="00000000" w:rsidR="00000000" w:rsidRPr="00000000">
        <w:rPr>
          <w:rFonts w:ascii="Palatino Linotype" w:cs="Palatino Linotype" w:eastAsia="Palatino Linotype" w:hAnsi="Palatino Linotype"/>
          <w:i w:val="1"/>
          <w:rtl w:val="0"/>
        </w:rPr>
        <w:t xml:space="preserve">Domicilio; </w:t>
      </w:r>
    </w:p>
    <w:p w:rsidR="00000000" w:rsidDel="00000000" w:rsidP="00000000" w:rsidRDefault="00000000" w:rsidRPr="00000000" w14:paraId="0000011B">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 </w:t>
      </w:r>
      <w:r w:rsidDel="00000000" w:rsidR="00000000" w:rsidRPr="00000000">
        <w:rPr>
          <w:rFonts w:ascii="Palatino Linotype" w:cs="Palatino Linotype" w:eastAsia="Palatino Linotype" w:hAnsi="Palatino Linotype"/>
          <w:i w:val="1"/>
          <w:rtl w:val="0"/>
        </w:rPr>
        <w:t xml:space="preserve">Sexo; </w:t>
      </w:r>
    </w:p>
    <w:p w:rsidR="00000000" w:rsidDel="00000000" w:rsidP="00000000" w:rsidRDefault="00000000" w:rsidRPr="00000000" w14:paraId="0000011C">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 </w:t>
      </w:r>
      <w:r w:rsidDel="00000000" w:rsidR="00000000" w:rsidRPr="00000000">
        <w:rPr>
          <w:rFonts w:ascii="Palatino Linotype" w:cs="Palatino Linotype" w:eastAsia="Palatino Linotype" w:hAnsi="Palatino Linotype"/>
          <w:i w:val="1"/>
          <w:rtl w:val="0"/>
        </w:rPr>
        <w:t xml:space="preserve">Edad y año de registro;</w:t>
      </w:r>
    </w:p>
    <w:p w:rsidR="00000000" w:rsidDel="00000000" w:rsidP="00000000" w:rsidRDefault="00000000" w:rsidRPr="00000000" w14:paraId="0000011D">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g) </w:t>
      </w:r>
      <w:r w:rsidDel="00000000" w:rsidR="00000000" w:rsidRPr="00000000">
        <w:rPr>
          <w:rFonts w:ascii="Palatino Linotype" w:cs="Palatino Linotype" w:eastAsia="Palatino Linotype" w:hAnsi="Palatino Linotype"/>
          <w:i w:val="1"/>
          <w:rtl w:val="0"/>
        </w:rPr>
        <w:t xml:space="preserve">Firma, huella digital y fotografía del elector; </w:t>
      </w:r>
    </w:p>
    <w:p w:rsidR="00000000" w:rsidDel="00000000" w:rsidP="00000000" w:rsidRDefault="00000000" w:rsidRPr="00000000" w14:paraId="0000011E">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h) </w:t>
      </w:r>
      <w:r w:rsidDel="00000000" w:rsidR="00000000" w:rsidRPr="00000000">
        <w:rPr>
          <w:rFonts w:ascii="Palatino Linotype" w:cs="Palatino Linotype" w:eastAsia="Palatino Linotype" w:hAnsi="Palatino Linotype"/>
          <w:i w:val="1"/>
          <w:rtl w:val="0"/>
        </w:rPr>
        <w:t xml:space="preserve">Clave de registro, y </w:t>
      </w:r>
    </w:p>
    <w:p w:rsidR="00000000" w:rsidDel="00000000" w:rsidP="00000000" w:rsidRDefault="00000000" w:rsidRPr="00000000" w14:paraId="0000011F">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Clave Única del Registro de Población. </w:t>
      </w:r>
    </w:p>
    <w:p w:rsidR="00000000" w:rsidDel="00000000" w:rsidP="00000000" w:rsidRDefault="00000000" w:rsidRPr="00000000" w14:paraId="00000120">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 </w:t>
      </w:r>
      <w:r w:rsidDel="00000000" w:rsidR="00000000" w:rsidRPr="00000000">
        <w:rPr>
          <w:rFonts w:ascii="Palatino Linotype" w:cs="Palatino Linotype" w:eastAsia="Palatino Linotype" w:hAnsi="Palatino Linotype"/>
          <w:i w:val="1"/>
          <w:rtl w:val="0"/>
        </w:rPr>
        <w:t xml:space="preserve">Ad</w:t>
      </w:r>
      <w:r w:rsidDel="00000000" w:rsidR="00000000" w:rsidRPr="00000000">
        <w:rPr>
          <w:rFonts w:ascii="Palatino Linotype" w:cs="Palatino Linotype" w:eastAsia="Palatino Linotype" w:hAnsi="Palatino Linotype"/>
          <w:b w:val="1"/>
          <w:i w:val="1"/>
          <w:rtl w:val="0"/>
        </w:rPr>
        <w:t xml:space="preserve">e</w:t>
      </w:r>
      <w:r w:rsidDel="00000000" w:rsidR="00000000" w:rsidRPr="00000000">
        <w:rPr>
          <w:rFonts w:ascii="Palatino Linotype" w:cs="Palatino Linotype" w:eastAsia="Palatino Linotype" w:hAnsi="Palatino Linotype"/>
          <w:i w:val="1"/>
          <w:rtl w:val="0"/>
        </w:rPr>
        <w:t xml:space="preserve">más tendrá: </w:t>
      </w:r>
    </w:p>
    <w:p w:rsidR="00000000" w:rsidDel="00000000" w:rsidP="00000000" w:rsidRDefault="00000000" w:rsidRPr="00000000" w14:paraId="00000121">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w:t>
      </w:r>
      <w:r w:rsidDel="00000000" w:rsidR="00000000" w:rsidRPr="00000000">
        <w:rPr>
          <w:rFonts w:ascii="Palatino Linotype" w:cs="Palatino Linotype" w:eastAsia="Palatino Linotype" w:hAnsi="Palatino Linotype"/>
          <w:i w:val="1"/>
          <w:rtl w:val="0"/>
        </w:rPr>
        <w:t xml:space="preserve">Espacios necesarios para marcar año y elección de que se trate; </w:t>
      </w:r>
    </w:p>
    <w:p w:rsidR="00000000" w:rsidDel="00000000" w:rsidP="00000000" w:rsidRDefault="00000000" w:rsidRPr="00000000" w14:paraId="00000122">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 </w:t>
      </w:r>
      <w:r w:rsidDel="00000000" w:rsidR="00000000" w:rsidRPr="00000000">
        <w:rPr>
          <w:rFonts w:ascii="Palatino Linotype" w:cs="Palatino Linotype" w:eastAsia="Palatino Linotype" w:hAnsi="Palatino Linotype"/>
          <w:i w:val="1"/>
          <w:rtl w:val="0"/>
        </w:rPr>
        <w:t xml:space="preserve">Firma impresa del Secretario Ejecutivo del Instituto; </w:t>
      </w:r>
    </w:p>
    <w:p w:rsidR="00000000" w:rsidDel="00000000" w:rsidP="00000000" w:rsidRDefault="00000000" w:rsidRPr="00000000" w14:paraId="00000123">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 </w:t>
      </w:r>
      <w:r w:rsidDel="00000000" w:rsidR="00000000" w:rsidRPr="00000000">
        <w:rPr>
          <w:rFonts w:ascii="Palatino Linotype" w:cs="Palatino Linotype" w:eastAsia="Palatino Linotype" w:hAnsi="Palatino Linotype"/>
          <w:i w:val="1"/>
          <w:rtl w:val="0"/>
        </w:rPr>
        <w:t xml:space="preserve">Año de emisión; </w:t>
      </w:r>
    </w:p>
    <w:p w:rsidR="00000000" w:rsidDel="00000000" w:rsidP="00000000" w:rsidRDefault="00000000" w:rsidRPr="00000000" w14:paraId="00000124">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 </w:t>
      </w:r>
      <w:r w:rsidDel="00000000" w:rsidR="00000000" w:rsidRPr="00000000">
        <w:rPr>
          <w:rFonts w:ascii="Palatino Linotype" w:cs="Palatino Linotype" w:eastAsia="Palatino Linotype" w:hAnsi="Palatino Linotype"/>
          <w:i w:val="1"/>
          <w:rtl w:val="0"/>
        </w:rPr>
        <w:t xml:space="preserve">Año en el que expira su vigencia, y </w:t>
      </w:r>
    </w:p>
    <w:p w:rsidR="00000000" w:rsidDel="00000000" w:rsidP="00000000" w:rsidRDefault="00000000" w:rsidRPr="00000000" w14:paraId="00000125">
      <w:pPr>
        <w:spacing w:after="120" w:before="12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 </w:t>
      </w:r>
      <w:r w:rsidDel="00000000" w:rsidR="00000000" w:rsidRPr="00000000">
        <w:rPr>
          <w:rFonts w:ascii="Palatino Linotype" w:cs="Palatino Linotype" w:eastAsia="Palatino Linotype" w:hAnsi="Palatino Linotype"/>
          <w:i w:val="1"/>
          <w:rtl w:val="0"/>
        </w:rPr>
        <w:t xml:space="preserve">En el caso de la que se expida al ciudadano residente en el extranjero, la leyenda “Para Votar desde el Extranjero”.</w:t>
      </w:r>
    </w:p>
    <w:p w:rsidR="00000000" w:rsidDel="00000000" w:rsidP="00000000" w:rsidRDefault="00000000" w:rsidRPr="00000000" w14:paraId="000001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000000" w:rsidDel="00000000" w:rsidP="00000000" w:rsidRDefault="00000000" w:rsidRPr="00000000" w14:paraId="000001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000000" w:rsidDel="00000000" w:rsidP="00000000" w:rsidRDefault="00000000" w:rsidRPr="00000000" w14:paraId="000001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rsidR="00000000" w:rsidDel="00000000" w:rsidP="00000000" w:rsidRDefault="00000000" w:rsidRPr="00000000" w14:paraId="00000129">
      <w:pPr>
        <w:widowControl w:val="0"/>
        <w:numPr>
          <w:ilvl w:val="0"/>
          <w:numId w:val="1"/>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Certificado de no deudor alimentario moroso. </w:t>
      </w:r>
    </w:p>
    <w:p w:rsidR="00000000" w:rsidDel="00000000" w:rsidP="00000000" w:rsidRDefault="00000000" w:rsidRPr="00000000" w14:paraId="000001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en el Proyecto de Decreto por el que se Reforman y Adicionan Diversas Disposiciones para crear el Registro de Deudores Alimentarios del Estado de México, disponible en la dirección electrónica </w:t>
      </w:r>
      <w:hyperlink r:id="rId21">
        <w:r w:rsidDel="00000000" w:rsidR="00000000" w:rsidRPr="00000000">
          <w:rPr>
            <w:rFonts w:ascii="Palatino Linotype" w:cs="Palatino Linotype" w:eastAsia="Palatino Linotype" w:hAnsi="Palatino Linotype"/>
            <w:color w:val="000000"/>
            <w:u w:val="single"/>
            <w:rtl w:val="0"/>
          </w:rPr>
          <w:t xml:space="preserve">https://www.ipomex.org.mx/recursos/ipo/files_ipo/2014/8/11/630bc7787b59af912a96a9e1bca1c770.pdf#:~:text=La%20inscripci%C3%B3n%20con%20el%20car%C3%A1cter,del%20Estado%20de%20M%C3%A9xico%20e</w:t>
        </w:r>
      </w:hyperlink>
      <w:r w:rsidDel="00000000" w:rsidR="00000000" w:rsidRPr="00000000">
        <w:rPr>
          <w:rFonts w:ascii="Palatino Linotype" w:cs="Palatino Linotype" w:eastAsia="Palatino Linotype" w:hAnsi="Palatino Linotype"/>
          <w:rtl w:val="0"/>
        </w:rPr>
        <w:t xml:space="preserve">, pueden advertirse los objetivos de crear dicho registro: </w:t>
      </w:r>
    </w:p>
    <w:p w:rsidR="00000000" w:rsidDel="00000000" w:rsidP="00000000" w:rsidRDefault="00000000" w:rsidRPr="00000000" w14:paraId="000001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interés superior del menor debe prevalecer en cualquier controversia de derecho familiar, situación que obliga a las autoridades a establecer las medidas necesarias para asegurar el cumplimiento del pago de la pensión alimenticia decretada a su favor.</w:t>
      </w:r>
    </w:p>
    <w:p w:rsidR="00000000" w:rsidDel="00000000" w:rsidP="00000000" w:rsidRDefault="00000000" w:rsidRPr="00000000" w14:paraId="000001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acuerdo a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rsidR="00000000" w:rsidDel="00000000" w:rsidP="00000000" w:rsidRDefault="00000000" w:rsidRPr="00000000" w14:paraId="000001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nuestra Entidad, las demandas de alimentos son presentadas en su gran mayoría por mujeres madres de familia que demandan, por su propio derecho y/o en representación de sus menores hijos, de su cónyuge, concubino o ex pareja el cumplimiento de esta obligación. Esto debido a que en ocasiones los obligados a proporcionar alimentos eluden su responsabilidad, con la errónea idea de que será en perjuicio de su pareja o ex pareja, sin entender que son los menores hijos los que resultan más afectados. Así que, al acudir al sistema de justicia se pretende que la pensión alimenticia correspondiente quede fijada definitivamente y se garantice el cumplimiento de la obligación alimentaria.</w:t>
      </w:r>
    </w:p>
    <w:p w:rsidR="00000000" w:rsidDel="00000000" w:rsidP="00000000" w:rsidRDefault="00000000" w:rsidRPr="00000000" w14:paraId="0000012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alimentos tienen carácter preferente a favor de los hijos, sin que pueda eximirse el deudor alimentario de su cumplimiento cuando esté en posibilidades de hacerlo. En el Estado de México,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rsidR="00000000" w:rsidDel="00000000" w:rsidP="00000000" w:rsidRDefault="00000000" w:rsidRPr="00000000" w14:paraId="0000012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Del="00000000" w:rsidR="00000000" w:rsidRPr="00000000">
        <w:rPr>
          <w:rFonts w:ascii="Palatino Linotype" w:cs="Palatino Linotype" w:eastAsia="Palatino Linotype" w:hAnsi="Palatino Linotype"/>
          <w:b w:val="1"/>
          <w:i w:val="1"/>
          <w:sz w:val="22"/>
          <w:szCs w:val="22"/>
          <w:rtl w:val="0"/>
        </w:rPr>
        <w:t xml:space="preserve">con la finalidad de asegurar el cumplimiento de las obligaciones alimentarias que tienen los padres para con sus menores hijos.</w:t>
      </w:r>
      <w:r w:rsidDel="00000000" w:rsidR="00000000" w:rsidRPr="00000000">
        <w:rPr>
          <w:rtl w:val="0"/>
        </w:rPr>
      </w:r>
    </w:p>
    <w:p w:rsidR="00000000" w:rsidDel="00000000" w:rsidP="00000000" w:rsidRDefault="00000000" w:rsidRPr="00000000" w14:paraId="00000130">
      <w:pPr>
        <w:ind w:left="851" w:right="902"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los certificados de no deudor alimentario moroso este documento debe ser entregado en versión pública, protegiendo los datos contenidos en los mismos que actualicen la hipotesis prevista en el artícuo 143 de la Ley de Transparencia y Acceso a la Información Pública del Estado de México y Municipios. </w:t>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tabs>
          <w:tab w:val="left" w:leader="none" w:pos="4962"/>
        </w:tabs>
        <w:spacing w:after="240" w:before="240" w:line="360" w:lineRule="auto"/>
        <w:ind w:left="720" w:right="-28"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Cédula de Identificación Fiscal. </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000000" w:rsidDel="00000000" w:rsidP="00000000" w:rsidRDefault="00000000" w:rsidRPr="00000000" w14:paraId="000001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000000" w:rsidDel="00000000" w:rsidP="00000000" w:rsidRDefault="00000000" w:rsidRPr="00000000" w14:paraId="00000135">
      <w:pPr>
        <w:tabs>
          <w:tab w:val="left" w:leader="none" w:pos="4962"/>
        </w:tabs>
        <w:spacing w:after="240" w:before="24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conforme a la página oficial del Servicio de Administración Tributaria, en el apartado Obtén tu cédula de identificación fiscal (consultado el trece de mayo a las catorce horas en la liga </w:t>
      </w:r>
      <w:hyperlink r:id="rId22">
        <w:r w:rsidDel="00000000" w:rsidR="00000000" w:rsidRPr="00000000">
          <w:rPr>
            <w:rFonts w:ascii="Palatino Linotype" w:cs="Palatino Linotype" w:eastAsia="Palatino Linotype" w:hAnsi="Palatino Linotype"/>
            <w:color w:val="000000"/>
            <w:u w:val="single"/>
            <w:rtl w:val="0"/>
          </w:rPr>
          <w:t xml:space="preserve">https://www.sat.gob.mx/aplicacion/28889/obten-tu-cedula-de-identificacion-fiscal</w:t>
        </w:r>
      </w:hyperlink>
      <w:r w:rsidDel="00000000" w:rsidR="00000000" w:rsidRPr="00000000">
        <w:rPr>
          <w:rFonts w:ascii="Palatino Linotype" w:cs="Palatino Linotype" w:eastAsia="Palatino Linotype" w:hAnsi="Palatino Linotype"/>
          <w:rtl w:val="0"/>
        </w:rPr>
        <w:t xml:space="preserve">),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rsidR="00000000" w:rsidDel="00000000" w:rsidP="00000000" w:rsidRDefault="00000000" w:rsidRPr="00000000" w14:paraId="0000013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00000" w:rsidDel="00000000" w:rsidP="00000000" w:rsidRDefault="00000000" w:rsidRPr="00000000" w14:paraId="000001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000000" w:rsidDel="00000000" w:rsidP="00000000" w:rsidRDefault="00000000" w:rsidRPr="00000000" w14:paraId="000001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resulta congruente con el Criterio 19/17 emitido por el Instituto Nacional de Transparencia, Acceso a la Información y Protección de Datos Personales, en el cual se señala lo siguiente:</w:t>
      </w:r>
    </w:p>
    <w:p w:rsidR="00000000" w:rsidDel="00000000" w:rsidP="00000000" w:rsidRDefault="00000000" w:rsidRPr="00000000" w14:paraId="00000139">
      <w:pPr>
        <w:widowControl w:val="0"/>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w:t>
      </w:r>
      <w:r w:rsidDel="00000000" w:rsidR="00000000" w:rsidRPr="00000000">
        <w:rPr>
          <w:rFonts w:ascii="Palatino Linotype" w:cs="Palatino Linotype" w:eastAsia="Palatino Linotype" w:hAnsi="Palatino Linotype"/>
          <w:i w:val="1"/>
          <w:sz w:val="22"/>
          <w:szCs w:val="22"/>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r w:rsidDel="00000000" w:rsidR="00000000" w:rsidRPr="00000000">
        <w:rPr>
          <w:rtl w:val="0"/>
        </w:rPr>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rsidR="00000000" w:rsidDel="00000000" w:rsidP="00000000" w:rsidRDefault="00000000" w:rsidRPr="00000000" w14:paraId="0000013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3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13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4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4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4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4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14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4A">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4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5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número de sesión y fecha; </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del área que solicitó la clasificación de información; </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fundamentación legal y motivación correspondiente; </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resolución o resoluciones aprobadas; y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rúbrica o firma digital de cada integrante del Comité de Transparencia.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Los motivos y razonamientos que sustenten la confirmación o modificación de la prueba de daño;</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El periodo por el que mantendrá su clasificación y fecha de expiración; y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nombre del titular y área encargada de realizar la versión pública del documento, en su caso.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5E">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5F">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16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161">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62">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163">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cuarto, Quincuagésimo quinto, Quincuagésimo sexto, Quincuagésimo séptimo y Quincuagésimo octavo, establecen lo siguiente:</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20" w:before="12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6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67">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6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6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6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6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b w:val="1"/>
        </w:rPr>
      </w:pPr>
      <w:bookmarkStart w:colFirst="0" w:colLast="0" w:name="_heading=h.17dp8vu" w:id="11"/>
      <w:bookmarkEnd w:id="11"/>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00044/INFOEM/IP/RR/2024,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7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en todas las modalidades que permita la documentación, tales como, disco compacto, dispositivo de almacenamiento, consulta directa, copias simples o certificadas, con posibilidad de entrega en la Unidad de Transparencia o a domicilio por correo certificado, previo pago de los derechos correspondientes, de ser procedente en versión pública, lo siguiente:</w:t>
      </w:r>
    </w:p>
    <w:p w:rsidR="00000000" w:rsidDel="00000000" w:rsidP="00000000" w:rsidRDefault="00000000" w:rsidRPr="00000000" w14:paraId="00000173">
      <w:pPr>
        <w:spacing w:after="240" w:before="240" w:line="360"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Expedientes de personal de los servidores públicos que ingresaron o fueron dados de alta del uno de enero al treinta de noviembre de dos mil veintitrés, por cualquier modalidad de contratación.</w:t>
      </w:r>
    </w:p>
    <w:p w:rsidR="00000000" w:rsidDel="00000000" w:rsidP="00000000" w:rsidRDefault="00000000" w:rsidRPr="00000000" w14:paraId="00000174">
      <w:pPr>
        <w:spacing w:after="120" w:before="120" w:lineRule="auto"/>
        <w:ind w:left="425" w:right="4"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 Además, deberá señalarle que en caso de que la parte </w:t>
      </w:r>
      <w:r w:rsidDel="00000000" w:rsidR="00000000" w:rsidRPr="00000000">
        <w:rPr>
          <w:rFonts w:ascii="Palatino Linotype" w:cs="Palatino Linotype" w:eastAsia="Palatino Linotype" w:hAnsi="Palatino Linotype"/>
          <w:b w:val="1"/>
          <w:i w:val="1"/>
          <w:sz w:val="18"/>
          <w:szCs w:val="18"/>
          <w:rtl w:val="0"/>
        </w:rPr>
        <w:t xml:space="preserve">Recurrente</w:t>
      </w:r>
      <w:r w:rsidDel="00000000" w:rsidR="00000000" w:rsidRPr="00000000">
        <w:rPr>
          <w:rFonts w:ascii="Palatino Linotype" w:cs="Palatino Linotype" w:eastAsia="Palatino Linotype" w:hAnsi="Palatino Linotype"/>
          <w:i w:val="1"/>
          <w:sz w:val="18"/>
          <w:szCs w:val="18"/>
          <w:rtl w:val="0"/>
        </w:rPr>
        <w:t xml:space="preserve"> proporcione el dispositivo electrónico y acuda por la información a la Unidad de Transparencia, la entrega de la información, será sin costo.</w:t>
      </w:r>
    </w:p>
    <w:p w:rsidR="00000000" w:rsidDel="00000000" w:rsidP="00000000" w:rsidRDefault="00000000" w:rsidRPr="00000000" w14:paraId="00000175">
      <w:pPr>
        <w:spacing w:after="120" w:before="120" w:lineRule="auto"/>
        <w:ind w:left="425"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documentos clasificados en su totalidad como confidenciales, y  se ponga a disposición de la parte </w:t>
      </w:r>
      <w:r w:rsidDel="00000000" w:rsidR="00000000" w:rsidRPr="00000000">
        <w:rPr>
          <w:rFonts w:ascii="Palatino Linotype" w:cs="Palatino Linotype" w:eastAsia="Palatino Linotype" w:hAnsi="Palatino Linotype"/>
          <w:b w:val="1"/>
          <w:i w:val="1"/>
          <w:sz w:val="18"/>
          <w:szCs w:val="18"/>
          <w:rtl w:val="0"/>
        </w:rPr>
        <w:t xml:space="preserve">Recurrente</w:t>
      </w:r>
      <w:r w:rsidDel="00000000" w:rsidR="00000000" w:rsidRPr="00000000">
        <w:rPr>
          <w:rFonts w:ascii="Palatino Linotype" w:cs="Palatino Linotype" w:eastAsia="Palatino Linotype" w:hAnsi="Palatino Linotype"/>
          <w:i w:val="1"/>
          <w:sz w:val="18"/>
          <w:szCs w:val="18"/>
          <w:rtl w:val="0"/>
        </w:rPr>
        <w:t xml:space="preserve">, en términos de los artículos 49, fracción VIII,  de la Ley de Transparencia y Acceso a la Información Pública del Estado de México y Municipios.</w:t>
      </w:r>
    </w:p>
    <w:p w:rsidR="00000000" w:rsidDel="00000000" w:rsidP="00000000" w:rsidRDefault="00000000" w:rsidRPr="00000000" w14:paraId="00000176">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7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7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AUSENCIA JUSTIFICADA); Y GUADALUPE RAMÍREZ PEÑA, EN LA VIGÉSIMA TERCERA SESIÓN ORDINARIA CELEBRADA EL VEINTISÉIS DE JUNIO DOS MIL VEINTICUATRO, ANTE EL SECRETARIO TÉCNICO DEL PLENO ALEXIS TAPIA RAMÍREZ.</w:t>
      </w:r>
    </w:p>
    <w:p w:rsidR="00000000" w:rsidDel="00000000" w:rsidP="00000000" w:rsidRDefault="00000000" w:rsidRPr="00000000" w14:paraId="0000017A">
      <w:pPr>
        <w:spacing w:line="360" w:lineRule="auto"/>
        <w:jc w:val="both"/>
        <w:rPr>
          <w:rFonts w:ascii="Palatino Linotype" w:cs="Palatino Linotype" w:eastAsia="Palatino Linotype" w:hAnsi="Palatino Linotype"/>
        </w:rPr>
      </w:pPr>
      <w:bookmarkStart w:colFirst="0" w:colLast="0" w:name="_heading=h.1fob9te" w:id="12"/>
      <w:bookmarkEnd w:id="12"/>
      <w:r w:rsidDel="00000000" w:rsidR="00000000" w:rsidRPr="00000000">
        <w:rPr>
          <w:rtl w:val="0"/>
        </w:rPr>
      </w:r>
    </w:p>
    <w:p w:rsidR="00000000" w:rsidDel="00000000" w:rsidP="00000000" w:rsidRDefault="00000000" w:rsidRPr="00000000" w14:paraId="0000017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line="360" w:lineRule="auto"/>
        <w:jc w:val="both"/>
        <w:rPr>
          <w:rFonts w:ascii="Palatino Linotype" w:cs="Palatino Linotype" w:eastAsia="Palatino Linotype" w:hAnsi="Palatino Linotype"/>
        </w:rPr>
      </w:pPr>
      <w:bookmarkStart w:colFirst="0" w:colLast="0" w:name="_heading=h.3rdcrjn" w:id="13"/>
      <w:bookmarkEnd w:id="13"/>
      <w:r w:rsidDel="00000000" w:rsidR="00000000" w:rsidRPr="00000000">
        <w:rPr>
          <w:rtl w:val="0"/>
        </w:rPr>
      </w:r>
    </w:p>
    <w:p w:rsidR="00000000" w:rsidDel="00000000" w:rsidP="00000000" w:rsidRDefault="00000000" w:rsidRPr="00000000" w14:paraId="000001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line="360" w:lineRule="auto"/>
        <w:jc w:val="both"/>
        <w:rPr>
          <w:rFonts w:ascii="Palatino Linotype" w:cs="Palatino Linotype" w:eastAsia="Palatino Linotype" w:hAnsi="Palatino Linotype"/>
        </w:rPr>
      </w:pPr>
      <w:bookmarkStart w:colFirst="0" w:colLast="0" w:name="_heading=h.1t3h5sf" w:id="14"/>
      <w:bookmarkEnd w:id="14"/>
      <w:r w:rsidDel="00000000" w:rsidR="00000000" w:rsidRPr="00000000">
        <w:rPr>
          <w:rtl w:val="0"/>
        </w:rPr>
      </w:r>
    </w:p>
    <w:p w:rsidR="00000000" w:rsidDel="00000000" w:rsidP="00000000" w:rsidRDefault="00000000" w:rsidRPr="00000000" w14:paraId="000001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rPr>
      </w:pPr>
      <w:bookmarkStart w:colFirst="0" w:colLast="0" w:name="_heading=h.35nkun2" w:id="15"/>
      <w:bookmarkEnd w:id="15"/>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2">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-1080104</wp:posOffset>
          </wp:positionH>
          <wp:positionV relativeFrom="paragraph">
            <wp:posOffset>-488278</wp:posOffset>
          </wp:positionV>
          <wp:extent cx="7809865" cy="10165715"/>
          <wp:effectExtent b="0" l="0" r="0" t="0"/>
          <wp:wrapNone/>
          <wp:docPr id="164391919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9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9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00044/INFOEM/IP/RR/2024</w:t>
          </w:r>
        </w:p>
      </w:tc>
    </w:tr>
    <w:tr>
      <w:trPr>
        <w:cantSplit w:val="0"/>
        <w:trHeight w:val="228" w:hRule="atLeast"/>
        <w:tblHeader w:val="0"/>
      </w:trPr>
      <w:tc>
        <w:tcPr>
          <w:shd w:fill="auto" w:val="clear"/>
          <w:vAlign w:val="center"/>
        </w:tcPr>
        <w:p w:rsidR="00000000" w:rsidDel="00000000" w:rsidP="00000000" w:rsidRDefault="00000000" w:rsidRPr="00000000" w14:paraId="0000019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96">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las Mujeres</w:t>
          </w:r>
        </w:p>
      </w:tc>
    </w:tr>
    <w:tr>
      <w:trPr>
        <w:cantSplit w:val="0"/>
        <w:tblHeader w:val="0"/>
      </w:trPr>
      <w:tc>
        <w:tcPr>
          <w:shd w:fill="auto" w:val="clear"/>
          <w:vAlign w:val="center"/>
        </w:tcPr>
        <w:p w:rsidR="00000000" w:rsidDel="00000000" w:rsidP="00000000" w:rsidRDefault="00000000" w:rsidRPr="00000000" w14:paraId="00000197">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98">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9">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-369908</wp:posOffset>
          </wp:positionV>
          <wp:extent cx="7809865" cy="10165715"/>
          <wp:effectExtent b="0" l="0" r="0" t="0"/>
          <wp:wrapNone/>
          <wp:docPr id="164391920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9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9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00044/INFOEM/IP/RR/2024</w:t>
          </w:r>
        </w:p>
      </w:tc>
    </w:tr>
    <w:tr>
      <w:trPr>
        <w:cantSplit w:val="0"/>
        <w:tblHeader w:val="0"/>
      </w:trPr>
      <w:tc>
        <w:tcPr>
          <w:shd w:fill="auto" w:val="clear"/>
        </w:tcPr>
        <w:p w:rsidR="00000000" w:rsidDel="00000000" w:rsidP="00000000" w:rsidRDefault="00000000" w:rsidRPr="00000000" w14:paraId="0000019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9E">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 XXXX</w:t>
          </w:r>
        </w:p>
      </w:tc>
    </w:tr>
    <w:tr>
      <w:trPr>
        <w:cantSplit w:val="0"/>
        <w:trHeight w:val="228" w:hRule="atLeast"/>
        <w:tblHeader w:val="0"/>
      </w:trPr>
      <w:tc>
        <w:tcPr>
          <w:shd w:fill="auto" w:val="clear"/>
          <w:vAlign w:val="center"/>
        </w:tcPr>
        <w:p w:rsidR="00000000" w:rsidDel="00000000" w:rsidP="00000000" w:rsidRDefault="00000000" w:rsidRPr="00000000" w14:paraId="0000019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A0">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de las Mujeres</w:t>
          </w:r>
        </w:p>
      </w:tc>
    </w:tr>
    <w:tr>
      <w:trPr>
        <w:cantSplit w:val="0"/>
        <w:tblHeader w:val="0"/>
      </w:trPr>
      <w:tc>
        <w:tcPr>
          <w:shd w:fill="auto" w:val="clear"/>
          <w:vAlign w:val="center"/>
        </w:tcPr>
        <w:p w:rsidR="00000000" w:rsidDel="00000000" w:rsidP="00000000" w:rsidRDefault="00000000" w:rsidRPr="00000000" w14:paraId="000001A1">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A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top w:w="0.0" w:type="dxa"/>
        <w:left w:w="115.0" w:type="dxa"/>
        <w:bottom w:w="0.0" w:type="dxa"/>
        <w:right w:w="115.0" w:type="dxa"/>
      </w:tblCellMar>
    </w:tblPr>
  </w:style>
  <w:style w:type="table" w:styleId="a0" w:customStyle="1">
    <w:basedOn w:val="TableNormal4"/>
    <w:tblPr>
      <w:tblStyleRowBandSize w:val="1"/>
      <w:tblStyleColBandSize w:val="1"/>
      <w:tblCellMar>
        <w:top w:w="0.0" w:type="dxa"/>
        <w:left w:w="115.0" w:type="dxa"/>
        <w:bottom w:w="0.0" w:type="dxa"/>
        <w:right w:w="115.0" w:type="dxa"/>
      </w:tblCellMar>
    </w:tblPr>
  </w:style>
  <w:style w:type="paragraph" w:styleId="Encabezado">
    <w:name w:val="header"/>
    <w:basedOn w:val="Normal"/>
    <w:link w:val="EncabezadoCar"/>
    <w:uiPriority w:val="99"/>
    <w:unhideWhenUsed w:val="1"/>
    <w:rsid w:val="000D197B"/>
    <w:pPr>
      <w:tabs>
        <w:tab w:val="center" w:pos="4419"/>
        <w:tab w:val="right" w:pos="8838"/>
      </w:tabs>
    </w:pPr>
  </w:style>
  <w:style w:type="character" w:styleId="EncabezadoCar" w:customStyle="1">
    <w:name w:val="Encabezado Car"/>
    <w:basedOn w:val="Fuentedeprrafopredeter"/>
    <w:link w:val="Encabezado"/>
    <w:uiPriority w:val="99"/>
    <w:rsid w:val="000D197B"/>
  </w:style>
  <w:style w:type="paragraph" w:styleId="Piedepgina">
    <w:name w:val="footer"/>
    <w:basedOn w:val="Normal"/>
    <w:link w:val="PiedepginaCar"/>
    <w:uiPriority w:val="99"/>
    <w:unhideWhenUsed w:val="1"/>
    <w:rsid w:val="000D197B"/>
    <w:pPr>
      <w:tabs>
        <w:tab w:val="center" w:pos="4419"/>
        <w:tab w:val="right" w:pos="8838"/>
      </w:tabs>
    </w:pPr>
  </w:style>
  <w:style w:type="character" w:styleId="PiedepginaCar" w:customStyle="1">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43334"/>
    <w:pPr>
      <w:ind w:left="720"/>
      <w:contextualSpacing w:val="1"/>
    </w:pPr>
  </w:style>
  <w:style w:type="paragraph" w:styleId="NormalWeb">
    <w:name w:val="Normal (Web)"/>
    <w:basedOn w:val="Normal"/>
    <w:uiPriority w:val="99"/>
    <w:unhideWhenUsed w:val="1"/>
    <w:rsid w:val="00476335"/>
    <w:pPr>
      <w:spacing w:after="100" w:afterAutospacing="1" w:before="100" w:before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806B5C"/>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806B5C"/>
    <w:rPr>
      <w:vertAlign w:val="superscript"/>
    </w:rPr>
  </w:style>
  <w:style w:type="table" w:styleId="a1" w:customStyle="1">
    <w:basedOn w:val="TableNormal4"/>
    <w:tblPr>
      <w:tblStyleRowBandSize w:val="1"/>
      <w:tblStyleColBandSize w:val="1"/>
      <w:tblCellMar>
        <w:top w:w="0.0" w:type="dxa"/>
        <w:left w:w="115.0" w:type="dxa"/>
        <w:bottom w:w="0.0" w:type="dxa"/>
        <w:right w:w="115.0" w:type="dxa"/>
      </w:tblCellMar>
    </w:tblPr>
  </w:style>
  <w:style w:type="table" w:styleId="a2" w:customStyle="1">
    <w:basedOn w:val="TableNormal4"/>
    <w:tblPr>
      <w:tblStyleRowBandSize w:val="1"/>
      <w:tblStyleColBandSize w:val="1"/>
      <w:tblCellMar>
        <w:top w:w="0.0" w:type="dxa"/>
        <w:left w:w="115.0" w:type="dxa"/>
        <w:bottom w:w="0.0" w:type="dxa"/>
        <w:right w:w="115.0" w:type="dxa"/>
      </w:tblCellMar>
    </w:tblPr>
  </w:style>
  <w:style w:type="character" w:styleId="Hipervnculo">
    <w:name w:val="Hyperlink"/>
    <w:basedOn w:val="Fuentedeprrafopredeter"/>
    <w:uiPriority w:val="99"/>
    <w:unhideWhenUsed w:val="1"/>
    <w:rsid w:val="00504D6C"/>
    <w:rPr>
      <w:color w:val="0000ff" w:themeColor="hyperlink"/>
      <w:u w:val="single"/>
    </w:rPr>
  </w:style>
  <w:style w:type="character" w:styleId="Hipervnculovisitado">
    <w:name w:val="FollowedHyperlink"/>
    <w:basedOn w:val="Fuentedeprrafopredeter"/>
    <w:uiPriority w:val="99"/>
    <w:semiHidden w:val="1"/>
    <w:unhideWhenUsed w:val="1"/>
    <w:rsid w:val="00504D6C"/>
    <w:rPr>
      <w:color w:val="800080" w:themeColor="followedHyperlink"/>
      <w:u w:val="single"/>
    </w:rPr>
  </w:style>
  <w:style w:type="table" w:styleId="Tablaconcuadrcula">
    <w:name w:val="Table Grid"/>
    <w:basedOn w:val="Tablanormal"/>
    <w:uiPriority w:val="39"/>
    <w:rsid w:val="00134ADF"/>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3" w:customStyle="1">
    <w:basedOn w:val="TableNormal3"/>
    <w:tblPr>
      <w:tblStyleRowBandSize w:val="1"/>
      <w:tblStyleColBandSize w:val="1"/>
      <w:tblCellMar>
        <w:top w:w="0.0" w:type="dxa"/>
        <w:left w:w="115.0" w:type="dxa"/>
        <w:bottom w:w="0.0" w:type="dxa"/>
        <w:right w:w="115.0" w:type="dxa"/>
      </w:tblCellMar>
    </w:tblPr>
  </w:style>
  <w:style w:type="table" w:styleId="a4" w:customStyle="1">
    <w:basedOn w:val="TableNormal3"/>
    <w:tblPr>
      <w:tblStyleRowBandSize w:val="1"/>
      <w:tblStyleColBandSize w:val="1"/>
      <w:tblCellMar>
        <w:top w:w="0.0" w:type="dxa"/>
        <w:left w:w="115.0" w:type="dxa"/>
        <w:bottom w:w="0.0" w:type="dxa"/>
        <w:right w:w="115.0" w:type="dxa"/>
      </w:tblCellMar>
    </w:tblPr>
  </w:style>
  <w:style w:type="paragraph" w:styleId="Listaconvietas3">
    <w:name w:val="List Bullet 3"/>
    <w:basedOn w:val="Normal"/>
    <w:uiPriority w:val="99"/>
    <w:unhideWhenUsed w:val="1"/>
    <w:rsid w:val="005E017B"/>
    <w:pPr>
      <w:numPr>
        <w:numId w:val="2"/>
      </w:numPr>
      <w:contextualSpacing w:val="1"/>
    </w:pPr>
  </w:style>
  <w:style w:type="character" w:styleId="yt-core-attributed-string--link-inherit-color" w:customStyle="1">
    <w:name w:val="yt-core-attributed-string--link-inherit-color"/>
    <w:basedOn w:val="Fuentedeprrafopredeter"/>
    <w:rsid w:val="00EA0BEF"/>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val="1"/>
    <w:locked w:val="1"/>
    <w:rsid w:val="00452086"/>
  </w:style>
  <w:style w:type="character" w:styleId="Mencinsinresolver1" w:customStyle="1">
    <w:name w:val="Mención sin resolver1"/>
    <w:basedOn w:val="Fuentedeprrafopredeter"/>
    <w:uiPriority w:val="99"/>
    <w:semiHidden w:val="1"/>
    <w:unhideWhenUsed w:val="1"/>
    <w:rsid w:val="00C64B15"/>
    <w:rPr>
      <w:color w:val="605e5c"/>
      <w:shd w:color="auto" w:fill="e1dfdd" w:val="clear"/>
    </w:rPr>
  </w:style>
  <w:style w:type="paragraph" w:styleId="Default" w:customStyle="1">
    <w:name w:val="Default"/>
    <w:rsid w:val="00B92077"/>
    <w:pPr>
      <w:autoSpaceDE w:val="0"/>
      <w:autoSpaceDN w:val="0"/>
      <w:adjustRightInd w:val="0"/>
    </w:pPr>
    <w:rPr>
      <w:rFonts w:ascii="Arial" w:cs="Arial" w:hAnsi="Arial"/>
      <w:color w:val="000000"/>
    </w:rPr>
  </w:style>
  <w:style w:type="paragraph" w:styleId="Sinespaciado">
    <w:name w:val="No Spacing"/>
    <w:aliases w:val="Francesa"/>
    <w:link w:val="SinespaciadoCar"/>
    <w:uiPriority w:val="1"/>
    <w:qFormat w:val="1"/>
    <w:rsid w:val="00CB152B"/>
    <w:rPr>
      <w:rFonts w:asciiTheme="minorHAnsi" w:cstheme="minorBidi" w:eastAsiaTheme="minorHAnsi" w:hAnsiTheme="minorHAnsi"/>
      <w:sz w:val="22"/>
      <w:szCs w:val="22"/>
      <w:lang w:eastAsia="en-US"/>
    </w:rPr>
  </w:style>
  <w:style w:type="character" w:styleId="SinespaciadoCar" w:customStyle="1">
    <w:name w:val="Sin espaciado Car"/>
    <w:aliases w:val="Francesa Car"/>
    <w:link w:val="Sinespaciado"/>
    <w:uiPriority w:val="1"/>
    <w:locked w:val="1"/>
    <w:rsid w:val="00CB152B"/>
    <w:rPr>
      <w:rFonts w:asciiTheme="minorHAnsi" w:cstheme="minorBidi" w:eastAsiaTheme="minorHAnsi" w:hAnsiTheme="minorHAnsi"/>
      <w:sz w:val="22"/>
      <w:szCs w:val="22"/>
      <w:lang w:eastAsia="en-US"/>
    </w:rPr>
  </w:style>
  <w:style w:type="paragraph" w:styleId="Citas" w:customStyle="1">
    <w:name w:val="Citas"/>
    <w:basedOn w:val="Normal"/>
    <w:qFormat w:val="1"/>
    <w:rsid w:val="006A4CB6"/>
    <w:pPr>
      <w:spacing w:after="160" w:before="240" w:line="360" w:lineRule="auto"/>
      <w:ind w:left="851" w:right="851"/>
      <w:jc w:val="both"/>
    </w:pPr>
    <w:rPr>
      <w:rFonts w:ascii="Palatino Linotype" w:cs="Arial" w:hAnsi="Palatino Linotype" w:eastAsiaTheme="minorHAnsi"/>
      <w:i w:val="1"/>
      <w:sz w:val="22"/>
      <w:szCs w:val="22"/>
      <w:lang w:eastAsia="en-US"/>
    </w:rPr>
  </w:style>
  <w:style w:type="table" w:styleId="a5" w:customStyle="1">
    <w:basedOn w:val="TableNormal2"/>
    <w:tblPr>
      <w:tblStyleRowBandSize w:val="1"/>
      <w:tblStyleColBandSize w:val="1"/>
      <w:tblCellMar>
        <w:top w:w="0.0" w:type="dxa"/>
        <w:left w:w="115.0" w:type="dxa"/>
        <w:bottom w:w="0.0" w:type="dxa"/>
        <w:right w:w="115.0" w:type="dxa"/>
      </w:tblCellMar>
    </w:tblPr>
  </w:style>
  <w:style w:type="table" w:styleId="a6" w:customStyle="1">
    <w:basedOn w:val="TableNormal2"/>
    <w:tblPr>
      <w:tblStyleRowBandSize w:val="1"/>
      <w:tblStyleColBandSize w:val="1"/>
      <w:tblCellMar>
        <w:top w:w="0.0" w:type="dxa"/>
        <w:left w:w="115.0" w:type="dxa"/>
        <w:bottom w:w="0.0" w:type="dxa"/>
        <w:right w:w="115.0" w:type="dxa"/>
      </w:tblCellMar>
    </w:tblPr>
  </w:style>
  <w:style w:type="table" w:styleId="a7" w:customStyle="1">
    <w:basedOn w:val="TableNormal1"/>
    <w:tblPr>
      <w:tblStyleRowBandSize w:val="1"/>
      <w:tblStyleColBandSize w:val="1"/>
      <w:tblCellMar>
        <w:top w:w="0.0" w:type="dxa"/>
        <w:left w:w="115.0" w:type="dxa"/>
        <w:bottom w:w="0.0" w:type="dxa"/>
        <w:right w:w="115.0" w:type="dxa"/>
      </w:tblCellMar>
    </w:tblPr>
  </w:style>
  <w:style w:type="table" w:styleId="a8" w:customStyle="1">
    <w:basedOn w:val="TableNormal1"/>
    <w:tblPr>
      <w:tblStyleRowBandSize w:val="1"/>
      <w:tblStyleColBandSize w:val="1"/>
      <w:tblCellMar>
        <w:top w:w="0.0" w:type="dxa"/>
        <w:left w:w="115.0" w:type="dxa"/>
        <w:bottom w:w="0.0" w:type="dxa"/>
        <w:right w:w="115.0" w:type="dxa"/>
      </w:tblCellMar>
    </w:tblPr>
  </w:style>
  <w:style w:type="paragraph" w:styleId="Lista">
    <w:name w:val="List"/>
    <w:basedOn w:val="Normal"/>
    <w:uiPriority w:val="99"/>
    <w:unhideWhenUsed w:val="1"/>
    <w:rsid w:val="00954C15"/>
    <w:pPr>
      <w:ind w:left="283" w:hanging="283"/>
      <w:contextualSpacing w:val="1"/>
    </w:pPr>
  </w:style>
  <w:style w:type="paragraph" w:styleId="Lista2">
    <w:name w:val="List 2"/>
    <w:basedOn w:val="Normal"/>
    <w:uiPriority w:val="99"/>
    <w:unhideWhenUsed w:val="1"/>
    <w:rsid w:val="00954C15"/>
    <w:pPr>
      <w:ind w:left="566" w:hanging="283"/>
      <w:contextualSpacing w:val="1"/>
    </w:pPr>
  </w:style>
  <w:style w:type="paragraph" w:styleId="Lista3">
    <w:name w:val="List 3"/>
    <w:basedOn w:val="Normal"/>
    <w:uiPriority w:val="99"/>
    <w:unhideWhenUsed w:val="1"/>
    <w:rsid w:val="00954C15"/>
    <w:pPr>
      <w:ind w:left="849" w:hanging="283"/>
      <w:contextualSpacing w:val="1"/>
    </w:pPr>
  </w:style>
  <w:style w:type="paragraph" w:styleId="Saludo">
    <w:name w:val="Salutation"/>
    <w:basedOn w:val="Normal"/>
    <w:next w:val="Normal"/>
    <w:link w:val="SaludoCar"/>
    <w:uiPriority w:val="99"/>
    <w:unhideWhenUsed w:val="1"/>
    <w:rsid w:val="00954C15"/>
  </w:style>
  <w:style w:type="character" w:styleId="SaludoCar" w:customStyle="1">
    <w:name w:val="Saludo Car"/>
    <w:basedOn w:val="Fuentedeprrafopredeter"/>
    <w:link w:val="Saludo"/>
    <w:uiPriority w:val="99"/>
    <w:rsid w:val="00954C15"/>
  </w:style>
  <w:style w:type="paragraph" w:styleId="Listaconvietas2">
    <w:name w:val="List Bullet 2"/>
    <w:basedOn w:val="Normal"/>
    <w:uiPriority w:val="99"/>
    <w:unhideWhenUsed w:val="1"/>
    <w:rsid w:val="00954C15"/>
    <w:pPr>
      <w:numPr>
        <w:numId w:val="4"/>
      </w:numPr>
      <w:contextualSpacing w:val="1"/>
    </w:pPr>
  </w:style>
  <w:style w:type="paragraph" w:styleId="Continuarlista">
    <w:name w:val="List Continue"/>
    <w:basedOn w:val="Normal"/>
    <w:uiPriority w:val="99"/>
    <w:unhideWhenUsed w:val="1"/>
    <w:rsid w:val="00954C15"/>
    <w:pPr>
      <w:spacing w:after="120"/>
      <w:ind w:left="283"/>
      <w:contextualSpacing w:val="1"/>
    </w:pPr>
  </w:style>
  <w:style w:type="paragraph" w:styleId="Continuarlista2">
    <w:name w:val="List Continue 2"/>
    <w:basedOn w:val="Normal"/>
    <w:uiPriority w:val="99"/>
    <w:unhideWhenUsed w:val="1"/>
    <w:rsid w:val="00954C15"/>
    <w:pPr>
      <w:spacing w:after="120"/>
      <w:ind w:left="566"/>
      <w:contextualSpacing w:val="1"/>
    </w:pPr>
  </w:style>
  <w:style w:type="paragraph" w:styleId="Textoindependiente">
    <w:name w:val="Body Text"/>
    <w:basedOn w:val="Normal"/>
    <w:link w:val="TextoindependienteCar"/>
    <w:uiPriority w:val="99"/>
    <w:unhideWhenUsed w:val="1"/>
    <w:rsid w:val="00954C15"/>
    <w:pPr>
      <w:spacing w:after="120"/>
    </w:pPr>
  </w:style>
  <w:style w:type="character" w:styleId="TextoindependienteCar" w:customStyle="1">
    <w:name w:val="Texto independiente Car"/>
    <w:basedOn w:val="Fuentedeprrafopredeter"/>
    <w:link w:val="Textoindependiente"/>
    <w:uiPriority w:val="99"/>
    <w:rsid w:val="00954C15"/>
  </w:style>
  <w:style w:type="paragraph" w:styleId="Sangradetextonormal">
    <w:name w:val="Body Text Indent"/>
    <w:basedOn w:val="Normal"/>
    <w:link w:val="SangradetextonormalCar"/>
    <w:uiPriority w:val="99"/>
    <w:unhideWhenUsed w:val="1"/>
    <w:rsid w:val="00954C15"/>
    <w:pPr>
      <w:spacing w:after="120"/>
      <w:ind w:left="283"/>
    </w:pPr>
  </w:style>
  <w:style w:type="character" w:styleId="SangradetextonormalCar" w:customStyle="1">
    <w:name w:val="Sangría de texto normal Car"/>
    <w:basedOn w:val="Fuentedeprrafopredeter"/>
    <w:link w:val="Sangradetextonormal"/>
    <w:uiPriority w:val="99"/>
    <w:rsid w:val="00954C15"/>
  </w:style>
  <w:style w:type="paragraph" w:styleId="Textoindependienteprimerasangra2">
    <w:name w:val="Body Text First Indent 2"/>
    <w:basedOn w:val="Sangradetextonormal"/>
    <w:link w:val="Textoindependienteprimerasangra2Car"/>
    <w:uiPriority w:val="99"/>
    <w:unhideWhenUsed w:val="1"/>
    <w:rsid w:val="00954C15"/>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954C15"/>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b.mx/segob/renapo/acciones-y-programas/clave-unica-de-registro-de-poblacion-curp-142226" TargetMode="External"/><Relationship Id="rId22" Type="http://schemas.openxmlformats.org/officeDocument/2006/relationships/hyperlink" Target="https://www.sat.gob.mx/aplicacion/28889/obten-tu-cedula-de-identificacion-fiscal" TargetMode="External"/><Relationship Id="rId21" Type="http://schemas.openxmlformats.org/officeDocument/2006/relationships/hyperlink" Target="https://www.ipomex.org.mx/recursos/ipo/files_ipo/2014/8/11/630bc7787b59af912a96a9e1bca1c770.pdf#:~:text=La%20inscripci%C3%B3n%20con%20el%20car%C3%A1cter,del%20Estado%20de%20M%C3%A9xico%20e"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7.png"/><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13.png"/><Relationship Id="rId12"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9.png"/><Relationship Id="rId16" Type="http://schemas.openxmlformats.org/officeDocument/2006/relationships/image" Target="media/image2.png"/><Relationship Id="rId19" Type="http://schemas.openxmlformats.org/officeDocument/2006/relationships/hyperlink" Target="https://consultas.curp.gob.mx/CurpSP/html/informacionecurpPS.html" TargetMode="External"/><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jVezUPwPPuRjWt5xpY+igmfMQ==">CgMxLjAyDmguYWFldGlkdjM0MWplMgloLjJldDkycDAyCWguNGQzNG9nODIIaC5namRneHMyCWguM2R5NnZrbTIJaC4zMGowemxsMgloLjJzOGV5bzEyCGgudHlqY3d0MgloLjN6bnlzaDcyCWguMjZpbjFyZzIIaC5sbnhiejkyCWguMTdkcDh2dTIJaC4xZm9iOXRlMgloLjNyZGNyam4yCWguMXQzaDVzZjIJaC4zNW5rdW4yOAByITE5YzJ6NmhHWkR3OTBNX2JiOEN2b1NJSmZNbEIzcjRC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2024-07-07T16:40:00Z</dcterms:created>
  <dc:creator>USUARIO</dc:creator>
</cp:coreProperties>
</file>