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EA5D" w14:textId="77777777" w:rsidR="00B438BA" w:rsidRPr="00D9597F" w:rsidRDefault="000123B8">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D9597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dieciséis de octubre del dos mil veinticuatro.</w:t>
      </w:r>
    </w:p>
    <w:p w14:paraId="0D76BC58" w14:textId="763356BA" w:rsidR="00B438BA" w:rsidRPr="00D9597F" w:rsidRDefault="000123B8">
      <w:pPr>
        <w:spacing w:before="240" w:after="240" w:line="360" w:lineRule="auto"/>
        <w:jc w:val="both"/>
        <w:rPr>
          <w:rFonts w:ascii="Palatino Linotype" w:eastAsia="Palatino Linotype" w:hAnsi="Palatino Linotype" w:cs="Palatino Linotype"/>
        </w:rPr>
      </w:pPr>
      <w:bookmarkStart w:id="1" w:name="_heading=h.30j0zll" w:colFirst="0" w:colLast="0"/>
      <w:bookmarkEnd w:id="1"/>
      <w:r w:rsidRPr="00D9597F">
        <w:rPr>
          <w:rFonts w:ascii="Palatino Linotype" w:eastAsia="Palatino Linotype" w:hAnsi="Palatino Linotype" w:cs="Palatino Linotype"/>
          <w:b/>
        </w:rPr>
        <w:t xml:space="preserve">Visto </w:t>
      </w:r>
      <w:r w:rsidRPr="00D9597F">
        <w:rPr>
          <w:rFonts w:ascii="Palatino Linotype" w:eastAsia="Palatino Linotype" w:hAnsi="Palatino Linotype" w:cs="Palatino Linotype"/>
        </w:rPr>
        <w:t xml:space="preserve">el expediente relativo al recurso de revisión </w:t>
      </w:r>
      <w:r w:rsidRPr="00D9597F">
        <w:rPr>
          <w:rFonts w:ascii="Palatino Linotype" w:eastAsia="Palatino Linotype" w:hAnsi="Palatino Linotype" w:cs="Palatino Linotype"/>
          <w:b/>
        </w:rPr>
        <w:t>05194/INFOEM/IP/RR/2024</w:t>
      </w:r>
      <w:r w:rsidRPr="00D9597F">
        <w:rPr>
          <w:rFonts w:ascii="Palatino Linotype" w:eastAsia="Palatino Linotype" w:hAnsi="Palatino Linotype" w:cs="Palatino Linotype"/>
        </w:rPr>
        <w:t xml:space="preserve">, interpuesto por </w:t>
      </w:r>
      <w:r w:rsidR="008D533C">
        <w:rPr>
          <w:rFonts w:ascii="Palatino Linotype" w:eastAsia="Palatino Linotype" w:hAnsi="Palatino Linotype" w:cs="Palatino Linotype"/>
          <w:b/>
          <w:sz w:val="21"/>
          <w:szCs w:val="21"/>
        </w:rPr>
        <w:t>XXXXXXXX XXXXXX XXXXX</w:t>
      </w:r>
      <w:r w:rsidRPr="00D9597F">
        <w:rPr>
          <w:rFonts w:ascii="Palatino Linotype" w:eastAsia="Palatino Linotype" w:hAnsi="Palatino Linotype" w:cs="Palatino Linotype"/>
          <w:b/>
        </w:rPr>
        <w:t>,</w:t>
      </w:r>
      <w:r w:rsidRPr="00D9597F">
        <w:rPr>
          <w:rFonts w:ascii="Palatino Linotype" w:eastAsia="Palatino Linotype" w:hAnsi="Palatino Linotype" w:cs="Palatino Linotype"/>
        </w:rPr>
        <w:t xml:space="preserve"> en lo sucesivo la parte </w:t>
      </w:r>
      <w:r w:rsidRPr="00D9597F">
        <w:rPr>
          <w:rFonts w:ascii="Palatino Linotype" w:eastAsia="Palatino Linotype" w:hAnsi="Palatino Linotype" w:cs="Palatino Linotype"/>
          <w:b/>
        </w:rPr>
        <w:t xml:space="preserve">RECURRENTE, </w:t>
      </w:r>
      <w:r w:rsidRPr="00D9597F">
        <w:rPr>
          <w:rFonts w:ascii="Palatino Linotype" w:eastAsia="Palatino Linotype" w:hAnsi="Palatino Linotype" w:cs="Palatino Linotype"/>
        </w:rPr>
        <w:t>en contra de la falta de respuesta a la solicitud de acceso a la información con número de folio</w:t>
      </w:r>
      <w:r w:rsidRPr="00D9597F">
        <w:rPr>
          <w:rFonts w:ascii="Verdana" w:eastAsia="Verdana" w:hAnsi="Verdana" w:cs="Verdana"/>
          <w:b/>
        </w:rPr>
        <w:t> </w:t>
      </w:r>
      <w:r w:rsidRPr="00D9597F">
        <w:rPr>
          <w:rFonts w:ascii="Palatino Linotype" w:eastAsia="Palatino Linotype" w:hAnsi="Palatino Linotype" w:cs="Palatino Linotype"/>
          <w:b/>
        </w:rPr>
        <w:t>00018/TESE/IP/2024,</w:t>
      </w:r>
      <w:r w:rsidRPr="00D9597F">
        <w:rPr>
          <w:rFonts w:ascii="Palatino Linotype" w:eastAsia="Palatino Linotype" w:hAnsi="Palatino Linotype" w:cs="Palatino Linotype"/>
        </w:rPr>
        <w:t xml:space="preserve"> por parte del </w:t>
      </w:r>
      <w:r w:rsidRPr="00D9597F">
        <w:rPr>
          <w:rFonts w:ascii="Palatino Linotype" w:eastAsia="Palatino Linotype" w:hAnsi="Palatino Linotype" w:cs="Palatino Linotype"/>
          <w:b/>
        </w:rPr>
        <w:t>Tecnológico de Estudios Superiores de Ecatepec,</w:t>
      </w:r>
      <w:r w:rsidRPr="00D9597F">
        <w:rPr>
          <w:rFonts w:ascii="Palatino Linotype" w:eastAsia="Palatino Linotype" w:hAnsi="Palatino Linotype" w:cs="Palatino Linotype"/>
        </w:rPr>
        <w:t xml:space="preserve"> en lo sucesivo el </w:t>
      </w:r>
      <w:r w:rsidRPr="00D9597F">
        <w:rPr>
          <w:rFonts w:ascii="Palatino Linotype" w:eastAsia="Palatino Linotype" w:hAnsi="Palatino Linotype" w:cs="Palatino Linotype"/>
          <w:b/>
        </w:rPr>
        <w:t xml:space="preserve">SUJETO OBLIGADO; </w:t>
      </w:r>
      <w:r w:rsidRPr="00D9597F">
        <w:rPr>
          <w:rFonts w:ascii="Palatino Linotype" w:eastAsia="Palatino Linotype" w:hAnsi="Palatino Linotype" w:cs="Palatino Linotype"/>
        </w:rPr>
        <w:t xml:space="preserve">se procede a dictar la presente resolución, con base en lo siguiente. </w:t>
      </w:r>
    </w:p>
    <w:p w14:paraId="1F24252F" w14:textId="77777777" w:rsidR="00B438BA" w:rsidRPr="00D9597F" w:rsidRDefault="000123B8">
      <w:pPr>
        <w:numPr>
          <w:ilvl w:val="0"/>
          <w:numId w:val="3"/>
        </w:numPr>
        <w:pBdr>
          <w:top w:val="nil"/>
          <w:left w:val="nil"/>
          <w:bottom w:val="nil"/>
          <w:right w:val="nil"/>
          <w:between w:val="nil"/>
        </w:pBdr>
        <w:spacing w:before="240" w:after="240" w:line="360" w:lineRule="auto"/>
        <w:ind w:left="1077"/>
        <w:jc w:val="center"/>
        <w:rPr>
          <w:rFonts w:ascii="Palatino Linotype" w:eastAsia="Palatino Linotype" w:hAnsi="Palatino Linotype" w:cs="Palatino Linotype"/>
          <w:b/>
        </w:rPr>
      </w:pPr>
      <w:r w:rsidRPr="00D9597F">
        <w:rPr>
          <w:rFonts w:ascii="Palatino Linotype" w:eastAsia="Palatino Linotype" w:hAnsi="Palatino Linotype" w:cs="Palatino Linotype"/>
          <w:b/>
        </w:rPr>
        <w:t>A N T E C E D E N T E S:</w:t>
      </w:r>
    </w:p>
    <w:p w14:paraId="48B32BCE"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 xml:space="preserve">1. Solicitud de acceso a la información. </w:t>
      </w:r>
      <w:r w:rsidRPr="00D9597F">
        <w:rPr>
          <w:rFonts w:ascii="Palatino Linotype" w:eastAsia="Palatino Linotype" w:hAnsi="Palatino Linotype" w:cs="Palatino Linotype"/>
        </w:rPr>
        <w:t xml:space="preserve">Con fecha cinco de agosto del dos mil veinticuatro, la parte </w:t>
      </w:r>
      <w:r w:rsidRPr="00D9597F">
        <w:rPr>
          <w:rFonts w:ascii="Palatino Linotype" w:eastAsia="Palatino Linotype" w:hAnsi="Palatino Linotype" w:cs="Palatino Linotype"/>
          <w:b/>
        </w:rPr>
        <w:t xml:space="preserve">RECURRENTE </w:t>
      </w:r>
      <w:r w:rsidRPr="00D9597F">
        <w:rPr>
          <w:rFonts w:ascii="Palatino Linotype" w:eastAsia="Palatino Linotype" w:hAnsi="Palatino Linotype" w:cs="Palatino Linotype"/>
        </w:rPr>
        <w:t xml:space="preserve">formuló solicitud de acceso a información pública al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a través del Sistema de Acceso a la Información Mexiquense, en adelante </w:t>
      </w:r>
      <w:r w:rsidRPr="00D9597F">
        <w:rPr>
          <w:rFonts w:ascii="Palatino Linotype" w:eastAsia="Palatino Linotype" w:hAnsi="Palatino Linotype" w:cs="Palatino Linotype"/>
          <w:b/>
        </w:rPr>
        <w:t>SAIMEX,</w:t>
      </w:r>
      <w:r w:rsidRPr="00D9597F">
        <w:rPr>
          <w:rFonts w:ascii="Palatino Linotype" w:eastAsia="Palatino Linotype" w:hAnsi="Palatino Linotype" w:cs="Palatino Linotype"/>
        </w:rPr>
        <w:t xml:space="preserve"> requiriéndole lo siguiente:</w:t>
      </w:r>
    </w:p>
    <w:p w14:paraId="1CA44C5D" w14:textId="77777777" w:rsidR="00B438BA" w:rsidRPr="00D9597F" w:rsidRDefault="000123B8">
      <w:pPr>
        <w:pBdr>
          <w:top w:val="nil"/>
          <w:left w:val="nil"/>
          <w:bottom w:val="nil"/>
          <w:right w:val="nil"/>
          <w:between w:val="nil"/>
        </w:pBdr>
        <w:ind w:left="1077"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“En atención a la Área de Servicio Social solicito se me informe </w:t>
      </w:r>
      <w:r w:rsidRPr="00D9597F">
        <w:rPr>
          <w:rFonts w:ascii="Palatino Linotype" w:eastAsia="Palatino Linotype" w:hAnsi="Palatino Linotype" w:cs="Palatino Linotype"/>
          <w:b/>
          <w:i/>
          <w:sz w:val="22"/>
          <w:szCs w:val="22"/>
        </w:rPr>
        <w:t xml:space="preserve">el nombre del Servidor </w:t>
      </w:r>
      <w:proofErr w:type="spellStart"/>
      <w:r w:rsidRPr="00D9597F">
        <w:rPr>
          <w:rFonts w:ascii="Palatino Linotype" w:eastAsia="Palatino Linotype" w:hAnsi="Palatino Linotype" w:cs="Palatino Linotype"/>
          <w:b/>
          <w:i/>
          <w:sz w:val="22"/>
          <w:szCs w:val="22"/>
        </w:rPr>
        <w:t>Publico</w:t>
      </w:r>
      <w:proofErr w:type="spellEnd"/>
      <w:r w:rsidRPr="00D9597F">
        <w:rPr>
          <w:rFonts w:ascii="Palatino Linotype" w:eastAsia="Palatino Linotype" w:hAnsi="Palatino Linotype" w:cs="Palatino Linotype"/>
          <w:b/>
          <w:i/>
          <w:sz w:val="22"/>
          <w:szCs w:val="22"/>
        </w:rPr>
        <w:t xml:space="preserve"> responsable del área, </w:t>
      </w:r>
      <w:proofErr w:type="spellStart"/>
      <w:r w:rsidRPr="00D9597F">
        <w:rPr>
          <w:rFonts w:ascii="Palatino Linotype" w:eastAsia="Palatino Linotype" w:hAnsi="Palatino Linotype" w:cs="Palatino Linotype"/>
          <w:b/>
          <w:i/>
          <w:sz w:val="22"/>
          <w:szCs w:val="22"/>
        </w:rPr>
        <w:t>Asi</w:t>
      </w:r>
      <w:proofErr w:type="spellEnd"/>
      <w:r w:rsidRPr="00D9597F">
        <w:rPr>
          <w:rFonts w:ascii="Palatino Linotype" w:eastAsia="Palatino Linotype" w:hAnsi="Palatino Linotype" w:cs="Palatino Linotype"/>
          <w:b/>
          <w:i/>
          <w:sz w:val="22"/>
          <w:szCs w:val="22"/>
        </w:rPr>
        <w:t xml:space="preserve"> como de las secretarias que atienden dicha Área. De igual manera, el calendario donde se especifique las fechas de registro de servicio social (Alta de Entidad externa, registro de servicio social en el </w:t>
      </w:r>
      <w:proofErr w:type="spellStart"/>
      <w:r w:rsidRPr="00D9597F">
        <w:rPr>
          <w:rFonts w:ascii="Palatino Linotype" w:eastAsia="Palatino Linotype" w:hAnsi="Palatino Linotype" w:cs="Palatino Linotype"/>
          <w:b/>
          <w:i/>
          <w:sz w:val="22"/>
          <w:szCs w:val="22"/>
        </w:rPr>
        <w:t>xook</w:t>
      </w:r>
      <w:proofErr w:type="spellEnd"/>
      <w:r w:rsidRPr="00D9597F">
        <w:rPr>
          <w:rFonts w:ascii="Palatino Linotype" w:eastAsia="Palatino Linotype" w:hAnsi="Palatino Linotype" w:cs="Palatino Linotype"/>
          <w:b/>
          <w:i/>
          <w:sz w:val="22"/>
          <w:szCs w:val="22"/>
        </w:rPr>
        <w:t>, fechas de entrega de carta de presentación y de aceptación, y fechas de entrega de reportes bimestrales y el final De igual manera, si existe un manual de procedimientos para el registro del servicio social</w:t>
      </w:r>
      <w:r w:rsidRPr="00D9597F">
        <w:rPr>
          <w:rFonts w:ascii="Palatino Linotype" w:eastAsia="Palatino Linotype" w:hAnsi="Palatino Linotype" w:cs="Palatino Linotype"/>
          <w:i/>
          <w:sz w:val="22"/>
          <w:szCs w:val="22"/>
        </w:rPr>
        <w:t xml:space="preserve"> Lo anterior, con fundamento en el </w:t>
      </w:r>
      <w:proofErr w:type="spellStart"/>
      <w:r w:rsidRPr="00D9597F">
        <w:rPr>
          <w:rFonts w:ascii="Palatino Linotype" w:eastAsia="Palatino Linotype" w:hAnsi="Palatino Linotype" w:cs="Palatino Linotype"/>
          <w:i/>
          <w:sz w:val="22"/>
          <w:szCs w:val="22"/>
        </w:rPr>
        <w:t>articulo</w:t>
      </w:r>
      <w:proofErr w:type="spellEnd"/>
      <w:r w:rsidRPr="00D9597F">
        <w:rPr>
          <w:rFonts w:ascii="Palatino Linotype" w:eastAsia="Palatino Linotype" w:hAnsi="Palatino Linotype" w:cs="Palatino Linotype"/>
          <w:i/>
          <w:sz w:val="22"/>
          <w:szCs w:val="22"/>
        </w:rPr>
        <w:t xml:space="preserve"> 2 </w:t>
      </w:r>
      <w:proofErr w:type="spellStart"/>
      <w:r w:rsidRPr="00D9597F">
        <w:rPr>
          <w:rFonts w:ascii="Palatino Linotype" w:eastAsia="Palatino Linotype" w:hAnsi="Palatino Linotype" w:cs="Palatino Linotype"/>
          <w:i/>
          <w:sz w:val="22"/>
          <w:szCs w:val="22"/>
        </w:rPr>
        <w:t>Fraccion</w:t>
      </w:r>
      <w:proofErr w:type="spellEnd"/>
      <w:r w:rsidRPr="00D9597F">
        <w:rPr>
          <w:rFonts w:ascii="Palatino Linotype" w:eastAsia="Palatino Linotype" w:hAnsi="Palatino Linotype" w:cs="Palatino Linotype"/>
          <w:i/>
          <w:sz w:val="22"/>
          <w:szCs w:val="22"/>
        </w:rPr>
        <w:t xml:space="preserve"> II; articulo 3 </w:t>
      </w:r>
      <w:proofErr w:type="spellStart"/>
      <w:r w:rsidRPr="00D9597F">
        <w:rPr>
          <w:rFonts w:ascii="Palatino Linotype" w:eastAsia="Palatino Linotype" w:hAnsi="Palatino Linotype" w:cs="Palatino Linotype"/>
          <w:i/>
          <w:sz w:val="22"/>
          <w:szCs w:val="22"/>
        </w:rPr>
        <w:t>Fraccion</w:t>
      </w:r>
      <w:proofErr w:type="spellEnd"/>
      <w:r w:rsidRPr="00D9597F">
        <w:rPr>
          <w:rFonts w:ascii="Palatino Linotype" w:eastAsia="Palatino Linotype" w:hAnsi="Palatino Linotype" w:cs="Palatino Linotype"/>
          <w:i/>
          <w:sz w:val="22"/>
          <w:szCs w:val="22"/>
        </w:rPr>
        <w:t xml:space="preserve"> ll y articulo 4 de la Ley de </w:t>
      </w:r>
      <w:proofErr w:type="spellStart"/>
      <w:r w:rsidRPr="00D9597F">
        <w:rPr>
          <w:rFonts w:ascii="Palatino Linotype" w:eastAsia="Palatino Linotype" w:hAnsi="Palatino Linotype" w:cs="Palatino Linotype"/>
          <w:i/>
          <w:sz w:val="22"/>
          <w:szCs w:val="22"/>
        </w:rPr>
        <w:t>Transparecia</w:t>
      </w:r>
      <w:proofErr w:type="spellEnd"/>
      <w:r w:rsidRPr="00D9597F">
        <w:rPr>
          <w:rFonts w:ascii="Palatino Linotype" w:eastAsia="Palatino Linotype" w:hAnsi="Palatino Linotype" w:cs="Palatino Linotype"/>
          <w:i/>
          <w:sz w:val="22"/>
          <w:szCs w:val="22"/>
        </w:rPr>
        <w:t xml:space="preserve"> y Acceso a la </w:t>
      </w:r>
      <w:proofErr w:type="spellStart"/>
      <w:r w:rsidRPr="00D9597F">
        <w:rPr>
          <w:rFonts w:ascii="Palatino Linotype" w:eastAsia="Palatino Linotype" w:hAnsi="Palatino Linotype" w:cs="Palatino Linotype"/>
          <w:i/>
          <w:sz w:val="22"/>
          <w:szCs w:val="22"/>
        </w:rPr>
        <w:t>Informacion</w:t>
      </w:r>
      <w:proofErr w:type="spellEnd"/>
      <w:r w:rsidRPr="00D9597F">
        <w:rPr>
          <w:rFonts w:ascii="Palatino Linotype" w:eastAsia="Palatino Linotype" w:hAnsi="Palatino Linotype" w:cs="Palatino Linotype"/>
          <w:i/>
          <w:sz w:val="22"/>
          <w:szCs w:val="22"/>
        </w:rPr>
        <w:t xml:space="preserve"> Publica del Estado de México y Municipios.” (Sic)</w:t>
      </w:r>
    </w:p>
    <w:p w14:paraId="66124D0C"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lastRenderedPageBreak/>
        <w:t xml:space="preserve">Modalidad elegida para la entrega de la información: </w:t>
      </w:r>
      <w:r w:rsidRPr="00D9597F">
        <w:rPr>
          <w:rFonts w:ascii="Palatino Linotype" w:eastAsia="Palatino Linotype" w:hAnsi="Palatino Linotype" w:cs="Palatino Linotype"/>
        </w:rPr>
        <w:t>a través del SAIMEX.</w:t>
      </w:r>
    </w:p>
    <w:p w14:paraId="6722A737" w14:textId="77777777" w:rsidR="00B438BA" w:rsidRPr="00D9597F" w:rsidRDefault="000123B8">
      <w:pPr>
        <w:spacing w:before="240" w:after="240" w:line="360" w:lineRule="auto"/>
        <w:jc w:val="both"/>
        <w:rPr>
          <w:rFonts w:ascii="Palatino Linotype" w:eastAsia="Palatino Linotype" w:hAnsi="Palatino Linotype" w:cs="Palatino Linotype"/>
          <w:b/>
        </w:rPr>
      </w:pPr>
      <w:r w:rsidRPr="00D9597F">
        <w:rPr>
          <w:rFonts w:ascii="Palatino Linotype" w:eastAsia="Palatino Linotype" w:hAnsi="Palatino Linotype" w:cs="Palatino Linotype"/>
          <w:b/>
        </w:rPr>
        <w:t xml:space="preserve">2. Respuesta. </w:t>
      </w:r>
      <w:r w:rsidRPr="00D9597F">
        <w:rPr>
          <w:rFonts w:ascii="Palatino Linotype" w:eastAsia="Palatino Linotype" w:hAnsi="Palatino Linotype" w:cs="Palatino Linotype"/>
        </w:rPr>
        <w:t xml:space="preserve">De las constancias que obran en </w:t>
      </w:r>
      <w:r w:rsidRPr="00D9597F">
        <w:rPr>
          <w:rFonts w:ascii="Palatino Linotype" w:eastAsia="Palatino Linotype" w:hAnsi="Palatino Linotype" w:cs="Palatino Linotype"/>
          <w:b/>
        </w:rPr>
        <w:t>SAIMEX</w:t>
      </w:r>
      <w:r w:rsidRPr="00D9597F">
        <w:rPr>
          <w:rFonts w:ascii="Palatino Linotype" w:eastAsia="Palatino Linotype" w:hAnsi="Palatino Linotype" w:cs="Palatino Linotype"/>
        </w:rPr>
        <w:t xml:space="preserve">, se observa que </w:t>
      </w:r>
      <w:r w:rsidRPr="00D9597F">
        <w:rPr>
          <w:rFonts w:ascii="Palatino Linotype" w:eastAsia="Palatino Linotype" w:hAnsi="Palatino Linotype" w:cs="Palatino Linotype"/>
          <w:b/>
        </w:rPr>
        <w:t xml:space="preserve">el SUJETO OBLIGADO </w:t>
      </w:r>
      <w:r w:rsidRPr="00D9597F">
        <w:rPr>
          <w:rFonts w:ascii="Palatino Linotype" w:eastAsia="Palatino Linotype" w:hAnsi="Palatino Linotype" w:cs="Palatino Linotype"/>
        </w:rPr>
        <w:t xml:space="preserve">no emitió respuesta a la solicitud de información formulada por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w:t>
      </w:r>
    </w:p>
    <w:p w14:paraId="3775CB5D"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 xml:space="preserve">3. Interposición del recurso de revisión. </w:t>
      </w:r>
      <w:r w:rsidRPr="00D9597F">
        <w:rPr>
          <w:rFonts w:ascii="Palatino Linotype" w:eastAsia="Palatino Linotype" w:hAnsi="Palatino Linotype" w:cs="Palatino Linotype"/>
        </w:rPr>
        <w:t xml:space="preserve">Inconforme la parte solicitante con la falta de respuesta del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interpuso recurso de revisión a través del SAIMEX en fecha veintiocho de agosto del año dos mil veinticuatro, expresando lo siguiente:</w:t>
      </w:r>
    </w:p>
    <w:p w14:paraId="3D077538" w14:textId="77777777" w:rsidR="00B438BA" w:rsidRPr="00D9597F" w:rsidRDefault="000123B8">
      <w:pPr>
        <w:spacing w:line="360" w:lineRule="auto"/>
        <w:rPr>
          <w:rFonts w:ascii="Palatino Linotype" w:eastAsia="Palatino Linotype" w:hAnsi="Palatino Linotype" w:cs="Palatino Linotype"/>
          <w:b/>
        </w:rPr>
      </w:pPr>
      <w:r w:rsidRPr="00D9597F">
        <w:rPr>
          <w:rFonts w:ascii="Palatino Linotype" w:eastAsia="Palatino Linotype" w:hAnsi="Palatino Linotype" w:cs="Palatino Linotype"/>
          <w:b/>
        </w:rPr>
        <w:t>a) Acto impugnado.</w:t>
      </w:r>
    </w:p>
    <w:p w14:paraId="6228B54A" w14:textId="77777777" w:rsidR="00B438BA" w:rsidRPr="00D9597F" w:rsidRDefault="000123B8">
      <w:pPr>
        <w:pBdr>
          <w:top w:val="nil"/>
          <w:left w:val="nil"/>
          <w:bottom w:val="nil"/>
          <w:right w:val="nil"/>
          <w:between w:val="nil"/>
        </w:pBdr>
        <w:spacing w:before="240" w:after="240"/>
        <w:ind w:left="1080"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“NO SE PROPORCIONA INFORMACION” (Sic)</w:t>
      </w:r>
    </w:p>
    <w:p w14:paraId="4EBFD0D1" w14:textId="77777777" w:rsidR="00B438BA" w:rsidRPr="00D9597F" w:rsidRDefault="000123B8">
      <w:pPr>
        <w:spacing w:line="360" w:lineRule="auto"/>
        <w:jc w:val="both"/>
        <w:rPr>
          <w:rFonts w:ascii="Palatino Linotype" w:eastAsia="Palatino Linotype" w:hAnsi="Palatino Linotype" w:cs="Palatino Linotype"/>
          <w:b/>
        </w:rPr>
      </w:pPr>
      <w:r w:rsidRPr="00D9597F">
        <w:rPr>
          <w:rFonts w:ascii="Palatino Linotype" w:eastAsia="Palatino Linotype" w:hAnsi="Palatino Linotype" w:cs="Palatino Linotype"/>
          <w:b/>
        </w:rPr>
        <w:t>b) Motivos de inconformidad.</w:t>
      </w:r>
    </w:p>
    <w:p w14:paraId="2FBAC236" w14:textId="77777777" w:rsidR="00B438BA" w:rsidRPr="00D9597F" w:rsidRDefault="000123B8">
      <w:pPr>
        <w:pBdr>
          <w:top w:val="nil"/>
          <w:left w:val="nil"/>
          <w:bottom w:val="nil"/>
          <w:right w:val="nil"/>
          <w:between w:val="nil"/>
        </w:pBdr>
        <w:spacing w:before="240" w:after="240"/>
        <w:ind w:left="1080"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 “NO SE PROPORCIONA INFORMACION” (Sic)</w:t>
      </w:r>
    </w:p>
    <w:p w14:paraId="2AB954C1"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 xml:space="preserve">4. Turno. </w:t>
      </w:r>
      <w:r w:rsidRPr="00D9597F">
        <w:rPr>
          <w:rFonts w:ascii="Palatino Linotype" w:eastAsia="Palatino Linotype" w:hAnsi="Palatino Linotype" w:cs="Palatino Linotype"/>
        </w:rPr>
        <w:t>De conformidad con el artículo 185 Fracción I de la Ley Transparencia y Acceso a la Información Pública, el recurso de revisión número</w:t>
      </w:r>
      <w:r w:rsidRPr="00D9597F">
        <w:rPr>
          <w:rFonts w:ascii="Palatino Linotype" w:eastAsia="Palatino Linotype" w:hAnsi="Palatino Linotype" w:cs="Palatino Linotype"/>
          <w:b/>
        </w:rPr>
        <w:t xml:space="preserve"> </w:t>
      </w:r>
      <w:r w:rsidRPr="00D9597F">
        <w:rPr>
          <w:rFonts w:ascii="Palatino Linotype" w:eastAsia="Palatino Linotype" w:hAnsi="Palatino Linotype" w:cs="Palatino Linotype"/>
          <w:b/>
          <w:sz w:val="23"/>
          <w:szCs w:val="23"/>
        </w:rPr>
        <w:t xml:space="preserve">05194/INFOEM/IP/RR/2024 </w:t>
      </w:r>
      <w:r w:rsidRPr="00D9597F">
        <w:rPr>
          <w:rFonts w:ascii="Palatino Linotype" w:eastAsia="Palatino Linotype" w:hAnsi="Palatino Linotype" w:cs="Palatino Linotype"/>
        </w:rPr>
        <w:t xml:space="preserve">fue turnado a la Comisionada Ponente </w:t>
      </w:r>
      <w:r w:rsidRPr="00D9597F">
        <w:rPr>
          <w:rFonts w:ascii="Palatino Linotype" w:eastAsia="Palatino Linotype" w:hAnsi="Palatino Linotype" w:cs="Palatino Linotype"/>
          <w:b/>
        </w:rPr>
        <w:t>Guadalupe Ramírez Peña</w:t>
      </w:r>
      <w:r w:rsidRPr="00D9597F">
        <w:rPr>
          <w:rFonts w:ascii="Palatino Linotype" w:eastAsia="Palatino Linotype" w:hAnsi="Palatino Linotype" w:cs="Palatino Linotype"/>
        </w:rPr>
        <w:t>, a efecto de presentar al Pleno el proyecto de resolución correspondiente.</w:t>
      </w:r>
    </w:p>
    <w:p w14:paraId="22F5405D"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 xml:space="preserve">5. Admisión. </w:t>
      </w:r>
      <w:r w:rsidRPr="00D9597F">
        <w:rPr>
          <w:rFonts w:ascii="Palatino Linotype" w:eastAsia="Palatino Linotype" w:hAnsi="Palatino Linotype" w:cs="Palatino Linotype"/>
        </w:rPr>
        <w:t>En fecha dos de septiembre del año dos mil veinticuatro, en términos de lo dispuesto en el artículo 185 fracciones I, II y IV de la Ley de Transparencia y Acceso a la Información Pública del Estado de México y Municipios, se admitió a trámite el recurso de revisión al rubro indicado.</w:t>
      </w:r>
    </w:p>
    <w:p w14:paraId="35B2F7DE" w14:textId="77777777" w:rsidR="00B438BA" w:rsidRPr="00D9597F" w:rsidRDefault="000123B8">
      <w:pPr>
        <w:widowControl w:val="0"/>
        <w:spacing w:line="360" w:lineRule="auto"/>
        <w:ind w:right="49"/>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b/>
        </w:rPr>
        <w:lastRenderedPageBreak/>
        <w:t>6. Manifestaciones</w:t>
      </w:r>
      <w:r w:rsidRPr="00D9597F">
        <w:rPr>
          <w:rFonts w:ascii="Palatino Linotype" w:eastAsia="Palatino Linotype" w:hAnsi="Palatino Linotype" w:cs="Palatino Linotype"/>
        </w:rPr>
        <w:t xml:space="preserve">. De constancias del expediente electrónico del SAIMEX, se observa que </w:t>
      </w:r>
      <w:r w:rsidRPr="00D9597F">
        <w:rPr>
          <w:rFonts w:ascii="Palatino Linotype" w:eastAsia="Palatino Linotype" w:hAnsi="Palatino Linotype" w:cs="Palatino Linotype"/>
          <w:b/>
        </w:rPr>
        <w:t>la parte RECURRENTE</w:t>
      </w:r>
      <w:r w:rsidRPr="00D9597F">
        <w:rPr>
          <w:rFonts w:ascii="Palatino Linotype" w:eastAsia="Palatino Linotype" w:hAnsi="Palatino Linotype" w:cs="Palatino Linotype"/>
        </w:rPr>
        <w:t xml:space="preserve"> fue omisa en rendir sus alegatos.</w:t>
      </w:r>
    </w:p>
    <w:p w14:paraId="2DDBCF73" w14:textId="77777777" w:rsidR="00B438BA" w:rsidRPr="00D9597F" w:rsidRDefault="00B438BA">
      <w:pPr>
        <w:widowControl w:val="0"/>
        <w:spacing w:line="360" w:lineRule="auto"/>
        <w:ind w:right="49"/>
        <w:jc w:val="both"/>
        <w:rPr>
          <w:rFonts w:ascii="Palatino Linotype" w:eastAsia="Palatino Linotype" w:hAnsi="Palatino Linotype" w:cs="Palatino Linotype"/>
        </w:rPr>
      </w:pPr>
    </w:p>
    <w:p w14:paraId="64B23369" w14:textId="77777777" w:rsidR="00B438BA" w:rsidRPr="00D9597F" w:rsidRDefault="000123B8">
      <w:pPr>
        <w:widowControl w:val="0"/>
        <w:spacing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El seis de septiembre del dos mil veinticuatro, se recibió, a través del Sistema de Acceso a la Información Mexiquense (SAIMEX), el Informe Justificado del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a través del cual se remitió lo siguiente:</w:t>
      </w:r>
    </w:p>
    <w:p w14:paraId="236B2BAC"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w:t>
      </w:r>
      <w:hyperlink r:id="rId8">
        <w:r w:rsidRPr="00D9597F">
          <w:rPr>
            <w:rFonts w:ascii="Palatino Linotype" w:eastAsia="Palatino Linotype" w:hAnsi="Palatino Linotype" w:cs="Palatino Linotype"/>
          </w:rPr>
          <w:t>18 RESPUESTA.pdf</w:t>
        </w:r>
      </w:hyperlink>
      <w:r w:rsidRPr="00D9597F">
        <w:rPr>
          <w:rFonts w:ascii="Palatino Linotype" w:eastAsia="Palatino Linotype" w:hAnsi="Palatino Linotype" w:cs="Palatino Linotype"/>
        </w:rPr>
        <w:t>”, el cual contiene el oficio número 228C0201040002L/3C.4/056/2024, por medio del cual el Encargado del Despacho de los Asuntos del Departamento de Servicio Social y Seguimiento de Egresados, informó lo siguiente:</w:t>
      </w:r>
    </w:p>
    <w:p w14:paraId="617727DE"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noProof/>
          <w:lang w:val="es-MX" w:eastAsia="es-MX"/>
        </w:rPr>
        <w:drawing>
          <wp:inline distT="0" distB="0" distL="0" distR="0" wp14:anchorId="14E0C151" wp14:editId="0D64F64D">
            <wp:extent cx="5612130" cy="1855470"/>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1855470"/>
                    </a:xfrm>
                    <a:prstGeom prst="rect">
                      <a:avLst/>
                    </a:prstGeom>
                    <a:ln/>
                  </pic:spPr>
                </pic:pic>
              </a:graphicData>
            </a:graphic>
          </wp:inline>
        </w:drawing>
      </w:r>
    </w:p>
    <w:p w14:paraId="33416D4E" w14:textId="77777777" w:rsidR="00B438BA" w:rsidRPr="00D9597F" w:rsidRDefault="00B438BA">
      <w:pPr>
        <w:spacing w:line="360" w:lineRule="auto"/>
        <w:jc w:val="both"/>
        <w:rPr>
          <w:rFonts w:ascii="Palatino Linotype" w:eastAsia="Palatino Linotype" w:hAnsi="Palatino Linotype" w:cs="Palatino Linotype"/>
        </w:rPr>
      </w:pPr>
    </w:p>
    <w:p w14:paraId="700B1443"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Archivo que se puso a la vista de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dentro del término otorgado. </w:t>
      </w:r>
    </w:p>
    <w:p w14:paraId="741540C1" w14:textId="77777777" w:rsidR="00B438BA" w:rsidRPr="00D9597F" w:rsidRDefault="00B438BA">
      <w:pPr>
        <w:spacing w:line="360" w:lineRule="auto"/>
        <w:jc w:val="both"/>
        <w:rPr>
          <w:rFonts w:ascii="Palatino Linotype" w:eastAsia="Palatino Linotype" w:hAnsi="Palatino Linotype" w:cs="Palatino Linotype"/>
        </w:rPr>
      </w:pPr>
    </w:p>
    <w:p w14:paraId="6E621409" w14:textId="77777777" w:rsidR="00B438BA" w:rsidRPr="00D9597F" w:rsidRDefault="000123B8">
      <w:pPr>
        <w:widowControl w:val="0"/>
        <w:spacing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lastRenderedPageBreak/>
        <w:t>7.</w:t>
      </w:r>
      <w:r w:rsidRPr="00D9597F">
        <w:rPr>
          <w:rFonts w:ascii="Palatino Linotype" w:eastAsia="Palatino Linotype" w:hAnsi="Palatino Linotype" w:cs="Palatino Linotype"/>
        </w:rPr>
        <w:t xml:space="preserve"> </w:t>
      </w:r>
      <w:r w:rsidRPr="00D9597F">
        <w:rPr>
          <w:rFonts w:ascii="Palatino Linotype" w:eastAsia="Palatino Linotype" w:hAnsi="Palatino Linotype" w:cs="Palatino Linotype"/>
          <w:b/>
        </w:rPr>
        <w:t xml:space="preserve">Cierre de instrucción. </w:t>
      </w:r>
      <w:r w:rsidRPr="00D9597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D9597F">
        <w:rPr>
          <w:rFonts w:ascii="Palatino Linotype" w:eastAsia="Palatino Linotype" w:hAnsi="Palatino Linotype" w:cs="Palatino Linotype"/>
          <w:b/>
        </w:rPr>
        <w:t>dos de octubre de dos mil veinticuatro</w:t>
      </w:r>
      <w:r w:rsidRPr="00D9597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3A79B13"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FF500D8" w14:textId="77777777" w:rsidR="00B438BA" w:rsidRPr="00D9597F" w:rsidRDefault="000123B8">
      <w:pPr>
        <w:widowControl w:val="0"/>
        <w:spacing w:line="360" w:lineRule="auto"/>
        <w:jc w:val="center"/>
        <w:rPr>
          <w:rFonts w:ascii="Palatino Linotype" w:eastAsia="Palatino Linotype" w:hAnsi="Palatino Linotype" w:cs="Palatino Linotype"/>
          <w:b/>
        </w:rPr>
      </w:pPr>
      <w:r w:rsidRPr="00D9597F">
        <w:rPr>
          <w:rFonts w:ascii="Palatino Linotype" w:eastAsia="Palatino Linotype" w:hAnsi="Palatino Linotype" w:cs="Palatino Linotype"/>
          <w:b/>
        </w:rPr>
        <w:t>II. C O N S I D E R A N D O S</w:t>
      </w:r>
    </w:p>
    <w:p w14:paraId="452E293F" w14:textId="77777777" w:rsidR="00B438BA" w:rsidRPr="00D9597F" w:rsidRDefault="00B438BA">
      <w:pPr>
        <w:widowControl w:val="0"/>
        <w:pBdr>
          <w:top w:val="nil"/>
          <w:left w:val="nil"/>
          <w:bottom w:val="nil"/>
          <w:right w:val="nil"/>
          <w:between w:val="nil"/>
        </w:pBdr>
        <w:spacing w:line="360" w:lineRule="auto"/>
        <w:ind w:left="1080"/>
        <w:rPr>
          <w:rFonts w:ascii="Palatino Linotype" w:eastAsia="Palatino Linotype" w:hAnsi="Palatino Linotype" w:cs="Palatino Linotype"/>
          <w:b/>
        </w:rPr>
      </w:pPr>
    </w:p>
    <w:p w14:paraId="16F13A5E"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 xml:space="preserve">Primero. Competencia. </w:t>
      </w:r>
      <w:r w:rsidRPr="00D9597F">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conforme a lo dispuesto en los artículos 6, apartado A de la Constitución Política de los Estados Unidos Mexicanos; 5, párrafos trigésimo segundo, trigésimos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F58F1E1"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lastRenderedPageBreak/>
        <w:t>Segundo. Oportunidad y Procedibilidad del Recurso de Revisión</w:t>
      </w:r>
      <w:r w:rsidRPr="00D9597F">
        <w:rPr>
          <w:rFonts w:ascii="Palatino Linotype" w:eastAsia="Palatino Linotype" w:hAnsi="Palatino Linotype" w:cs="Palatino Linotype"/>
          <w:b/>
          <w:sz w:val="28"/>
          <w:szCs w:val="28"/>
        </w:rPr>
        <w:t>.</w:t>
      </w:r>
      <w:r w:rsidRPr="00D9597F">
        <w:rPr>
          <w:rFonts w:ascii="Palatino Linotype" w:eastAsia="Palatino Linotype" w:hAnsi="Palatino Linotype" w:cs="Palatino Linotype"/>
          <w:b/>
        </w:rPr>
        <w:t xml:space="preserve"> </w:t>
      </w:r>
      <w:r w:rsidRPr="00D9597F">
        <w:rPr>
          <w:rFonts w:ascii="Palatino Linotype" w:eastAsia="Palatino Linotype" w:hAnsi="Palatino Linotype" w:cs="Palatino Linotype"/>
        </w:rPr>
        <w:t>Por cuanto hace a la oportunidad de los recursos de revisión</w:t>
      </w:r>
      <w:r w:rsidRPr="00D9597F">
        <w:rPr>
          <w:rFonts w:ascii="Palatino Linotype" w:eastAsia="Palatino Linotype" w:hAnsi="Palatino Linotype" w:cs="Palatino Linotype"/>
          <w:b/>
        </w:rPr>
        <w:t xml:space="preserve"> </w:t>
      </w:r>
      <w:r w:rsidRPr="00D9597F">
        <w:rPr>
          <w:rFonts w:ascii="Palatino Linotype" w:eastAsia="Palatino Linotype" w:hAnsi="Palatino Linotype" w:cs="Palatino Linotype"/>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52441463"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Derivado de lo anterior, se constituye la figura jurídica de la </w:t>
      </w:r>
      <w:r w:rsidRPr="00D9597F">
        <w:rPr>
          <w:rFonts w:ascii="Palatino Linotype" w:eastAsia="Palatino Linotype" w:hAnsi="Palatino Linotype" w:cs="Palatino Linotype"/>
          <w:b/>
        </w:rPr>
        <w:t>NEGATIVA FICTA</w:t>
      </w:r>
      <w:r w:rsidRPr="00D9597F">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18CEF707"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De tal manera, en los presentes recursos de revisión se actualizó la negativa ficta por parte del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al no haber respondido a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56E791F2"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lastRenderedPageBreak/>
        <w:t>Si a ello se le suma lo previsto en el párrafo segundo del artículo 178, párrafo segundo</w:t>
      </w:r>
      <w:r w:rsidRPr="00D9597F">
        <w:rPr>
          <w:rFonts w:ascii="Palatino Linotype" w:eastAsia="Palatino Linotype" w:hAnsi="Palatino Linotype" w:cs="Palatino Linotype"/>
          <w:vertAlign w:val="superscript"/>
        </w:rPr>
        <w:footnoteReference w:id="1"/>
      </w:r>
      <w:r w:rsidRPr="00D9597F">
        <w:rPr>
          <w:rFonts w:ascii="Palatino Linotype" w:eastAsia="Palatino Linotype" w:hAnsi="Palatino Linotype" w:cs="Palatino Linotype"/>
        </w:rPr>
        <w:t xml:space="preserve"> de la Ley de Transparencia y Acceso a la Información Pública vigente en la entidad.</w:t>
      </w:r>
    </w:p>
    <w:p w14:paraId="0CD6D8EB" w14:textId="77777777" w:rsidR="00B438BA" w:rsidRPr="00D9597F" w:rsidRDefault="000123B8">
      <w:pPr>
        <w:spacing w:before="240" w:after="360" w:line="360" w:lineRule="auto"/>
        <w:jc w:val="both"/>
        <w:rPr>
          <w:i/>
        </w:rPr>
      </w:pPr>
      <w:r w:rsidRPr="00D9597F">
        <w:rPr>
          <w:rFonts w:ascii="Palatino Linotype" w:eastAsia="Palatino Linotype" w:hAnsi="Palatino Linotype" w:cs="Palatino Linotype"/>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294C6758" w14:textId="77777777" w:rsidR="00B438BA" w:rsidRPr="00D9597F" w:rsidRDefault="000123B8">
      <w:pPr>
        <w:spacing w:before="240" w:after="360"/>
        <w:ind w:left="851" w:right="851"/>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i/>
          <w:sz w:val="22"/>
          <w:szCs w:val="22"/>
        </w:rPr>
        <w:t xml:space="preserve">CRITERIO 0001-15 </w:t>
      </w:r>
    </w:p>
    <w:p w14:paraId="732568BE" w14:textId="77777777" w:rsidR="00B438BA" w:rsidRPr="00D9597F" w:rsidRDefault="000123B8">
      <w:pPr>
        <w:spacing w:before="240" w:after="360"/>
        <w:ind w:left="851" w:right="851"/>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b/>
          <w:i/>
          <w:sz w:val="22"/>
          <w:szCs w:val="22"/>
        </w:rPr>
        <w:t>NEGATIVA FICTA. PLAZO PARA INTERPONER EL RECURSO DE REVISIÓN TRATÁNDOSE DE</w:t>
      </w:r>
      <w:r w:rsidRPr="00D9597F">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w:t>
      </w:r>
      <w:r w:rsidRPr="00D9597F">
        <w:rPr>
          <w:rFonts w:ascii="Palatino Linotype" w:eastAsia="Palatino Linotype" w:hAnsi="Palatino Linotype" w:cs="Palatino Linotype"/>
          <w:i/>
          <w:sz w:val="22"/>
          <w:szCs w:val="22"/>
        </w:rPr>
        <w:lastRenderedPageBreak/>
        <w:t>del Sujeto Obligado, momento a partir del cual deberá computarse el plazo previsto en el artículo 72 de la citada Ley.”(Sic)</w:t>
      </w:r>
    </w:p>
    <w:p w14:paraId="7D302FB0" w14:textId="77777777" w:rsidR="00B438BA" w:rsidRPr="00D9597F" w:rsidRDefault="000123B8">
      <w:pPr>
        <w:pBdr>
          <w:top w:val="nil"/>
          <w:left w:val="nil"/>
          <w:bottom w:val="nil"/>
          <w:right w:val="nil"/>
          <w:between w:val="nil"/>
        </w:pBdr>
        <w:spacing w:after="240" w:line="360" w:lineRule="auto"/>
        <w:ind w:right="-147"/>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Además, una vez realizado el análisis del formato de interposición de los recursos, se acreditan plenamente de todos y cada uno de los elementos formales exigidos por el artículo 180 de la Ley de Transparencia y Acceso a la Información Pública del Estado de México y Municipios, en atención a que fueron presentados mediante el formato visible en </w:t>
      </w:r>
      <w:r w:rsidRPr="00D9597F">
        <w:rPr>
          <w:rFonts w:ascii="Palatino Linotype" w:eastAsia="Palatino Linotype" w:hAnsi="Palatino Linotype" w:cs="Palatino Linotype"/>
          <w:b/>
        </w:rPr>
        <w:t>EL</w:t>
      </w:r>
      <w:r w:rsidRPr="00D9597F">
        <w:rPr>
          <w:rFonts w:ascii="Palatino Linotype" w:eastAsia="Palatino Linotype" w:hAnsi="Palatino Linotype" w:cs="Palatino Linotype"/>
        </w:rPr>
        <w:t xml:space="preserve"> </w:t>
      </w:r>
      <w:r w:rsidRPr="00D9597F">
        <w:rPr>
          <w:rFonts w:ascii="Palatino Linotype" w:eastAsia="Palatino Linotype" w:hAnsi="Palatino Linotype" w:cs="Palatino Linotype"/>
          <w:b/>
        </w:rPr>
        <w:t>SAIMEX</w:t>
      </w:r>
      <w:r w:rsidRPr="00D9597F">
        <w:rPr>
          <w:rFonts w:ascii="Palatino Linotype" w:eastAsia="Palatino Linotype" w:hAnsi="Palatino Linotype" w:cs="Palatino Linotype"/>
        </w:rPr>
        <w:t>.</w:t>
      </w:r>
    </w:p>
    <w:p w14:paraId="3CA27E14"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Ahora bien, resulta procedente la interposición de los recursos de revisión, según lo aducido por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en términos del artículo 179, fracción VII del ordenamiento legal de la materia, que a la letra dice:</w:t>
      </w:r>
    </w:p>
    <w:p w14:paraId="40CBAAF2" w14:textId="77777777" w:rsidR="00B438BA" w:rsidRPr="00D9597F" w:rsidRDefault="000123B8">
      <w:pPr>
        <w:spacing w:before="240" w:after="240"/>
        <w:ind w:left="993" w:right="1041"/>
        <w:jc w:val="both"/>
        <w:rPr>
          <w:rFonts w:ascii="Palatino Linotype" w:eastAsia="Palatino Linotype" w:hAnsi="Palatino Linotype" w:cs="Palatino Linotype"/>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sz w:val="22"/>
          <w:szCs w:val="22"/>
        </w:rPr>
        <w:t>Artículo 179.</w:t>
      </w:r>
      <w:r w:rsidRPr="00D9597F">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D9597F">
        <w:rPr>
          <w:rFonts w:ascii="Palatino Linotype" w:eastAsia="Palatino Linotype" w:hAnsi="Palatino Linotype" w:cs="Palatino Linotype"/>
          <w:sz w:val="22"/>
          <w:szCs w:val="22"/>
        </w:rPr>
        <w:t> </w:t>
      </w:r>
    </w:p>
    <w:p w14:paraId="6069CC0C" w14:textId="77777777" w:rsidR="00B438BA" w:rsidRPr="00D9597F" w:rsidRDefault="000123B8">
      <w:pPr>
        <w:numPr>
          <w:ilvl w:val="0"/>
          <w:numId w:val="1"/>
        </w:numPr>
        <w:spacing w:before="240" w:after="240"/>
        <w:ind w:right="1041" w:hanging="87"/>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La falta de respuesta a una solicitud de acceso a la información…(Sic)</w:t>
      </w:r>
    </w:p>
    <w:p w14:paraId="55C5C2CC" w14:textId="77777777" w:rsidR="00B438BA" w:rsidRPr="00D9597F" w:rsidRDefault="000123B8">
      <w:pPr>
        <w:spacing w:before="280" w:after="28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Tercero. Materia de Revisión</w:t>
      </w:r>
      <w:r w:rsidRPr="00D9597F">
        <w:rPr>
          <w:rFonts w:ascii="Palatino Linotype" w:eastAsia="Palatino Linotype" w:hAnsi="Palatino Linotype" w:cs="Palatino Linotype"/>
        </w:rPr>
        <w:t xml:space="preserve">: De las constancias que integran los expedientes electrónicos se advierte que el tema sobre el que este Instituto se pronunciará será: </w:t>
      </w:r>
      <w:r w:rsidRPr="00D9597F">
        <w:rPr>
          <w:rFonts w:ascii="Palatino Linotype" w:eastAsia="Palatino Linotype" w:hAnsi="Palatino Linotype" w:cs="Palatino Linotype"/>
          <w:b/>
        </w:rPr>
        <w:t xml:space="preserve">verificar si la información remitida en el apartado de manifestaciones del SAIMEX por el SUJETO OBLIGADO es adecuada y suficiente para satisfacer el derecho de acceso a la información pública </w:t>
      </w:r>
      <w:r w:rsidRPr="00D9597F">
        <w:rPr>
          <w:rFonts w:ascii="Palatino Linotype" w:eastAsia="Palatino Linotype" w:hAnsi="Palatino Linotype" w:cs="Palatino Linotype"/>
        </w:rPr>
        <w:t xml:space="preserve">de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o en su defecto, en caso de ser procedente, ordenar la entrega de información.</w:t>
      </w:r>
    </w:p>
    <w:p w14:paraId="1ECEEF2B"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 xml:space="preserve">Cuarto. Estudio de fondo del asunto. </w:t>
      </w:r>
      <w:r w:rsidRPr="00D9597F">
        <w:rPr>
          <w:rFonts w:ascii="Palatino Linotype" w:eastAsia="Palatino Linotype" w:hAnsi="Palatino Linotype" w:cs="Palatino Linotype"/>
        </w:rPr>
        <w:t xml:space="preserve">Como se puede observar en los antecedentes de la presente resolución, 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fue omiso en emitir respuesta a la solicitud de información; sin embargo, con posterioridad mediante informe </w:t>
      </w:r>
      <w:r w:rsidRPr="00D9597F">
        <w:rPr>
          <w:rFonts w:ascii="Palatino Linotype" w:eastAsia="Palatino Linotype" w:hAnsi="Palatino Linotype" w:cs="Palatino Linotype"/>
        </w:rPr>
        <w:lastRenderedPageBreak/>
        <w:t xml:space="preserve">justificado remite un documento a través del cual pretende dar atención a la solicitud de acceso a la información número </w:t>
      </w:r>
      <w:r w:rsidRPr="00D9597F">
        <w:rPr>
          <w:rFonts w:ascii="Palatino Linotype" w:eastAsia="Palatino Linotype" w:hAnsi="Palatino Linotype" w:cs="Palatino Linotype"/>
          <w:b/>
        </w:rPr>
        <w:t>00018/TESE/IP/2024,</w:t>
      </w:r>
      <w:r w:rsidRPr="00D9597F">
        <w:rPr>
          <w:rFonts w:ascii="Palatino Linotype" w:eastAsia="Palatino Linotype" w:hAnsi="Palatino Linotype" w:cs="Palatino Linotype"/>
        </w:rPr>
        <w:t xml:space="preserve"> el cual será materia de análisis en el presente considerando. </w:t>
      </w:r>
    </w:p>
    <w:p w14:paraId="03B9FD0C" w14:textId="77777777" w:rsidR="00B438BA" w:rsidRPr="00D9597F" w:rsidRDefault="000123B8">
      <w:pPr>
        <w:spacing w:before="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Acotado lo anterior, con el fin de no dejar en estado de indefensión al </w:t>
      </w:r>
      <w:r w:rsidRPr="00D9597F">
        <w:rPr>
          <w:rFonts w:ascii="Palatino Linotype" w:eastAsia="Palatino Linotype" w:hAnsi="Palatino Linotype" w:cs="Palatino Linotype"/>
          <w:b/>
        </w:rPr>
        <w:t>RECURRENT</w:t>
      </w:r>
      <w:r w:rsidRPr="00D9597F">
        <w:rPr>
          <w:rFonts w:ascii="Palatino Linotype" w:eastAsia="Palatino Linotype" w:hAnsi="Palatino Linotype" w:cs="Palatino Linotype"/>
        </w:rPr>
        <w:t>E, resulta oportuno señalar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12D6039" w14:textId="77777777" w:rsidR="00B438BA" w:rsidRPr="00D9597F" w:rsidRDefault="00B438BA">
      <w:pPr>
        <w:spacing w:line="360" w:lineRule="auto"/>
        <w:jc w:val="both"/>
        <w:rPr>
          <w:rFonts w:ascii="Palatino Linotype" w:eastAsia="Palatino Linotype" w:hAnsi="Palatino Linotype" w:cs="Palatino Linotype"/>
        </w:rPr>
      </w:pPr>
    </w:p>
    <w:p w14:paraId="14D11A4A" w14:textId="77777777" w:rsidR="00B438BA" w:rsidRPr="00D9597F" w:rsidRDefault="000123B8">
      <w:pPr>
        <w:ind w:left="709" w:right="760"/>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i/>
          <w:sz w:val="22"/>
          <w:szCs w:val="22"/>
        </w:rPr>
        <w:t>Artículo 4</w:t>
      </w:r>
      <w:r w:rsidRPr="00D9597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4EA4979" w14:textId="77777777" w:rsidR="00B438BA" w:rsidRPr="00D9597F" w:rsidRDefault="000123B8">
      <w:pPr>
        <w:ind w:left="709" w:right="760"/>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D9597F">
        <w:rPr>
          <w:rFonts w:ascii="Palatino Linotype" w:eastAsia="Palatino Linotype" w:hAnsi="Palatino Linotype" w:cs="Palatino Linotype"/>
          <w:b/>
          <w:i/>
          <w:sz w:val="22"/>
          <w:szCs w:val="22"/>
        </w:rPr>
        <w:lastRenderedPageBreak/>
        <w:t>público, en los términos de las causas legítimas y estrictamente necesarias previstas por esta Ley.</w:t>
      </w:r>
    </w:p>
    <w:p w14:paraId="1B117077" w14:textId="77777777" w:rsidR="00B438BA" w:rsidRPr="00D9597F" w:rsidRDefault="000123B8">
      <w:pPr>
        <w:ind w:left="709" w:right="760"/>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7143FFA" w14:textId="77777777" w:rsidR="00B438BA" w:rsidRPr="00D9597F" w:rsidRDefault="00B438BA">
      <w:pPr>
        <w:spacing w:line="360" w:lineRule="auto"/>
        <w:jc w:val="both"/>
        <w:rPr>
          <w:rFonts w:ascii="Palatino Linotype" w:eastAsia="Palatino Linotype" w:hAnsi="Palatino Linotype" w:cs="Palatino Linotype"/>
        </w:rPr>
      </w:pPr>
    </w:p>
    <w:p w14:paraId="2EE71CE2"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D9597F">
        <w:rPr>
          <w:rFonts w:ascii="Palatino Linotype" w:eastAsia="Palatino Linotype" w:hAnsi="Palatino Linotype" w:cs="Palatino Linotype"/>
          <w:b/>
        </w:rPr>
        <w:t>artículo 12</w:t>
      </w:r>
      <w:r w:rsidRPr="00D9597F">
        <w:rPr>
          <w:rFonts w:ascii="Palatino Linotype" w:eastAsia="Palatino Linotype" w:hAnsi="Palatino Linotype" w:cs="Palatino Linotype"/>
        </w:rPr>
        <w:t xml:space="preserve"> de la Ley de Transparencia y Acceso a la Información Pública del Estado de México y Municipios, el cual a la letra dice:</w:t>
      </w:r>
    </w:p>
    <w:p w14:paraId="734BD361" w14:textId="77777777" w:rsidR="00B438BA" w:rsidRPr="00D9597F" w:rsidRDefault="00B438BA">
      <w:pPr>
        <w:spacing w:line="360" w:lineRule="auto"/>
        <w:jc w:val="both"/>
        <w:rPr>
          <w:rFonts w:ascii="Palatino Linotype" w:eastAsia="Palatino Linotype" w:hAnsi="Palatino Linotype" w:cs="Palatino Linotype"/>
        </w:rPr>
      </w:pPr>
    </w:p>
    <w:p w14:paraId="3EF922CE" w14:textId="77777777" w:rsidR="00B438BA" w:rsidRPr="00D9597F" w:rsidRDefault="000123B8">
      <w:pPr>
        <w:ind w:left="567" w:right="758"/>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i/>
          <w:sz w:val="22"/>
          <w:szCs w:val="22"/>
        </w:rPr>
        <w:t>Artículo 12</w:t>
      </w:r>
      <w:r w:rsidRPr="00D9597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6B90855" w14:textId="77777777" w:rsidR="00B438BA" w:rsidRPr="00D9597F" w:rsidRDefault="00B438BA">
      <w:pPr>
        <w:ind w:left="567" w:right="758"/>
        <w:jc w:val="both"/>
        <w:rPr>
          <w:rFonts w:ascii="Palatino Linotype" w:eastAsia="Palatino Linotype" w:hAnsi="Palatino Linotype" w:cs="Palatino Linotype"/>
          <w:i/>
          <w:sz w:val="22"/>
          <w:szCs w:val="22"/>
        </w:rPr>
      </w:pPr>
    </w:p>
    <w:p w14:paraId="33819A5E" w14:textId="77777777" w:rsidR="00B438BA" w:rsidRPr="00D9597F" w:rsidRDefault="000123B8">
      <w:pPr>
        <w:ind w:left="567" w:right="758"/>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E0BDACC" w14:textId="77777777" w:rsidR="00B438BA" w:rsidRPr="00D9597F" w:rsidRDefault="00B438BA">
      <w:pPr>
        <w:spacing w:line="360" w:lineRule="auto"/>
        <w:jc w:val="both"/>
        <w:rPr>
          <w:rFonts w:ascii="Palatino Linotype" w:eastAsia="Palatino Linotype" w:hAnsi="Palatino Linotype" w:cs="Palatino Linotype"/>
        </w:rPr>
      </w:pPr>
    </w:p>
    <w:p w14:paraId="77D584FF"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D9597F">
        <w:rPr>
          <w:rFonts w:ascii="Palatino Linotype" w:eastAsia="Palatino Linotype" w:hAnsi="Palatino Linotype" w:cs="Palatino Linotype"/>
          <w:b/>
        </w:rPr>
        <w:t xml:space="preserve"> </w:t>
      </w:r>
      <w:r w:rsidRPr="00D9597F">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D9597F">
        <w:rPr>
          <w:rFonts w:ascii="Palatino Linotype" w:eastAsia="Palatino Linotype" w:hAnsi="Palatino Linotype" w:cs="Palatino Linotype"/>
          <w:i/>
        </w:rPr>
        <w:t>ad hoc</w:t>
      </w:r>
      <w:r w:rsidRPr="00D9597F">
        <w:rPr>
          <w:rFonts w:ascii="Palatino Linotype" w:eastAsia="Palatino Linotype" w:hAnsi="Palatino Linotype" w:cs="Palatino Linotype"/>
        </w:rPr>
        <w:t xml:space="preserve">, para satisfacer el derecho de acceso a la información pública, como así lo establece los criterios 09/10 y 03/17 emitidos por el </w:t>
      </w:r>
      <w:r w:rsidRPr="00D9597F">
        <w:rPr>
          <w:rFonts w:ascii="Palatino Linotype" w:eastAsia="Palatino Linotype" w:hAnsi="Palatino Linotype" w:cs="Palatino Linotype"/>
        </w:rPr>
        <w:lastRenderedPageBreak/>
        <w:t>Instituto Nacional de Transparencia, Acceso a la Información Pública y Protección de Datos Personales, los cuales señalan lo siguiente:</w:t>
      </w:r>
    </w:p>
    <w:p w14:paraId="555C1004" w14:textId="77777777" w:rsidR="00B438BA" w:rsidRPr="00D9597F" w:rsidRDefault="00B438BA">
      <w:pPr>
        <w:spacing w:line="360" w:lineRule="auto"/>
        <w:jc w:val="both"/>
        <w:rPr>
          <w:rFonts w:ascii="Palatino Linotype" w:eastAsia="Palatino Linotype" w:hAnsi="Palatino Linotype" w:cs="Palatino Linotype"/>
        </w:rPr>
      </w:pPr>
    </w:p>
    <w:p w14:paraId="47DF3A27" w14:textId="77777777" w:rsidR="00B438BA" w:rsidRPr="00D9597F" w:rsidRDefault="000123B8">
      <w:pPr>
        <w:spacing w:before="120" w:after="240"/>
        <w:ind w:left="1134" w:right="902"/>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b/>
          <w:i/>
          <w:sz w:val="22"/>
          <w:szCs w:val="22"/>
        </w:rPr>
        <w:t>09/10</w:t>
      </w:r>
    </w:p>
    <w:p w14:paraId="59C6B5B2" w14:textId="77777777" w:rsidR="00B438BA" w:rsidRPr="00D9597F" w:rsidRDefault="000123B8">
      <w:pPr>
        <w:spacing w:before="120" w:after="240"/>
        <w:ind w:left="1134" w:right="902"/>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b/>
          <w:i/>
          <w:sz w:val="22"/>
          <w:szCs w:val="22"/>
        </w:rPr>
        <w:t>"LAS DEPENDENCIAS Y ENTIDADES NO ESTÁN OBLIGADAS A GENERAR DOCUMENTOS AD HOC PARA RESPONDER UNA SOLICITUD DE ACC ESO A LA INFORMACIÓN.</w:t>
      </w:r>
    </w:p>
    <w:p w14:paraId="37354B1A" w14:textId="77777777" w:rsidR="00B438BA" w:rsidRPr="00D9597F" w:rsidRDefault="000123B8">
      <w:pPr>
        <w:spacing w:before="120" w:after="240"/>
        <w:ind w:left="1134" w:right="902"/>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28EEB55" w14:textId="77777777" w:rsidR="00B438BA" w:rsidRPr="00D9597F" w:rsidRDefault="000123B8">
      <w:pPr>
        <w:spacing w:before="120" w:after="240"/>
        <w:ind w:left="1134" w:right="902"/>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b/>
          <w:i/>
          <w:sz w:val="22"/>
          <w:szCs w:val="22"/>
        </w:rPr>
        <w:t>03/17</w:t>
      </w:r>
    </w:p>
    <w:p w14:paraId="0FE6C8EA" w14:textId="77777777" w:rsidR="00B438BA" w:rsidRPr="00D9597F" w:rsidRDefault="000123B8">
      <w:pPr>
        <w:spacing w:before="120" w:after="240"/>
        <w:ind w:left="1134" w:right="902"/>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b/>
          <w:i/>
          <w:sz w:val="22"/>
          <w:szCs w:val="22"/>
        </w:rPr>
        <w:t>“NO EXISTE OBLIGACIÓN DE ELABORAR DOCUM ENTOS AD HOC PARA ATENDER LAS SOLICITUDES DE ACCESO A LA INFORM ACIÓN.</w:t>
      </w:r>
    </w:p>
    <w:p w14:paraId="23B672DB" w14:textId="77777777" w:rsidR="00B438BA" w:rsidRPr="00D9597F" w:rsidRDefault="000123B8">
      <w:pPr>
        <w:spacing w:before="120" w:after="240"/>
        <w:ind w:left="1134" w:right="902"/>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2960F7BA"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80C6EF1" w14:textId="77777777" w:rsidR="00B438BA" w:rsidRPr="00D9597F" w:rsidRDefault="00B438BA">
      <w:pPr>
        <w:spacing w:line="360" w:lineRule="auto"/>
        <w:jc w:val="both"/>
        <w:rPr>
          <w:rFonts w:ascii="Palatino Linotype" w:eastAsia="Palatino Linotype" w:hAnsi="Palatino Linotype" w:cs="Palatino Linotype"/>
        </w:rPr>
      </w:pPr>
    </w:p>
    <w:p w14:paraId="6008DB41" w14:textId="77777777" w:rsidR="00B438BA" w:rsidRPr="00D9597F" w:rsidRDefault="000123B8">
      <w:pPr>
        <w:spacing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ED0464C" w14:textId="77777777" w:rsidR="00B438BA" w:rsidRPr="00D9597F" w:rsidRDefault="00B438BA">
      <w:pPr>
        <w:jc w:val="both"/>
        <w:rPr>
          <w:rFonts w:ascii="Palatino Linotype" w:eastAsia="Palatino Linotype" w:hAnsi="Palatino Linotype" w:cs="Palatino Linotype"/>
        </w:rPr>
      </w:pPr>
    </w:p>
    <w:p w14:paraId="2725AADA"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B182D7B" w14:textId="77777777" w:rsidR="00B438BA" w:rsidRPr="00D9597F" w:rsidRDefault="00B438BA">
      <w:pPr>
        <w:ind w:left="1134" w:right="899"/>
        <w:jc w:val="both"/>
        <w:rPr>
          <w:rFonts w:ascii="Palatino Linotype" w:eastAsia="Palatino Linotype" w:hAnsi="Palatino Linotype" w:cs="Palatino Linotype"/>
          <w:i/>
          <w:sz w:val="22"/>
          <w:szCs w:val="22"/>
        </w:rPr>
      </w:pPr>
    </w:p>
    <w:p w14:paraId="1995C20B" w14:textId="77777777" w:rsidR="00B438BA" w:rsidRPr="00D9597F" w:rsidRDefault="000123B8">
      <w:pPr>
        <w:ind w:left="1134" w:right="899"/>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i/>
          <w:sz w:val="22"/>
          <w:szCs w:val="22"/>
        </w:rPr>
        <w:t xml:space="preserve">Artículo 3. </w:t>
      </w:r>
      <w:r w:rsidRPr="00D9597F">
        <w:rPr>
          <w:rFonts w:ascii="Palatino Linotype" w:eastAsia="Palatino Linotype" w:hAnsi="Palatino Linotype" w:cs="Palatino Linotype"/>
          <w:i/>
          <w:sz w:val="22"/>
          <w:szCs w:val="22"/>
        </w:rPr>
        <w:t>Para los efectos de la presente Ley se entenderá por:</w:t>
      </w:r>
    </w:p>
    <w:p w14:paraId="2141EB4D" w14:textId="77777777" w:rsidR="00B438BA" w:rsidRPr="00D9597F" w:rsidRDefault="000123B8">
      <w:pPr>
        <w:ind w:left="1134" w:right="899"/>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w:t>
      </w:r>
    </w:p>
    <w:p w14:paraId="78ECB180" w14:textId="77777777" w:rsidR="00B438BA" w:rsidRPr="00D9597F" w:rsidRDefault="000123B8">
      <w:pPr>
        <w:ind w:left="1134" w:right="899"/>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b/>
          <w:i/>
          <w:sz w:val="22"/>
          <w:szCs w:val="22"/>
        </w:rPr>
        <w:t>XI. Documento:</w:t>
      </w:r>
      <w:r w:rsidRPr="00D9597F">
        <w:rPr>
          <w:rFonts w:ascii="Palatino Linotype" w:eastAsia="Palatino Linotype" w:hAnsi="Palatino Linotype" w:cs="Palatino Linotype"/>
          <w:i/>
          <w:sz w:val="22"/>
          <w:szCs w:val="22"/>
        </w:rPr>
        <w:t xml:space="preserve"> Los expedientes, reportes, estudios, </w:t>
      </w:r>
      <w:r w:rsidRPr="00D9597F">
        <w:rPr>
          <w:rFonts w:ascii="Palatino Linotype" w:eastAsia="Palatino Linotype" w:hAnsi="Palatino Linotype" w:cs="Palatino Linotype"/>
          <w:b/>
          <w:i/>
          <w:sz w:val="22"/>
          <w:szCs w:val="22"/>
        </w:rPr>
        <w:t>actas,</w:t>
      </w:r>
      <w:r w:rsidRPr="00D9597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roofErr w:type="gramStart"/>
      <w:r w:rsidRPr="00D9597F">
        <w:rPr>
          <w:rFonts w:ascii="Palatino Linotype" w:eastAsia="Palatino Linotype" w:hAnsi="Palatino Linotype" w:cs="Palatino Linotype"/>
          <w:b/>
          <w:i/>
          <w:sz w:val="22"/>
          <w:szCs w:val="22"/>
        </w:rPr>
        <w:t>…</w:t>
      </w:r>
      <w:r w:rsidRPr="00D9597F">
        <w:rPr>
          <w:rFonts w:ascii="Palatino Linotype" w:eastAsia="Palatino Linotype" w:hAnsi="Palatino Linotype" w:cs="Palatino Linotype"/>
          <w:i/>
          <w:sz w:val="22"/>
          <w:szCs w:val="22"/>
        </w:rPr>
        <w:t>”(</w:t>
      </w:r>
      <w:proofErr w:type="gramEnd"/>
      <w:r w:rsidRPr="00D9597F">
        <w:rPr>
          <w:rFonts w:ascii="Palatino Linotype" w:eastAsia="Palatino Linotype" w:hAnsi="Palatino Linotype" w:cs="Palatino Linotype"/>
          <w:i/>
          <w:sz w:val="22"/>
          <w:szCs w:val="22"/>
        </w:rPr>
        <w:t>Sic)</w:t>
      </w:r>
    </w:p>
    <w:p w14:paraId="2B62751C" w14:textId="77777777" w:rsidR="00B438BA" w:rsidRPr="00D9597F" w:rsidRDefault="00B438BA">
      <w:pPr>
        <w:ind w:left="851" w:right="899"/>
        <w:jc w:val="both"/>
        <w:rPr>
          <w:rFonts w:ascii="Palatino Linotype" w:eastAsia="Palatino Linotype" w:hAnsi="Palatino Linotype" w:cs="Palatino Linotype"/>
          <w:i/>
          <w:sz w:val="22"/>
          <w:szCs w:val="22"/>
        </w:rPr>
      </w:pPr>
    </w:p>
    <w:p w14:paraId="7B338584"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2960AB3" w14:textId="77777777" w:rsidR="00B438BA" w:rsidRPr="00D9597F" w:rsidRDefault="00B438BA">
      <w:pPr>
        <w:ind w:left="851" w:right="899"/>
        <w:jc w:val="both"/>
        <w:rPr>
          <w:rFonts w:ascii="Palatino Linotype" w:eastAsia="Palatino Linotype" w:hAnsi="Palatino Linotype" w:cs="Palatino Linotype"/>
        </w:rPr>
      </w:pPr>
    </w:p>
    <w:p w14:paraId="51251E50" w14:textId="77777777" w:rsidR="00B438BA" w:rsidRPr="00D9597F" w:rsidRDefault="000123B8">
      <w:pPr>
        <w:ind w:left="1134" w:right="899"/>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b/>
          <w:sz w:val="22"/>
          <w:szCs w:val="22"/>
        </w:rPr>
        <w:t>“</w:t>
      </w:r>
      <w:r w:rsidRPr="00D9597F">
        <w:rPr>
          <w:rFonts w:ascii="Palatino Linotype" w:eastAsia="Palatino Linotype" w:hAnsi="Palatino Linotype" w:cs="Palatino Linotype"/>
          <w:b/>
          <w:i/>
          <w:sz w:val="22"/>
          <w:szCs w:val="22"/>
        </w:rPr>
        <w:t>CRITERIO 0002-11</w:t>
      </w:r>
    </w:p>
    <w:p w14:paraId="1808C021" w14:textId="77777777" w:rsidR="00B438BA" w:rsidRPr="00D9597F" w:rsidRDefault="000123B8">
      <w:pPr>
        <w:ind w:left="1134" w:right="899"/>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9597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2BF6D09" w14:textId="77777777" w:rsidR="00B438BA" w:rsidRPr="00D9597F" w:rsidRDefault="000123B8">
      <w:pPr>
        <w:ind w:left="1134" w:right="899"/>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4C6AAD8" w14:textId="77777777" w:rsidR="00B438BA" w:rsidRPr="00D9597F" w:rsidRDefault="000123B8">
      <w:pPr>
        <w:ind w:left="1134" w:right="899"/>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b/>
          <w:i/>
          <w:sz w:val="22"/>
          <w:szCs w:val="22"/>
        </w:rPr>
        <w:t>1) Que se trate de información registrada en cualquier soporte documental, que en ejercicio de las atribuciones conferidas, sea generada por los Sujetos Obligados;</w:t>
      </w:r>
    </w:p>
    <w:p w14:paraId="7494D943" w14:textId="77777777" w:rsidR="00B438BA" w:rsidRPr="00D9597F" w:rsidRDefault="000123B8">
      <w:pPr>
        <w:ind w:left="1134" w:right="899"/>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0D5FD368" w14:textId="77777777" w:rsidR="00B438BA" w:rsidRPr="00D9597F" w:rsidRDefault="000123B8">
      <w:pPr>
        <w:ind w:left="1134" w:right="899"/>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lastRenderedPageBreak/>
        <w:t>3) Que se trate de información registrada en cualquier soporte documental, que en ejercicio de las atribuciones conferidas, se encuentre en posesión de los Sujetos Obligados.”</w:t>
      </w:r>
    </w:p>
    <w:p w14:paraId="303DFE32" w14:textId="77777777" w:rsidR="00B438BA" w:rsidRPr="00D9597F" w:rsidRDefault="00B438BA">
      <w:pPr>
        <w:ind w:left="1134" w:right="1041"/>
        <w:jc w:val="both"/>
        <w:rPr>
          <w:rFonts w:ascii="Palatino Linotype" w:eastAsia="Palatino Linotype" w:hAnsi="Palatino Linotype" w:cs="Palatino Linotype"/>
          <w:sz w:val="22"/>
          <w:szCs w:val="22"/>
        </w:rPr>
      </w:pPr>
    </w:p>
    <w:p w14:paraId="554D8D98" w14:textId="77777777" w:rsidR="00B438BA" w:rsidRPr="00D9597F" w:rsidRDefault="000123B8">
      <w:pPr>
        <w:spacing w:before="280" w:after="28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De ahí que 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w:t>
      </w:r>
      <w:r w:rsidRPr="00D9597F">
        <w:rPr>
          <w:rFonts w:ascii="Palatino Linotype" w:eastAsia="Palatino Linotype" w:hAnsi="Palatino Linotype" w:cs="Palatino Linotype"/>
          <w:vertAlign w:val="superscript"/>
        </w:rPr>
        <w:footnoteReference w:id="2"/>
      </w:r>
      <w:r w:rsidRPr="00D9597F">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9597F">
        <w:rPr>
          <w:rFonts w:ascii="Palatino Linotype" w:eastAsia="Palatino Linotype" w:hAnsi="Palatino Linotype" w:cs="Palatino Linotype"/>
          <w:vertAlign w:val="superscript"/>
        </w:rPr>
        <w:footnoteReference w:id="3"/>
      </w:r>
      <w:r w:rsidRPr="00D9597F">
        <w:rPr>
          <w:rFonts w:ascii="Palatino Linotype" w:eastAsia="Palatino Linotype" w:hAnsi="Palatino Linotype" w:cs="Palatino Linotype"/>
        </w:rPr>
        <w:t>.</w:t>
      </w:r>
    </w:p>
    <w:p w14:paraId="1B3DDA5C" w14:textId="77777777" w:rsidR="00B438BA" w:rsidRPr="00D9597F" w:rsidRDefault="000123B8">
      <w:pPr>
        <w:spacing w:line="360" w:lineRule="auto"/>
        <w:ind w:right="51"/>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del área de Servicio Social le proporcionara, lo siguiente:</w:t>
      </w:r>
    </w:p>
    <w:p w14:paraId="2EEEC29B" w14:textId="77777777" w:rsidR="00B438BA" w:rsidRPr="00D9597F" w:rsidRDefault="00B438BA">
      <w:pPr>
        <w:spacing w:line="360" w:lineRule="auto"/>
        <w:ind w:right="51"/>
        <w:jc w:val="both"/>
        <w:rPr>
          <w:rFonts w:ascii="Palatino Linotype" w:eastAsia="Palatino Linotype" w:hAnsi="Palatino Linotype" w:cs="Palatino Linotype"/>
        </w:rPr>
      </w:pPr>
    </w:p>
    <w:p w14:paraId="18AC7D37" w14:textId="77777777" w:rsidR="00B438BA" w:rsidRPr="00D9597F" w:rsidRDefault="000123B8">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D9597F">
        <w:rPr>
          <w:rFonts w:ascii="Palatino Linotype" w:eastAsia="Palatino Linotype" w:hAnsi="Palatino Linotype" w:cs="Palatino Linotype"/>
        </w:rPr>
        <w:t>El nombre del Servidor Público responsable del área.</w:t>
      </w:r>
    </w:p>
    <w:p w14:paraId="2C4C76B5" w14:textId="77777777" w:rsidR="00B438BA" w:rsidRPr="00D9597F" w:rsidRDefault="000123B8">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Las Secretarias que atienden dicha área. </w:t>
      </w:r>
    </w:p>
    <w:p w14:paraId="0C72BB6C" w14:textId="77777777" w:rsidR="00B438BA" w:rsidRPr="00D9597F" w:rsidRDefault="000123B8">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El calendario donde se especifique las fechas de registro de servicio social (Alta de Entidad externa, registro de servicio social en el </w:t>
      </w:r>
      <w:proofErr w:type="spellStart"/>
      <w:r w:rsidRPr="00D9597F">
        <w:rPr>
          <w:rFonts w:ascii="Palatino Linotype" w:eastAsia="Palatino Linotype" w:hAnsi="Palatino Linotype" w:cs="Palatino Linotype"/>
        </w:rPr>
        <w:t>xook</w:t>
      </w:r>
      <w:proofErr w:type="spellEnd"/>
      <w:r w:rsidRPr="00D9597F">
        <w:rPr>
          <w:rFonts w:ascii="Palatino Linotype" w:eastAsia="Palatino Linotype" w:hAnsi="Palatino Linotype" w:cs="Palatino Linotype"/>
        </w:rPr>
        <w:t xml:space="preserve">, fechas de </w:t>
      </w:r>
      <w:r w:rsidRPr="00D9597F">
        <w:rPr>
          <w:rFonts w:ascii="Palatino Linotype" w:eastAsia="Palatino Linotype" w:hAnsi="Palatino Linotype" w:cs="Palatino Linotype"/>
        </w:rPr>
        <w:lastRenderedPageBreak/>
        <w:t>entrega de carta de presentación y de aceptación, y fechas de entrega de reportes bimestrales y el final.</w:t>
      </w:r>
    </w:p>
    <w:p w14:paraId="288CE485" w14:textId="77777777" w:rsidR="00B438BA" w:rsidRPr="00D9597F" w:rsidRDefault="000123B8">
      <w:pPr>
        <w:widowControl w:val="0"/>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D9597F">
        <w:rPr>
          <w:rFonts w:ascii="Palatino Linotype" w:eastAsia="Palatino Linotype" w:hAnsi="Palatino Linotype" w:cs="Palatino Linotype"/>
        </w:rPr>
        <w:t>Si existe un manual de procedimientos para el registro del servicio social.</w:t>
      </w:r>
    </w:p>
    <w:p w14:paraId="40278454" w14:textId="77777777" w:rsidR="00B438BA" w:rsidRPr="00D9597F" w:rsidRDefault="00B438BA">
      <w:pPr>
        <w:widowControl w:val="0"/>
        <w:spacing w:line="360" w:lineRule="auto"/>
        <w:ind w:right="51"/>
        <w:jc w:val="both"/>
        <w:rPr>
          <w:rFonts w:ascii="Palatino Linotype" w:eastAsia="Palatino Linotype" w:hAnsi="Palatino Linotype" w:cs="Palatino Linotype"/>
        </w:rPr>
      </w:pPr>
    </w:p>
    <w:p w14:paraId="470C6554" w14:textId="77777777" w:rsidR="00B438BA" w:rsidRPr="00D9597F" w:rsidRDefault="000123B8">
      <w:pPr>
        <w:widowControl w:val="0"/>
        <w:spacing w:line="360" w:lineRule="auto"/>
        <w:ind w:right="51"/>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Por su parte, 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omitió dar respuesta al requerimiento del particular.</w:t>
      </w:r>
    </w:p>
    <w:p w14:paraId="4198270D"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Inconforme por la falta de respuesta,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xml:space="preserve"> interpuso el presente recurso de revisión.</w:t>
      </w:r>
    </w:p>
    <w:p w14:paraId="051EE7E8"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Una vez notificado el recurso de revisión al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este a través su el Encargado del Despacho de los Asuntos del Departamento de Servicio Social y Seguimiento de Egresados, dio contestación a cada uno de los requerimientos de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xml:space="preserve">. </w:t>
      </w:r>
    </w:p>
    <w:p w14:paraId="0DB35C04"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En ese sentido de </w:t>
      </w:r>
      <w:proofErr w:type="spellStart"/>
      <w:r w:rsidRPr="00D9597F">
        <w:rPr>
          <w:rFonts w:ascii="Palatino Linotype" w:eastAsia="Palatino Linotype" w:hAnsi="Palatino Linotype" w:cs="Palatino Linotype"/>
        </w:rPr>
        <w:t>procede</w:t>
      </w:r>
      <w:proofErr w:type="spellEnd"/>
      <w:r w:rsidRPr="00D9597F">
        <w:rPr>
          <w:rFonts w:ascii="Palatino Linotype" w:eastAsia="Palatino Linotype" w:hAnsi="Palatino Linotype" w:cs="Palatino Linotype"/>
        </w:rPr>
        <w:t xml:space="preserve"> hacer un cuadro comparativo de la información solicitada con la entregada en informe justificado, para determinar si colma el derecho de acceso a la información pública, conforme a lo siguiente:</w:t>
      </w:r>
    </w:p>
    <w:tbl>
      <w:tblPr>
        <w:tblStyle w:val="ac"/>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9"/>
        <w:gridCol w:w="5424"/>
        <w:gridCol w:w="1701"/>
      </w:tblGrid>
      <w:tr w:rsidR="00D9597F" w:rsidRPr="00D9597F" w14:paraId="36DD5507" w14:textId="77777777">
        <w:tc>
          <w:tcPr>
            <w:tcW w:w="1659" w:type="dxa"/>
          </w:tcPr>
          <w:p w14:paraId="34DDC9CA"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Requerimiento</w:t>
            </w:r>
          </w:p>
        </w:tc>
        <w:tc>
          <w:tcPr>
            <w:tcW w:w="5424" w:type="dxa"/>
          </w:tcPr>
          <w:p w14:paraId="3B931709"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 xml:space="preserve">Informe Justificado </w:t>
            </w:r>
          </w:p>
          <w:p w14:paraId="14E78725" w14:textId="77777777" w:rsidR="00B438BA" w:rsidRPr="00D9597F" w:rsidRDefault="000123B8">
            <w:pPr>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Encargado del Despacho de los Asuntos del Departamento de Servicio Social y Seguimiento de Egresados</w:t>
            </w:r>
          </w:p>
        </w:tc>
        <w:tc>
          <w:tcPr>
            <w:tcW w:w="1701" w:type="dxa"/>
          </w:tcPr>
          <w:p w14:paraId="113845E0"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Colma</w:t>
            </w:r>
          </w:p>
        </w:tc>
      </w:tr>
      <w:tr w:rsidR="00D9597F" w:rsidRPr="00D9597F" w14:paraId="47E8DA9E" w14:textId="77777777">
        <w:tc>
          <w:tcPr>
            <w:tcW w:w="1659" w:type="dxa"/>
          </w:tcPr>
          <w:p w14:paraId="6413BF4A"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 xml:space="preserve">1. El nombre del Servidor Público responsable del área de Servicio Social. </w:t>
            </w:r>
          </w:p>
        </w:tc>
        <w:tc>
          <w:tcPr>
            <w:tcW w:w="5424" w:type="dxa"/>
          </w:tcPr>
          <w:p w14:paraId="649E5A3D"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Mtro. Jorge Rojas Sánchez, Encargado del Despacho de los Asuntos del Departamento de Servicio Social y Seguimiento de Egresados</w:t>
            </w:r>
          </w:p>
        </w:tc>
        <w:tc>
          <w:tcPr>
            <w:tcW w:w="1701" w:type="dxa"/>
          </w:tcPr>
          <w:p w14:paraId="29F8C6A1"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 xml:space="preserve">Sí </w:t>
            </w:r>
          </w:p>
        </w:tc>
      </w:tr>
      <w:tr w:rsidR="00D9597F" w:rsidRPr="00D9597F" w14:paraId="6279D2BF" w14:textId="77777777">
        <w:tc>
          <w:tcPr>
            <w:tcW w:w="1659" w:type="dxa"/>
          </w:tcPr>
          <w:p w14:paraId="4B17A7DB"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lastRenderedPageBreak/>
              <w:t xml:space="preserve">2. Las Secretarias que atienden dicha Área. </w:t>
            </w:r>
          </w:p>
        </w:tc>
        <w:tc>
          <w:tcPr>
            <w:tcW w:w="5424" w:type="dxa"/>
          </w:tcPr>
          <w:p w14:paraId="658F48D5"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El puesto de secretaria solo tiene una persona la C. María Guadalupe Torres Galindo.</w:t>
            </w:r>
          </w:p>
        </w:tc>
        <w:tc>
          <w:tcPr>
            <w:tcW w:w="1701" w:type="dxa"/>
          </w:tcPr>
          <w:p w14:paraId="44EA1022"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 xml:space="preserve">Sí </w:t>
            </w:r>
          </w:p>
        </w:tc>
      </w:tr>
      <w:tr w:rsidR="00D9597F" w:rsidRPr="00D9597F" w14:paraId="325D3BFE" w14:textId="77777777">
        <w:tc>
          <w:tcPr>
            <w:tcW w:w="1659" w:type="dxa"/>
          </w:tcPr>
          <w:p w14:paraId="7696E6E3"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 xml:space="preserve">3. El calendario donde se especifique las fechas de registro de servicio social (Alta de Entidad externa, registro de servicio social en el </w:t>
            </w:r>
            <w:proofErr w:type="spellStart"/>
            <w:r w:rsidRPr="00D9597F">
              <w:rPr>
                <w:rFonts w:ascii="Palatino Linotype" w:eastAsia="Palatino Linotype" w:hAnsi="Palatino Linotype" w:cs="Palatino Linotype"/>
                <w:sz w:val="20"/>
                <w:szCs w:val="20"/>
              </w:rPr>
              <w:t>xook</w:t>
            </w:r>
            <w:proofErr w:type="spellEnd"/>
            <w:r w:rsidRPr="00D9597F">
              <w:rPr>
                <w:rFonts w:ascii="Palatino Linotype" w:eastAsia="Palatino Linotype" w:hAnsi="Palatino Linotype" w:cs="Palatino Linotype"/>
                <w:sz w:val="20"/>
                <w:szCs w:val="20"/>
              </w:rPr>
              <w:t>, fechas de entrega de carta de presentación y de aceptación, y fechas de entrega de reportes bimestrales y el final.)</w:t>
            </w:r>
          </w:p>
        </w:tc>
        <w:tc>
          <w:tcPr>
            <w:tcW w:w="5424" w:type="dxa"/>
          </w:tcPr>
          <w:p w14:paraId="16249C30"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Se anexa calendario para la Atención del Servicio Social 2024-2 y se pone a su consideración la información correspondiente, en la liga siguiente: https://www.tese.edu.mx/tese2020/loader2020.aspx?n=KVSYVTXH#</w:t>
            </w:r>
          </w:p>
        </w:tc>
        <w:tc>
          <w:tcPr>
            <w:tcW w:w="1701" w:type="dxa"/>
          </w:tcPr>
          <w:p w14:paraId="15888B85"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 xml:space="preserve">Sí </w:t>
            </w:r>
          </w:p>
        </w:tc>
      </w:tr>
      <w:tr w:rsidR="00D9597F" w:rsidRPr="00D9597F" w14:paraId="5FA623D8" w14:textId="77777777">
        <w:tc>
          <w:tcPr>
            <w:tcW w:w="1659" w:type="dxa"/>
          </w:tcPr>
          <w:p w14:paraId="3DD34E79"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4. Si existe un manual de procedimientos para el registro del servicio social</w:t>
            </w:r>
          </w:p>
        </w:tc>
        <w:tc>
          <w:tcPr>
            <w:tcW w:w="5424" w:type="dxa"/>
          </w:tcPr>
          <w:p w14:paraId="6E765192"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Al respecto se cuenta con el Procedimiento para la Acreditación del Servicio Social.</w:t>
            </w:r>
          </w:p>
        </w:tc>
        <w:tc>
          <w:tcPr>
            <w:tcW w:w="1701" w:type="dxa"/>
          </w:tcPr>
          <w:p w14:paraId="4C24312B" w14:textId="77777777" w:rsidR="00B438BA" w:rsidRPr="00D9597F" w:rsidRDefault="000123B8">
            <w:pPr>
              <w:spacing w:before="240"/>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 xml:space="preserve">No </w:t>
            </w:r>
          </w:p>
          <w:p w14:paraId="237F2473" w14:textId="77777777" w:rsidR="00B438BA" w:rsidRPr="00D9597F" w:rsidRDefault="000123B8">
            <w:pPr>
              <w:ind w:right="51"/>
              <w:jc w:val="both"/>
              <w:rPr>
                <w:rFonts w:ascii="Palatino Linotype" w:eastAsia="Palatino Linotype" w:hAnsi="Palatino Linotype" w:cs="Palatino Linotype"/>
                <w:sz w:val="20"/>
                <w:szCs w:val="20"/>
              </w:rPr>
            </w:pPr>
            <w:r w:rsidRPr="00D9597F">
              <w:rPr>
                <w:rFonts w:ascii="Palatino Linotype" w:eastAsia="Palatino Linotype" w:hAnsi="Palatino Linotype" w:cs="Palatino Linotype"/>
                <w:sz w:val="20"/>
                <w:szCs w:val="20"/>
              </w:rPr>
              <w:t xml:space="preserve">El particular fue claro en solicitar el Manual de Procedimientos para el Registro del Servicio Social y el Sujeto Obligado, señaló que se cuenta con el Procedimiento para la </w:t>
            </w:r>
            <w:r w:rsidRPr="00D9597F">
              <w:rPr>
                <w:rFonts w:ascii="Palatino Linotype" w:eastAsia="Palatino Linotype" w:hAnsi="Palatino Linotype" w:cs="Palatino Linotype"/>
                <w:sz w:val="20"/>
                <w:szCs w:val="20"/>
              </w:rPr>
              <w:lastRenderedPageBreak/>
              <w:t xml:space="preserve">Acreditación del Servicio Social, lo que no se solicitó. </w:t>
            </w:r>
          </w:p>
        </w:tc>
      </w:tr>
    </w:tbl>
    <w:p w14:paraId="03BA0E08"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lastRenderedPageBreak/>
        <w:t xml:space="preserve">Conforme a lo anterior el área del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que proporcionó la información fue el propio Encargado del Despacho de los Asuntos del Departamento de Servicio Social y Seguimiento de Egresados, que en términos de lo señalado por el Manual General de Organización del Tecnológico de Estudios Superiores de Ecatepec, tiene las siguientes atribuciones:</w:t>
      </w:r>
    </w:p>
    <w:p w14:paraId="13B9065A" w14:textId="77777777" w:rsidR="00B438BA" w:rsidRPr="00D9597F" w:rsidRDefault="000123B8">
      <w:pPr>
        <w:spacing w:before="240" w:after="240"/>
        <w:ind w:left="993" w:right="1041"/>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205D14002 DEPARTAMENTO DE SERVICIO SOCIAL Y SEGUIMIENTO DE EGRESADOS </w:t>
      </w:r>
    </w:p>
    <w:p w14:paraId="3C355C13" w14:textId="77777777" w:rsidR="00B438BA" w:rsidRPr="00D9597F" w:rsidRDefault="000123B8">
      <w:pPr>
        <w:spacing w:before="240" w:after="240"/>
        <w:ind w:left="993" w:right="1041"/>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OBJETIVO: Organizar y promover, coordinadamente con los sectores público y social, espacios reales de formación profesional para la prestación del servicio social, así como llevar a cabo el seguimiento de las egresadas y egresados del Tecnológico. </w:t>
      </w:r>
    </w:p>
    <w:p w14:paraId="661A1346" w14:textId="77777777" w:rsidR="00B438BA" w:rsidRPr="00D9597F" w:rsidRDefault="000123B8">
      <w:pPr>
        <w:spacing w:before="240" w:after="240"/>
        <w:ind w:left="993" w:right="1041"/>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FUNCIONES: </w:t>
      </w:r>
    </w:p>
    <w:p w14:paraId="1162647C" w14:textId="77777777" w:rsidR="00B438BA" w:rsidRPr="00D9597F" w:rsidRDefault="000123B8">
      <w:pPr>
        <w:spacing w:before="240"/>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-Atender las solicitudes de servicio social de las unidades administrativas del Tecnológico y dependencias, prestadoras y prestadores de bienes y servicios. -Dar seguimiento a los convenios de coordinación o colaboración con instituciones públicas y sociales, a fin de que las alumnas y alumnos del Tecnológico, efectúen su servicio social, como complemento de su desarrollo académico. </w:t>
      </w:r>
    </w:p>
    <w:p w14:paraId="06B5ACC9" w14:textId="77777777" w:rsidR="00B438BA" w:rsidRPr="00D9597F" w:rsidRDefault="000123B8">
      <w:pPr>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i/>
          <w:sz w:val="22"/>
          <w:szCs w:val="22"/>
        </w:rPr>
        <w:t>Elaborar y llevar el seguimiento de los programas anuales de servicio social interno y externo.</w:t>
      </w:r>
      <w:r w:rsidRPr="00D9597F">
        <w:rPr>
          <w:rFonts w:ascii="Palatino Linotype" w:eastAsia="Palatino Linotype" w:hAnsi="Palatino Linotype" w:cs="Palatino Linotype"/>
          <w:i/>
          <w:sz w:val="22"/>
          <w:szCs w:val="22"/>
        </w:rPr>
        <w:t xml:space="preserve"> </w:t>
      </w:r>
    </w:p>
    <w:p w14:paraId="02B2564B" w14:textId="77777777" w:rsidR="00B438BA" w:rsidRPr="00D9597F" w:rsidRDefault="000123B8">
      <w:pPr>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-Proponer a la Unidad de Servicio Social del Estado de México, la incorporación de instituciones prestadoras y prestadores de bienes y servicios, en las que puedan realizar el servicio social las alumnas y alumnos del Tecnológico. </w:t>
      </w:r>
    </w:p>
    <w:p w14:paraId="0EA5225D" w14:textId="77777777" w:rsidR="00B438BA" w:rsidRPr="00D9597F" w:rsidRDefault="000123B8">
      <w:pPr>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-Expedir cartas de presentación a las y los estudiantes que deseen efectuar su servicio social, en las dependencias que estén autorizadas para ser receptoras y celebrar convenios. </w:t>
      </w:r>
    </w:p>
    <w:p w14:paraId="7023F638" w14:textId="77777777" w:rsidR="00B438BA" w:rsidRPr="00D9597F" w:rsidRDefault="000123B8">
      <w:pPr>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lastRenderedPageBreak/>
        <w:t xml:space="preserve">-Realizar el seguimiento a los trámites para la prestación y liberación del servicio social interno y externo. </w:t>
      </w:r>
    </w:p>
    <w:p w14:paraId="2EA9A82C" w14:textId="77777777" w:rsidR="00B438BA" w:rsidRPr="00D9597F" w:rsidRDefault="000123B8">
      <w:pPr>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-Generar la documentación que acredite el cumplimiento del servicio social interno y externo. </w:t>
      </w:r>
    </w:p>
    <w:p w14:paraId="3DA57421" w14:textId="77777777" w:rsidR="00B438BA" w:rsidRPr="00D9597F" w:rsidRDefault="000123B8">
      <w:pPr>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-Verificar que la Dirección Académica y las Jefaturas de División, realicen la designación de las profesoras y profesores del Tecnológico que supervisarán a las y los estudiantes durante la presentación del servicio social. </w:t>
      </w:r>
    </w:p>
    <w:p w14:paraId="0F64EF28" w14:textId="77777777" w:rsidR="00B438BA" w:rsidRPr="00D9597F" w:rsidRDefault="000123B8">
      <w:pPr>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-Dar seguimiento a las egresadas y egresados del Tecnológico, tanto de Licenciatura como de Posgrado, con la finalidad de detectar necesidades en beneficio de la Institución, además de recabar información para la mejor toma de decisiones. </w:t>
      </w:r>
    </w:p>
    <w:p w14:paraId="2E378ADA" w14:textId="77777777" w:rsidR="00B438BA" w:rsidRPr="00D9597F" w:rsidRDefault="000123B8">
      <w:pPr>
        <w:ind w:left="992" w:right="1043"/>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-Desarrollar las demás funciones inherentes al área de su competencia.</w:t>
      </w:r>
    </w:p>
    <w:p w14:paraId="23D6A550" w14:textId="77777777" w:rsidR="00B438BA" w:rsidRPr="00D9597F" w:rsidRDefault="00B438BA">
      <w:pPr>
        <w:spacing w:line="360" w:lineRule="auto"/>
        <w:ind w:right="49"/>
        <w:jc w:val="both"/>
        <w:rPr>
          <w:rFonts w:ascii="Palatino Linotype" w:eastAsia="Palatino Linotype" w:hAnsi="Palatino Linotype" w:cs="Palatino Linotype"/>
        </w:rPr>
      </w:pPr>
    </w:p>
    <w:p w14:paraId="7C90B8EA"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Siendo el área del Tecnológico de Estudios Superiores de Ecatepec, que le corresponde el de conocer todo lo relacionado con el servicio social así como elaborar y llevar el seguimiento de los programas anuales de servicio social interno y externo, siendo el área competente para conocer de lo peticionado.</w:t>
      </w:r>
    </w:p>
    <w:p w14:paraId="5712D474" w14:textId="77777777" w:rsidR="00B438BA" w:rsidRPr="00D9597F" w:rsidRDefault="00B438BA">
      <w:pPr>
        <w:spacing w:line="360" w:lineRule="auto"/>
        <w:ind w:right="51"/>
        <w:jc w:val="both"/>
        <w:rPr>
          <w:rFonts w:ascii="Palatino Linotype" w:eastAsia="Palatino Linotype" w:hAnsi="Palatino Linotype" w:cs="Palatino Linotype"/>
        </w:rPr>
      </w:pPr>
    </w:p>
    <w:p w14:paraId="086D5244" w14:textId="77777777" w:rsidR="00B438BA" w:rsidRPr="00D9597F" w:rsidRDefault="000123B8">
      <w:pPr>
        <w:spacing w:line="360" w:lineRule="auto"/>
        <w:ind w:right="51"/>
        <w:jc w:val="both"/>
        <w:rPr>
          <w:rFonts w:ascii="Palatino Linotype" w:eastAsia="Palatino Linotype" w:hAnsi="Palatino Linotype" w:cs="Palatino Linotype"/>
        </w:rPr>
      </w:pPr>
      <w:r w:rsidRPr="00D9597F">
        <w:rPr>
          <w:rFonts w:ascii="Palatino Linotype" w:eastAsia="Palatino Linotype" w:hAnsi="Palatino Linotype" w:cs="Palatino Linotype"/>
        </w:rPr>
        <w:t>En otro orden de ideas, es pertinente aclarar que en cuanto a la liga electrónica entregada es necesario precisar que esta fue proporcionada en datos abiertos y al acceder a esta nos accede a la siguiente información:</w:t>
      </w:r>
    </w:p>
    <w:p w14:paraId="64F9B24C" w14:textId="77777777" w:rsidR="00B438BA" w:rsidRPr="00D9597F" w:rsidRDefault="008D533C">
      <w:pPr>
        <w:spacing w:before="240" w:line="360" w:lineRule="auto"/>
        <w:ind w:right="49"/>
        <w:jc w:val="both"/>
        <w:rPr>
          <w:rFonts w:ascii="Palatino Linotype" w:eastAsia="Palatino Linotype" w:hAnsi="Palatino Linotype" w:cs="Palatino Linotype"/>
          <w:sz w:val="20"/>
          <w:szCs w:val="20"/>
        </w:rPr>
      </w:pPr>
      <w:hyperlink r:id="rId10">
        <w:r w:rsidR="000123B8" w:rsidRPr="00D9597F">
          <w:rPr>
            <w:rFonts w:ascii="Palatino Linotype" w:eastAsia="Palatino Linotype" w:hAnsi="Palatino Linotype" w:cs="Palatino Linotype"/>
            <w:sz w:val="20"/>
            <w:szCs w:val="20"/>
            <w:u w:val="single"/>
          </w:rPr>
          <w:t>https://www.tese.edu.mx/tese2020/loader2020.aspx?n=KVSYVTXH#</w:t>
        </w:r>
      </w:hyperlink>
    </w:p>
    <w:p w14:paraId="5A3A0545"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noProof/>
          <w:lang w:val="es-MX" w:eastAsia="es-MX"/>
        </w:rPr>
        <w:drawing>
          <wp:inline distT="0" distB="0" distL="0" distR="0" wp14:anchorId="7549B273" wp14:editId="274FD4BF">
            <wp:extent cx="5612130" cy="334645"/>
            <wp:effectExtent l="0" t="0" r="0" b="0"/>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612130" cy="334645"/>
                    </a:xfrm>
                    <a:prstGeom prst="rect">
                      <a:avLst/>
                    </a:prstGeom>
                    <a:ln/>
                  </pic:spPr>
                </pic:pic>
              </a:graphicData>
            </a:graphic>
          </wp:inline>
        </w:drawing>
      </w:r>
    </w:p>
    <w:p w14:paraId="7EE904F9"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noProof/>
          <w:lang w:val="es-MX" w:eastAsia="es-MX"/>
        </w:rPr>
        <w:drawing>
          <wp:inline distT="0" distB="0" distL="0" distR="0" wp14:anchorId="3CA17DAD" wp14:editId="1A5F2AF8">
            <wp:extent cx="5612130" cy="29337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293370"/>
                    </a:xfrm>
                    <a:prstGeom prst="rect">
                      <a:avLst/>
                    </a:prstGeom>
                    <a:ln/>
                  </pic:spPr>
                </pic:pic>
              </a:graphicData>
            </a:graphic>
          </wp:inline>
        </w:drawing>
      </w:r>
    </w:p>
    <w:p w14:paraId="4C70CDA6"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noProof/>
          <w:lang w:val="es-MX" w:eastAsia="es-MX"/>
        </w:rPr>
        <w:lastRenderedPageBreak/>
        <w:drawing>
          <wp:inline distT="0" distB="0" distL="0" distR="0" wp14:anchorId="50002CC2" wp14:editId="31C1DEF3">
            <wp:extent cx="5537491" cy="3184923"/>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537491" cy="3184923"/>
                    </a:xfrm>
                    <a:prstGeom prst="rect">
                      <a:avLst/>
                    </a:prstGeom>
                    <a:ln/>
                  </pic:spPr>
                </pic:pic>
              </a:graphicData>
            </a:graphic>
          </wp:inline>
        </w:drawing>
      </w:r>
      <w:r w:rsidRPr="00D9597F">
        <w:rPr>
          <w:noProof/>
          <w:lang w:val="es-MX" w:eastAsia="es-MX"/>
        </w:rPr>
        <mc:AlternateContent>
          <mc:Choice Requires="wpg">
            <w:drawing>
              <wp:anchor distT="0" distB="0" distL="114300" distR="114300" simplePos="0" relativeHeight="251658240" behindDoc="0" locked="0" layoutInCell="1" hidden="0" allowOverlap="1" wp14:anchorId="7592ED43" wp14:editId="20A50D24">
                <wp:simplePos x="0" y="0"/>
                <wp:positionH relativeFrom="column">
                  <wp:posOffset>4851400</wp:posOffset>
                </wp:positionH>
                <wp:positionV relativeFrom="paragraph">
                  <wp:posOffset>2997200</wp:posOffset>
                </wp:positionV>
                <wp:extent cx="506364" cy="332460"/>
                <wp:effectExtent l="0" t="0" r="0" b="0"/>
                <wp:wrapNone/>
                <wp:docPr id="25" name="Flecha: hacia la izquierda 25"/>
                <wp:cNvGraphicFramePr/>
                <a:graphic xmlns:a="http://schemas.openxmlformats.org/drawingml/2006/main">
                  <a:graphicData uri="http://schemas.microsoft.com/office/word/2010/wordprocessingShape">
                    <wps:wsp>
                      <wps:cNvSpPr/>
                      <wps:spPr>
                        <a:xfrm>
                          <a:off x="5099168" y="3620120"/>
                          <a:ext cx="493664" cy="319760"/>
                        </a:xfrm>
                        <a:prstGeom prst="lef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15B74F09" w14:textId="77777777" w:rsidR="00B438BA" w:rsidRDefault="00B438BA">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4851400</wp:posOffset>
                </wp:positionH>
                <wp:positionV relativeFrom="paragraph">
                  <wp:posOffset>2997200</wp:posOffset>
                </wp:positionV>
                <wp:extent cx="506364" cy="332460"/>
                <wp:effectExtent b="0" l="0" r="0" t="0"/>
                <wp:wrapNone/>
                <wp:docPr id="2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06364" cy="332460"/>
                        </a:xfrm>
                        <a:prstGeom prst="rect"/>
                        <a:ln/>
                      </pic:spPr>
                    </pic:pic>
                  </a:graphicData>
                </a:graphic>
              </wp:anchor>
            </w:drawing>
          </mc:Fallback>
        </mc:AlternateContent>
      </w:r>
    </w:p>
    <w:p w14:paraId="1E8E49A0"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La cual corresponde a la página oficial del Tecnológico de Estudios Superiores de Ecatepec, en donde se publicó la convocatoria para el servicio social 2024-2, dentro de la cual se localiza el calendario para atención del servicio social 2024-2 (liga </w:t>
      </w:r>
      <w:hyperlink r:id="rId15">
        <w:r w:rsidRPr="00D9597F">
          <w:rPr>
            <w:rFonts w:ascii="Palatino Linotype" w:eastAsia="Palatino Linotype" w:hAnsi="Palatino Linotype" w:cs="Palatino Linotype"/>
            <w:u w:val="single"/>
          </w:rPr>
          <w:t>http://ssocial.tese.edu.mx/</w:t>
        </w:r>
      </w:hyperlink>
      <w:r w:rsidRPr="00D9597F">
        <w:rPr>
          <w:rFonts w:ascii="Palatino Linotype" w:eastAsia="Palatino Linotype" w:hAnsi="Palatino Linotype" w:cs="Palatino Linotype"/>
        </w:rPr>
        <w:t>), que al acceder al calendario servicio social 2024-2, nos accede a la siguiente información:</w:t>
      </w:r>
    </w:p>
    <w:p w14:paraId="53AB3D51"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noProof/>
          <w:lang w:val="es-MX" w:eastAsia="es-MX"/>
        </w:rPr>
        <w:lastRenderedPageBreak/>
        <w:drawing>
          <wp:inline distT="0" distB="0" distL="0" distR="0" wp14:anchorId="76F5E3D5" wp14:editId="523266B4">
            <wp:extent cx="5612130" cy="5486400"/>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612130" cy="5486400"/>
                    </a:xfrm>
                    <a:prstGeom prst="rect">
                      <a:avLst/>
                    </a:prstGeom>
                    <a:ln/>
                  </pic:spPr>
                </pic:pic>
              </a:graphicData>
            </a:graphic>
          </wp:inline>
        </w:drawing>
      </w:r>
    </w:p>
    <w:p w14:paraId="6B5C1D1F" w14:textId="77777777" w:rsidR="00B438BA" w:rsidRPr="00D9597F" w:rsidRDefault="000123B8">
      <w:pPr>
        <w:spacing w:before="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El cual contiene el calendario para la atención del servicio social, correspondiente a la etapa 2, en donde la fecha de registro fue del 31 de julio al 2 de agosto del 2024, la fecha de entrega de carta de presentación fue del 31 de julio al 2 de agosto del 2024 y la fecha de carta de aceptación fue del 6 al 12 de agosto del 2024, así como de </w:t>
      </w:r>
      <w:r w:rsidRPr="00D9597F">
        <w:rPr>
          <w:rFonts w:ascii="Palatino Linotype" w:eastAsia="Palatino Linotype" w:hAnsi="Palatino Linotype" w:cs="Palatino Linotype"/>
        </w:rPr>
        <w:lastRenderedPageBreak/>
        <w:t xml:space="preserve">las evaluaciones correspondientes, entrega de la carta de término e informe global y constancia de acreditación de servicio social.  </w:t>
      </w:r>
    </w:p>
    <w:p w14:paraId="47D62027"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Lo que corresponde con lo solicitado por el particular; de ahí que, con la información remitida en el apartado de manifestaciones del SAIMEX, por parte del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a través de su Departamento de Servicio Social y Seguimiento de Egresados, se tiene por colmado el derecho de acceso a la información pública del </w:t>
      </w:r>
      <w:r w:rsidRPr="00D9597F">
        <w:rPr>
          <w:rFonts w:ascii="Palatino Linotype" w:eastAsia="Palatino Linotype" w:hAnsi="Palatino Linotype" w:cs="Palatino Linotype"/>
          <w:b/>
        </w:rPr>
        <w:t>RECURRENTE en cuanto a los puntos 1, 2 y 3 descritos en el presente considerando</w:t>
      </w:r>
      <w:r w:rsidRPr="00D9597F">
        <w:rPr>
          <w:rFonts w:ascii="Palatino Linotype" w:eastAsia="Palatino Linotype" w:hAnsi="Palatino Linotype" w:cs="Palatino Linotype"/>
        </w:rPr>
        <w:t xml:space="preserve">, al proporcionar nombre del servidor público encargado del área de servicio social, las secretaria que atiende dicha área y el calendario en donde se especifica las fechas de registro del servicio social.  </w:t>
      </w:r>
    </w:p>
    <w:p w14:paraId="7C9C559A"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Además que este Organismo Garante no está facultado para manifestarse sobre la veracidad de la información proporcionada, ya que no existe precepto legal alguno en la Ley de la Materia que permita, vía recurso de revisión, se pronuncie al respecto. Por analogía, sirve de apoyo a lo anterior el Criterio histórico número 31-10 emitido por el entonces Instituto Federal de Accesos a la Información y Protección de Datos, que a la letra establece lo siguiente:</w:t>
      </w:r>
    </w:p>
    <w:p w14:paraId="148CE232" w14:textId="77777777" w:rsidR="00B438BA" w:rsidRPr="00D9597F" w:rsidRDefault="000123B8">
      <w:pPr>
        <w:spacing w:before="120" w:after="120"/>
        <w:ind w:left="851" w:right="851"/>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D9597F">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w:t>
      </w:r>
      <w:r w:rsidRPr="00D9597F">
        <w:rPr>
          <w:rFonts w:ascii="Palatino Linotype" w:eastAsia="Palatino Linotype" w:hAnsi="Palatino Linotype" w:cs="Palatino Linotype"/>
          <w:i/>
          <w:sz w:val="22"/>
          <w:szCs w:val="22"/>
        </w:rPr>
        <w:lastRenderedPageBreak/>
        <w:t>49 y 50 de la Ley Federal de Transparencia y Acceso a la Información Pública Gubernamental no se prevé una causal que permita al Instituto Federal de Acceso a la Información y Protección de Datos conocer, vía recurso revisión, al respecto.”</w:t>
      </w:r>
    </w:p>
    <w:p w14:paraId="7BCE4558"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De lo anterior, este Organismo Garante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33472F1D"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u w:val="single"/>
        </w:rPr>
        <w:t>Finalmente en cuanto al punto 4</w:t>
      </w:r>
      <w:r w:rsidRPr="00D9597F">
        <w:rPr>
          <w:rFonts w:ascii="Palatino Linotype" w:eastAsia="Palatino Linotype" w:hAnsi="Palatino Linotype" w:cs="Palatino Linotype"/>
        </w:rPr>
        <w:t xml:space="preserve">, relativo a </w:t>
      </w:r>
      <w:r w:rsidRPr="00D9597F">
        <w:rPr>
          <w:rFonts w:ascii="Palatino Linotype" w:eastAsia="Palatino Linotype" w:hAnsi="Palatino Linotype" w:cs="Palatino Linotype"/>
          <w:b/>
          <w:u w:val="single"/>
        </w:rPr>
        <w:t>si existe un Manual de Procedimientos para el Registro del Servicio Social</w:t>
      </w:r>
      <w:r w:rsidRPr="00D9597F">
        <w:rPr>
          <w:rFonts w:ascii="Palatino Linotype" w:eastAsia="Palatino Linotype" w:hAnsi="Palatino Linotype" w:cs="Palatino Linotype"/>
        </w:rPr>
        <w:t>, el Departamento de Servicio Social y Seguimiento de Egresados del Tecnológico de Estudios Superiores de Ecatepec, sólo se concretó a señalar se cuenta con el Procedimiento para la Acreditación del Servicio Social.</w:t>
      </w:r>
    </w:p>
    <w:p w14:paraId="4CE745F9"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Pero el particular fue claro en solicitar el Manual de Procedimientos para el Registro del Servicio Social, no el Procedimiento para la Acreditación del Servicio Social; sin que este Organismo Garante tenga certeza si dentro del Procedimiento para la Acreditación del Servicio Social se encuentre el procedimiento para su registro respectivo.</w:t>
      </w:r>
    </w:p>
    <w:p w14:paraId="5F744483"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Asimismo, no debemos perder de vista que la finalidad del Derecho de acceso a la información pública, es acceder a los documentos generados por los Sujetos Obligados de acuerdo a sus facultades en términos de lo señalado por el artículo 160 de la Ley de la Materia que señala:</w:t>
      </w:r>
    </w:p>
    <w:p w14:paraId="0A753461" w14:textId="77777777" w:rsidR="00B438BA" w:rsidRPr="00D9597F" w:rsidRDefault="000123B8">
      <w:pPr>
        <w:spacing w:before="120" w:after="120"/>
        <w:ind w:left="851" w:right="851"/>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lastRenderedPageBreak/>
        <w:t xml:space="preserve">“Artículo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w:t>
      </w:r>
    </w:p>
    <w:p w14:paraId="4D671819" w14:textId="77777777" w:rsidR="00B438BA" w:rsidRPr="00D9597F" w:rsidRDefault="000123B8">
      <w:pPr>
        <w:spacing w:before="120" w:after="120"/>
        <w:ind w:left="851" w:right="851"/>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En caso que la información solicitada consista en bases de datos se deberá privilegiar la entrega de la misma en formatos abiertos” </w:t>
      </w:r>
    </w:p>
    <w:p w14:paraId="07144D07"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Lo que se robustece con lo señalado por el artículo 4 de la Ley de Transparencia y Acceso a la Información Pública del Estado de México y Municipios, que indica:</w:t>
      </w:r>
    </w:p>
    <w:p w14:paraId="30DBC622" w14:textId="77777777" w:rsidR="00B438BA" w:rsidRPr="00D9597F" w:rsidRDefault="00B438BA">
      <w:pPr>
        <w:spacing w:line="360" w:lineRule="auto"/>
        <w:jc w:val="both"/>
        <w:rPr>
          <w:rFonts w:ascii="Palatino Linotype" w:eastAsia="Palatino Linotype" w:hAnsi="Palatino Linotype" w:cs="Palatino Linotype"/>
        </w:rPr>
      </w:pPr>
    </w:p>
    <w:p w14:paraId="7A4CCFDA" w14:textId="77777777" w:rsidR="00B438BA" w:rsidRPr="00D9597F" w:rsidRDefault="000123B8">
      <w:pPr>
        <w:ind w:left="709" w:right="760"/>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i/>
          <w:sz w:val="22"/>
          <w:szCs w:val="22"/>
        </w:rPr>
        <w:t>Artículo 4</w:t>
      </w:r>
      <w:r w:rsidRPr="00D9597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FCEE5AA" w14:textId="77777777" w:rsidR="00B438BA" w:rsidRPr="00D9597F" w:rsidRDefault="000123B8">
      <w:pPr>
        <w:ind w:left="709" w:right="760"/>
        <w:jc w:val="both"/>
        <w:rPr>
          <w:rFonts w:ascii="Palatino Linotype" w:eastAsia="Palatino Linotype" w:hAnsi="Palatino Linotype" w:cs="Palatino Linotype"/>
          <w:b/>
          <w:i/>
          <w:sz w:val="22"/>
          <w:szCs w:val="22"/>
        </w:rPr>
      </w:pPr>
      <w:r w:rsidRPr="00D9597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F4D942E" w14:textId="77777777" w:rsidR="00B438BA" w:rsidRPr="00D9597F" w:rsidRDefault="000123B8">
      <w:pPr>
        <w:ind w:left="709" w:right="760"/>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E3A986F" w14:textId="77777777" w:rsidR="00B438BA" w:rsidRPr="00D9597F" w:rsidRDefault="00B438BA">
      <w:pPr>
        <w:spacing w:line="360" w:lineRule="auto"/>
        <w:jc w:val="both"/>
        <w:rPr>
          <w:rFonts w:ascii="Palatino Linotype" w:eastAsia="Palatino Linotype" w:hAnsi="Palatino Linotype" w:cs="Palatino Linotype"/>
        </w:rPr>
      </w:pPr>
    </w:p>
    <w:p w14:paraId="78F68734" w14:textId="77777777" w:rsidR="00B438BA" w:rsidRPr="00D9597F" w:rsidRDefault="000123B8">
      <w:pPr>
        <w:spacing w:before="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Esto es que toda la información generada, obtenida, adquirida, transformada, administrada o en posesión de los Sujetos Obligados, es pública y accesible, de </w:t>
      </w:r>
      <w:r w:rsidRPr="00D9597F">
        <w:rPr>
          <w:rFonts w:ascii="Palatino Linotype" w:eastAsia="Palatino Linotype" w:hAnsi="Palatino Linotype" w:cs="Palatino Linotype"/>
        </w:rPr>
        <w:lastRenderedPageBreak/>
        <w:t>manera permanente a cualquier persona, privilegiando el principio de máxima publicidad.</w:t>
      </w:r>
    </w:p>
    <w:p w14:paraId="24ADCE87" w14:textId="77777777" w:rsidR="00B438BA" w:rsidRPr="00D9597F" w:rsidRDefault="00B438BA">
      <w:pPr>
        <w:spacing w:line="360" w:lineRule="auto"/>
        <w:jc w:val="both"/>
        <w:rPr>
          <w:rFonts w:ascii="Palatino Linotype" w:eastAsia="Palatino Linotype" w:hAnsi="Palatino Linotype" w:cs="Palatino Linotype"/>
        </w:rPr>
      </w:pPr>
    </w:p>
    <w:p w14:paraId="3AD8D59A"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Asimismo, los Sujetos Obligados tiene la obligación o deber de atender las solicitudes de acceso a la información pública que se les hagan de su conocimiento y proporcionar la información pública que obren en su poder como así lo establece el </w:t>
      </w:r>
      <w:r w:rsidRPr="00D9597F">
        <w:rPr>
          <w:rFonts w:ascii="Palatino Linotype" w:eastAsia="Palatino Linotype" w:hAnsi="Palatino Linotype" w:cs="Palatino Linotype"/>
          <w:b/>
        </w:rPr>
        <w:t>artículo 12</w:t>
      </w:r>
      <w:r w:rsidRPr="00D9597F">
        <w:rPr>
          <w:rFonts w:ascii="Palatino Linotype" w:eastAsia="Palatino Linotype" w:hAnsi="Palatino Linotype" w:cs="Palatino Linotype"/>
        </w:rPr>
        <w:t xml:space="preserve"> de la Ley de Transparencia y Acceso a la Información Pública del Estado de México y Municipios, el cual a la letra dice:</w:t>
      </w:r>
    </w:p>
    <w:p w14:paraId="2B875681" w14:textId="77777777" w:rsidR="00B438BA" w:rsidRPr="00D9597F" w:rsidRDefault="00B438BA">
      <w:pPr>
        <w:spacing w:line="360" w:lineRule="auto"/>
        <w:jc w:val="both"/>
        <w:rPr>
          <w:rFonts w:ascii="Palatino Linotype" w:eastAsia="Palatino Linotype" w:hAnsi="Palatino Linotype" w:cs="Palatino Linotype"/>
        </w:rPr>
      </w:pPr>
    </w:p>
    <w:p w14:paraId="020E5960" w14:textId="77777777" w:rsidR="00B438BA" w:rsidRPr="00D9597F" w:rsidRDefault="000123B8">
      <w:pPr>
        <w:ind w:left="567" w:right="758"/>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w:t>
      </w:r>
      <w:r w:rsidRPr="00D9597F">
        <w:rPr>
          <w:rFonts w:ascii="Palatino Linotype" w:eastAsia="Palatino Linotype" w:hAnsi="Palatino Linotype" w:cs="Palatino Linotype"/>
          <w:b/>
          <w:i/>
          <w:sz w:val="22"/>
          <w:szCs w:val="22"/>
        </w:rPr>
        <w:t>Artículo 12</w:t>
      </w:r>
      <w:r w:rsidRPr="00D9597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B87686D" w14:textId="77777777" w:rsidR="00B438BA" w:rsidRPr="00D9597F" w:rsidRDefault="00B438BA">
      <w:pPr>
        <w:ind w:left="567" w:right="758"/>
        <w:jc w:val="both"/>
        <w:rPr>
          <w:rFonts w:ascii="Palatino Linotype" w:eastAsia="Palatino Linotype" w:hAnsi="Palatino Linotype" w:cs="Palatino Linotype"/>
          <w:i/>
          <w:sz w:val="22"/>
          <w:szCs w:val="22"/>
        </w:rPr>
      </w:pPr>
    </w:p>
    <w:p w14:paraId="14BE126B" w14:textId="77777777" w:rsidR="00B438BA" w:rsidRPr="00D9597F" w:rsidRDefault="000123B8">
      <w:pPr>
        <w:ind w:left="567" w:right="758"/>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AD53DCE" w14:textId="77777777" w:rsidR="00B438BA" w:rsidRPr="00D9597F" w:rsidRDefault="00B438BA">
      <w:pPr>
        <w:spacing w:line="360" w:lineRule="auto"/>
        <w:jc w:val="both"/>
        <w:rPr>
          <w:rFonts w:ascii="Palatino Linotype" w:eastAsia="Palatino Linotype" w:hAnsi="Palatino Linotype" w:cs="Palatino Linotype"/>
        </w:rPr>
      </w:pPr>
    </w:p>
    <w:p w14:paraId="41B0E4BF"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Es decir, que el derecho de acceso a la información pública se satisface en aquellos casos en que se entregue documento en que conste la información requerida.</w:t>
      </w:r>
    </w:p>
    <w:p w14:paraId="3A445638"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En consecuencia, el pronunciamiento del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careció de los principios de congruencia y exhaustividad, como refuerzo a lo anterior resulta crucial el Criterio 02/17, emitido por el Pleno del Instituto Nacional de Transparencia y Acceso a la Información y Protección de Datos Personales, de título y texto siguientes:</w:t>
      </w:r>
    </w:p>
    <w:p w14:paraId="6AAC6C39" w14:textId="77777777" w:rsidR="00B438BA" w:rsidRPr="00D9597F" w:rsidRDefault="000123B8">
      <w:pPr>
        <w:spacing w:before="80" w:after="240"/>
        <w:ind w:left="567" w:right="900"/>
        <w:jc w:val="both"/>
        <w:rPr>
          <w:rFonts w:ascii="Palatino Linotype" w:eastAsia="Palatino Linotype" w:hAnsi="Palatino Linotype" w:cs="Palatino Linotype"/>
          <w:i/>
          <w:sz w:val="22"/>
          <w:szCs w:val="22"/>
        </w:rPr>
      </w:pPr>
      <w:r w:rsidRPr="00D9597F">
        <w:rPr>
          <w:rFonts w:ascii="Palatino Linotype" w:eastAsia="Palatino Linotype" w:hAnsi="Palatino Linotype" w:cs="Palatino Linotype"/>
          <w:b/>
          <w:i/>
          <w:sz w:val="22"/>
          <w:szCs w:val="22"/>
        </w:rPr>
        <w:lastRenderedPageBreak/>
        <w:t xml:space="preserve">“Congruencia y exhaustividad. Sus alcances para garantizar el derecho de acceso a la información. </w:t>
      </w:r>
      <w:r w:rsidRPr="00D9597F">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D9597F">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D9597F">
        <w:rPr>
          <w:rFonts w:ascii="Palatino Linotype" w:eastAsia="Palatino Linotype" w:hAnsi="Palatino Linotype" w:cs="Palatino Linotype"/>
          <w:i/>
          <w:sz w:val="22"/>
          <w:szCs w:val="22"/>
        </w:rPr>
        <w:t xml:space="preserve">; mientras que </w:t>
      </w:r>
      <w:r w:rsidRPr="00D9597F">
        <w:rPr>
          <w:rFonts w:ascii="Palatino Linotype" w:eastAsia="Palatino Linotype" w:hAnsi="Palatino Linotype" w:cs="Palatino Linotype"/>
          <w:b/>
          <w:i/>
          <w:sz w:val="22"/>
          <w:szCs w:val="22"/>
        </w:rPr>
        <w:t>la exhaustividad significa que dicha respuesta se refiera expresamente a cada uno de los puntos solicitados</w:t>
      </w:r>
      <w:r w:rsidRPr="00D9597F">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73C0A44A"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Razones por las cuales lo procedente es ordenar el documento en donde conste el Manual de Procedimientos para el Registro del Servicio Social vigente al cinco de agosto del año 2024.  </w:t>
      </w:r>
    </w:p>
    <w:p w14:paraId="406BA611" w14:textId="77777777" w:rsidR="00B438BA" w:rsidRPr="00D9597F" w:rsidRDefault="000123B8">
      <w:pPr>
        <w:spacing w:before="240" w:after="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No obstante, para el caso de que no se hayan generado el Manual de Procedimientos para el Registro del Servicio Social, bastará que así se lo haga saber a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en términos de lo señalado por el segundo párrafo del artículo 19 de la Ley de Transparencia y Acceso a la Información Pública del Estado de México y Municipios, para tener por colmado su derecho de acceso a la información, que dispone lo siguiente:</w:t>
      </w:r>
    </w:p>
    <w:p w14:paraId="7CCEA553" w14:textId="77777777" w:rsidR="00B438BA" w:rsidRPr="00D9597F" w:rsidRDefault="000123B8">
      <w:pPr>
        <w:spacing w:line="276" w:lineRule="auto"/>
        <w:ind w:left="567" w:right="900"/>
        <w:jc w:val="both"/>
        <w:rPr>
          <w:rFonts w:ascii="Palatino Linotype" w:eastAsia="Palatino Linotype" w:hAnsi="Palatino Linotype" w:cs="Palatino Linotype"/>
          <w:i/>
        </w:rPr>
      </w:pPr>
      <w:r w:rsidRPr="00D9597F">
        <w:rPr>
          <w:rFonts w:ascii="Palatino Linotype" w:eastAsia="Palatino Linotype" w:hAnsi="Palatino Linotype" w:cs="Palatino Linotype"/>
          <w:i/>
        </w:rPr>
        <w:t>“Artículo 19…</w:t>
      </w:r>
    </w:p>
    <w:p w14:paraId="1EA9687A" w14:textId="77777777" w:rsidR="00B438BA" w:rsidRPr="00D9597F" w:rsidRDefault="000123B8">
      <w:pPr>
        <w:spacing w:line="276" w:lineRule="auto"/>
        <w:ind w:left="567" w:right="900"/>
        <w:jc w:val="both"/>
        <w:rPr>
          <w:rFonts w:ascii="Palatino Linotype" w:eastAsia="Palatino Linotype" w:hAnsi="Palatino Linotype" w:cs="Palatino Linotype"/>
          <w:i/>
        </w:rPr>
      </w:pPr>
      <w:r w:rsidRPr="00D9597F">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6419C598" w14:textId="77777777" w:rsidR="00B438BA" w:rsidRPr="00D9597F" w:rsidRDefault="00B438BA">
      <w:pPr>
        <w:spacing w:line="276" w:lineRule="auto"/>
        <w:ind w:left="567" w:right="900"/>
        <w:jc w:val="both"/>
        <w:rPr>
          <w:rFonts w:ascii="Palatino Linotype" w:eastAsia="Palatino Linotype" w:hAnsi="Palatino Linotype" w:cs="Palatino Linotype"/>
          <w:i/>
        </w:rPr>
      </w:pPr>
    </w:p>
    <w:p w14:paraId="4BBE37AD" w14:textId="77777777" w:rsidR="00B438BA" w:rsidRPr="00D9597F" w:rsidRDefault="000123B8">
      <w:pPr>
        <w:spacing w:before="240" w:after="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lastRenderedPageBreak/>
        <w:t xml:space="preserve">Siendo improcedente, en tal supuesto, la entrega de documento alguno, o en su caso, el Acuerdo de Inexistencia, toda vez que el pronunciamiento del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B6AD16C" w14:textId="77777777" w:rsidR="00B438BA" w:rsidRPr="00D9597F" w:rsidRDefault="000123B8">
      <w:pPr>
        <w:spacing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rPr>
        <w:t>Finalmente, es de señalar que, como ya se mencionó el</w:t>
      </w:r>
      <w:r w:rsidRPr="00D9597F">
        <w:rPr>
          <w:rFonts w:ascii="Palatino Linotype" w:eastAsia="Palatino Linotype" w:hAnsi="Palatino Linotype" w:cs="Palatino Linotype"/>
          <w:b/>
        </w:rPr>
        <w:t xml:space="preserve"> SUJETO OBLIGADO</w:t>
      </w:r>
      <w:r w:rsidRPr="00D9597F">
        <w:rPr>
          <w:rFonts w:ascii="Palatino Linotype" w:eastAsia="Palatino Linotype" w:hAnsi="Palatino Linotype" w:cs="Palatino Linotype"/>
        </w:rPr>
        <w:t>, omitió proporcionar respuesta a la solicitud de acceso a la información pública, en el término contemplado en el ya citado artículo 163 de la Ley de la materia, razón por la que se ordena dar vista</w:t>
      </w:r>
      <w:r w:rsidRPr="00D9597F">
        <w:rPr>
          <w:rFonts w:ascii="Palatino Linotype" w:eastAsia="Palatino Linotype" w:hAnsi="Palatino Linotype" w:cs="Palatino Linotype"/>
          <w:b/>
        </w:rPr>
        <w:t xml:space="preserve"> </w:t>
      </w:r>
      <w:r w:rsidRPr="00D9597F">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2BF0F374" w14:textId="77777777" w:rsidR="00B438BA" w:rsidRPr="00D9597F" w:rsidRDefault="00B438BA">
      <w:pPr>
        <w:spacing w:line="360" w:lineRule="auto"/>
        <w:jc w:val="both"/>
        <w:rPr>
          <w:rFonts w:ascii="Palatino Linotype" w:eastAsia="Palatino Linotype" w:hAnsi="Palatino Linotype" w:cs="Palatino Linotype"/>
        </w:rPr>
      </w:pPr>
    </w:p>
    <w:p w14:paraId="55B86D19"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F3E4E9F" w14:textId="77777777" w:rsidR="00B438BA" w:rsidRPr="00D9597F" w:rsidRDefault="00B438BA">
      <w:pPr>
        <w:spacing w:line="360" w:lineRule="auto"/>
        <w:jc w:val="both"/>
      </w:pPr>
    </w:p>
    <w:p w14:paraId="345AEAE0" w14:textId="77777777" w:rsidR="00B438BA" w:rsidRPr="00D9597F" w:rsidRDefault="000123B8">
      <w:pPr>
        <w:spacing w:line="360" w:lineRule="auto"/>
        <w:ind w:left="360"/>
        <w:jc w:val="center"/>
        <w:rPr>
          <w:rFonts w:ascii="Palatino Linotype" w:eastAsia="Palatino Linotype" w:hAnsi="Palatino Linotype" w:cs="Palatino Linotype"/>
          <w:b/>
        </w:rPr>
      </w:pPr>
      <w:r w:rsidRPr="00D9597F">
        <w:rPr>
          <w:rFonts w:ascii="Palatino Linotype" w:eastAsia="Palatino Linotype" w:hAnsi="Palatino Linotype" w:cs="Palatino Linotype"/>
          <w:b/>
        </w:rPr>
        <w:t>III. R E S U E L V E:</w:t>
      </w:r>
    </w:p>
    <w:p w14:paraId="1EF1674C" w14:textId="77777777" w:rsidR="00B438BA" w:rsidRPr="00D9597F" w:rsidRDefault="00B438BA">
      <w:pPr>
        <w:spacing w:line="360" w:lineRule="auto"/>
        <w:ind w:left="360"/>
        <w:jc w:val="center"/>
        <w:rPr>
          <w:rFonts w:ascii="Palatino Linotype" w:eastAsia="Palatino Linotype" w:hAnsi="Palatino Linotype" w:cs="Palatino Linotype"/>
          <w:b/>
        </w:rPr>
      </w:pPr>
    </w:p>
    <w:p w14:paraId="2E1492DF" w14:textId="77777777" w:rsidR="00B438BA" w:rsidRPr="00D9597F" w:rsidRDefault="000123B8">
      <w:pPr>
        <w:spacing w:before="240" w:after="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b/>
        </w:rPr>
        <w:lastRenderedPageBreak/>
        <w:t xml:space="preserve">Primero. </w:t>
      </w:r>
      <w:r w:rsidRPr="00D9597F">
        <w:rPr>
          <w:rFonts w:ascii="Palatino Linotype" w:eastAsia="Palatino Linotype" w:hAnsi="Palatino Linotype" w:cs="Palatino Linotype"/>
        </w:rPr>
        <w:t xml:space="preserve">Resultan fundados los motivos de inconformidad de la parte </w:t>
      </w:r>
      <w:r w:rsidRPr="00D9597F">
        <w:rPr>
          <w:rFonts w:ascii="Palatino Linotype" w:eastAsia="Palatino Linotype" w:hAnsi="Palatino Linotype" w:cs="Palatino Linotype"/>
          <w:b/>
        </w:rPr>
        <w:t>RECURRENTE</w:t>
      </w:r>
      <w:r w:rsidRPr="00D9597F">
        <w:rPr>
          <w:rFonts w:ascii="Palatino Linotype" w:eastAsia="Palatino Linotype" w:hAnsi="Palatino Linotype" w:cs="Palatino Linotype"/>
        </w:rPr>
        <w:t xml:space="preserve">, en términos del Considerando </w:t>
      </w:r>
      <w:r w:rsidRPr="00D9597F">
        <w:rPr>
          <w:rFonts w:ascii="Palatino Linotype" w:eastAsia="Palatino Linotype" w:hAnsi="Palatino Linotype" w:cs="Palatino Linotype"/>
          <w:b/>
        </w:rPr>
        <w:t>Cuarto</w:t>
      </w:r>
      <w:r w:rsidRPr="00D9597F">
        <w:rPr>
          <w:rFonts w:ascii="Palatino Linotype" w:eastAsia="Palatino Linotype" w:hAnsi="Palatino Linotype" w:cs="Palatino Linotype"/>
        </w:rPr>
        <w:t xml:space="preserve"> de la presente resolución.</w:t>
      </w:r>
    </w:p>
    <w:p w14:paraId="66533AB1" w14:textId="77777777" w:rsidR="00B438BA" w:rsidRPr="00D9597F" w:rsidRDefault="000123B8">
      <w:pPr>
        <w:spacing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b/>
        </w:rPr>
        <w:t xml:space="preserve">Segundo. </w:t>
      </w:r>
      <w:r w:rsidRPr="00D9597F">
        <w:rPr>
          <w:rFonts w:ascii="Palatino Linotype" w:eastAsia="Palatino Linotype" w:hAnsi="Palatino Linotype" w:cs="Palatino Linotype"/>
        </w:rPr>
        <w:t>Se</w:t>
      </w:r>
      <w:r w:rsidRPr="00D9597F">
        <w:rPr>
          <w:rFonts w:ascii="Palatino Linotype" w:eastAsia="Palatino Linotype" w:hAnsi="Palatino Linotype" w:cs="Palatino Linotype"/>
          <w:b/>
        </w:rPr>
        <w:t xml:space="preserve"> ORDENA </w:t>
      </w:r>
      <w:r w:rsidRPr="00D9597F">
        <w:rPr>
          <w:rFonts w:ascii="Palatino Linotype" w:eastAsia="Palatino Linotype" w:hAnsi="Palatino Linotype" w:cs="Palatino Linotype"/>
        </w:rPr>
        <w:t xml:space="preserve">al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xml:space="preserve"> a que,</w:t>
      </w:r>
      <w:r w:rsidRPr="00D9597F">
        <w:rPr>
          <w:rFonts w:ascii="Palatino Linotype" w:eastAsia="Palatino Linotype" w:hAnsi="Palatino Linotype" w:cs="Palatino Linotype"/>
          <w:b/>
        </w:rPr>
        <w:t xml:space="preserve"> </w:t>
      </w:r>
      <w:r w:rsidRPr="00D9597F">
        <w:rPr>
          <w:rFonts w:ascii="Palatino Linotype" w:eastAsia="Palatino Linotype" w:hAnsi="Palatino Linotype" w:cs="Palatino Linotype"/>
        </w:rPr>
        <w:t>en términos del Considerando Cuarto, haga entrega vía Sistema de Acceso a la Información Mexiquense (SAIMEX), previa búsqueda exhaustiva y razonable de lo siguiente:</w:t>
      </w:r>
    </w:p>
    <w:p w14:paraId="21FF95A8" w14:textId="77777777" w:rsidR="00B438BA" w:rsidRPr="00D9597F" w:rsidRDefault="00B438BA">
      <w:pPr>
        <w:spacing w:line="360" w:lineRule="auto"/>
        <w:ind w:right="49"/>
        <w:jc w:val="both"/>
        <w:rPr>
          <w:rFonts w:ascii="Palatino Linotype" w:eastAsia="Palatino Linotype" w:hAnsi="Palatino Linotype" w:cs="Palatino Linotype"/>
        </w:rPr>
      </w:pPr>
    </w:p>
    <w:p w14:paraId="651D2373" w14:textId="77777777" w:rsidR="00B438BA" w:rsidRPr="00D9597F" w:rsidRDefault="000123B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rPr>
        <w:t xml:space="preserve">Manual de Procedimientos para el Registro del Servicio Social vigente al cinco de agosto del año 2024.  </w:t>
      </w:r>
    </w:p>
    <w:p w14:paraId="29E5CF51" w14:textId="77777777" w:rsidR="00B438BA" w:rsidRPr="00D9597F" w:rsidRDefault="000123B8">
      <w:pPr>
        <w:pBdr>
          <w:top w:val="nil"/>
          <w:left w:val="nil"/>
          <w:bottom w:val="nil"/>
          <w:right w:val="nil"/>
          <w:between w:val="nil"/>
        </w:pBdr>
        <w:spacing w:before="240" w:after="240" w:line="276" w:lineRule="auto"/>
        <w:ind w:left="720" w:right="49"/>
        <w:jc w:val="both"/>
        <w:rPr>
          <w:rFonts w:ascii="Palatino Linotype" w:eastAsia="Palatino Linotype" w:hAnsi="Palatino Linotype" w:cs="Palatino Linotype"/>
          <w:i/>
        </w:rPr>
      </w:pPr>
      <w:r w:rsidRPr="00D9597F">
        <w:rPr>
          <w:rFonts w:ascii="Palatino Linotype" w:eastAsia="Palatino Linotype" w:hAnsi="Palatino Linotype" w:cs="Palatino Linotype"/>
          <w:i/>
        </w:rPr>
        <w:t xml:space="preserve">Para el caso de que no haya generado la información que se ordena, bastará que así se lo haga saber a la parte </w:t>
      </w:r>
      <w:r w:rsidRPr="00D9597F">
        <w:rPr>
          <w:rFonts w:ascii="Palatino Linotype" w:eastAsia="Palatino Linotype" w:hAnsi="Palatino Linotype" w:cs="Palatino Linotype"/>
          <w:b/>
          <w:i/>
        </w:rPr>
        <w:t>RECURRENTE</w:t>
      </w:r>
      <w:r w:rsidRPr="00D9597F">
        <w:rPr>
          <w:rFonts w:ascii="Palatino Linotype" w:eastAsia="Palatino Linotype" w:hAnsi="Palatino Linotype" w:cs="Palatino Linotype"/>
          <w:i/>
        </w:rPr>
        <w:t xml:space="preserve"> de manera fundada y motivada en términos de lo señalado por el segundo párrafo del artículo 19 de la Ley en la materia.</w:t>
      </w:r>
    </w:p>
    <w:p w14:paraId="704F1669" w14:textId="77777777" w:rsidR="00B438BA" w:rsidRPr="00D9597F" w:rsidRDefault="000123B8">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Tercero. Notifíquese vía SAIMEX</w:t>
      </w:r>
      <w:r w:rsidRPr="00D9597F">
        <w:rPr>
          <w:rFonts w:ascii="Palatino Linotype" w:eastAsia="Palatino Linotype" w:hAnsi="Palatino Linotype" w:cs="Palatino Linotype"/>
        </w:rPr>
        <w:t xml:space="preserve"> la presente resolución al Titular de la Unidad de Transparencia del </w:t>
      </w:r>
      <w:r w:rsidRPr="00D9597F">
        <w:rPr>
          <w:rFonts w:ascii="Palatino Linotype" w:eastAsia="Palatino Linotype" w:hAnsi="Palatino Linotype" w:cs="Palatino Linotype"/>
          <w:b/>
        </w:rPr>
        <w:t>SUJETO OBLIGADO</w:t>
      </w:r>
      <w:r w:rsidRPr="00D9597F">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1BBEFF" w14:textId="77777777" w:rsidR="00B438BA" w:rsidRPr="00D9597F" w:rsidRDefault="000123B8">
      <w:pPr>
        <w:spacing w:before="240" w:after="240"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lastRenderedPageBreak/>
        <w:t xml:space="preserve">Cuarto. Notifíquese vía SAIMEX a la parte RECURRENTE, </w:t>
      </w:r>
      <w:r w:rsidRPr="00D9597F">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47AF210" w14:textId="77777777" w:rsidR="00B438BA" w:rsidRPr="00D9597F" w:rsidRDefault="000123B8">
      <w:pPr>
        <w:spacing w:before="240" w:after="240" w:line="360" w:lineRule="auto"/>
        <w:ind w:right="49"/>
        <w:jc w:val="both"/>
        <w:rPr>
          <w:rFonts w:ascii="Palatino Linotype" w:eastAsia="Palatino Linotype" w:hAnsi="Palatino Linotype" w:cs="Palatino Linotype"/>
        </w:rPr>
      </w:pPr>
      <w:r w:rsidRPr="00D9597F">
        <w:rPr>
          <w:rFonts w:ascii="Palatino Linotype" w:eastAsia="Palatino Linotype" w:hAnsi="Palatino Linotype" w:cs="Palatino Linotype"/>
          <w:b/>
        </w:rPr>
        <w:t xml:space="preserve">Quinto. Notifíquese vía SAIMEX a la parte RECURRENTE </w:t>
      </w:r>
      <w:r w:rsidRPr="00D9597F">
        <w:rPr>
          <w:rFonts w:ascii="Palatino Linotype" w:eastAsia="Palatino Linotype" w:hAnsi="Palatino Linotype" w:cs="Palatino Linotype"/>
        </w:rPr>
        <w:t xml:space="preserve">que la respuesta que dé </w:t>
      </w:r>
      <w:r w:rsidRPr="00D9597F">
        <w:rPr>
          <w:rFonts w:ascii="Palatino Linotype" w:eastAsia="Palatino Linotype" w:hAnsi="Palatino Linotype" w:cs="Palatino Linotype"/>
          <w:b/>
        </w:rPr>
        <w:t>EL SUJETO OBLIGADO</w:t>
      </w:r>
      <w:r w:rsidRPr="00D9597F">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BA516D8" w14:textId="77777777" w:rsidR="00B438BA" w:rsidRPr="00D9597F" w:rsidRDefault="000123B8">
      <w:pPr>
        <w:spacing w:line="360" w:lineRule="auto"/>
        <w:jc w:val="both"/>
        <w:rPr>
          <w:rFonts w:ascii="Palatino Linotype" w:eastAsia="Palatino Linotype" w:hAnsi="Palatino Linotype" w:cs="Palatino Linotype"/>
        </w:rPr>
      </w:pPr>
      <w:r w:rsidRPr="00D9597F">
        <w:rPr>
          <w:rFonts w:ascii="Palatino Linotype" w:eastAsia="Palatino Linotype" w:hAnsi="Palatino Linotype" w:cs="Palatino Linotype"/>
          <w:b/>
        </w:rPr>
        <w:t>Sexto.</w:t>
      </w:r>
      <w:r w:rsidRPr="00D9597F">
        <w:rPr>
          <w:rFonts w:ascii="Palatino Linotype" w:eastAsia="Palatino Linotype" w:hAnsi="Palatino Linotype" w:cs="Palatino Linotype"/>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 </w:t>
      </w:r>
    </w:p>
    <w:p w14:paraId="376A3DCD" w14:textId="77777777" w:rsidR="00B438BA" w:rsidRPr="00D9597F" w:rsidRDefault="00B438BA">
      <w:pPr>
        <w:spacing w:line="360" w:lineRule="auto"/>
        <w:jc w:val="both"/>
        <w:rPr>
          <w:rFonts w:ascii="Palatino Linotype" w:eastAsia="Palatino Linotype" w:hAnsi="Palatino Linotype" w:cs="Palatino Linotype"/>
        </w:rPr>
      </w:pPr>
    </w:p>
    <w:p w14:paraId="01D1B984" w14:textId="77777777" w:rsidR="00B438BA" w:rsidRPr="00D9597F" w:rsidRDefault="000123B8">
      <w:pPr>
        <w:spacing w:line="360" w:lineRule="auto"/>
        <w:ind w:right="49"/>
        <w:jc w:val="both"/>
        <w:rPr>
          <w:rFonts w:ascii="Palatino Linotype" w:eastAsia="Palatino Linotype" w:hAnsi="Palatino Linotype" w:cs="Palatino Linotype"/>
        </w:rPr>
        <w:sectPr w:rsidR="00B438BA" w:rsidRPr="00D9597F">
          <w:headerReference w:type="default" r:id="rId17"/>
          <w:footerReference w:type="default" r:id="rId18"/>
          <w:headerReference w:type="first" r:id="rId19"/>
          <w:footerReference w:type="first" r:id="rId20"/>
          <w:pgSz w:w="12240" w:h="15840"/>
          <w:pgMar w:top="1985" w:right="1701" w:bottom="1701" w:left="1701" w:header="709" w:footer="709" w:gutter="0"/>
          <w:pgNumType w:start="1"/>
          <w:cols w:space="720"/>
          <w:titlePg/>
        </w:sectPr>
      </w:pPr>
      <w:bookmarkStart w:id="2" w:name="_heading=h.1fob9te" w:colFirst="0" w:colLast="0"/>
      <w:bookmarkEnd w:id="2"/>
      <w:r w:rsidRPr="00D9597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D9597F">
        <w:rPr>
          <w:rFonts w:ascii="Palatino Linotype" w:eastAsia="Palatino Linotype" w:hAnsi="Palatino Linotype" w:cs="Palatino Linotype"/>
        </w:rPr>
        <w:lastRenderedPageBreak/>
        <w:t>RAMÍREZ PEÑA; EN LA TRIGÉSIMA SÉPTIMA SESIÓN ORDINARIA CELEBRADA EL DIECISÉIS DE OCTUBRE DE DOS MIL VEINTICUATRO, ANTE EL SECRETARIO TÉCNICO DEL PLENO ALEXIS TAPIA RAMÍREZ.</w:t>
      </w:r>
    </w:p>
    <w:p w14:paraId="65C6C0D6" w14:textId="77777777" w:rsidR="00B438BA" w:rsidRPr="00D9597F" w:rsidRDefault="00B438BA" w:rsidP="000123B8">
      <w:pPr>
        <w:tabs>
          <w:tab w:val="left" w:pos="709"/>
        </w:tabs>
        <w:spacing w:before="240" w:after="240" w:line="360" w:lineRule="auto"/>
        <w:jc w:val="both"/>
        <w:rPr>
          <w:rFonts w:ascii="Palatino Linotype" w:eastAsia="Palatino Linotype" w:hAnsi="Palatino Linotype" w:cs="Palatino Linotype"/>
        </w:rPr>
      </w:pPr>
    </w:p>
    <w:sectPr w:rsidR="00B438BA" w:rsidRPr="00D9597F">
      <w:headerReference w:type="first" r:id="rId21"/>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69F1" w14:textId="77777777" w:rsidR="00701493" w:rsidRDefault="00701493">
      <w:r>
        <w:separator/>
      </w:r>
    </w:p>
  </w:endnote>
  <w:endnote w:type="continuationSeparator" w:id="0">
    <w:p w14:paraId="6CF1088A" w14:textId="77777777" w:rsidR="00701493" w:rsidRDefault="0070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1BF2" w14:textId="77777777" w:rsidR="00B438BA" w:rsidRDefault="000123B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70C50">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70C50">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1A48C33F" w14:textId="77777777" w:rsidR="00B438BA" w:rsidRDefault="00B438BA">
    <w:pPr>
      <w:pBdr>
        <w:top w:val="nil"/>
        <w:left w:val="nil"/>
        <w:bottom w:val="nil"/>
        <w:right w:val="nil"/>
        <w:between w:val="nil"/>
      </w:pBdr>
      <w:tabs>
        <w:tab w:val="center" w:pos="4252"/>
        <w:tab w:val="right" w:pos="8504"/>
      </w:tabs>
      <w:rPr>
        <w:color w:val="000000"/>
      </w:rPr>
    </w:pPr>
  </w:p>
  <w:p w14:paraId="7477016E" w14:textId="77777777" w:rsidR="00B438BA" w:rsidRDefault="00B438B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427" w14:textId="77777777" w:rsidR="00B438BA" w:rsidRDefault="000123B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70C50">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70C50">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14FBE1EF" w14:textId="77777777" w:rsidR="00B438BA" w:rsidRDefault="00B438B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C3F9" w14:textId="77777777" w:rsidR="00701493" w:rsidRDefault="00701493">
      <w:r>
        <w:separator/>
      </w:r>
    </w:p>
  </w:footnote>
  <w:footnote w:type="continuationSeparator" w:id="0">
    <w:p w14:paraId="70D9871B" w14:textId="77777777" w:rsidR="00701493" w:rsidRDefault="00701493">
      <w:r>
        <w:continuationSeparator/>
      </w:r>
    </w:p>
  </w:footnote>
  <w:footnote w:id="1">
    <w:p w14:paraId="0EAE2C52" w14:textId="77777777" w:rsidR="00B438BA" w:rsidRDefault="000123B8">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4AE6F1FF" w14:textId="77777777" w:rsidR="00B438BA" w:rsidRDefault="000123B8">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18DEA3EC" w14:textId="77777777" w:rsidR="00B438BA" w:rsidRDefault="000123B8">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04357DF" w14:textId="77777777" w:rsidR="00B438BA" w:rsidRDefault="000123B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libri" w:eastAsia="Calibri" w:hAnsi="Calibri" w:cs="Calibri"/>
          <w:color w:val="000000"/>
          <w:sz w:val="20"/>
          <w:szCs w:val="20"/>
        </w:rPr>
        <w:t xml:space="preserve"> (…)</w:t>
      </w:r>
    </w:p>
  </w:footnote>
  <w:footnote w:id="3">
    <w:p w14:paraId="228ED643" w14:textId="77777777" w:rsidR="00B438BA" w:rsidRDefault="000123B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29A1" w14:textId="77777777" w:rsidR="00B438BA" w:rsidRDefault="00B438BA">
    <w:pPr>
      <w:widowControl w:val="0"/>
      <w:pBdr>
        <w:top w:val="nil"/>
        <w:left w:val="nil"/>
        <w:bottom w:val="nil"/>
        <w:right w:val="nil"/>
        <w:between w:val="nil"/>
      </w:pBdr>
      <w:spacing w:line="276" w:lineRule="auto"/>
      <w:rPr>
        <w:rFonts w:ascii="Calibri" w:eastAsia="Calibri" w:hAnsi="Calibri" w:cs="Calibri"/>
        <w:color w:val="000000"/>
      </w:rPr>
    </w:pPr>
  </w:p>
  <w:tbl>
    <w:tblPr>
      <w:tblStyle w:val="ad"/>
      <w:tblW w:w="5528" w:type="dxa"/>
      <w:tblInd w:w="3261" w:type="dxa"/>
      <w:tblLayout w:type="fixed"/>
      <w:tblLook w:val="0400" w:firstRow="0" w:lastRow="0" w:firstColumn="0" w:lastColumn="0" w:noHBand="0" w:noVBand="1"/>
    </w:tblPr>
    <w:tblGrid>
      <w:gridCol w:w="2552"/>
      <w:gridCol w:w="2976"/>
    </w:tblGrid>
    <w:tr w:rsidR="00B438BA" w14:paraId="2AED7771" w14:textId="77777777">
      <w:tc>
        <w:tcPr>
          <w:tcW w:w="2552" w:type="dxa"/>
          <w:vAlign w:val="center"/>
        </w:tcPr>
        <w:p w14:paraId="3C3DFAD4" w14:textId="77777777" w:rsidR="00B438BA" w:rsidRDefault="000123B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30CC5BE0" w14:textId="77777777" w:rsidR="00B438BA" w:rsidRDefault="000123B8">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05194/INFOEM/IP/RR/2023 </w:t>
          </w:r>
        </w:p>
      </w:tc>
    </w:tr>
    <w:tr w:rsidR="00B438BA" w14:paraId="0998FF2D" w14:textId="77777777">
      <w:trPr>
        <w:trHeight w:val="228"/>
      </w:trPr>
      <w:tc>
        <w:tcPr>
          <w:tcW w:w="2552" w:type="dxa"/>
          <w:shd w:val="clear" w:color="auto" w:fill="auto"/>
          <w:vAlign w:val="center"/>
        </w:tcPr>
        <w:p w14:paraId="730C066F" w14:textId="77777777" w:rsidR="00B438BA" w:rsidRDefault="000123B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2976" w:type="dxa"/>
          <w:shd w:val="clear" w:color="auto" w:fill="auto"/>
          <w:vAlign w:val="center"/>
        </w:tcPr>
        <w:p w14:paraId="2F5FCF1B" w14:textId="77777777" w:rsidR="00B438BA" w:rsidRDefault="000123B8">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Tecnológico de Estudios Superiores de Ecatepec.</w:t>
          </w:r>
        </w:p>
      </w:tc>
    </w:tr>
    <w:tr w:rsidR="00B438BA" w14:paraId="58E3E1E7" w14:textId="77777777">
      <w:tc>
        <w:tcPr>
          <w:tcW w:w="2552" w:type="dxa"/>
          <w:vAlign w:val="center"/>
        </w:tcPr>
        <w:p w14:paraId="4D8215F2" w14:textId="77777777" w:rsidR="00B438BA" w:rsidRDefault="000123B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1290D263" w14:textId="77777777" w:rsidR="00B438BA" w:rsidRDefault="000123B8">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395E2EC3" w14:textId="77777777" w:rsidR="00B438BA" w:rsidRDefault="000123B8">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6E2F0A43" wp14:editId="1DA98F06">
          <wp:simplePos x="0" y="0"/>
          <wp:positionH relativeFrom="column">
            <wp:posOffset>-689271</wp:posOffset>
          </wp:positionH>
          <wp:positionV relativeFrom="paragraph">
            <wp:posOffset>-1171009</wp:posOffset>
          </wp:positionV>
          <wp:extent cx="7635875" cy="9943465"/>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131C" w14:textId="77777777" w:rsidR="00B438BA" w:rsidRDefault="000123B8">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0CE09533" wp14:editId="1EC88BF6">
          <wp:simplePos x="0" y="0"/>
          <wp:positionH relativeFrom="column">
            <wp:posOffset>-675559</wp:posOffset>
          </wp:positionH>
          <wp:positionV relativeFrom="paragraph">
            <wp:posOffset>-341823</wp:posOffset>
          </wp:positionV>
          <wp:extent cx="7635875" cy="9943465"/>
          <wp:effectExtent l="0" t="0" r="0" b="0"/>
          <wp:wrapNone/>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e"/>
      <w:tblW w:w="6238" w:type="dxa"/>
      <w:tblInd w:w="3119" w:type="dxa"/>
      <w:tblLayout w:type="fixed"/>
      <w:tblLook w:val="0400" w:firstRow="0" w:lastRow="0" w:firstColumn="0" w:lastColumn="0" w:noHBand="0" w:noVBand="1"/>
    </w:tblPr>
    <w:tblGrid>
      <w:gridCol w:w="2551"/>
      <w:gridCol w:w="3687"/>
    </w:tblGrid>
    <w:tr w:rsidR="00B438BA" w14:paraId="71F871B9" w14:textId="77777777">
      <w:tc>
        <w:tcPr>
          <w:tcW w:w="2551" w:type="dxa"/>
          <w:vAlign w:val="center"/>
        </w:tcPr>
        <w:p w14:paraId="25B00CB7" w14:textId="77777777" w:rsidR="00B438BA" w:rsidRDefault="000123B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DE47F67" w14:textId="77777777" w:rsidR="00B438BA" w:rsidRDefault="000123B8">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05194/INFOEM/IP/RR/2024</w:t>
          </w:r>
        </w:p>
      </w:tc>
    </w:tr>
    <w:tr w:rsidR="00B438BA" w14:paraId="67C6A78F" w14:textId="77777777">
      <w:tc>
        <w:tcPr>
          <w:tcW w:w="2551" w:type="dxa"/>
          <w:vAlign w:val="center"/>
        </w:tcPr>
        <w:p w14:paraId="632FC835" w14:textId="77777777" w:rsidR="00B438BA" w:rsidRDefault="000123B8">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3B2078CA" w14:textId="70785B89" w:rsidR="00B438BA" w:rsidRDefault="008D533C">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XXXXXXXX XXXXXX XXXXX </w:t>
          </w:r>
        </w:p>
      </w:tc>
    </w:tr>
    <w:tr w:rsidR="00B438BA" w14:paraId="1AE0DD56" w14:textId="77777777">
      <w:trPr>
        <w:trHeight w:val="228"/>
      </w:trPr>
      <w:tc>
        <w:tcPr>
          <w:tcW w:w="2551" w:type="dxa"/>
          <w:vAlign w:val="center"/>
        </w:tcPr>
        <w:p w14:paraId="4B171268" w14:textId="77777777" w:rsidR="00B438BA" w:rsidRDefault="000123B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4F2A0A7B" w14:textId="77777777" w:rsidR="00B438BA" w:rsidRDefault="000123B8">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Tecnológico de Estudios Superiores de Ecatepec.</w:t>
          </w:r>
        </w:p>
      </w:tc>
    </w:tr>
    <w:tr w:rsidR="00B438BA" w14:paraId="63C55C87" w14:textId="77777777">
      <w:tc>
        <w:tcPr>
          <w:tcW w:w="2551" w:type="dxa"/>
          <w:vAlign w:val="center"/>
        </w:tcPr>
        <w:p w14:paraId="3F97FF1D" w14:textId="77777777" w:rsidR="00B438BA" w:rsidRDefault="000123B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4522D154" w14:textId="77777777" w:rsidR="00B438BA" w:rsidRDefault="000123B8">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57B9F28" w14:textId="77777777" w:rsidR="00B438BA" w:rsidRDefault="00B438B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D470" w14:textId="77777777" w:rsidR="00B438BA" w:rsidRDefault="000123B8">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77C37CB7" w14:textId="77777777" w:rsidR="00B438BA" w:rsidRDefault="00B438B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350C4"/>
    <w:multiLevelType w:val="multilevel"/>
    <w:tmpl w:val="868AC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D369BA"/>
    <w:multiLevelType w:val="multilevel"/>
    <w:tmpl w:val="B3A444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D34EF2"/>
    <w:multiLevelType w:val="multilevel"/>
    <w:tmpl w:val="D006152E"/>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9C5A94"/>
    <w:multiLevelType w:val="multilevel"/>
    <w:tmpl w:val="43F47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BA"/>
    <w:rsid w:val="000123B8"/>
    <w:rsid w:val="002B2DD7"/>
    <w:rsid w:val="00570C50"/>
    <w:rsid w:val="00673FBF"/>
    <w:rsid w:val="00701493"/>
    <w:rsid w:val="008D533C"/>
    <w:rsid w:val="00B438BA"/>
    <w:rsid w:val="00D95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F0C4"/>
  <w15:docId w15:val="{6FBCD91C-6B73-40A6-9644-2EA98E81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paragraph" w:styleId="Sinespaciado">
    <w:name w:val="No Spacing"/>
    <w:aliases w:val="Francesa,Fundamentos,INAI"/>
    <w:link w:val="SinespaciadoCar"/>
    <w:uiPriority w:val="1"/>
    <w:qFormat/>
    <w:rsid w:val="00757430"/>
    <w:rPr>
      <w:lang w:val="es-MX"/>
    </w:rPr>
  </w:style>
  <w:style w:type="character" w:customStyle="1" w:styleId="SinespaciadoCar">
    <w:name w:val="Sin espaciado Car"/>
    <w:aliases w:val="Francesa Car,Fundamentos Car,INAI Car"/>
    <w:link w:val="Sinespaciado"/>
    <w:uiPriority w:val="1"/>
    <w:locked/>
    <w:rsid w:val="00757430"/>
    <w:rPr>
      <w:lang w:val="es-MX"/>
    </w:r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8F66CA"/>
    <w:rPr>
      <w:color w:val="954F72" w:themeColor="followedHyperlink"/>
      <w:u w:val="single"/>
    </w:r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4124.page"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ocial.tese.edu.mx/" TargetMode="External"/><Relationship Id="rId23" Type="http://schemas.openxmlformats.org/officeDocument/2006/relationships/theme" Target="theme/theme1.xml"/><Relationship Id="rId10" Type="http://schemas.openxmlformats.org/officeDocument/2006/relationships/hyperlink" Target="https://www.tese.edu.mx/tese2020/loader2020.aspx?n=KVSYVTX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hMA45bTRD5TdTC4XplZpcrYwg==">CgMxLjAyCGguZ2pkZ3hzMgloLjMwajB6bGwyCWguMWZvYjl0ZTgAciExMjhhc2ZNQkFqM3Z1ZXkxWXJ2Um8zR2s3S1pxSGN3WGI=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6244</Words>
  <Characters>34342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2024-10-18T19:13:00Z</cp:lastPrinted>
  <dcterms:created xsi:type="dcterms:W3CDTF">2024-10-25T18:24:00Z</dcterms:created>
  <dcterms:modified xsi:type="dcterms:W3CDTF">2024-10-25T18:24:00Z</dcterms:modified>
</cp:coreProperties>
</file>