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419" w14:textId="77777777" w:rsidR="00B26DB8" w:rsidRDefault="00F53E4F">
      <w:pPr>
        <w:tabs>
          <w:tab w:val="left" w:pos="3465"/>
        </w:tabs>
        <w:spacing w:line="360" w:lineRule="auto"/>
        <w:ind w:right="-5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diecinueve (19) de junio de dos mil veinticuatro.</w:t>
      </w:r>
    </w:p>
    <w:p w14:paraId="5AB56007" w14:textId="77777777" w:rsidR="00B26DB8" w:rsidRDefault="00B26DB8">
      <w:pPr>
        <w:tabs>
          <w:tab w:val="left" w:pos="3465"/>
        </w:tabs>
        <w:spacing w:line="360" w:lineRule="auto"/>
        <w:ind w:right="-504"/>
        <w:jc w:val="both"/>
        <w:rPr>
          <w:rFonts w:ascii="Palatino Linotype" w:eastAsia="Palatino Linotype" w:hAnsi="Palatino Linotype" w:cs="Palatino Linotype"/>
          <w:color w:val="000000"/>
        </w:rPr>
      </w:pPr>
    </w:p>
    <w:p w14:paraId="7B31CA6D" w14:textId="4DBBE064" w:rsidR="00B26DB8" w:rsidRDefault="00F53E4F">
      <w:pPr>
        <w:spacing w:line="360" w:lineRule="auto"/>
        <w:ind w:right="-50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05213</w:t>
      </w:r>
      <w:r>
        <w:rPr>
          <w:rFonts w:ascii="Palatino Linotype" w:eastAsia="Palatino Linotype" w:hAnsi="Palatino Linotype" w:cs="Palatino Linotype"/>
          <w:b/>
        </w:rPr>
        <w:t>/INFOEM/ICR-22/IP/RR/2020</w:t>
      </w:r>
      <w:r>
        <w:rPr>
          <w:rFonts w:ascii="Palatino Linotype" w:eastAsia="Palatino Linotype" w:hAnsi="Palatino Linotype" w:cs="Palatino Linotype"/>
          <w:color w:val="000000"/>
        </w:rPr>
        <w:t xml:space="preserve">, interpuesto por </w:t>
      </w:r>
      <w:r w:rsidR="002E4E15">
        <w:rPr>
          <w:rFonts w:ascii="Palatino Linotype" w:eastAsia="Palatino Linotype" w:hAnsi="Palatino Linotype" w:cs="Palatino Linotype"/>
          <w:b/>
        </w:rPr>
        <w:t xml:space="preserve">XXX </w:t>
      </w:r>
      <w:proofErr w:type="spellStart"/>
      <w:r w:rsidR="002E4E15">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color w:val="000000"/>
        </w:rPr>
        <w:t xml:space="preserve"> en adelante </w:t>
      </w:r>
      <w:r>
        <w:rPr>
          <w:rFonts w:ascii="Palatino Linotype" w:eastAsia="Palatino Linotype" w:hAnsi="Palatino Linotype" w:cs="Palatino Linotype"/>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falta de respuesta del </w:t>
      </w:r>
      <w:r>
        <w:rPr>
          <w:rFonts w:ascii="Palatino Linotype" w:eastAsia="Palatino Linotype" w:hAnsi="Palatino Linotype" w:cs="Palatino Linotype"/>
          <w:b/>
          <w:color w:val="000000"/>
        </w:rPr>
        <w:t>Ayuntamiento de Ixtapaluca</w:t>
      </w:r>
      <w:r>
        <w:rPr>
          <w:rFonts w:ascii="Palatino Linotype" w:eastAsia="Palatino Linotype" w:hAnsi="Palatino Linotype" w:cs="Palatino Linotype"/>
          <w:color w:val="000000"/>
        </w:rPr>
        <w:t>, 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14:paraId="402FA84A" w14:textId="77777777" w:rsidR="00B26DB8" w:rsidRDefault="00B26DB8">
      <w:pPr>
        <w:spacing w:line="360" w:lineRule="auto"/>
        <w:ind w:right="-504"/>
        <w:jc w:val="both"/>
        <w:rPr>
          <w:rFonts w:ascii="Palatino Linotype" w:eastAsia="Palatino Linotype" w:hAnsi="Palatino Linotype" w:cs="Palatino Linotype"/>
        </w:rPr>
      </w:pPr>
    </w:p>
    <w:p w14:paraId="7F57FFE9" w14:textId="77777777" w:rsidR="00B26DB8" w:rsidRDefault="00F53E4F">
      <w:pPr>
        <w:pStyle w:val="Ttulo1"/>
        <w:spacing w:before="0" w:line="360" w:lineRule="auto"/>
        <w:ind w:right="-504"/>
        <w:jc w:val="center"/>
        <w:rPr>
          <w:b/>
          <w:color w:val="000000"/>
        </w:rPr>
      </w:pPr>
      <w:bookmarkStart w:id="0" w:name="_heading=h.gjdgxs" w:colFirst="0" w:colLast="0"/>
      <w:bookmarkEnd w:id="0"/>
      <w:r>
        <w:rPr>
          <w:b/>
          <w:color w:val="000000"/>
        </w:rPr>
        <w:t>A N T E C E D E N T E S</w:t>
      </w:r>
    </w:p>
    <w:p w14:paraId="6E019676"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El nueve (9) de octubre de dos mil veinte,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 la Plataforma Nacional de Transparencia (PNT) y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00207/IXTAPALU/IP/2020,</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requirió lo siguiente:</w:t>
      </w:r>
    </w:p>
    <w:p w14:paraId="4DF620C8" w14:textId="77777777" w:rsidR="00B26DB8" w:rsidRDefault="00B26DB8">
      <w:pPr>
        <w:pBdr>
          <w:top w:val="nil"/>
          <w:left w:val="nil"/>
          <w:bottom w:val="nil"/>
          <w:right w:val="nil"/>
          <w:between w:val="nil"/>
        </w:pBdr>
        <w:spacing w:line="276" w:lineRule="auto"/>
        <w:ind w:left="567" w:right="-504"/>
        <w:jc w:val="both"/>
        <w:rPr>
          <w:rFonts w:ascii="Palatino Linotype" w:eastAsia="Palatino Linotype" w:hAnsi="Palatino Linotype" w:cs="Palatino Linotype"/>
          <w:i/>
          <w:color w:val="000000"/>
        </w:rPr>
      </w:pPr>
    </w:p>
    <w:p w14:paraId="7654727E" w14:textId="77777777" w:rsidR="00B26DB8" w:rsidRDefault="00F53E4F">
      <w:pPr>
        <w:pBdr>
          <w:top w:val="nil"/>
          <w:left w:val="nil"/>
          <w:bottom w:val="nil"/>
          <w:right w:val="nil"/>
          <w:between w:val="nil"/>
        </w:pBdr>
        <w:spacing w:line="276" w:lineRule="auto"/>
        <w:ind w:left="567" w:right="-50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a la Administración del Gobierno Municipal de ixtapaluca, Estado de México, todos los documentos relacionados a las licitaciones, contratos, incluyendo anexos de los contratos, cotizaciones, facturas de compra, listas de proveedores, que han tenido relación a la obra publica del municipio, construcciones de centros deportivos, fuentes en general, construcción de edificios públicos, remodelaciones y compras de insumos, consumibles, herramientas, uniformes, vehículos, compras de artículos para despensas y todo lo relacionado al arrendamiento de vehículos durante los años 2017, 2018, 2019 y 2020”(Sic).</w:t>
      </w:r>
    </w:p>
    <w:p w14:paraId="20B943D0" w14:textId="77777777" w:rsidR="00B26DB8" w:rsidRDefault="00B26DB8">
      <w:pPr>
        <w:pBdr>
          <w:top w:val="nil"/>
          <w:left w:val="nil"/>
          <w:bottom w:val="nil"/>
          <w:right w:val="nil"/>
          <w:between w:val="nil"/>
        </w:pBdr>
        <w:spacing w:line="276" w:lineRule="auto"/>
        <w:ind w:left="567" w:right="-504"/>
        <w:jc w:val="both"/>
        <w:rPr>
          <w:rFonts w:ascii="Palatino Linotype" w:eastAsia="Palatino Linotype" w:hAnsi="Palatino Linotype" w:cs="Palatino Linotype"/>
          <w:i/>
          <w:color w:val="000000"/>
        </w:rPr>
      </w:pPr>
    </w:p>
    <w:p w14:paraId="7E6B35BC"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Modalidad de entrega: A través de SAIMEX. </w:t>
      </w:r>
    </w:p>
    <w:p w14:paraId="71F96FD2" w14:textId="77777777" w:rsidR="00B26DB8" w:rsidRDefault="00B26DB8">
      <w:pPr>
        <w:pBdr>
          <w:top w:val="nil"/>
          <w:left w:val="nil"/>
          <w:bottom w:val="nil"/>
          <w:right w:val="nil"/>
          <w:between w:val="nil"/>
        </w:pBdr>
        <w:spacing w:line="360" w:lineRule="auto"/>
        <w:ind w:left="284" w:right="-504"/>
        <w:jc w:val="both"/>
        <w:rPr>
          <w:rFonts w:ascii="Palatino Linotype" w:eastAsia="Palatino Linotype" w:hAnsi="Palatino Linotype" w:cs="Palatino Linotype"/>
          <w:color w:val="000000"/>
        </w:rPr>
      </w:pPr>
    </w:p>
    <w:p w14:paraId="0943B551"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lastRenderedPageBreak/>
        <w:t>El Sujeto Obligado no dio respuesta a la solicitud.</w:t>
      </w:r>
    </w:p>
    <w:p w14:paraId="058F98CE" w14:textId="77777777" w:rsidR="00B26DB8" w:rsidRDefault="00B26DB8">
      <w:pPr>
        <w:pBdr>
          <w:top w:val="nil"/>
          <w:left w:val="nil"/>
          <w:bottom w:val="nil"/>
          <w:right w:val="nil"/>
          <w:between w:val="nil"/>
        </w:pBdr>
        <w:tabs>
          <w:tab w:val="left" w:pos="284"/>
          <w:tab w:val="left" w:pos="426"/>
        </w:tabs>
        <w:spacing w:line="360" w:lineRule="auto"/>
        <w:ind w:right="-504"/>
        <w:jc w:val="both"/>
        <w:rPr>
          <w:rFonts w:ascii="Palatino Linotype" w:eastAsia="Palatino Linotype" w:hAnsi="Palatino Linotype" w:cs="Palatino Linotype"/>
          <w:color w:val="000000"/>
        </w:rPr>
      </w:pPr>
    </w:p>
    <w:p w14:paraId="70E5C909" w14:textId="77777777" w:rsidR="00B26DB8" w:rsidRDefault="00F53E4F">
      <w:pPr>
        <w:numPr>
          <w:ilvl w:val="0"/>
          <w:numId w:val="2"/>
        </w:numPr>
        <w:pBdr>
          <w:top w:val="nil"/>
          <w:left w:val="nil"/>
          <w:bottom w:val="nil"/>
          <w:right w:val="nil"/>
          <w:between w:val="nil"/>
        </w:pBdr>
        <w:tabs>
          <w:tab w:val="left" w:pos="284"/>
          <w:tab w:val="left" w:pos="426"/>
        </w:tabs>
        <w:spacing w:line="360" w:lineRule="auto"/>
        <w:ind w:right="-504"/>
        <w:jc w:val="both"/>
        <w:rPr>
          <w:color w:val="000000"/>
        </w:rPr>
      </w:pPr>
      <w:r>
        <w:rPr>
          <w:rFonts w:ascii="Palatino Linotype" w:eastAsia="Palatino Linotype" w:hAnsi="Palatino Linotype" w:cs="Palatino Linotype"/>
          <w:color w:val="000000"/>
        </w:rPr>
        <w:t xml:space="preserve">Derivado de la falta de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cinco (5) de noviembre de dos mil veinte, la particular interpuso el recurso de revisión </w:t>
      </w:r>
      <w:r>
        <w:rPr>
          <w:rFonts w:ascii="Palatino Linotype" w:eastAsia="Palatino Linotype" w:hAnsi="Palatino Linotype" w:cs="Palatino Linotype"/>
          <w:b/>
          <w:color w:val="000000"/>
        </w:rPr>
        <w:t>05213/INFOEM/ICR-22/IP/RR/2020;</w:t>
      </w:r>
      <w:r>
        <w:rPr>
          <w:rFonts w:ascii="Palatino Linotype" w:eastAsia="Palatino Linotype" w:hAnsi="Palatino Linotype" w:cs="Palatino Linotype"/>
          <w:color w:val="000000"/>
        </w:rPr>
        <w:t xml:space="preserve"> impugnación en la que refirió lo siguiente:</w:t>
      </w:r>
    </w:p>
    <w:p w14:paraId="3A5E52EF" w14:textId="77777777" w:rsidR="00B26DB8" w:rsidRDefault="00F53E4F">
      <w:pPr>
        <w:numPr>
          <w:ilvl w:val="0"/>
          <w:numId w:val="3"/>
        </w:num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Agravios expresados en el documento adjunto.”</w:t>
      </w:r>
      <w:r>
        <w:rPr>
          <w:rFonts w:ascii="Palatino Linotype" w:eastAsia="Palatino Linotype" w:hAnsi="Palatino Linotype" w:cs="Palatino Linotype"/>
          <w:color w:val="000000"/>
          <w:sz w:val="22"/>
          <w:szCs w:val="22"/>
        </w:rPr>
        <w:t xml:space="preserve"> (Sic).</w:t>
      </w:r>
    </w:p>
    <w:p w14:paraId="4FA06D9F" w14:textId="77777777" w:rsidR="00B26DB8" w:rsidRDefault="00F53E4F">
      <w:pPr>
        <w:numPr>
          <w:ilvl w:val="0"/>
          <w:numId w:val="3"/>
        </w:num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la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Recurro a la queja ya que no encuentro respuesta algun por parte del sujeto obligado dentro del plazo legal</w:t>
      </w:r>
      <w:r>
        <w:rPr>
          <w:rFonts w:ascii="Palatino Linotype" w:eastAsia="Palatino Linotype" w:hAnsi="Palatino Linotype" w:cs="Palatino Linotype"/>
          <w:color w:val="000000"/>
          <w:sz w:val="22"/>
          <w:szCs w:val="22"/>
        </w:rPr>
        <w:t>.”</w:t>
      </w:r>
    </w:p>
    <w:p w14:paraId="589A3B96" w14:textId="77777777" w:rsidR="00B26DB8" w:rsidRDefault="00B26DB8">
      <w:pPr>
        <w:tabs>
          <w:tab w:val="left" w:pos="426"/>
        </w:tabs>
        <w:spacing w:line="360" w:lineRule="auto"/>
        <w:ind w:right="-504"/>
        <w:jc w:val="both"/>
        <w:rPr>
          <w:rFonts w:ascii="Palatino Linotype" w:eastAsia="Palatino Linotype" w:hAnsi="Palatino Linotype" w:cs="Palatino Linotype"/>
          <w:color w:val="000000"/>
        </w:rPr>
      </w:pPr>
    </w:p>
    <w:p w14:paraId="2FECC6A1"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298CDFDD"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1C74DECE"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once (11) de noviembre de dos mil veinte, puso a disposición de las partes el expediente electrónico vía Sistema de Acceso a la Información Mexiquense (</w:t>
      </w:r>
      <w:r>
        <w:rPr>
          <w:rFonts w:ascii="Palatino Linotype" w:eastAsia="Palatino Linotype" w:hAnsi="Palatino Linotype" w:cs="Palatino Linotype"/>
          <w:b/>
          <w:i/>
          <w:color w:val="000000"/>
        </w:rPr>
        <w:t>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4A943D2F"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33FBFE54"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El dieciocho (18) de noviembre de dos mil veinte, el Sujeto Obligado rindió su informe justificado a través del documento electrónico denominado Manif RR 05213 </w:t>
      </w:r>
      <w:r>
        <w:rPr>
          <w:rFonts w:ascii="Palatino Linotype" w:eastAsia="Palatino Linotype" w:hAnsi="Palatino Linotype" w:cs="Palatino Linotype"/>
          <w:color w:val="000000"/>
        </w:rPr>
        <w:lastRenderedPageBreak/>
        <w:t>Obras Publicas.pdf, el cual se puso a la vista el ocho (8) de diciembre de dos mil veinte, el cual contiene medularmente indica que el particular debe acudir a las oficinas a consultar la información directamente, ya que la información rebasa las capacidades administrativas técnicas y humanas.</w:t>
      </w:r>
    </w:p>
    <w:p w14:paraId="6558B694" w14:textId="77777777" w:rsidR="00B26DB8" w:rsidRDefault="00B26DB8">
      <w:pPr>
        <w:pBdr>
          <w:top w:val="nil"/>
          <w:left w:val="nil"/>
          <w:bottom w:val="nil"/>
          <w:right w:val="nil"/>
          <w:between w:val="nil"/>
        </w:pBdr>
        <w:tabs>
          <w:tab w:val="left" w:pos="426"/>
        </w:tabs>
        <w:spacing w:line="360" w:lineRule="auto"/>
        <w:ind w:right="-504"/>
        <w:jc w:val="center"/>
        <w:rPr>
          <w:rFonts w:ascii="Palatino Linotype" w:eastAsia="Palatino Linotype" w:hAnsi="Palatino Linotype" w:cs="Palatino Linotype"/>
          <w:color w:val="000000"/>
        </w:rPr>
      </w:pPr>
    </w:p>
    <w:p w14:paraId="17613258"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bookmarkStart w:id="1" w:name="_heading=h.30j0zll" w:colFirst="0" w:colLast="0"/>
      <w:bookmarkEnd w:id="1"/>
      <w:r>
        <w:rPr>
          <w:rFonts w:ascii="Palatino Linotype" w:eastAsia="Palatino Linotype" w:hAnsi="Palatino Linotype" w:cs="Palatino Linotype"/>
          <w:color w:val="000000"/>
        </w:rPr>
        <w:t xml:space="preserve">El catorce (14) de diciembre de dos mil veinte la Comisionada Ponente decretó el cierre del periodo de instrucción, por lo que ordenó turnar el expediente para su resolución, misma que ahora se pronuncia; </w:t>
      </w:r>
    </w:p>
    <w:p w14:paraId="06D52700"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3A45D3FD"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En la Trigésima Primera Sesión Ordinaria, de fecha dieciséis (16) de diciembre de</w:t>
      </w:r>
      <w:r w:rsidR="00966659">
        <w:rPr>
          <w:rFonts w:ascii="Palatino Linotype" w:eastAsia="Palatino Linotype" w:hAnsi="Palatino Linotype" w:cs="Palatino Linotype"/>
          <w:color w:val="000000"/>
        </w:rPr>
        <w:t xml:space="preserve"> dos mil veinte, el Pleno </w:t>
      </w:r>
      <w:r>
        <w:rPr>
          <w:rFonts w:ascii="Palatino Linotype" w:eastAsia="Palatino Linotype" w:hAnsi="Palatino Linotype" w:cs="Palatino Linotype"/>
          <w:color w:val="000000"/>
        </w:rPr>
        <w:t>del Instituto de Transparencia, Acceso a la Información Pública y Protección de Datos Personales del Estado de México y Municipios, aprobó por Unanimidad de votos, la resolución dictada en el recurso de revisión al Rubro indicado a cual se determinó los  siguiente:</w:t>
      </w:r>
    </w:p>
    <w:p w14:paraId="23E2521A"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PRIMERO.</w:t>
      </w:r>
      <w:r>
        <w:rPr>
          <w:rFonts w:ascii="Palatino Linotype" w:eastAsia="Palatino Linotype" w:hAnsi="Palatino Linotype" w:cs="Palatino Linotype"/>
          <w:i/>
          <w:color w:val="000000"/>
          <w:sz w:val="22"/>
          <w:szCs w:val="22"/>
        </w:rPr>
        <w:t xml:space="preserve"> Resultan fundadas las razones o motivos de inconformidad hechos valer en el recurso de revisión </w:t>
      </w:r>
      <w:r>
        <w:rPr>
          <w:rFonts w:ascii="Palatino Linotype" w:eastAsia="Palatino Linotype" w:hAnsi="Palatino Linotype" w:cs="Palatino Linotype"/>
          <w:b/>
          <w:i/>
          <w:color w:val="000000"/>
          <w:sz w:val="22"/>
          <w:szCs w:val="22"/>
        </w:rPr>
        <w:t>05213/INFOEM/IP/RR/2020</w:t>
      </w:r>
      <w:r>
        <w:rPr>
          <w:rFonts w:ascii="Palatino Linotype" w:eastAsia="Palatino Linotype" w:hAnsi="Palatino Linotype" w:cs="Palatino Linotype"/>
          <w:i/>
          <w:color w:val="000000"/>
          <w:sz w:val="22"/>
          <w:szCs w:val="22"/>
        </w:rPr>
        <w:t xml:space="preserve">, en términos de los Considerandos </w:t>
      </w:r>
      <w:r>
        <w:rPr>
          <w:rFonts w:ascii="Palatino Linotype" w:eastAsia="Palatino Linotype" w:hAnsi="Palatino Linotype" w:cs="Palatino Linotype"/>
          <w:b/>
          <w:i/>
          <w:color w:val="000000"/>
          <w:sz w:val="22"/>
          <w:szCs w:val="22"/>
        </w:rPr>
        <w:t>CUARTO y QUINTO</w:t>
      </w:r>
      <w:r>
        <w:rPr>
          <w:rFonts w:ascii="Palatino Linotype" w:eastAsia="Palatino Linotype" w:hAnsi="Palatino Linotype" w:cs="Palatino Linotype"/>
          <w:i/>
          <w:color w:val="000000"/>
          <w:sz w:val="22"/>
          <w:szCs w:val="22"/>
        </w:rPr>
        <w:t xml:space="preserve"> de la presente resolución.  </w:t>
      </w:r>
    </w:p>
    <w:p w14:paraId="3C7463F8"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582C0798"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SEGUNDO.</w:t>
      </w:r>
      <w:r>
        <w:rPr>
          <w:rFonts w:ascii="Palatino Linotype" w:eastAsia="Palatino Linotype" w:hAnsi="Palatino Linotype" w:cs="Palatino Linotype"/>
          <w:i/>
          <w:color w:val="000000"/>
          <w:sz w:val="22"/>
          <w:szCs w:val="22"/>
        </w:rPr>
        <w:t xml:space="preserve"> Se ordena al </w:t>
      </w:r>
      <w:r>
        <w:rPr>
          <w:rFonts w:ascii="Palatino Linotype" w:eastAsia="Palatino Linotype" w:hAnsi="Palatino Linotype" w:cs="Palatino Linotype"/>
          <w:b/>
          <w:i/>
          <w:color w:val="000000"/>
          <w:sz w:val="22"/>
          <w:szCs w:val="22"/>
        </w:rPr>
        <w:t>Ayuntamiento de Ixtapaluca</w:t>
      </w:r>
      <w:r>
        <w:rPr>
          <w:rFonts w:ascii="Palatino Linotype" w:eastAsia="Palatino Linotype" w:hAnsi="Palatino Linotype" w:cs="Palatino Linotype"/>
          <w:i/>
          <w:color w:val="000000"/>
          <w:sz w:val="22"/>
          <w:szCs w:val="22"/>
        </w:rPr>
        <w:t xml:space="preserve"> entregar vía correo electrónico y a través del Sistema de Acceso a la Información Mexiquense (SAIMEX), de ser el caso en versión pública, el soporte documental en que conste o se advierta la siguiente información, </w:t>
      </w:r>
      <w:r>
        <w:rPr>
          <w:rFonts w:ascii="Palatino Linotype" w:eastAsia="Palatino Linotype" w:hAnsi="Palatino Linotype" w:cs="Palatino Linotype"/>
          <w:b/>
          <w:i/>
          <w:color w:val="000000"/>
          <w:sz w:val="22"/>
          <w:szCs w:val="22"/>
        </w:rPr>
        <w:t>de los ejercicios fiscales 2017 a 2019 y del uno (1) de enero al nueve (9) de octubre de 2020:</w:t>
      </w:r>
      <w:r>
        <w:rPr>
          <w:rFonts w:ascii="Palatino Linotype" w:eastAsia="Palatino Linotype" w:hAnsi="Palatino Linotype" w:cs="Palatino Linotype"/>
          <w:i/>
          <w:color w:val="000000"/>
          <w:sz w:val="22"/>
          <w:szCs w:val="22"/>
        </w:rPr>
        <w:t xml:space="preserve">  </w:t>
      </w:r>
    </w:p>
    <w:p w14:paraId="2C2C3EA4"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Relativo a obras públicas: licitaciones, contratos, cotizaciones, facturas de compra y lista de proveedores; </w:t>
      </w:r>
    </w:p>
    <w:p w14:paraId="386BED0D"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b) Construcción de centros deportivos, fuentes, edificios públicos y remodelación de inmuebles; </w:t>
      </w:r>
    </w:p>
    <w:p w14:paraId="1F71CC8A"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c) Compras de insumos, consumibles, herramientas, uniformes, vehículos, artículos para despensas; y </w:t>
      </w:r>
    </w:p>
    <w:p w14:paraId="6BC0822D"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 Arrendamiento de vehículos.</w:t>
      </w:r>
    </w:p>
    <w:p w14:paraId="534EF374"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16DE93C4"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i/>
          <w:color w:val="000000"/>
          <w:sz w:val="22"/>
          <w:szCs w:val="22"/>
        </w:rPr>
        <w:t>RECURRENTE.</w:t>
      </w:r>
      <w:r>
        <w:rPr>
          <w:rFonts w:ascii="Palatino Linotype" w:eastAsia="Palatino Linotype" w:hAnsi="Palatino Linotype" w:cs="Palatino Linotype"/>
          <w:i/>
          <w:color w:val="000000"/>
          <w:sz w:val="22"/>
          <w:szCs w:val="22"/>
        </w:rPr>
        <w:t xml:space="preserve"> </w:t>
      </w:r>
    </w:p>
    <w:p w14:paraId="73D78BE2"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2F1E5A75"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TERCERO. Notifíquese</w:t>
      </w:r>
      <w:r>
        <w:rPr>
          <w:rFonts w:ascii="Palatino Linotype" w:eastAsia="Palatino Linotype" w:hAnsi="Palatino Linotype" w:cs="Palatino Linotype"/>
          <w:i/>
          <w:color w:val="000000"/>
          <w:sz w:val="22"/>
          <w:szCs w:val="22"/>
        </w:rPr>
        <w:t xml:space="preserve"> al Titular de la Unidad de Transparencia del </w:t>
      </w:r>
      <w:r>
        <w:rPr>
          <w:rFonts w:ascii="Palatino Linotype" w:eastAsia="Palatino Linotype" w:hAnsi="Palatino Linotype" w:cs="Palatino Linotype"/>
          <w:b/>
          <w:i/>
          <w:color w:val="000000"/>
          <w:sz w:val="22"/>
          <w:szCs w:val="22"/>
        </w:rPr>
        <w:t>SUJETO OBLIGADO</w:t>
      </w:r>
      <w:r>
        <w:rPr>
          <w:rFonts w:ascii="Palatino Linotype" w:eastAsia="Palatino Linotype" w:hAnsi="Palatino Linotype" w:cs="Palatino Linotype"/>
          <w:i/>
          <w:color w:val="000000"/>
          <w:sz w:val="22"/>
          <w:szCs w:val="22"/>
        </w:rPr>
        <w:t xml:space="preserve">, para que conforme a los artículos 186 último párrafo, 189 párrafo segundo y 199 de la Ley de Transparencia y Acceso a la Información Pública del Estado de México y Municipios, vigente, dé cumplimiento a lo ordenado dentro del plazo de diez días hábiles, debiendo rendir a este Instituto el informe de cumplimiento de la resolución en un plazo de tres días hábiles posteriores. </w:t>
      </w:r>
    </w:p>
    <w:p w14:paraId="3A810FFF"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044F8D25"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Notifíquese al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la presente resolución.  </w:t>
      </w:r>
    </w:p>
    <w:p w14:paraId="7AE6804E"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77D5358E"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QUINTO. </w:t>
      </w:r>
      <w:r>
        <w:rPr>
          <w:rFonts w:ascii="Palatino Linotype" w:eastAsia="Palatino Linotype" w:hAnsi="Palatino Linotype" w:cs="Palatino Linotype"/>
          <w:i/>
          <w:color w:val="000000"/>
          <w:sz w:val="22"/>
          <w:szCs w:val="22"/>
        </w:rPr>
        <w:t xml:space="preserve">Se hace del conocimiento del </w:t>
      </w:r>
      <w:r>
        <w:rPr>
          <w:rFonts w:ascii="Palatino Linotype" w:eastAsia="Palatino Linotype" w:hAnsi="Palatino Linotype" w:cs="Palatino Linotype"/>
          <w:b/>
          <w:i/>
          <w:color w:val="000000"/>
          <w:sz w:val="22"/>
          <w:szCs w:val="22"/>
        </w:rPr>
        <w:t>RECURRENTE</w:t>
      </w:r>
      <w:r>
        <w:rPr>
          <w:rFonts w:ascii="Palatino Linotype" w:eastAsia="Palatino Linotype" w:hAnsi="Palatino Linotype" w:cs="Palatino Linotype"/>
          <w:i/>
          <w:color w:val="000000"/>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4974874A"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167701B8"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SEXTO.</w:t>
      </w:r>
      <w:r>
        <w:rPr>
          <w:rFonts w:ascii="Palatino Linotype" w:eastAsia="Palatino Linotype" w:hAnsi="Palatino Linotype" w:cs="Palatino Linotype"/>
          <w:i/>
          <w:color w:val="000000"/>
          <w:sz w:val="22"/>
          <w:szCs w:val="22"/>
        </w:rPr>
        <w:t xml:space="preserve"> Con fundamento en el artículo 198 de la Ley de Transparencia y Acceso a la Información Pública del Estado de México y Municipios, se apercibe al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de que, en caso de incumplimiento total o parcial de la presente resolución, se actuará de conformidad con lo dispuesto en los artículos 213, 214, 215, 216 y 217 de la ley en cita. </w:t>
      </w:r>
    </w:p>
    <w:p w14:paraId="6E89AF88"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SÉPTIMO.</w:t>
      </w:r>
      <w:r>
        <w:rPr>
          <w:rFonts w:ascii="Palatino Linotype" w:eastAsia="Palatino Linotype" w:hAnsi="Palatino Linotype" w:cs="Palatino Linotype"/>
          <w:i/>
          <w:color w:val="000000"/>
          <w:sz w:val="22"/>
          <w:szCs w:val="22"/>
        </w:rPr>
        <w:t xml:space="preserve"> Gírese oficio al Contralor Interno y Órgano de Control y Vigilancia de este Instituto para hacer de su conocimiento la presente resolución a fin de que en ejercicio de sus atribuciones y de conformidad al artículo 190 de la Ley de Transparencia y Acceso a la Información Pública del Estado de México y Municipios, determine lo conducente en términos del </w:t>
      </w:r>
      <w:r>
        <w:rPr>
          <w:rFonts w:ascii="Palatino Linotype" w:eastAsia="Palatino Linotype" w:hAnsi="Palatino Linotype" w:cs="Palatino Linotype"/>
          <w:b/>
          <w:i/>
          <w:color w:val="000000"/>
          <w:sz w:val="22"/>
          <w:szCs w:val="22"/>
        </w:rPr>
        <w:t>Considerando SEXTO.</w:t>
      </w:r>
      <w:r>
        <w:rPr>
          <w:rFonts w:ascii="Palatino Linotype" w:eastAsia="Palatino Linotype" w:hAnsi="Palatino Linotype" w:cs="Palatino Linotype"/>
          <w:i/>
          <w:color w:val="000000"/>
          <w:sz w:val="22"/>
          <w:szCs w:val="22"/>
        </w:rPr>
        <w:t xml:space="preserve"> </w:t>
      </w:r>
    </w:p>
    <w:p w14:paraId="331FDD62"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687CBE82"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OCTAVO.</w:t>
      </w:r>
      <w:r>
        <w:rPr>
          <w:rFonts w:ascii="Palatino Linotype" w:eastAsia="Palatino Linotype" w:hAnsi="Palatino Linotype" w:cs="Palatino Linotype"/>
          <w:i/>
          <w:color w:val="000000"/>
          <w:sz w:val="22"/>
          <w:szCs w:val="22"/>
        </w:rPr>
        <w:t xml:space="preserve"> Gírese oficio al Titular de la Dirección Jurídica y de Verificación de este Instituto, para hacer de su conocimiento la presente resolución a fin de que en ejercicio de sus atribuciones y de conformidad  con lo dispuesto por el artículo 22, fracción XIV del Reglamento Interior del Instituto de Transparencia, Acceso a la Información Pública y Protección de Datos Personales del Estado de México y Municipios, determine lo conducente en términos del </w:t>
      </w:r>
      <w:r>
        <w:rPr>
          <w:rFonts w:ascii="Palatino Linotype" w:eastAsia="Palatino Linotype" w:hAnsi="Palatino Linotype" w:cs="Palatino Linotype"/>
          <w:b/>
          <w:i/>
          <w:color w:val="000000"/>
          <w:sz w:val="22"/>
          <w:szCs w:val="22"/>
        </w:rPr>
        <w:t xml:space="preserve">Considerando SÉPTIMO. </w:t>
      </w:r>
    </w:p>
    <w:p w14:paraId="14A56D20"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p>
    <w:p w14:paraId="29582DAF" w14:textId="77777777" w:rsidR="00B26DB8" w:rsidRDefault="00F53E4F">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Hágase del conocimiento de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que la respuesta que dé el </w:t>
      </w:r>
      <w:r>
        <w:rPr>
          <w:rFonts w:ascii="Palatino Linotype" w:eastAsia="Palatino Linotype" w:hAnsi="Palatino Linotype" w:cs="Palatino Linotype"/>
          <w:b/>
          <w:i/>
          <w:color w:val="000000"/>
          <w:sz w:val="22"/>
          <w:szCs w:val="22"/>
        </w:rPr>
        <w:t>SUJETO OBLIGADO</w:t>
      </w:r>
      <w:r>
        <w:rPr>
          <w:rFonts w:ascii="Palatino Linotype" w:eastAsia="Palatino Linotype" w:hAnsi="Palatino Linotype" w:cs="Palatino Linotype"/>
          <w:i/>
          <w:color w:val="000000"/>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6DD49DF" w14:textId="77777777" w:rsidR="00B26DB8" w:rsidRDefault="00B26DB8">
      <w:pPr>
        <w:pBdr>
          <w:top w:val="nil"/>
          <w:left w:val="nil"/>
          <w:bottom w:val="nil"/>
          <w:right w:val="nil"/>
          <w:between w:val="nil"/>
        </w:pBdr>
        <w:tabs>
          <w:tab w:val="left" w:pos="426"/>
        </w:tabs>
        <w:spacing w:line="360" w:lineRule="auto"/>
        <w:ind w:left="567" w:right="-504"/>
        <w:jc w:val="both"/>
        <w:rPr>
          <w:rFonts w:ascii="Palatino Linotype" w:eastAsia="Palatino Linotype" w:hAnsi="Palatino Linotype" w:cs="Palatino Linotype"/>
          <w:i/>
          <w:sz w:val="22"/>
          <w:szCs w:val="22"/>
        </w:rPr>
      </w:pPr>
    </w:p>
    <w:p w14:paraId="6267CBCC"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El uno (1) de marzo de dos mil veintiuno el Sujeto Obligado dio respuesta a la resolución.</w:t>
      </w:r>
    </w:p>
    <w:p w14:paraId="43023E81"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4824BC32"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El once (11) de marzo de dos mil veintiuno, la Dirección de Cumplimientos, emitió el acuerdo de incumplimiento a la resolución. En la misma fecha,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Contraloría Interna para </w:t>
      </w:r>
      <w:r>
        <w:rPr>
          <w:rFonts w:ascii="Palatino Linotype" w:eastAsia="Palatino Linotype" w:hAnsi="Palatino Linotype" w:cs="Palatino Linotype"/>
        </w:rPr>
        <w:t>su imposición</w:t>
      </w:r>
      <w:r>
        <w:rPr>
          <w:rFonts w:ascii="Palatino Linotype" w:eastAsia="Palatino Linotype" w:hAnsi="Palatino Linotype" w:cs="Palatino Linotype"/>
          <w:color w:val="000000"/>
        </w:rPr>
        <w:t xml:space="preserve"> de Medida de Apremio.</w:t>
      </w:r>
    </w:p>
    <w:p w14:paraId="4454A221"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7DDCAF44"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El veinticinco (25) de marzo de dos mil veintiuno, se notificó el apercibimiento al Titular de la Unidad de Transparencia.</w:t>
      </w:r>
    </w:p>
    <w:p w14:paraId="163CB765"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3254628D"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lastRenderedPageBreak/>
        <w:t xml:space="preserve">El ocho (8) de marzo de dos mil veintitrés,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Contraloría Interna para la imposición de Medida de Apremio por incumplimiento a la resolución.</w:t>
      </w:r>
    </w:p>
    <w:p w14:paraId="6A559249"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6FD9FD44"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El uno (1) de mayo de dos mil veinticuatro, el Recurrente interpuso el recurso de revisión </w:t>
      </w:r>
    </w:p>
    <w:p w14:paraId="18D6187C" w14:textId="77777777" w:rsidR="00B26DB8" w:rsidRDefault="00F53E4F">
      <w:pPr>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i/>
          <w:sz w:val="22"/>
          <w:szCs w:val="22"/>
        </w:rPr>
        <w:t>: “Originalmente se solicitó:Solicito a la Administración del Gobierno Municipal de ixtapaluca, Estado de México, todos los documentos relacionados a las licitaciones, contratos, incluyendo anexos de los contratos, cotizaciones, facturas de compra, listas de proveedores, que han tenido relación a la obra publica del municipio, construcciones de centros deportivos, fuentes en general, construcción de edificios públicos, remodelaciones y compras de insumos, consumibles, herramientas, uniformes, vehículos, compras de artículos para despensas y todo lo relacionado al arrendamiento de vehículos durante los años 2017, 2018, 2019 y 2020. Posteriormente el 22 de marzo de 2021 se le informó al entonces TITULAR DE LA UNIDAD DE TRANSPARENCIA DEL AYUNTAMIENTO DE IXTAPALUCA, el señor GUILLERMO EDGAR SALAS GARCÍA. Se le notificó que Se hace de su conocimiento que esta Contraloría Interna y Órgano de Control y Vigilancia a mi cargo, recibió por parte del Director de Cumplimientos de este Instituto, el acuerdo de incumplimiento a la Resolución del Recurso de Revisión citado al rubro, mismo que se encuentra adjuntado en el Sistema de Acceso a la Información Mexiquense (SAIMEX); solicitando la imposición de las medidas de apremio a que hubiere lugar y, de esa manera, asegurar la entrega de la información al recurrente. Por tal motivo, se le apercibe para que en un plazo de cinco días hábiles, contados a partir del día siguiente a la recepción del presente, dé cabal cumplimiento a la Resolución de referencia; por lo que en caso de no atender el requerimiento contenido en el presente oficio, se le impondría cualquiera de las MEDIDAS DE APREMIO señaladas en el artículo 214 fracciones II. Amonestación Pública; y III. Multa, de ciento cincuenta hasta mil quinientas veces la UMA de la Ley de Transparencia y Acceso a la Información Pública del Estado de México y Municipios. Lo anterior, con fundamento en los artículos 6 de la Constitución Política de los Estados Unidos Mexicanos; 5 de la Constitución Política del Estado Libre y Soberano de México; 36, fracción XXIII, 200, fracción III, 213, 214 y 215 de la Ley de Transparencia y Acceso a la Información Pública del Estado de México y Municipios y 27 fracción XXII y XXXII del Reglamento Interior del Instituto de Transparencia, Acceso a la Información Pública y Protección de Datos Personales del Estado de México y Municipios, publicado en el periódico oficial “Gaceta del Gobierno” el diecisiete de noviembre de dos mil veinte.”</w:t>
      </w:r>
    </w:p>
    <w:p w14:paraId="68760D68" w14:textId="77777777" w:rsidR="00B26DB8" w:rsidRDefault="00B26DB8">
      <w:pPr>
        <w:ind w:left="567" w:right="-504"/>
        <w:jc w:val="both"/>
        <w:rPr>
          <w:rFonts w:ascii="Palatino Linotype" w:eastAsia="Palatino Linotype" w:hAnsi="Palatino Linotype" w:cs="Palatino Linotype"/>
          <w:i/>
          <w:sz w:val="22"/>
          <w:szCs w:val="22"/>
        </w:rPr>
      </w:pPr>
    </w:p>
    <w:p w14:paraId="13ED501C" w14:textId="77777777" w:rsidR="00B26DB8" w:rsidRDefault="00F53E4F">
      <w:pPr>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RAZONES O MOTIVOS DE INCONFORMIDAD</w:t>
      </w:r>
      <w:r>
        <w:rPr>
          <w:rFonts w:ascii="Palatino Linotype" w:eastAsia="Palatino Linotype" w:hAnsi="Palatino Linotype" w:cs="Palatino Linotype"/>
          <w:i/>
          <w:sz w:val="22"/>
          <w:szCs w:val="22"/>
        </w:rPr>
        <w:t>: “Al día de hoy el señor Guillermo Edgar Salas García es el Titular del Órgano Interno de Control Municipal del municipio de Ixtapaluca y hasta el día de hoy nunca se entregó la información solicitada, lo cual muestra un actitud contra el acceso a la información y la transparencia lo cual muestra malas practicas.”</w:t>
      </w:r>
    </w:p>
    <w:p w14:paraId="12270948"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lastRenderedPageBreak/>
        <w:t>El Recurrente adjuntó el documento electrónico denominado 05213-2020.pdf, el cual contiene el oficio INFOEM/CI-OCV/0545/2021 signado por el Contralor Interno y Titular del Órgano Interno de Control y Vigilancia de este Órgano Garante en el que se le otorga al Sujeto Obligado un plazo de cinco días hábiles para dar cumplimiento a la resolución con el apercibimiento que de no hacerlo se le impondrá como Medida de Aprecio una multa.</w:t>
      </w:r>
    </w:p>
    <w:p w14:paraId="7E9BD117"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3AB15990"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40C5CD0B" w14:textId="77777777" w:rsidR="00B26DB8" w:rsidRDefault="00B26DB8">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14:paraId="7F57EFC4"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treinta (30) de mayo de dos mil veinticuatro,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6B962B0F"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i/>
          <w:color w:val="000000"/>
        </w:rPr>
      </w:pPr>
    </w:p>
    <w:p w14:paraId="7AFEDE33"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 xml:space="preserve">De las constancias que obran en el expediente electrónico del Sistema de Acceso a la Información Mexiquense, se advierte que, tanto el Sujeto Obligado como el Recurrente fueron omisos en realizar manifestaciones o presentar alegatos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w:t>
      </w:r>
    </w:p>
    <w:p w14:paraId="1E9F3F31"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5E480D98" w14:textId="77777777" w:rsidR="00B26DB8" w:rsidRDefault="00F53E4F">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025538B4" wp14:editId="1A6CF2F6">
            <wp:extent cx="5612130" cy="143002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30020"/>
                    </a:xfrm>
                    <a:prstGeom prst="rect">
                      <a:avLst/>
                    </a:prstGeom>
                    <a:ln/>
                  </pic:spPr>
                </pic:pic>
              </a:graphicData>
            </a:graphic>
          </wp:inline>
        </w:drawing>
      </w:r>
    </w:p>
    <w:p w14:paraId="0D3E7569"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302AF3EB" w14:textId="77777777" w:rsidR="00B26DB8" w:rsidRDefault="00F53E4F">
      <w:pPr>
        <w:numPr>
          <w:ilvl w:val="0"/>
          <w:numId w:val="2"/>
        </w:numPr>
        <w:pBdr>
          <w:top w:val="nil"/>
          <w:left w:val="nil"/>
          <w:bottom w:val="nil"/>
          <w:right w:val="nil"/>
          <w:between w:val="nil"/>
        </w:pBdr>
        <w:spacing w:after="240" w:line="360" w:lineRule="auto"/>
        <w:ind w:right="-504" w:hanging="11"/>
        <w:jc w:val="both"/>
        <w:rPr>
          <w:rFonts w:ascii="Palatino Linotype" w:eastAsia="Palatino Linotype" w:hAnsi="Palatino Linotype" w:cs="Palatino Linotype"/>
          <w:b/>
          <w:color w:val="000000"/>
        </w:rPr>
      </w:pPr>
      <w:bookmarkStart w:id="2" w:name="_heading=h.1fob9te" w:colFirst="0" w:colLast="0"/>
      <w:bookmarkEnd w:id="2"/>
      <w:r>
        <w:rPr>
          <w:rFonts w:ascii="Palatino Linotype" w:eastAsia="Palatino Linotype" w:hAnsi="Palatino Linotype" w:cs="Palatino Linotype"/>
          <w:color w:val="000000"/>
        </w:rPr>
        <w:t xml:space="preserve">El trece (13) de junio de dos </w:t>
      </w:r>
      <w:r>
        <w:rPr>
          <w:rFonts w:ascii="Palatino Linotype" w:eastAsia="Palatino Linotype" w:hAnsi="Palatino Linotype" w:cs="Palatino Linotype"/>
        </w:rPr>
        <w:t>mil veinticuatro</w:t>
      </w:r>
      <w:r>
        <w:rPr>
          <w:rFonts w:ascii="Palatino Linotype" w:eastAsia="Palatino Linotype" w:hAnsi="Palatino Linotype" w:cs="Palatino Linotype"/>
          <w:color w:val="000000"/>
        </w:rPr>
        <w:t xml:space="preserve">, la Comisionada Ponente decretó el cierre de instrucción, por lo que no habiendo ninguna actuación pendiente por </w:t>
      </w:r>
      <w:r>
        <w:rPr>
          <w:rFonts w:ascii="Palatino Linotype" w:eastAsia="Palatino Linotype" w:hAnsi="Palatino Linotype" w:cs="Palatino Linotype"/>
        </w:rPr>
        <w:t>desahogar</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tornó</w:t>
      </w:r>
      <w:r>
        <w:rPr>
          <w:rFonts w:ascii="Palatino Linotype" w:eastAsia="Palatino Linotype" w:hAnsi="Palatino Linotype" w:cs="Palatino Linotype"/>
          <w:color w:val="000000"/>
        </w:rPr>
        <w:t xml:space="preserve"> la resolución para su aprobación.</w:t>
      </w:r>
    </w:p>
    <w:p w14:paraId="7ADC4FBD" w14:textId="77777777" w:rsidR="00B26DB8" w:rsidRDefault="00B26DB8">
      <w:pPr>
        <w:pBdr>
          <w:top w:val="nil"/>
          <w:left w:val="nil"/>
          <w:bottom w:val="nil"/>
          <w:right w:val="nil"/>
          <w:between w:val="nil"/>
        </w:pBdr>
        <w:spacing w:after="240" w:line="360" w:lineRule="auto"/>
        <w:ind w:right="-504"/>
        <w:jc w:val="both"/>
        <w:rPr>
          <w:rFonts w:ascii="Palatino Linotype" w:eastAsia="Palatino Linotype" w:hAnsi="Palatino Linotype" w:cs="Palatino Linotype"/>
        </w:rPr>
      </w:pPr>
      <w:bookmarkStart w:id="3" w:name="_heading=h.iryjlrdwhme3" w:colFirst="0" w:colLast="0"/>
      <w:bookmarkEnd w:id="3"/>
    </w:p>
    <w:p w14:paraId="70EC0FE6" w14:textId="77777777" w:rsidR="00B26DB8" w:rsidRDefault="00F53E4F">
      <w:pPr>
        <w:pStyle w:val="Ttulo1"/>
        <w:spacing w:before="0"/>
        <w:ind w:right="-504"/>
        <w:jc w:val="center"/>
        <w:rPr>
          <w:b/>
          <w:color w:val="000000"/>
        </w:rPr>
      </w:pPr>
      <w:bookmarkStart w:id="4" w:name="_heading=h.3znysh7" w:colFirst="0" w:colLast="0"/>
      <w:bookmarkEnd w:id="4"/>
      <w:r>
        <w:rPr>
          <w:b/>
          <w:color w:val="000000"/>
        </w:rPr>
        <w:t>C O N S I D E R A N D O</w:t>
      </w:r>
    </w:p>
    <w:p w14:paraId="2B2AEFB4" w14:textId="77777777" w:rsidR="00B26DB8" w:rsidRDefault="00B26DB8">
      <w:pPr>
        <w:ind w:right="-504"/>
        <w:rPr>
          <w:color w:val="000000"/>
        </w:rPr>
      </w:pPr>
    </w:p>
    <w:p w14:paraId="293A9DB1" w14:textId="77777777" w:rsidR="00B26DB8" w:rsidRDefault="00F53E4F">
      <w:pPr>
        <w:pStyle w:val="Ttulo2"/>
        <w:spacing w:before="0"/>
        <w:ind w:right="-504"/>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48C045D9"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Instituto de Transparencia, Acceso a la Información Pública y Protección de Datos Personales del Estado de México</w:t>
      </w:r>
      <w:r>
        <w:rPr>
          <w:rFonts w:ascii="Palatino Linotype" w:eastAsia="Palatino Linotype" w:hAnsi="Palatino Linotype" w:cs="Palatino Linotype"/>
          <w:color w:val="000000"/>
        </w:rPr>
        <w:t xml:space="preserve">, es competente para conocer y resolver el presente recurso de revisión interpuesto por el Recurrente conforme a lo dispuesto en los artículos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trigésimo, trigésimo primero y trigésimo segundo, fracciones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6,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134478AA"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b/>
          <w:color w:val="000000"/>
        </w:rPr>
      </w:pPr>
    </w:p>
    <w:p w14:paraId="44D5DBA3" w14:textId="77777777" w:rsidR="00B26DB8" w:rsidRDefault="00F53E4F">
      <w:pPr>
        <w:pStyle w:val="Ttulo2"/>
        <w:tabs>
          <w:tab w:val="left" w:pos="426"/>
        </w:tabs>
        <w:spacing w:before="0"/>
        <w:ind w:right="-504"/>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lastRenderedPageBreak/>
        <w:t>SEGUNDO. De la oportunidad y procedencia.</w:t>
      </w:r>
    </w:p>
    <w:p w14:paraId="5B57D9CD"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uno (1) de marzo de dos mil veintiuno, de tal forma que el plazo para interponer el recurso de revisión transcurrió del tres (3) al veinticuatro (24) de marzo de dos mil veintiuno.</w:t>
      </w:r>
    </w:p>
    <w:p w14:paraId="544B624A" w14:textId="77777777" w:rsidR="00B26DB8" w:rsidRDefault="00B26DB8">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color w:val="000000"/>
        </w:rPr>
      </w:pPr>
    </w:p>
    <w:p w14:paraId="6B06A266" w14:textId="77777777" w:rsidR="00B26DB8" w:rsidRDefault="00F53E4F">
      <w:pPr>
        <w:numPr>
          <w:ilvl w:val="0"/>
          <w:numId w:val="2"/>
        </w:numPr>
        <w:pBdr>
          <w:top w:val="nil"/>
          <w:left w:val="nil"/>
          <w:bottom w:val="nil"/>
          <w:right w:val="nil"/>
          <w:between w:val="nil"/>
        </w:pBdr>
        <w:tabs>
          <w:tab w:val="left" w:pos="426"/>
        </w:tabs>
        <w:spacing w:line="360" w:lineRule="auto"/>
        <w:ind w:right="-504"/>
        <w:jc w:val="both"/>
        <w:rPr>
          <w:color w:val="000000"/>
        </w:rPr>
      </w:pPr>
      <w:r>
        <w:rPr>
          <w:rFonts w:ascii="Palatino Linotype" w:eastAsia="Palatino Linotype" w:hAnsi="Palatino Linotype" w:cs="Palatino Linotype"/>
          <w:color w:val="000000"/>
        </w:rPr>
        <w:t>Se tiene que el de revisión fue interpuesto el uno (1) de mayo de dos mil veinticuatro, encontrándose fuera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vigente, es decir, su interposición no se considera oportuna, al presentarse un día hábil posterior a la fecha de fenecimiento del plazo otorgado para tal efecto.</w:t>
      </w:r>
    </w:p>
    <w:p w14:paraId="78910402"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6E53C2BA" w14:textId="77777777" w:rsidR="00B26DB8" w:rsidRDefault="00F53E4F">
      <w:pPr>
        <w:pBdr>
          <w:top w:val="nil"/>
          <w:left w:val="nil"/>
          <w:bottom w:val="nil"/>
          <w:right w:val="nil"/>
          <w:between w:val="nil"/>
        </w:pBdr>
        <w:tabs>
          <w:tab w:val="left" w:pos="426"/>
        </w:tabs>
        <w:spacing w:line="360" w:lineRule="auto"/>
        <w:ind w:right="-504"/>
        <w:jc w:val="both"/>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color w:val="000000"/>
        </w:rPr>
        <w:t>II. De la actualización del sobreseimiento.</w:t>
      </w:r>
    </w:p>
    <w:p w14:paraId="1E62391B"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000000"/>
        </w:rPr>
        <w:t>En atención a las consideraciones antes descritas, resulta necesario traer a contexto el artículo 191 de la Ley de Transparencia y Acceso a la Información Pública del Estado de México y Municipios, el cual dispone lo siguiente:</w:t>
      </w:r>
    </w:p>
    <w:p w14:paraId="39358B10"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191. El recurso será desechado por improcedente cuando:</w:t>
      </w:r>
    </w:p>
    <w:p w14:paraId="5624BEE0" w14:textId="77777777" w:rsidR="00B26DB8" w:rsidRDefault="00B26DB8">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p>
    <w:p w14:paraId="5ABB7DF3"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I</w:t>
      </w:r>
      <w:r>
        <w:rPr>
          <w:rFonts w:ascii="Palatino Linotype" w:eastAsia="Palatino Linotype" w:hAnsi="Palatino Linotype" w:cs="Palatino Linotype"/>
          <w:b/>
          <w:i/>
          <w:color w:val="000000"/>
          <w:sz w:val="22"/>
          <w:szCs w:val="22"/>
        </w:rPr>
        <w:t xml:space="preserve">. Sea extemporáneo por haber transcurrido el plazo establecido en la presente Ley, a partir de la respuesta; </w:t>
      </w:r>
    </w:p>
    <w:p w14:paraId="65DBC6AA"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3B615D79"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214BAC26"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14:paraId="6F17E254"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02529706"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VI. Se trate de una consulta, o trámite en específico; y </w:t>
      </w:r>
    </w:p>
    <w:p w14:paraId="357860E0"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662944D8" w14:textId="77777777" w:rsidR="00B26DB8" w:rsidRDefault="00B26DB8">
      <w:pPr>
        <w:pBdr>
          <w:top w:val="nil"/>
          <w:left w:val="nil"/>
          <w:bottom w:val="nil"/>
          <w:right w:val="nil"/>
          <w:between w:val="nil"/>
        </w:pBdr>
        <w:tabs>
          <w:tab w:val="left" w:pos="567"/>
        </w:tabs>
        <w:spacing w:line="360" w:lineRule="auto"/>
        <w:ind w:right="-504"/>
        <w:jc w:val="both"/>
        <w:rPr>
          <w:color w:val="000000"/>
        </w:rPr>
      </w:pPr>
    </w:p>
    <w:p w14:paraId="584310A6" w14:textId="77777777" w:rsidR="00B26DB8" w:rsidRDefault="00F53E4F">
      <w:pPr>
        <w:numPr>
          <w:ilvl w:val="0"/>
          <w:numId w:val="2"/>
        </w:numPr>
        <w:pBdr>
          <w:top w:val="nil"/>
          <w:left w:val="nil"/>
          <w:bottom w:val="nil"/>
          <w:right w:val="nil"/>
          <w:between w:val="nil"/>
        </w:pBdr>
        <w:tabs>
          <w:tab w:val="left" w:pos="567"/>
        </w:tabs>
        <w:spacing w:line="360" w:lineRule="auto"/>
        <w:ind w:right="-504"/>
        <w:jc w:val="both"/>
        <w:rPr>
          <w:color w:val="000000"/>
        </w:rPr>
      </w:pPr>
      <w:r>
        <w:rPr>
          <w:rFonts w:ascii="Palatino Linotype" w:eastAsia="Palatino Linotype" w:hAnsi="Palatino Linotype" w:cs="Palatino Linotype"/>
          <w:color w:val="000000"/>
        </w:rPr>
        <w:t>Al haberse interpuesto el recurso de revisión fuera del lapso temporal que establece la normatividad en materia que es de quince días hábiles, se determina que es extemporáneo, actualizando la causal de desechamiento contemplada en la fracción I del citado artículo 191.</w:t>
      </w:r>
    </w:p>
    <w:p w14:paraId="1FE285A6" w14:textId="77777777" w:rsidR="00B26DB8" w:rsidRDefault="00B26DB8">
      <w:p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rPr>
      </w:pPr>
    </w:p>
    <w:p w14:paraId="502E06DF" w14:textId="77777777" w:rsidR="00B26DB8" w:rsidRDefault="00F53E4F">
      <w:pPr>
        <w:numPr>
          <w:ilvl w:val="0"/>
          <w:numId w:val="2"/>
        </w:numPr>
        <w:pBdr>
          <w:top w:val="nil"/>
          <w:left w:val="nil"/>
          <w:bottom w:val="nil"/>
          <w:right w:val="nil"/>
          <w:between w:val="nil"/>
        </w:pBdr>
        <w:tabs>
          <w:tab w:val="left" w:pos="567"/>
        </w:tabs>
        <w:spacing w:line="360" w:lineRule="auto"/>
        <w:ind w:right="-504"/>
        <w:jc w:val="both"/>
        <w:rPr>
          <w:color w:val="000000"/>
        </w:rPr>
      </w:pPr>
      <w:r>
        <w:rPr>
          <w:rFonts w:ascii="Palatino Linotype" w:eastAsia="Palatino Linotype" w:hAnsi="Palatino Linotype" w:cs="Palatino Linotype"/>
          <w:color w:val="000000"/>
        </w:rPr>
        <w:t xml:space="preserve">Derivado de lo anterior, se obvia el análisis de fondo en el presente recurso de revisión, respecto de las razones o motivos de inconformidad expresados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pues, suponiendo sin conceder que resultaren fundadas, en nada </w:t>
      </w:r>
      <w:r>
        <w:rPr>
          <w:rFonts w:ascii="Palatino Linotype" w:eastAsia="Palatino Linotype" w:hAnsi="Palatino Linotype" w:cs="Palatino Linotype"/>
        </w:rPr>
        <w:t>abonará</w:t>
      </w:r>
      <w:r>
        <w:rPr>
          <w:rFonts w:ascii="Palatino Linotype" w:eastAsia="Palatino Linotype" w:hAnsi="Palatino Linotype" w:cs="Palatino Linotype"/>
          <w:color w:val="000000"/>
        </w:rPr>
        <w:t xml:space="preserve"> llegar a dicha conclusión, pues el recurso de revisión debe desecharse por ser notoriamente improcedente al haberse interpuesto de manera extemporánea. Sirve de apoyo a lo anterior, por analogía la Tesis Jurisprudencial con número de registro 2011170 de la Décima Época de la Primera Sala de la Suprema Corte de Justicia de la Nación, publicada en la página 966 del Libro 28, Tomo I, de marzo de 2016, del Semanario Judicial de la Federación y su Gaceta, misma que es del tenor literal siguiente:</w:t>
      </w:r>
    </w:p>
    <w:p w14:paraId="10CA837D" w14:textId="77777777" w:rsidR="00B26DB8" w:rsidRDefault="00B26DB8">
      <w:pPr>
        <w:spacing w:line="360" w:lineRule="auto"/>
        <w:ind w:right="-504"/>
        <w:jc w:val="both"/>
        <w:rPr>
          <w:rFonts w:ascii="Palatino Linotype" w:eastAsia="Palatino Linotype" w:hAnsi="Palatino Linotype" w:cs="Palatino Linotype"/>
        </w:rPr>
      </w:pPr>
    </w:p>
    <w:p w14:paraId="44230A28" w14:textId="77777777" w:rsidR="00B26DB8" w:rsidRDefault="00F53E4F">
      <w:pPr>
        <w:spacing w:line="360" w:lineRule="auto"/>
        <w:ind w:left="567" w:right="-50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REVISIÓN EN AMPARO DIRECTO. ES EXTEMPORÁNEO CUANDO SU ADMISIÓN SE BASA EN EL SUPUESTO DE "PRESUNCIÓN DE OPORTUNIDAD", POR LO QUE DEBE PROCEDER SU DESECHAMIENTO POR IMPROCEDENTE.</w:t>
      </w:r>
    </w:p>
    <w:p w14:paraId="0F497FC5" w14:textId="77777777" w:rsidR="00B26DB8" w:rsidRDefault="00B26DB8">
      <w:pPr>
        <w:spacing w:line="360" w:lineRule="auto"/>
        <w:ind w:left="567" w:right="-504" w:firstLine="709"/>
        <w:rPr>
          <w:rFonts w:ascii="Palatino Linotype" w:eastAsia="Palatino Linotype" w:hAnsi="Palatino Linotype" w:cs="Palatino Linotype"/>
          <w:i/>
          <w:sz w:val="22"/>
          <w:szCs w:val="22"/>
        </w:rPr>
      </w:pPr>
    </w:p>
    <w:p w14:paraId="11B756E0" w14:textId="77777777" w:rsidR="00B26DB8" w:rsidRDefault="00F53E4F">
      <w:pPr>
        <w:spacing w:line="360" w:lineRule="auto"/>
        <w:ind w:left="567" w:right="-5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 extemporánea la interposición del recurso de revisión en amparo directo, cuando el escrito de agravios se presenta fuera del plazo de diez días previsto en el artículo </w:t>
      </w:r>
      <w:hyperlink r:id="rId9">
        <w:r>
          <w:rPr>
            <w:rFonts w:ascii="Palatino Linotype" w:eastAsia="Palatino Linotype" w:hAnsi="Palatino Linotype" w:cs="Palatino Linotype"/>
            <w:i/>
            <w:sz w:val="22"/>
            <w:szCs w:val="22"/>
          </w:rPr>
          <w:t>86, párrafo primero, de la Ley de Amparo</w:t>
        </w:r>
      </w:hyperlink>
      <w:r>
        <w:rPr>
          <w:rFonts w:ascii="Palatino Linotype" w:eastAsia="Palatino Linotype" w:hAnsi="Palatino Linotype" w:cs="Palatino Linotype"/>
          <w:i/>
          <w:sz w:val="22"/>
          <w:szCs w:val="22"/>
        </w:rPr>
        <w:t xml:space="preserve">, contados a partir del siguiente al en que hubiera surtido efectos la notificación </w:t>
      </w:r>
      <w:r>
        <w:rPr>
          <w:rFonts w:ascii="Palatino Linotype" w:eastAsia="Palatino Linotype" w:hAnsi="Palatino Linotype" w:cs="Palatino Linotype"/>
          <w:i/>
          <w:sz w:val="22"/>
          <w:szCs w:val="22"/>
        </w:rPr>
        <w:lastRenderedPageBreak/>
        <w:t>de la resolución recurrida, a fin de estimar acreditado el requisito de oportunidad. Ello, con independencia de la forma en que se llevó a cabo la notificación y cómo se ordenó su realización. En ese sentido, si en el acuerdo de presidencia se admite el recurso de revisión bajo el supuesto de "presunción de oportunidad", al considerarse que fue incorrecto que se notificara la sentencia recurrida por medio de lista, por advertir de la demanda de amparo una solicitud de interpretación constitucional, lo cual daba lugar a considerar la oportunidad del medio de impugnación, dicha circunstancia es incorrecta, en razón de que el recurso de revisión en amparo directo no es la vía idónea para tener por subsanada, incluso de oficio, la incorrecta notificación de la sentencia constitucional realizada a las partes, sino el incidente de nulidad de notificación previsto en el artículo </w:t>
      </w:r>
      <w:hyperlink r:id="rId10">
        <w:r>
          <w:rPr>
            <w:rFonts w:ascii="Palatino Linotype" w:eastAsia="Palatino Linotype" w:hAnsi="Palatino Linotype" w:cs="Palatino Linotype"/>
            <w:i/>
            <w:sz w:val="22"/>
            <w:szCs w:val="22"/>
          </w:rPr>
          <w:t>68 de la Ley de Amparo</w:t>
        </w:r>
      </w:hyperlink>
      <w:r>
        <w:rPr>
          <w:rFonts w:ascii="Palatino Linotype" w:eastAsia="Palatino Linotype" w:hAnsi="Palatino Linotype" w:cs="Palatino Linotype"/>
          <w:i/>
          <w:sz w:val="22"/>
          <w:szCs w:val="22"/>
        </w:rPr>
        <w:t xml:space="preserve">, por lo que si al </w:t>
      </w:r>
      <w:r>
        <w:rPr>
          <w:rFonts w:ascii="Palatino Linotype" w:eastAsia="Palatino Linotype" w:hAnsi="Palatino Linotype" w:cs="Palatino Linotype"/>
          <w:b/>
          <w:i/>
          <w:sz w:val="22"/>
          <w:szCs w:val="22"/>
        </w:rPr>
        <w:t>reexaminar la temporalidad de la interposición del recurso se advierte que se hizo valer de forma extemporánea, debe proceder su desechamiento por improcedente</w:t>
      </w:r>
      <w:r>
        <w:rPr>
          <w:rFonts w:ascii="Palatino Linotype" w:eastAsia="Palatino Linotype" w:hAnsi="Palatino Linotype" w:cs="Palatino Linotype"/>
          <w:i/>
          <w:sz w:val="22"/>
          <w:szCs w:val="22"/>
        </w:rPr>
        <w:t>.</w:t>
      </w:r>
    </w:p>
    <w:p w14:paraId="418C8C97" w14:textId="77777777" w:rsidR="00B26DB8" w:rsidRDefault="00F53E4F">
      <w:pPr>
        <w:spacing w:line="360" w:lineRule="auto"/>
        <w:ind w:left="567" w:right="-50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7FA660E" w14:textId="77777777" w:rsidR="00B26DB8" w:rsidRDefault="00B26DB8">
      <w:pPr>
        <w:spacing w:line="360" w:lineRule="auto"/>
        <w:ind w:right="-504"/>
        <w:jc w:val="both"/>
        <w:rPr>
          <w:rFonts w:ascii="Palatino Linotype" w:eastAsia="Palatino Linotype" w:hAnsi="Palatino Linotype" w:cs="Palatino Linotype"/>
        </w:rPr>
      </w:pPr>
    </w:p>
    <w:p w14:paraId="6C2A01D2" w14:textId="77777777" w:rsidR="00B26DB8" w:rsidRDefault="00F53E4F">
      <w:pPr>
        <w:numPr>
          <w:ilvl w:val="0"/>
          <w:numId w:val="2"/>
        </w:numPr>
        <w:pBdr>
          <w:top w:val="nil"/>
          <w:left w:val="nil"/>
          <w:bottom w:val="nil"/>
          <w:right w:val="nil"/>
          <w:between w:val="nil"/>
        </w:pBdr>
        <w:tabs>
          <w:tab w:val="left" w:pos="567"/>
        </w:tabs>
        <w:spacing w:line="360" w:lineRule="auto"/>
        <w:ind w:right="-504"/>
        <w:jc w:val="both"/>
        <w:rPr>
          <w:color w:val="000000"/>
        </w:rPr>
      </w:pPr>
      <w:r>
        <w:rPr>
          <w:rFonts w:ascii="Palatino Linotype" w:eastAsia="Palatino Linotype" w:hAnsi="Palatino Linotype" w:cs="Palatino Linotype"/>
          <w:color w:val="000000"/>
        </w:rPr>
        <w:t>De lo anterior, se aprecia que, el recurso de revisión que se analiza actualiza la causal de desechamiento por improcedente; sin embargo, una vez admitido, debe considerarse lo dispuesto en el artículo 192 fracción IV, de la multicitada Ley de Transparencia:</w:t>
      </w:r>
    </w:p>
    <w:p w14:paraId="2294D438" w14:textId="77777777" w:rsidR="00B26DB8" w:rsidRDefault="00B26DB8">
      <w:p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rPr>
      </w:pPr>
    </w:p>
    <w:p w14:paraId="429E36CB"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14:paraId="4AA8EA67" w14:textId="77777777" w:rsidR="00B26DB8"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D355765" w14:textId="77777777" w:rsidR="00B26DB8" w:rsidRPr="00966659" w:rsidRDefault="00F53E4F">
      <w:pPr>
        <w:pBdr>
          <w:top w:val="nil"/>
          <w:left w:val="nil"/>
          <w:bottom w:val="nil"/>
          <w:right w:val="nil"/>
          <w:between w:val="nil"/>
        </w:pBdr>
        <w:tabs>
          <w:tab w:val="left" w:pos="567"/>
        </w:tabs>
        <w:spacing w:line="360" w:lineRule="auto"/>
        <w:ind w:left="567" w:right="-504"/>
        <w:jc w:val="both"/>
        <w:rPr>
          <w:rFonts w:ascii="Palatino Linotype" w:eastAsia="Palatino Linotype" w:hAnsi="Palatino Linotype" w:cs="Palatino Linotype"/>
          <w:b/>
          <w:i/>
          <w:color w:val="000000"/>
          <w:sz w:val="22"/>
          <w:szCs w:val="22"/>
        </w:rPr>
      </w:pPr>
      <w:r w:rsidRPr="00966659">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14:paraId="12669FB3" w14:textId="77777777" w:rsidR="00B26DB8" w:rsidRDefault="00B26DB8">
      <w:p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sz w:val="22"/>
          <w:szCs w:val="22"/>
          <w:highlight w:val="red"/>
        </w:rPr>
      </w:pPr>
    </w:p>
    <w:p w14:paraId="06095FFC" w14:textId="77777777" w:rsidR="00B26DB8" w:rsidRPr="00966659" w:rsidRDefault="00F53E4F" w:rsidP="00966659">
      <w:pPr>
        <w:pStyle w:val="Prrafodelista"/>
        <w:numPr>
          <w:ilvl w:val="0"/>
          <w:numId w:val="2"/>
        </w:num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szCs w:val="22"/>
        </w:rPr>
      </w:pPr>
      <w:r w:rsidRPr="00966659">
        <w:rPr>
          <w:rFonts w:ascii="Palatino Linotype" w:eastAsia="Palatino Linotype" w:hAnsi="Palatino Linotype" w:cs="Palatino Linotype"/>
          <w:color w:val="000000"/>
          <w:szCs w:val="22"/>
        </w:rPr>
        <w:lastRenderedPageBreak/>
        <w:t>Es así que, el recurso de revisión actualiza la causal de sobreseimiento establecida en la fracción IV del artículo 192, en relación a la fracción I del artículo 191, ambos de la Ley de Transparencia y Acceso a la Información Pública del Estado de México y Municipios.</w:t>
      </w:r>
    </w:p>
    <w:p w14:paraId="30B404BD" w14:textId="77777777" w:rsidR="00B26DB8" w:rsidRPr="00966659" w:rsidRDefault="00B26DB8">
      <w:p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sz w:val="22"/>
          <w:szCs w:val="22"/>
        </w:rPr>
      </w:pPr>
    </w:p>
    <w:p w14:paraId="0526975D" w14:textId="77777777" w:rsidR="00B26DB8" w:rsidRPr="00966659" w:rsidRDefault="00F53E4F" w:rsidP="00966659">
      <w:pPr>
        <w:numPr>
          <w:ilvl w:val="0"/>
          <w:numId w:val="2"/>
        </w:numPr>
        <w:pBdr>
          <w:top w:val="nil"/>
          <w:left w:val="nil"/>
          <w:bottom w:val="nil"/>
          <w:right w:val="nil"/>
          <w:between w:val="nil"/>
        </w:pBdr>
        <w:tabs>
          <w:tab w:val="left" w:pos="567"/>
        </w:tabs>
        <w:spacing w:line="360" w:lineRule="auto"/>
        <w:ind w:right="-504"/>
        <w:jc w:val="both"/>
        <w:rPr>
          <w:rFonts w:ascii="Palatino Linotype" w:eastAsia="Palatino Linotype" w:hAnsi="Palatino Linotype" w:cs="Palatino Linotype"/>
          <w:color w:val="000000"/>
          <w:sz w:val="22"/>
          <w:szCs w:val="22"/>
        </w:rPr>
      </w:pPr>
      <w:r w:rsidRPr="00966659">
        <w:rPr>
          <w:rFonts w:ascii="Palatino Linotype" w:eastAsia="Palatino Linotype" w:hAnsi="Palatino Linotype" w:cs="Palatino Linotype"/>
          <w:color w:val="000000"/>
          <w:sz w:val="22"/>
          <w:szCs w:val="22"/>
        </w:rPr>
        <w:t>No obstante, a efecto de no vulnerar los derechos del particular, este Órgano Garante deja a salvo sus derechos para que, si así lo desea, presente una nueva solicitud de acceso a la información requiriendo información que sea de su interés.</w:t>
      </w:r>
    </w:p>
    <w:p w14:paraId="34896FF3" w14:textId="77777777" w:rsidR="00B26DB8" w:rsidRDefault="00B26DB8">
      <w:pPr>
        <w:pBdr>
          <w:top w:val="nil"/>
          <w:left w:val="nil"/>
          <w:bottom w:val="nil"/>
          <w:right w:val="nil"/>
          <w:between w:val="nil"/>
        </w:pBdr>
        <w:ind w:left="720" w:right="-504"/>
        <w:rPr>
          <w:rFonts w:ascii="Palatino Linotype" w:eastAsia="Palatino Linotype" w:hAnsi="Palatino Linotype" w:cs="Palatino Linotype"/>
          <w:color w:val="000000"/>
        </w:rPr>
      </w:pPr>
    </w:p>
    <w:p w14:paraId="17989AB7" w14:textId="77777777" w:rsidR="00B26DB8" w:rsidRDefault="00F53E4F">
      <w:pPr>
        <w:numPr>
          <w:ilvl w:val="0"/>
          <w:numId w:val="2"/>
        </w:numPr>
        <w:pBdr>
          <w:top w:val="nil"/>
          <w:left w:val="nil"/>
          <w:bottom w:val="nil"/>
          <w:right w:val="nil"/>
          <w:between w:val="nil"/>
        </w:pBdr>
        <w:spacing w:line="360" w:lineRule="auto"/>
        <w:ind w:right="-504"/>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5474255D" w14:textId="77777777" w:rsidR="00B26DB8" w:rsidRDefault="00F53E4F">
      <w:pPr>
        <w:pStyle w:val="Ttulo1"/>
        <w:spacing w:line="360" w:lineRule="auto"/>
        <w:ind w:right="-504"/>
        <w:jc w:val="center"/>
        <w:rPr>
          <w:b/>
          <w:color w:val="000000"/>
        </w:rPr>
      </w:pPr>
      <w:bookmarkStart w:id="8" w:name="_heading=h.1t3h5sf" w:colFirst="0" w:colLast="0"/>
      <w:bookmarkEnd w:id="8"/>
      <w:r>
        <w:rPr>
          <w:b/>
          <w:color w:val="000000"/>
        </w:rPr>
        <w:t>R E S O L U T I V O S</w:t>
      </w:r>
    </w:p>
    <w:p w14:paraId="06CA342F" w14:textId="77777777" w:rsidR="00B26DB8" w:rsidRDefault="00B26DB8">
      <w:pPr>
        <w:spacing w:line="360" w:lineRule="auto"/>
        <w:ind w:right="-504"/>
        <w:jc w:val="both"/>
        <w:rPr>
          <w:rFonts w:ascii="Palatino Linotype" w:eastAsia="Palatino Linotype" w:hAnsi="Palatino Linotype" w:cs="Palatino Linotype"/>
          <w:b/>
        </w:rPr>
      </w:pPr>
    </w:p>
    <w:p w14:paraId="1640A8EC" w14:textId="77777777" w:rsidR="00B26DB8" w:rsidRDefault="00F53E4F">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w:t>
      </w:r>
      <w:r>
        <w:rPr>
          <w:rFonts w:ascii="Palatino Linotype" w:eastAsia="Palatino Linotype" w:hAnsi="Palatino Linotype" w:cs="Palatino Linotype"/>
          <w:b/>
          <w:color w:val="000000"/>
        </w:rPr>
        <w:t>05213</w:t>
      </w:r>
      <w:r>
        <w:rPr>
          <w:rFonts w:ascii="Palatino Linotype" w:eastAsia="Palatino Linotype" w:hAnsi="Palatino Linotype" w:cs="Palatino Linotype"/>
          <w:b/>
        </w:rPr>
        <w:t>/INFOEM/ICR-22/IP/RR/2020 por improcedente</w:t>
      </w:r>
      <w:r>
        <w:rPr>
          <w:rFonts w:ascii="Palatino Linotype" w:eastAsia="Palatino Linotype" w:hAnsi="Palatino Linotype" w:cs="Palatino Linotype"/>
        </w:rPr>
        <w:t>, conforme al artículo 192, fracción IV, en relación con el artículo 191, fracción I de la Ley de Transparencia y Acceso a la Información Pública del Estado de México y Municipios,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de la presente resolución. </w:t>
      </w:r>
    </w:p>
    <w:p w14:paraId="499D21E7" w14:textId="77777777" w:rsidR="00B26DB8" w:rsidRDefault="00F53E4F">
      <w:pPr>
        <w:spacing w:before="240" w:after="240"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366091"/>
        </w:rPr>
        <w:t xml:space="preserve"> </w:t>
      </w:r>
      <w:r>
        <w:rPr>
          <w:rFonts w:ascii="Palatino Linotype" w:eastAsia="Palatino Linotype" w:hAnsi="Palatino Linotype" w:cs="Palatino Linotype"/>
          <w:b/>
        </w:rPr>
        <w:t>Remítase</w:t>
      </w:r>
      <w:r>
        <w:rPr>
          <w:rFonts w:ascii="Palatino Linotype" w:eastAsia="Palatino Linotype" w:hAnsi="Palatino Linotype" w:cs="Palatino Linotype"/>
        </w:rPr>
        <w:t xml:space="preserve"> al Titular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SAIMEX, la presente resolución.</w:t>
      </w:r>
    </w:p>
    <w:p w14:paraId="2C2A6F4A" w14:textId="77777777" w:rsidR="00B26DB8" w:rsidRDefault="00F53E4F">
      <w:pPr>
        <w:spacing w:before="240" w:after="240"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SAIMEX.</w:t>
      </w:r>
    </w:p>
    <w:p w14:paraId="72FC3196" w14:textId="77777777" w:rsidR="00B26DB8" w:rsidRDefault="00F53E4F">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lastRenderedPageBreak/>
        <w:t>CUARTO.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5007412D" w14:textId="77777777" w:rsidR="00B26DB8" w:rsidRDefault="00F53E4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14:paraId="415C3496" w14:textId="77777777" w:rsidR="00B26DB8" w:rsidRDefault="00B26DB8">
      <w:pPr>
        <w:spacing w:before="240" w:after="240" w:line="360" w:lineRule="auto"/>
        <w:jc w:val="both"/>
        <w:rPr>
          <w:rFonts w:ascii="Palatino Linotype" w:eastAsia="Palatino Linotype" w:hAnsi="Palatino Linotype" w:cs="Palatino Linotype"/>
        </w:rPr>
      </w:pPr>
    </w:p>
    <w:p w14:paraId="095A4526" w14:textId="77777777" w:rsidR="00B26DB8" w:rsidRDefault="00B26DB8">
      <w:pPr>
        <w:spacing w:before="240" w:after="240" w:line="360" w:lineRule="auto"/>
        <w:jc w:val="both"/>
        <w:rPr>
          <w:rFonts w:ascii="Palatino Linotype" w:eastAsia="Palatino Linotype" w:hAnsi="Palatino Linotype" w:cs="Palatino Linotype"/>
        </w:rPr>
      </w:pPr>
    </w:p>
    <w:p w14:paraId="671B706F" w14:textId="77777777" w:rsidR="00B26DB8" w:rsidRDefault="00B26DB8">
      <w:pPr>
        <w:spacing w:before="240" w:after="240" w:line="360" w:lineRule="auto"/>
        <w:jc w:val="both"/>
        <w:rPr>
          <w:rFonts w:ascii="Palatino Linotype" w:eastAsia="Palatino Linotype" w:hAnsi="Palatino Linotype" w:cs="Palatino Linotype"/>
        </w:rPr>
      </w:pPr>
    </w:p>
    <w:p w14:paraId="22B543EB" w14:textId="77777777" w:rsidR="00B26DB8" w:rsidRDefault="00B26DB8">
      <w:pPr>
        <w:spacing w:before="240" w:after="240" w:line="360" w:lineRule="auto"/>
        <w:jc w:val="both"/>
        <w:rPr>
          <w:rFonts w:ascii="Palatino Linotype" w:eastAsia="Palatino Linotype" w:hAnsi="Palatino Linotype" w:cs="Palatino Linotype"/>
        </w:rPr>
      </w:pPr>
    </w:p>
    <w:p w14:paraId="1EFB4FF0" w14:textId="77777777" w:rsidR="00B26DB8" w:rsidRDefault="00B26DB8">
      <w:pPr>
        <w:spacing w:before="240" w:after="240" w:line="360" w:lineRule="auto"/>
        <w:ind w:right="-504" w:firstLine="1"/>
        <w:jc w:val="both"/>
        <w:rPr>
          <w:rFonts w:ascii="Palatino Linotype" w:eastAsia="Palatino Linotype" w:hAnsi="Palatino Linotype" w:cs="Palatino Linotype"/>
        </w:rPr>
      </w:pPr>
    </w:p>
    <w:p w14:paraId="2A365B31" w14:textId="77777777" w:rsidR="00B26DB8" w:rsidRDefault="00F53E4F">
      <w:pPr>
        <w:ind w:right="-504"/>
        <w:rPr>
          <w:rFonts w:ascii="Palatino Linotype" w:eastAsia="Palatino Linotype" w:hAnsi="Palatino Linotype" w:cs="Palatino Linotype"/>
          <w:color w:val="000000"/>
        </w:rPr>
      </w:pPr>
      <w:r>
        <w:br w:type="page"/>
      </w:r>
    </w:p>
    <w:sectPr w:rsidR="00B26DB8">
      <w:headerReference w:type="default" r:id="rId11"/>
      <w:footerReference w:type="default" r:id="rId12"/>
      <w:headerReference w:type="first" r:id="rId13"/>
      <w:footerReference w:type="first" r:id="rId14"/>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6E44" w14:textId="77777777" w:rsidR="00274536" w:rsidRDefault="00274536">
      <w:r>
        <w:separator/>
      </w:r>
    </w:p>
  </w:endnote>
  <w:endnote w:type="continuationSeparator" w:id="0">
    <w:p w14:paraId="43483634" w14:textId="77777777" w:rsidR="00274536" w:rsidRDefault="0027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9BD" w14:textId="77777777" w:rsidR="00B26DB8" w:rsidRDefault="00F53E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065E4E">
      <w:rPr>
        <w:rFonts w:ascii="Palatino Linotype" w:eastAsia="Palatino Linotype" w:hAnsi="Palatino Linotype" w:cs="Palatino Linotype"/>
        <w:b/>
        <w:noProof/>
        <w:color w:val="000000"/>
        <w:sz w:val="22"/>
        <w:szCs w:val="22"/>
      </w:rPr>
      <w:t>13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065E4E">
      <w:rPr>
        <w:rFonts w:ascii="Palatino Linotype" w:eastAsia="Palatino Linotype" w:hAnsi="Palatino Linotype" w:cs="Palatino Linotype"/>
        <w:b/>
        <w:noProof/>
        <w:color w:val="000000"/>
        <w:sz w:val="22"/>
        <w:szCs w:val="22"/>
      </w:rPr>
      <w:t>14</w:t>
    </w:r>
    <w:r>
      <w:rPr>
        <w:rFonts w:ascii="Palatino Linotype" w:eastAsia="Palatino Linotype" w:hAnsi="Palatino Linotype" w:cs="Palatino Linotype"/>
        <w:b/>
        <w:color w:val="000000"/>
        <w:sz w:val="22"/>
        <w:szCs w:val="22"/>
      </w:rPr>
      <w:fldChar w:fldCharType="end"/>
    </w:r>
  </w:p>
  <w:p w14:paraId="769DA2BB" w14:textId="77777777" w:rsidR="00B26DB8" w:rsidRDefault="00B26DB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0857" w14:textId="77777777" w:rsidR="00B26DB8" w:rsidRDefault="00F53E4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65E4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65E4E">
      <w:rPr>
        <w:rFonts w:ascii="Palatino Linotype" w:eastAsia="Palatino Linotype" w:hAnsi="Palatino Linotype" w:cs="Palatino Linotype"/>
        <w:noProof/>
        <w:color w:val="000000"/>
        <w:sz w:val="22"/>
        <w:szCs w:val="22"/>
      </w:rPr>
      <w:t>14</w:t>
    </w:r>
    <w:r>
      <w:rPr>
        <w:rFonts w:ascii="Palatino Linotype" w:eastAsia="Palatino Linotype" w:hAnsi="Palatino Linotype" w:cs="Palatino Linotype"/>
        <w:color w:val="000000"/>
        <w:sz w:val="22"/>
        <w:szCs w:val="22"/>
      </w:rPr>
      <w:fldChar w:fldCharType="end"/>
    </w:r>
  </w:p>
  <w:p w14:paraId="00A2DAF5" w14:textId="77777777" w:rsidR="00B26DB8" w:rsidRDefault="00B26DB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CD9B" w14:textId="77777777" w:rsidR="00274536" w:rsidRDefault="00274536">
      <w:r>
        <w:separator/>
      </w:r>
    </w:p>
  </w:footnote>
  <w:footnote w:type="continuationSeparator" w:id="0">
    <w:p w14:paraId="43D8BEA9" w14:textId="77777777" w:rsidR="00274536" w:rsidRDefault="0027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6950" w:type="dxa"/>
      <w:tblInd w:w="3094"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B26DB8" w14:paraId="53D009BE" w14:textId="77777777" w:rsidTr="00966659">
      <w:trPr>
        <w:trHeight w:val="138"/>
      </w:trPr>
      <w:tc>
        <w:tcPr>
          <w:tcW w:w="3260" w:type="dxa"/>
          <w:vAlign w:val="center"/>
        </w:tcPr>
        <w:p w14:paraId="18BF0925" w14:textId="77777777" w:rsidR="00B26DB8" w:rsidRDefault="00F53E4F">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14:paraId="73CE7E4B" w14:textId="77777777" w:rsidR="00B26DB8" w:rsidRDefault="00F53E4F">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05213/INFOEM/ICR-22/IP/RR/2020</w:t>
          </w:r>
        </w:p>
      </w:tc>
    </w:tr>
    <w:tr w:rsidR="00B26DB8" w14:paraId="3B08DFEB" w14:textId="77777777" w:rsidTr="00966659">
      <w:trPr>
        <w:trHeight w:val="233"/>
      </w:trPr>
      <w:tc>
        <w:tcPr>
          <w:tcW w:w="3260" w:type="dxa"/>
          <w:vAlign w:val="center"/>
        </w:tcPr>
        <w:p w14:paraId="6F1299A8" w14:textId="77777777" w:rsidR="00B26DB8" w:rsidRDefault="00F53E4F">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14:paraId="379DC7DB" w14:textId="77777777" w:rsidR="00B26DB8" w:rsidRDefault="00F53E4F">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Ixtapaluca</w:t>
          </w:r>
        </w:p>
      </w:tc>
    </w:tr>
    <w:tr w:rsidR="00B26DB8" w14:paraId="7E7DBEC2" w14:textId="77777777" w:rsidTr="00966659">
      <w:trPr>
        <w:trHeight w:val="321"/>
      </w:trPr>
      <w:tc>
        <w:tcPr>
          <w:tcW w:w="3260" w:type="dxa"/>
          <w:vAlign w:val="center"/>
        </w:tcPr>
        <w:p w14:paraId="5E831F86" w14:textId="77777777" w:rsidR="00B26DB8" w:rsidRDefault="00F53E4F">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14:paraId="675D39C2" w14:textId="77777777" w:rsidR="00B26DB8" w:rsidRDefault="00F53E4F">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390C1F46" w14:textId="77777777" w:rsidR="00B26DB8" w:rsidRDefault="00F53E4F">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39F72A4D" wp14:editId="5A1E8F4B">
          <wp:simplePos x="0" y="0"/>
          <wp:positionH relativeFrom="margin">
            <wp:posOffset>-748737</wp:posOffset>
          </wp:positionH>
          <wp:positionV relativeFrom="page">
            <wp:align>bottom</wp:align>
          </wp:positionV>
          <wp:extent cx="7695210" cy="10020839"/>
          <wp:effectExtent l="0" t="0" r="127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6D39" w14:textId="77777777" w:rsidR="00B26DB8" w:rsidRDefault="00274536">
    <w:pPr>
      <w:pBdr>
        <w:top w:val="nil"/>
        <w:left w:val="nil"/>
        <w:bottom w:val="nil"/>
        <w:right w:val="nil"/>
        <w:between w:val="nil"/>
      </w:pBdr>
      <w:tabs>
        <w:tab w:val="center" w:pos="4252"/>
        <w:tab w:val="right" w:pos="8504"/>
        <w:tab w:val="left" w:pos="3103"/>
      </w:tabs>
      <w:rPr>
        <w:color w:val="000000"/>
      </w:rPr>
    </w:pPr>
    <w:r>
      <w:rPr>
        <w:color w:val="000000"/>
      </w:rPr>
      <w:pict w14:anchorId="616C2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7.05pt;margin-top:-130.35pt;width:663.5pt;height:12in;z-index:-251658240;mso-position-horizontal-relative:margin;mso-position-vertical-relative:margin">
          <v:imagedata r:id="rId1" o:title="image2"/>
          <w10:wrap anchorx="margin" anchory="margin"/>
        </v:shape>
      </w:pict>
    </w:r>
    <w:r w:rsidR="00F53E4F">
      <w:rPr>
        <w:color w:val="000000"/>
      </w:rPr>
      <w:tab/>
    </w:r>
  </w:p>
  <w:tbl>
    <w:tblPr>
      <w:tblStyle w:val="a1"/>
      <w:tblW w:w="7372" w:type="dxa"/>
      <w:tblInd w:w="2768"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B26DB8" w14:paraId="54FB84BA" w14:textId="77777777" w:rsidTr="00966659">
      <w:trPr>
        <w:trHeight w:val="138"/>
      </w:trPr>
      <w:tc>
        <w:tcPr>
          <w:tcW w:w="3261" w:type="dxa"/>
          <w:vAlign w:val="center"/>
        </w:tcPr>
        <w:p w14:paraId="23FD21BD" w14:textId="77777777" w:rsidR="00B26DB8" w:rsidRDefault="00F53E4F">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vAlign w:val="center"/>
        </w:tcPr>
        <w:p w14:paraId="41041738" w14:textId="77777777" w:rsidR="00B26DB8" w:rsidRDefault="00F53E4F">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05213/INFOEM/ICR-22/IP/RR/2020</w:t>
          </w:r>
        </w:p>
      </w:tc>
    </w:tr>
    <w:tr w:rsidR="00B26DB8" w14:paraId="001F6A2B" w14:textId="77777777" w:rsidTr="00966659">
      <w:trPr>
        <w:trHeight w:val="233"/>
      </w:trPr>
      <w:tc>
        <w:tcPr>
          <w:tcW w:w="3261" w:type="dxa"/>
          <w:vAlign w:val="center"/>
        </w:tcPr>
        <w:p w14:paraId="501FB50D" w14:textId="77777777" w:rsidR="00B26DB8" w:rsidRDefault="00F53E4F">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111" w:type="dxa"/>
        </w:tcPr>
        <w:p w14:paraId="6B71999F" w14:textId="3FC5B9DB" w:rsidR="00B26DB8" w:rsidRDefault="002E4E15">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B26DB8" w14:paraId="1B6BBBF3" w14:textId="77777777" w:rsidTr="00966659">
      <w:trPr>
        <w:trHeight w:val="321"/>
      </w:trPr>
      <w:tc>
        <w:tcPr>
          <w:tcW w:w="3261" w:type="dxa"/>
          <w:vAlign w:val="center"/>
        </w:tcPr>
        <w:p w14:paraId="50389B68" w14:textId="77777777" w:rsidR="00B26DB8" w:rsidRDefault="00F53E4F">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vAlign w:val="center"/>
        </w:tcPr>
        <w:p w14:paraId="26AECFEF" w14:textId="77777777" w:rsidR="00B26DB8" w:rsidRDefault="00F53E4F">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Ixtapaluca</w:t>
          </w:r>
        </w:p>
      </w:tc>
    </w:tr>
    <w:tr w:rsidR="00B26DB8" w14:paraId="036E64AE" w14:textId="77777777" w:rsidTr="00966659">
      <w:trPr>
        <w:trHeight w:val="321"/>
      </w:trPr>
      <w:tc>
        <w:tcPr>
          <w:tcW w:w="3261" w:type="dxa"/>
          <w:vAlign w:val="center"/>
        </w:tcPr>
        <w:p w14:paraId="0F160EA1" w14:textId="77777777" w:rsidR="00B26DB8" w:rsidRDefault="00F53E4F">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vAlign w:val="center"/>
        </w:tcPr>
        <w:p w14:paraId="5C3BF68D" w14:textId="77777777" w:rsidR="00B26DB8" w:rsidRDefault="00F53E4F">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3D191870" w14:textId="77777777" w:rsidR="00B26DB8" w:rsidRDefault="00B26DB8">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851"/>
    <w:multiLevelType w:val="multilevel"/>
    <w:tmpl w:val="8C644252"/>
    <w:lvl w:ilvl="0">
      <w:start w:val="1"/>
      <w:numFmt w:val="bullet"/>
      <w:pStyle w:val="Listaconvietas2"/>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14B8160A"/>
    <w:multiLevelType w:val="multilevel"/>
    <w:tmpl w:val="72E894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044077"/>
    <w:multiLevelType w:val="multilevel"/>
    <w:tmpl w:val="B852D1C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1810077">
    <w:abstractNumId w:val="2"/>
  </w:num>
  <w:num w:numId="2" w16cid:durableId="300382757">
    <w:abstractNumId w:val="1"/>
  </w:num>
  <w:num w:numId="3" w16cid:durableId="73146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B8"/>
    <w:rsid w:val="00065E4E"/>
    <w:rsid w:val="00274536"/>
    <w:rsid w:val="002E4E15"/>
    <w:rsid w:val="00966659"/>
    <w:rsid w:val="00B26DB8"/>
    <w:rsid w:val="00CF1C08"/>
    <w:rsid w:val="00F53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08AE"/>
  <w15:docId w15:val="{86CDE091-9701-436E-93AA-93873ACF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paragraph" w:customStyle="1" w:styleId="aSCCLTextos">
    <w:name w:val="a. SCCL Textos"/>
    <w:basedOn w:val="Normal"/>
    <w:link w:val="aSCCLTextosCar"/>
    <w:qFormat/>
    <w:rsid w:val="00FE2699"/>
    <w:pPr>
      <w:spacing w:before="140" w:after="140" w:line="276" w:lineRule="auto"/>
      <w:jc w:val="both"/>
    </w:pPr>
    <w:rPr>
      <w:rFonts w:ascii="Book Antiqua" w:eastAsiaTheme="minorHAnsi" w:hAnsi="Book Antiqua"/>
      <w:szCs w:val="22"/>
      <w:lang w:val="es-ES" w:eastAsia="en-US"/>
    </w:rPr>
  </w:style>
  <w:style w:type="character" w:customStyle="1" w:styleId="aSCCLTextosCar">
    <w:name w:val="a. SCCL Textos Car"/>
    <w:basedOn w:val="Fuentedeprrafopredeter"/>
    <w:link w:val="aSCCLTextos"/>
    <w:rsid w:val="00FE2699"/>
    <w:rPr>
      <w:rFonts w:ascii="Book Antiqua" w:eastAsiaTheme="minorHAnsi" w:hAnsi="Book Antiqua"/>
      <w:szCs w:val="22"/>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6AIkFrCAlYznjzr8T0umwFx1w==">CgMxLjAyCGguZ2pkZ3hzMgloLjMwajB6bGwyCWguMWZvYjl0ZTIOaC5pcnlqbHJkd2htZTMyCWguM3pueXNoNzIJaC4yZXQ5MnAwMghoLnR5amN3dDIJaC4zZHk2dmttMgloLjF0M2g1c2Y4AHIhMXFSWFN1MmptZjdtVl9YRGlMRzhfNDJCSXh1QUUtMFRX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4</cp:revision>
  <cp:lastPrinted>2024-06-20T20:21:00Z</cp:lastPrinted>
  <dcterms:created xsi:type="dcterms:W3CDTF">2024-06-12T23:24:00Z</dcterms:created>
  <dcterms:modified xsi:type="dcterms:W3CDTF">2024-07-02T17:04:00Z</dcterms:modified>
</cp:coreProperties>
</file>