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012" w:rsidRPr="000E6450" w:rsidRDefault="00443012" w:rsidP="00443012">
      <w:pPr>
        <w:tabs>
          <w:tab w:val="left" w:pos="3465"/>
        </w:tabs>
        <w:spacing w:line="360" w:lineRule="auto"/>
        <w:jc w:val="both"/>
        <w:rPr>
          <w:rFonts w:ascii="Palatino Linotype" w:hAnsi="Palatino Linotype"/>
        </w:rPr>
      </w:pPr>
      <w:bookmarkStart w:id="0" w:name="_GoBack"/>
      <w:bookmarkEnd w:id="0"/>
      <w:r w:rsidRPr="000E6450">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Pr>
          <w:rFonts w:ascii="Palatino Linotype" w:hAnsi="Palatino Linotype"/>
        </w:rPr>
        <w:t xml:space="preserve">nueve </w:t>
      </w:r>
      <w:r w:rsidR="00696B9F">
        <w:rPr>
          <w:rFonts w:ascii="Palatino Linotype" w:hAnsi="Palatino Linotype"/>
        </w:rPr>
        <w:t xml:space="preserve">(09) </w:t>
      </w:r>
      <w:r>
        <w:rPr>
          <w:rFonts w:ascii="Palatino Linotype" w:hAnsi="Palatino Linotype"/>
        </w:rPr>
        <w:t xml:space="preserve">de octubre </w:t>
      </w:r>
      <w:r w:rsidRPr="000E6450">
        <w:rPr>
          <w:rFonts w:ascii="Palatino Linotype" w:hAnsi="Palatino Linotype"/>
        </w:rPr>
        <w:t>de dos mil veinticuatro.</w:t>
      </w:r>
    </w:p>
    <w:p w:rsidR="00443012" w:rsidRPr="000E6450" w:rsidRDefault="00443012" w:rsidP="00443012">
      <w:pPr>
        <w:tabs>
          <w:tab w:val="left" w:pos="3465"/>
        </w:tabs>
        <w:spacing w:line="360" w:lineRule="auto"/>
        <w:jc w:val="both"/>
        <w:rPr>
          <w:rFonts w:ascii="Palatino Linotype" w:hAnsi="Palatino Linotype"/>
        </w:rPr>
      </w:pPr>
    </w:p>
    <w:p w:rsidR="00443012" w:rsidRPr="000E6450" w:rsidRDefault="00443012" w:rsidP="00443012">
      <w:pPr>
        <w:spacing w:line="360" w:lineRule="auto"/>
        <w:jc w:val="both"/>
        <w:rPr>
          <w:rFonts w:ascii="Palatino Linotype" w:hAnsi="Palatino Linotype"/>
        </w:rPr>
      </w:pPr>
      <w:r w:rsidRPr="000E6450">
        <w:rPr>
          <w:rFonts w:ascii="Palatino Linotype" w:hAnsi="Palatino Linotype"/>
          <w:b/>
        </w:rPr>
        <w:t>VISTO</w:t>
      </w:r>
      <w:r w:rsidRPr="000E6450">
        <w:rPr>
          <w:rFonts w:ascii="Palatino Linotype" w:hAnsi="Palatino Linotype"/>
        </w:rPr>
        <w:t xml:space="preserve"> el expediente electrónico formado con motivo del recurso de revisión </w:t>
      </w:r>
      <w:r>
        <w:rPr>
          <w:rFonts w:ascii="Palatino Linotype" w:hAnsi="Palatino Linotype"/>
          <w:b/>
        </w:rPr>
        <w:t>02378/INFOEM/IP/RR/2024</w:t>
      </w:r>
      <w:r w:rsidRPr="000E6450">
        <w:rPr>
          <w:rFonts w:ascii="Palatino Linotype" w:hAnsi="Palatino Linotype"/>
          <w:b/>
        </w:rPr>
        <w:t>,</w:t>
      </w:r>
      <w:r w:rsidRPr="000E6450">
        <w:rPr>
          <w:rFonts w:ascii="Palatino Linotype" w:hAnsi="Palatino Linotype" w:cs="Arial"/>
          <w:b/>
          <w:bCs/>
        </w:rPr>
        <w:t xml:space="preserve"> </w:t>
      </w:r>
      <w:r w:rsidRPr="000E6450">
        <w:rPr>
          <w:rFonts w:ascii="Palatino Linotype" w:hAnsi="Palatino Linotype"/>
        </w:rPr>
        <w:t>promovido por</w:t>
      </w:r>
      <w:r w:rsidRPr="000E6450">
        <w:rPr>
          <w:rFonts w:ascii="Palatino Linotype" w:hAnsi="Palatino Linotype"/>
          <w:b/>
        </w:rPr>
        <w:t xml:space="preserve"> </w:t>
      </w:r>
      <w:r w:rsidR="00696B9F">
        <w:rPr>
          <w:rFonts w:ascii="Palatino Linotype" w:hAnsi="Palatino Linotype"/>
          <w:b/>
        </w:rPr>
        <w:t>una persona que no proporcionó</w:t>
      </w:r>
      <w:r>
        <w:rPr>
          <w:rFonts w:ascii="Palatino Linotype" w:hAnsi="Palatino Linotype"/>
          <w:b/>
        </w:rPr>
        <w:t xml:space="preserve"> datos de identificación</w:t>
      </w:r>
      <w:r w:rsidRPr="000E6450">
        <w:rPr>
          <w:rFonts w:ascii="Palatino Linotype" w:hAnsi="Palatino Linotype"/>
        </w:rPr>
        <w:t xml:space="preserve">, a quien en lo sucesivo se le identificará como </w:t>
      </w:r>
      <w:r w:rsidRPr="000E6450">
        <w:rPr>
          <w:rFonts w:ascii="Palatino Linotype" w:hAnsi="Palatino Linotype"/>
          <w:b/>
        </w:rPr>
        <w:t>EL RECURRENTE</w:t>
      </w:r>
      <w:r w:rsidRPr="000E6450">
        <w:rPr>
          <w:rFonts w:ascii="Palatino Linotype" w:hAnsi="Palatino Linotype" w:cs="Arial"/>
        </w:rPr>
        <w:t xml:space="preserve">, en contra de la respuesta del </w:t>
      </w:r>
      <w:r>
        <w:rPr>
          <w:rFonts w:ascii="Palatino Linotype" w:hAnsi="Palatino Linotype" w:cs="Arial"/>
          <w:b/>
        </w:rPr>
        <w:t>Ayuntamiento de Cuautitlán Izcalli</w:t>
      </w:r>
      <w:r w:rsidRPr="000E6450">
        <w:rPr>
          <w:rFonts w:ascii="Palatino Linotype" w:hAnsi="Palatino Linotype" w:cs="Arial"/>
          <w:b/>
        </w:rPr>
        <w:t>,</w:t>
      </w:r>
      <w:r w:rsidRPr="000E6450">
        <w:rPr>
          <w:rFonts w:ascii="Palatino Linotype" w:hAnsi="Palatino Linotype"/>
          <w:b/>
        </w:rPr>
        <w:t xml:space="preserve"> </w:t>
      </w:r>
      <w:r w:rsidRPr="000E6450">
        <w:rPr>
          <w:rFonts w:ascii="Palatino Linotype" w:hAnsi="Palatino Linotype"/>
        </w:rPr>
        <w:t>en lo sucesivo el</w:t>
      </w:r>
      <w:r w:rsidRPr="000E6450">
        <w:rPr>
          <w:rFonts w:ascii="Palatino Linotype" w:hAnsi="Palatino Linotype"/>
          <w:b/>
        </w:rPr>
        <w:t xml:space="preserve"> SUJETO OBLIGADO</w:t>
      </w:r>
      <w:r w:rsidRPr="000E6450">
        <w:rPr>
          <w:rFonts w:ascii="Palatino Linotype" w:hAnsi="Palatino Linotype"/>
        </w:rPr>
        <w:t>, se procede a dictar la presente resolución, con base en los siguientes:</w:t>
      </w:r>
    </w:p>
    <w:p w:rsidR="00443012" w:rsidRPr="000E6450" w:rsidRDefault="00443012" w:rsidP="00443012">
      <w:pPr>
        <w:spacing w:line="360" w:lineRule="auto"/>
        <w:jc w:val="both"/>
        <w:rPr>
          <w:rFonts w:ascii="Palatino Linotype" w:hAnsi="Palatino Linotype"/>
          <w:b/>
        </w:rPr>
      </w:pPr>
    </w:p>
    <w:p w:rsidR="00443012" w:rsidRPr="000E6450" w:rsidRDefault="00443012" w:rsidP="00443012">
      <w:pPr>
        <w:pStyle w:val="Ttulo1"/>
        <w:spacing w:before="0" w:line="360" w:lineRule="auto"/>
        <w:jc w:val="center"/>
        <w:rPr>
          <w:rFonts w:ascii="Palatino Linotype" w:hAnsi="Palatino Linotype"/>
          <w:b/>
          <w:color w:val="000000" w:themeColor="text1"/>
          <w:sz w:val="24"/>
          <w:szCs w:val="24"/>
        </w:rPr>
      </w:pPr>
      <w:bookmarkStart w:id="1" w:name="_Toc461555884"/>
      <w:bookmarkStart w:id="2" w:name="_Toc466371847"/>
      <w:bookmarkStart w:id="3" w:name="_Toc83128575"/>
      <w:r w:rsidRPr="000E6450">
        <w:rPr>
          <w:rFonts w:ascii="Palatino Linotype" w:hAnsi="Palatino Linotype"/>
          <w:b/>
          <w:color w:val="000000" w:themeColor="text1"/>
          <w:sz w:val="24"/>
          <w:szCs w:val="24"/>
        </w:rPr>
        <w:t>ANTECEDENTES</w:t>
      </w:r>
      <w:bookmarkEnd w:id="1"/>
      <w:bookmarkEnd w:id="2"/>
      <w:bookmarkEnd w:id="3"/>
    </w:p>
    <w:p w:rsidR="00443012" w:rsidRPr="000E6450" w:rsidRDefault="00443012" w:rsidP="00443012"/>
    <w:p w:rsidR="00443012" w:rsidRPr="000E6450" w:rsidRDefault="00443012" w:rsidP="00443012">
      <w:pPr>
        <w:pStyle w:val="Prrafodelista"/>
        <w:numPr>
          <w:ilvl w:val="0"/>
          <w:numId w:val="1"/>
        </w:numPr>
        <w:tabs>
          <w:tab w:val="left" w:pos="0"/>
        </w:tabs>
        <w:spacing w:line="360" w:lineRule="auto"/>
        <w:ind w:left="0" w:right="49" w:firstLine="0"/>
        <w:jc w:val="both"/>
        <w:rPr>
          <w:rFonts w:ascii="Palatino Linotype" w:eastAsia="Calibri" w:hAnsi="Palatino Linotype" w:cs="Arial"/>
          <w:lang w:val="es-ES"/>
        </w:rPr>
      </w:pPr>
      <w:r w:rsidRPr="000E6450">
        <w:rPr>
          <w:rFonts w:ascii="Palatino Linotype" w:eastAsia="Calibri" w:hAnsi="Palatino Linotype" w:cs="Arial"/>
          <w:lang w:val="es-ES"/>
        </w:rPr>
        <w:t>El día</w:t>
      </w:r>
      <w:r w:rsidRPr="000E6450">
        <w:rPr>
          <w:rFonts w:ascii="Palatino Linotype" w:eastAsia="Calibri" w:hAnsi="Palatino Linotype" w:cs="Arial"/>
          <w:b/>
          <w:lang w:val="es-ES"/>
        </w:rPr>
        <w:t xml:space="preserve"> </w:t>
      </w:r>
      <w:r>
        <w:rPr>
          <w:rFonts w:ascii="Palatino Linotype" w:eastAsia="Calibri" w:hAnsi="Palatino Linotype" w:cs="Arial"/>
          <w:b/>
          <w:lang w:val="es-ES"/>
        </w:rPr>
        <w:t>siete de marzo de dos mil veinticuatro</w:t>
      </w:r>
      <w:r w:rsidRPr="000E6450">
        <w:rPr>
          <w:rFonts w:ascii="Palatino Linotype" w:hAnsi="Palatino Linotype"/>
          <w:b/>
        </w:rPr>
        <w:t xml:space="preserve">, </w:t>
      </w:r>
      <w:r w:rsidRPr="000E6450">
        <w:rPr>
          <w:rFonts w:ascii="Palatino Linotype" w:eastAsia="Calibri" w:hAnsi="Palatino Linotype" w:cs="Arial"/>
          <w:lang w:val="es-ES"/>
        </w:rPr>
        <w:t xml:space="preserve">se presentó ante el </w:t>
      </w:r>
      <w:r w:rsidRPr="000E6450">
        <w:rPr>
          <w:rFonts w:ascii="Palatino Linotype" w:eastAsia="Calibri" w:hAnsi="Palatino Linotype" w:cs="Arial"/>
          <w:b/>
          <w:lang w:val="es-ES"/>
        </w:rPr>
        <w:t>SUJETO OBLIGADO</w:t>
      </w:r>
      <w:r w:rsidRPr="000E6450">
        <w:rPr>
          <w:rFonts w:ascii="Palatino Linotype" w:eastAsia="Calibri" w:hAnsi="Palatino Linotype" w:cs="Arial"/>
        </w:rPr>
        <w:t xml:space="preserve"> vía </w:t>
      </w:r>
      <w:r w:rsidRPr="000E6450">
        <w:rPr>
          <w:rFonts w:ascii="Palatino Linotype" w:eastAsia="Calibri" w:hAnsi="Palatino Linotype" w:cs="Arial"/>
          <w:lang w:val="es-ES"/>
        </w:rPr>
        <w:t>SAIMEX, la solicitud de información pública registrada con el número</w:t>
      </w:r>
      <w:r>
        <w:rPr>
          <w:rFonts w:ascii="Palatino Linotype" w:hAnsi="Palatino Linotype"/>
          <w:b/>
          <w:bCs/>
          <w:color w:val="000000" w:themeColor="text1"/>
        </w:rPr>
        <w:t xml:space="preserve"> 00133/CUAUTIZC/IP/2024</w:t>
      </w:r>
      <w:r w:rsidRPr="000E6450">
        <w:rPr>
          <w:rFonts w:ascii="Palatino Linotype" w:hAnsi="Palatino Linotype"/>
          <w:b/>
          <w:bCs/>
          <w:color w:val="000000" w:themeColor="text1"/>
        </w:rPr>
        <w:t xml:space="preserve">; </w:t>
      </w:r>
      <w:r w:rsidRPr="000E6450">
        <w:rPr>
          <w:rFonts w:ascii="Palatino Linotype" w:eastAsia="Calibri" w:hAnsi="Palatino Linotype" w:cs="Arial"/>
          <w:lang w:val="es-ES"/>
        </w:rPr>
        <w:t>mediante la cual se solicitó la siguiente información:</w:t>
      </w:r>
    </w:p>
    <w:p w:rsidR="00443012" w:rsidRPr="000E6450" w:rsidRDefault="00443012" w:rsidP="00443012">
      <w:pPr>
        <w:pStyle w:val="Prrafodelista"/>
        <w:ind w:left="1134" w:right="900"/>
        <w:jc w:val="both"/>
        <w:rPr>
          <w:rFonts w:ascii="Palatino Linotype" w:hAnsi="Palatino Linotype"/>
          <w:sz w:val="22"/>
        </w:rPr>
      </w:pPr>
      <w:r w:rsidRPr="000E6450">
        <w:rPr>
          <w:rFonts w:ascii="Palatino Linotype" w:hAnsi="Palatino Linotype"/>
          <w:i/>
          <w:sz w:val="22"/>
        </w:rPr>
        <w:t>“</w:t>
      </w:r>
      <w:r w:rsidRPr="00443012">
        <w:rPr>
          <w:rFonts w:ascii="Palatino Linotype" w:hAnsi="Palatino Linotype"/>
          <w:i/>
          <w:sz w:val="22"/>
        </w:rPr>
        <w:t>porque en el portal de ipomex en la fracción respecto a los tramites y servicios en desarrollo urbano se proporciona un formato 2022 y al momento de querer ingresar piden que sea vigente. agrego evidencia y solicito sea actualizados los formatos en sus reportes de ipomex para no violentar mis derechos</w:t>
      </w:r>
      <w:r w:rsidRPr="000E6450">
        <w:rPr>
          <w:rFonts w:ascii="Palatino Linotype" w:hAnsi="Palatino Linotype"/>
          <w:i/>
          <w:sz w:val="22"/>
        </w:rPr>
        <w:t>,”</w:t>
      </w:r>
    </w:p>
    <w:p w:rsidR="00443012" w:rsidRPr="000E6450" w:rsidRDefault="00443012" w:rsidP="00443012">
      <w:pPr>
        <w:pStyle w:val="Prrafodelista"/>
        <w:spacing w:line="360" w:lineRule="auto"/>
        <w:ind w:left="851" w:right="34"/>
        <w:jc w:val="both"/>
        <w:rPr>
          <w:rFonts w:ascii="Palatino Linotype" w:hAnsi="Palatino Linotype"/>
        </w:rPr>
      </w:pPr>
    </w:p>
    <w:p w:rsidR="00443012" w:rsidRPr="000E6450" w:rsidRDefault="00443012" w:rsidP="00443012">
      <w:pPr>
        <w:pStyle w:val="Prrafodelista"/>
        <w:numPr>
          <w:ilvl w:val="0"/>
          <w:numId w:val="2"/>
        </w:numPr>
        <w:spacing w:line="360" w:lineRule="auto"/>
        <w:ind w:left="851" w:right="474"/>
        <w:jc w:val="both"/>
        <w:rPr>
          <w:rFonts w:ascii="Palatino Linotype" w:hAnsi="Palatino Linotype"/>
        </w:rPr>
      </w:pPr>
      <w:r w:rsidRPr="000E6450">
        <w:rPr>
          <w:rFonts w:ascii="Palatino Linotype" w:eastAsia="Times New Roman" w:hAnsi="Palatino Linotype" w:cs="Arial"/>
          <w:lang w:val="es-ES"/>
        </w:rPr>
        <w:t>Se eligió como modalidad de entrega de la información</w:t>
      </w:r>
      <w:r w:rsidRPr="000E6450">
        <w:rPr>
          <w:rFonts w:ascii="Palatino Linotype" w:hAnsi="Palatino Linotype"/>
        </w:rPr>
        <w:t xml:space="preserve">: A través del </w:t>
      </w:r>
      <w:r w:rsidRPr="000E6450">
        <w:rPr>
          <w:rFonts w:ascii="Palatino Linotype" w:hAnsi="Palatino Linotype"/>
          <w:b/>
        </w:rPr>
        <w:t>SAIMEX.</w:t>
      </w:r>
    </w:p>
    <w:p w:rsidR="00443012" w:rsidRPr="000E6450" w:rsidRDefault="00443012" w:rsidP="00443012">
      <w:pPr>
        <w:pStyle w:val="Prrafodelista"/>
        <w:spacing w:line="360" w:lineRule="auto"/>
        <w:ind w:left="851" w:right="34"/>
        <w:jc w:val="both"/>
        <w:rPr>
          <w:rFonts w:ascii="Palatino Linotype" w:hAnsi="Palatino Linotype"/>
        </w:rPr>
      </w:pPr>
    </w:p>
    <w:p w:rsidR="00CF26E8" w:rsidRPr="00CF26E8" w:rsidRDefault="00CF26E8" w:rsidP="00443012">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Pr>
          <w:rFonts w:ascii="Palatino Linotype" w:hAnsi="Palatino Linotype" w:cs="Arial"/>
          <w:color w:val="000000" w:themeColor="text1"/>
        </w:rPr>
        <w:lastRenderedPageBreak/>
        <w:t xml:space="preserve">De la solicitud de información, se observa que el entonces </w:t>
      </w:r>
      <w:r>
        <w:rPr>
          <w:rFonts w:ascii="Palatino Linotype" w:hAnsi="Palatino Linotype" w:cs="Arial"/>
          <w:b/>
          <w:color w:val="000000" w:themeColor="text1"/>
        </w:rPr>
        <w:t xml:space="preserve">SOLICITANTE </w:t>
      </w:r>
      <w:r>
        <w:rPr>
          <w:rFonts w:ascii="Palatino Linotype" w:hAnsi="Palatino Linotype" w:cs="Arial"/>
          <w:color w:val="000000" w:themeColor="text1"/>
        </w:rPr>
        <w:t xml:space="preserve">agrego dos archivos electrónicos en formato pdf, cuyo contenido grosso es el siguiente. </w:t>
      </w:r>
    </w:p>
    <w:p w:rsidR="00CF26E8" w:rsidRPr="00CF26E8" w:rsidRDefault="00CF26E8" w:rsidP="00CF26E8">
      <w:pPr>
        <w:pStyle w:val="Prrafodelista"/>
        <w:ind w:left="1134" w:right="900"/>
        <w:jc w:val="both"/>
        <w:rPr>
          <w:rFonts w:ascii="Palatino Linotype" w:hAnsi="Palatino Linotype" w:cs="Arial"/>
          <w:i/>
          <w:color w:val="000000" w:themeColor="text1"/>
          <w:sz w:val="22"/>
        </w:rPr>
      </w:pPr>
      <w:r w:rsidRPr="00CF26E8">
        <w:rPr>
          <w:rFonts w:ascii="Palatino Linotype" w:hAnsi="Palatino Linotype" w:cs="Arial"/>
          <w:b/>
          <w:i/>
          <w:color w:val="000000" w:themeColor="text1"/>
          <w:sz w:val="22"/>
        </w:rPr>
        <w:t xml:space="preserve">Formato-unico-de-solicitud-Desarrollo-Urbano.pdf: </w:t>
      </w:r>
      <w:r w:rsidRPr="00CF26E8">
        <w:rPr>
          <w:rFonts w:ascii="Palatino Linotype" w:hAnsi="Palatino Linotype" w:cs="Arial"/>
          <w:i/>
          <w:color w:val="000000" w:themeColor="text1"/>
          <w:sz w:val="22"/>
        </w:rPr>
        <w:t>consistente en el formato único de solicitudes de trámite de la Dirección de Desarrollo Urbano correspondiente al año dos mil veintidós.</w:t>
      </w:r>
    </w:p>
    <w:p w:rsidR="00CF26E8" w:rsidRPr="00CF26E8" w:rsidRDefault="00CF26E8" w:rsidP="00CF26E8">
      <w:pPr>
        <w:pStyle w:val="Prrafodelista"/>
        <w:ind w:left="1134" w:right="900"/>
        <w:jc w:val="both"/>
        <w:rPr>
          <w:rFonts w:ascii="Palatino Linotype" w:hAnsi="Palatino Linotype" w:cs="Arial"/>
          <w:i/>
          <w:color w:val="000000" w:themeColor="text1"/>
          <w:sz w:val="22"/>
        </w:rPr>
      </w:pPr>
      <w:r w:rsidRPr="00CF26E8">
        <w:rPr>
          <w:rFonts w:ascii="Palatino Linotype" w:hAnsi="Palatino Linotype" w:cs="Arial"/>
          <w:b/>
          <w:i/>
          <w:color w:val="000000" w:themeColor="text1"/>
          <w:sz w:val="22"/>
        </w:rPr>
        <w:t>ipomex tramites .pdf:</w:t>
      </w:r>
      <w:r w:rsidRPr="00CF26E8">
        <w:rPr>
          <w:rFonts w:ascii="Palatino Linotype" w:hAnsi="Palatino Linotype" w:cs="Arial"/>
          <w:i/>
          <w:color w:val="000000" w:themeColor="text1"/>
          <w:sz w:val="22"/>
        </w:rPr>
        <w:t xml:space="preserve"> correspondiente al registro número 43 que tiene por denominación Licenciada de Modificación de Obra Existente del ejercicio 2023. </w:t>
      </w:r>
      <w:r w:rsidRPr="00CF26E8">
        <w:rPr>
          <w:rFonts w:ascii="Palatino Linotype" w:hAnsi="Palatino Linotype" w:cs="Arial"/>
          <w:i/>
          <w:color w:val="000000" w:themeColor="text1"/>
          <w:sz w:val="22"/>
        </w:rPr>
        <w:tab/>
      </w:r>
    </w:p>
    <w:p w:rsidR="00CF26E8" w:rsidRPr="00CF26E8" w:rsidRDefault="00CF26E8" w:rsidP="00CF26E8">
      <w:pPr>
        <w:pStyle w:val="Prrafodelista"/>
        <w:tabs>
          <w:tab w:val="left" w:pos="0"/>
        </w:tabs>
        <w:spacing w:line="360" w:lineRule="auto"/>
        <w:ind w:left="0" w:right="49"/>
        <w:jc w:val="both"/>
        <w:rPr>
          <w:rFonts w:ascii="Palatino Linotype" w:hAnsi="Palatino Linotype" w:cs="Arial"/>
          <w:i/>
          <w:color w:val="000000" w:themeColor="text1"/>
        </w:rPr>
      </w:pPr>
    </w:p>
    <w:p w:rsidR="00443012" w:rsidRPr="000E6450" w:rsidRDefault="00443012" w:rsidP="00443012">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0E6450">
        <w:rPr>
          <w:rFonts w:ascii="Palatino Linotype" w:hAnsi="Palatino Linotype" w:cs="Arial"/>
          <w:color w:val="000000" w:themeColor="text1"/>
        </w:rPr>
        <w:t>El</w:t>
      </w:r>
      <w:r w:rsidRPr="000E6450">
        <w:rPr>
          <w:rFonts w:ascii="Palatino Linotype" w:hAnsi="Palatino Linotype" w:cs="Arial"/>
          <w:b/>
          <w:color w:val="000000" w:themeColor="text1"/>
        </w:rPr>
        <w:t xml:space="preserve"> </w:t>
      </w:r>
      <w:r w:rsidR="00CF26E8">
        <w:rPr>
          <w:rFonts w:ascii="Palatino Linotype" w:hAnsi="Palatino Linotype" w:cs="Arial"/>
          <w:b/>
          <w:color w:val="000000" w:themeColor="text1"/>
        </w:rPr>
        <w:t>doce de abril de dos mil veinticuatro</w:t>
      </w:r>
      <w:r w:rsidRPr="000E6450">
        <w:rPr>
          <w:rFonts w:ascii="Palatino Linotype" w:hAnsi="Palatino Linotype" w:cs="Arial"/>
          <w:color w:val="000000" w:themeColor="text1"/>
        </w:rPr>
        <w:t xml:space="preserve">, el </w:t>
      </w:r>
      <w:r w:rsidRPr="000E6450">
        <w:rPr>
          <w:rFonts w:ascii="Palatino Linotype" w:hAnsi="Palatino Linotype" w:cs="Arial"/>
          <w:b/>
          <w:color w:val="000000" w:themeColor="text1"/>
        </w:rPr>
        <w:t>SUJETO OBLIGADO,</w:t>
      </w:r>
      <w:r w:rsidRPr="000E6450">
        <w:rPr>
          <w:rFonts w:ascii="Palatino Linotype" w:hAnsi="Palatino Linotype" w:cs="Arial"/>
          <w:color w:val="000000" w:themeColor="text1"/>
        </w:rPr>
        <w:t xml:space="preserve"> dio respuesta a través de un archivo electrónico en formato PDF, cuyo contenido grosso modo es el siguiente: </w:t>
      </w:r>
    </w:p>
    <w:p w:rsidR="00443012" w:rsidRPr="00CF26E8" w:rsidRDefault="00CF26E8" w:rsidP="00443012">
      <w:pPr>
        <w:pStyle w:val="Prrafodelista"/>
        <w:tabs>
          <w:tab w:val="left" w:pos="0"/>
        </w:tabs>
        <w:ind w:left="709" w:right="616"/>
        <w:jc w:val="both"/>
        <w:rPr>
          <w:rFonts w:ascii="Palatino Linotype" w:hAnsi="Palatino Linotype" w:cs="Arial"/>
          <w:i/>
          <w:color w:val="000000" w:themeColor="text1"/>
          <w:u w:val="single"/>
        </w:rPr>
      </w:pPr>
      <w:r w:rsidRPr="00CF26E8">
        <w:rPr>
          <w:rFonts w:ascii="Palatino Linotype" w:hAnsi="Palatino Linotype" w:cs="Arial"/>
          <w:b/>
          <w:i/>
          <w:color w:val="000000" w:themeColor="text1"/>
        </w:rPr>
        <w:t>FOLIO-0133.pdf</w:t>
      </w:r>
      <w:r w:rsidR="00443012" w:rsidRPr="000E6450">
        <w:rPr>
          <w:rFonts w:ascii="Palatino Linotype" w:hAnsi="Palatino Linotype" w:cs="Arial"/>
          <w:b/>
          <w:i/>
          <w:color w:val="000000" w:themeColor="text1"/>
        </w:rPr>
        <w:t>:</w:t>
      </w:r>
      <w:r w:rsidR="00443012" w:rsidRPr="000E6450">
        <w:rPr>
          <w:rFonts w:ascii="Palatino Linotype" w:hAnsi="Palatino Linotype" w:cs="Arial"/>
          <w:i/>
          <w:color w:val="000000" w:themeColor="text1"/>
        </w:rPr>
        <w:t xml:space="preserve"> </w:t>
      </w:r>
      <w:r>
        <w:rPr>
          <w:rFonts w:ascii="Palatino Linotype" w:hAnsi="Palatino Linotype" w:cs="Arial"/>
          <w:i/>
          <w:color w:val="000000" w:themeColor="text1"/>
        </w:rPr>
        <w:t xml:space="preserve">oficio mediante el cual el Titular de la Dirección de Desarrollo Urbano e Infraestructura, le informa al Solicitante que fecha quince de marzo de dos mil veinticuatro se aprobó en el punto Cuarto de la Quincuagésima Sexta Sesión Pública del Ayuntamiento de Cuautitlán Izcalli, el acuerdo por el cual se reformaron, adicionaron y derogaron diversas disposiciones a la reglamentación municipal, de la cual se abrogo el Reglamento Interno de la Dirección de Desarrollo Urbano y de la Dirección de Obras Públicas, situación por la cual se expidió el Reglamento Interno de Desarrollo Urbano e Infraestructura, razones por las cuales la nueva dependencia se encuentra en proceso de modificación  y actualización en sus formatos de solicitud de tramite. </w:t>
      </w:r>
    </w:p>
    <w:p w:rsidR="00443012" w:rsidRPr="000E6450" w:rsidRDefault="00443012" w:rsidP="00443012">
      <w:pPr>
        <w:pStyle w:val="Prrafodelista"/>
        <w:tabs>
          <w:tab w:val="left" w:pos="0"/>
        </w:tabs>
        <w:spacing w:line="360" w:lineRule="auto"/>
        <w:ind w:left="709" w:right="51"/>
        <w:jc w:val="both"/>
        <w:rPr>
          <w:rFonts w:ascii="Palatino Linotype" w:hAnsi="Palatino Linotype" w:cs="Arial"/>
          <w:i/>
          <w:color w:val="000000" w:themeColor="text1"/>
        </w:rPr>
      </w:pPr>
    </w:p>
    <w:p w:rsidR="00443012" w:rsidRPr="000E6450" w:rsidRDefault="00443012" w:rsidP="00443012">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0E6450">
        <w:rPr>
          <w:rFonts w:ascii="Palatino Linotype" w:eastAsia="Times New Roman" w:hAnsi="Palatino Linotype" w:cs="Arial"/>
          <w:color w:val="000000" w:themeColor="text1"/>
          <w:lang w:val="es-ES"/>
        </w:rPr>
        <w:t>El</w:t>
      </w:r>
      <w:r w:rsidRPr="000E6450">
        <w:rPr>
          <w:rFonts w:ascii="Palatino Linotype" w:eastAsia="Times New Roman" w:hAnsi="Palatino Linotype" w:cs="Arial"/>
          <w:b/>
          <w:color w:val="000000" w:themeColor="text1"/>
          <w:lang w:val="es-ES"/>
        </w:rPr>
        <w:t xml:space="preserve"> </w:t>
      </w:r>
      <w:r w:rsidR="00CF26E8">
        <w:rPr>
          <w:rFonts w:ascii="Palatino Linotype" w:eastAsia="Times New Roman" w:hAnsi="Palatino Linotype" w:cs="Arial"/>
          <w:b/>
          <w:color w:val="000000" w:themeColor="text1"/>
          <w:lang w:val="es-ES"/>
        </w:rPr>
        <w:t>treinta de abril de dos mil veinticuatro</w:t>
      </w:r>
      <w:r w:rsidRPr="000E6450">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rsidR="00443012" w:rsidRPr="000E6450" w:rsidRDefault="00443012" w:rsidP="00443012">
      <w:pPr>
        <w:pStyle w:val="Prrafodelista"/>
        <w:tabs>
          <w:tab w:val="left" w:pos="0"/>
        </w:tabs>
        <w:spacing w:line="360" w:lineRule="auto"/>
        <w:ind w:left="0" w:right="49"/>
        <w:jc w:val="both"/>
        <w:rPr>
          <w:rFonts w:ascii="Palatino Linotype" w:hAnsi="Palatino Linotype" w:cs="Arial"/>
          <w:i/>
          <w:color w:val="000000" w:themeColor="text1"/>
        </w:rPr>
      </w:pPr>
    </w:p>
    <w:p w:rsidR="00443012" w:rsidRPr="000E6450" w:rsidRDefault="00443012" w:rsidP="00443012">
      <w:pPr>
        <w:pStyle w:val="Prrafodelista"/>
        <w:numPr>
          <w:ilvl w:val="0"/>
          <w:numId w:val="2"/>
        </w:numPr>
        <w:ind w:left="1134" w:right="900" w:firstLine="0"/>
        <w:jc w:val="both"/>
        <w:rPr>
          <w:rStyle w:val="Ttulo2Car"/>
          <w:rFonts w:ascii="Palatino Linotype" w:hAnsi="Palatino Linotype"/>
          <w:i/>
          <w:color w:val="000000" w:themeColor="text1"/>
          <w:sz w:val="22"/>
          <w:szCs w:val="24"/>
        </w:rPr>
      </w:pPr>
      <w:bookmarkStart w:id="4" w:name="_Toc466982514"/>
      <w:bookmarkStart w:id="5" w:name="_Toc51854302"/>
      <w:bookmarkStart w:id="6" w:name="_Toc53584976"/>
      <w:bookmarkStart w:id="7" w:name="_Toc60925403"/>
      <w:bookmarkStart w:id="8" w:name="_Toc81364833"/>
      <w:bookmarkStart w:id="9" w:name="_Toc81390610"/>
      <w:bookmarkStart w:id="10" w:name="_Toc82611033"/>
      <w:bookmarkStart w:id="11" w:name="_Toc83128576"/>
      <w:bookmarkStart w:id="12" w:name="_Toc27589208"/>
      <w:bookmarkStart w:id="13" w:name="_Toc29395022"/>
      <w:bookmarkStart w:id="14" w:name="_Toc29481467"/>
      <w:bookmarkStart w:id="15" w:name="_Toc33113911"/>
      <w:bookmarkStart w:id="16" w:name="_Toc33643059"/>
      <w:bookmarkStart w:id="17" w:name="_Toc33724991"/>
      <w:bookmarkStart w:id="18" w:name="_Toc33726434"/>
      <w:bookmarkStart w:id="19" w:name="_Toc34157662"/>
      <w:bookmarkStart w:id="20" w:name="_Toc35003615"/>
      <w:bookmarkStart w:id="21" w:name="_Toc35535691"/>
      <w:bookmarkStart w:id="22" w:name="_Toc51262525"/>
      <w:bookmarkStart w:id="23" w:name="_Toc471908126"/>
      <w:bookmarkStart w:id="24" w:name="_Toc491791300"/>
      <w:bookmarkStart w:id="25" w:name="_Toc496726170"/>
      <w:bookmarkStart w:id="26" w:name="_Toc497242134"/>
      <w:bookmarkStart w:id="27" w:name="_Toc497292517"/>
      <w:bookmarkStart w:id="28" w:name="_Toc498503716"/>
      <w:bookmarkStart w:id="29" w:name="_Toc499568660"/>
      <w:bookmarkStart w:id="30" w:name="_Toc499568693"/>
      <w:bookmarkStart w:id="31" w:name="_Toc499665452"/>
      <w:bookmarkStart w:id="32" w:name="_Toc499729819"/>
      <w:bookmarkStart w:id="33" w:name="_Toc499835024"/>
      <w:bookmarkStart w:id="34" w:name="_Toc499835835"/>
      <w:bookmarkStart w:id="35" w:name="_Toc499835858"/>
      <w:bookmarkStart w:id="36" w:name="_Toc500264537"/>
      <w:bookmarkStart w:id="37" w:name="_Toc503290275"/>
      <w:bookmarkStart w:id="38" w:name="_Toc524009637"/>
      <w:bookmarkStart w:id="39" w:name="_Toc524009672"/>
      <w:bookmarkStart w:id="40" w:name="_Toc524602720"/>
      <w:bookmarkStart w:id="41" w:name="_Toc526365279"/>
      <w:bookmarkStart w:id="42" w:name="_Toc526365337"/>
      <w:bookmarkStart w:id="43" w:name="_Toc530067664"/>
      <w:bookmarkStart w:id="44" w:name="_Toc530067692"/>
      <w:bookmarkStart w:id="45" w:name="_Toc530067939"/>
      <w:bookmarkStart w:id="46" w:name="_Toc530590420"/>
      <w:bookmarkStart w:id="47" w:name="_Toc530593951"/>
      <w:bookmarkStart w:id="48" w:name="_Toc531190248"/>
      <w:bookmarkStart w:id="49" w:name="_Toc531190295"/>
      <w:bookmarkStart w:id="50" w:name="_Toc534908208"/>
      <w:bookmarkStart w:id="51" w:name="_Toc534909344"/>
      <w:bookmarkStart w:id="52" w:name="_Toc535353305"/>
      <w:bookmarkStart w:id="53" w:name="_Toc535353791"/>
      <w:bookmarkStart w:id="54" w:name="_Toc18436351"/>
      <w:bookmarkStart w:id="55" w:name="_Toc18436385"/>
      <w:bookmarkStart w:id="56" w:name="_Toc18513477"/>
      <w:bookmarkStart w:id="57" w:name="_Toc18513503"/>
      <w:bookmarkStart w:id="58" w:name="_Toc18606801"/>
      <w:bookmarkStart w:id="59" w:name="_Toc19723536"/>
      <w:bookmarkStart w:id="60" w:name="_Toc20322795"/>
      <w:bookmarkStart w:id="61" w:name="_Toc20323052"/>
      <w:bookmarkStart w:id="62" w:name="_Toc20323181"/>
      <w:bookmarkStart w:id="63" w:name="_Toc20420591"/>
      <w:bookmarkStart w:id="64" w:name="_Toc20421579"/>
      <w:bookmarkStart w:id="65" w:name="_Toc21027316"/>
      <w:bookmarkStart w:id="66" w:name="_Toc22660652"/>
      <w:bookmarkStart w:id="67" w:name="_Toc22811623"/>
      <w:bookmarkStart w:id="68" w:name="_Toc26436015"/>
      <w:r w:rsidRPr="000E6450">
        <w:rPr>
          <w:rStyle w:val="Ttulo2Car"/>
          <w:rFonts w:ascii="Palatino Linotype" w:hAnsi="Palatino Linotype"/>
          <w:b/>
          <w:color w:val="auto"/>
          <w:sz w:val="22"/>
          <w:szCs w:val="24"/>
        </w:rPr>
        <w:lastRenderedPageBreak/>
        <w:t>Acto impugnado</w:t>
      </w:r>
      <w:bookmarkEnd w:id="4"/>
      <w:r w:rsidRPr="000E6450">
        <w:rPr>
          <w:rStyle w:val="Ttulo2Car"/>
          <w:rFonts w:ascii="Palatino Linotype" w:hAnsi="Palatino Linotype"/>
          <w:b/>
          <w:color w:val="000000" w:themeColor="text1"/>
          <w:sz w:val="22"/>
          <w:szCs w:val="24"/>
        </w:rPr>
        <w:t xml:space="preserve">: </w:t>
      </w:r>
      <w:bookmarkStart w:id="69" w:name="_Toc466982515"/>
      <w:bookmarkStart w:id="70" w:name="_Toc27589209"/>
      <w:bookmarkStart w:id="71" w:name="_Toc29395023"/>
      <w:bookmarkStart w:id="72" w:name="_Toc29481468"/>
      <w:bookmarkStart w:id="73" w:name="_Toc33113912"/>
      <w:bookmarkStart w:id="74" w:name="_Toc33643060"/>
      <w:bookmarkStart w:id="75" w:name="_Toc33724992"/>
      <w:bookmarkStart w:id="76" w:name="_Toc33726435"/>
      <w:bookmarkStart w:id="77" w:name="_Toc34157663"/>
      <w:bookmarkStart w:id="78" w:name="_Toc35003616"/>
      <w:bookmarkStart w:id="79" w:name="_Toc35535692"/>
      <w:bookmarkStart w:id="80" w:name="_Toc51262526"/>
      <w:bookmarkStart w:id="81" w:name="_Toc471908127"/>
      <w:bookmarkStart w:id="82" w:name="_Toc491791301"/>
      <w:bookmarkStart w:id="83" w:name="_Toc496726171"/>
      <w:bookmarkStart w:id="84" w:name="_Toc497242135"/>
      <w:bookmarkStart w:id="85" w:name="_Toc497292518"/>
      <w:bookmarkStart w:id="86" w:name="_Toc498503717"/>
      <w:bookmarkStart w:id="87" w:name="_Toc499568661"/>
      <w:bookmarkStart w:id="88" w:name="_Toc499568694"/>
      <w:bookmarkStart w:id="89" w:name="_Toc499665453"/>
      <w:bookmarkStart w:id="90" w:name="_Toc499729820"/>
      <w:bookmarkStart w:id="91" w:name="_Toc499835025"/>
      <w:bookmarkStart w:id="92" w:name="_Toc499835836"/>
      <w:bookmarkStart w:id="93" w:name="_Toc499835859"/>
      <w:bookmarkStart w:id="94" w:name="_Toc500264538"/>
      <w:bookmarkStart w:id="95" w:name="_Toc503290276"/>
      <w:bookmarkStart w:id="96" w:name="_Toc524009638"/>
      <w:bookmarkStart w:id="97" w:name="_Toc524009673"/>
      <w:bookmarkStart w:id="98" w:name="_Toc524602721"/>
      <w:bookmarkStart w:id="99" w:name="_Toc526365280"/>
      <w:bookmarkStart w:id="100" w:name="_Toc526365338"/>
      <w:bookmarkStart w:id="101" w:name="_Toc530067665"/>
      <w:bookmarkStart w:id="102" w:name="_Toc530067693"/>
      <w:bookmarkStart w:id="103" w:name="_Toc530067940"/>
      <w:bookmarkStart w:id="104" w:name="_Toc530590421"/>
      <w:bookmarkStart w:id="105" w:name="_Toc530593952"/>
      <w:bookmarkStart w:id="106" w:name="_Toc531190249"/>
      <w:bookmarkStart w:id="107" w:name="_Toc531190296"/>
      <w:bookmarkStart w:id="108" w:name="_Toc534908209"/>
      <w:bookmarkStart w:id="109" w:name="_Toc534909345"/>
      <w:bookmarkStart w:id="110" w:name="_Toc535353306"/>
      <w:bookmarkStart w:id="111" w:name="_Toc535353792"/>
      <w:bookmarkStart w:id="112" w:name="_Toc18436352"/>
      <w:bookmarkStart w:id="113" w:name="_Toc18436386"/>
      <w:bookmarkStart w:id="114" w:name="_Toc18513478"/>
      <w:bookmarkStart w:id="115" w:name="_Toc18513504"/>
      <w:bookmarkStart w:id="116" w:name="_Toc18606802"/>
      <w:bookmarkStart w:id="117" w:name="_Toc19723537"/>
      <w:bookmarkStart w:id="118" w:name="_Toc20322796"/>
      <w:bookmarkStart w:id="119" w:name="_Toc20323053"/>
      <w:bookmarkStart w:id="120" w:name="_Toc20323182"/>
      <w:bookmarkStart w:id="121" w:name="_Toc20420592"/>
      <w:bookmarkStart w:id="122" w:name="_Toc20421580"/>
      <w:bookmarkStart w:id="123" w:name="_Toc21027317"/>
      <w:bookmarkStart w:id="124" w:name="_Toc22660653"/>
      <w:bookmarkStart w:id="125" w:name="_Toc22811624"/>
      <w:bookmarkStart w:id="126" w:name="_Toc26436016"/>
      <w:bookmarkStart w:id="127" w:name="_Toc5185430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0E6450">
        <w:rPr>
          <w:rStyle w:val="Ttulo2Car"/>
          <w:rFonts w:ascii="Palatino Linotype" w:hAnsi="Palatino Linotype"/>
          <w:i/>
          <w:color w:val="000000" w:themeColor="text1"/>
          <w:sz w:val="22"/>
          <w:szCs w:val="24"/>
        </w:rPr>
        <w:t>“</w:t>
      </w:r>
      <w:r w:rsidR="00CF26E8" w:rsidRPr="00CF26E8">
        <w:rPr>
          <w:rFonts w:ascii="Palatino Linotype" w:eastAsiaTheme="majorEastAsia" w:hAnsi="Palatino Linotype" w:cstheme="majorBidi"/>
          <w:i/>
          <w:color w:val="000000" w:themeColor="text1"/>
          <w:sz w:val="22"/>
        </w:rPr>
        <w:t>porque en el portal de ipomex en la fracción respecto a los tramites y servicios en desarrollo urbano se proporciona un formato 2022 y al momento de querer ingresar piden que sea vigente. agrego evidencia y solicito sea actualizados los formatos en sus reportes de ipomex para no violentar mis derechos</w:t>
      </w:r>
      <w:r w:rsidRPr="000E6450">
        <w:rPr>
          <w:rStyle w:val="Ttulo2Car"/>
          <w:rFonts w:ascii="Palatino Linotype" w:hAnsi="Palatino Linotype"/>
          <w:i/>
          <w:color w:val="000000" w:themeColor="text1"/>
          <w:sz w:val="22"/>
          <w:szCs w:val="24"/>
        </w:rPr>
        <w:t>”</w:t>
      </w:r>
    </w:p>
    <w:p w:rsidR="00443012" w:rsidRPr="000E6450" w:rsidRDefault="00443012" w:rsidP="00443012">
      <w:pPr>
        <w:pStyle w:val="Prrafodelista"/>
        <w:tabs>
          <w:tab w:val="left" w:pos="7020"/>
        </w:tabs>
        <w:ind w:left="1134" w:right="900"/>
        <w:jc w:val="both"/>
        <w:rPr>
          <w:rStyle w:val="Ttulo2Car"/>
          <w:rFonts w:ascii="Palatino Linotype" w:hAnsi="Palatino Linotype"/>
          <w:i/>
          <w:color w:val="000000" w:themeColor="text1"/>
          <w:sz w:val="22"/>
          <w:szCs w:val="24"/>
        </w:rPr>
      </w:pPr>
      <w:r w:rsidRPr="000E6450">
        <w:rPr>
          <w:rStyle w:val="Ttulo2Car"/>
          <w:rFonts w:ascii="Palatino Linotype" w:hAnsi="Palatino Linotype"/>
          <w:i/>
          <w:color w:val="000000" w:themeColor="text1"/>
          <w:sz w:val="22"/>
          <w:szCs w:val="24"/>
        </w:rPr>
        <w:tab/>
      </w:r>
    </w:p>
    <w:p w:rsidR="00443012" w:rsidRPr="000E6450" w:rsidRDefault="00443012" w:rsidP="00443012">
      <w:pPr>
        <w:pStyle w:val="Prrafodelista"/>
        <w:numPr>
          <w:ilvl w:val="0"/>
          <w:numId w:val="2"/>
        </w:numPr>
        <w:ind w:left="1134" w:right="900" w:firstLine="0"/>
        <w:jc w:val="both"/>
        <w:rPr>
          <w:rFonts w:ascii="Palatino Linotype" w:hAnsi="Palatino Linotype"/>
          <w:i/>
          <w:color w:val="000000" w:themeColor="text1"/>
          <w:sz w:val="22"/>
        </w:rPr>
      </w:pPr>
      <w:bookmarkStart w:id="128" w:name="_Toc53584977"/>
      <w:bookmarkStart w:id="129" w:name="_Toc60925404"/>
      <w:bookmarkStart w:id="130" w:name="_Toc81364834"/>
      <w:bookmarkStart w:id="131" w:name="_Toc81390611"/>
      <w:bookmarkStart w:id="132" w:name="_Toc82611034"/>
      <w:bookmarkStart w:id="133" w:name="_Toc83128577"/>
      <w:r w:rsidRPr="000E6450">
        <w:rPr>
          <w:rStyle w:val="Ttulo2Car"/>
          <w:rFonts w:ascii="Palatino Linotype" w:hAnsi="Palatino Linotype"/>
          <w:b/>
          <w:color w:val="000000" w:themeColor="text1"/>
          <w:sz w:val="22"/>
          <w:szCs w:val="24"/>
        </w:rPr>
        <w:t>Razones o Motivos de inconformidad:</w:t>
      </w:r>
      <w:bookmarkEnd w:id="69"/>
      <w:bookmarkEnd w:id="128"/>
      <w:bookmarkEnd w:id="129"/>
      <w:bookmarkEnd w:id="130"/>
      <w:bookmarkEnd w:id="131"/>
      <w:bookmarkEnd w:id="132"/>
      <w:bookmarkEnd w:id="133"/>
      <w:r w:rsidRPr="000E6450">
        <w:rPr>
          <w:rFonts w:ascii="Palatino Linotype" w:hAnsi="Palatino Linotype"/>
          <w:b/>
          <w:color w:val="000000" w:themeColor="text1"/>
          <w:sz w:val="22"/>
        </w:rPr>
        <w:t xml:space="preserve"> </w:t>
      </w:r>
      <w:r w:rsidRPr="000E6450">
        <w:rPr>
          <w:rFonts w:ascii="Palatino Linotype" w:hAnsi="Palatino Linotype"/>
          <w:i/>
          <w:color w:val="000000" w:themeColor="text1"/>
          <w:sz w:val="22"/>
        </w:rPr>
        <w:t>“</w:t>
      </w:r>
      <w:r w:rsidR="00CF26E8" w:rsidRPr="00CF26E8">
        <w:rPr>
          <w:rFonts w:ascii="Palatino Linotype" w:hAnsi="Palatino Linotype"/>
          <w:i/>
          <w:color w:val="000000" w:themeColor="text1"/>
          <w:sz w:val="22"/>
        </w:rPr>
        <w:t>la respuesta que entrega es incongruente, como lo demostré sus formatos son del año 2022, no se puede justificar con la fusion del area que acaba de ocurrir, quiere decir que desde ese año no actualizan la plataforma como se debe y me estan dejando en un estado de indefensión porque acudo hacer mi tramite y no me reciben ese formato, me lo piden actual, y con requisitos totalmente diferentes, por lo que solicito me sean enviados actualizados</w:t>
      </w:r>
      <w:r w:rsidRPr="000E6450">
        <w:rPr>
          <w:rFonts w:ascii="Palatino Linotype" w:hAnsi="Palatino Linotype"/>
          <w:i/>
          <w:color w:val="000000" w:themeColor="text1"/>
          <w:sz w:val="22"/>
        </w:rPr>
        <w: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443012" w:rsidRPr="000E6450" w:rsidRDefault="00443012" w:rsidP="00443012">
      <w:pPr>
        <w:spacing w:line="360" w:lineRule="auto"/>
        <w:rPr>
          <w:rFonts w:ascii="Palatino Linotype" w:hAnsi="Palatino Linotype"/>
          <w:i/>
          <w:color w:val="000000" w:themeColor="text1"/>
        </w:rPr>
      </w:pPr>
    </w:p>
    <w:p w:rsidR="00443012" w:rsidRPr="000E6450" w:rsidRDefault="00443012" w:rsidP="00443012">
      <w:pPr>
        <w:pStyle w:val="Prrafodelista"/>
        <w:numPr>
          <w:ilvl w:val="0"/>
          <w:numId w:val="1"/>
        </w:numPr>
        <w:spacing w:line="360" w:lineRule="auto"/>
        <w:ind w:left="0" w:firstLine="0"/>
        <w:jc w:val="both"/>
        <w:rPr>
          <w:rFonts w:ascii="Palatino Linotype" w:hAnsi="Palatino Linotype"/>
          <w:i/>
        </w:rPr>
      </w:pPr>
      <w:r w:rsidRPr="000E6450">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CF26E8">
        <w:rPr>
          <w:rFonts w:ascii="Palatino Linotype" w:eastAsia="Calibri" w:hAnsi="Palatino Linotype" w:cs="Arial"/>
          <w:b/>
          <w:bCs/>
          <w:lang w:val="es-ES"/>
        </w:rPr>
        <w:t>diez de mayo de dos mil veinticuatro</w:t>
      </w:r>
      <w:r w:rsidRPr="000E6450">
        <w:rPr>
          <w:rFonts w:ascii="Palatino Linotype" w:eastAsia="Calibri" w:hAnsi="Palatino Linotype" w:cs="Arial"/>
          <w:lang w:val="es-ES"/>
        </w:rPr>
        <w:t xml:space="preserve">, puso a disposición de las partes el expediente electrónico </w:t>
      </w:r>
      <w:r w:rsidRPr="000E6450">
        <w:rPr>
          <w:rFonts w:ascii="Palatino Linotype" w:eastAsia="Calibri" w:hAnsi="Palatino Linotype" w:cs="Arial"/>
        </w:rPr>
        <w:t xml:space="preserve">vía </w:t>
      </w:r>
      <w:r w:rsidRPr="000E6450">
        <w:rPr>
          <w:rFonts w:ascii="Palatino Linotype" w:eastAsia="Calibri" w:hAnsi="Palatino Linotype" w:cs="Arial"/>
          <w:b/>
          <w:lang w:val="es-ES"/>
        </w:rPr>
        <w:t xml:space="preserve">SAIMEX </w:t>
      </w:r>
      <w:r w:rsidRPr="000E6450">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0E6450">
        <w:rPr>
          <w:rFonts w:ascii="Palatino Linotype" w:eastAsia="Calibri" w:hAnsi="Palatino Linotype" w:cs="Arial"/>
          <w:b/>
          <w:lang w:val="es-ES"/>
        </w:rPr>
        <w:t>SUJETO OBLIGADO</w:t>
      </w:r>
      <w:r w:rsidRPr="000E6450">
        <w:rPr>
          <w:rFonts w:ascii="Palatino Linotype" w:eastAsia="Calibri" w:hAnsi="Palatino Linotype" w:cs="Arial"/>
          <w:lang w:val="es-ES"/>
        </w:rPr>
        <w:t xml:space="preserve"> presentará el Informe Justificado procedente.</w:t>
      </w:r>
    </w:p>
    <w:p w:rsidR="00443012" w:rsidRPr="000E6450" w:rsidRDefault="00443012" w:rsidP="00443012">
      <w:pPr>
        <w:pStyle w:val="Prrafodelista"/>
        <w:spacing w:line="360" w:lineRule="auto"/>
        <w:ind w:left="0"/>
        <w:jc w:val="both"/>
        <w:rPr>
          <w:rFonts w:ascii="Palatino Linotype" w:hAnsi="Palatino Linotype"/>
        </w:rPr>
      </w:pPr>
    </w:p>
    <w:p w:rsidR="00443012" w:rsidRPr="000E6450" w:rsidRDefault="00443012" w:rsidP="00443012">
      <w:pPr>
        <w:pStyle w:val="Prrafodelista"/>
        <w:numPr>
          <w:ilvl w:val="0"/>
          <w:numId w:val="1"/>
        </w:numPr>
        <w:spacing w:line="360" w:lineRule="auto"/>
        <w:ind w:left="0" w:firstLine="0"/>
        <w:jc w:val="both"/>
        <w:rPr>
          <w:rFonts w:ascii="Palatino Linotype" w:hAnsi="Palatino Linotype"/>
        </w:rPr>
      </w:pPr>
      <w:r w:rsidRPr="000E6450">
        <w:rPr>
          <w:rFonts w:ascii="Palatino Linotype" w:hAnsi="Palatino Linotype"/>
          <w:color w:val="000000"/>
        </w:rPr>
        <w:t xml:space="preserve">De lo anterior, el </w:t>
      </w:r>
      <w:r w:rsidRPr="000E6450">
        <w:rPr>
          <w:rFonts w:ascii="Palatino Linotype" w:hAnsi="Palatino Linotype"/>
          <w:b/>
          <w:color w:val="000000"/>
        </w:rPr>
        <w:t xml:space="preserve">SUJETO OBLIGADO </w:t>
      </w:r>
      <w:r w:rsidRPr="000E6450">
        <w:rPr>
          <w:rFonts w:ascii="Palatino Linotype" w:hAnsi="Palatino Linotype"/>
          <w:color w:val="000000"/>
        </w:rPr>
        <w:t xml:space="preserve">en fecha </w:t>
      </w:r>
      <w:r w:rsidR="00026988">
        <w:rPr>
          <w:rFonts w:ascii="Palatino Linotype" w:hAnsi="Palatino Linotype"/>
          <w:b/>
          <w:color w:val="000000"/>
        </w:rPr>
        <w:t>veinte de mayo de dos mil veinticuatro</w:t>
      </w:r>
      <w:r w:rsidRPr="000E6450">
        <w:rPr>
          <w:rFonts w:ascii="Palatino Linotype" w:hAnsi="Palatino Linotype"/>
          <w:color w:val="000000"/>
        </w:rPr>
        <w:t xml:space="preserve">, presento su informe justificado, en alcance de </w:t>
      </w:r>
      <w:r w:rsidR="00026988">
        <w:rPr>
          <w:rFonts w:ascii="Palatino Linotype" w:hAnsi="Palatino Linotype"/>
          <w:color w:val="000000"/>
        </w:rPr>
        <w:t>un archivo electronico</w:t>
      </w:r>
      <w:r w:rsidRPr="000E6450">
        <w:rPr>
          <w:rFonts w:ascii="Palatino Linotype" w:hAnsi="Palatino Linotype"/>
          <w:color w:val="000000"/>
        </w:rPr>
        <w:t xml:space="preserve">, cuyo contenido toral es el siguiente: </w:t>
      </w:r>
    </w:p>
    <w:p w:rsidR="00443012" w:rsidRPr="000E6450" w:rsidRDefault="00443012" w:rsidP="00443012">
      <w:pPr>
        <w:pStyle w:val="Prrafodelista"/>
        <w:rPr>
          <w:rFonts w:ascii="Palatino Linotype" w:hAnsi="Palatino Linotype"/>
        </w:rPr>
      </w:pPr>
    </w:p>
    <w:p w:rsidR="00443012" w:rsidRPr="000E6450" w:rsidRDefault="00026988" w:rsidP="00026988">
      <w:pPr>
        <w:pStyle w:val="Prrafodelista"/>
        <w:ind w:left="360"/>
        <w:jc w:val="both"/>
        <w:rPr>
          <w:rFonts w:ascii="Palatino Linotype" w:hAnsi="Palatino Linotype"/>
          <w:i/>
        </w:rPr>
      </w:pPr>
      <w:r w:rsidRPr="00026988">
        <w:rPr>
          <w:rFonts w:ascii="Palatino Linotype" w:hAnsi="Palatino Linotype"/>
          <w:b/>
          <w:i/>
        </w:rPr>
        <w:t>INFORME JUSTIFICADO 2378-2024.pdf</w:t>
      </w:r>
      <w:r w:rsidR="00443012" w:rsidRPr="000E6450">
        <w:rPr>
          <w:rFonts w:ascii="Palatino Linotype" w:hAnsi="Palatino Linotype"/>
          <w:b/>
          <w:i/>
        </w:rPr>
        <w:t xml:space="preserve">: </w:t>
      </w:r>
      <w:r>
        <w:rPr>
          <w:rFonts w:ascii="Palatino Linotype" w:hAnsi="Palatino Linotype"/>
          <w:i/>
        </w:rPr>
        <w:t>oficio del Titular de la Dirección de Desarrollo Urbano e Infraestructura, mediante el cual grosso modo ratifica la respuesta inicial</w:t>
      </w:r>
    </w:p>
    <w:p w:rsidR="00443012" w:rsidRPr="000E6450" w:rsidRDefault="00443012" w:rsidP="00443012">
      <w:pPr>
        <w:pStyle w:val="Prrafodelista"/>
        <w:spacing w:line="360" w:lineRule="auto"/>
        <w:ind w:left="360"/>
        <w:jc w:val="both"/>
        <w:rPr>
          <w:rFonts w:ascii="Palatino Linotype" w:hAnsi="Palatino Linotype"/>
        </w:rPr>
      </w:pPr>
    </w:p>
    <w:p w:rsidR="00443012" w:rsidRPr="000E6450" w:rsidRDefault="00443012" w:rsidP="00443012">
      <w:pPr>
        <w:pStyle w:val="Prrafodelista"/>
        <w:rPr>
          <w:rFonts w:ascii="Palatino Linotype" w:hAnsi="Palatino Linotype"/>
          <w:color w:val="000000"/>
        </w:rPr>
      </w:pPr>
    </w:p>
    <w:p w:rsidR="00443012" w:rsidRPr="000E6450" w:rsidRDefault="00443012" w:rsidP="00443012">
      <w:pPr>
        <w:pStyle w:val="Prrafodelista"/>
        <w:numPr>
          <w:ilvl w:val="0"/>
          <w:numId w:val="1"/>
        </w:numPr>
        <w:spacing w:line="360" w:lineRule="auto"/>
        <w:ind w:left="0" w:firstLine="0"/>
        <w:jc w:val="both"/>
        <w:rPr>
          <w:rFonts w:ascii="Palatino Linotype" w:hAnsi="Palatino Linotype"/>
        </w:rPr>
      </w:pPr>
      <w:r w:rsidRPr="000E6450">
        <w:rPr>
          <w:rFonts w:ascii="Palatino Linotype" w:hAnsi="Palatino Linotype"/>
          <w:color w:val="000000"/>
        </w:rPr>
        <w:t xml:space="preserve">Por su parte el </w:t>
      </w:r>
      <w:r w:rsidRPr="000E6450">
        <w:rPr>
          <w:rFonts w:ascii="Palatino Linotype" w:hAnsi="Palatino Linotype"/>
          <w:b/>
          <w:color w:val="000000"/>
        </w:rPr>
        <w:t xml:space="preserve">PARTICULAR </w:t>
      </w:r>
      <w:r w:rsidRPr="000E6450">
        <w:rPr>
          <w:rFonts w:ascii="Palatino Linotype" w:hAnsi="Palatino Linotype"/>
          <w:color w:val="000000"/>
        </w:rPr>
        <w:t xml:space="preserve">dejo de realizar manifestaciones que a su derecho conviniera y asistiera. </w:t>
      </w:r>
    </w:p>
    <w:p w:rsidR="00443012" w:rsidRPr="000E6450" w:rsidRDefault="00443012" w:rsidP="00443012">
      <w:pPr>
        <w:pStyle w:val="Prrafodelista"/>
        <w:spacing w:line="360" w:lineRule="auto"/>
        <w:ind w:left="360"/>
        <w:jc w:val="both"/>
        <w:rPr>
          <w:rFonts w:ascii="Palatino Linotype" w:hAnsi="Palatino Linotype"/>
        </w:rPr>
      </w:pPr>
    </w:p>
    <w:p w:rsidR="00443012" w:rsidRPr="000E6450" w:rsidRDefault="00443012" w:rsidP="00443012">
      <w:pPr>
        <w:pStyle w:val="Prrafodelista"/>
        <w:numPr>
          <w:ilvl w:val="0"/>
          <w:numId w:val="1"/>
        </w:numPr>
        <w:spacing w:line="360" w:lineRule="auto"/>
        <w:ind w:left="0" w:firstLine="0"/>
        <w:jc w:val="both"/>
        <w:rPr>
          <w:rFonts w:ascii="Palatino Linotype" w:hAnsi="Palatino Linotype"/>
          <w:b/>
          <w:color w:val="000000" w:themeColor="text1"/>
        </w:rPr>
      </w:pPr>
      <w:r w:rsidRPr="000E6450">
        <w:rPr>
          <w:rFonts w:ascii="Palatino Linotype" w:hAnsi="Palatino Linotype"/>
        </w:rPr>
        <w:t xml:space="preserve">En fecha </w:t>
      </w:r>
      <w:r w:rsidRPr="00026988">
        <w:rPr>
          <w:rFonts w:ascii="Palatino Linotype" w:hAnsi="Palatino Linotype"/>
          <w:b/>
        </w:rPr>
        <w:t xml:space="preserve">once </w:t>
      </w:r>
      <w:r w:rsidR="00026988" w:rsidRPr="00026988">
        <w:rPr>
          <w:rFonts w:ascii="Palatino Linotype" w:hAnsi="Palatino Linotype"/>
          <w:b/>
        </w:rPr>
        <w:t>junio de dos mil veinticuatro</w:t>
      </w:r>
      <w:r w:rsidRPr="000E6450">
        <w:rPr>
          <w:rFonts w:ascii="Palatino Linotype" w:hAnsi="Palatino Linotype"/>
        </w:rPr>
        <w:t>, se amplió el término para resolver; al respecto es menester realizar las siguientes precisiones.</w:t>
      </w:r>
    </w:p>
    <w:p w:rsidR="00443012" w:rsidRPr="000E6450" w:rsidRDefault="00443012" w:rsidP="00443012">
      <w:pPr>
        <w:spacing w:line="360" w:lineRule="auto"/>
        <w:rPr>
          <w:rFonts w:ascii="Palatino Linotype" w:hAnsi="Palatino Linotype"/>
        </w:rPr>
      </w:pPr>
    </w:p>
    <w:p w:rsidR="00443012" w:rsidRDefault="00443012" w:rsidP="00443012">
      <w:pPr>
        <w:pStyle w:val="Prrafodelista"/>
        <w:numPr>
          <w:ilvl w:val="0"/>
          <w:numId w:val="1"/>
        </w:numPr>
        <w:spacing w:line="360" w:lineRule="auto"/>
        <w:ind w:left="0" w:firstLine="0"/>
        <w:jc w:val="both"/>
        <w:rPr>
          <w:rFonts w:ascii="Palatino Linotype" w:hAnsi="Palatino Linotype"/>
        </w:rPr>
      </w:pPr>
      <w:r w:rsidRPr="00FD7BBB">
        <w:rPr>
          <w:rFonts w:ascii="Palatino Linotype" w:hAnsi="Palatino Linotype"/>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443012" w:rsidRPr="000E6450" w:rsidRDefault="00443012" w:rsidP="00443012">
      <w:pPr>
        <w:pStyle w:val="Prrafodelista"/>
        <w:spacing w:line="360" w:lineRule="auto"/>
        <w:ind w:left="0"/>
        <w:jc w:val="both"/>
        <w:rPr>
          <w:rFonts w:ascii="Palatino Linotype" w:hAnsi="Palatino Linotype"/>
        </w:rPr>
      </w:pPr>
    </w:p>
    <w:p w:rsidR="00443012" w:rsidRPr="000E6450" w:rsidRDefault="00443012" w:rsidP="00443012">
      <w:pPr>
        <w:pStyle w:val="Prrafodelista"/>
        <w:numPr>
          <w:ilvl w:val="0"/>
          <w:numId w:val="1"/>
        </w:numPr>
        <w:spacing w:line="360" w:lineRule="auto"/>
        <w:ind w:left="0" w:firstLine="0"/>
        <w:jc w:val="both"/>
        <w:rPr>
          <w:rFonts w:ascii="Palatino Linotype" w:hAnsi="Palatino Linotype"/>
        </w:rPr>
      </w:pPr>
      <w:r w:rsidRPr="000E6450">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443012" w:rsidRPr="000E6450" w:rsidRDefault="00443012" w:rsidP="00443012">
      <w:pPr>
        <w:pStyle w:val="Prrafodelista"/>
        <w:spacing w:line="360" w:lineRule="auto"/>
        <w:rPr>
          <w:rFonts w:ascii="Palatino Linotype" w:hAnsi="Palatino Linotype"/>
        </w:rPr>
      </w:pPr>
    </w:p>
    <w:p w:rsidR="00443012" w:rsidRPr="000E6450" w:rsidRDefault="00443012" w:rsidP="00443012">
      <w:pPr>
        <w:pStyle w:val="Prrafodelista"/>
        <w:numPr>
          <w:ilvl w:val="0"/>
          <w:numId w:val="1"/>
        </w:numPr>
        <w:spacing w:line="360" w:lineRule="auto"/>
        <w:ind w:left="0" w:firstLine="0"/>
        <w:jc w:val="both"/>
        <w:rPr>
          <w:rFonts w:ascii="Palatino Linotype" w:hAnsi="Palatino Linotype"/>
        </w:rPr>
      </w:pPr>
      <w:r w:rsidRPr="000E6450">
        <w:rPr>
          <w:rFonts w:ascii="Palatino Linotype" w:hAnsi="Palatino Linotype"/>
        </w:rPr>
        <w:t xml:space="preserve">Así, en términos de lo que establecen los artículos 8.1 y 25 de la Convención Americana sobre Derechos Humanos, los recursos deben ser sencillos y resolverse </w:t>
      </w:r>
      <w:r w:rsidRPr="000E6450">
        <w:rPr>
          <w:rFonts w:ascii="Palatino Linotype" w:hAnsi="Palatino Linotype"/>
        </w:rPr>
        <w:lastRenderedPageBreak/>
        <w:t>en el menor tiempo posible, tomando en consideración la dilación total del procedimiento; esto es, en un plazo razonable.</w:t>
      </w:r>
    </w:p>
    <w:p w:rsidR="00443012" w:rsidRPr="000E6450" w:rsidRDefault="00443012" w:rsidP="00443012">
      <w:pPr>
        <w:pStyle w:val="Prrafodelista"/>
        <w:spacing w:line="360" w:lineRule="auto"/>
        <w:rPr>
          <w:rFonts w:ascii="Palatino Linotype" w:hAnsi="Palatino Linotype"/>
        </w:rPr>
      </w:pPr>
    </w:p>
    <w:p w:rsidR="00443012" w:rsidRPr="000E6450" w:rsidRDefault="00443012" w:rsidP="00443012">
      <w:pPr>
        <w:pStyle w:val="Prrafodelista"/>
        <w:numPr>
          <w:ilvl w:val="0"/>
          <w:numId w:val="1"/>
        </w:numPr>
        <w:spacing w:line="360" w:lineRule="auto"/>
        <w:ind w:left="0" w:firstLine="0"/>
        <w:jc w:val="both"/>
        <w:rPr>
          <w:rFonts w:ascii="Palatino Linotype" w:hAnsi="Palatino Linotype"/>
        </w:rPr>
      </w:pPr>
      <w:r w:rsidRPr="000E6450">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443012" w:rsidRPr="000E6450" w:rsidRDefault="00443012" w:rsidP="00443012">
      <w:pPr>
        <w:pStyle w:val="Prrafodelista"/>
        <w:spacing w:line="360" w:lineRule="auto"/>
        <w:rPr>
          <w:rFonts w:ascii="Palatino Linotype" w:hAnsi="Palatino Linotype"/>
        </w:rPr>
      </w:pPr>
    </w:p>
    <w:p w:rsidR="00443012" w:rsidRPr="000E6450" w:rsidRDefault="00443012" w:rsidP="00443012">
      <w:pPr>
        <w:pStyle w:val="Prrafodelista"/>
        <w:numPr>
          <w:ilvl w:val="0"/>
          <w:numId w:val="1"/>
        </w:numPr>
        <w:spacing w:line="360" w:lineRule="auto"/>
        <w:ind w:left="0" w:firstLine="0"/>
        <w:jc w:val="both"/>
        <w:rPr>
          <w:rFonts w:ascii="Palatino Linotype" w:hAnsi="Palatino Linotype"/>
        </w:rPr>
      </w:pPr>
      <w:r w:rsidRPr="000E6450">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rsidR="00443012" w:rsidRPr="000E6450" w:rsidRDefault="00443012" w:rsidP="00443012">
      <w:pPr>
        <w:spacing w:line="360" w:lineRule="auto"/>
        <w:jc w:val="both"/>
        <w:rPr>
          <w:rFonts w:ascii="Palatino Linotype" w:hAnsi="Palatino Linotype"/>
        </w:rPr>
      </w:pPr>
    </w:p>
    <w:p w:rsidR="00443012" w:rsidRPr="000E6450" w:rsidRDefault="00443012" w:rsidP="00443012">
      <w:pPr>
        <w:pStyle w:val="Prrafodelista"/>
        <w:numPr>
          <w:ilvl w:val="0"/>
          <w:numId w:val="4"/>
        </w:numPr>
        <w:spacing w:line="360" w:lineRule="auto"/>
        <w:jc w:val="both"/>
        <w:rPr>
          <w:rFonts w:ascii="Palatino Linotype" w:hAnsi="Palatino Linotype"/>
        </w:rPr>
      </w:pPr>
      <w:r w:rsidRPr="000E6450">
        <w:rPr>
          <w:rFonts w:ascii="Palatino Linotype" w:hAnsi="Palatino Linotype"/>
        </w:rPr>
        <w:t xml:space="preserve">Complejidad del Asunto: La complejidad de la prueba, la pluralidad de sujetos procesales, el tiempo transcurrido, las características y contexto del recurso. </w:t>
      </w:r>
    </w:p>
    <w:p w:rsidR="00443012" w:rsidRPr="000E6450" w:rsidRDefault="00443012" w:rsidP="00443012">
      <w:pPr>
        <w:pStyle w:val="Prrafodelista"/>
        <w:numPr>
          <w:ilvl w:val="0"/>
          <w:numId w:val="4"/>
        </w:numPr>
        <w:spacing w:line="360" w:lineRule="auto"/>
        <w:jc w:val="both"/>
        <w:rPr>
          <w:rFonts w:ascii="Palatino Linotype" w:hAnsi="Palatino Linotype"/>
        </w:rPr>
      </w:pPr>
      <w:r w:rsidRPr="000E6450">
        <w:rPr>
          <w:rFonts w:ascii="Palatino Linotype" w:hAnsi="Palatino Linotype"/>
        </w:rPr>
        <w:t>Actividad Procesal del interesado. Acciones u omisiones del interesado.</w:t>
      </w:r>
    </w:p>
    <w:p w:rsidR="00443012" w:rsidRPr="000E6450" w:rsidRDefault="00443012" w:rsidP="00443012">
      <w:pPr>
        <w:pStyle w:val="Prrafodelista"/>
        <w:numPr>
          <w:ilvl w:val="0"/>
          <w:numId w:val="4"/>
        </w:numPr>
        <w:spacing w:line="360" w:lineRule="auto"/>
        <w:jc w:val="both"/>
        <w:rPr>
          <w:rFonts w:ascii="Palatino Linotype" w:hAnsi="Palatino Linotype"/>
        </w:rPr>
      </w:pPr>
      <w:r w:rsidRPr="000E6450">
        <w:rPr>
          <w:rFonts w:ascii="Palatino Linotype" w:hAnsi="Palatino Linotype"/>
        </w:rPr>
        <w:t>Conducta de la Autoridad: Las Acciones u omisiones realizadas en el procedimiento. Así como si la autoridad actuó con la debida diligencia.</w:t>
      </w:r>
    </w:p>
    <w:p w:rsidR="00443012" w:rsidRPr="000E6450" w:rsidRDefault="00443012" w:rsidP="00443012">
      <w:pPr>
        <w:spacing w:line="360" w:lineRule="auto"/>
        <w:ind w:left="851" w:hanging="284"/>
        <w:jc w:val="both"/>
        <w:rPr>
          <w:rFonts w:ascii="Palatino Linotype" w:hAnsi="Palatino Linotype"/>
        </w:rPr>
      </w:pPr>
      <w:r w:rsidRPr="000E6450">
        <w:rPr>
          <w:rFonts w:ascii="Palatino Linotype" w:hAnsi="Palatino Linotype"/>
        </w:rPr>
        <w:t>d) La afectación generada en la situación jurídica de la persona involucrada en el proceso: Violación a sus derechos humanos.</w:t>
      </w:r>
    </w:p>
    <w:p w:rsidR="00443012" w:rsidRPr="000E6450" w:rsidRDefault="00443012" w:rsidP="00443012">
      <w:pPr>
        <w:spacing w:line="360" w:lineRule="auto"/>
        <w:ind w:left="851" w:hanging="284"/>
        <w:jc w:val="both"/>
        <w:rPr>
          <w:rFonts w:ascii="Palatino Linotype" w:hAnsi="Palatino Linotype"/>
        </w:rPr>
      </w:pPr>
    </w:p>
    <w:p w:rsidR="00443012" w:rsidRPr="000E6450" w:rsidRDefault="00443012" w:rsidP="00443012">
      <w:pPr>
        <w:pStyle w:val="Prrafodelista"/>
        <w:numPr>
          <w:ilvl w:val="0"/>
          <w:numId w:val="1"/>
        </w:numPr>
        <w:spacing w:line="360" w:lineRule="auto"/>
        <w:ind w:left="0" w:firstLine="0"/>
        <w:jc w:val="both"/>
        <w:rPr>
          <w:rFonts w:ascii="Palatino Linotype" w:hAnsi="Palatino Linotype"/>
        </w:rPr>
      </w:pPr>
      <w:r w:rsidRPr="000E6450">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0E6450">
        <w:rPr>
          <w:rFonts w:ascii="Palatino Linotype" w:hAnsi="Palatino Linotype"/>
        </w:rPr>
        <w:lastRenderedPageBreak/>
        <w:t>considerarse normal, debe concluirse que es una excluyente de responsabilidad en relación con la actuación del funcionario, como ha acontecido en el caso que nos ocupa.</w:t>
      </w:r>
    </w:p>
    <w:p w:rsidR="00443012" w:rsidRPr="000E6450" w:rsidRDefault="00443012" w:rsidP="00443012">
      <w:pPr>
        <w:pStyle w:val="Prrafodelista"/>
        <w:spacing w:line="360" w:lineRule="auto"/>
        <w:ind w:left="0"/>
        <w:jc w:val="both"/>
        <w:rPr>
          <w:rFonts w:ascii="Palatino Linotype" w:hAnsi="Palatino Linotype"/>
        </w:rPr>
      </w:pPr>
    </w:p>
    <w:p w:rsidR="00443012" w:rsidRPr="000E6450" w:rsidRDefault="00443012" w:rsidP="00443012">
      <w:pPr>
        <w:pStyle w:val="Prrafodelista"/>
        <w:numPr>
          <w:ilvl w:val="0"/>
          <w:numId w:val="1"/>
        </w:numPr>
        <w:spacing w:line="360" w:lineRule="auto"/>
        <w:ind w:left="0" w:firstLine="0"/>
        <w:jc w:val="both"/>
        <w:rPr>
          <w:rFonts w:ascii="Palatino Linotype" w:hAnsi="Palatino Linotype"/>
          <w:b/>
        </w:rPr>
      </w:pPr>
      <w:r w:rsidRPr="000E6450">
        <w:rPr>
          <w:rFonts w:ascii="Palatino Linotype" w:hAnsi="Palatino Linotype"/>
        </w:rPr>
        <w:t xml:space="preserve">Argumento que encuentra sustento en la jurisprudencia P./J. 32/92 emitida por el Pleno de la Suprema Corte de Justicia de la Nación de rubro </w:t>
      </w:r>
      <w:r w:rsidRPr="000E6450">
        <w:rPr>
          <w:rFonts w:ascii="Palatino Linotype" w:hAnsi="Palatino Linotype"/>
          <w:i/>
        </w:rPr>
        <w:t xml:space="preserve">“TÉRMINOS PROCESALES. PARA DETERMINAR SI UN FUNCIONARIO JUDICIAL ACTUÓ </w:t>
      </w:r>
      <w:r w:rsidRPr="000E6450">
        <w:rPr>
          <w:rFonts w:ascii="Palatino Linotype" w:hAnsi="Palatino Linotype"/>
        </w:rPr>
        <w:t>INDEBIDAMENTE</w:t>
      </w:r>
      <w:r w:rsidRPr="000E6450">
        <w:rPr>
          <w:rFonts w:ascii="Palatino Linotype" w:hAnsi="Palatino Linotype"/>
          <w:i/>
        </w:rPr>
        <w:t xml:space="preserve"> POR NO RESPETARLOS SE DEBE ATENDER AL PRESUPUESTO QUE CONSIDERÓ EL LEGISLADOR AL FIJARLOS Y LAS CARACTERÍSTICAS DEL CASO.”</w:t>
      </w:r>
      <w:r w:rsidRPr="000E6450">
        <w:rPr>
          <w:rFonts w:ascii="Palatino Linotype" w:hAnsi="Palatino Linotype"/>
        </w:rPr>
        <w:t>, visible en la Gaceta del Seminario Judicial de la Federación con el registro digital 205635.</w:t>
      </w:r>
    </w:p>
    <w:p w:rsidR="00443012" w:rsidRPr="000E6450" w:rsidRDefault="00443012" w:rsidP="00443012">
      <w:pPr>
        <w:spacing w:line="360" w:lineRule="auto"/>
        <w:jc w:val="both"/>
        <w:rPr>
          <w:rFonts w:ascii="Palatino Linotype" w:hAnsi="Palatino Linotype"/>
        </w:rPr>
      </w:pPr>
    </w:p>
    <w:p w:rsidR="00443012" w:rsidRPr="000E6450" w:rsidRDefault="00443012" w:rsidP="00443012">
      <w:pPr>
        <w:pStyle w:val="Prrafodelista"/>
        <w:numPr>
          <w:ilvl w:val="0"/>
          <w:numId w:val="1"/>
        </w:numPr>
        <w:spacing w:line="360" w:lineRule="auto"/>
        <w:ind w:left="0" w:firstLine="0"/>
        <w:jc w:val="both"/>
        <w:rPr>
          <w:rFonts w:ascii="Palatino Linotype" w:hAnsi="Palatino Linotype"/>
        </w:rPr>
      </w:pPr>
      <w:r w:rsidRPr="000E6450">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443012" w:rsidRPr="000E6450" w:rsidRDefault="00443012" w:rsidP="00443012">
      <w:pPr>
        <w:pStyle w:val="Prrafodelista"/>
        <w:spacing w:line="360" w:lineRule="auto"/>
        <w:rPr>
          <w:rFonts w:ascii="Palatino Linotype" w:hAnsi="Palatino Linotype"/>
        </w:rPr>
      </w:pPr>
    </w:p>
    <w:p w:rsidR="00443012" w:rsidRPr="000E6450" w:rsidRDefault="00443012" w:rsidP="00443012">
      <w:pPr>
        <w:pStyle w:val="Prrafodelista"/>
        <w:numPr>
          <w:ilvl w:val="0"/>
          <w:numId w:val="1"/>
        </w:numPr>
        <w:spacing w:line="360" w:lineRule="auto"/>
        <w:ind w:left="0" w:firstLine="0"/>
        <w:jc w:val="both"/>
        <w:rPr>
          <w:rFonts w:ascii="Palatino Linotype" w:hAnsi="Palatino Linotype"/>
        </w:rPr>
      </w:pPr>
      <w:r w:rsidRPr="000E6450">
        <w:rPr>
          <w:rFonts w:ascii="Palatino Linotype" w:hAnsi="Palatino Linotype"/>
        </w:rPr>
        <w:lastRenderedPageBreak/>
        <w:t>Por ello, este organismo garante comprometido con la tutela de los derechos humanos confiados, señala que este exceso del plazo legal para resolver el presente asunto, resulta de carácter excepcional.</w:t>
      </w:r>
    </w:p>
    <w:p w:rsidR="00443012" w:rsidRPr="000E6450" w:rsidRDefault="00443012" w:rsidP="00443012">
      <w:pPr>
        <w:spacing w:line="360" w:lineRule="auto"/>
        <w:jc w:val="both"/>
        <w:rPr>
          <w:rFonts w:ascii="Palatino Linotype" w:hAnsi="Palatino Linotype"/>
        </w:rPr>
      </w:pPr>
    </w:p>
    <w:p w:rsidR="00443012" w:rsidRPr="000E6450" w:rsidRDefault="00443012" w:rsidP="00443012">
      <w:pPr>
        <w:pStyle w:val="Prrafodelista"/>
        <w:numPr>
          <w:ilvl w:val="0"/>
          <w:numId w:val="1"/>
        </w:numPr>
        <w:spacing w:line="360" w:lineRule="auto"/>
        <w:ind w:left="0" w:firstLine="0"/>
        <w:jc w:val="both"/>
        <w:rPr>
          <w:rFonts w:ascii="Palatino Linotype" w:hAnsi="Palatino Linotype"/>
        </w:rPr>
      </w:pPr>
      <w:r w:rsidRPr="000E6450">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rsidR="00443012" w:rsidRPr="000E6450" w:rsidRDefault="00443012" w:rsidP="00443012">
      <w:pPr>
        <w:spacing w:line="360" w:lineRule="auto"/>
        <w:jc w:val="both"/>
        <w:rPr>
          <w:rFonts w:ascii="Palatino Linotype" w:hAnsi="Palatino Linotype"/>
        </w:rPr>
      </w:pPr>
    </w:p>
    <w:p w:rsidR="00443012" w:rsidRPr="00FD7BBB" w:rsidRDefault="00443012" w:rsidP="00443012">
      <w:pPr>
        <w:ind w:left="1134" w:right="900"/>
        <w:jc w:val="both"/>
        <w:rPr>
          <w:rFonts w:ascii="Palatino Linotype" w:hAnsi="Palatino Linotype"/>
          <w:sz w:val="22"/>
        </w:rPr>
      </w:pPr>
      <w:r w:rsidRPr="000E6450">
        <w:rPr>
          <w:rFonts w:ascii="Palatino Linotype" w:hAnsi="Palatino Linotype"/>
        </w:rPr>
        <w:t xml:space="preserve"> </w:t>
      </w:r>
      <w:r w:rsidRPr="00FD7BBB">
        <w:rPr>
          <w:rFonts w:ascii="Palatino Linotype" w:hAnsi="Palatino Linotype"/>
          <w:i/>
          <w:sz w:val="22"/>
        </w:rPr>
        <w:t>“PLAZO RAZONABLE PARA RESOLVER. DIMENSIÓN Y EFECTOS DE ESTE CONCEPTO CUANDO SE ADUCE EXCESIVA CARGA DE TRABAJO.”</w:t>
      </w:r>
      <w:r w:rsidRPr="00FD7BBB">
        <w:rPr>
          <w:rFonts w:ascii="Palatino Linotype" w:hAnsi="Palatino Linotype"/>
          <w:sz w:val="22"/>
        </w:rPr>
        <w:t xml:space="preserve"> consultable en el Seminario Judicial de la Federación y su gaceta, con el registro digital 2002351.</w:t>
      </w:r>
    </w:p>
    <w:p w:rsidR="00443012" w:rsidRPr="00FD7BBB" w:rsidRDefault="00443012" w:rsidP="00443012">
      <w:pPr>
        <w:ind w:left="1134" w:right="900"/>
        <w:jc w:val="both"/>
        <w:rPr>
          <w:rFonts w:ascii="Palatino Linotype" w:hAnsi="Palatino Linotype"/>
          <w:b/>
          <w:sz w:val="22"/>
        </w:rPr>
      </w:pPr>
    </w:p>
    <w:p w:rsidR="00443012" w:rsidRPr="008B05E1" w:rsidRDefault="00443012" w:rsidP="00443012">
      <w:pPr>
        <w:ind w:left="1134" w:right="900"/>
        <w:jc w:val="both"/>
        <w:rPr>
          <w:rFonts w:ascii="Palatino Linotype" w:hAnsi="Palatino Linotype"/>
          <w:sz w:val="22"/>
        </w:rPr>
      </w:pPr>
      <w:r w:rsidRPr="00FD7BBB">
        <w:rPr>
          <w:rFonts w:ascii="Palatino Linotype" w:hAnsi="Palatino Linotype"/>
          <w:i/>
          <w:sz w:val="22"/>
        </w:rPr>
        <w:t>“PLAZO RAZONABLE PARA RESOLVER. CONCEPTO Y ELEMENTOS QUE LO INTEGRAN A LA LUZ DEL DERECHO INTERNACIONAL DE LOS DERECHOS HUMANOS.”</w:t>
      </w:r>
      <w:r w:rsidRPr="00FD7BBB">
        <w:rPr>
          <w:rFonts w:ascii="Palatino Linotype" w:hAnsi="Palatino Linotype"/>
          <w:sz w:val="22"/>
        </w:rPr>
        <w:t xml:space="preserve">, visible en el Seminario Judicial de la Federación y su gaceta, con el registro digital </w:t>
      </w:r>
      <w:r w:rsidRPr="008B05E1">
        <w:rPr>
          <w:rFonts w:ascii="Palatino Linotype" w:hAnsi="Palatino Linotype"/>
          <w:sz w:val="22"/>
        </w:rPr>
        <w:t>2002350.”</w:t>
      </w:r>
    </w:p>
    <w:p w:rsidR="00443012" w:rsidRPr="008B05E1" w:rsidRDefault="00443012" w:rsidP="00443012">
      <w:pPr>
        <w:pStyle w:val="Prrafodelista"/>
        <w:spacing w:line="360" w:lineRule="auto"/>
        <w:rPr>
          <w:rFonts w:ascii="Palatino Linotype" w:hAnsi="Palatino Linotype"/>
        </w:rPr>
      </w:pPr>
    </w:p>
    <w:p w:rsidR="00443012" w:rsidRPr="008B05E1" w:rsidRDefault="00443012" w:rsidP="00443012">
      <w:pPr>
        <w:pStyle w:val="Prrafodelista"/>
        <w:numPr>
          <w:ilvl w:val="0"/>
          <w:numId w:val="1"/>
        </w:numPr>
        <w:spacing w:line="360" w:lineRule="auto"/>
        <w:ind w:left="0" w:firstLine="0"/>
        <w:jc w:val="both"/>
        <w:rPr>
          <w:rFonts w:ascii="Palatino Linotype" w:hAnsi="Palatino Linotype"/>
          <w:b/>
          <w:color w:val="000000" w:themeColor="text1"/>
        </w:rPr>
      </w:pPr>
      <w:r w:rsidRPr="008B05E1">
        <w:rPr>
          <w:rFonts w:ascii="Palatino Linotype" w:hAnsi="Palatino Linotype"/>
        </w:rPr>
        <w:t xml:space="preserve">Seguidamente, mediante </w:t>
      </w:r>
      <w:r w:rsidRPr="008B05E1">
        <w:rPr>
          <w:rFonts w:ascii="Palatino Linotype" w:hAnsi="Palatino Linotype"/>
          <w:color w:val="000000"/>
        </w:rPr>
        <w:t>acuerdo</w:t>
      </w:r>
      <w:r w:rsidRPr="008B05E1">
        <w:rPr>
          <w:rFonts w:ascii="Palatino Linotype" w:hAnsi="Palatino Linotype"/>
        </w:rPr>
        <w:t xml:space="preserve"> de fecha </w:t>
      </w:r>
      <w:r w:rsidR="00026988" w:rsidRPr="008B05E1">
        <w:rPr>
          <w:rFonts w:ascii="Palatino Linotype" w:hAnsi="Palatino Linotype"/>
          <w:b/>
        </w:rPr>
        <w:t>nueve de octubre de dos mil veinticuatro</w:t>
      </w:r>
      <w:r w:rsidR="00026988" w:rsidRPr="008B05E1">
        <w:rPr>
          <w:rFonts w:ascii="Palatino Linotype" w:hAnsi="Palatino Linotype"/>
        </w:rPr>
        <w:t xml:space="preserve">, </w:t>
      </w:r>
      <w:r w:rsidRPr="008B05E1">
        <w:rPr>
          <w:rFonts w:ascii="Palatino Linotype" w:hAnsi="Palatino Linotype"/>
        </w:rPr>
        <w:t xml:space="preserve">se decretó el cierre de instrucción, </w:t>
      </w:r>
      <w:r w:rsidRPr="008B05E1">
        <w:rPr>
          <w:rFonts w:ascii="Palatino Linotype" w:hAnsi="Palatino Linotype" w:cs="Arial"/>
        </w:rPr>
        <w:t>por lo que no ha</w:t>
      </w:r>
      <w:bookmarkStart w:id="134" w:name="_Toc491791302"/>
      <w:bookmarkStart w:id="135" w:name="_Toc83128578"/>
      <w:r w:rsidRPr="008B05E1">
        <w:rPr>
          <w:rFonts w:ascii="Palatino Linotype" w:hAnsi="Palatino Linotype" w:cs="Arial"/>
        </w:rPr>
        <w:t>biendo más que hacer constar, y------------------------------------------------------------------------------------------</w:t>
      </w:r>
    </w:p>
    <w:p w:rsidR="00443012" w:rsidRPr="000E6450" w:rsidRDefault="00443012" w:rsidP="00443012">
      <w:pPr>
        <w:pStyle w:val="Prrafodelista"/>
        <w:spacing w:line="360" w:lineRule="auto"/>
        <w:ind w:left="0"/>
        <w:jc w:val="center"/>
        <w:rPr>
          <w:rFonts w:ascii="Palatino Linotype" w:hAnsi="Palatino Linotype"/>
          <w:b/>
          <w:color w:val="000000" w:themeColor="text1"/>
        </w:rPr>
      </w:pPr>
    </w:p>
    <w:p w:rsidR="00443012" w:rsidRPr="000E6450" w:rsidRDefault="00443012" w:rsidP="00443012">
      <w:pPr>
        <w:pStyle w:val="Prrafodelista"/>
        <w:spacing w:line="360" w:lineRule="auto"/>
        <w:ind w:left="0"/>
        <w:jc w:val="center"/>
        <w:rPr>
          <w:rFonts w:ascii="Palatino Linotype" w:hAnsi="Palatino Linotype"/>
          <w:b/>
          <w:color w:val="000000" w:themeColor="text1"/>
        </w:rPr>
      </w:pPr>
    </w:p>
    <w:p w:rsidR="00443012" w:rsidRPr="000E6450" w:rsidRDefault="00443012" w:rsidP="00443012">
      <w:pPr>
        <w:pStyle w:val="Prrafodelista"/>
        <w:spacing w:line="360" w:lineRule="auto"/>
        <w:ind w:left="0"/>
        <w:jc w:val="center"/>
        <w:rPr>
          <w:rFonts w:ascii="Palatino Linotype" w:hAnsi="Palatino Linotype"/>
          <w:b/>
          <w:color w:val="000000" w:themeColor="text1"/>
        </w:rPr>
      </w:pPr>
      <w:r w:rsidRPr="000E6450">
        <w:rPr>
          <w:rFonts w:ascii="Palatino Linotype" w:hAnsi="Palatino Linotype"/>
          <w:b/>
          <w:color w:val="000000" w:themeColor="text1"/>
        </w:rPr>
        <w:t>CONSIDERANDO</w:t>
      </w:r>
      <w:bookmarkEnd w:id="134"/>
      <w:bookmarkEnd w:id="135"/>
    </w:p>
    <w:p w:rsidR="00443012" w:rsidRPr="000E6450" w:rsidRDefault="00443012" w:rsidP="00443012">
      <w:pPr>
        <w:pStyle w:val="Prrafodelista"/>
        <w:spacing w:line="360" w:lineRule="auto"/>
        <w:ind w:left="0"/>
        <w:jc w:val="center"/>
        <w:rPr>
          <w:rFonts w:ascii="Palatino Linotype" w:hAnsi="Palatino Linotype"/>
          <w:b/>
          <w:color w:val="000000" w:themeColor="text1"/>
        </w:rPr>
      </w:pPr>
    </w:p>
    <w:p w:rsidR="00443012" w:rsidRPr="000E6450" w:rsidRDefault="00443012" w:rsidP="00443012">
      <w:pPr>
        <w:pStyle w:val="Ttulo2"/>
        <w:spacing w:before="0" w:line="360" w:lineRule="auto"/>
        <w:rPr>
          <w:rFonts w:ascii="Palatino Linotype" w:hAnsi="Palatino Linotype"/>
          <w:b/>
          <w:color w:val="auto"/>
          <w:sz w:val="24"/>
          <w:szCs w:val="24"/>
        </w:rPr>
      </w:pPr>
      <w:bookmarkStart w:id="136" w:name="_Toc491791303"/>
      <w:bookmarkStart w:id="137" w:name="_Toc83128579"/>
      <w:r w:rsidRPr="000E6450">
        <w:rPr>
          <w:rFonts w:ascii="Palatino Linotype" w:hAnsi="Palatino Linotype"/>
          <w:b/>
          <w:color w:val="auto"/>
          <w:sz w:val="24"/>
          <w:szCs w:val="24"/>
        </w:rPr>
        <w:t>PRIMERO. De la competencia</w:t>
      </w:r>
      <w:bookmarkEnd w:id="136"/>
      <w:bookmarkEnd w:id="137"/>
    </w:p>
    <w:p w:rsidR="00443012" w:rsidRPr="000E6450" w:rsidRDefault="00443012" w:rsidP="00443012">
      <w:pPr>
        <w:spacing w:line="360" w:lineRule="auto"/>
        <w:rPr>
          <w:rFonts w:ascii="Palatino Linotype" w:hAnsi="Palatino Linotype"/>
          <w:lang w:val="es-MX" w:eastAsia="en-US"/>
        </w:rPr>
      </w:pPr>
    </w:p>
    <w:p w:rsidR="00443012" w:rsidRPr="000E6450" w:rsidRDefault="00443012" w:rsidP="00443012">
      <w:pPr>
        <w:pStyle w:val="Prrafodelista"/>
        <w:numPr>
          <w:ilvl w:val="0"/>
          <w:numId w:val="1"/>
        </w:numPr>
        <w:spacing w:line="360" w:lineRule="auto"/>
        <w:ind w:left="0" w:firstLine="0"/>
        <w:jc w:val="both"/>
        <w:rPr>
          <w:rFonts w:ascii="Palatino Linotype" w:hAnsi="Palatino Linotype"/>
          <w:color w:val="000000" w:themeColor="text1"/>
        </w:rPr>
      </w:pPr>
      <w:r w:rsidRPr="000E6450">
        <w:rPr>
          <w:rFonts w:ascii="Palatino Linotype" w:hAnsi="Palatino Linotype"/>
          <w:color w:val="000000" w:themeColor="text1"/>
        </w:rPr>
        <w:lastRenderedPageBreak/>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443012" w:rsidRPr="000E6450" w:rsidRDefault="00443012" w:rsidP="00443012">
      <w:pPr>
        <w:pStyle w:val="Prrafodelista"/>
        <w:spacing w:line="360" w:lineRule="auto"/>
        <w:ind w:left="0"/>
        <w:jc w:val="both"/>
        <w:rPr>
          <w:rFonts w:ascii="Palatino Linotype" w:eastAsia="Calibri" w:hAnsi="Palatino Linotype" w:cs="Times New Roman"/>
          <w:b/>
          <w:lang w:val="es-ES"/>
        </w:rPr>
      </w:pPr>
    </w:p>
    <w:p w:rsidR="00443012" w:rsidRPr="000E6450" w:rsidRDefault="00443012" w:rsidP="00443012">
      <w:pPr>
        <w:pStyle w:val="Ttulo2"/>
        <w:spacing w:before="0" w:line="360" w:lineRule="auto"/>
        <w:rPr>
          <w:rFonts w:ascii="Palatino Linotype" w:hAnsi="Palatino Linotype"/>
          <w:b/>
          <w:color w:val="auto"/>
          <w:sz w:val="24"/>
          <w:szCs w:val="24"/>
        </w:rPr>
      </w:pPr>
      <w:bookmarkStart w:id="138" w:name="_Toc491791304"/>
      <w:bookmarkStart w:id="139" w:name="_Toc83128580"/>
      <w:r w:rsidRPr="000E6450">
        <w:rPr>
          <w:rFonts w:ascii="Palatino Linotype" w:hAnsi="Palatino Linotype"/>
          <w:b/>
          <w:color w:val="auto"/>
          <w:sz w:val="24"/>
          <w:szCs w:val="24"/>
        </w:rPr>
        <w:t>SEGUNDO. De la oportunidad y procedencia.</w:t>
      </w:r>
      <w:bookmarkEnd w:id="138"/>
      <w:bookmarkEnd w:id="139"/>
    </w:p>
    <w:p w:rsidR="00443012" w:rsidRPr="000E6450" w:rsidRDefault="00443012" w:rsidP="00443012">
      <w:pPr>
        <w:spacing w:line="360" w:lineRule="auto"/>
        <w:rPr>
          <w:rFonts w:ascii="Palatino Linotype" w:hAnsi="Palatino Linotype"/>
          <w:lang w:val="es-MX" w:eastAsia="en-US"/>
        </w:rPr>
      </w:pPr>
    </w:p>
    <w:p w:rsidR="00443012" w:rsidRPr="000E6450" w:rsidRDefault="00443012" w:rsidP="00443012">
      <w:pPr>
        <w:pStyle w:val="Prrafodelista"/>
        <w:numPr>
          <w:ilvl w:val="0"/>
          <w:numId w:val="1"/>
        </w:numPr>
        <w:spacing w:line="360" w:lineRule="auto"/>
        <w:ind w:left="0" w:firstLine="0"/>
        <w:jc w:val="both"/>
        <w:rPr>
          <w:rFonts w:ascii="Palatino Linotype" w:hAnsi="Palatino Linotype"/>
        </w:rPr>
      </w:pPr>
      <w:r w:rsidRPr="000E6450">
        <w:rPr>
          <w:rFonts w:ascii="Palatino Linotype" w:eastAsia="Calibri" w:hAnsi="Palatino Linotype" w:cs="Arial"/>
        </w:rPr>
        <w:t xml:space="preserve">El medio de impugnación fue presentado a través del </w:t>
      </w:r>
      <w:r w:rsidRPr="000E6450">
        <w:rPr>
          <w:rFonts w:ascii="Palatino Linotype" w:eastAsia="Calibri" w:hAnsi="Palatino Linotype" w:cs="Arial"/>
          <w:b/>
        </w:rPr>
        <w:t>SAIMEX,</w:t>
      </w:r>
      <w:r w:rsidRPr="000E6450">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0E6450">
        <w:rPr>
          <w:rFonts w:ascii="Palatino Linotype" w:eastAsia="Calibri" w:hAnsi="Palatino Linotype" w:cs="Arial"/>
          <w:b/>
        </w:rPr>
        <w:t>SUJETO OBLIGADO</w:t>
      </w:r>
      <w:r w:rsidRPr="000E6450">
        <w:rPr>
          <w:rFonts w:ascii="Palatino Linotype" w:eastAsia="Calibri" w:hAnsi="Palatino Linotype" w:cs="Arial"/>
        </w:rPr>
        <w:t xml:space="preserve"> entregó su </w:t>
      </w:r>
      <w:r w:rsidRPr="00FD7BBB">
        <w:rPr>
          <w:rFonts w:ascii="Palatino Linotype" w:eastAsia="Calibri" w:hAnsi="Palatino Linotype" w:cs="Arial"/>
          <w:b/>
        </w:rPr>
        <w:t xml:space="preserve">respuesta el </w:t>
      </w:r>
      <w:r w:rsidR="00026988">
        <w:rPr>
          <w:rFonts w:ascii="Palatino Linotype" w:eastAsia="Calibri" w:hAnsi="Palatino Linotype" w:cs="Arial"/>
          <w:b/>
        </w:rPr>
        <w:t>doce de abril de dos mil veinticuatro</w:t>
      </w:r>
      <w:r w:rsidRPr="000E6450">
        <w:rPr>
          <w:rFonts w:ascii="Palatino Linotype" w:eastAsia="Calibri" w:hAnsi="Palatino Linotype" w:cs="Arial"/>
        </w:rPr>
        <w:t xml:space="preserve">, </w:t>
      </w:r>
      <w:r w:rsidRPr="000E6450">
        <w:rPr>
          <w:rFonts w:ascii="Palatino Linotype" w:hAnsi="Palatino Linotype" w:cs="Arial"/>
        </w:rPr>
        <w:t xml:space="preserve">de tal forma que el plazo para interponer el recurso de revisión transcurrió del día </w:t>
      </w:r>
      <w:r w:rsidR="00D27010">
        <w:rPr>
          <w:rFonts w:ascii="Palatino Linotype" w:hAnsi="Palatino Linotype" w:cs="Arial"/>
          <w:b/>
        </w:rPr>
        <w:t>quince de abril al siete de mayo de dos mil veinticuatro</w:t>
      </w:r>
      <w:r w:rsidRPr="000E6450">
        <w:rPr>
          <w:rFonts w:ascii="Palatino Linotype" w:hAnsi="Palatino Linotype" w:cs="Arial"/>
        </w:rPr>
        <w:t xml:space="preserve">; en consecuencia, el ahora </w:t>
      </w:r>
      <w:r w:rsidRPr="000E6450">
        <w:rPr>
          <w:rFonts w:ascii="Palatino Linotype" w:hAnsi="Palatino Linotype" w:cs="Arial"/>
          <w:b/>
        </w:rPr>
        <w:t>RECURRENTE</w:t>
      </w:r>
      <w:r w:rsidRPr="000E6450">
        <w:rPr>
          <w:rFonts w:ascii="Palatino Linotype" w:hAnsi="Palatino Linotype" w:cs="Arial"/>
        </w:rPr>
        <w:t xml:space="preserve"> presentó su inconformidad el día </w:t>
      </w:r>
      <w:r w:rsidR="00D27010">
        <w:rPr>
          <w:rFonts w:ascii="Palatino Linotype" w:hAnsi="Palatino Linotype" w:cs="Arial"/>
          <w:b/>
        </w:rPr>
        <w:t>treinta de abril de dos mil veinticuatro</w:t>
      </w:r>
      <w:r w:rsidRPr="000E6450">
        <w:rPr>
          <w:rFonts w:ascii="Palatino Linotype" w:hAnsi="Palatino Linotype" w:cs="Arial"/>
        </w:rPr>
        <w:t>; por lo que se estima que la inconformidad se presentó dentro del lapso legalmente establecido para tal efecto.</w:t>
      </w:r>
    </w:p>
    <w:p w:rsidR="00443012" w:rsidRPr="000E6450" w:rsidRDefault="00443012" w:rsidP="00443012">
      <w:pPr>
        <w:rPr>
          <w:rFonts w:ascii="Palatino Linotype" w:hAnsi="Palatino Linotype" w:cs="Arial"/>
          <w:i/>
        </w:rPr>
      </w:pPr>
    </w:p>
    <w:p w:rsidR="00443012" w:rsidRPr="00FD7BBB" w:rsidRDefault="00443012" w:rsidP="00D27010">
      <w:pPr>
        <w:pStyle w:val="Prrafodelista"/>
        <w:numPr>
          <w:ilvl w:val="0"/>
          <w:numId w:val="1"/>
        </w:numPr>
        <w:spacing w:line="360" w:lineRule="auto"/>
        <w:ind w:left="0" w:firstLine="0"/>
        <w:jc w:val="both"/>
        <w:rPr>
          <w:rFonts w:ascii="Palatino Linotype" w:eastAsia="Calibri" w:hAnsi="Palatino Linotype" w:cs="Arial"/>
          <w:sz w:val="22"/>
        </w:rPr>
      </w:pPr>
      <w:r w:rsidRPr="000E6450">
        <w:rPr>
          <w:rFonts w:ascii="Palatino Linotype" w:eastAsia="Calibri" w:hAnsi="Palatino Linotype" w:cs="Arial"/>
        </w:rPr>
        <w:lastRenderedPageBreak/>
        <w:t>Por otro lado, es de suma importancia señalar que la parte recurrente no proporciona un nombre completo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w:t>
      </w:r>
      <w:r w:rsidRPr="00FD7BBB">
        <w:rPr>
          <w:rFonts w:ascii="Palatino Linotype" w:eastAsia="Calibri" w:hAnsi="Palatino Linotype" w:cs="Arial"/>
          <w:sz w:val="22"/>
        </w:rPr>
        <w:t>o siguiente:</w:t>
      </w:r>
    </w:p>
    <w:p w:rsidR="00443012" w:rsidRPr="00FD7BBB" w:rsidRDefault="00443012" w:rsidP="00443012">
      <w:pPr>
        <w:ind w:left="1134" w:right="900"/>
        <w:jc w:val="both"/>
        <w:rPr>
          <w:rFonts w:ascii="Palatino Linotype" w:eastAsia="Palatino Linotype" w:hAnsi="Palatino Linotype" w:cs="Palatino Linotype"/>
          <w:sz w:val="22"/>
          <w:lang w:val="es-MX" w:eastAsia="es-MX"/>
        </w:rPr>
      </w:pPr>
    </w:p>
    <w:p w:rsidR="00443012" w:rsidRPr="00FD7BBB" w:rsidRDefault="00443012" w:rsidP="00443012">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w:t>
      </w:r>
      <w:r w:rsidRPr="00FD7BBB">
        <w:rPr>
          <w:rFonts w:ascii="Palatino Linotype" w:eastAsia="Palatino Linotype" w:hAnsi="Palatino Linotype" w:cs="Palatino Linotype"/>
          <w:b/>
          <w:i/>
          <w:sz w:val="22"/>
          <w:lang w:val="es-MX" w:eastAsia="es-MX"/>
        </w:rPr>
        <w:t>Las solicitudes anónimas</w:t>
      </w:r>
      <w:r w:rsidRPr="00FD7BBB">
        <w:rPr>
          <w:rFonts w:ascii="Palatino Linotype" w:eastAsia="Palatino Linotype" w:hAnsi="Palatino Linotype" w:cs="Palatino Linotype"/>
          <w:i/>
          <w:sz w:val="22"/>
          <w:lang w:val="es-MX" w:eastAsia="es-MX"/>
        </w:rPr>
        <w:t xml:space="preserve">, con nombre incompleto o seudónimo </w:t>
      </w:r>
      <w:r w:rsidRPr="00FD7BBB">
        <w:rPr>
          <w:rFonts w:ascii="Palatino Linotype" w:eastAsia="Palatino Linotype" w:hAnsi="Palatino Linotype" w:cs="Palatino Linotype"/>
          <w:b/>
          <w:i/>
          <w:sz w:val="22"/>
          <w:lang w:val="es-MX" w:eastAsia="es-MX"/>
        </w:rPr>
        <w:t>serán procedentes para su trámite por parte del sujeto obligado ante quien se presente</w:t>
      </w:r>
      <w:r w:rsidRPr="00FD7BBB">
        <w:rPr>
          <w:rFonts w:ascii="Palatino Linotype" w:eastAsia="Palatino Linotype" w:hAnsi="Palatino Linotype" w:cs="Palatino Linotype"/>
          <w:i/>
          <w:sz w:val="22"/>
          <w:lang w:val="es-MX" w:eastAsia="es-MX"/>
        </w:rPr>
        <w:t>. No podrá requerirse información adicional con motivo del nombre proporcionado por el solicitante."</w:t>
      </w:r>
    </w:p>
    <w:p w:rsidR="00443012" w:rsidRPr="000E6450" w:rsidRDefault="00443012" w:rsidP="00443012">
      <w:pPr>
        <w:spacing w:line="360" w:lineRule="auto"/>
        <w:jc w:val="both"/>
        <w:rPr>
          <w:rFonts w:ascii="Palatino Linotype" w:eastAsia="Palatino Linotype" w:hAnsi="Palatino Linotype" w:cs="Palatino Linotype"/>
          <w:lang w:val="es-MX" w:eastAsia="es-MX"/>
        </w:rPr>
      </w:pPr>
    </w:p>
    <w:p w:rsidR="00443012" w:rsidRPr="000E6450" w:rsidRDefault="00443012" w:rsidP="00443012">
      <w:pPr>
        <w:pStyle w:val="Prrafodelista"/>
        <w:numPr>
          <w:ilvl w:val="0"/>
          <w:numId w:val="1"/>
        </w:numPr>
        <w:spacing w:line="360" w:lineRule="auto"/>
        <w:ind w:left="0" w:firstLine="0"/>
        <w:jc w:val="both"/>
        <w:rPr>
          <w:rFonts w:ascii="Palatino Linotype" w:eastAsia="Calibri" w:hAnsi="Palatino Linotype" w:cs="Arial"/>
        </w:rPr>
      </w:pPr>
      <w:r w:rsidRPr="000E6450">
        <w:rPr>
          <w:rFonts w:ascii="Palatino Linotype" w:eastAsia="Calibri" w:hAnsi="Palatino Linotype" w:cs="Arial"/>
        </w:rPr>
        <w:t>Robusteciendo lo anterior se encuentra lo dispuesto en el artículo 6, Apartado A, fracciones III de la Constitución Política de los Estados Unidos Mexicanos que establece:</w:t>
      </w:r>
    </w:p>
    <w:p w:rsidR="00443012" w:rsidRPr="000E6450" w:rsidRDefault="00443012" w:rsidP="00443012">
      <w:pPr>
        <w:spacing w:line="360" w:lineRule="auto"/>
        <w:ind w:right="474"/>
        <w:jc w:val="both"/>
        <w:rPr>
          <w:rFonts w:ascii="Palatino Linotype" w:eastAsia="Palatino Linotype" w:hAnsi="Palatino Linotype" w:cs="Palatino Linotype"/>
          <w:i/>
          <w:lang w:val="es-MX" w:eastAsia="es-MX"/>
        </w:rPr>
      </w:pPr>
    </w:p>
    <w:p w:rsidR="00443012" w:rsidRPr="00FD7BBB" w:rsidRDefault="00443012" w:rsidP="00443012">
      <w:pPr>
        <w:spacing w:line="360" w:lineRule="auto"/>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w:t>
      </w:r>
      <w:r w:rsidRPr="00FD7BBB">
        <w:rPr>
          <w:rFonts w:ascii="Palatino Linotype" w:eastAsia="Palatino Linotype" w:hAnsi="Palatino Linotype" w:cs="Palatino Linotype"/>
          <w:b/>
          <w:i/>
          <w:sz w:val="22"/>
          <w:lang w:val="es-MX" w:eastAsia="es-MX"/>
        </w:rPr>
        <w:t>Artículo 6.-</w:t>
      </w:r>
      <w:r w:rsidRPr="00FD7BBB">
        <w:rPr>
          <w:rFonts w:ascii="Palatino Linotype" w:eastAsia="Palatino Linotype" w:hAnsi="Palatino Linotype" w:cs="Palatino Linotype"/>
          <w:i/>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443012" w:rsidRPr="00FD7BBB" w:rsidRDefault="00443012" w:rsidP="00443012">
      <w:pPr>
        <w:spacing w:line="360" w:lineRule="auto"/>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Para efectos de lo dispuesto en el presente artículo se observará lo siguiente:</w:t>
      </w:r>
    </w:p>
    <w:p w:rsidR="00443012" w:rsidRPr="00FD7BBB" w:rsidRDefault="00443012" w:rsidP="00443012">
      <w:pPr>
        <w:spacing w:line="360" w:lineRule="auto"/>
        <w:ind w:left="1134" w:right="900"/>
        <w:jc w:val="both"/>
        <w:rPr>
          <w:rFonts w:ascii="Palatino Linotype" w:eastAsia="Palatino Linotype" w:hAnsi="Palatino Linotype" w:cs="Palatino Linotype"/>
          <w:i/>
          <w:sz w:val="22"/>
          <w:lang w:val="es-MX" w:eastAsia="es-MX"/>
        </w:rPr>
      </w:pPr>
    </w:p>
    <w:p w:rsidR="00443012" w:rsidRPr="00FD7BBB" w:rsidRDefault="00443012" w:rsidP="00443012">
      <w:pPr>
        <w:spacing w:line="360" w:lineRule="auto"/>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A. Para el ejercicio del derecho de acceso a la información, la Federación, los Estados y el Distrito Federal, en el ámbito de sus respectivas competencias, se regirán por los siguientes principios y bases:</w:t>
      </w:r>
    </w:p>
    <w:p w:rsidR="00443012" w:rsidRPr="00FD7BBB" w:rsidRDefault="00443012" w:rsidP="00443012">
      <w:pPr>
        <w:spacing w:line="360" w:lineRule="auto"/>
        <w:ind w:left="1134" w:right="900"/>
        <w:jc w:val="both"/>
        <w:rPr>
          <w:rFonts w:ascii="Palatino Linotype" w:eastAsia="Palatino Linotype" w:hAnsi="Palatino Linotype" w:cs="Palatino Linotype"/>
          <w:i/>
          <w:sz w:val="22"/>
          <w:lang w:val="es-MX" w:eastAsia="es-MX"/>
        </w:rPr>
      </w:pPr>
    </w:p>
    <w:p w:rsidR="00443012" w:rsidRPr="00FD7BBB" w:rsidRDefault="00443012" w:rsidP="00443012">
      <w:pPr>
        <w:spacing w:line="360" w:lineRule="auto"/>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 xml:space="preserve">III. Toda persona, sin necesidad de acreditar interés alguno o justificar su utilización, tendrá acceso gratuito a la información pública, a sus datos personales o a la rectificación de éstos.” </w:t>
      </w:r>
      <w:r w:rsidRPr="00FD7BBB">
        <w:rPr>
          <w:rFonts w:ascii="Palatino Linotype" w:eastAsia="Palatino Linotype" w:hAnsi="Palatino Linotype" w:cs="Palatino Linotype"/>
          <w:sz w:val="22"/>
          <w:lang w:val="es-MX" w:eastAsia="es-MX"/>
        </w:rPr>
        <w:t>(Sic)</w:t>
      </w:r>
    </w:p>
    <w:p w:rsidR="00443012" w:rsidRPr="000E6450" w:rsidRDefault="00443012" w:rsidP="00443012">
      <w:pPr>
        <w:spacing w:line="360" w:lineRule="auto"/>
        <w:ind w:left="567" w:right="474"/>
        <w:jc w:val="both"/>
        <w:rPr>
          <w:rFonts w:ascii="Palatino Linotype" w:eastAsia="Palatino Linotype" w:hAnsi="Palatino Linotype" w:cs="Palatino Linotype"/>
          <w:i/>
          <w:lang w:val="es-MX" w:eastAsia="es-MX"/>
        </w:rPr>
      </w:pPr>
    </w:p>
    <w:p w:rsidR="00443012" w:rsidRPr="000E6450" w:rsidRDefault="00443012" w:rsidP="00443012">
      <w:pPr>
        <w:pStyle w:val="Prrafodelista"/>
        <w:numPr>
          <w:ilvl w:val="0"/>
          <w:numId w:val="1"/>
        </w:numPr>
        <w:spacing w:line="360" w:lineRule="auto"/>
        <w:ind w:left="0" w:firstLine="0"/>
        <w:jc w:val="both"/>
        <w:rPr>
          <w:rFonts w:ascii="Palatino Linotype" w:eastAsia="Calibri" w:hAnsi="Palatino Linotype" w:cs="Arial"/>
        </w:rPr>
      </w:pPr>
      <w:r w:rsidRPr="000E6450">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rsidR="00443012" w:rsidRPr="00FD7BBB" w:rsidRDefault="00443012" w:rsidP="00443012">
      <w:pPr>
        <w:ind w:left="1134" w:right="900"/>
        <w:jc w:val="both"/>
        <w:rPr>
          <w:rFonts w:ascii="Palatino Linotype" w:eastAsia="Palatino Linotype" w:hAnsi="Palatino Linotype" w:cs="Palatino Linotype"/>
          <w:i/>
          <w:sz w:val="22"/>
          <w:lang w:val="es-MX" w:eastAsia="es-MX"/>
        </w:rPr>
      </w:pPr>
    </w:p>
    <w:p w:rsidR="00443012" w:rsidRPr="00FD7BBB" w:rsidRDefault="00443012" w:rsidP="00443012">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w:t>
      </w:r>
      <w:r w:rsidRPr="00FD7BBB">
        <w:rPr>
          <w:rFonts w:ascii="Palatino Linotype" w:eastAsia="Palatino Linotype" w:hAnsi="Palatino Linotype" w:cs="Palatino Linotype"/>
          <w:b/>
          <w:i/>
          <w:sz w:val="22"/>
          <w:lang w:val="es-MX" w:eastAsia="es-MX"/>
        </w:rPr>
        <w:t>Artículo 5.-</w:t>
      </w:r>
      <w:r w:rsidRPr="00FD7BBB">
        <w:rPr>
          <w:rFonts w:ascii="Palatino Linotype" w:eastAsia="Palatino Linotype" w:hAnsi="Palatino Linotype" w:cs="Palatino Linotype"/>
          <w:i/>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443012" w:rsidRPr="00FD7BBB" w:rsidRDefault="00443012" w:rsidP="00443012">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w:t>
      </w:r>
    </w:p>
    <w:p w:rsidR="00443012" w:rsidRPr="00FD7BBB" w:rsidRDefault="00443012" w:rsidP="00443012">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Toda persona en el Estado de México, tiene derecho al libre acceso a la información plural y oportuna, así como a buscar recibir y difundir información e ideas de toda índole por cualquier medio de expresión.</w:t>
      </w:r>
    </w:p>
    <w:p w:rsidR="00443012" w:rsidRPr="00FD7BBB" w:rsidRDefault="00443012" w:rsidP="00443012">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w:t>
      </w:r>
    </w:p>
    <w:p w:rsidR="00443012" w:rsidRPr="00FD7BBB" w:rsidRDefault="00443012" w:rsidP="00443012">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El derecho a la información será garantizado por el Estado. La ley establecerá las previsiones que permitan asegurar la protección, el respeto y la difusión de este derecho.</w:t>
      </w:r>
    </w:p>
    <w:p w:rsidR="00443012" w:rsidRPr="00FD7BBB" w:rsidRDefault="00443012" w:rsidP="00443012">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443012" w:rsidRPr="00FD7BBB" w:rsidRDefault="00443012" w:rsidP="00443012">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III. Toda persona, sin necesidad de acreditar interés alguno o justificar su utilización, tendrá acceso gratuito a la información pública, a sus datos personales o a la rectificación de éstos;</w:t>
      </w:r>
    </w:p>
    <w:p w:rsidR="00443012" w:rsidRPr="00FD7BBB" w:rsidRDefault="00443012" w:rsidP="00443012">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w:t>
      </w:r>
    </w:p>
    <w:p w:rsidR="00443012" w:rsidRPr="00FD7BBB" w:rsidRDefault="00443012" w:rsidP="00443012">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lastRenderedPageBreak/>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FD7BBB">
        <w:rPr>
          <w:rFonts w:ascii="Palatino Linotype" w:eastAsia="Palatino Linotype" w:hAnsi="Palatino Linotype" w:cs="Palatino Linotype"/>
          <w:sz w:val="22"/>
          <w:lang w:val="es-MX" w:eastAsia="es-MX"/>
        </w:rPr>
        <w:t>(Sic)</w:t>
      </w:r>
    </w:p>
    <w:p w:rsidR="00443012" w:rsidRPr="00FD7BBB" w:rsidRDefault="00443012" w:rsidP="00443012">
      <w:pPr>
        <w:ind w:left="1134" w:right="900"/>
        <w:jc w:val="both"/>
        <w:rPr>
          <w:rFonts w:ascii="Palatino Linotype" w:eastAsia="Palatino Linotype" w:hAnsi="Palatino Linotype" w:cs="Palatino Linotype"/>
          <w:i/>
          <w:sz w:val="22"/>
          <w:lang w:val="es-MX" w:eastAsia="es-MX"/>
        </w:rPr>
      </w:pPr>
    </w:p>
    <w:p w:rsidR="00443012" w:rsidRPr="000E6450" w:rsidRDefault="00443012" w:rsidP="00443012">
      <w:pPr>
        <w:pStyle w:val="Prrafodelista"/>
        <w:numPr>
          <w:ilvl w:val="0"/>
          <w:numId w:val="1"/>
        </w:numPr>
        <w:spacing w:line="360" w:lineRule="auto"/>
        <w:ind w:left="0" w:firstLine="0"/>
        <w:jc w:val="both"/>
        <w:rPr>
          <w:rFonts w:ascii="Palatino Linotype" w:eastAsia="Calibri" w:hAnsi="Palatino Linotype" w:cs="Arial"/>
        </w:rPr>
      </w:pPr>
      <w:r w:rsidRPr="000E6450">
        <w:rPr>
          <w:rFonts w:ascii="Palatino Linotype" w:eastAsia="Calibri" w:hAnsi="Palatino Linotype" w:cs="Arial"/>
        </w:rPr>
        <w:t>Por otra parte, del contenido del artículo 1 de la Constitución Política de los Estados Unidos mexicanos, se destaca lo siguiente:</w:t>
      </w:r>
    </w:p>
    <w:p w:rsidR="00443012" w:rsidRPr="00FD7BBB" w:rsidRDefault="00443012" w:rsidP="00443012">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w:t>
      </w:r>
      <w:r w:rsidRPr="00FD7BBB">
        <w:rPr>
          <w:rFonts w:ascii="Palatino Linotype" w:eastAsia="Palatino Linotype" w:hAnsi="Palatino Linotype" w:cs="Palatino Linotype"/>
          <w:b/>
          <w:i/>
          <w:sz w:val="22"/>
          <w:lang w:val="es-MX" w:eastAsia="es-MX"/>
        </w:rPr>
        <w:t>Artículo 1</w:t>
      </w:r>
      <w:r w:rsidRPr="00FD7BBB">
        <w:rPr>
          <w:rFonts w:ascii="Palatino Linotype" w:eastAsia="Palatino Linotype" w:hAnsi="Palatino Linotype" w:cs="Palatino Linotype"/>
          <w:i/>
          <w:sz w:val="22"/>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443012" w:rsidRPr="00FD7BBB" w:rsidRDefault="00443012" w:rsidP="00443012">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Las normas relativas a los derechos humanos se interpretarán de conformidad con esta Constitución y con los tratados internacionales de la materia favoreciendo en todo tiempo a las personas la protección más amplia.</w:t>
      </w:r>
    </w:p>
    <w:p w:rsidR="00443012" w:rsidRPr="00FD7BBB" w:rsidRDefault="00443012" w:rsidP="00443012">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443012" w:rsidRPr="000E6450" w:rsidRDefault="00443012" w:rsidP="00443012">
      <w:pPr>
        <w:spacing w:line="360" w:lineRule="auto"/>
        <w:ind w:left="426" w:right="474"/>
        <w:jc w:val="both"/>
        <w:rPr>
          <w:rFonts w:ascii="Palatino Linotype" w:eastAsia="Palatino Linotype" w:hAnsi="Palatino Linotype" w:cs="Palatino Linotype"/>
          <w:i/>
          <w:lang w:val="es-MX" w:eastAsia="es-MX"/>
        </w:rPr>
      </w:pPr>
    </w:p>
    <w:p w:rsidR="00443012" w:rsidRPr="000E6450" w:rsidRDefault="00443012" w:rsidP="00443012">
      <w:pPr>
        <w:numPr>
          <w:ilvl w:val="0"/>
          <w:numId w:val="1"/>
        </w:numPr>
        <w:spacing w:line="360" w:lineRule="auto"/>
        <w:ind w:left="0" w:firstLine="0"/>
        <w:jc w:val="both"/>
        <w:rPr>
          <w:rFonts w:ascii="Palatino Linotype" w:eastAsia="Calibri" w:hAnsi="Palatino Linotype" w:cs="Arial"/>
        </w:rPr>
      </w:pPr>
      <w:r w:rsidRPr="000E6450">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0E6450">
        <w:rPr>
          <w:rFonts w:ascii="Palatino Linotype" w:eastAsia="Palatino Linotype" w:hAnsi="Palatino Linotype" w:cs="Palatino Linotype"/>
          <w:lang w:val="es-ES" w:eastAsia="en-US"/>
        </w:rPr>
        <w:t xml:space="preserve"> </w:t>
      </w:r>
      <w:r w:rsidRPr="000E6450">
        <w:rPr>
          <w:rFonts w:ascii="Palatino Linotype" w:eastAsia="Palatino Linotype" w:hAnsi="Palatino Linotype" w:cs="Palatino Linotype"/>
          <w:i/>
          <w:lang w:val="es-ES" w:eastAsia="en-US"/>
        </w:rPr>
        <w:t>derecho fundamental exime a quien lo ejerce</w:t>
      </w:r>
      <w:r w:rsidRPr="000E6450">
        <w:rPr>
          <w:rFonts w:ascii="Palatino Linotype" w:eastAsia="Palatino Linotype" w:hAnsi="Palatino Linotype" w:cs="Palatino Linotype"/>
          <w:lang w:val="es-ES" w:eastAsia="en-US"/>
        </w:rPr>
        <w:t xml:space="preserve">, </w:t>
      </w:r>
      <w:r w:rsidRPr="000E6450">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443012" w:rsidRPr="000E6450" w:rsidRDefault="00443012" w:rsidP="00443012">
      <w:pPr>
        <w:spacing w:line="360" w:lineRule="auto"/>
        <w:jc w:val="both"/>
        <w:rPr>
          <w:rFonts w:ascii="Palatino Linotype" w:eastAsia="Calibri" w:hAnsi="Palatino Linotype" w:cs="Arial"/>
        </w:rPr>
      </w:pPr>
    </w:p>
    <w:p w:rsidR="00443012" w:rsidRPr="000E6450" w:rsidRDefault="00443012" w:rsidP="00443012">
      <w:pPr>
        <w:numPr>
          <w:ilvl w:val="0"/>
          <w:numId w:val="1"/>
        </w:numPr>
        <w:spacing w:line="360" w:lineRule="auto"/>
        <w:ind w:left="0" w:firstLine="0"/>
        <w:jc w:val="both"/>
        <w:rPr>
          <w:rFonts w:ascii="Palatino Linotype" w:eastAsia="Calibri" w:hAnsi="Palatino Linotype" w:cs="Arial"/>
        </w:rPr>
      </w:pPr>
      <w:r w:rsidRPr="000E6450">
        <w:rPr>
          <w:rFonts w:ascii="Palatino Linotype" w:eastAsia="Calibri" w:hAnsi="Palatino Linotype" w:cs="Arial"/>
        </w:rPr>
        <w:t xml:space="preserve">En consecuencia, dado lo expuesto y fundado con anterioridad, se estima que el requisito relativo al nombre del </w:t>
      </w:r>
      <w:r w:rsidRPr="000E6450">
        <w:rPr>
          <w:rFonts w:ascii="Palatino Linotype" w:eastAsia="Calibri" w:hAnsi="Palatino Linotype" w:cs="Arial"/>
          <w:b/>
        </w:rPr>
        <w:t>RECURRENTE</w:t>
      </w:r>
      <w:r w:rsidRPr="000E6450">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443012" w:rsidRPr="000E6450" w:rsidRDefault="00443012" w:rsidP="00443012">
      <w:pPr>
        <w:rPr>
          <w:rFonts w:ascii="Palatino Linotype" w:eastAsia="Calibri" w:hAnsi="Palatino Linotype" w:cs="Arial"/>
        </w:rPr>
      </w:pPr>
    </w:p>
    <w:p w:rsidR="00443012" w:rsidRPr="000E6450" w:rsidRDefault="00443012" w:rsidP="00443012">
      <w:pPr>
        <w:numPr>
          <w:ilvl w:val="0"/>
          <w:numId w:val="1"/>
        </w:numPr>
        <w:spacing w:line="360" w:lineRule="auto"/>
        <w:ind w:left="0" w:firstLine="0"/>
        <w:contextualSpacing/>
        <w:jc w:val="both"/>
        <w:rPr>
          <w:rFonts w:ascii="Palatino Linotype" w:eastAsia="Calibri" w:hAnsi="Palatino Linotype" w:cs="Arial"/>
        </w:rPr>
      </w:pPr>
      <w:r w:rsidRPr="000E6450">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443012" w:rsidRPr="000E6450" w:rsidRDefault="00443012" w:rsidP="00443012">
      <w:pPr>
        <w:pStyle w:val="Prrafodelista"/>
        <w:spacing w:line="360" w:lineRule="auto"/>
        <w:ind w:left="0"/>
        <w:jc w:val="both"/>
        <w:rPr>
          <w:rFonts w:ascii="Palatino Linotype" w:hAnsi="Palatino Linotype"/>
          <w:color w:val="000000" w:themeColor="text1"/>
        </w:rPr>
      </w:pPr>
    </w:p>
    <w:p w:rsidR="00443012" w:rsidRPr="000E6450" w:rsidRDefault="00443012" w:rsidP="00443012">
      <w:pPr>
        <w:pStyle w:val="Ttulo1"/>
        <w:spacing w:before="0" w:line="360" w:lineRule="auto"/>
        <w:rPr>
          <w:rFonts w:ascii="Palatino Linotype" w:hAnsi="Palatino Linotype"/>
          <w:b/>
          <w:color w:val="000000" w:themeColor="text1"/>
          <w:sz w:val="24"/>
          <w:szCs w:val="24"/>
        </w:rPr>
      </w:pPr>
      <w:bookmarkStart w:id="140" w:name="_Toc34246179"/>
      <w:bookmarkStart w:id="141" w:name="_Toc50033991"/>
      <w:bookmarkStart w:id="142" w:name="_Toc51259588"/>
      <w:bookmarkStart w:id="143" w:name="_Toc83128581"/>
      <w:r w:rsidRPr="000E6450">
        <w:rPr>
          <w:rFonts w:ascii="Palatino Linotype" w:hAnsi="Palatino Linotype"/>
          <w:b/>
          <w:color w:val="000000" w:themeColor="text1"/>
          <w:sz w:val="24"/>
          <w:szCs w:val="24"/>
        </w:rPr>
        <w:t xml:space="preserve">TERCERO. </w:t>
      </w:r>
      <w:bookmarkStart w:id="144" w:name="_Toc501021589"/>
      <w:r w:rsidRPr="000E6450">
        <w:rPr>
          <w:rFonts w:ascii="Palatino Linotype" w:hAnsi="Palatino Linotype"/>
          <w:b/>
          <w:color w:val="000000" w:themeColor="text1"/>
          <w:sz w:val="24"/>
          <w:szCs w:val="24"/>
        </w:rPr>
        <w:t>De las causales de sobreseimiento.</w:t>
      </w:r>
      <w:bookmarkEnd w:id="140"/>
      <w:bookmarkEnd w:id="141"/>
      <w:bookmarkEnd w:id="142"/>
      <w:bookmarkEnd w:id="143"/>
      <w:bookmarkEnd w:id="144"/>
    </w:p>
    <w:p w:rsidR="00443012" w:rsidRPr="000E6450" w:rsidRDefault="00443012" w:rsidP="00443012"/>
    <w:p w:rsidR="00443012" w:rsidRPr="000E6450" w:rsidRDefault="00443012" w:rsidP="00443012">
      <w:pPr>
        <w:numPr>
          <w:ilvl w:val="0"/>
          <w:numId w:val="1"/>
        </w:numPr>
        <w:spacing w:line="360" w:lineRule="auto"/>
        <w:ind w:left="0" w:firstLine="0"/>
        <w:contextualSpacing/>
        <w:jc w:val="both"/>
        <w:rPr>
          <w:rFonts w:ascii="Palatino Linotype" w:eastAsia="Calibri" w:hAnsi="Palatino Linotype" w:cs="Arial"/>
        </w:rPr>
      </w:pPr>
      <w:r w:rsidRPr="000E6450">
        <w:rPr>
          <w:rFonts w:ascii="Palatino Linotype" w:eastAsia="Calibri" w:hAnsi="Palatino Linotype" w:cs="Arial"/>
        </w:rPr>
        <w:t xml:space="preserve">Este Instituto, realiza el estudio de las cuales de improcedencia, en el entendido de que las mismas deben ser analizadas sea que las hayan hecho valer o </w:t>
      </w:r>
      <w:r w:rsidRPr="000E6450">
        <w:rPr>
          <w:rFonts w:ascii="Palatino Linotype" w:eastAsia="Calibri" w:hAnsi="Palatino Linotype" w:cs="Arial"/>
        </w:rPr>
        <w:lastRenderedPageBreak/>
        <w:t>no las partes, por tratarse de una cuestión de orden público y de estudio preferente, atento a lo establecido por la Jurisprudencia número 940, publicada en la página 1538 de la Segunda Parte del Apéndice del Semanario Judicial de la Federación 1917-1918 que a la letra señala:</w:t>
      </w:r>
    </w:p>
    <w:p w:rsidR="00443012" w:rsidRDefault="00443012" w:rsidP="00443012">
      <w:pPr>
        <w:pBdr>
          <w:top w:val="nil"/>
          <w:left w:val="nil"/>
          <w:bottom w:val="nil"/>
          <w:right w:val="nil"/>
          <w:between w:val="nil"/>
        </w:pBdr>
        <w:spacing w:before="240" w:after="240"/>
        <w:ind w:left="567" w:right="616"/>
        <w:jc w:val="both"/>
        <w:rPr>
          <w:rFonts w:ascii="Palatino Linotype" w:eastAsia="Palatino Linotype" w:hAnsi="Palatino Linotype" w:cs="Palatino Linotype"/>
          <w:i/>
          <w:color w:val="000000"/>
          <w:lang w:val="es-ES"/>
        </w:rPr>
      </w:pPr>
      <w:r w:rsidRPr="000E6450">
        <w:rPr>
          <w:rFonts w:ascii="Palatino Linotype" w:eastAsia="Palatino Linotype" w:hAnsi="Palatino Linotype" w:cs="Palatino Linotype"/>
          <w:i/>
          <w:color w:val="000000"/>
          <w:lang w:val="es-ES"/>
        </w:rPr>
        <w:t>“Improcedencia: Sea que las partes la aleguen o no, debe examinarse previamente la procedencia del juicio de amparo, por ser cuestión de orden público en el juicio de garantías.”(Sic)</w:t>
      </w:r>
    </w:p>
    <w:p w:rsidR="00443012" w:rsidRPr="000E6450" w:rsidRDefault="00443012" w:rsidP="00443012">
      <w:pPr>
        <w:pBdr>
          <w:top w:val="nil"/>
          <w:left w:val="nil"/>
          <w:bottom w:val="nil"/>
          <w:right w:val="nil"/>
          <w:between w:val="nil"/>
        </w:pBdr>
        <w:spacing w:before="240" w:after="240"/>
        <w:ind w:left="567" w:right="616"/>
        <w:jc w:val="both"/>
        <w:rPr>
          <w:rFonts w:ascii="Times New Roman" w:eastAsia="Times New Roman" w:hAnsi="Times New Roman" w:cs="Times New Roman"/>
          <w:color w:val="000000"/>
          <w:lang w:val="es-ES"/>
        </w:rPr>
      </w:pPr>
    </w:p>
    <w:p w:rsidR="00443012" w:rsidRPr="000E6450" w:rsidRDefault="00443012" w:rsidP="00443012">
      <w:pPr>
        <w:numPr>
          <w:ilvl w:val="0"/>
          <w:numId w:val="1"/>
        </w:numPr>
        <w:spacing w:line="360" w:lineRule="auto"/>
        <w:ind w:left="0" w:firstLine="0"/>
        <w:contextualSpacing/>
        <w:jc w:val="both"/>
        <w:rPr>
          <w:rFonts w:ascii="Palatino Linotype" w:eastAsia="Calibri" w:hAnsi="Palatino Linotype" w:cs="Arial"/>
        </w:rPr>
      </w:pPr>
      <w:r w:rsidRPr="000E6450">
        <w:rPr>
          <w:rFonts w:ascii="Palatino Linotype" w:eastAsia="Calibri" w:hAnsi="Palatino Linotype" w:cs="Arial"/>
        </w:rPr>
        <w:t>Por su parte los artículos 186, 191 y 192 de la Ley en cita, disponen lo siguiente:</w:t>
      </w:r>
    </w:p>
    <w:p w:rsidR="00443012" w:rsidRPr="003E5266" w:rsidRDefault="00443012" w:rsidP="00443012">
      <w:pPr>
        <w:pBdr>
          <w:top w:val="nil"/>
          <w:left w:val="nil"/>
          <w:bottom w:val="nil"/>
          <w:right w:val="nil"/>
          <w:between w:val="nil"/>
        </w:pBdr>
        <w:spacing w:before="240" w:after="240"/>
        <w:ind w:left="1134" w:right="900"/>
        <w:jc w:val="both"/>
        <w:rPr>
          <w:rFonts w:ascii="Times New Roman" w:eastAsia="Times New Roman" w:hAnsi="Times New Roman" w:cs="Times New Roman"/>
          <w:color w:val="000000"/>
          <w:sz w:val="22"/>
          <w:lang w:val="es-ES"/>
        </w:rPr>
      </w:pPr>
      <w:r w:rsidRPr="003E5266">
        <w:rPr>
          <w:rFonts w:ascii="Palatino Linotype" w:eastAsia="Palatino Linotype" w:hAnsi="Palatino Linotype" w:cs="Palatino Linotype"/>
          <w:i/>
          <w:color w:val="000000"/>
          <w:sz w:val="22"/>
          <w:lang w:val="es-ES"/>
        </w:rPr>
        <w:t>“Artículo 186. Las resoluciones del Instituto podrán:</w:t>
      </w:r>
    </w:p>
    <w:p w:rsidR="00443012" w:rsidRPr="003E5266" w:rsidRDefault="00443012" w:rsidP="00443012">
      <w:pPr>
        <w:pBdr>
          <w:top w:val="nil"/>
          <w:left w:val="nil"/>
          <w:bottom w:val="nil"/>
          <w:right w:val="nil"/>
          <w:between w:val="nil"/>
        </w:pBdr>
        <w:spacing w:before="240"/>
        <w:ind w:left="1134" w:right="900"/>
        <w:jc w:val="both"/>
        <w:rPr>
          <w:rFonts w:ascii="Times New Roman" w:eastAsia="Times New Roman" w:hAnsi="Times New Roman" w:cs="Times New Roman"/>
          <w:color w:val="000000"/>
          <w:sz w:val="22"/>
          <w:lang w:val="es-ES"/>
        </w:rPr>
      </w:pPr>
      <w:r w:rsidRPr="003E5266">
        <w:rPr>
          <w:rFonts w:ascii="Palatino Linotype" w:eastAsia="Palatino Linotype" w:hAnsi="Palatino Linotype" w:cs="Palatino Linotype"/>
          <w:b/>
          <w:i/>
          <w:color w:val="000000"/>
          <w:sz w:val="22"/>
          <w:lang w:val="es-ES"/>
        </w:rPr>
        <w:t>I. Desechar o sobreseer el recurso;</w:t>
      </w:r>
    </w:p>
    <w:p w:rsidR="00443012" w:rsidRPr="003E5266" w:rsidRDefault="00443012" w:rsidP="00443012">
      <w:pPr>
        <w:pBdr>
          <w:top w:val="nil"/>
          <w:left w:val="nil"/>
          <w:bottom w:val="nil"/>
          <w:right w:val="nil"/>
          <w:between w:val="nil"/>
        </w:pBdr>
        <w:ind w:left="1134" w:right="900"/>
        <w:jc w:val="both"/>
        <w:rPr>
          <w:rFonts w:ascii="Times New Roman" w:eastAsia="Times New Roman" w:hAnsi="Times New Roman" w:cs="Times New Roman"/>
          <w:color w:val="000000"/>
          <w:sz w:val="22"/>
          <w:lang w:val="es-ES"/>
        </w:rPr>
      </w:pPr>
      <w:r w:rsidRPr="003E5266">
        <w:rPr>
          <w:rFonts w:ascii="Palatino Linotype" w:eastAsia="Palatino Linotype" w:hAnsi="Palatino Linotype" w:cs="Palatino Linotype"/>
          <w:i/>
          <w:color w:val="000000"/>
          <w:sz w:val="22"/>
          <w:lang w:val="es-ES"/>
        </w:rPr>
        <w:t>II. Confirmar la respuesta del sujeto obligado;</w:t>
      </w:r>
    </w:p>
    <w:p w:rsidR="00443012" w:rsidRPr="003E5266" w:rsidRDefault="00443012" w:rsidP="00443012">
      <w:pPr>
        <w:pBdr>
          <w:top w:val="nil"/>
          <w:left w:val="nil"/>
          <w:bottom w:val="nil"/>
          <w:right w:val="nil"/>
          <w:between w:val="nil"/>
        </w:pBdr>
        <w:ind w:left="1134" w:right="900"/>
        <w:jc w:val="both"/>
        <w:rPr>
          <w:rFonts w:ascii="Times New Roman" w:eastAsia="Times New Roman" w:hAnsi="Times New Roman" w:cs="Times New Roman"/>
          <w:color w:val="000000"/>
          <w:sz w:val="22"/>
          <w:lang w:val="es-ES"/>
        </w:rPr>
      </w:pPr>
      <w:r w:rsidRPr="003E5266">
        <w:rPr>
          <w:rFonts w:ascii="Palatino Linotype" w:eastAsia="Palatino Linotype" w:hAnsi="Palatino Linotype" w:cs="Palatino Linotype"/>
          <w:i/>
          <w:color w:val="000000"/>
          <w:sz w:val="22"/>
          <w:lang w:val="es-ES"/>
        </w:rPr>
        <w:t>III. Revocar o modificar la respuesta del sujeto obligado; y</w:t>
      </w:r>
    </w:p>
    <w:p w:rsidR="00443012" w:rsidRPr="003E5266" w:rsidRDefault="00443012" w:rsidP="00443012">
      <w:pPr>
        <w:pBdr>
          <w:top w:val="nil"/>
          <w:left w:val="nil"/>
          <w:bottom w:val="nil"/>
          <w:right w:val="nil"/>
          <w:between w:val="nil"/>
        </w:pBdr>
        <w:ind w:left="1134" w:right="900"/>
        <w:jc w:val="both"/>
        <w:rPr>
          <w:rFonts w:ascii="Palatino Linotype" w:eastAsia="Palatino Linotype" w:hAnsi="Palatino Linotype" w:cs="Palatino Linotype"/>
          <w:i/>
          <w:color w:val="000000"/>
          <w:sz w:val="22"/>
          <w:lang w:val="es-ES"/>
        </w:rPr>
      </w:pPr>
      <w:r w:rsidRPr="003E5266">
        <w:rPr>
          <w:rFonts w:ascii="Palatino Linotype" w:eastAsia="Palatino Linotype" w:hAnsi="Palatino Linotype" w:cs="Palatino Linotype"/>
          <w:i/>
          <w:color w:val="000000"/>
          <w:sz w:val="22"/>
          <w:lang w:val="es-ES"/>
        </w:rPr>
        <w:t>IV. Ordenar la entrega de la información…”</w:t>
      </w:r>
    </w:p>
    <w:p w:rsidR="00443012" w:rsidRPr="003E5266" w:rsidRDefault="00443012" w:rsidP="00443012">
      <w:pPr>
        <w:pBdr>
          <w:top w:val="nil"/>
          <w:left w:val="nil"/>
          <w:bottom w:val="nil"/>
          <w:right w:val="nil"/>
          <w:between w:val="nil"/>
        </w:pBdr>
        <w:ind w:left="1134" w:right="900"/>
        <w:jc w:val="both"/>
        <w:rPr>
          <w:rFonts w:ascii="Times New Roman" w:eastAsia="Times New Roman" w:hAnsi="Times New Roman" w:cs="Times New Roman"/>
          <w:color w:val="000000"/>
          <w:sz w:val="22"/>
          <w:lang w:val="es-ES"/>
        </w:rPr>
      </w:pPr>
    </w:p>
    <w:p w:rsidR="00443012" w:rsidRPr="003E5266" w:rsidRDefault="00443012" w:rsidP="00443012">
      <w:pPr>
        <w:pBdr>
          <w:top w:val="nil"/>
          <w:left w:val="nil"/>
          <w:bottom w:val="nil"/>
          <w:right w:val="nil"/>
          <w:between w:val="nil"/>
        </w:pBdr>
        <w:ind w:left="1134" w:right="900"/>
        <w:jc w:val="both"/>
        <w:rPr>
          <w:rFonts w:ascii="Times New Roman" w:eastAsia="Times New Roman" w:hAnsi="Times New Roman" w:cs="Times New Roman"/>
          <w:color w:val="000000"/>
          <w:sz w:val="22"/>
          <w:lang w:val="es-ES"/>
        </w:rPr>
      </w:pPr>
      <w:r w:rsidRPr="003E5266">
        <w:rPr>
          <w:rFonts w:ascii="Palatino Linotype" w:eastAsia="Palatino Linotype" w:hAnsi="Palatino Linotype" w:cs="Palatino Linotype"/>
          <w:i/>
          <w:color w:val="000000"/>
          <w:sz w:val="22"/>
          <w:lang w:val="es-ES"/>
        </w:rPr>
        <w:t xml:space="preserve"> </w:t>
      </w:r>
      <w:r w:rsidRPr="003E5266">
        <w:rPr>
          <w:rFonts w:ascii="Palatino Linotype" w:eastAsia="Palatino Linotype" w:hAnsi="Palatino Linotype" w:cs="Palatino Linotype"/>
          <w:b/>
          <w:i/>
          <w:color w:val="000000"/>
          <w:sz w:val="22"/>
          <w:lang w:val="es-ES"/>
        </w:rPr>
        <w:t>Artículo 191.</w:t>
      </w:r>
      <w:r w:rsidRPr="003E5266">
        <w:rPr>
          <w:rFonts w:ascii="Palatino Linotype" w:eastAsia="Palatino Linotype" w:hAnsi="Palatino Linotype" w:cs="Palatino Linotype"/>
          <w:i/>
          <w:color w:val="000000"/>
          <w:sz w:val="22"/>
          <w:lang w:val="es-ES"/>
        </w:rPr>
        <w:t xml:space="preserve"> El recurso será desechado por improcedente cuando:</w:t>
      </w:r>
    </w:p>
    <w:p w:rsidR="00443012" w:rsidRPr="003E5266" w:rsidRDefault="00443012" w:rsidP="00443012">
      <w:pPr>
        <w:pBdr>
          <w:top w:val="nil"/>
          <w:left w:val="nil"/>
          <w:bottom w:val="nil"/>
          <w:right w:val="nil"/>
          <w:between w:val="nil"/>
        </w:pBdr>
        <w:ind w:left="1134" w:right="900"/>
        <w:jc w:val="both"/>
        <w:rPr>
          <w:rFonts w:ascii="Times New Roman" w:eastAsia="Times New Roman" w:hAnsi="Times New Roman" w:cs="Times New Roman"/>
          <w:color w:val="000000"/>
          <w:sz w:val="22"/>
          <w:lang w:val="es-ES"/>
        </w:rPr>
      </w:pPr>
      <w:r w:rsidRPr="003E5266">
        <w:rPr>
          <w:rFonts w:ascii="Palatino Linotype" w:eastAsia="Palatino Linotype" w:hAnsi="Palatino Linotype" w:cs="Palatino Linotype"/>
          <w:i/>
          <w:color w:val="000000"/>
          <w:sz w:val="22"/>
          <w:lang w:val="es-ES"/>
        </w:rPr>
        <w:t>I. Sea extemporáneo por haber transcurrido el plazo establecido en la presente Ley, a partir de la respuesta;</w:t>
      </w:r>
    </w:p>
    <w:p w:rsidR="00443012" w:rsidRPr="003E5266" w:rsidRDefault="00443012" w:rsidP="00443012">
      <w:pPr>
        <w:pBdr>
          <w:top w:val="nil"/>
          <w:left w:val="nil"/>
          <w:bottom w:val="nil"/>
          <w:right w:val="nil"/>
          <w:between w:val="nil"/>
        </w:pBdr>
        <w:ind w:left="1134" w:right="900"/>
        <w:jc w:val="both"/>
        <w:rPr>
          <w:rFonts w:ascii="Times New Roman" w:eastAsia="Times New Roman" w:hAnsi="Times New Roman" w:cs="Times New Roman"/>
          <w:color w:val="000000"/>
          <w:sz w:val="22"/>
          <w:lang w:val="es-ES"/>
        </w:rPr>
      </w:pPr>
      <w:r w:rsidRPr="003E5266">
        <w:rPr>
          <w:rFonts w:ascii="Palatino Linotype" w:eastAsia="Palatino Linotype" w:hAnsi="Palatino Linotype" w:cs="Palatino Linotype"/>
          <w:i/>
          <w:color w:val="000000"/>
          <w:sz w:val="22"/>
          <w:lang w:val="es-ES"/>
        </w:rPr>
        <w:t>II. Se esté tramitando ante el Poder Judicial de la Federación algún recurso o medio de defensa interpuesto por el recurrente;</w:t>
      </w:r>
    </w:p>
    <w:p w:rsidR="00443012" w:rsidRPr="003E5266" w:rsidRDefault="00443012" w:rsidP="00443012">
      <w:pPr>
        <w:pBdr>
          <w:top w:val="nil"/>
          <w:left w:val="nil"/>
          <w:bottom w:val="nil"/>
          <w:right w:val="nil"/>
          <w:between w:val="nil"/>
        </w:pBdr>
        <w:ind w:left="1134" w:right="900"/>
        <w:jc w:val="both"/>
        <w:rPr>
          <w:rFonts w:ascii="Times New Roman" w:eastAsia="Times New Roman" w:hAnsi="Times New Roman" w:cs="Times New Roman"/>
          <w:color w:val="000000"/>
          <w:sz w:val="22"/>
          <w:lang w:val="es-ES"/>
        </w:rPr>
      </w:pPr>
      <w:r w:rsidRPr="003E5266">
        <w:rPr>
          <w:rFonts w:ascii="Palatino Linotype" w:eastAsia="Palatino Linotype" w:hAnsi="Palatino Linotype" w:cs="Palatino Linotype"/>
          <w:i/>
          <w:color w:val="000000"/>
          <w:sz w:val="22"/>
          <w:lang w:val="es-ES"/>
        </w:rPr>
        <w:t>III. No actualice alguno de los supuestos previstos en la presente Ley;</w:t>
      </w:r>
    </w:p>
    <w:p w:rsidR="00443012" w:rsidRPr="003E5266" w:rsidRDefault="00443012" w:rsidP="00443012">
      <w:pPr>
        <w:pBdr>
          <w:top w:val="nil"/>
          <w:left w:val="nil"/>
          <w:bottom w:val="nil"/>
          <w:right w:val="nil"/>
          <w:between w:val="nil"/>
        </w:pBdr>
        <w:ind w:left="1134" w:right="900"/>
        <w:jc w:val="both"/>
        <w:rPr>
          <w:rFonts w:ascii="Times New Roman" w:eastAsia="Times New Roman" w:hAnsi="Times New Roman" w:cs="Times New Roman"/>
          <w:color w:val="000000"/>
          <w:sz w:val="22"/>
          <w:lang w:val="es-ES"/>
        </w:rPr>
      </w:pPr>
      <w:r w:rsidRPr="003E5266">
        <w:rPr>
          <w:rFonts w:ascii="Palatino Linotype" w:eastAsia="Palatino Linotype" w:hAnsi="Palatino Linotype" w:cs="Palatino Linotype"/>
          <w:i/>
          <w:color w:val="000000"/>
          <w:sz w:val="22"/>
          <w:lang w:val="es-ES"/>
        </w:rPr>
        <w:t>IV. No se haya desahogado la prevención en los términos establecidos en la presente Ley;</w:t>
      </w:r>
    </w:p>
    <w:p w:rsidR="00443012" w:rsidRPr="003E5266" w:rsidRDefault="00443012" w:rsidP="00443012">
      <w:pPr>
        <w:pBdr>
          <w:top w:val="nil"/>
          <w:left w:val="nil"/>
          <w:bottom w:val="nil"/>
          <w:right w:val="nil"/>
          <w:between w:val="nil"/>
        </w:pBdr>
        <w:ind w:left="1134" w:right="900"/>
        <w:jc w:val="both"/>
        <w:rPr>
          <w:rFonts w:ascii="Times New Roman" w:eastAsia="Times New Roman" w:hAnsi="Times New Roman" w:cs="Times New Roman"/>
          <w:color w:val="000000"/>
          <w:sz w:val="22"/>
          <w:lang w:val="es-ES"/>
        </w:rPr>
      </w:pPr>
      <w:r w:rsidRPr="003E5266">
        <w:rPr>
          <w:rFonts w:ascii="Palatino Linotype" w:eastAsia="Palatino Linotype" w:hAnsi="Palatino Linotype" w:cs="Palatino Linotype"/>
          <w:i/>
          <w:color w:val="000000"/>
          <w:sz w:val="22"/>
          <w:lang w:val="es-ES"/>
        </w:rPr>
        <w:t>V. Se impugne la veracidad de la información proporcionada;</w:t>
      </w:r>
    </w:p>
    <w:p w:rsidR="00443012" w:rsidRPr="003E5266" w:rsidRDefault="00443012" w:rsidP="00443012">
      <w:pPr>
        <w:pBdr>
          <w:top w:val="nil"/>
          <w:left w:val="nil"/>
          <w:bottom w:val="nil"/>
          <w:right w:val="nil"/>
          <w:between w:val="nil"/>
        </w:pBdr>
        <w:ind w:left="1134" w:right="900"/>
        <w:jc w:val="both"/>
        <w:rPr>
          <w:rFonts w:ascii="Times New Roman" w:eastAsia="Times New Roman" w:hAnsi="Times New Roman" w:cs="Times New Roman"/>
          <w:color w:val="000000"/>
          <w:sz w:val="22"/>
          <w:lang w:val="es-ES"/>
        </w:rPr>
      </w:pPr>
      <w:r w:rsidRPr="003E5266">
        <w:rPr>
          <w:rFonts w:ascii="Palatino Linotype" w:eastAsia="Palatino Linotype" w:hAnsi="Palatino Linotype" w:cs="Palatino Linotype"/>
          <w:b/>
          <w:i/>
          <w:color w:val="000000"/>
          <w:sz w:val="22"/>
          <w:u w:val="single"/>
          <w:lang w:val="es-ES"/>
        </w:rPr>
        <w:t>VI. Se trate de una consulta</w:t>
      </w:r>
      <w:r w:rsidRPr="003E5266">
        <w:rPr>
          <w:rFonts w:ascii="Palatino Linotype" w:eastAsia="Palatino Linotype" w:hAnsi="Palatino Linotype" w:cs="Palatino Linotype"/>
          <w:b/>
          <w:i/>
          <w:color w:val="000000"/>
          <w:sz w:val="22"/>
          <w:lang w:val="es-ES"/>
        </w:rPr>
        <w:t xml:space="preserve">, </w:t>
      </w:r>
      <w:r w:rsidRPr="003E5266">
        <w:rPr>
          <w:rFonts w:ascii="Palatino Linotype" w:eastAsia="Palatino Linotype" w:hAnsi="Palatino Linotype" w:cs="Palatino Linotype"/>
          <w:i/>
          <w:color w:val="000000"/>
          <w:sz w:val="22"/>
          <w:lang w:val="es-ES"/>
        </w:rPr>
        <w:t>o trámite en específico; y</w:t>
      </w:r>
    </w:p>
    <w:p w:rsidR="00443012" w:rsidRPr="003E5266" w:rsidRDefault="00443012" w:rsidP="00443012">
      <w:pPr>
        <w:pBdr>
          <w:top w:val="nil"/>
          <w:left w:val="nil"/>
          <w:bottom w:val="nil"/>
          <w:right w:val="nil"/>
          <w:between w:val="nil"/>
        </w:pBdr>
        <w:ind w:left="1134" w:right="900"/>
        <w:jc w:val="both"/>
        <w:rPr>
          <w:rFonts w:ascii="Times New Roman" w:eastAsia="Times New Roman" w:hAnsi="Times New Roman" w:cs="Times New Roman"/>
          <w:color w:val="000000"/>
          <w:sz w:val="22"/>
          <w:lang w:val="es-ES"/>
        </w:rPr>
      </w:pPr>
      <w:r w:rsidRPr="003E5266">
        <w:rPr>
          <w:rFonts w:ascii="Palatino Linotype" w:eastAsia="Palatino Linotype" w:hAnsi="Palatino Linotype" w:cs="Palatino Linotype"/>
          <w:i/>
          <w:color w:val="000000"/>
          <w:sz w:val="22"/>
          <w:lang w:val="es-ES"/>
        </w:rPr>
        <w:t>VII. El recurrente amplíe su solicitud en el recurso de revisión, únicamente respecto de los nuevos contenidos.”</w:t>
      </w:r>
    </w:p>
    <w:p w:rsidR="00443012" w:rsidRPr="003E5266" w:rsidRDefault="00443012" w:rsidP="00443012">
      <w:pPr>
        <w:pBdr>
          <w:top w:val="nil"/>
          <w:left w:val="nil"/>
          <w:bottom w:val="nil"/>
          <w:right w:val="nil"/>
          <w:between w:val="nil"/>
        </w:pBdr>
        <w:ind w:left="1134" w:right="900"/>
        <w:jc w:val="both"/>
        <w:rPr>
          <w:rFonts w:ascii="Palatino Linotype" w:eastAsia="Palatino Linotype" w:hAnsi="Palatino Linotype" w:cs="Palatino Linotype"/>
          <w:i/>
          <w:color w:val="000000"/>
          <w:sz w:val="22"/>
          <w:lang w:val="es-ES"/>
        </w:rPr>
      </w:pPr>
    </w:p>
    <w:p w:rsidR="00443012" w:rsidRPr="003E5266" w:rsidRDefault="00443012" w:rsidP="00443012">
      <w:pPr>
        <w:pBdr>
          <w:top w:val="nil"/>
          <w:left w:val="nil"/>
          <w:bottom w:val="nil"/>
          <w:right w:val="nil"/>
          <w:between w:val="nil"/>
        </w:pBdr>
        <w:ind w:left="1134" w:right="900"/>
        <w:jc w:val="both"/>
        <w:rPr>
          <w:rFonts w:ascii="Times New Roman" w:eastAsia="Times New Roman" w:hAnsi="Times New Roman" w:cs="Times New Roman"/>
          <w:color w:val="000000"/>
          <w:sz w:val="22"/>
          <w:lang w:val="es-ES"/>
        </w:rPr>
      </w:pPr>
      <w:r w:rsidRPr="003E5266">
        <w:rPr>
          <w:rFonts w:ascii="Palatino Linotype" w:eastAsia="Palatino Linotype" w:hAnsi="Palatino Linotype" w:cs="Palatino Linotype"/>
          <w:b/>
          <w:i/>
          <w:color w:val="000000"/>
          <w:sz w:val="22"/>
          <w:lang w:val="es-ES"/>
        </w:rPr>
        <w:t>“Artículo 192.</w:t>
      </w:r>
      <w:r w:rsidRPr="003E5266">
        <w:rPr>
          <w:rFonts w:ascii="Palatino Linotype" w:eastAsia="Palatino Linotype" w:hAnsi="Palatino Linotype" w:cs="Palatino Linotype"/>
          <w:i/>
          <w:color w:val="000000"/>
          <w:sz w:val="22"/>
          <w:lang w:val="es-ES"/>
        </w:rPr>
        <w:t xml:space="preserve"> El recurso será sobreseído, en todo o en parte, cuando una vez admitido, se actualicen alguno de los siguientes supuestos:</w:t>
      </w:r>
    </w:p>
    <w:p w:rsidR="00443012" w:rsidRPr="003E5266" w:rsidRDefault="00443012" w:rsidP="00443012">
      <w:pPr>
        <w:pBdr>
          <w:top w:val="nil"/>
          <w:left w:val="nil"/>
          <w:bottom w:val="nil"/>
          <w:right w:val="nil"/>
          <w:between w:val="nil"/>
        </w:pBdr>
        <w:ind w:left="1134" w:right="900"/>
        <w:jc w:val="both"/>
        <w:rPr>
          <w:rFonts w:ascii="Times New Roman" w:eastAsia="Times New Roman" w:hAnsi="Times New Roman" w:cs="Times New Roman"/>
          <w:color w:val="000000"/>
          <w:sz w:val="22"/>
          <w:lang w:val="es-ES"/>
        </w:rPr>
      </w:pPr>
      <w:r w:rsidRPr="003E5266">
        <w:rPr>
          <w:rFonts w:ascii="Palatino Linotype" w:eastAsia="Palatino Linotype" w:hAnsi="Palatino Linotype" w:cs="Palatino Linotype"/>
          <w:i/>
          <w:color w:val="000000"/>
          <w:sz w:val="22"/>
          <w:lang w:val="es-ES"/>
        </w:rPr>
        <w:lastRenderedPageBreak/>
        <w:t>I. El recurrente se desista expresamente del recurso;</w:t>
      </w:r>
    </w:p>
    <w:p w:rsidR="00443012" w:rsidRPr="003E5266" w:rsidRDefault="00443012" w:rsidP="00443012">
      <w:pPr>
        <w:pBdr>
          <w:top w:val="nil"/>
          <w:left w:val="nil"/>
          <w:bottom w:val="nil"/>
          <w:right w:val="nil"/>
          <w:between w:val="nil"/>
        </w:pBdr>
        <w:ind w:left="1134" w:right="900"/>
        <w:jc w:val="both"/>
        <w:rPr>
          <w:rFonts w:ascii="Times New Roman" w:eastAsia="Times New Roman" w:hAnsi="Times New Roman" w:cs="Times New Roman"/>
          <w:color w:val="000000"/>
          <w:sz w:val="22"/>
          <w:lang w:val="es-ES"/>
        </w:rPr>
      </w:pPr>
      <w:r w:rsidRPr="003E5266">
        <w:rPr>
          <w:rFonts w:ascii="Palatino Linotype" w:eastAsia="Palatino Linotype" w:hAnsi="Palatino Linotype" w:cs="Palatino Linotype"/>
          <w:i/>
          <w:color w:val="000000"/>
          <w:sz w:val="22"/>
          <w:lang w:val="es-ES"/>
        </w:rPr>
        <w:t>II. El recurrente fallezca o, tratándose de personas jurídicas colectivas, se disuelva;</w:t>
      </w:r>
    </w:p>
    <w:p w:rsidR="00443012" w:rsidRPr="003E5266" w:rsidRDefault="00443012" w:rsidP="00443012">
      <w:pPr>
        <w:pBdr>
          <w:top w:val="nil"/>
          <w:left w:val="nil"/>
          <w:bottom w:val="nil"/>
          <w:right w:val="nil"/>
          <w:between w:val="nil"/>
        </w:pBdr>
        <w:ind w:left="1134" w:right="900"/>
        <w:jc w:val="both"/>
        <w:rPr>
          <w:rFonts w:ascii="Times New Roman" w:eastAsia="Times New Roman" w:hAnsi="Times New Roman" w:cs="Times New Roman"/>
          <w:color w:val="000000"/>
          <w:sz w:val="22"/>
          <w:lang w:val="es-ES"/>
        </w:rPr>
      </w:pPr>
      <w:r w:rsidRPr="003E5266">
        <w:rPr>
          <w:rFonts w:ascii="Palatino Linotype" w:eastAsia="Palatino Linotype" w:hAnsi="Palatino Linotype" w:cs="Palatino Linotype"/>
          <w:i/>
          <w:color w:val="000000"/>
          <w:sz w:val="22"/>
          <w:lang w:val="es-ES"/>
        </w:rPr>
        <w:t>III. El sujeto obligado responsable del acto lo modifique o revoque de tal manera que el recurso de revisión quede sin materia;</w:t>
      </w:r>
    </w:p>
    <w:p w:rsidR="00443012" w:rsidRPr="003E5266" w:rsidRDefault="00443012" w:rsidP="00443012">
      <w:pPr>
        <w:pBdr>
          <w:top w:val="nil"/>
          <w:left w:val="nil"/>
          <w:bottom w:val="nil"/>
          <w:right w:val="nil"/>
          <w:between w:val="nil"/>
        </w:pBdr>
        <w:ind w:left="1134" w:right="900"/>
        <w:jc w:val="both"/>
        <w:rPr>
          <w:rFonts w:ascii="Times New Roman" w:eastAsia="Times New Roman" w:hAnsi="Times New Roman" w:cs="Times New Roman"/>
          <w:color w:val="000000"/>
          <w:sz w:val="22"/>
          <w:lang w:val="es-ES"/>
        </w:rPr>
      </w:pPr>
      <w:r w:rsidRPr="003E5266">
        <w:rPr>
          <w:rFonts w:ascii="Palatino Linotype" w:eastAsia="Palatino Linotype" w:hAnsi="Palatino Linotype" w:cs="Palatino Linotype"/>
          <w:b/>
          <w:i/>
          <w:color w:val="000000"/>
          <w:sz w:val="22"/>
          <w:lang w:val="es-ES"/>
        </w:rPr>
        <w:t>IV. Admitido el recurso de revisión, aparezca alguna causal de improcedencia en los términos de la presente Ley; y</w:t>
      </w:r>
    </w:p>
    <w:p w:rsidR="00443012" w:rsidRPr="003E5266" w:rsidRDefault="00443012" w:rsidP="00443012">
      <w:pPr>
        <w:pBdr>
          <w:top w:val="nil"/>
          <w:left w:val="nil"/>
          <w:bottom w:val="nil"/>
          <w:right w:val="nil"/>
          <w:between w:val="nil"/>
        </w:pBdr>
        <w:ind w:left="1134" w:right="900"/>
        <w:jc w:val="both"/>
        <w:rPr>
          <w:rFonts w:ascii="Times New Roman" w:eastAsia="Times New Roman" w:hAnsi="Times New Roman" w:cs="Times New Roman"/>
          <w:color w:val="000000"/>
          <w:sz w:val="22"/>
          <w:lang w:val="es-ES"/>
        </w:rPr>
      </w:pPr>
      <w:r w:rsidRPr="003E5266">
        <w:rPr>
          <w:rFonts w:ascii="Palatino Linotype" w:eastAsia="Palatino Linotype" w:hAnsi="Palatino Linotype" w:cs="Palatino Linotype"/>
          <w:i/>
          <w:color w:val="000000"/>
          <w:sz w:val="22"/>
          <w:lang w:val="es-ES"/>
        </w:rPr>
        <w:t>V. Cuando por cualquier motivo quede sin materia el recurso.” (Sic)</w:t>
      </w:r>
    </w:p>
    <w:p w:rsidR="00443012" w:rsidRPr="000E6450" w:rsidRDefault="00443012" w:rsidP="00443012">
      <w:pPr>
        <w:pBdr>
          <w:top w:val="nil"/>
          <w:left w:val="nil"/>
          <w:bottom w:val="nil"/>
          <w:right w:val="nil"/>
          <w:between w:val="nil"/>
        </w:pBdr>
        <w:spacing w:after="240" w:line="360" w:lineRule="auto"/>
        <w:ind w:left="851" w:right="49"/>
        <w:jc w:val="both"/>
        <w:rPr>
          <w:rFonts w:ascii="Palatino Linotype" w:eastAsia="Palatino Linotype" w:hAnsi="Palatino Linotype" w:cs="Palatino Linotype"/>
          <w:color w:val="000000"/>
          <w:lang w:val="es-ES"/>
        </w:rPr>
      </w:pPr>
    </w:p>
    <w:p w:rsidR="00443012" w:rsidRPr="000E6450" w:rsidRDefault="00443012" w:rsidP="00443012">
      <w:pPr>
        <w:numPr>
          <w:ilvl w:val="0"/>
          <w:numId w:val="1"/>
        </w:numPr>
        <w:spacing w:line="360" w:lineRule="auto"/>
        <w:ind w:left="0" w:firstLine="0"/>
        <w:contextualSpacing/>
        <w:jc w:val="both"/>
        <w:rPr>
          <w:rFonts w:ascii="Palatino Linotype" w:eastAsia="Calibri" w:hAnsi="Palatino Linotype" w:cs="Arial"/>
        </w:rPr>
      </w:pPr>
      <w:r w:rsidRPr="000E6450">
        <w:rPr>
          <w:rFonts w:ascii="Palatino Linotype" w:eastAsia="Calibri" w:hAnsi="Palatino Linotype" w:cs="Arial"/>
        </w:rPr>
        <w:t>En el presente caso, se advierte que, una vez admitido el Recurso de Revisión y en su estudio a detalle, surgió la causal de improcedencia, prevista en el artículo 191 fracción VI de la Ley de Transparencia y Acceso a la Información Pública del Estado de México y Municipios</w:t>
      </w:r>
    </w:p>
    <w:p w:rsidR="00443012" w:rsidRPr="000E6450" w:rsidRDefault="00443012" w:rsidP="00443012">
      <w:pPr>
        <w:spacing w:line="360" w:lineRule="auto"/>
        <w:contextualSpacing/>
        <w:jc w:val="both"/>
        <w:rPr>
          <w:rFonts w:ascii="Palatino Linotype" w:eastAsia="Calibri" w:hAnsi="Palatino Linotype" w:cs="Arial"/>
        </w:rPr>
      </w:pPr>
    </w:p>
    <w:p w:rsidR="00443012" w:rsidRPr="000E6450" w:rsidRDefault="00443012" w:rsidP="00443012">
      <w:pPr>
        <w:numPr>
          <w:ilvl w:val="0"/>
          <w:numId w:val="1"/>
        </w:numPr>
        <w:spacing w:line="360" w:lineRule="auto"/>
        <w:ind w:left="0" w:firstLine="0"/>
        <w:contextualSpacing/>
        <w:jc w:val="both"/>
        <w:rPr>
          <w:rFonts w:ascii="Palatino Linotype" w:eastAsia="Calibri" w:hAnsi="Palatino Linotype" w:cs="Arial"/>
        </w:rPr>
      </w:pPr>
      <w:r w:rsidRPr="000E6450">
        <w:rPr>
          <w:rFonts w:ascii="Palatino Linotype" w:eastAsia="Calibri" w:hAnsi="Palatino Linotype" w:cs="Arial"/>
        </w:rPr>
        <w:t xml:space="preserve">Trayendo consigo a  lo previsto en la fracción IV del artículo 192, en razón a que al haber sido el recurso y al actualizarse una causal de improcedencia, debe ser </w:t>
      </w:r>
      <w:r w:rsidRPr="000E6450">
        <w:rPr>
          <w:rFonts w:ascii="Palatino Linotype" w:eastAsia="Calibri" w:hAnsi="Palatino Linotype" w:cs="Arial"/>
          <w:b/>
        </w:rPr>
        <w:t>sobreseído.</w:t>
      </w:r>
    </w:p>
    <w:p w:rsidR="00443012" w:rsidRPr="000E6450" w:rsidRDefault="00443012" w:rsidP="00443012">
      <w:pPr>
        <w:spacing w:line="360" w:lineRule="auto"/>
        <w:contextualSpacing/>
        <w:jc w:val="both"/>
        <w:rPr>
          <w:rFonts w:ascii="Palatino Linotype" w:eastAsia="Calibri" w:hAnsi="Palatino Linotype" w:cs="Arial"/>
        </w:rPr>
      </w:pPr>
    </w:p>
    <w:p w:rsidR="00443012" w:rsidRPr="000E6450" w:rsidRDefault="00443012" w:rsidP="00443012">
      <w:pPr>
        <w:numPr>
          <w:ilvl w:val="0"/>
          <w:numId w:val="1"/>
        </w:numPr>
        <w:spacing w:line="360" w:lineRule="auto"/>
        <w:ind w:left="0" w:firstLine="0"/>
        <w:contextualSpacing/>
        <w:jc w:val="both"/>
        <w:rPr>
          <w:rFonts w:ascii="Palatino Linotype" w:eastAsia="Calibri" w:hAnsi="Palatino Linotype" w:cs="Arial"/>
        </w:rPr>
      </w:pPr>
      <w:r w:rsidRPr="000E6450">
        <w:rPr>
          <w:rFonts w:ascii="Palatino Linotype" w:eastAsia="Calibri" w:hAnsi="Palatino Linotype" w:cs="Arial"/>
        </w:rPr>
        <w:t xml:space="preserve">En atención de lo anterior, se procede a analizar las razones por las cuales se dio lugar a la causal de sobreseimiento por consulta. </w:t>
      </w:r>
    </w:p>
    <w:p w:rsidR="00443012" w:rsidRPr="000E6450" w:rsidRDefault="00443012" w:rsidP="00443012">
      <w:pPr>
        <w:spacing w:line="360" w:lineRule="auto"/>
        <w:contextualSpacing/>
        <w:jc w:val="both"/>
        <w:rPr>
          <w:rFonts w:ascii="Palatino Linotype" w:eastAsia="Calibri" w:hAnsi="Palatino Linotype" w:cs="Arial"/>
        </w:rPr>
      </w:pPr>
    </w:p>
    <w:p w:rsidR="00443012" w:rsidRPr="000E6450" w:rsidRDefault="00443012" w:rsidP="00443012">
      <w:pPr>
        <w:numPr>
          <w:ilvl w:val="0"/>
          <w:numId w:val="1"/>
        </w:numPr>
        <w:spacing w:line="360" w:lineRule="auto"/>
        <w:ind w:left="0" w:firstLine="0"/>
        <w:contextualSpacing/>
        <w:jc w:val="both"/>
        <w:rPr>
          <w:rFonts w:ascii="Palatino Linotype" w:eastAsia="Calibri" w:hAnsi="Palatino Linotype" w:cs="Arial"/>
        </w:rPr>
      </w:pPr>
      <w:r w:rsidRPr="000E6450">
        <w:rPr>
          <w:rFonts w:ascii="Palatino Linotype" w:eastAsia="Calibri" w:hAnsi="Palatino Linotype" w:cs="Arial"/>
        </w:rPr>
        <w:t xml:space="preserve">Así, de las constancias que obran en el expediente de mérito, se advierte que se actualiza la causal de sobreseimiento enunciada en la fracción IV del artículo 192 de la Ley de Transparencia y Acceso a la Información Pública del Estado de México y Municipios, en relación directa con la fracción VI del artículo 191 de la misma Ley citado con antelación, por no existir elementos de procedencia, en virtud de que el mismo no actualiza alguno de los supuestos previstos en el citado artículo 179, toda </w:t>
      </w:r>
      <w:r w:rsidRPr="000E6450">
        <w:rPr>
          <w:rFonts w:ascii="Palatino Linotype" w:eastAsia="Calibri" w:hAnsi="Palatino Linotype" w:cs="Arial"/>
        </w:rPr>
        <w:lastRenderedPageBreak/>
        <w:t xml:space="preserve">vez que la parte Recurrente, mediante el recurso de revisión, solicita le sea contestada una consulta para un caso específico. </w:t>
      </w:r>
    </w:p>
    <w:p w:rsidR="00443012" w:rsidRPr="000E6450" w:rsidRDefault="00443012" w:rsidP="00443012">
      <w:pPr>
        <w:pStyle w:val="Prrafodelista"/>
        <w:rPr>
          <w:rFonts w:ascii="Palatino Linotype" w:eastAsia="Palatino Linotype" w:hAnsi="Palatino Linotype" w:cs="Palatino Linotype"/>
          <w:color w:val="000000"/>
          <w:lang w:val="es-ES"/>
        </w:rPr>
      </w:pPr>
    </w:p>
    <w:p w:rsidR="00443012" w:rsidRPr="00D27010" w:rsidRDefault="00443012" w:rsidP="00443012">
      <w:pPr>
        <w:numPr>
          <w:ilvl w:val="0"/>
          <w:numId w:val="1"/>
        </w:numPr>
        <w:spacing w:line="360" w:lineRule="auto"/>
        <w:ind w:left="0" w:firstLine="0"/>
        <w:contextualSpacing/>
        <w:jc w:val="both"/>
        <w:rPr>
          <w:rFonts w:ascii="Palatino Linotype" w:eastAsia="Calibri" w:hAnsi="Palatino Linotype" w:cs="Arial"/>
        </w:rPr>
      </w:pPr>
      <w:r w:rsidRPr="000E6450">
        <w:rPr>
          <w:rFonts w:ascii="Palatino Linotype" w:eastAsia="Palatino Linotype" w:hAnsi="Palatino Linotype" w:cs="Palatino Linotype"/>
          <w:color w:val="000000"/>
          <w:lang w:val="es-ES"/>
        </w:rPr>
        <w:t xml:space="preserve">De lo anterior, es necesario mencionar que, del análisis de la solicitud de información motivo del recurso de revisión que ahora se resuelve, se advierte que la parte solicitante requirió al </w:t>
      </w:r>
      <w:r w:rsidRPr="000E6450">
        <w:rPr>
          <w:rFonts w:ascii="Palatino Linotype" w:eastAsia="Palatino Linotype" w:hAnsi="Palatino Linotype" w:cs="Palatino Linotype"/>
          <w:b/>
          <w:color w:val="000000"/>
          <w:lang w:val="es-ES"/>
        </w:rPr>
        <w:t>SUJETO OBLIGADO</w:t>
      </w:r>
      <w:r w:rsidRPr="000E6450">
        <w:rPr>
          <w:rFonts w:ascii="Palatino Linotype" w:eastAsia="Palatino Linotype" w:hAnsi="Palatino Linotype" w:cs="Palatino Linotype"/>
          <w:color w:val="000000"/>
          <w:lang w:val="es-ES"/>
        </w:rPr>
        <w:t xml:space="preserve"> le proporcione información consistente en lo siguiente:</w:t>
      </w:r>
    </w:p>
    <w:p w:rsidR="00D27010" w:rsidRDefault="00D27010" w:rsidP="00D27010">
      <w:pPr>
        <w:pStyle w:val="Prrafodelista"/>
        <w:rPr>
          <w:rFonts w:ascii="Palatino Linotype" w:eastAsia="Calibri" w:hAnsi="Palatino Linotype" w:cs="Arial"/>
        </w:rPr>
      </w:pPr>
    </w:p>
    <w:p w:rsidR="00D27010" w:rsidRPr="000E6450" w:rsidRDefault="00D27010" w:rsidP="00D27010">
      <w:pPr>
        <w:spacing w:line="360" w:lineRule="auto"/>
        <w:contextualSpacing/>
        <w:jc w:val="both"/>
        <w:rPr>
          <w:rFonts w:ascii="Palatino Linotype" w:eastAsia="Calibri" w:hAnsi="Palatino Linotype" w:cs="Arial"/>
        </w:rPr>
      </w:pPr>
    </w:p>
    <w:p w:rsidR="00D27010" w:rsidRPr="00D27010" w:rsidRDefault="00D27010" w:rsidP="00D27010">
      <w:pPr>
        <w:pStyle w:val="Prrafodelista"/>
        <w:numPr>
          <w:ilvl w:val="0"/>
          <w:numId w:val="6"/>
        </w:numPr>
        <w:spacing w:line="360" w:lineRule="auto"/>
        <w:jc w:val="both"/>
        <w:rPr>
          <w:rFonts w:ascii="Palatino Linotype" w:eastAsia="Palatino Linotype" w:hAnsi="Palatino Linotype" w:cs="Palatino Linotype"/>
          <w:color w:val="000000"/>
          <w:lang w:val="es-MX"/>
        </w:rPr>
      </w:pPr>
      <w:r>
        <w:rPr>
          <w:rFonts w:ascii="Palatino Linotype" w:eastAsia="Palatino Linotype" w:hAnsi="Palatino Linotype" w:cs="Palatino Linotype"/>
          <w:color w:val="000000"/>
        </w:rPr>
        <w:t xml:space="preserve">¿Por qué </w:t>
      </w:r>
      <w:r w:rsidRPr="00D27010">
        <w:rPr>
          <w:rFonts w:ascii="Palatino Linotype" w:eastAsia="Palatino Linotype" w:hAnsi="Palatino Linotype" w:cs="Palatino Linotype"/>
          <w:color w:val="000000"/>
        </w:rPr>
        <w:t>en el portal de ipomex en la fracción respecto a los trámites y servicios en desarrollo urbano se proporciona un formato 2022 y al momento de querer ingresar piden que sea vigente</w:t>
      </w:r>
      <w:r>
        <w:rPr>
          <w:rFonts w:ascii="Palatino Linotype" w:eastAsia="Palatino Linotype" w:hAnsi="Palatino Linotype" w:cs="Palatino Linotype"/>
          <w:color w:val="000000"/>
        </w:rPr>
        <w:t>?</w:t>
      </w:r>
    </w:p>
    <w:p w:rsidR="00D27010" w:rsidRPr="00D27010" w:rsidRDefault="00D27010" w:rsidP="00D27010">
      <w:pPr>
        <w:pStyle w:val="Prrafodelista"/>
        <w:spacing w:line="360" w:lineRule="auto"/>
        <w:jc w:val="both"/>
        <w:rPr>
          <w:rFonts w:ascii="Palatino Linotype" w:eastAsia="Palatino Linotype" w:hAnsi="Palatino Linotype" w:cs="Palatino Linotype"/>
          <w:color w:val="000000"/>
          <w:lang w:val="es-MX"/>
        </w:rPr>
      </w:pPr>
    </w:p>
    <w:p w:rsidR="00D27010" w:rsidRPr="00D27010" w:rsidRDefault="00D27010" w:rsidP="00D27010">
      <w:pPr>
        <w:pStyle w:val="Prrafodelista"/>
        <w:numPr>
          <w:ilvl w:val="0"/>
          <w:numId w:val="6"/>
        </w:numPr>
        <w:spacing w:line="360" w:lineRule="auto"/>
        <w:jc w:val="both"/>
        <w:rPr>
          <w:rFonts w:ascii="Palatino Linotype" w:eastAsia="Palatino Linotype" w:hAnsi="Palatino Linotype" w:cs="Palatino Linotype"/>
          <w:color w:val="000000"/>
          <w:lang w:val="es-MX"/>
        </w:rPr>
      </w:pPr>
      <w:r w:rsidRPr="00D27010">
        <w:rPr>
          <w:rFonts w:ascii="Palatino Linotype" w:eastAsia="Palatino Linotype" w:hAnsi="Palatino Linotype" w:cs="Palatino Linotype"/>
          <w:color w:val="000000"/>
        </w:rPr>
        <w:t>solicito sea actualizados los formatos en sus reportes de ipomex para no violentar mis derechos</w:t>
      </w:r>
    </w:p>
    <w:p w:rsidR="00D27010" w:rsidRPr="00D27010" w:rsidRDefault="00D27010" w:rsidP="00D27010">
      <w:pPr>
        <w:spacing w:line="360" w:lineRule="auto"/>
        <w:contextualSpacing/>
        <w:jc w:val="both"/>
        <w:rPr>
          <w:rFonts w:ascii="Palatino Linotype" w:eastAsia="Palatino Linotype" w:hAnsi="Palatino Linotype" w:cs="Palatino Linotype"/>
          <w:color w:val="000000"/>
          <w:lang w:val="es-MX"/>
        </w:rPr>
      </w:pPr>
    </w:p>
    <w:p w:rsidR="00443012" w:rsidRPr="00D27010" w:rsidRDefault="00443012" w:rsidP="00443012">
      <w:pPr>
        <w:numPr>
          <w:ilvl w:val="0"/>
          <w:numId w:val="1"/>
        </w:numPr>
        <w:spacing w:line="360" w:lineRule="auto"/>
        <w:ind w:left="0" w:firstLine="0"/>
        <w:contextualSpacing/>
        <w:jc w:val="both"/>
        <w:rPr>
          <w:rFonts w:ascii="Palatino Linotype" w:eastAsia="Palatino Linotype" w:hAnsi="Palatino Linotype" w:cs="Palatino Linotype"/>
          <w:color w:val="000000"/>
          <w:lang w:val="es-MX"/>
        </w:rPr>
      </w:pPr>
      <w:r>
        <w:rPr>
          <w:rFonts w:ascii="Palatino Linotype" w:eastAsia="Palatino Linotype" w:hAnsi="Palatino Linotype" w:cs="Palatino Linotype"/>
          <w:color w:val="000000"/>
          <w:lang w:val="es-ES"/>
        </w:rPr>
        <w:t xml:space="preserve">De lo anterior </w:t>
      </w:r>
      <w:r w:rsidR="00D27010">
        <w:rPr>
          <w:rFonts w:ascii="Palatino Linotype" w:eastAsia="Palatino Linotype" w:hAnsi="Palatino Linotype" w:cs="Palatino Linotype"/>
          <w:color w:val="000000"/>
          <w:lang w:val="es-ES"/>
        </w:rPr>
        <w:t xml:space="preserve">el </w:t>
      </w:r>
      <w:r w:rsidR="00D27010">
        <w:rPr>
          <w:rFonts w:ascii="Palatino Linotype" w:eastAsia="Palatino Linotype" w:hAnsi="Palatino Linotype" w:cs="Palatino Linotype"/>
          <w:b/>
          <w:color w:val="000000"/>
          <w:lang w:val="es-ES"/>
        </w:rPr>
        <w:t xml:space="preserve">SUJETO OBLIGADO </w:t>
      </w:r>
      <w:r w:rsidR="00D27010">
        <w:rPr>
          <w:rFonts w:ascii="Palatino Linotype" w:eastAsia="Palatino Linotype" w:hAnsi="Palatino Linotype" w:cs="Palatino Linotype"/>
          <w:color w:val="000000"/>
          <w:lang w:val="es-ES"/>
        </w:rPr>
        <w:t xml:space="preserve">en un ejercicio de máxima publicidad le contesto al entonces </w:t>
      </w:r>
      <w:r w:rsidR="00D27010">
        <w:rPr>
          <w:rFonts w:ascii="Palatino Linotype" w:eastAsia="Palatino Linotype" w:hAnsi="Palatino Linotype" w:cs="Palatino Linotype"/>
          <w:b/>
          <w:color w:val="000000"/>
          <w:lang w:val="es-ES"/>
        </w:rPr>
        <w:t xml:space="preserve">SOLICITANTE </w:t>
      </w:r>
      <w:r w:rsidR="00D27010">
        <w:rPr>
          <w:rFonts w:ascii="Palatino Linotype" w:eastAsia="Palatino Linotype" w:hAnsi="Palatino Linotype" w:cs="Palatino Linotype"/>
          <w:color w:val="000000"/>
          <w:lang w:val="es-ES"/>
        </w:rPr>
        <w:t xml:space="preserve">mediante un archivo electrónico en formato PDF, cuyo contenido grosso modo es el siguiente. </w:t>
      </w:r>
    </w:p>
    <w:p w:rsidR="00D27010" w:rsidRDefault="00D27010" w:rsidP="00D27010">
      <w:pPr>
        <w:pStyle w:val="Prrafodelista"/>
        <w:tabs>
          <w:tab w:val="left" w:pos="0"/>
        </w:tabs>
        <w:ind w:left="709" w:right="616"/>
        <w:jc w:val="both"/>
        <w:rPr>
          <w:rFonts w:ascii="Palatino Linotype" w:hAnsi="Palatino Linotype" w:cs="Arial"/>
          <w:i/>
          <w:color w:val="000000" w:themeColor="text1"/>
        </w:rPr>
      </w:pPr>
      <w:r w:rsidRPr="00CF26E8">
        <w:rPr>
          <w:rFonts w:ascii="Palatino Linotype" w:hAnsi="Palatino Linotype" w:cs="Arial"/>
          <w:b/>
          <w:i/>
          <w:color w:val="000000" w:themeColor="text1"/>
        </w:rPr>
        <w:t>FOLIO-0133.pdf</w:t>
      </w:r>
      <w:r w:rsidRPr="000E6450">
        <w:rPr>
          <w:rFonts w:ascii="Palatino Linotype" w:hAnsi="Palatino Linotype" w:cs="Arial"/>
          <w:b/>
          <w:i/>
          <w:color w:val="000000" w:themeColor="text1"/>
        </w:rPr>
        <w:t>:</w:t>
      </w:r>
      <w:r w:rsidRPr="000E6450">
        <w:rPr>
          <w:rFonts w:ascii="Palatino Linotype" w:hAnsi="Palatino Linotype" w:cs="Arial"/>
          <w:i/>
          <w:color w:val="000000" w:themeColor="text1"/>
        </w:rPr>
        <w:t xml:space="preserve"> </w:t>
      </w:r>
      <w:r>
        <w:rPr>
          <w:rFonts w:ascii="Palatino Linotype" w:hAnsi="Palatino Linotype" w:cs="Arial"/>
          <w:i/>
          <w:color w:val="000000" w:themeColor="text1"/>
        </w:rPr>
        <w:t xml:space="preserve">oficio mediante el cual el Titular de la Dirección de Desarrollo Urbano e Infraestructura, le informa al Solicitante que fecha quince de marzo de dos mil veinticuatro se aprobó en el punto Cuarto de la Quincuagésima Sexta Sesión Pública del Ayuntamiento de Cuautitlán Izcalli, el acuerdo por el cual se reformaron, adicionaron y derogaron diversas disposiciones a la reglamentación municipal, de la cual se abrogo el Reglamento Interno de la Dirección de Desarrollo Urbano y de la Dirección de Obras Públicas, situación por la cual se expidió el Reglamento Interno de Desarrollo </w:t>
      </w:r>
      <w:r>
        <w:rPr>
          <w:rFonts w:ascii="Palatino Linotype" w:hAnsi="Palatino Linotype" w:cs="Arial"/>
          <w:i/>
          <w:color w:val="000000" w:themeColor="text1"/>
        </w:rPr>
        <w:lastRenderedPageBreak/>
        <w:t xml:space="preserve">Urbano e Infraestructura, razones por las cuales la nueva dependencia se encuentra en proceso de modificación  y actualización en sus formatos de solicitud de tramite. </w:t>
      </w:r>
    </w:p>
    <w:p w:rsidR="00443012" w:rsidRDefault="00443012" w:rsidP="00443012">
      <w:pPr>
        <w:spacing w:line="360" w:lineRule="auto"/>
        <w:contextualSpacing/>
        <w:jc w:val="both"/>
        <w:rPr>
          <w:rFonts w:ascii="Palatino Linotype" w:eastAsia="Palatino Linotype" w:hAnsi="Palatino Linotype" w:cs="Palatino Linotype"/>
          <w:color w:val="000000"/>
          <w:lang w:val="es-MX"/>
        </w:rPr>
      </w:pPr>
    </w:p>
    <w:p w:rsidR="00D27010" w:rsidRPr="00D27010" w:rsidRDefault="00D27010" w:rsidP="00D27010">
      <w:pPr>
        <w:numPr>
          <w:ilvl w:val="0"/>
          <w:numId w:val="1"/>
        </w:numPr>
        <w:spacing w:line="360" w:lineRule="auto"/>
        <w:ind w:left="0" w:firstLine="0"/>
        <w:contextualSpacing/>
        <w:jc w:val="both"/>
        <w:rPr>
          <w:rFonts w:ascii="Palatino Linotype" w:eastAsia="Palatino Linotype" w:hAnsi="Palatino Linotype" w:cs="Palatino Linotype"/>
          <w:i/>
          <w:color w:val="000000"/>
          <w:lang w:val="es-ES"/>
        </w:rPr>
      </w:pPr>
      <w:r>
        <w:rPr>
          <w:rFonts w:ascii="Palatino Linotype" w:eastAsia="Palatino Linotype" w:hAnsi="Palatino Linotype" w:cs="Palatino Linotype"/>
          <w:color w:val="000000"/>
          <w:lang w:val="es-ES"/>
        </w:rPr>
        <w:t xml:space="preserve">Posteriormente al momento de interponer el recurso de revisión el entonces solicitante lo hizo bajo los siguientes términos. </w:t>
      </w:r>
    </w:p>
    <w:p w:rsidR="00D27010" w:rsidRPr="000E6450" w:rsidRDefault="00D27010" w:rsidP="00D27010">
      <w:pPr>
        <w:pStyle w:val="Prrafodelista"/>
        <w:numPr>
          <w:ilvl w:val="0"/>
          <w:numId w:val="2"/>
        </w:numPr>
        <w:ind w:left="1134" w:right="900" w:firstLine="0"/>
        <w:jc w:val="both"/>
        <w:rPr>
          <w:rStyle w:val="Ttulo2Car"/>
          <w:rFonts w:ascii="Palatino Linotype" w:hAnsi="Palatino Linotype"/>
          <w:i/>
          <w:color w:val="000000" w:themeColor="text1"/>
          <w:sz w:val="22"/>
          <w:szCs w:val="24"/>
        </w:rPr>
      </w:pPr>
      <w:r w:rsidRPr="000E6450">
        <w:rPr>
          <w:rStyle w:val="Ttulo2Car"/>
          <w:rFonts w:ascii="Palatino Linotype" w:hAnsi="Palatino Linotype"/>
          <w:b/>
          <w:color w:val="auto"/>
          <w:sz w:val="22"/>
          <w:szCs w:val="24"/>
        </w:rPr>
        <w:t>Acto impugnado</w:t>
      </w:r>
      <w:r w:rsidRPr="000E6450">
        <w:rPr>
          <w:rStyle w:val="Ttulo2Car"/>
          <w:rFonts w:ascii="Palatino Linotype" w:hAnsi="Palatino Linotype"/>
          <w:b/>
          <w:color w:val="000000" w:themeColor="text1"/>
          <w:sz w:val="22"/>
          <w:szCs w:val="24"/>
        </w:rPr>
        <w:t xml:space="preserve">: </w:t>
      </w:r>
      <w:r w:rsidRPr="000E6450">
        <w:rPr>
          <w:rStyle w:val="Ttulo2Car"/>
          <w:rFonts w:ascii="Palatino Linotype" w:hAnsi="Palatino Linotype"/>
          <w:i/>
          <w:color w:val="000000" w:themeColor="text1"/>
          <w:sz w:val="22"/>
          <w:szCs w:val="24"/>
        </w:rPr>
        <w:t>“</w:t>
      </w:r>
      <w:r w:rsidRPr="00CF26E8">
        <w:rPr>
          <w:rFonts w:ascii="Palatino Linotype" w:eastAsiaTheme="majorEastAsia" w:hAnsi="Palatino Linotype" w:cstheme="majorBidi"/>
          <w:i/>
          <w:color w:val="000000" w:themeColor="text1"/>
          <w:sz w:val="22"/>
        </w:rPr>
        <w:t>porque en el portal de ipomex en la fracción respecto a los tramites y servicios en desarrollo urbano se proporciona un formato 2022 y al momento de querer ingresar piden que sea vigente. agrego evidencia y solicito sea actualizados los formatos en sus reportes de ipomex para no violentar mis derechos</w:t>
      </w:r>
      <w:r w:rsidRPr="000E6450">
        <w:rPr>
          <w:rStyle w:val="Ttulo2Car"/>
          <w:rFonts w:ascii="Palatino Linotype" w:hAnsi="Palatino Linotype"/>
          <w:i/>
          <w:color w:val="000000" w:themeColor="text1"/>
          <w:sz w:val="22"/>
          <w:szCs w:val="24"/>
        </w:rPr>
        <w:t>”</w:t>
      </w:r>
    </w:p>
    <w:p w:rsidR="00D27010" w:rsidRPr="000E6450" w:rsidRDefault="00D27010" w:rsidP="00D27010">
      <w:pPr>
        <w:pStyle w:val="Prrafodelista"/>
        <w:tabs>
          <w:tab w:val="left" w:pos="7020"/>
        </w:tabs>
        <w:ind w:left="1134" w:right="900"/>
        <w:jc w:val="both"/>
        <w:rPr>
          <w:rStyle w:val="Ttulo2Car"/>
          <w:rFonts w:ascii="Palatino Linotype" w:hAnsi="Palatino Linotype"/>
          <w:i/>
          <w:color w:val="000000" w:themeColor="text1"/>
          <w:sz w:val="22"/>
          <w:szCs w:val="24"/>
        </w:rPr>
      </w:pPr>
      <w:r w:rsidRPr="000E6450">
        <w:rPr>
          <w:rStyle w:val="Ttulo2Car"/>
          <w:rFonts w:ascii="Palatino Linotype" w:hAnsi="Palatino Linotype"/>
          <w:i/>
          <w:color w:val="000000" w:themeColor="text1"/>
          <w:sz w:val="22"/>
          <w:szCs w:val="24"/>
        </w:rPr>
        <w:tab/>
      </w:r>
    </w:p>
    <w:p w:rsidR="00D27010" w:rsidRPr="00D27010" w:rsidRDefault="00D27010" w:rsidP="00D27010">
      <w:pPr>
        <w:pStyle w:val="Prrafodelista"/>
        <w:numPr>
          <w:ilvl w:val="0"/>
          <w:numId w:val="2"/>
        </w:numPr>
        <w:ind w:left="1134" w:right="900" w:firstLine="0"/>
        <w:jc w:val="both"/>
        <w:rPr>
          <w:rFonts w:ascii="Palatino Linotype" w:hAnsi="Palatino Linotype"/>
          <w:b/>
          <w:i/>
          <w:color w:val="000000" w:themeColor="text1"/>
          <w:sz w:val="22"/>
        </w:rPr>
      </w:pPr>
      <w:r w:rsidRPr="000E6450">
        <w:rPr>
          <w:rStyle w:val="Ttulo2Car"/>
          <w:rFonts w:ascii="Palatino Linotype" w:hAnsi="Palatino Linotype"/>
          <w:b/>
          <w:color w:val="000000" w:themeColor="text1"/>
          <w:sz w:val="22"/>
          <w:szCs w:val="24"/>
        </w:rPr>
        <w:t>Razones o Motivos de inconformidad:</w:t>
      </w:r>
      <w:r w:rsidRPr="000E6450">
        <w:rPr>
          <w:rFonts w:ascii="Palatino Linotype" w:hAnsi="Palatino Linotype"/>
          <w:b/>
          <w:color w:val="000000" w:themeColor="text1"/>
          <w:sz w:val="22"/>
        </w:rPr>
        <w:t xml:space="preserve"> </w:t>
      </w:r>
      <w:r w:rsidRPr="000E6450">
        <w:rPr>
          <w:rFonts w:ascii="Palatino Linotype" w:hAnsi="Palatino Linotype"/>
          <w:i/>
          <w:color w:val="000000" w:themeColor="text1"/>
          <w:sz w:val="22"/>
        </w:rPr>
        <w:t>“</w:t>
      </w:r>
      <w:r w:rsidRPr="00CF26E8">
        <w:rPr>
          <w:rFonts w:ascii="Palatino Linotype" w:hAnsi="Palatino Linotype"/>
          <w:i/>
          <w:color w:val="000000" w:themeColor="text1"/>
          <w:sz w:val="22"/>
        </w:rPr>
        <w:t xml:space="preserve">la respuesta que entrega es incongruente, como lo demostré sus formatos son del año 2022, no se puede justificar con la fusion del area que acaba de ocurrir, quiere decir que desde ese año no actualizan la plataforma como se debe y me estan dejando en un estado de indefensión porque acudo hacer mi tramite y no me reciben ese formato, me lo piden actual, y con requisitos totalmente diferentes, </w:t>
      </w:r>
      <w:r w:rsidRPr="00D27010">
        <w:rPr>
          <w:rFonts w:ascii="Palatino Linotype" w:hAnsi="Palatino Linotype"/>
          <w:b/>
          <w:i/>
          <w:color w:val="000000" w:themeColor="text1"/>
          <w:sz w:val="22"/>
        </w:rPr>
        <w:t>por lo que solicito me sean enviados actualizados...”</w:t>
      </w:r>
    </w:p>
    <w:p w:rsidR="00D27010" w:rsidRPr="00D27010" w:rsidRDefault="00D27010" w:rsidP="00D27010">
      <w:pPr>
        <w:spacing w:line="360" w:lineRule="auto"/>
        <w:contextualSpacing/>
        <w:jc w:val="both"/>
        <w:rPr>
          <w:rFonts w:ascii="Palatino Linotype" w:eastAsia="Palatino Linotype" w:hAnsi="Palatino Linotype" w:cs="Palatino Linotype"/>
          <w:i/>
          <w:color w:val="000000"/>
          <w:lang w:val="es-ES"/>
        </w:rPr>
      </w:pPr>
    </w:p>
    <w:p w:rsidR="00D27010" w:rsidRPr="00D27010" w:rsidRDefault="00443012" w:rsidP="006F692A">
      <w:pPr>
        <w:numPr>
          <w:ilvl w:val="0"/>
          <w:numId w:val="1"/>
        </w:numPr>
        <w:spacing w:line="360" w:lineRule="auto"/>
        <w:ind w:left="0" w:firstLine="0"/>
        <w:jc w:val="both"/>
        <w:rPr>
          <w:rFonts w:ascii="Palatino Linotype" w:eastAsia="Palatino Linotype" w:hAnsi="Palatino Linotype" w:cs="Palatino Linotype"/>
          <w:b/>
          <w:i/>
          <w:color w:val="000000"/>
        </w:rPr>
      </w:pPr>
      <w:r>
        <w:rPr>
          <w:rFonts w:ascii="Palatino Linotype" w:eastAsia="Palatino Linotype" w:hAnsi="Palatino Linotype" w:cs="Palatino Linotype"/>
          <w:color w:val="000000"/>
          <w:lang w:val="es-ES"/>
        </w:rPr>
        <w:t xml:space="preserve">Ahora bien, respecto de la interposición del recurso de revisión, se observa que el </w:t>
      </w:r>
      <w:r>
        <w:rPr>
          <w:rFonts w:ascii="Palatino Linotype" w:eastAsia="Palatino Linotype" w:hAnsi="Palatino Linotype" w:cs="Palatino Linotype"/>
          <w:b/>
          <w:color w:val="000000"/>
          <w:lang w:val="es-ES"/>
        </w:rPr>
        <w:t xml:space="preserve">RECURRENTE </w:t>
      </w:r>
      <w:r>
        <w:rPr>
          <w:rFonts w:ascii="Palatino Linotype" w:eastAsia="Palatino Linotype" w:hAnsi="Palatino Linotype" w:cs="Palatino Linotype"/>
          <w:color w:val="000000"/>
          <w:lang w:val="es-ES"/>
        </w:rPr>
        <w:t xml:space="preserve">solicita información que no fue solicitada de manera inicial, situación por la cual se configura una </w:t>
      </w:r>
      <w:r w:rsidRPr="00B45ACA">
        <w:rPr>
          <w:rFonts w:ascii="Palatino Linotype" w:eastAsia="Palatino Linotype" w:hAnsi="Palatino Linotype" w:cs="Palatino Linotype"/>
          <w:b/>
          <w:i/>
          <w:color w:val="000000"/>
          <w:lang w:val="es-ES"/>
        </w:rPr>
        <w:t xml:space="preserve">plus </w:t>
      </w:r>
      <w:r>
        <w:rPr>
          <w:rFonts w:ascii="Palatino Linotype" w:eastAsia="Palatino Linotype" w:hAnsi="Palatino Linotype" w:cs="Palatino Linotype"/>
          <w:b/>
          <w:i/>
          <w:color w:val="000000"/>
          <w:lang w:val="es-ES"/>
        </w:rPr>
        <w:t>Peti</w:t>
      </w:r>
      <w:r w:rsidR="00D27010">
        <w:rPr>
          <w:rFonts w:ascii="Palatino Linotype" w:eastAsia="Palatino Linotype" w:hAnsi="Palatino Linotype" w:cs="Palatino Linotype"/>
          <w:b/>
          <w:i/>
          <w:color w:val="000000"/>
          <w:lang w:val="es-ES"/>
        </w:rPr>
        <w:t xml:space="preserve">tio </w:t>
      </w:r>
      <w:r w:rsidR="00D27010">
        <w:rPr>
          <w:rFonts w:ascii="Palatino Linotype" w:eastAsia="Palatino Linotype" w:hAnsi="Palatino Linotype" w:cs="Palatino Linotype"/>
          <w:color w:val="000000"/>
          <w:lang w:val="es-ES"/>
        </w:rPr>
        <w:t xml:space="preserve">respecto de </w:t>
      </w:r>
      <w:r w:rsidR="006F692A">
        <w:rPr>
          <w:rFonts w:ascii="Palatino Linotype" w:eastAsia="Palatino Linotype" w:hAnsi="Palatino Linotype" w:cs="Palatino Linotype"/>
          <w:color w:val="000000"/>
          <w:lang w:val="es-ES"/>
        </w:rPr>
        <w:t>“</w:t>
      </w:r>
      <w:r w:rsidR="00D27010" w:rsidRPr="00D27010">
        <w:rPr>
          <w:rFonts w:ascii="Palatino Linotype" w:eastAsia="Palatino Linotype" w:hAnsi="Palatino Linotype" w:cs="Palatino Linotype"/>
          <w:b/>
          <w:i/>
          <w:color w:val="000000"/>
        </w:rPr>
        <w:t>por lo que solicito me sean enviados actualizados...”</w:t>
      </w:r>
      <w:r w:rsidR="006F692A">
        <w:rPr>
          <w:rFonts w:ascii="Palatino Linotype" w:eastAsia="Palatino Linotype" w:hAnsi="Palatino Linotype" w:cs="Palatino Linotype"/>
          <w:b/>
          <w:i/>
          <w:color w:val="000000"/>
        </w:rPr>
        <w:t xml:space="preserve">, </w:t>
      </w:r>
      <w:r w:rsidR="006F692A">
        <w:rPr>
          <w:rFonts w:ascii="Palatino Linotype" w:eastAsia="Palatino Linotype" w:hAnsi="Palatino Linotype" w:cs="Palatino Linotype"/>
          <w:color w:val="000000"/>
        </w:rPr>
        <w:t xml:space="preserve">toda vez que en información inicial no fue solicitado que se le entregaran los últimos formatos actualizados respecto del trámite que refiere en el documento que se adjunta en la solicitud de información. </w:t>
      </w:r>
    </w:p>
    <w:p w:rsidR="00443012" w:rsidRPr="00D27010" w:rsidRDefault="00443012" w:rsidP="00D27010">
      <w:pPr>
        <w:spacing w:line="360" w:lineRule="auto"/>
        <w:contextualSpacing/>
        <w:jc w:val="both"/>
        <w:rPr>
          <w:rFonts w:ascii="Palatino Linotype" w:eastAsia="Palatino Linotype" w:hAnsi="Palatino Linotype" w:cs="Palatino Linotype"/>
          <w:i/>
          <w:color w:val="000000"/>
          <w:lang w:val="es-ES"/>
        </w:rPr>
      </w:pPr>
    </w:p>
    <w:p w:rsidR="00443012" w:rsidRPr="00B45ACA" w:rsidRDefault="00443012" w:rsidP="00443012">
      <w:pPr>
        <w:numPr>
          <w:ilvl w:val="0"/>
          <w:numId w:val="1"/>
        </w:numPr>
        <w:spacing w:after="160" w:line="360" w:lineRule="auto"/>
        <w:ind w:left="0" w:firstLine="0"/>
        <w:contextualSpacing/>
        <w:jc w:val="both"/>
        <w:rPr>
          <w:rFonts w:ascii="Palatino Linotype" w:eastAsia="MS Mincho" w:hAnsi="Palatino Linotype" w:cs="Arial"/>
          <w:szCs w:val="22"/>
          <w:lang w:val="es-MX" w:eastAsia="en-US"/>
        </w:rPr>
      </w:pPr>
      <w:r>
        <w:rPr>
          <w:rFonts w:ascii="Palatino Linotype" w:eastAsia="MS Mincho" w:hAnsi="Palatino Linotype" w:cs="Arial"/>
          <w:szCs w:val="22"/>
          <w:lang w:val="es-MX" w:eastAsia="en-US"/>
        </w:rPr>
        <w:t>En ese sentido</w:t>
      </w:r>
      <w:r w:rsidRPr="00B45ACA">
        <w:rPr>
          <w:rFonts w:ascii="Palatino Linotype" w:eastAsia="MS Mincho" w:hAnsi="Palatino Linotype" w:cs="Arial"/>
          <w:szCs w:val="22"/>
          <w:lang w:val="es-MX" w:eastAsia="en-US"/>
        </w:rPr>
        <w:t xml:space="preserve">, tiene aplicación al respecto por analogía la tesis aislada número I.8o.A.136 A, de la Novena Época, publicada en el Semanario Oficial de la </w:t>
      </w:r>
      <w:r w:rsidRPr="00B45ACA">
        <w:rPr>
          <w:rFonts w:ascii="Palatino Linotype" w:eastAsia="MS Mincho" w:hAnsi="Palatino Linotype" w:cs="Arial"/>
          <w:szCs w:val="22"/>
          <w:lang w:val="es-MX" w:eastAsia="en-US"/>
        </w:rPr>
        <w:lastRenderedPageBreak/>
        <w:t>Federación y su Gaceta Tomo XXIX, Marzo de 2009, página 2887, con número de registro 167607, que lleva por rubro y texto los siguientes:</w:t>
      </w:r>
    </w:p>
    <w:p w:rsidR="00443012" w:rsidRPr="00B45ACA" w:rsidRDefault="00443012" w:rsidP="00443012">
      <w:pPr>
        <w:ind w:left="1134" w:right="900"/>
        <w:contextualSpacing/>
        <w:jc w:val="both"/>
        <w:rPr>
          <w:rFonts w:ascii="Palatino Linotype" w:eastAsia="MS Mincho" w:hAnsi="Palatino Linotype" w:cs="Arial"/>
          <w:sz w:val="22"/>
          <w:szCs w:val="22"/>
          <w:lang w:val="es-MX" w:eastAsia="en-US"/>
        </w:rPr>
      </w:pPr>
    </w:p>
    <w:p w:rsidR="00443012" w:rsidRPr="00B45ACA" w:rsidRDefault="00443012" w:rsidP="00443012">
      <w:pPr>
        <w:shd w:val="clear" w:color="auto" w:fill="FFFFFF"/>
        <w:ind w:left="1134" w:right="900"/>
        <w:jc w:val="both"/>
        <w:rPr>
          <w:rFonts w:ascii="Palatino Linotype" w:hAnsi="Palatino Linotype" w:cs="Arial"/>
          <w:i/>
          <w:color w:val="000000" w:themeColor="text1"/>
          <w:sz w:val="22"/>
          <w:lang w:val="es-ES"/>
        </w:rPr>
      </w:pPr>
      <w:r w:rsidRPr="00B45ACA">
        <w:rPr>
          <w:rFonts w:ascii="Palatino Linotype" w:hAnsi="Palatino Linotype" w:cs="Arial"/>
          <w:b/>
          <w:bCs/>
          <w:i/>
          <w:iCs/>
          <w:color w:val="000000" w:themeColor="text1"/>
          <w:sz w:val="22"/>
          <w:lang w:val="es-ES"/>
        </w:rPr>
        <w:t>“TRANSPARENCIA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O SEAN DISTINTOS A LOS DE SU PETICIÓN INICIAL.</w:t>
      </w:r>
    </w:p>
    <w:p w:rsidR="00443012" w:rsidRPr="00B45ACA" w:rsidRDefault="00443012" w:rsidP="00443012">
      <w:pPr>
        <w:shd w:val="clear" w:color="auto" w:fill="FFFFFF"/>
        <w:ind w:left="1134" w:right="900"/>
        <w:contextualSpacing/>
        <w:jc w:val="both"/>
        <w:rPr>
          <w:rFonts w:ascii="Palatino Linotype" w:hAnsi="Palatino Linotype" w:cs="Arial"/>
          <w:i/>
          <w:iCs/>
          <w:color w:val="000000" w:themeColor="text1"/>
          <w:sz w:val="22"/>
        </w:rPr>
      </w:pPr>
      <w:r w:rsidRPr="00B45ACA">
        <w:rPr>
          <w:rFonts w:ascii="Palatino Linotype" w:hAnsi="Palatino Linotype" w:cs="Arial"/>
          <w:i/>
          <w:iCs/>
          <w:color w:val="000000" w:themeColor="text1"/>
          <w:sz w:val="22"/>
        </w:rPr>
        <w:t>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el precepto 6de la propia legislación prevé el principio de máxima publicidad y disponibilidad de la información en posesión de los sujetos obligados; también lo es que ello no implica que tales numerales deban interpretarse en el sentido de permitir al gobernado que a su arbitrio solicite copia de documentos que no obren en los expedientes de los sujetos obligados, o sean distintos a los de su petición inicial, pues ello contravendría el artículo 42 de la citada ley, que señala que las dependencias y entidades sólo estarán obligadas a entregar los documentos que se encuentren en sus archivos -los solicitados- y que la obligación de acceso a la información se dará por cumplida cuando se pongan a disposición del solicitante para consulta en el sitio donde se encuentren.”</w:t>
      </w:r>
    </w:p>
    <w:p w:rsidR="00443012" w:rsidRPr="00B45ACA" w:rsidRDefault="00443012" w:rsidP="00443012">
      <w:pPr>
        <w:shd w:val="clear" w:color="auto" w:fill="FFFFFF"/>
        <w:spacing w:line="360" w:lineRule="auto"/>
        <w:ind w:left="567" w:right="567"/>
        <w:contextualSpacing/>
        <w:jc w:val="both"/>
        <w:rPr>
          <w:rFonts w:ascii="Palatino Linotype" w:hAnsi="Palatino Linotype" w:cs="Arial"/>
          <w:i/>
          <w:iCs/>
          <w:color w:val="000000" w:themeColor="text1"/>
        </w:rPr>
      </w:pPr>
    </w:p>
    <w:p w:rsidR="00443012" w:rsidRPr="00B45ACA" w:rsidRDefault="00443012" w:rsidP="00443012">
      <w:pPr>
        <w:numPr>
          <w:ilvl w:val="0"/>
          <w:numId w:val="1"/>
        </w:numPr>
        <w:spacing w:after="160" w:line="360" w:lineRule="auto"/>
        <w:ind w:left="0" w:firstLine="0"/>
        <w:contextualSpacing/>
        <w:jc w:val="both"/>
        <w:rPr>
          <w:rFonts w:ascii="Palatino Linotype" w:eastAsia="MS Mincho" w:hAnsi="Palatino Linotype" w:cs="Arial"/>
          <w:szCs w:val="22"/>
          <w:lang w:val="es-MX" w:eastAsia="en-US"/>
        </w:rPr>
      </w:pPr>
      <w:r w:rsidRPr="00B45ACA">
        <w:rPr>
          <w:rFonts w:ascii="Palatino Linotype" w:eastAsia="MS Mincho" w:hAnsi="Palatino Linotype" w:cs="Arial"/>
          <w:szCs w:val="22"/>
          <w:lang w:val="es-MX" w:eastAsia="en-US"/>
        </w:rPr>
        <w:t xml:space="preserve">Asimismo, ha sido criterio del Instituto Nacional de Transparencia, Acceso a la Información y Protección de Datos Personales bajo el criterio número 01/17 que resulta improcedente ampliar las solicitudes de información pública o de datos personales a través de la interposición del recurso de revisión, como se estima acontece en el presente asunto, al aumentar datos a la solicitud inicial, por lo que se </w:t>
      </w:r>
      <w:r w:rsidRPr="00B45ACA">
        <w:rPr>
          <w:rFonts w:ascii="Palatino Linotype" w:eastAsia="MS Mincho" w:hAnsi="Palatino Linotype" w:cs="Arial"/>
          <w:szCs w:val="22"/>
          <w:lang w:val="es-MX" w:eastAsia="en-US"/>
        </w:rPr>
        <w:lastRenderedPageBreak/>
        <w:t>insiste no se puede entrar al estudio de la información novedosa, criterio que es de la literalidad siguiente:</w:t>
      </w:r>
    </w:p>
    <w:p w:rsidR="00443012" w:rsidRPr="00B45ACA" w:rsidRDefault="00443012" w:rsidP="00443012">
      <w:pPr>
        <w:spacing w:line="360" w:lineRule="auto"/>
        <w:contextualSpacing/>
        <w:jc w:val="both"/>
        <w:rPr>
          <w:rFonts w:ascii="Palatino Linotype" w:hAnsi="Palatino Linotype" w:cs="Arial"/>
          <w:color w:val="000000" w:themeColor="text1"/>
        </w:rPr>
      </w:pPr>
    </w:p>
    <w:p w:rsidR="00443012" w:rsidRPr="00B45ACA" w:rsidRDefault="00443012" w:rsidP="00443012">
      <w:pPr>
        <w:ind w:left="1134" w:right="900"/>
        <w:jc w:val="both"/>
        <w:rPr>
          <w:rFonts w:ascii="Palatino Linotype" w:hAnsi="Palatino Linotype" w:cs="Arial"/>
          <w:b/>
          <w:i/>
          <w:sz w:val="22"/>
        </w:rPr>
      </w:pPr>
      <w:r w:rsidRPr="00B45ACA">
        <w:rPr>
          <w:rFonts w:ascii="Palatino Linotype" w:hAnsi="Palatino Linotype" w:cs="Arial"/>
          <w:b/>
          <w:i/>
          <w:sz w:val="22"/>
        </w:rPr>
        <w:t xml:space="preserve">“Es improcedente ampliar las solicitudes de acceso a información, a través de la interposición del recurso de revisión. </w:t>
      </w:r>
      <w:r w:rsidRPr="00B45ACA">
        <w:rPr>
          <w:rFonts w:ascii="Palatino Linotype" w:hAnsi="Palatino Linotype" w:cs="Arial"/>
          <w:i/>
          <w:sz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rsidR="00443012" w:rsidRPr="00B45ACA" w:rsidRDefault="00443012" w:rsidP="00443012">
      <w:pPr>
        <w:ind w:left="1134" w:right="900"/>
        <w:jc w:val="both"/>
        <w:rPr>
          <w:rFonts w:ascii="Palatino Linotype" w:hAnsi="Palatino Linotype" w:cs="Arial"/>
          <w:b/>
          <w:i/>
          <w:sz w:val="22"/>
        </w:rPr>
      </w:pPr>
    </w:p>
    <w:p w:rsidR="00443012" w:rsidRPr="00B45ACA" w:rsidRDefault="00443012" w:rsidP="00443012">
      <w:pPr>
        <w:ind w:left="1134" w:right="900"/>
        <w:jc w:val="both"/>
        <w:rPr>
          <w:rFonts w:ascii="Palatino Linotype" w:hAnsi="Palatino Linotype" w:cs="Arial"/>
          <w:b/>
          <w:i/>
          <w:sz w:val="22"/>
        </w:rPr>
      </w:pPr>
      <w:r w:rsidRPr="00B45ACA">
        <w:rPr>
          <w:rFonts w:ascii="Palatino Linotype" w:hAnsi="Palatino Linotype" w:cs="Arial"/>
          <w:b/>
          <w:i/>
          <w:sz w:val="22"/>
        </w:rPr>
        <w:t>Resoluciones:</w:t>
      </w:r>
    </w:p>
    <w:p w:rsidR="00443012" w:rsidRPr="00B45ACA" w:rsidRDefault="00443012" w:rsidP="00443012">
      <w:pPr>
        <w:numPr>
          <w:ilvl w:val="0"/>
          <w:numId w:val="5"/>
        </w:numPr>
        <w:spacing w:after="160"/>
        <w:ind w:left="1134" w:right="900" w:hanging="284"/>
        <w:jc w:val="both"/>
        <w:rPr>
          <w:rFonts w:ascii="Palatino Linotype" w:hAnsi="Palatino Linotype" w:cs="Arial"/>
          <w:i/>
          <w:sz w:val="22"/>
        </w:rPr>
      </w:pPr>
      <w:r w:rsidRPr="00B45ACA">
        <w:rPr>
          <w:rFonts w:ascii="Palatino Linotype" w:hAnsi="Palatino Linotype" w:cs="Arial"/>
          <w:b/>
          <w:i/>
          <w:sz w:val="22"/>
        </w:rPr>
        <w:t>RRA 0196/16.</w:t>
      </w:r>
      <w:r w:rsidRPr="00B45ACA">
        <w:rPr>
          <w:rFonts w:ascii="Palatino Linotype" w:hAnsi="Palatino Linotype" w:cs="Arial"/>
          <w:i/>
          <w:sz w:val="22"/>
        </w:rPr>
        <w:t xml:space="preserve"> Secretaría de Agricultura, Ganadería, Desarrollo Rural, Pesca y Alimentación. 13 de julio de 2016. Por unanimidad. Comisionado Ponente Joel Salas Suárez.</w:t>
      </w:r>
    </w:p>
    <w:p w:rsidR="00443012" w:rsidRPr="00B45ACA" w:rsidRDefault="00443012" w:rsidP="00443012">
      <w:pPr>
        <w:numPr>
          <w:ilvl w:val="0"/>
          <w:numId w:val="5"/>
        </w:numPr>
        <w:spacing w:after="160"/>
        <w:ind w:left="1134" w:right="900" w:hanging="284"/>
        <w:jc w:val="both"/>
        <w:rPr>
          <w:rFonts w:ascii="Palatino Linotype" w:hAnsi="Palatino Linotype" w:cs="Arial"/>
          <w:i/>
          <w:sz w:val="22"/>
        </w:rPr>
      </w:pPr>
      <w:r w:rsidRPr="00B45ACA">
        <w:rPr>
          <w:rFonts w:ascii="Palatino Linotype" w:hAnsi="Palatino Linotype" w:cs="Arial"/>
          <w:b/>
          <w:i/>
          <w:sz w:val="22"/>
        </w:rPr>
        <w:t xml:space="preserve">RRA 0130/16. </w:t>
      </w:r>
      <w:r w:rsidRPr="00B45ACA">
        <w:rPr>
          <w:rFonts w:ascii="Palatino Linotype" w:hAnsi="Palatino Linotype" w:cs="Arial"/>
          <w:i/>
          <w:sz w:val="22"/>
        </w:rPr>
        <w:t xml:space="preserve">Comisión Nacional del Agua. 09 de agosto de 2016. Por unanimidad. Comisionado Ponente </w:t>
      </w:r>
      <w:r w:rsidRPr="00B45ACA">
        <w:rPr>
          <w:rFonts w:ascii="Palatino Linotype" w:hAnsi="Palatino Linotype"/>
          <w:i/>
          <w:color w:val="000000"/>
          <w:sz w:val="22"/>
        </w:rPr>
        <w:t>María Patricia Kurczyn Villalobos.</w:t>
      </w:r>
    </w:p>
    <w:p w:rsidR="00443012" w:rsidRPr="00B45ACA" w:rsidRDefault="00443012" w:rsidP="00443012">
      <w:pPr>
        <w:shd w:val="clear" w:color="auto" w:fill="FFFFFF"/>
        <w:ind w:left="1134" w:right="900"/>
        <w:contextualSpacing/>
        <w:jc w:val="both"/>
        <w:rPr>
          <w:rFonts w:ascii="Palatino Linotype" w:hAnsi="Palatino Linotype" w:cs="Arial"/>
          <w:i/>
          <w:sz w:val="22"/>
        </w:rPr>
      </w:pPr>
      <w:r w:rsidRPr="00B45ACA">
        <w:rPr>
          <w:rFonts w:ascii="Palatino Linotype" w:hAnsi="Palatino Linotype" w:cs="Arial"/>
          <w:b/>
          <w:i/>
          <w:sz w:val="22"/>
        </w:rPr>
        <w:t>RRA 0342/16.</w:t>
      </w:r>
      <w:r w:rsidRPr="00B45ACA">
        <w:rPr>
          <w:rFonts w:ascii="Palatino Linotype" w:hAnsi="Palatino Linotype" w:cs="Arial"/>
          <w:i/>
          <w:sz w:val="22"/>
        </w:rPr>
        <w:t xml:space="preserve"> Colegio de Bachilleres. 24 de agosto de 2016. Por unanimidad. Comisionada Ponente Ximena Puente de la Mora.”</w:t>
      </w:r>
    </w:p>
    <w:p w:rsidR="00443012" w:rsidRPr="00B45ACA" w:rsidRDefault="00443012" w:rsidP="00443012">
      <w:pPr>
        <w:rPr>
          <w:rFonts w:ascii="Palatino Linotype" w:eastAsia="Palatino Linotype" w:hAnsi="Palatino Linotype" w:cs="Palatino Linotype"/>
          <w:color w:val="000000"/>
          <w:lang w:val="es-ES"/>
        </w:rPr>
      </w:pPr>
    </w:p>
    <w:p w:rsidR="00443012" w:rsidRDefault="00443012" w:rsidP="00443012">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BC7885">
        <w:rPr>
          <w:rFonts w:ascii="Palatino Linotype" w:eastAsia="Palatino Linotype" w:hAnsi="Palatino Linotype" w:cs="Palatino Linotype"/>
          <w:color w:val="000000"/>
          <w:lang w:val="es-ES"/>
        </w:rPr>
        <w:t xml:space="preserve">Finalmente de la explicación sobre el resto de los puntos que señala el </w:t>
      </w:r>
      <w:r w:rsidRPr="00BC7885">
        <w:rPr>
          <w:rFonts w:ascii="Palatino Linotype" w:eastAsia="Palatino Linotype" w:hAnsi="Palatino Linotype" w:cs="Palatino Linotype"/>
          <w:b/>
          <w:color w:val="000000"/>
          <w:lang w:val="es-ES"/>
        </w:rPr>
        <w:t xml:space="preserve">RECURRENTE </w:t>
      </w:r>
      <w:r w:rsidR="006F692A">
        <w:rPr>
          <w:rFonts w:ascii="Palatino Linotype" w:eastAsia="Palatino Linotype" w:hAnsi="Palatino Linotype" w:cs="Palatino Linotype"/>
          <w:color w:val="000000"/>
          <w:lang w:val="es-ES"/>
        </w:rPr>
        <w:t xml:space="preserve"> en la solicitud se</w:t>
      </w:r>
      <w:r w:rsidRPr="00BC7885">
        <w:rPr>
          <w:rFonts w:ascii="Palatino Linotype" w:eastAsia="Palatino Linotype" w:hAnsi="Palatino Linotype" w:cs="Palatino Linotype"/>
          <w:color w:val="000000"/>
          <w:lang w:val="es-ES"/>
        </w:rPr>
        <w:t xml:space="preserve"> advierte que se plantearon cuestionamientos con los que pretendía que el </w:t>
      </w:r>
      <w:r w:rsidRPr="00BC7885">
        <w:rPr>
          <w:rFonts w:ascii="Palatino Linotype" w:eastAsia="Palatino Linotype" w:hAnsi="Palatino Linotype" w:cs="Palatino Linotype"/>
          <w:b/>
          <w:color w:val="000000"/>
          <w:lang w:val="es-ES"/>
        </w:rPr>
        <w:t>SUJETO OBLIGADO</w:t>
      </w:r>
      <w:r w:rsidRPr="00BC7885">
        <w:rPr>
          <w:rFonts w:ascii="Palatino Linotype" w:eastAsia="Palatino Linotype" w:hAnsi="Palatino Linotype" w:cs="Palatino Linotype"/>
          <w:color w:val="000000"/>
          <w:lang w:val="es-ES"/>
        </w:rPr>
        <w:t xml:space="preserve"> le explicara una circuns</w:t>
      </w:r>
      <w:r>
        <w:rPr>
          <w:rFonts w:ascii="Palatino Linotype" w:eastAsia="Palatino Linotype" w:hAnsi="Palatino Linotype" w:cs="Palatino Linotype"/>
          <w:color w:val="000000"/>
          <w:lang w:val="es-ES"/>
        </w:rPr>
        <w:t>tancia para un caso específico.</w:t>
      </w:r>
    </w:p>
    <w:p w:rsidR="00443012" w:rsidRPr="00BC7885" w:rsidRDefault="00443012" w:rsidP="00443012">
      <w:pPr>
        <w:spacing w:line="360" w:lineRule="auto"/>
        <w:contextualSpacing/>
        <w:jc w:val="both"/>
        <w:rPr>
          <w:rFonts w:ascii="Palatino Linotype" w:eastAsia="Palatino Linotype" w:hAnsi="Palatino Linotype" w:cs="Palatino Linotype"/>
          <w:color w:val="000000"/>
          <w:lang w:val="es-ES"/>
        </w:rPr>
      </w:pPr>
    </w:p>
    <w:p w:rsidR="00443012" w:rsidRPr="000E6450" w:rsidRDefault="00443012" w:rsidP="00443012">
      <w:pPr>
        <w:numPr>
          <w:ilvl w:val="0"/>
          <w:numId w:val="1"/>
        </w:numPr>
        <w:spacing w:line="360" w:lineRule="auto"/>
        <w:ind w:left="0" w:firstLine="0"/>
        <w:contextualSpacing/>
        <w:jc w:val="both"/>
        <w:rPr>
          <w:rFonts w:ascii="Palatino Linotype" w:eastAsia="Palatino Linotype" w:hAnsi="Palatino Linotype" w:cs="Palatino Linotype"/>
          <w:b/>
          <w:color w:val="000000"/>
          <w:lang w:val="es-ES"/>
        </w:rPr>
      </w:pPr>
      <w:r w:rsidRPr="000E6450">
        <w:rPr>
          <w:rFonts w:ascii="Palatino Linotype" w:eastAsia="Palatino Linotype" w:hAnsi="Palatino Linotype" w:cs="Palatino Linotype"/>
          <w:color w:val="000000"/>
          <w:lang w:val="es-ES"/>
        </w:rPr>
        <w:t xml:space="preserve">Por lo que es obvio que el particular no está ejerciendo su derecho de acceso a la información pública; debido a que en la solicitud consiste en una consulta que no es factible atenderse vía acceso a la información, es decir, que dicho </w:t>
      </w:r>
      <w:r w:rsidRPr="000E6450">
        <w:rPr>
          <w:rFonts w:ascii="Palatino Linotype" w:eastAsia="Palatino Linotype" w:hAnsi="Palatino Linotype" w:cs="Palatino Linotype"/>
          <w:color w:val="000000"/>
          <w:lang w:val="es-ES"/>
        </w:rPr>
        <w:lastRenderedPageBreak/>
        <w:t xml:space="preserve">cuestionamiento se colme con documentos que obren en los archivos del </w:t>
      </w:r>
      <w:r w:rsidRPr="000E6450">
        <w:rPr>
          <w:rFonts w:ascii="Palatino Linotype" w:eastAsia="Palatino Linotype" w:hAnsi="Palatino Linotype" w:cs="Palatino Linotype"/>
          <w:b/>
          <w:color w:val="000000"/>
          <w:lang w:val="es-ES"/>
        </w:rPr>
        <w:t>SUJETO OBLIGADO.</w:t>
      </w:r>
    </w:p>
    <w:p w:rsidR="00443012" w:rsidRPr="000E6450" w:rsidRDefault="00443012" w:rsidP="00443012">
      <w:pPr>
        <w:spacing w:line="360" w:lineRule="auto"/>
        <w:contextualSpacing/>
        <w:jc w:val="both"/>
        <w:rPr>
          <w:rFonts w:ascii="Palatino Linotype" w:eastAsia="Palatino Linotype" w:hAnsi="Palatino Linotype" w:cs="Palatino Linotype"/>
          <w:color w:val="000000"/>
          <w:lang w:val="es-ES"/>
        </w:rPr>
      </w:pPr>
    </w:p>
    <w:p w:rsidR="00443012" w:rsidRPr="000E6450" w:rsidRDefault="00443012" w:rsidP="00443012">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0E6450">
        <w:rPr>
          <w:rFonts w:ascii="Palatino Linotype" w:eastAsia="Palatino Linotype" w:hAnsi="Palatino Linotype" w:cs="Palatino Linotype"/>
          <w:color w:val="000000"/>
          <w:lang w:val="es-ES"/>
        </w:rPr>
        <w:t xml:space="preserve">De lo anteriormente expuesto, se advierte que la solicitud no constituye un derecho de acceso a la información y por lo tanto no es atendible mediante una solicitud de acceso a la información pública, porque se tratan de una </w:t>
      </w:r>
      <w:r w:rsidRPr="000E6450">
        <w:rPr>
          <w:rFonts w:ascii="Palatino Linotype" w:eastAsia="Palatino Linotype" w:hAnsi="Palatino Linotype" w:cs="Palatino Linotype"/>
          <w:b/>
          <w:color w:val="000000"/>
          <w:lang w:val="es-ES"/>
        </w:rPr>
        <w:t>consulta</w:t>
      </w:r>
      <w:r w:rsidRPr="000E6450">
        <w:rPr>
          <w:rFonts w:ascii="Palatino Linotype" w:eastAsia="Palatino Linotype" w:hAnsi="Palatino Linotype" w:cs="Palatino Linotype"/>
          <w:color w:val="000000"/>
          <w:lang w:val="es-ES"/>
        </w:rPr>
        <w:t xml:space="preserve"> para un caso específico, situación que conlleva a afirmar que se está en presencia del ejercicio del derecho de petición.</w:t>
      </w:r>
    </w:p>
    <w:p w:rsidR="00443012" w:rsidRPr="000E6450" w:rsidRDefault="00443012" w:rsidP="00443012">
      <w:pPr>
        <w:spacing w:line="360" w:lineRule="auto"/>
        <w:contextualSpacing/>
        <w:jc w:val="both"/>
        <w:rPr>
          <w:rFonts w:ascii="Palatino Linotype" w:eastAsia="Palatino Linotype" w:hAnsi="Palatino Linotype" w:cs="Palatino Linotype"/>
          <w:color w:val="000000"/>
          <w:lang w:val="es-ES"/>
        </w:rPr>
      </w:pPr>
    </w:p>
    <w:p w:rsidR="00443012" w:rsidRPr="000E6450" w:rsidRDefault="00443012" w:rsidP="00443012">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0E6450">
        <w:rPr>
          <w:rFonts w:ascii="Palatino Linotype" w:eastAsia="Palatino Linotype" w:hAnsi="Palatino Linotype" w:cs="Palatino Linotype"/>
          <w:color w:val="000000"/>
          <w:lang w:val="es-ES"/>
        </w:rPr>
        <w:t>En ese sentido, es importante diferenciar lo que se entiende por derecho de petición y por derecho de acceso a la información pública.</w:t>
      </w:r>
    </w:p>
    <w:p w:rsidR="00443012" w:rsidRPr="00BC7885" w:rsidRDefault="00443012" w:rsidP="00443012">
      <w:pPr>
        <w:spacing w:before="240" w:after="240"/>
        <w:ind w:left="142" w:right="-91"/>
        <w:jc w:val="both"/>
        <w:rPr>
          <w:rFonts w:ascii="Palatino Linotype" w:eastAsia="Palatino Linotype" w:hAnsi="Palatino Linotype" w:cs="Palatino Linotype"/>
          <w:b/>
          <w:sz w:val="22"/>
          <w:lang w:val="es-ES"/>
        </w:rPr>
      </w:pPr>
      <w:r w:rsidRPr="00BC7885">
        <w:rPr>
          <w:rFonts w:ascii="Palatino Linotype" w:eastAsia="Palatino Linotype" w:hAnsi="Palatino Linotype" w:cs="Palatino Linotype"/>
          <w:b/>
          <w:sz w:val="22"/>
          <w:lang w:val="es-ES"/>
        </w:rPr>
        <w:t>Derecho de Petición:</w:t>
      </w:r>
    </w:p>
    <w:p w:rsidR="00443012" w:rsidRPr="00BC7885" w:rsidRDefault="00443012" w:rsidP="00443012">
      <w:pPr>
        <w:spacing w:before="240" w:after="240"/>
        <w:ind w:left="1134" w:right="900"/>
        <w:jc w:val="both"/>
        <w:rPr>
          <w:rFonts w:ascii="Palatino Linotype" w:eastAsia="Palatino Linotype" w:hAnsi="Palatino Linotype" w:cs="Palatino Linotype"/>
          <w:sz w:val="22"/>
          <w:lang w:val="es-ES"/>
        </w:rPr>
      </w:pPr>
      <w:r w:rsidRPr="00BC7885">
        <w:rPr>
          <w:rFonts w:ascii="Palatino Linotype" w:eastAsia="Palatino Linotype" w:hAnsi="Palatino Linotype" w:cs="Palatino Linotype"/>
          <w:sz w:val="22"/>
          <w:lang w:val="es-ES"/>
        </w:rPr>
        <w:t>El Doctor Ignacio Burgoa Orihuela refiere que derecho de petición: "...</w:t>
      </w:r>
      <w:r w:rsidRPr="00BC7885">
        <w:rPr>
          <w:rFonts w:ascii="Palatino Linotype" w:eastAsia="Palatino Linotype" w:hAnsi="Palatino Linotype" w:cs="Palatino Linotype"/>
          <w:i/>
          <w:sz w:val="22"/>
          <w:lang w:val="es-ES"/>
        </w:rPr>
        <w:t>es un Derecho Público subjetivo individual de la Garantía Respectiva Consagrada en al Artículo 8 de la Ley Fundamental. En tal virtud, la persona tiene la facultad de acudir a cualquier autoridad, formulando una solicitud o instancia escrito de cualquier índole, la cual adopta, especialmente, el carácter de simple petición administrativa, acción o recurso, etc.</w:t>
      </w:r>
      <w:r w:rsidRPr="00BC7885">
        <w:rPr>
          <w:rFonts w:ascii="Palatino Linotype" w:eastAsia="Palatino Linotype" w:hAnsi="Palatino Linotype" w:cs="Palatino Linotype"/>
          <w:sz w:val="22"/>
          <w:lang w:val="es-ES"/>
        </w:rPr>
        <w:t>"</w:t>
      </w:r>
      <w:r w:rsidRPr="00BC7885">
        <w:rPr>
          <w:rFonts w:ascii="Palatino Linotype" w:eastAsia="Palatino Linotype" w:hAnsi="Palatino Linotype" w:cs="Palatino Linotype"/>
          <w:sz w:val="22"/>
          <w:vertAlign w:val="superscript"/>
          <w:lang w:val="es-ES"/>
        </w:rPr>
        <w:footnoteReference w:id="1"/>
      </w:r>
      <w:r w:rsidRPr="00BC7885">
        <w:rPr>
          <w:rFonts w:ascii="Palatino Linotype" w:eastAsia="Palatino Linotype" w:hAnsi="Palatino Linotype" w:cs="Palatino Linotype"/>
          <w:sz w:val="22"/>
          <w:lang w:val="es-ES"/>
        </w:rPr>
        <w:t>(Sic)</w:t>
      </w:r>
    </w:p>
    <w:p w:rsidR="00443012" w:rsidRPr="00BC7885" w:rsidRDefault="00443012" w:rsidP="00443012">
      <w:pPr>
        <w:pBdr>
          <w:top w:val="nil"/>
          <w:left w:val="nil"/>
          <w:bottom w:val="nil"/>
          <w:right w:val="nil"/>
          <w:between w:val="nil"/>
        </w:pBdr>
        <w:spacing w:before="240" w:after="360"/>
        <w:ind w:left="1134" w:right="900"/>
        <w:jc w:val="both"/>
        <w:rPr>
          <w:rFonts w:ascii="Palatino Linotype" w:eastAsia="Palatino Linotype" w:hAnsi="Palatino Linotype" w:cs="Palatino Linotype"/>
          <w:i/>
          <w:color w:val="000000"/>
          <w:sz w:val="22"/>
          <w:lang w:val="es-ES"/>
        </w:rPr>
      </w:pPr>
      <w:r w:rsidRPr="00BC7885">
        <w:rPr>
          <w:rFonts w:ascii="Palatino Linotype" w:eastAsia="Palatino Linotype" w:hAnsi="Palatino Linotype" w:cs="Palatino Linotype"/>
          <w:color w:val="000000"/>
          <w:sz w:val="22"/>
          <w:lang w:val="es-ES"/>
        </w:rPr>
        <w:t xml:space="preserve">Por su parte, David Cienfuegos Salgado, concibe al derecho de petición como </w:t>
      </w:r>
      <w:r w:rsidRPr="00BC7885">
        <w:rPr>
          <w:rFonts w:ascii="Palatino Linotype" w:eastAsia="Palatino Linotype" w:hAnsi="Palatino Linotype" w:cs="Palatino Linotype"/>
          <w:i/>
          <w:color w:val="000000"/>
          <w:sz w:val="22"/>
          <w:lang w:val="es-ES"/>
        </w:rPr>
        <w:t>“el derecho de toda persona a ser escuchado por quienes ejercen el poder público.</w:t>
      </w:r>
      <w:r w:rsidRPr="00BC7885">
        <w:rPr>
          <w:rFonts w:ascii="Palatino Linotype" w:eastAsia="Palatino Linotype" w:hAnsi="Palatino Linotype" w:cs="Palatino Linotype"/>
          <w:i/>
          <w:color w:val="000000"/>
          <w:sz w:val="22"/>
          <w:vertAlign w:val="superscript"/>
          <w:lang w:val="es-ES"/>
        </w:rPr>
        <w:t xml:space="preserve"> </w:t>
      </w:r>
      <w:r w:rsidRPr="00BC7885">
        <w:rPr>
          <w:rFonts w:ascii="Palatino Linotype" w:eastAsia="Palatino Linotype" w:hAnsi="Palatino Linotype" w:cs="Palatino Linotype"/>
          <w:i/>
          <w:color w:val="000000"/>
          <w:sz w:val="22"/>
          <w:vertAlign w:val="superscript"/>
          <w:lang w:val="es-ES"/>
        </w:rPr>
        <w:footnoteReference w:id="2"/>
      </w:r>
      <w:r w:rsidRPr="00BC7885">
        <w:rPr>
          <w:rFonts w:ascii="Palatino Linotype" w:eastAsia="Palatino Linotype" w:hAnsi="Palatino Linotype" w:cs="Palatino Linotype"/>
          <w:i/>
          <w:color w:val="000000"/>
          <w:sz w:val="22"/>
          <w:lang w:val="es-ES"/>
        </w:rPr>
        <w:t xml:space="preserve">” (Sic) </w:t>
      </w:r>
    </w:p>
    <w:p w:rsidR="00443012" w:rsidRPr="000E6450" w:rsidRDefault="00443012" w:rsidP="00443012">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0E6450">
        <w:rPr>
          <w:rFonts w:ascii="Palatino Linotype" w:eastAsia="Palatino Linotype" w:hAnsi="Palatino Linotype" w:cs="Palatino Linotype"/>
          <w:color w:val="000000"/>
          <w:lang w:val="es-ES"/>
        </w:rPr>
        <w:t xml:space="preserve">De la misma manera, Migue Carbonell en su libro “Los derechos fundamentales” refiere que el derecho de petición se ha entendido de dos distintitas </w:t>
      </w:r>
      <w:r w:rsidRPr="000E6450">
        <w:rPr>
          <w:rFonts w:ascii="Palatino Linotype" w:eastAsia="Palatino Linotype" w:hAnsi="Palatino Linotype" w:cs="Palatino Linotype"/>
          <w:color w:val="000000"/>
          <w:lang w:val="es-ES"/>
        </w:rPr>
        <w:lastRenderedPageBreak/>
        <w:t>maneras, a saber: como un derecho fundamental de participación política ya que permite a los particulares trasladar a las autoridades sus inquietudes, quejas, sugerencias y requerimientos en cualquier materia o asunto; y como una forma específica de la libertad de expresión,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0E6450">
        <w:rPr>
          <w:rFonts w:ascii="Palatino Linotype" w:eastAsia="Palatino Linotype" w:hAnsi="Palatino Linotype" w:cs="Palatino Linotype"/>
          <w:color w:val="000000"/>
          <w:lang w:val="es-ES"/>
        </w:rPr>
        <w:footnoteReference w:id="3"/>
      </w:r>
    </w:p>
    <w:p w:rsidR="00443012" w:rsidRPr="000E6450" w:rsidRDefault="00443012" w:rsidP="00443012">
      <w:pPr>
        <w:spacing w:line="360" w:lineRule="auto"/>
        <w:ind w:right="-91"/>
        <w:jc w:val="both"/>
        <w:rPr>
          <w:rFonts w:ascii="Palatino Linotype" w:eastAsia="Palatino Linotype" w:hAnsi="Palatino Linotype" w:cs="Palatino Linotype"/>
          <w:b/>
          <w:lang w:val="es-ES"/>
        </w:rPr>
      </w:pPr>
    </w:p>
    <w:p w:rsidR="00443012" w:rsidRPr="000E6450" w:rsidRDefault="00443012" w:rsidP="00443012">
      <w:pPr>
        <w:spacing w:line="360" w:lineRule="auto"/>
        <w:ind w:right="-91"/>
        <w:jc w:val="both"/>
        <w:rPr>
          <w:rFonts w:ascii="Palatino Linotype" w:eastAsia="Palatino Linotype" w:hAnsi="Palatino Linotype" w:cs="Palatino Linotype"/>
          <w:b/>
          <w:lang w:val="es-ES"/>
        </w:rPr>
      </w:pPr>
      <w:r w:rsidRPr="000E6450">
        <w:rPr>
          <w:rFonts w:ascii="Palatino Linotype" w:eastAsia="Palatino Linotype" w:hAnsi="Palatino Linotype" w:cs="Palatino Linotype"/>
          <w:b/>
          <w:lang w:val="es-ES"/>
        </w:rPr>
        <w:t>Derecho de Acceso a la Información Pública:</w:t>
      </w:r>
    </w:p>
    <w:p w:rsidR="00443012" w:rsidRPr="000E6450" w:rsidRDefault="00443012" w:rsidP="00443012">
      <w:pPr>
        <w:spacing w:line="360" w:lineRule="auto"/>
        <w:ind w:right="-91"/>
        <w:jc w:val="both"/>
        <w:rPr>
          <w:rFonts w:ascii="Palatino Linotype" w:eastAsia="Palatino Linotype" w:hAnsi="Palatino Linotype" w:cs="Palatino Linotype"/>
          <w:lang w:val="es-ES"/>
        </w:rPr>
      </w:pPr>
    </w:p>
    <w:p w:rsidR="00443012" w:rsidRPr="000E6450" w:rsidRDefault="00443012" w:rsidP="00443012">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0E6450">
        <w:rPr>
          <w:rFonts w:ascii="Palatino Linotype" w:eastAsia="Palatino Linotype" w:hAnsi="Palatino Linotype" w:cs="Palatino Linotype"/>
          <w:color w:val="000000"/>
          <w:lang w:val="es-ES"/>
        </w:rPr>
        <w:t>Asimismo, el autor anteriormente citado, indica que el derecho de acceso a la información pública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rsidR="00443012" w:rsidRPr="000E6450" w:rsidRDefault="00443012" w:rsidP="00443012">
      <w:pPr>
        <w:spacing w:line="360" w:lineRule="auto"/>
        <w:contextualSpacing/>
        <w:jc w:val="both"/>
        <w:rPr>
          <w:rFonts w:ascii="Palatino Linotype" w:eastAsia="Palatino Linotype" w:hAnsi="Palatino Linotype" w:cs="Palatino Linotype"/>
          <w:color w:val="000000"/>
          <w:lang w:val="es-ES"/>
        </w:rPr>
      </w:pPr>
    </w:p>
    <w:p w:rsidR="00443012" w:rsidRPr="000E6450" w:rsidRDefault="00443012" w:rsidP="00443012">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0E6450">
        <w:rPr>
          <w:rFonts w:ascii="Palatino Linotype" w:eastAsia="Palatino Linotype" w:hAnsi="Palatino Linotype" w:cs="Palatino Linotype"/>
          <w:color w:val="000000"/>
          <w:lang w:val="es-ES"/>
        </w:rPr>
        <w:t xml:space="preserve">Por su parte Ernesto Villanueva define al derecho de acceso a la información pública como la prerrogativa de la persona para acceder a datos, registros y todo tipo de informaciones en poder de las entidades públicas y empresas privadas que </w:t>
      </w:r>
      <w:r w:rsidRPr="000E6450">
        <w:rPr>
          <w:rFonts w:ascii="Palatino Linotype" w:eastAsia="Palatino Linotype" w:hAnsi="Palatino Linotype" w:cs="Palatino Linotype"/>
          <w:color w:val="000000"/>
          <w:lang w:val="es-ES"/>
        </w:rPr>
        <w:lastRenderedPageBreak/>
        <w:t>ejercen gasto público o cumplen funciones de autoridad, con las excepciones taxativas que establezca la ley en una sociedad democrática.</w:t>
      </w:r>
      <w:r w:rsidRPr="000E6450">
        <w:rPr>
          <w:rFonts w:ascii="Palatino Linotype" w:eastAsia="Palatino Linotype" w:hAnsi="Palatino Linotype" w:cs="Palatino Linotype"/>
          <w:color w:val="000000"/>
          <w:lang w:val="es-ES"/>
        </w:rPr>
        <w:footnoteReference w:id="4"/>
      </w:r>
    </w:p>
    <w:p w:rsidR="00443012" w:rsidRPr="000E6450" w:rsidRDefault="00443012" w:rsidP="00443012">
      <w:pPr>
        <w:spacing w:line="360" w:lineRule="auto"/>
        <w:contextualSpacing/>
        <w:jc w:val="both"/>
        <w:rPr>
          <w:rFonts w:ascii="Palatino Linotype" w:eastAsia="Palatino Linotype" w:hAnsi="Palatino Linotype" w:cs="Palatino Linotype"/>
          <w:color w:val="000000"/>
          <w:lang w:val="es-ES"/>
        </w:rPr>
      </w:pPr>
    </w:p>
    <w:p w:rsidR="00443012" w:rsidRPr="000E6450" w:rsidRDefault="00443012" w:rsidP="00443012">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0E6450">
        <w:rPr>
          <w:rFonts w:ascii="Palatino Linotype" w:eastAsia="Palatino Linotype" w:hAnsi="Palatino Linotype" w:cs="Palatino Linotype"/>
          <w:color w:val="000000"/>
          <w:lang w:val="es-ES"/>
        </w:rPr>
        <w:t>Del mismo modo, para diferenciar el derecho de petición del derecho de acceso a la información pública, resulta conveniente citar a José Guadalupe Robles, quien conceptualiza el derecho a la información como "un derecho fundamental tanto de carácter individual como colectivo, cuyas limitaciones deben estar establecidas en la ley, así corno una garantía de que la información sea tramitada con claridad y objetividad, por cuanto a que es un ben jurídico que coadyuva al desarrollo de las personas y a la formación de opinión pública de calidad para poder participar y luego influir en la vida pública.”</w:t>
      </w:r>
      <w:r w:rsidRPr="000E6450">
        <w:rPr>
          <w:rFonts w:ascii="Palatino Linotype" w:eastAsia="Palatino Linotype" w:hAnsi="Palatino Linotype" w:cs="Palatino Linotype"/>
          <w:color w:val="000000"/>
          <w:lang w:val="es-ES"/>
        </w:rPr>
        <w:footnoteReference w:id="5"/>
      </w:r>
    </w:p>
    <w:p w:rsidR="00443012" w:rsidRPr="000E6450" w:rsidRDefault="00443012" w:rsidP="00443012">
      <w:pPr>
        <w:spacing w:line="360" w:lineRule="auto"/>
        <w:contextualSpacing/>
        <w:jc w:val="both"/>
        <w:rPr>
          <w:rFonts w:ascii="Palatino Linotype" w:eastAsia="Palatino Linotype" w:hAnsi="Palatino Linotype" w:cs="Palatino Linotype"/>
          <w:color w:val="000000"/>
          <w:lang w:val="es-ES"/>
        </w:rPr>
      </w:pPr>
    </w:p>
    <w:p w:rsidR="00443012" w:rsidRPr="000E6450" w:rsidRDefault="00443012" w:rsidP="00443012">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0E6450">
        <w:rPr>
          <w:rFonts w:ascii="Palatino Linotype" w:eastAsia="Palatino Linotype" w:hAnsi="Palatino Linotype" w:cs="Palatino Linotype"/>
          <w:color w:val="000000"/>
          <w:lang w:val="es-ES"/>
        </w:rPr>
        <w:t>De ahí que,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443012" w:rsidRPr="000E6450" w:rsidRDefault="00443012" w:rsidP="00443012">
      <w:pPr>
        <w:pBdr>
          <w:top w:val="nil"/>
          <w:left w:val="nil"/>
          <w:bottom w:val="nil"/>
          <w:right w:val="nil"/>
          <w:between w:val="nil"/>
        </w:pBdr>
        <w:spacing w:line="360" w:lineRule="auto"/>
        <w:jc w:val="both"/>
        <w:rPr>
          <w:rFonts w:ascii="Palatino Linotype" w:eastAsia="Palatino Linotype" w:hAnsi="Palatino Linotype" w:cs="Palatino Linotype"/>
          <w:color w:val="000000"/>
          <w:lang w:val="es-ES"/>
        </w:rPr>
      </w:pPr>
    </w:p>
    <w:p w:rsidR="00443012" w:rsidRPr="002673E3" w:rsidRDefault="00443012" w:rsidP="00443012">
      <w:pPr>
        <w:ind w:left="1134" w:right="900"/>
        <w:jc w:val="both"/>
        <w:rPr>
          <w:rFonts w:ascii="Palatino Linotype" w:eastAsia="Palatino Linotype" w:hAnsi="Palatino Linotype" w:cs="Palatino Linotype"/>
          <w:b/>
          <w:i/>
          <w:sz w:val="22"/>
          <w:lang w:val="es-ES"/>
        </w:rPr>
      </w:pPr>
      <w:r w:rsidRPr="002673E3">
        <w:rPr>
          <w:rFonts w:ascii="Palatino Linotype" w:eastAsia="Palatino Linotype" w:hAnsi="Palatino Linotype" w:cs="Palatino Linotype"/>
          <w:b/>
          <w:i/>
          <w:sz w:val="22"/>
          <w:lang w:val="es-ES"/>
        </w:rPr>
        <w:t>“CRITERIO 0002-11</w:t>
      </w:r>
    </w:p>
    <w:p w:rsidR="00443012" w:rsidRPr="002673E3" w:rsidRDefault="00443012" w:rsidP="00443012">
      <w:pPr>
        <w:ind w:left="1134" w:right="900"/>
        <w:jc w:val="both"/>
        <w:rPr>
          <w:rFonts w:ascii="Palatino Linotype" w:eastAsia="Palatino Linotype" w:hAnsi="Palatino Linotype" w:cs="Palatino Linotype"/>
          <w:i/>
          <w:sz w:val="22"/>
          <w:lang w:val="es-ES"/>
        </w:rPr>
      </w:pPr>
      <w:r w:rsidRPr="002673E3">
        <w:rPr>
          <w:rFonts w:ascii="Palatino Linotype" w:eastAsia="Palatino Linotype" w:hAnsi="Palatino Linotype" w:cs="Palatino Linotype"/>
          <w:b/>
          <w:i/>
          <w:sz w:val="22"/>
          <w:lang w:val="es-ES"/>
        </w:rPr>
        <w:t>INFORMACIÓN PÚBLICA, CONCEPTO DE, EN MATERIA DE TRANSPARENCIA. INTERPRETACIÓN TEMÁTICA DE LOS ARTÍCULOS 2, FRACCIÓN V, XV, Y XVI, 32, 4,11 Y 41.</w:t>
      </w:r>
      <w:r w:rsidRPr="002673E3">
        <w:rPr>
          <w:rFonts w:ascii="Palatino Linotype" w:eastAsia="Palatino Linotype" w:hAnsi="Palatino Linotype" w:cs="Palatino Linotype"/>
          <w:i/>
          <w:sz w:val="22"/>
          <w:lang w:val="es-ES"/>
        </w:rPr>
        <w:t xml:space="preserve"> De conformidad </w:t>
      </w:r>
      <w:r w:rsidRPr="002673E3">
        <w:rPr>
          <w:rFonts w:ascii="Palatino Linotype" w:eastAsia="Palatino Linotype" w:hAnsi="Palatino Linotype" w:cs="Palatino Linotype"/>
          <w:i/>
          <w:sz w:val="22"/>
          <w:lang w:val="es-ES"/>
        </w:rPr>
        <w:lastRenderedPageBreak/>
        <w:t>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443012" w:rsidRPr="002673E3" w:rsidRDefault="00443012" w:rsidP="00443012">
      <w:pPr>
        <w:ind w:left="1134" w:right="900"/>
        <w:jc w:val="both"/>
        <w:rPr>
          <w:rFonts w:ascii="Palatino Linotype" w:eastAsia="Palatino Linotype" w:hAnsi="Palatino Linotype" w:cs="Palatino Linotype"/>
          <w:i/>
          <w:sz w:val="22"/>
          <w:lang w:val="es-ES"/>
        </w:rPr>
      </w:pPr>
      <w:r w:rsidRPr="002673E3">
        <w:rPr>
          <w:rFonts w:ascii="Palatino Linotype" w:eastAsia="Palatino Linotype" w:hAnsi="Palatino Linotype" w:cs="Palatino Linotype"/>
          <w:i/>
          <w:sz w:val="22"/>
          <w:lang w:val="es-ES"/>
        </w:rPr>
        <w:t>En consecuencia el acceso a la información se refiere a que se cumplan cualquiera de los siguientes tres supuestos:</w:t>
      </w:r>
    </w:p>
    <w:p w:rsidR="00443012" w:rsidRPr="002673E3" w:rsidRDefault="00443012" w:rsidP="00443012">
      <w:pPr>
        <w:ind w:left="1134" w:right="900"/>
        <w:jc w:val="both"/>
        <w:rPr>
          <w:rFonts w:ascii="Palatino Linotype" w:eastAsia="Palatino Linotype" w:hAnsi="Palatino Linotype" w:cs="Palatino Linotype"/>
          <w:i/>
          <w:sz w:val="22"/>
          <w:lang w:val="es-ES"/>
        </w:rPr>
      </w:pPr>
      <w:r w:rsidRPr="002673E3">
        <w:rPr>
          <w:rFonts w:ascii="Palatino Linotype" w:eastAsia="Palatino Linotype" w:hAnsi="Palatino Linotype" w:cs="Palatino Linotype"/>
          <w:i/>
          <w:sz w:val="22"/>
          <w:lang w:val="es-ES"/>
        </w:rPr>
        <w:t>Que se trate de información registrada en cualquier soporte documental, que en ejercicio de las atribuciones conferidas, sea generada por los Sujetos Obligados;</w:t>
      </w:r>
    </w:p>
    <w:p w:rsidR="00443012" w:rsidRPr="002673E3" w:rsidRDefault="00443012" w:rsidP="00443012">
      <w:pPr>
        <w:ind w:left="1134" w:right="900"/>
        <w:jc w:val="both"/>
        <w:rPr>
          <w:rFonts w:ascii="Palatino Linotype" w:eastAsia="Palatino Linotype" w:hAnsi="Palatino Linotype" w:cs="Palatino Linotype"/>
          <w:i/>
          <w:sz w:val="22"/>
          <w:lang w:val="es-ES"/>
        </w:rPr>
      </w:pPr>
      <w:r w:rsidRPr="002673E3">
        <w:rPr>
          <w:rFonts w:ascii="Palatino Linotype" w:eastAsia="Palatino Linotype" w:hAnsi="Palatino Linotype" w:cs="Palatino Linotype"/>
          <w:i/>
          <w:sz w:val="22"/>
          <w:lang w:val="es-ES"/>
        </w:rPr>
        <w:t>Que se trate de información registrada en cualquier soporte documental, que en ejercicio de las atribuciones conferidas, sea administrada por los Sujetos Obligados, y</w:t>
      </w:r>
    </w:p>
    <w:p w:rsidR="00443012" w:rsidRPr="002673E3" w:rsidRDefault="00443012" w:rsidP="00443012">
      <w:pPr>
        <w:ind w:left="1134" w:right="900"/>
        <w:jc w:val="both"/>
        <w:rPr>
          <w:rFonts w:ascii="Palatino Linotype" w:eastAsia="Palatino Linotype" w:hAnsi="Palatino Linotype" w:cs="Palatino Linotype"/>
          <w:i/>
          <w:sz w:val="22"/>
          <w:lang w:val="es-ES"/>
        </w:rPr>
      </w:pPr>
      <w:r w:rsidRPr="002673E3">
        <w:rPr>
          <w:rFonts w:ascii="Palatino Linotype" w:eastAsia="Palatino Linotype" w:hAnsi="Palatino Linotype" w:cs="Palatino Linotype"/>
          <w:i/>
          <w:sz w:val="22"/>
          <w:lang w:val="es-ES"/>
        </w:rPr>
        <w:t>Que se trate de información registrada en cualquier soporte documental, que en ejercicio de las atribuciones conferidas, se encuentre en posesión de los Sujetos Obligados.”(Sic)</w:t>
      </w:r>
    </w:p>
    <w:p w:rsidR="00443012" w:rsidRPr="000E6450" w:rsidRDefault="00443012" w:rsidP="00443012">
      <w:pPr>
        <w:ind w:left="1134" w:right="900"/>
        <w:jc w:val="both"/>
        <w:rPr>
          <w:rFonts w:ascii="Palatino Linotype" w:eastAsia="Palatino Linotype" w:hAnsi="Palatino Linotype" w:cs="Palatino Linotype"/>
          <w:i/>
          <w:color w:val="000000"/>
          <w:lang w:val="es-ES"/>
        </w:rPr>
      </w:pPr>
    </w:p>
    <w:p w:rsidR="00443012" w:rsidRPr="000E6450" w:rsidRDefault="00443012" w:rsidP="00443012">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0E6450">
        <w:rPr>
          <w:rFonts w:ascii="Palatino Linotype" w:eastAsia="Palatino Linotype" w:hAnsi="Palatino Linotype" w:cs="Palatino Linotype"/>
          <w:color w:val="000000"/>
          <w:lang w:val="es-ES"/>
        </w:rPr>
        <w:t>De lo anterior se puede concluir que la distinción entre el derecho de petición y el derecho de acceso a la información, principalmente, es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rsidR="00443012" w:rsidRPr="000E6450" w:rsidRDefault="00443012" w:rsidP="00443012">
      <w:pPr>
        <w:spacing w:line="360" w:lineRule="auto"/>
        <w:contextualSpacing/>
        <w:jc w:val="both"/>
        <w:rPr>
          <w:rFonts w:ascii="Palatino Linotype" w:eastAsia="Palatino Linotype" w:hAnsi="Palatino Linotype" w:cs="Palatino Linotype"/>
          <w:color w:val="000000"/>
          <w:lang w:val="es-ES"/>
        </w:rPr>
      </w:pPr>
    </w:p>
    <w:p w:rsidR="00443012" w:rsidRPr="000E6450" w:rsidRDefault="00443012" w:rsidP="00443012">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0E6450">
        <w:rPr>
          <w:rFonts w:ascii="Palatino Linotype" w:eastAsia="Palatino Linotype" w:hAnsi="Palatino Linotype" w:cs="Palatino Linotype"/>
          <w:color w:val="000000"/>
          <w:lang w:val="es-ES"/>
        </w:rPr>
        <w:t xml:space="preserve">Con base a lo anterior, tenemos que el </w:t>
      </w:r>
      <w:r w:rsidRPr="000E6450">
        <w:rPr>
          <w:rFonts w:ascii="Palatino Linotype" w:eastAsia="Palatino Linotype" w:hAnsi="Palatino Linotype" w:cs="Palatino Linotype"/>
          <w:b/>
          <w:color w:val="000000"/>
          <w:lang w:val="es-ES"/>
        </w:rPr>
        <w:t xml:space="preserve">RECURRENTE </w:t>
      </w:r>
      <w:r w:rsidRPr="000E6450">
        <w:rPr>
          <w:rFonts w:ascii="Palatino Linotype" w:eastAsia="Palatino Linotype" w:hAnsi="Palatino Linotype" w:cs="Palatino Linotype"/>
          <w:color w:val="000000"/>
          <w:lang w:val="es-ES"/>
        </w:rPr>
        <w:t xml:space="preserve">en su solicitud de información requiere de una explicación o bien una razón a una </w:t>
      </w:r>
      <w:r w:rsidRPr="000E6450">
        <w:rPr>
          <w:rFonts w:ascii="Palatino Linotype" w:eastAsia="Palatino Linotype" w:hAnsi="Palatino Linotype" w:cs="Palatino Linotype"/>
          <w:b/>
          <w:color w:val="000000"/>
          <w:lang w:val="es-ES"/>
        </w:rPr>
        <w:t>consulta</w:t>
      </w:r>
      <w:r w:rsidRPr="000E6450">
        <w:rPr>
          <w:rFonts w:ascii="Palatino Linotype" w:eastAsia="Palatino Linotype" w:hAnsi="Palatino Linotype" w:cs="Palatino Linotype"/>
          <w:color w:val="000000"/>
          <w:lang w:val="es-ES"/>
        </w:rPr>
        <w:t xml:space="preserve"> sobre un caso específico por parte del </w:t>
      </w:r>
      <w:r w:rsidRPr="000E6450">
        <w:rPr>
          <w:rFonts w:ascii="Palatino Linotype" w:eastAsia="Palatino Linotype" w:hAnsi="Palatino Linotype" w:cs="Palatino Linotype"/>
          <w:b/>
          <w:color w:val="000000"/>
          <w:lang w:val="es-ES"/>
        </w:rPr>
        <w:t>SUJETO OBLIGADO</w:t>
      </w:r>
      <w:r w:rsidRPr="000E6450">
        <w:rPr>
          <w:rFonts w:ascii="Palatino Linotype" w:eastAsia="Palatino Linotype" w:hAnsi="Palatino Linotype" w:cs="Palatino Linotype"/>
          <w:color w:val="000000"/>
          <w:lang w:val="es-ES"/>
        </w:rPr>
        <w:t xml:space="preserve">; por consiguiente, la entrega de una razón o la respuesta a cuestionamientos que no encuentren soporte documental alguno, por parte de los Sujetos Obligados no es algo que la Ley de la Materia </w:t>
      </w:r>
      <w:r w:rsidRPr="000E6450">
        <w:rPr>
          <w:rFonts w:ascii="Palatino Linotype" w:eastAsia="Palatino Linotype" w:hAnsi="Palatino Linotype" w:cs="Palatino Linotype"/>
          <w:color w:val="000000"/>
          <w:lang w:val="es-ES"/>
        </w:rPr>
        <w:lastRenderedPageBreak/>
        <w:t>establezca como atribución,  derecho o facultad; pues ello implicaría emitir un juicio de valor referente a cuestionamientos realizados, los cuales como ha quedado explicado, al constituir interrogantes, inquietudes, quejas y manifestaciones resultan estar encaminadas a ser satisfechas en ejercicio del derecho de petición.</w:t>
      </w:r>
    </w:p>
    <w:p w:rsidR="00443012" w:rsidRPr="000E6450" w:rsidRDefault="00443012" w:rsidP="00443012">
      <w:pPr>
        <w:spacing w:line="360" w:lineRule="auto"/>
        <w:contextualSpacing/>
        <w:jc w:val="both"/>
        <w:rPr>
          <w:rFonts w:ascii="Palatino Linotype" w:eastAsia="Palatino Linotype" w:hAnsi="Palatino Linotype" w:cs="Palatino Linotype"/>
          <w:color w:val="000000"/>
          <w:lang w:val="es-ES"/>
        </w:rPr>
      </w:pPr>
    </w:p>
    <w:p w:rsidR="00443012" w:rsidRPr="000E6450" w:rsidRDefault="00443012" w:rsidP="00443012">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0E6450">
        <w:rPr>
          <w:rFonts w:ascii="Palatino Linotype" w:eastAsia="Palatino Linotype" w:hAnsi="Palatino Linotype" w:cs="Palatino Linotype"/>
          <w:color w:val="000000"/>
          <w:lang w:val="es-ES"/>
        </w:rPr>
        <w:t xml:space="preserve">Además, es de resaltar que este Instituto de Transparencia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 solicitud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un derecho de petición ejercido por un gobernado; en consecuencia, este Instinto no tiene atribuciones para pronunciarse respecto a las manifestaciones expuestas por el particular ya que son tendentes a que el </w:t>
      </w:r>
      <w:r w:rsidRPr="000E6450">
        <w:rPr>
          <w:rFonts w:ascii="Palatino Linotype" w:eastAsia="Palatino Linotype" w:hAnsi="Palatino Linotype" w:cs="Palatino Linotype"/>
          <w:b/>
          <w:color w:val="000000"/>
          <w:lang w:val="es-ES"/>
        </w:rPr>
        <w:t>SUJETO OBLIGADO</w:t>
      </w:r>
      <w:r w:rsidRPr="000E6450">
        <w:rPr>
          <w:rFonts w:ascii="Palatino Linotype" w:eastAsia="Palatino Linotype" w:hAnsi="Palatino Linotype" w:cs="Palatino Linotype"/>
          <w:color w:val="000000"/>
          <w:lang w:val="es-ES"/>
        </w:rPr>
        <w:t xml:space="preserve"> aclare una inquietud, respecto a un supuesto especifico. </w:t>
      </w:r>
    </w:p>
    <w:p w:rsidR="00443012" w:rsidRPr="000E6450" w:rsidRDefault="00443012" w:rsidP="00443012">
      <w:pPr>
        <w:spacing w:line="360" w:lineRule="auto"/>
        <w:contextualSpacing/>
        <w:jc w:val="both"/>
        <w:rPr>
          <w:rFonts w:ascii="Palatino Linotype" w:eastAsia="Palatino Linotype" w:hAnsi="Palatino Linotype" w:cs="Palatino Linotype"/>
          <w:color w:val="000000"/>
          <w:lang w:val="es-ES"/>
        </w:rPr>
      </w:pPr>
    </w:p>
    <w:p w:rsidR="00443012" w:rsidRPr="000E6450" w:rsidRDefault="00443012" w:rsidP="00443012">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0E6450">
        <w:rPr>
          <w:rFonts w:ascii="Palatino Linotype" w:eastAsia="Palatino Linotype" w:hAnsi="Palatino Linotype" w:cs="Palatino Linotype"/>
          <w:color w:val="000000"/>
          <w:lang w:val="es-ES"/>
        </w:rPr>
        <w:t xml:space="preserve">En virtud de los argumentos expuestos con anterioridad así como del análisis realizado a las constancias que obran en el expediente electrónico del recurso de revisión </w:t>
      </w:r>
      <w:r>
        <w:rPr>
          <w:rFonts w:ascii="Palatino Linotype" w:eastAsia="Palatino Linotype" w:hAnsi="Palatino Linotype" w:cs="Palatino Linotype"/>
          <w:b/>
          <w:color w:val="000000"/>
          <w:lang w:val="es-ES"/>
        </w:rPr>
        <w:t>02378/INFOEM/IP/RR/2024</w:t>
      </w:r>
      <w:r w:rsidRPr="000E6450">
        <w:rPr>
          <w:rFonts w:ascii="Palatino Linotype" w:eastAsia="Palatino Linotype" w:hAnsi="Palatino Linotype" w:cs="Palatino Linotype"/>
          <w:color w:val="000000"/>
          <w:lang w:val="es-ES"/>
        </w:rPr>
        <w:t xml:space="preserve">, se determina </w:t>
      </w:r>
      <w:r w:rsidRPr="000E6450">
        <w:rPr>
          <w:rFonts w:ascii="Palatino Linotype" w:eastAsia="Palatino Linotype" w:hAnsi="Palatino Linotype" w:cs="Palatino Linotype"/>
          <w:b/>
          <w:color w:val="000000"/>
          <w:lang w:val="es-ES"/>
        </w:rPr>
        <w:t>sobreseer</w:t>
      </w:r>
      <w:r w:rsidRPr="000E6450">
        <w:rPr>
          <w:rFonts w:ascii="Palatino Linotype" w:eastAsia="Palatino Linotype" w:hAnsi="Palatino Linotype" w:cs="Palatino Linotype"/>
          <w:color w:val="000000"/>
          <w:lang w:val="es-ES"/>
        </w:rPr>
        <w:t xml:space="preserve"> 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la fracción VI del artículo 191 del ordenamiento legal en cita, los que se transcriben a continuación, para un mejor entendimiento:</w:t>
      </w:r>
    </w:p>
    <w:p w:rsidR="00443012" w:rsidRPr="000E6450" w:rsidRDefault="00443012" w:rsidP="00443012">
      <w:pPr>
        <w:pBdr>
          <w:top w:val="nil"/>
          <w:left w:val="nil"/>
          <w:bottom w:val="nil"/>
          <w:right w:val="nil"/>
          <w:between w:val="nil"/>
        </w:pBdr>
        <w:ind w:left="567" w:right="616"/>
        <w:jc w:val="both"/>
        <w:rPr>
          <w:rFonts w:ascii="Palatino Linotype" w:eastAsia="Palatino Linotype" w:hAnsi="Palatino Linotype" w:cs="Palatino Linotype"/>
          <w:i/>
          <w:color w:val="000000"/>
          <w:lang w:val="es-ES"/>
        </w:rPr>
      </w:pPr>
    </w:p>
    <w:p w:rsidR="00443012" w:rsidRPr="002673E3" w:rsidRDefault="00443012" w:rsidP="00443012">
      <w:pPr>
        <w:pBdr>
          <w:top w:val="nil"/>
          <w:left w:val="nil"/>
          <w:bottom w:val="nil"/>
          <w:right w:val="nil"/>
          <w:between w:val="nil"/>
        </w:pBdr>
        <w:ind w:left="1134" w:right="900"/>
        <w:jc w:val="both"/>
        <w:rPr>
          <w:rFonts w:ascii="Palatino Linotype" w:eastAsia="Palatino Linotype" w:hAnsi="Palatino Linotype" w:cs="Palatino Linotype"/>
          <w:i/>
          <w:color w:val="000000"/>
          <w:sz w:val="22"/>
          <w:lang w:val="es-ES"/>
        </w:rPr>
      </w:pPr>
      <w:r w:rsidRPr="002673E3">
        <w:rPr>
          <w:rFonts w:ascii="Palatino Linotype" w:eastAsia="Palatino Linotype" w:hAnsi="Palatino Linotype" w:cs="Palatino Linotype"/>
          <w:i/>
          <w:color w:val="000000"/>
          <w:sz w:val="22"/>
          <w:lang w:val="es-ES"/>
        </w:rPr>
        <w:t>“</w:t>
      </w:r>
      <w:r w:rsidRPr="002673E3">
        <w:rPr>
          <w:rFonts w:ascii="Palatino Linotype" w:eastAsia="Palatino Linotype" w:hAnsi="Palatino Linotype" w:cs="Palatino Linotype"/>
          <w:b/>
          <w:i/>
          <w:color w:val="000000"/>
          <w:sz w:val="22"/>
          <w:lang w:val="es-ES"/>
        </w:rPr>
        <w:t>Artículo 192.</w:t>
      </w:r>
      <w:r w:rsidRPr="002673E3">
        <w:rPr>
          <w:rFonts w:ascii="Palatino Linotype" w:eastAsia="Palatino Linotype" w:hAnsi="Palatino Linotype" w:cs="Palatino Linotype"/>
          <w:i/>
          <w:color w:val="000000"/>
          <w:sz w:val="22"/>
          <w:lang w:val="es-ES"/>
        </w:rPr>
        <w:t xml:space="preserve"> El recurso será sobreseído, en todo o en parte, cuando una vez admitido, se actualicen alguno de los siguientes supuestos:</w:t>
      </w:r>
    </w:p>
    <w:p w:rsidR="00443012" w:rsidRPr="002673E3" w:rsidRDefault="00443012" w:rsidP="00443012">
      <w:pPr>
        <w:pBdr>
          <w:top w:val="nil"/>
          <w:left w:val="nil"/>
          <w:bottom w:val="nil"/>
          <w:right w:val="nil"/>
          <w:between w:val="nil"/>
        </w:pBdr>
        <w:ind w:left="1134" w:right="900"/>
        <w:jc w:val="both"/>
        <w:rPr>
          <w:rFonts w:ascii="Palatino Linotype" w:eastAsia="Palatino Linotype" w:hAnsi="Palatino Linotype" w:cs="Palatino Linotype"/>
          <w:i/>
          <w:color w:val="000000"/>
          <w:sz w:val="22"/>
          <w:lang w:val="es-ES"/>
        </w:rPr>
      </w:pPr>
      <w:r w:rsidRPr="002673E3">
        <w:rPr>
          <w:rFonts w:ascii="Palatino Linotype" w:eastAsia="Palatino Linotype" w:hAnsi="Palatino Linotype" w:cs="Palatino Linotype"/>
          <w:i/>
          <w:color w:val="000000"/>
          <w:sz w:val="22"/>
          <w:lang w:val="es-ES"/>
        </w:rPr>
        <w:t>…</w:t>
      </w:r>
    </w:p>
    <w:p w:rsidR="00443012" w:rsidRPr="002673E3" w:rsidRDefault="00443012" w:rsidP="00443012">
      <w:pPr>
        <w:pBdr>
          <w:top w:val="nil"/>
          <w:left w:val="nil"/>
          <w:bottom w:val="nil"/>
          <w:right w:val="nil"/>
          <w:between w:val="nil"/>
        </w:pBdr>
        <w:ind w:left="1134" w:right="900"/>
        <w:jc w:val="both"/>
        <w:rPr>
          <w:rFonts w:ascii="Palatino Linotype" w:eastAsia="Palatino Linotype" w:hAnsi="Palatino Linotype" w:cs="Palatino Linotype"/>
          <w:i/>
          <w:color w:val="000000"/>
          <w:sz w:val="22"/>
          <w:lang w:val="es-ES"/>
        </w:rPr>
      </w:pPr>
      <w:r w:rsidRPr="002673E3">
        <w:rPr>
          <w:rFonts w:ascii="Palatino Linotype" w:eastAsia="Palatino Linotype" w:hAnsi="Palatino Linotype" w:cs="Palatino Linotype"/>
          <w:b/>
          <w:i/>
          <w:color w:val="000000"/>
          <w:sz w:val="22"/>
          <w:lang w:val="es-ES"/>
        </w:rPr>
        <w:t>IV</w:t>
      </w:r>
      <w:r w:rsidRPr="002673E3">
        <w:rPr>
          <w:rFonts w:ascii="Palatino Linotype" w:eastAsia="Palatino Linotype" w:hAnsi="Palatino Linotype" w:cs="Palatino Linotype"/>
          <w:i/>
          <w:color w:val="000000"/>
          <w:sz w:val="22"/>
          <w:lang w:val="es-ES"/>
        </w:rPr>
        <w:t xml:space="preserve">. Admitido el recurso de revisión, </w:t>
      </w:r>
      <w:r w:rsidRPr="002673E3">
        <w:rPr>
          <w:rFonts w:ascii="Palatino Linotype" w:eastAsia="Palatino Linotype" w:hAnsi="Palatino Linotype" w:cs="Palatino Linotype"/>
          <w:b/>
          <w:i/>
          <w:color w:val="000000"/>
          <w:sz w:val="22"/>
          <w:lang w:val="es-ES"/>
        </w:rPr>
        <w:t>aparezca alguna causal de improcedencia</w:t>
      </w:r>
      <w:r w:rsidRPr="002673E3">
        <w:rPr>
          <w:rFonts w:ascii="Palatino Linotype" w:eastAsia="Palatino Linotype" w:hAnsi="Palatino Linotype" w:cs="Palatino Linotype"/>
          <w:i/>
          <w:color w:val="000000"/>
          <w:sz w:val="22"/>
          <w:lang w:val="es-ES"/>
        </w:rPr>
        <w:t xml:space="preserve"> en los términos de la presente Ley…</w:t>
      </w:r>
    </w:p>
    <w:p w:rsidR="00443012" w:rsidRPr="002673E3" w:rsidRDefault="00443012" w:rsidP="00443012">
      <w:pPr>
        <w:pBdr>
          <w:top w:val="nil"/>
          <w:left w:val="nil"/>
          <w:bottom w:val="nil"/>
          <w:right w:val="nil"/>
          <w:between w:val="nil"/>
        </w:pBdr>
        <w:ind w:left="1134" w:right="900"/>
        <w:jc w:val="both"/>
        <w:rPr>
          <w:rFonts w:ascii="Palatino Linotype" w:eastAsia="Palatino Linotype" w:hAnsi="Palatino Linotype" w:cs="Palatino Linotype"/>
          <w:i/>
          <w:color w:val="000000"/>
          <w:sz w:val="22"/>
          <w:lang w:val="es-ES"/>
        </w:rPr>
      </w:pPr>
    </w:p>
    <w:p w:rsidR="00443012" w:rsidRPr="002673E3" w:rsidRDefault="00443012" w:rsidP="00443012">
      <w:pPr>
        <w:pBdr>
          <w:top w:val="nil"/>
          <w:left w:val="nil"/>
          <w:bottom w:val="nil"/>
          <w:right w:val="nil"/>
          <w:between w:val="nil"/>
        </w:pBdr>
        <w:ind w:left="1134" w:right="900"/>
        <w:jc w:val="both"/>
        <w:rPr>
          <w:rFonts w:ascii="Palatino Linotype" w:eastAsia="Palatino Linotype" w:hAnsi="Palatino Linotype" w:cs="Palatino Linotype"/>
          <w:i/>
          <w:color w:val="000000"/>
          <w:sz w:val="22"/>
          <w:lang w:val="es-ES"/>
        </w:rPr>
      </w:pPr>
      <w:r w:rsidRPr="002673E3">
        <w:rPr>
          <w:rFonts w:ascii="Palatino Linotype" w:eastAsia="Palatino Linotype" w:hAnsi="Palatino Linotype" w:cs="Palatino Linotype"/>
          <w:b/>
          <w:i/>
          <w:color w:val="000000"/>
          <w:sz w:val="22"/>
          <w:lang w:val="es-ES"/>
        </w:rPr>
        <w:t>Artículo 191</w:t>
      </w:r>
      <w:r w:rsidRPr="002673E3">
        <w:rPr>
          <w:rFonts w:ascii="Palatino Linotype" w:eastAsia="Palatino Linotype" w:hAnsi="Palatino Linotype" w:cs="Palatino Linotype"/>
          <w:i/>
          <w:color w:val="000000"/>
          <w:sz w:val="22"/>
          <w:lang w:val="es-ES"/>
        </w:rPr>
        <w:t xml:space="preserve">. </w:t>
      </w:r>
      <w:r w:rsidRPr="002673E3">
        <w:rPr>
          <w:rFonts w:ascii="Palatino Linotype" w:eastAsia="Palatino Linotype" w:hAnsi="Palatino Linotype" w:cs="Palatino Linotype"/>
          <w:b/>
          <w:i/>
          <w:color w:val="000000"/>
          <w:sz w:val="22"/>
          <w:lang w:val="es-ES"/>
        </w:rPr>
        <w:t>El recurso</w:t>
      </w:r>
      <w:r w:rsidRPr="002673E3">
        <w:rPr>
          <w:rFonts w:ascii="Palatino Linotype" w:eastAsia="Palatino Linotype" w:hAnsi="Palatino Linotype" w:cs="Palatino Linotype"/>
          <w:i/>
          <w:color w:val="000000"/>
          <w:sz w:val="22"/>
          <w:lang w:val="es-ES"/>
        </w:rPr>
        <w:t xml:space="preserve"> </w:t>
      </w:r>
      <w:r w:rsidRPr="002673E3">
        <w:rPr>
          <w:rFonts w:ascii="Palatino Linotype" w:eastAsia="Palatino Linotype" w:hAnsi="Palatino Linotype" w:cs="Palatino Linotype"/>
          <w:b/>
          <w:i/>
          <w:color w:val="000000"/>
          <w:sz w:val="22"/>
          <w:lang w:val="es-ES"/>
        </w:rPr>
        <w:t xml:space="preserve">será </w:t>
      </w:r>
      <w:r w:rsidRPr="002673E3">
        <w:rPr>
          <w:rFonts w:ascii="Palatino Linotype" w:eastAsia="Palatino Linotype" w:hAnsi="Palatino Linotype" w:cs="Palatino Linotype"/>
          <w:i/>
          <w:color w:val="000000"/>
          <w:sz w:val="22"/>
          <w:lang w:val="es-ES"/>
        </w:rPr>
        <w:t xml:space="preserve">desechado por </w:t>
      </w:r>
      <w:r w:rsidRPr="002673E3">
        <w:rPr>
          <w:rFonts w:ascii="Palatino Linotype" w:eastAsia="Palatino Linotype" w:hAnsi="Palatino Linotype" w:cs="Palatino Linotype"/>
          <w:b/>
          <w:i/>
          <w:color w:val="000000"/>
          <w:sz w:val="22"/>
          <w:lang w:val="es-ES"/>
        </w:rPr>
        <w:t>improcedente cuando</w:t>
      </w:r>
      <w:r w:rsidRPr="002673E3">
        <w:rPr>
          <w:rFonts w:ascii="Palatino Linotype" w:eastAsia="Palatino Linotype" w:hAnsi="Palatino Linotype" w:cs="Palatino Linotype"/>
          <w:i/>
          <w:color w:val="000000"/>
          <w:sz w:val="22"/>
          <w:lang w:val="es-ES"/>
        </w:rPr>
        <w:t>:</w:t>
      </w:r>
    </w:p>
    <w:p w:rsidR="00443012" w:rsidRPr="002673E3" w:rsidRDefault="00443012" w:rsidP="00443012">
      <w:pPr>
        <w:pBdr>
          <w:top w:val="nil"/>
          <w:left w:val="nil"/>
          <w:bottom w:val="nil"/>
          <w:right w:val="nil"/>
          <w:between w:val="nil"/>
        </w:pBdr>
        <w:ind w:left="1134" w:right="900"/>
        <w:jc w:val="both"/>
        <w:rPr>
          <w:rFonts w:ascii="Palatino Linotype" w:eastAsia="Palatino Linotype" w:hAnsi="Palatino Linotype" w:cs="Palatino Linotype"/>
          <w:i/>
          <w:color w:val="000000"/>
          <w:sz w:val="22"/>
          <w:lang w:val="es-ES"/>
        </w:rPr>
      </w:pPr>
      <w:r w:rsidRPr="002673E3">
        <w:rPr>
          <w:rFonts w:ascii="Palatino Linotype" w:eastAsia="Palatino Linotype" w:hAnsi="Palatino Linotype" w:cs="Palatino Linotype"/>
          <w:i/>
          <w:color w:val="000000"/>
          <w:sz w:val="22"/>
          <w:lang w:val="es-ES"/>
        </w:rPr>
        <w:t>…</w:t>
      </w:r>
    </w:p>
    <w:p w:rsidR="00443012" w:rsidRPr="002673E3" w:rsidRDefault="00443012" w:rsidP="00443012">
      <w:pPr>
        <w:pBdr>
          <w:top w:val="nil"/>
          <w:left w:val="nil"/>
          <w:bottom w:val="nil"/>
          <w:right w:val="nil"/>
          <w:between w:val="nil"/>
        </w:pBdr>
        <w:ind w:left="1134" w:right="900"/>
        <w:jc w:val="both"/>
        <w:rPr>
          <w:rFonts w:ascii="Palatino Linotype" w:eastAsia="Palatino Linotype" w:hAnsi="Palatino Linotype" w:cs="Palatino Linotype"/>
          <w:i/>
          <w:color w:val="000000"/>
          <w:sz w:val="22"/>
          <w:lang w:val="es-ES"/>
        </w:rPr>
      </w:pPr>
      <w:r w:rsidRPr="002673E3">
        <w:rPr>
          <w:rFonts w:ascii="Palatino Linotype" w:eastAsia="Palatino Linotype" w:hAnsi="Palatino Linotype" w:cs="Palatino Linotype"/>
          <w:b/>
          <w:i/>
          <w:color w:val="000000"/>
          <w:sz w:val="22"/>
          <w:lang w:val="es-ES"/>
        </w:rPr>
        <w:t>VI. Se trate de una consulta</w:t>
      </w:r>
      <w:r w:rsidRPr="002673E3">
        <w:rPr>
          <w:rFonts w:ascii="Palatino Linotype" w:eastAsia="Palatino Linotype" w:hAnsi="Palatino Linotype" w:cs="Palatino Linotype"/>
          <w:i/>
          <w:color w:val="000000"/>
          <w:sz w:val="22"/>
          <w:lang w:val="es-ES"/>
        </w:rPr>
        <w:t>, o tramite en específico... (Sic)</w:t>
      </w:r>
    </w:p>
    <w:p w:rsidR="00443012" w:rsidRPr="000E6450" w:rsidRDefault="00443012" w:rsidP="00443012">
      <w:pPr>
        <w:spacing w:before="240" w:line="360" w:lineRule="auto"/>
        <w:jc w:val="both"/>
        <w:rPr>
          <w:rFonts w:ascii="Palatino Linotype" w:eastAsia="Palatino Linotype" w:hAnsi="Palatino Linotype" w:cs="Palatino Linotype"/>
          <w:lang w:val="es-ES"/>
        </w:rPr>
      </w:pPr>
    </w:p>
    <w:p w:rsidR="00443012" w:rsidRPr="002673E3" w:rsidRDefault="00443012" w:rsidP="00443012">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0E6450">
        <w:rPr>
          <w:rFonts w:ascii="Palatino Linotype" w:eastAsia="Palatino Linotype" w:hAnsi="Palatino Linotype" w:cs="Palatino Linotype"/>
          <w:color w:val="000000"/>
          <w:lang w:val="es-ES"/>
        </w:rPr>
        <w:t>Siendo el sobreseimiento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rsidR="00443012" w:rsidRPr="002673E3" w:rsidRDefault="00443012" w:rsidP="00443012">
      <w:pPr>
        <w:pBdr>
          <w:top w:val="nil"/>
          <w:left w:val="nil"/>
          <w:bottom w:val="nil"/>
          <w:right w:val="nil"/>
          <w:between w:val="nil"/>
        </w:pBdr>
        <w:ind w:left="1134" w:right="902"/>
        <w:jc w:val="both"/>
        <w:rPr>
          <w:rFonts w:ascii="Palatino Linotype" w:eastAsia="Palatino Linotype" w:hAnsi="Palatino Linotype" w:cs="Palatino Linotype"/>
          <w:b/>
          <w:i/>
          <w:color w:val="000000"/>
          <w:sz w:val="22"/>
        </w:rPr>
      </w:pPr>
      <w:r w:rsidRPr="002673E3">
        <w:rPr>
          <w:rFonts w:ascii="Palatino Linotype" w:eastAsia="Palatino Linotype" w:hAnsi="Palatino Linotype" w:cs="Palatino Linotype"/>
          <w:i/>
          <w:color w:val="000000"/>
          <w:sz w:val="22"/>
        </w:rPr>
        <w:lastRenderedPageBreak/>
        <w:t>“</w:t>
      </w:r>
      <w:r w:rsidRPr="002673E3">
        <w:rPr>
          <w:rFonts w:ascii="Palatino Linotype" w:eastAsia="Palatino Linotype" w:hAnsi="Palatino Linotype" w:cs="Palatino Linotype"/>
          <w:b/>
          <w:i/>
          <w:color w:val="000000"/>
          <w:sz w:val="22"/>
        </w:rPr>
        <w:t>SOBRESEIMIENTO, NO PERMITE ENTRAR AL ESTUDIO DE LAS CUESTIONES DE FONDO</w:t>
      </w:r>
    </w:p>
    <w:p w:rsidR="00443012" w:rsidRPr="002673E3" w:rsidRDefault="00443012" w:rsidP="00443012">
      <w:pPr>
        <w:pBdr>
          <w:top w:val="nil"/>
          <w:left w:val="nil"/>
          <w:bottom w:val="nil"/>
          <w:right w:val="nil"/>
          <w:between w:val="nil"/>
        </w:pBdr>
        <w:ind w:left="1134" w:right="902"/>
        <w:jc w:val="both"/>
        <w:rPr>
          <w:rFonts w:ascii="Palatino Linotype" w:eastAsia="Palatino Linotype" w:hAnsi="Palatino Linotype" w:cs="Palatino Linotype"/>
          <w:i/>
          <w:color w:val="000000"/>
          <w:sz w:val="22"/>
        </w:rPr>
      </w:pPr>
      <w:r w:rsidRPr="002673E3">
        <w:rPr>
          <w:rFonts w:ascii="Palatino Linotype" w:eastAsia="Palatino Linotype" w:hAnsi="Palatino Linotype" w:cs="Palatino Linotype"/>
          <w:i/>
          <w:color w:val="000000"/>
          <w:sz w:val="22"/>
        </w:rPr>
        <w:t>Localización: 213609. II.2o.183 K. Tribunales Colegiados de Circuito. Octava Época. Semanario Judicial de la Federación. Tomo XIII, Febrero de 1994, Pág. 420</w:t>
      </w:r>
    </w:p>
    <w:p w:rsidR="00443012" w:rsidRPr="002673E3" w:rsidRDefault="00443012" w:rsidP="00443012">
      <w:pPr>
        <w:pBdr>
          <w:top w:val="nil"/>
          <w:left w:val="nil"/>
          <w:bottom w:val="nil"/>
          <w:right w:val="nil"/>
          <w:between w:val="nil"/>
        </w:pBdr>
        <w:ind w:left="1134" w:right="902"/>
        <w:jc w:val="both"/>
        <w:rPr>
          <w:rFonts w:ascii="Palatino Linotype" w:eastAsia="Palatino Linotype" w:hAnsi="Palatino Linotype" w:cs="Palatino Linotype"/>
          <w:i/>
          <w:color w:val="000000"/>
          <w:sz w:val="22"/>
        </w:rPr>
      </w:pPr>
      <w:r w:rsidRPr="002673E3">
        <w:rPr>
          <w:rFonts w:ascii="Palatino Linotype" w:eastAsia="Palatino Linotype" w:hAnsi="Palatino Linotype" w:cs="Palatino Linotype"/>
          <w:i/>
          <w:color w:val="000000"/>
          <w:sz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rsidR="00443012" w:rsidRPr="000E6450" w:rsidRDefault="00443012" w:rsidP="00443012">
      <w:pPr>
        <w:pBdr>
          <w:top w:val="nil"/>
          <w:left w:val="nil"/>
          <w:bottom w:val="nil"/>
          <w:right w:val="nil"/>
          <w:between w:val="nil"/>
        </w:pBdr>
        <w:ind w:left="360" w:right="902"/>
        <w:jc w:val="both"/>
        <w:rPr>
          <w:rFonts w:ascii="Palatino Linotype" w:eastAsia="Palatino Linotype" w:hAnsi="Palatino Linotype" w:cs="Palatino Linotype"/>
          <w:i/>
          <w:color w:val="000000"/>
        </w:rPr>
      </w:pPr>
    </w:p>
    <w:p w:rsidR="00443012" w:rsidRPr="000E6450" w:rsidRDefault="00443012" w:rsidP="00443012">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0E6450">
        <w:rPr>
          <w:rFonts w:ascii="Palatino Linotype" w:eastAsia="Palatino Linotype" w:hAnsi="Palatino Linotype" w:cs="Palatino Linotype"/>
          <w:color w:val="000000"/>
          <w:lang w:val="es-ES"/>
        </w:rPr>
        <w:t>Cabe destacar que la decisión de este Organismo Colegiado de sobreseer el recurso de revisión no implica una limitación o negación a la justicia, según lo ha establecido el Poder Judicial Federal, en el criterio que es aplicable por analogía, con rubro:</w:t>
      </w:r>
    </w:p>
    <w:p w:rsidR="00443012" w:rsidRPr="002673E3" w:rsidRDefault="00443012" w:rsidP="00443012">
      <w:pPr>
        <w:pBdr>
          <w:top w:val="nil"/>
          <w:left w:val="nil"/>
          <w:bottom w:val="nil"/>
          <w:right w:val="nil"/>
          <w:between w:val="nil"/>
        </w:pBdr>
        <w:ind w:left="1134" w:right="902"/>
        <w:jc w:val="both"/>
        <w:rPr>
          <w:rFonts w:ascii="Palatino Linotype" w:eastAsia="Palatino Linotype" w:hAnsi="Palatino Linotype" w:cs="Palatino Linotype"/>
          <w:b/>
          <w:i/>
          <w:color w:val="000000"/>
          <w:sz w:val="22"/>
        </w:rPr>
      </w:pPr>
      <w:r w:rsidRPr="002673E3">
        <w:rPr>
          <w:rFonts w:ascii="Palatino Linotype" w:eastAsia="Palatino Linotype" w:hAnsi="Palatino Linotype" w:cs="Palatino Linotype"/>
          <w:b/>
          <w:i/>
          <w:color w:val="000000"/>
          <w:sz w:val="22"/>
        </w:rPr>
        <w:t>“DESECHAMIENTO O SOBRESEIMIENTO EN EL JUICIO DE AMPARO. NO IMPLICA DENEGACIÓN DE JUSTICIA NI GENERA INSEGURIDAD JURÍDICA”</w:t>
      </w:r>
    </w:p>
    <w:p w:rsidR="00443012" w:rsidRPr="002673E3" w:rsidRDefault="00443012" w:rsidP="00443012">
      <w:pPr>
        <w:pBdr>
          <w:top w:val="nil"/>
          <w:left w:val="nil"/>
          <w:bottom w:val="nil"/>
          <w:right w:val="nil"/>
          <w:between w:val="nil"/>
        </w:pBdr>
        <w:ind w:left="1134" w:right="902"/>
        <w:jc w:val="both"/>
        <w:rPr>
          <w:rFonts w:ascii="Palatino Linotype" w:eastAsia="Palatino Linotype" w:hAnsi="Palatino Linotype" w:cs="Palatino Linotype"/>
          <w:color w:val="000000"/>
          <w:sz w:val="22"/>
        </w:rPr>
      </w:pPr>
      <w:r w:rsidRPr="002673E3">
        <w:rPr>
          <w:rFonts w:ascii="Palatino Linotype" w:eastAsia="Palatino Linotype" w:hAnsi="Palatino Linotype" w:cs="Palatino Linotype"/>
          <w:i/>
          <w:color w:val="000000"/>
          <w:sz w:val="22"/>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2673E3">
        <w:rPr>
          <w:rFonts w:ascii="Palatino Linotype" w:eastAsia="Palatino Linotype" w:hAnsi="Palatino Linotype" w:cs="Palatino Linotype"/>
          <w:color w:val="000000"/>
          <w:sz w:val="22"/>
        </w:rPr>
        <w:tab/>
      </w:r>
    </w:p>
    <w:p w:rsidR="00443012" w:rsidRPr="000E6450" w:rsidRDefault="00443012" w:rsidP="00443012">
      <w:pPr>
        <w:pBdr>
          <w:top w:val="nil"/>
          <w:left w:val="nil"/>
          <w:bottom w:val="nil"/>
          <w:right w:val="nil"/>
          <w:between w:val="nil"/>
        </w:pBdr>
        <w:ind w:right="902"/>
        <w:jc w:val="both"/>
        <w:rPr>
          <w:rFonts w:ascii="Palatino Linotype" w:eastAsia="Palatino Linotype" w:hAnsi="Palatino Linotype" w:cs="Palatino Linotype"/>
          <w:i/>
          <w:color w:val="000000"/>
        </w:rPr>
      </w:pPr>
    </w:p>
    <w:p w:rsidR="00443012" w:rsidRPr="000E6450" w:rsidRDefault="00443012" w:rsidP="00443012">
      <w:pPr>
        <w:pBdr>
          <w:top w:val="nil"/>
          <w:left w:val="nil"/>
          <w:bottom w:val="nil"/>
          <w:right w:val="nil"/>
          <w:between w:val="nil"/>
        </w:pBdr>
        <w:ind w:left="1134" w:right="902"/>
        <w:jc w:val="both"/>
        <w:rPr>
          <w:rFonts w:ascii="Palatino Linotype" w:eastAsia="Palatino Linotype" w:hAnsi="Palatino Linotype" w:cs="Palatino Linotype"/>
          <w:i/>
          <w:color w:val="000000"/>
        </w:rPr>
      </w:pPr>
    </w:p>
    <w:p w:rsidR="00443012" w:rsidRPr="002673E3" w:rsidRDefault="00443012" w:rsidP="00443012">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bookmarkStart w:id="145" w:name="_heading=h.3dy6vkm" w:colFirst="0" w:colLast="0"/>
      <w:bookmarkEnd w:id="145"/>
      <w:r w:rsidRPr="000E6450">
        <w:rPr>
          <w:rFonts w:ascii="Palatino Linotype" w:eastAsia="Palatino Linotype" w:hAnsi="Palatino Linotype" w:cs="Palatino Linotype"/>
          <w:color w:val="000000"/>
          <w:lang w:val="es-ES"/>
        </w:rPr>
        <w:lastRenderedPageBreak/>
        <w:t>Finalmente, se dejan a sal</w:t>
      </w:r>
      <w:r>
        <w:rPr>
          <w:rFonts w:ascii="Palatino Linotype" w:eastAsia="Palatino Linotype" w:hAnsi="Palatino Linotype" w:cs="Palatino Linotype"/>
          <w:color w:val="000000"/>
          <w:lang w:val="es-ES"/>
        </w:rPr>
        <w:t xml:space="preserve">vo los derechos del </w:t>
      </w:r>
      <w:r w:rsidRPr="000E6450">
        <w:rPr>
          <w:rFonts w:ascii="Palatino Linotype" w:eastAsia="Palatino Linotype" w:hAnsi="Palatino Linotype" w:cs="Palatino Linotype"/>
          <w:color w:val="000000"/>
          <w:lang w:val="es-ES"/>
        </w:rPr>
        <w:t xml:space="preserve">particular a fin de que de considerarlo pertinente, interponga una nueva solicitud de acceso ante el </w:t>
      </w:r>
      <w:r w:rsidRPr="002673E3">
        <w:rPr>
          <w:rFonts w:ascii="Palatino Linotype" w:eastAsia="Palatino Linotype" w:hAnsi="Palatino Linotype" w:cs="Palatino Linotype"/>
          <w:b/>
          <w:caps/>
          <w:color w:val="000000"/>
          <w:lang w:val="es-ES"/>
        </w:rPr>
        <w:t>Sujeto Obligado</w:t>
      </w:r>
      <w:r w:rsidRPr="000E6450">
        <w:rPr>
          <w:rFonts w:ascii="Palatino Linotype" w:eastAsia="Palatino Linotype" w:hAnsi="Palatino Linotype" w:cs="Palatino Linotype"/>
          <w:color w:val="000000"/>
          <w:lang w:val="es-ES"/>
        </w:rPr>
        <w:t xml:space="preserve">, a fin de solicitar la información de su interés. </w:t>
      </w:r>
    </w:p>
    <w:p w:rsidR="00443012" w:rsidRPr="000E6450" w:rsidRDefault="00443012" w:rsidP="00443012">
      <w:pPr>
        <w:spacing w:line="360" w:lineRule="auto"/>
        <w:contextualSpacing/>
        <w:jc w:val="both"/>
        <w:rPr>
          <w:rFonts w:ascii="Palatino Linotype" w:eastAsia="Palatino Linotype" w:hAnsi="Palatino Linotype" w:cs="Palatino Linotype"/>
          <w:color w:val="000000"/>
          <w:lang w:val="es-ES"/>
        </w:rPr>
      </w:pPr>
    </w:p>
    <w:p w:rsidR="00443012" w:rsidRPr="000E6450" w:rsidRDefault="00443012" w:rsidP="00443012">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0E6450">
        <w:rPr>
          <w:rFonts w:ascii="Palatino Linotype" w:eastAsia="Palatino Linotype" w:hAnsi="Palatino Linotype" w:cs="Palatino Linotype"/>
          <w:color w:val="000000"/>
          <w:lang w:val="es-ES"/>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rsidR="00443012" w:rsidRPr="000E6450" w:rsidRDefault="00443012" w:rsidP="00443012">
      <w:pPr>
        <w:pBdr>
          <w:top w:val="nil"/>
          <w:left w:val="nil"/>
          <w:bottom w:val="nil"/>
          <w:right w:val="nil"/>
          <w:between w:val="nil"/>
        </w:pBdr>
        <w:ind w:left="720"/>
        <w:rPr>
          <w:rFonts w:ascii="Palatino Linotype" w:eastAsia="Palatino Linotype" w:hAnsi="Palatino Linotype" w:cs="Palatino Linotype"/>
          <w:color w:val="000000"/>
        </w:rPr>
      </w:pPr>
    </w:p>
    <w:p w:rsidR="00443012" w:rsidRPr="000E6450" w:rsidRDefault="00443012" w:rsidP="00443012">
      <w:pPr>
        <w:pBdr>
          <w:top w:val="nil"/>
          <w:left w:val="nil"/>
          <w:bottom w:val="nil"/>
          <w:right w:val="nil"/>
          <w:between w:val="nil"/>
        </w:pBdr>
        <w:ind w:left="720"/>
        <w:rPr>
          <w:rFonts w:ascii="Palatino Linotype" w:eastAsia="Palatino Linotype" w:hAnsi="Palatino Linotype" w:cs="Palatino Linotype"/>
          <w:color w:val="000000"/>
        </w:rPr>
      </w:pPr>
    </w:p>
    <w:p w:rsidR="00443012" w:rsidRPr="000E6450" w:rsidRDefault="00443012" w:rsidP="00443012">
      <w:pPr>
        <w:keepNext/>
        <w:keepLines/>
        <w:spacing w:line="360" w:lineRule="auto"/>
        <w:jc w:val="center"/>
        <w:outlineLvl w:val="0"/>
        <w:rPr>
          <w:rFonts w:ascii="Palatino Linotype" w:eastAsia="Palatino Linotype" w:hAnsi="Palatino Linotype" w:cs="Palatino Linotype"/>
          <w:b/>
          <w:color w:val="000000"/>
        </w:rPr>
      </w:pPr>
      <w:bookmarkStart w:id="146" w:name="_heading=h.1t3h5sf" w:colFirst="0" w:colLast="0"/>
      <w:bookmarkEnd w:id="146"/>
      <w:r w:rsidRPr="000E6450">
        <w:rPr>
          <w:rFonts w:ascii="Palatino Linotype" w:eastAsia="Palatino Linotype" w:hAnsi="Palatino Linotype" w:cs="Palatino Linotype"/>
          <w:b/>
          <w:color w:val="000000"/>
        </w:rPr>
        <w:t>R E S O L U T I V O S</w:t>
      </w:r>
    </w:p>
    <w:p w:rsidR="00443012" w:rsidRPr="000E6450" w:rsidRDefault="00443012" w:rsidP="00443012">
      <w:pPr>
        <w:rPr>
          <w:rFonts w:ascii="Palatino Linotype" w:eastAsia="Palatino Linotype" w:hAnsi="Palatino Linotype" w:cs="Palatino Linotype"/>
          <w:color w:val="000000"/>
        </w:rPr>
      </w:pPr>
    </w:p>
    <w:p w:rsidR="00443012" w:rsidRPr="000E6450" w:rsidRDefault="00443012" w:rsidP="00443012">
      <w:pPr>
        <w:pBdr>
          <w:top w:val="nil"/>
          <w:left w:val="nil"/>
          <w:bottom w:val="nil"/>
          <w:right w:val="nil"/>
          <w:between w:val="nil"/>
        </w:pBdr>
        <w:tabs>
          <w:tab w:val="left" w:pos="7936"/>
        </w:tabs>
        <w:spacing w:before="240" w:after="240" w:line="360" w:lineRule="auto"/>
        <w:ind w:left="-285"/>
        <w:jc w:val="both"/>
        <w:rPr>
          <w:rFonts w:ascii="Palatino Linotype" w:eastAsia="Palatino Linotype" w:hAnsi="Palatino Linotype" w:cs="Palatino Linotype"/>
        </w:rPr>
      </w:pPr>
      <w:r w:rsidRPr="000E6450">
        <w:rPr>
          <w:rFonts w:ascii="Palatino Linotype" w:eastAsia="Palatino Linotype" w:hAnsi="Palatino Linotype" w:cs="Palatino Linotype"/>
          <w:b/>
        </w:rPr>
        <w:t xml:space="preserve">PRIMERO. </w:t>
      </w:r>
      <w:r w:rsidRPr="000E6450">
        <w:rPr>
          <w:rFonts w:ascii="Palatino Linotype" w:eastAsia="Palatino Linotype" w:hAnsi="Palatino Linotype" w:cs="Palatino Linotype"/>
        </w:rPr>
        <w:t>Se</w:t>
      </w:r>
      <w:r w:rsidRPr="000E6450">
        <w:rPr>
          <w:rFonts w:ascii="Palatino Linotype" w:eastAsia="Palatino Linotype" w:hAnsi="Palatino Linotype" w:cs="Palatino Linotype"/>
          <w:b/>
        </w:rPr>
        <w:t xml:space="preserve"> Sobresee </w:t>
      </w:r>
      <w:r w:rsidRPr="000E6450">
        <w:rPr>
          <w:rFonts w:ascii="Palatino Linotype" w:eastAsia="Palatino Linotype" w:hAnsi="Palatino Linotype" w:cs="Palatino Linotype"/>
        </w:rPr>
        <w:t xml:space="preserve">el recurso de revisión número </w:t>
      </w:r>
      <w:r>
        <w:rPr>
          <w:rFonts w:ascii="Palatino Linotype" w:eastAsia="Palatino Linotype" w:hAnsi="Palatino Linotype" w:cs="Palatino Linotype"/>
          <w:b/>
        </w:rPr>
        <w:t>02378/INFOEM/IP/RR/2024</w:t>
      </w:r>
      <w:r w:rsidRPr="000E6450">
        <w:rPr>
          <w:rFonts w:ascii="Palatino Linotype" w:eastAsia="Palatino Linotype" w:hAnsi="Palatino Linotype" w:cs="Palatino Linotype"/>
          <w:b/>
        </w:rPr>
        <w:t xml:space="preserve">, </w:t>
      </w:r>
      <w:r w:rsidRPr="000E6450">
        <w:rPr>
          <w:rFonts w:ascii="Palatino Linotype" w:eastAsia="Palatino Linotype" w:hAnsi="Palatino Linotype" w:cs="Palatino Linotype"/>
        </w:rPr>
        <w:t>porque una vez admitido se actualizó la causal de improcedencia prevista en artículo 192</w:t>
      </w:r>
      <w:r w:rsidR="00696B9F">
        <w:rPr>
          <w:rFonts w:ascii="Palatino Linotype" w:eastAsia="Palatino Linotype" w:hAnsi="Palatino Linotype" w:cs="Palatino Linotype"/>
        </w:rPr>
        <w:t>,</w:t>
      </w:r>
      <w:r w:rsidRPr="000E6450">
        <w:rPr>
          <w:rFonts w:ascii="Palatino Linotype" w:eastAsia="Palatino Linotype" w:hAnsi="Palatino Linotype" w:cs="Palatino Linotype"/>
        </w:rPr>
        <w:t xml:space="preserve"> fracción IV, en relación con la fracción VI</w:t>
      </w:r>
      <w:r w:rsidR="00696B9F">
        <w:rPr>
          <w:rFonts w:ascii="Palatino Linotype" w:eastAsia="Palatino Linotype" w:hAnsi="Palatino Linotype" w:cs="Palatino Linotype"/>
        </w:rPr>
        <w:t>,</w:t>
      </w:r>
      <w:r w:rsidRPr="000E6450">
        <w:rPr>
          <w:rFonts w:ascii="Palatino Linotype" w:eastAsia="Palatino Linotype" w:hAnsi="Palatino Linotype" w:cs="Palatino Linotype"/>
        </w:rPr>
        <w:t xml:space="preserve"> del artículo 191, de la Ley de Transparencia vigente en la entidad, por ser improcedente en términos del Considerando</w:t>
      </w:r>
      <w:r w:rsidRPr="000E6450">
        <w:rPr>
          <w:rFonts w:ascii="Palatino Linotype" w:eastAsia="Palatino Linotype" w:hAnsi="Palatino Linotype" w:cs="Palatino Linotype"/>
          <w:b/>
        </w:rPr>
        <w:t xml:space="preserve"> </w:t>
      </w:r>
      <w:r w:rsidRPr="002673E3">
        <w:rPr>
          <w:rFonts w:ascii="Palatino Linotype" w:eastAsia="Palatino Linotype" w:hAnsi="Palatino Linotype" w:cs="Palatino Linotype"/>
          <w:b/>
          <w:caps/>
        </w:rPr>
        <w:t>Tercero</w:t>
      </w:r>
      <w:r w:rsidRPr="000E6450">
        <w:rPr>
          <w:rFonts w:ascii="Palatino Linotype" w:eastAsia="Palatino Linotype" w:hAnsi="Palatino Linotype" w:cs="Palatino Linotype"/>
          <w:b/>
        </w:rPr>
        <w:t xml:space="preserve"> </w:t>
      </w:r>
      <w:r w:rsidRPr="002673E3">
        <w:rPr>
          <w:rFonts w:ascii="Palatino Linotype" w:eastAsia="Palatino Linotype" w:hAnsi="Palatino Linotype" w:cs="Palatino Linotype"/>
        </w:rPr>
        <w:t>de</w:t>
      </w:r>
      <w:r w:rsidRPr="000E6450">
        <w:rPr>
          <w:rFonts w:ascii="Palatino Linotype" w:eastAsia="Palatino Linotype" w:hAnsi="Palatino Linotype" w:cs="Palatino Linotype"/>
        </w:rPr>
        <w:t xml:space="preserve"> la presente resolución.</w:t>
      </w:r>
    </w:p>
    <w:p w:rsidR="00443012" w:rsidRPr="000E6450" w:rsidRDefault="00443012" w:rsidP="00443012">
      <w:pPr>
        <w:pBdr>
          <w:top w:val="nil"/>
          <w:left w:val="nil"/>
          <w:bottom w:val="nil"/>
          <w:right w:val="nil"/>
          <w:between w:val="nil"/>
        </w:pBdr>
        <w:tabs>
          <w:tab w:val="left" w:pos="7936"/>
        </w:tabs>
        <w:spacing w:before="240" w:after="240" w:line="360" w:lineRule="auto"/>
        <w:ind w:left="-285"/>
        <w:jc w:val="both"/>
        <w:rPr>
          <w:rFonts w:ascii="Palatino Linotype" w:eastAsia="Palatino Linotype" w:hAnsi="Palatino Linotype" w:cs="Palatino Linotype"/>
        </w:rPr>
      </w:pPr>
      <w:r w:rsidRPr="000E6450">
        <w:rPr>
          <w:rFonts w:ascii="Palatino Linotype" w:eastAsia="Palatino Linotype" w:hAnsi="Palatino Linotype" w:cs="Palatino Linotype"/>
          <w:b/>
        </w:rPr>
        <w:t xml:space="preserve">SEGUNDO. Notifíquese, </w:t>
      </w:r>
      <w:r w:rsidRPr="000E6450">
        <w:rPr>
          <w:rFonts w:ascii="Palatino Linotype" w:eastAsia="Palatino Linotype" w:hAnsi="Palatino Linotype" w:cs="Palatino Linotype"/>
        </w:rPr>
        <w:t>vía</w:t>
      </w:r>
      <w:r w:rsidRPr="000E6450">
        <w:rPr>
          <w:rFonts w:ascii="Palatino Linotype" w:eastAsia="Palatino Linotype" w:hAnsi="Palatino Linotype" w:cs="Palatino Linotype"/>
          <w:b/>
        </w:rPr>
        <w:t xml:space="preserve"> SAIMEX,</w:t>
      </w:r>
      <w:r w:rsidRPr="000E6450">
        <w:rPr>
          <w:rFonts w:ascii="Palatino Linotype" w:eastAsia="Palatino Linotype" w:hAnsi="Palatino Linotype" w:cs="Palatino Linotype"/>
        </w:rPr>
        <w:t xml:space="preserve"> al Responsable de la Unidad de Transparencia del </w:t>
      </w:r>
      <w:r w:rsidRPr="000E6450">
        <w:rPr>
          <w:rFonts w:ascii="Palatino Linotype" w:eastAsia="Palatino Linotype" w:hAnsi="Palatino Linotype" w:cs="Palatino Linotype"/>
          <w:b/>
        </w:rPr>
        <w:t>Sujeto Obligado</w:t>
      </w:r>
      <w:r w:rsidRPr="000E6450">
        <w:rPr>
          <w:rFonts w:ascii="Palatino Linotype" w:eastAsia="Palatino Linotype" w:hAnsi="Palatino Linotype" w:cs="Palatino Linotype"/>
        </w:rPr>
        <w:t xml:space="preserve"> la presente resolución, para su conocimiento.</w:t>
      </w:r>
    </w:p>
    <w:p w:rsidR="00443012" w:rsidRPr="000E6450" w:rsidRDefault="00443012" w:rsidP="00443012">
      <w:pPr>
        <w:widowControl w:val="0"/>
        <w:pBdr>
          <w:top w:val="nil"/>
          <w:left w:val="nil"/>
          <w:bottom w:val="nil"/>
          <w:right w:val="nil"/>
          <w:between w:val="nil"/>
        </w:pBdr>
        <w:tabs>
          <w:tab w:val="left" w:pos="1701"/>
        </w:tabs>
        <w:spacing w:before="240" w:line="360" w:lineRule="auto"/>
        <w:ind w:left="-285"/>
        <w:jc w:val="both"/>
        <w:rPr>
          <w:rFonts w:ascii="Palatino Linotype" w:eastAsia="Palatino Linotype" w:hAnsi="Palatino Linotype" w:cs="Palatino Linotype"/>
          <w:color w:val="222222"/>
        </w:rPr>
      </w:pPr>
      <w:r w:rsidRPr="000E6450">
        <w:rPr>
          <w:rFonts w:ascii="Palatino Linotype" w:eastAsia="Palatino Linotype" w:hAnsi="Palatino Linotype" w:cs="Palatino Linotype"/>
          <w:b/>
          <w:color w:val="000000"/>
        </w:rPr>
        <w:t>TERCERO</w:t>
      </w:r>
      <w:r w:rsidRPr="000E6450">
        <w:rPr>
          <w:rFonts w:ascii="Palatino Linotype" w:eastAsia="Palatino Linotype" w:hAnsi="Palatino Linotype" w:cs="Palatino Linotype"/>
          <w:b/>
          <w:color w:val="222222"/>
        </w:rPr>
        <w:t xml:space="preserve">. Notifíquese </w:t>
      </w:r>
      <w:r w:rsidRPr="000E6450">
        <w:rPr>
          <w:rFonts w:ascii="Palatino Linotype" w:eastAsia="Palatino Linotype" w:hAnsi="Palatino Linotype" w:cs="Palatino Linotype"/>
          <w:color w:val="222222"/>
        </w:rPr>
        <w:t>a</w:t>
      </w:r>
      <w:r w:rsidRPr="000E6450">
        <w:rPr>
          <w:rFonts w:ascii="Palatino Linotype" w:eastAsia="Palatino Linotype" w:hAnsi="Palatino Linotype" w:cs="Palatino Linotype"/>
          <w:b/>
          <w:color w:val="222222"/>
        </w:rPr>
        <w:t xml:space="preserve"> </w:t>
      </w:r>
      <w:r w:rsidRPr="000E6450">
        <w:rPr>
          <w:rFonts w:ascii="Palatino Linotype" w:eastAsia="Palatino Linotype" w:hAnsi="Palatino Linotype" w:cs="Palatino Linotype"/>
          <w:b/>
          <w:color w:val="000000"/>
        </w:rPr>
        <w:t>EL RECURRENTE</w:t>
      </w:r>
      <w:r w:rsidRPr="000E6450">
        <w:rPr>
          <w:rFonts w:ascii="Palatino Linotype" w:eastAsia="Palatino Linotype" w:hAnsi="Palatino Linotype" w:cs="Palatino Linotype"/>
          <w:color w:val="222222"/>
        </w:rPr>
        <w:t xml:space="preserve"> la presente resolución, vía </w:t>
      </w:r>
      <w:r w:rsidRPr="000E6450">
        <w:rPr>
          <w:rFonts w:ascii="Palatino Linotype" w:eastAsia="Palatino Linotype" w:hAnsi="Palatino Linotype" w:cs="Palatino Linotype"/>
          <w:b/>
          <w:color w:val="222222"/>
        </w:rPr>
        <w:t>SAIMEX</w:t>
      </w:r>
      <w:r w:rsidRPr="000E6450">
        <w:rPr>
          <w:rFonts w:ascii="Palatino Linotype" w:eastAsia="Palatino Linotype" w:hAnsi="Palatino Linotype" w:cs="Palatino Linotype"/>
          <w:color w:val="222222"/>
        </w:rPr>
        <w:t>.</w:t>
      </w:r>
    </w:p>
    <w:p w:rsidR="00443012" w:rsidRPr="000E6450" w:rsidRDefault="00443012" w:rsidP="00443012">
      <w:pPr>
        <w:widowControl w:val="0"/>
        <w:pBdr>
          <w:top w:val="nil"/>
          <w:left w:val="nil"/>
          <w:bottom w:val="nil"/>
          <w:right w:val="nil"/>
          <w:between w:val="nil"/>
        </w:pBdr>
        <w:tabs>
          <w:tab w:val="left" w:pos="1701"/>
        </w:tabs>
        <w:spacing w:line="360" w:lineRule="auto"/>
        <w:ind w:left="-285"/>
        <w:jc w:val="both"/>
        <w:rPr>
          <w:rFonts w:ascii="Palatino Linotype" w:eastAsia="Palatino Linotype" w:hAnsi="Palatino Linotype" w:cs="Palatino Linotype"/>
          <w:color w:val="222222"/>
        </w:rPr>
      </w:pPr>
    </w:p>
    <w:p w:rsidR="00443012" w:rsidRPr="000E6450" w:rsidRDefault="00443012" w:rsidP="00443012">
      <w:pPr>
        <w:widowControl w:val="0"/>
        <w:pBdr>
          <w:top w:val="nil"/>
          <w:left w:val="nil"/>
          <w:bottom w:val="nil"/>
          <w:right w:val="nil"/>
          <w:between w:val="nil"/>
        </w:pBdr>
        <w:tabs>
          <w:tab w:val="left" w:pos="1701"/>
        </w:tabs>
        <w:spacing w:line="360" w:lineRule="auto"/>
        <w:ind w:left="-285"/>
        <w:jc w:val="both"/>
        <w:rPr>
          <w:rFonts w:ascii="Palatino Linotype" w:eastAsia="Palatino Linotype" w:hAnsi="Palatino Linotype" w:cs="Palatino Linotype"/>
          <w:color w:val="000000"/>
        </w:rPr>
      </w:pPr>
      <w:r w:rsidRPr="000E6450">
        <w:rPr>
          <w:rFonts w:ascii="Palatino Linotype" w:eastAsia="Palatino Linotype" w:hAnsi="Palatino Linotype" w:cs="Palatino Linotype"/>
          <w:b/>
          <w:color w:val="222222"/>
        </w:rPr>
        <w:t xml:space="preserve">CUARTO. </w:t>
      </w:r>
      <w:r w:rsidRPr="000E6450">
        <w:rPr>
          <w:rFonts w:ascii="Palatino Linotype" w:eastAsia="Palatino Linotype" w:hAnsi="Palatino Linotype" w:cs="Palatino Linotype"/>
          <w:color w:val="000000"/>
        </w:rPr>
        <w:t xml:space="preserve">Se hace del conocimiento de </w:t>
      </w:r>
      <w:r w:rsidRPr="000E6450">
        <w:rPr>
          <w:rFonts w:ascii="Palatino Linotype" w:eastAsia="Palatino Linotype" w:hAnsi="Palatino Linotype" w:cs="Palatino Linotype"/>
          <w:b/>
          <w:color w:val="000000"/>
        </w:rPr>
        <w:t>EL RECURRENTE</w:t>
      </w:r>
      <w:r w:rsidRPr="000E6450">
        <w:rPr>
          <w:rFonts w:ascii="Palatino Linotype" w:eastAsia="Palatino Linotype" w:hAnsi="Palatino Linotype" w:cs="Palatino Linotype"/>
          <w:color w:val="000000"/>
        </w:rPr>
        <w:t xml:space="preserve"> que, de conformidad con lo establecido en el artículo 196 de la Ley de Transparencia y Acceso a la Información </w:t>
      </w:r>
      <w:r w:rsidRPr="000E6450">
        <w:rPr>
          <w:rFonts w:ascii="Palatino Linotype" w:eastAsia="Palatino Linotype" w:hAnsi="Palatino Linotype" w:cs="Palatino Linotype"/>
          <w:color w:val="000000"/>
        </w:rPr>
        <w:lastRenderedPageBreak/>
        <w:t>Pública del Estado de México y Municipios, en caso de que considere que la resolución le cause algún perjuicio podrá impugnarla vía juicio de amparo en los términos de las leyes aplicables.</w:t>
      </w:r>
    </w:p>
    <w:p w:rsidR="00443012" w:rsidRPr="000E6450" w:rsidRDefault="00443012" w:rsidP="00443012">
      <w:pPr>
        <w:widowControl w:val="0"/>
        <w:pBdr>
          <w:top w:val="nil"/>
          <w:left w:val="nil"/>
          <w:bottom w:val="nil"/>
          <w:right w:val="nil"/>
          <w:between w:val="nil"/>
        </w:pBdr>
        <w:tabs>
          <w:tab w:val="left" w:pos="1701"/>
        </w:tabs>
        <w:spacing w:line="360" w:lineRule="auto"/>
        <w:ind w:left="-285"/>
        <w:jc w:val="both"/>
        <w:rPr>
          <w:rFonts w:ascii="Palatino Linotype" w:eastAsia="Palatino Linotype" w:hAnsi="Palatino Linotype" w:cs="Palatino Linotype"/>
          <w:color w:val="222222"/>
        </w:rPr>
      </w:pPr>
    </w:p>
    <w:p w:rsidR="008B05E1" w:rsidRDefault="00696B9F" w:rsidP="00696B9F">
      <w:pPr>
        <w:spacing w:line="360" w:lineRule="auto"/>
        <w:ind w:left="-142" w:right="-234" w:firstLine="1"/>
        <w:jc w:val="both"/>
        <w:rPr>
          <w:rFonts w:ascii="Palatino Linotype" w:hAnsi="Palatino Linotype"/>
        </w:rPr>
      </w:pPr>
      <w:bookmarkStart w:id="147" w:name="_heading=h.4d34og8" w:colFirst="0" w:colLast="0"/>
      <w:bookmarkEnd w:id="147"/>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SEXTA </w:t>
      </w:r>
      <w:r w:rsidRPr="003C7186">
        <w:rPr>
          <w:rFonts w:ascii="Palatino Linotype" w:hAnsi="Palatino Linotype"/>
        </w:rPr>
        <w:t xml:space="preserve">SESIÓN ORDINARIA CELEBRADA EL </w:t>
      </w:r>
      <w:r>
        <w:rPr>
          <w:rFonts w:ascii="Palatino Linotype" w:hAnsi="Palatino Linotype"/>
        </w:rPr>
        <w:t>NUEVE</w:t>
      </w:r>
      <w:r w:rsidRPr="003C7186">
        <w:rPr>
          <w:rFonts w:ascii="Palatino Linotype" w:hAnsi="Palatino Linotype"/>
        </w:rPr>
        <w:t xml:space="preserve"> </w:t>
      </w:r>
      <w:r>
        <w:rPr>
          <w:rFonts w:ascii="Palatino Linotype" w:hAnsi="Palatino Linotype"/>
        </w:rPr>
        <w:t>(09) DE OCTUBRE</w:t>
      </w:r>
      <w:r w:rsidRPr="003C7186">
        <w:rPr>
          <w:rFonts w:ascii="Palatino Linotype" w:hAnsi="Palatino Linotype"/>
        </w:rPr>
        <w:t xml:space="preserve"> DE DOS MIL VEINTICUATRO, ANTE EL SECRETARIO TÉCNICO DEL PLENO ALEXIS TAPIA RAMÍREZ. </w:t>
      </w:r>
    </w:p>
    <w:p w:rsidR="008B05E1" w:rsidRDefault="008B05E1">
      <w:pPr>
        <w:spacing w:after="160" w:line="259" w:lineRule="auto"/>
        <w:rPr>
          <w:rFonts w:ascii="Palatino Linotype" w:hAnsi="Palatino Linotype"/>
        </w:rPr>
      </w:pPr>
      <w:r>
        <w:rPr>
          <w:rFonts w:ascii="Palatino Linotype" w:hAnsi="Palatino Linotype"/>
        </w:rPr>
        <w:br w:type="page"/>
      </w:r>
    </w:p>
    <w:p w:rsidR="00696B9F" w:rsidRPr="003C7186" w:rsidRDefault="00696B9F" w:rsidP="00696B9F">
      <w:pPr>
        <w:spacing w:line="360" w:lineRule="auto"/>
        <w:ind w:left="-142" w:right="-234" w:firstLine="1"/>
        <w:jc w:val="both"/>
        <w:rPr>
          <w:rFonts w:ascii="Palatino Linotype" w:hAnsi="Palatino Linotype"/>
        </w:rPr>
      </w:pPr>
    </w:p>
    <w:p w:rsidR="00696B9F" w:rsidRPr="00902BA4" w:rsidRDefault="00696B9F" w:rsidP="00696B9F">
      <w:pPr>
        <w:widowControl w:val="0"/>
        <w:autoSpaceDE w:val="0"/>
        <w:autoSpaceDN w:val="0"/>
        <w:adjustRightInd w:val="0"/>
        <w:spacing w:after="200" w:line="276" w:lineRule="auto"/>
        <w:ind w:left="-142" w:right="-234"/>
        <w:rPr>
          <w:rFonts w:ascii="Calibri" w:hAnsi="Calibri" w:cs="Calibri"/>
        </w:rPr>
      </w:pPr>
    </w:p>
    <w:p w:rsidR="006E5118" w:rsidRDefault="006E5118"/>
    <w:sectPr w:rsidR="006E5118" w:rsidSect="00CF26E8">
      <w:headerReference w:type="even" r:id="rId7"/>
      <w:headerReference w:type="default" r:id="rId8"/>
      <w:footerReference w:type="default" r:id="rId9"/>
      <w:headerReference w:type="first" r:id="rId10"/>
      <w:footerReference w:type="first" r:id="rId11"/>
      <w:pgSz w:w="12240" w:h="15840"/>
      <w:pgMar w:top="2268" w:right="1701" w:bottom="1843" w:left="1701"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422" w:rsidRDefault="00790422" w:rsidP="00443012">
      <w:r>
        <w:separator/>
      </w:r>
    </w:p>
  </w:endnote>
  <w:endnote w:type="continuationSeparator" w:id="0">
    <w:p w:rsidR="00790422" w:rsidRDefault="00790422" w:rsidP="0044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CF26E8" w:rsidRPr="002D6DD8" w:rsidRDefault="00CF26E8" w:rsidP="00CF26E8">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C163F">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C163F">
              <w:rPr>
                <w:rFonts w:ascii="Palatino Linotype" w:hAnsi="Palatino Linotype"/>
                <w:bCs/>
                <w:noProof/>
                <w:sz w:val="20"/>
              </w:rPr>
              <w:t>28</w:t>
            </w:r>
            <w:r>
              <w:rPr>
                <w:rFonts w:ascii="Palatino Linotype" w:hAnsi="Palatino Linotype"/>
                <w:bCs/>
                <w:noProof/>
                <w:sz w:val="20"/>
              </w:rPr>
              <w:fldChar w:fldCharType="end"/>
            </w:r>
          </w:p>
        </w:sdtContent>
      </w:sdt>
    </w:sdtContent>
  </w:sdt>
  <w:p w:rsidR="00CF26E8" w:rsidRDefault="00CF26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E8" w:rsidRPr="000B69FA" w:rsidRDefault="00CF26E8" w:rsidP="00CF26E8">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C163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C163F">
      <w:rPr>
        <w:rFonts w:ascii="Palatino Linotype" w:hAnsi="Palatino Linotype"/>
        <w:bCs/>
        <w:noProof/>
        <w:sz w:val="20"/>
      </w:rPr>
      <w:t>28</w:t>
    </w:r>
    <w:r>
      <w:rPr>
        <w:rFonts w:ascii="Palatino Linotype" w:hAnsi="Palatino Linotype"/>
        <w:bCs/>
        <w:noProof/>
        <w:sz w:val="20"/>
      </w:rPr>
      <w:fldChar w:fldCharType="end"/>
    </w:r>
  </w:p>
  <w:p w:rsidR="00CF26E8" w:rsidRDefault="00CF26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422" w:rsidRDefault="00790422" w:rsidP="00443012">
      <w:r>
        <w:separator/>
      </w:r>
    </w:p>
  </w:footnote>
  <w:footnote w:type="continuationSeparator" w:id="0">
    <w:p w:rsidR="00790422" w:rsidRDefault="00790422" w:rsidP="00443012">
      <w:r>
        <w:continuationSeparator/>
      </w:r>
    </w:p>
  </w:footnote>
  <w:footnote w:id="1">
    <w:p w:rsidR="00CF26E8" w:rsidRDefault="00CF26E8" w:rsidP="00443012">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BURGOA ORIHUELA Ignacio. Diccionario De Derecho Constitucional, Garantías y Amparo. Ed. Porrúa, S.A., México. 1992, p.115.</w:t>
      </w:r>
    </w:p>
  </w:footnote>
  <w:footnote w:id="2">
    <w:p w:rsidR="00CF26E8" w:rsidRDefault="00CF26E8" w:rsidP="00443012">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3">
    <w:p w:rsidR="00CF26E8" w:rsidRDefault="00CF26E8" w:rsidP="00443012">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4">
    <w:p w:rsidR="00CF26E8" w:rsidRDefault="00CF26E8" w:rsidP="00443012">
      <w:pPr>
        <w:pBdr>
          <w:top w:val="nil"/>
          <w:left w:val="nil"/>
          <w:bottom w:val="nil"/>
          <w:right w:val="nil"/>
          <w:between w:val="nil"/>
        </w:pBdr>
        <w:spacing w:line="198" w:lineRule="auto"/>
        <w:ind w:left="93"/>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VILLANUEVA VILLANUEVA Ernesto, Derecho de la Información, Ed, Porrúa S.A., México. 2006, pág.270.</w:t>
      </w:r>
    </w:p>
  </w:footnote>
  <w:footnote w:id="5">
    <w:p w:rsidR="00CF26E8" w:rsidRDefault="00CF26E8" w:rsidP="00443012">
      <w:pPr>
        <w:pBdr>
          <w:top w:val="nil"/>
          <w:left w:val="nil"/>
          <w:bottom w:val="nil"/>
          <w:right w:val="nil"/>
          <w:between w:val="nil"/>
        </w:pBdr>
        <w:ind w:right="96"/>
        <w:jc w:val="both"/>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ROBLES HERNÁNDEZ José Guadalupe. Derecho de la Información y Comunicación Pública. Ed.Universidad de Occidente de México, 2004, pág.72.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E8" w:rsidRDefault="0079042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CF26E8" w:rsidTr="00CF26E8">
      <w:trPr>
        <w:trHeight w:val="227"/>
      </w:trPr>
      <w:tc>
        <w:tcPr>
          <w:tcW w:w="2976" w:type="dxa"/>
          <w:vAlign w:val="center"/>
          <w:hideMark/>
        </w:tcPr>
        <w:p w:rsidR="00CF26E8" w:rsidRPr="00674A46" w:rsidRDefault="00CF26E8" w:rsidP="00CF26E8">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rsidR="00CF26E8" w:rsidRPr="009304C1" w:rsidRDefault="00CF26E8" w:rsidP="00CF26E8">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02378/INFOEM/IP/RR/2024</w:t>
          </w:r>
        </w:p>
      </w:tc>
    </w:tr>
    <w:tr w:rsidR="00CF26E8" w:rsidTr="00CF26E8">
      <w:trPr>
        <w:trHeight w:val="242"/>
      </w:trPr>
      <w:tc>
        <w:tcPr>
          <w:tcW w:w="2976" w:type="dxa"/>
          <w:vAlign w:val="center"/>
          <w:hideMark/>
        </w:tcPr>
        <w:p w:rsidR="00CF26E8" w:rsidRPr="00674A46" w:rsidRDefault="00CF26E8" w:rsidP="00CF26E8">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rsidR="00CF26E8" w:rsidRPr="009304C1" w:rsidRDefault="00CF26E8" w:rsidP="00CF26E8">
          <w:pPr>
            <w:pStyle w:val="Encabezado"/>
            <w:jc w:val="both"/>
            <w:rPr>
              <w:rFonts w:ascii="Palatino Linotype" w:hAnsi="Palatino Linotype"/>
              <w:b/>
              <w:bCs/>
              <w:color w:val="000000"/>
              <w:sz w:val="22"/>
              <w:szCs w:val="22"/>
              <w:highlight w:val="green"/>
            </w:rPr>
          </w:pPr>
          <w:r w:rsidRPr="00443012">
            <w:rPr>
              <w:rFonts w:ascii="Palatino Linotype" w:hAnsi="Palatino Linotype"/>
              <w:b/>
              <w:bCs/>
              <w:color w:val="000000"/>
              <w:sz w:val="22"/>
              <w:szCs w:val="22"/>
            </w:rPr>
            <w:t>Ayuntamiento de Cuautitlán Izcalli</w:t>
          </w:r>
        </w:p>
      </w:tc>
    </w:tr>
    <w:tr w:rsidR="00CF26E8" w:rsidTr="00CF26E8">
      <w:trPr>
        <w:trHeight w:val="342"/>
      </w:trPr>
      <w:tc>
        <w:tcPr>
          <w:tcW w:w="2976" w:type="dxa"/>
          <w:vAlign w:val="center"/>
          <w:hideMark/>
        </w:tcPr>
        <w:p w:rsidR="00CF26E8" w:rsidRPr="00674A46" w:rsidRDefault="00CF26E8" w:rsidP="00CF26E8">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rsidR="00CF26E8" w:rsidRPr="00485ED8" w:rsidRDefault="00CF26E8" w:rsidP="00CF26E8">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rsidR="00CF26E8" w:rsidRPr="00AE046A" w:rsidRDefault="00790422" w:rsidP="00CF26E8">
    <w:pPr>
      <w:pStyle w:val="Encabezado"/>
      <w:tabs>
        <w:tab w:val="clear" w:pos="4419"/>
        <w:tab w:val="clear" w:pos="8838"/>
        <w:tab w:val="left" w:pos="6005"/>
      </w:tabs>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75pt;margin-top:-113.2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CF26E8" w:rsidTr="00CF26E8">
      <w:trPr>
        <w:trHeight w:val="227"/>
      </w:trPr>
      <w:tc>
        <w:tcPr>
          <w:tcW w:w="2977" w:type="dxa"/>
          <w:vAlign w:val="center"/>
          <w:hideMark/>
        </w:tcPr>
        <w:p w:rsidR="00CF26E8" w:rsidRPr="00674A46" w:rsidRDefault="00CF26E8" w:rsidP="00CF26E8">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rsidR="00CF26E8" w:rsidRPr="00361600" w:rsidRDefault="00CF26E8" w:rsidP="00CF26E8">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02378/INFOEM/IP/RR/2024</w:t>
          </w:r>
        </w:p>
      </w:tc>
    </w:tr>
    <w:tr w:rsidR="00CF26E8" w:rsidTr="00CF26E8">
      <w:trPr>
        <w:trHeight w:val="242"/>
      </w:trPr>
      <w:tc>
        <w:tcPr>
          <w:tcW w:w="2977" w:type="dxa"/>
          <w:vAlign w:val="center"/>
          <w:hideMark/>
        </w:tcPr>
        <w:p w:rsidR="00CF26E8" w:rsidRPr="00674A46" w:rsidRDefault="00CF26E8" w:rsidP="00CF26E8">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rsidR="00CF26E8" w:rsidRPr="00361600" w:rsidRDefault="00CF26E8" w:rsidP="00CF26E8">
          <w:pPr>
            <w:pStyle w:val="Encabezado"/>
            <w:tabs>
              <w:tab w:val="left" w:pos="521"/>
            </w:tabs>
            <w:rPr>
              <w:rFonts w:ascii="Palatino Linotype" w:hAnsi="Palatino Linotype"/>
              <w:b/>
              <w:sz w:val="22"/>
              <w:szCs w:val="22"/>
              <w:highlight w:val="green"/>
            </w:rPr>
          </w:pPr>
        </w:p>
      </w:tc>
    </w:tr>
    <w:tr w:rsidR="00CF26E8" w:rsidTr="00CF26E8">
      <w:trPr>
        <w:trHeight w:val="342"/>
      </w:trPr>
      <w:tc>
        <w:tcPr>
          <w:tcW w:w="2977" w:type="dxa"/>
          <w:vAlign w:val="center"/>
        </w:tcPr>
        <w:p w:rsidR="00CF26E8" w:rsidRPr="00674A46" w:rsidRDefault="00CF26E8" w:rsidP="00CF26E8">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rsidR="00CF26E8" w:rsidRPr="00361600" w:rsidRDefault="00CF26E8" w:rsidP="00CF26E8">
          <w:pPr>
            <w:pStyle w:val="Encabezado"/>
            <w:jc w:val="both"/>
            <w:rPr>
              <w:rFonts w:ascii="Palatino Linotype" w:hAnsi="Palatino Linotype"/>
              <w:b/>
              <w:sz w:val="22"/>
              <w:szCs w:val="22"/>
              <w:highlight w:val="green"/>
            </w:rPr>
          </w:pPr>
          <w:r w:rsidRPr="00443012">
            <w:rPr>
              <w:rFonts w:ascii="Palatino Linotype" w:hAnsi="Palatino Linotype"/>
              <w:b/>
              <w:bCs/>
              <w:color w:val="000000"/>
              <w:sz w:val="22"/>
              <w:szCs w:val="22"/>
            </w:rPr>
            <w:t>Ayuntamiento de Cuautitlán Izcalli</w:t>
          </w:r>
        </w:p>
      </w:tc>
    </w:tr>
    <w:tr w:rsidR="00CF26E8" w:rsidTr="00CF26E8">
      <w:trPr>
        <w:trHeight w:val="342"/>
      </w:trPr>
      <w:tc>
        <w:tcPr>
          <w:tcW w:w="2977" w:type="dxa"/>
          <w:vAlign w:val="center"/>
        </w:tcPr>
        <w:p w:rsidR="00CF26E8" w:rsidRPr="00674A46" w:rsidRDefault="00CF26E8" w:rsidP="00CF26E8">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rsidR="00CF26E8" w:rsidRPr="00674A46" w:rsidRDefault="00CF26E8" w:rsidP="00CF26E8">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rsidR="00CF26E8" w:rsidRPr="00C222C0" w:rsidRDefault="00790422">
    <w:pPr>
      <w:pStyle w:val="Encabezado"/>
      <w:rPr>
        <w:sz w:val="16"/>
      </w:rPr>
    </w:pPr>
    <w:r>
      <w:rPr>
        <w:noProof/>
        <w:sz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F254C"/>
    <w:multiLevelType w:val="hybridMultilevel"/>
    <w:tmpl w:val="1C2042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78923E9"/>
    <w:multiLevelType w:val="multilevel"/>
    <w:tmpl w:val="C4F0E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5">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012"/>
    <w:rsid w:val="00026988"/>
    <w:rsid w:val="00443012"/>
    <w:rsid w:val="00696B9F"/>
    <w:rsid w:val="006E5118"/>
    <w:rsid w:val="006F692A"/>
    <w:rsid w:val="00790422"/>
    <w:rsid w:val="008B05E1"/>
    <w:rsid w:val="0091710E"/>
    <w:rsid w:val="00BD065F"/>
    <w:rsid w:val="00CC163F"/>
    <w:rsid w:val="00CF26E8"/>
    <w:rsid w:val="00D119C6"/>
    <w:rsid w:val="00D26B24"/>
    <w:rsid w:val="00D27010"/>
    <w:rsid w:val="00D63187"/>
    <w:rsid w:val="00E951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8358860-3864-47CE-9DCE-DBA86739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012"/>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4430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4301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3012"/>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443012"/>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443012"/>
    <w:pPr>
      <w:tabs>
        <w:tab w:val="center" w:pos="4419"/>
        <w:tab w:val="right" w:pos="8838"/>
      </w:tabs>
    </w:pPr>
  </w:style>
  <w:style w:type="character" w:customStyle="1" w:styleId="EncabezadoCar">
    <w:name w:val="Encabezado Car"/>
    <w:basedOn w:val="Fuentedeprrafopredeter"/>
    <w:link w:val="Encabezado"/>
    <w:uiPriority w:val="99"/>
    <w:rsid w:val="00443012"/>
    <w:rPr>
      <w:rFonts w:eastAsiaTheme="minorEastAsia"/>
      <w:sz w:val="24"/>
      <w:szCs w:val="24"/>
      <w:lang w:val="es-ES_tradnl" w:eastAsia="es-ES"/>
    </w:rPr>
  </w:style>
  <w:style w:type="paragraph" w:styleId="Piedepgina">
    <w:name w:val="footer"/>
    <w:basedOn w:val="Normal"/>
    <w:link w:val="PiedepginaCar"/>
    <w:uiPriority w:val="99"/>
    <w:unhideWhenUsed/>
    <w:rsid w:val="00443012"/>
    <w:pPr>
      <w:tabs>
        <w:tab w:val="center" w:pos="4419"/>
        <w:tab w:val="right" w:pos="8838"/>
      </w:tabs>
    </w:pPr>
  </w:style>
  <w:style w:type="character" w:customStyle="1" w:styleId="PiedepginaCar">
    <w:name w:val="Pie de página Car"/>
    <w:basedOn w:val="Fuentedeprrafopredeter"/>
    <w:link w:val="Piedepgina"/>
    <w:uiPriority w:val="99"/>
    <w:rsid w:val="00443012"/>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4301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43012"/>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28</Pages>
  <Words>6546</Words>
  <Characters>36007</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USUARIO</cp:lastModifiedBy>
  <cp:revision>5</cp:revision>
  <cp:lastPrinted>2024-10-10T21:16:00Z</cp:lastPrinted>
  <dcterms:created xsi:type="dcterms:W3CDTF">2024-10-03T18:47:00Z</dcterms:created>
  <dcterms:modified xsi:type="dcterms:W3CDTF">2024-10-10T21:16:00Z</dcterms:modified>
</cp:coreProperties>
</file>