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D8495" w14:textId="77777777" w:rsidR="00B41180" w:rsidRDefault="00B41180">
      <w:pPr>
        <w:widowControl w:val="0"/>
        <w:pBdr>
          <w:top w:val="nil"/>
          <w:left w:val="nil"/>
          <w:bottom w:val="nil"/>
          <w:right w:val="nil"/>
          <w:between w:val="nil"/>
        </w:pBdr>
        <w:spacing w:line="276" w:lineRule="auto"/>
      </w:pPr>
    </w:p>
    <w:p w14:paraId="3CBD8496" w14:textId="18E4F434" w:rsidR="00B41180" w:rsidRDefault="008A73A5">
      <w:pPr>
        <w:tabs>
          <w:tab w:val="left" w:pos="3465"/>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B16446">
        <w:rPr>
          <w:rFonts w:ascii="Palatino Linotype" w:eastAsia="Palatino Linotype" w:hAnsi="Palatino Linotype" w:cs="Palatino Linotype"/>
        </w:rPr>
        <w:t>tres (03)</w:t>
      </w:r>
      <w:r>
        <w:rPr>
          <w:rFonts w:ascii="Palatino Linotype" w:eastAsia="Palatino Linotype" w:hAnsi="Palatino Linotype" w:cs="Palatino Linotype"/>
        </w:rPr>
        <w:t xml:space="preserve"> de octubre de dos mil veinticuatro.</w:t>
      </w:r>
    </w:p>
    <w:p w14:paraId="3CBD8497" w14:textId="77777777" w:rsidR="00B41180" w:rsidRDefault="00B41180">
      <w:pPr>
        <w:tabs>
          <w:tab w:val="left" w:pos="3465"/>
        </w:tabs>
        <w:spacing w:line="360" w:lineRule="auto"/>
        <w:jc w:val="both"/>
        <w:rPr>
          <w:rFonts w:ascii="Palatino Linotype" w:eastAsia="Palatino Linotype" w:hAnsi="Palatino Linotype" w:cs="Palatino Linotype"/>
        </w:rPr>
      </w:pPr>
    </w:p>
    <w:p w14:paraId="3CBD8498" w14:textId="53C04409" w:rsidR="00B41180" w:rsidRPr="00906C9A" w:rsidRDefault="008A73A5" w:rsidP="00906C9A">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highlight w:val="green"/>
        </w:rPr>
      </w:pPr>
      <w:r w:rsidRPr="00906C9A">
        <w:rPr>
          <w:rFonts w:ascii="Palatino Linotype" w:eastAsia="Palatino Linotype" w:hAnsi="Palatino Linotype" w:cs="Palatino Linotype"/>
          <w:b/>
        </w:rPr>
        <w:t xml:space="preserve">VISTAS </w:t>
      </w:r>
      <w:r w:rsidRPr="00906C9A">
        <w:rPr>
          <w:rFonts w:ascii="Palatino Linotype" w:eastAsia="Palatino Linotype" w:hAnsi="Palatino Linotype" w:cs="Palatino Linotype"/>
        </w:rPr>
        <w:t>las constancias para resolver el Recurso de Revisión</w:t>
      </w:r>
      <w:r w:rsidR="00906C9A" w:rsidRPr="00906C9A">
        <w:rPr>
          <w:rFonts w:ascii="Palatino Linotype" w:eastAsia="Palatino Linotype" w:hAnsi="Palatino Linotype" w:cs="Palatino Linotype"/>
        </w:rPr>
        <w:t xml:space="preserve"> </w:t>
      </w:r>
      <w:r w:rsidR="00906C9A" w:rsidRPr="00906C9A">
        <w:rPr>
          <w:rFonts w:ascii="Palatino Linotype" w:eastAsia="Palatino Linotype" w:hAnsi="Palatino Linotype" w:cs="Palatino Linotype"/>
          <w:b/>
          <w:bCs/>
          <w:color w:val="000000"/>
        </w:rPr>
        <w:t>01863/INFOEM/IP/RR/2024</w:t>
      </w:r>
      <w:r w:rsidR="00906C9A" w:rsidRPr="00906C9A">
        <w:rPr>
          <w:rFonts w:ascii="Palatino Linotype" w:eastAsia="Palatino Linotype" w:hAnsi="Palatino Linotype" w:cs="Palatino Linotype"/>
          <w:color w:val="000000"/>
        </w:rPr>
        <w:t xml:space="preserve"> </w:t>
      </w:r>
      <w:r w:rsidRPr="00906C9A">
        <w:rPr>
          <w:rFonts w:ascii="Palatino Linotype" w:eastAsia="Palatino Linotype" w:hAnsi="Palatino Linotype" w:cs="Palatino Linotype"/>
        </w:rPr>
        <w:t xml:space="preserve">presentado por </w:t>
      </w:r>
      <w:r w:rsidR="00A5675B">
        <w:rPr>
          <w:rFonts w:ascii="Palatino Linotype" w:eastAsia="Palatino Linotype" w:hAnsi="Palatino Linotype" w:cs="Palatino Linotype"/>
          <w:b/>
        </w:rPr>
        <w:t>XXX XXX</w:t>
      </w:r>
      <w:r w:rsidRPr="00906C9A">
        <w:rPr>
          <w:rFonts w:ascii="Palatino Linotype" w:eastAsia="Palatino Linotype" w:hAnsi="Palatino Linotype" w:cs="Palatino Linotype"/>
          <w:b/>
        </w:rPr>
        <w:t>,</w:t>
      </w:r>
      <w:r w:rsidRPr="00906C9A">
        <w:rPr>
          <w:rFonts w:ascii="Palatino Linotype" w:eastAsia="Palatino Linotype" w:hAnsi="Palatino Linotype" w:cs="Palatino Linotype"/>
        </w:rPr>
        <w:t xml:space="preserve"> a quien en lo sucesivo se denominará como </w:t>
      </w:r>
      <w:r w:rsidRPr="00906C9A">
        <w:rPr>
          <w:rFonts w:ascii="Palatino Linotype" w:eastAsia="Palatino Linotype" w:hAnsi="Palatino Linotype" w:cs="Palatino Linotype"/>
          <w:b/>
        </w:rPr>
        <w:t>LA RECURRENTE,</w:t>
      </w:r>
      <w:r w:rsidRPr="00906C9A">
        <w:rPr>
          <w:rFonts w:ascii="Palatino Linotype" w:eastAsia="Palatino Linotype" w:hAnsi="Palatino Linotype" w:cs="Palatino Linotype"/>
        </w:rPr>
        <w:t xml:space="preserve"> en contra de la respuesta otorgada a la solicitud de información </w:t>
      </w:r>
      <w:r w:rsidRPr="00906C9A">
        <w:rPr>
          <w:rFonts w:ascii="Palatino Linotype" w:eastAsia="Palatino Linotype" w:hAnsi="Palatino Linotype" w:cs="Palatino Linotype"/>
          <w:b/>
        </w:rPr>
        <w:t>00135/OASATIZARA/IP/2024</w:t>
      </w:r>
      <w:r w:rsidRPr="00906C9A">
        <w:rPr>
          <w:rFonts w:ascii="Palatino Linotype" w:eastAsia="Palatino Linotype" w:hAnsi="Palatino Linotype" w:cs="Palatino Linotype"/>
        </w:rPr>
        <w:t xml:space="preserve">, por parte del </w:t>
      </w:r>
      <w:r w:rsidRPr="00906C9A">
        <w:rPr>
          <w:rFonts w:ascii="Palatino Linotype" w:eastAsia="Palatino Linotype" w:hAnsi="Palatino Linotype" w:cs="Palatino Linotype"/>
          <w:b/>
        </w:rPr>
        <w:t xml:space="preserve">Organismo Público Descentralizado para la Prestación de Los Servicios de Agua Potable Alcantarillado y Saneamiento de Atizapán de Zaragoza por sus siglas S.A.P.A.S.A., </w:t>
      </w:r>
      <w:r w:rsidRPr="00906C9A">
        <w:rPr>
          <w:rFonts w:ascii="Palatino Linotype" w:eastAsia="Palatino Linotype" w:hAnsi="Palatino Linotype" w:cs="Palatino Linotype"/>
        </w:rPr>
        <w:t xml:space="preserve">en adelante </w:t>
      </w:r>
      <w:r w:rsidRPr="00906C9A">
        <w:rPr>
          <w:rFonts w:ascii="Palatino Linotype" w:eastAsia="Palatino Linotype" w:hAnsi="Palatino Linotype" w:cs="Palatino Linotype"/>
          <w:b/>
        </w:rPr>
        <w:t xml:space="preserve">EL SUJETO OBLIGADO, </w:t>
      </w:r>
      <w:r w:rsidRPr="00906C9A">
        <w:rPr>
          <w:rFonts w:ascii="Palatino Linotype" w:eastAsia="Palatino Linotype" w:hAnsi="Palatino Linotype" w:cs="Palatino Linotype"/>
        </w:rPr>
        <w:t xml:space="preserve">que dio origen al Recurso de Revisión </w:t>
      </w:r>
      <w:r w:rsidRPr="00906C9A">
        <w:rPr>
          <w:rFonts w:ascii="Palatino Linotype" w:eastAsia="Palatino Linotype" w:hAnsi="Palatino Linotype" w:cs="Palatino Linotype"/>
          <w:b/>
          <w:color w:val="000000"/>
        </w:rPr>
        <w:t>01863/INFOEM/IP/RR/2024</w:t>
      </w:r>
      <w:r w:rsidRPr="00906C9A">
        <w:rPr>
          <w:rFonts w:ascii="Palatino Linotype" w:eastAsia="Palatino Linotype" w:hAnsi="Palatino Linotype" w:cs="Palatino Linotype"/>
          <w:color w:val="000000"/>
        </w:rPr>
        <w:t>;</w:t>
      </w:r>
      <w:r w:rsidRPr="00906C9A">
        <w:rPr>
          <w:rFonts w:ascii="Palatino Linotype" w:eastAsia="Palatino Linotype" w:hAnsi="Palatino Linotype" w:cs="Palatino Linotype"/>
        </w:rPr>
        <w:t xml:space="preserve"> emite la presente Resolución con base en los siguientes:</w:t>
      </w:r>
    </w:p>
    <w:p w14:paraId="3CBD8499" w14:textId="77777777" w:rsidR="00B41180" w:rsidRDefault="00B41180">
      <w:pPr>
        <w:spacing w:line="360" w:lineRule="auto"/>
        <w:jc w:val="both"/>
        <w:rPr>
          <w:rFonts w:ascii="Palatino Linotype" w:eastAsia="Palatino Linotype" w:hAnsi="Palatino Linotype" w:cs="Palatino Linotype"/>
        </w:rPr>
      </w:pPr>
    </w:p>
    <w:p w14:paraId="3CBD849A" w14:textId="77777777" w:rsidR="00B41180" w:rsidRDefault="008A73A5">
      <w:pPr>
        <w:pStyle w:val="Ttulo1"/>
        <w:spacing w:before="0" w:line="360" w:lineRule="auto"/>
        <w:jc w:val="center"/>
        <w:rPr>
          <w:rFonts w:ascii="Palatino Linotype" w:eastAsia="Palatino Linotype" w:hAnsi="Palatino Linotype" w:cs="Palatino Linotype"/>
          <w:b/>
          <w:color w:val="000000"/>
          <w:sz w:val="24"/>
          <w:szCs w:val="24"/>
        </w:rPr>
      </w:pPr>
      <w:bookmarkStart w:id="0" w:name="_heading=h.gjdgxs" w:colFirst="0" w:colLast="0"/>
      <w:bookmarkEnd w:id="0"/>
      <w:r>
        <w:rPr>
          <w:rFonts w:ascii="Palatino Linotype" w:eastAsia="Palatino Linotype" w:hAnsi="Palatino Linotype" w:cs="Palatino Linotype"/>
          <w:b/>
          <w:color w:val="000000"/>
          <w:sz w:val="24"/>
          <w:szCs w:val="24"/>
        </w:rPr>
        <w:t>A N T E C E D E N T E S</w:t>
      </w:r>
    </w:p>
    <w:p w14:paraId="3CBD849B" w14:textId="77777777" w:rsidR="00B41180" w:rsidRDefault="00B41180">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71A79C49" w14:textId="03EE19DB" w:rsidR="0006517B" w:rsidRPr="0006517B" w:rsidRDefault="008A73A5" w:rsidP="0006517B">
      <w:pPr>
        <w:numPr>
          <w:ilvl w:val="0"/>
          <w:numId w:val="3"/>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día</w:t>
      </w:r>
      <w:r>
        <w:rPr>
          <w:rFonts w:ascii="Palatino Linotype" w:eastAsia="Palatino Linotype" w:hAnsi="Palatino Linotype" w:cs="Palatino Linotype"/>
          <w:b/>
          <w:color w:val="000000"/>
        </w:rPr>
        <w:t xml:space="preserve"> doce de marzo de dos mil veinticuatro</w:t>
      </w:r>
      <w:r>
        <w:rPr>
          <w:rFonts w:ascii="Palatino Linotype" w:eastAsia="Palatino Linotype" w:hAnsi="Palatino Linotype" w:cs="Palatino Linotype"/>
          <w:color w:val="000000"/>
        </w:rPr>
        <w:t>,</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se presentó ante el Sujeto Obligado vía Sistema de Acceso a la Información Mexiquense, en adelante SAIMEX, la siguiente solicitud de información pública</w:t>
      </w:r>
      <w:r w:rsidR="0006517B">
        <w:rPr>
          <w:rFonts w:ascii="Palatino Linotype" w:eastAsia="Palatino Linotype" w:hAnsi="Palatino Linotype" w:cs="Palatino Linotype"/>
          <w:color w:val="000000"/>
        </w:rPr>
        <w:t xml:space="preserve"> </w:t>
      </w:r>
      <w:r w:rsidR="0006517B">
        <w:rPr>
          <w:rFonts w:ascii="Palatino Linotype" w:eastAsia="Palatino Linotype" w:hAnsi="Palatino Linotype" w:cs="Palatino Linotype"/>
          <w:b/>
        </w:rPr>
        <w:t>00135/OASATIZARA/IP/2024</w:t>
      </w:r>
      <w:r>
        <w:rPr>
          <w:rFonts w:ascii="Palatino Linotype" w:eastAsia="Palatino Linotype" w:hAnsi="Palatino Linotype" w:cs="Palatino Linotype"/>
          <w:color w:val="000000"/>
        </w:rPr>
        <w:t>:</w:t>
      </w:r>
    </w:p>
    <w:p w14:paraId="3CBD849D" w14:textId="77777777" w:rsidR="00B41180" w:rsidRDefault="008A73A5">
      <w:pPr>
        <w:pBdr>
          <w:top w:val="nil"/>
          <w:left w:val="nil"/>
          <w:bottom w:val="nil"/>
          <w:right w:val="nil"/>
          <w:between w:val="nil"/>
        </w:pBdr>
        <w:spacing w:line="360" w:lineRule="auto"/>
        <w:ind w:left="567" w:right="616"/>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t>“Información sobre el suministro y abastecimiento de agua potable en la colonia profesor Cristóbal Higuera y las medidas tomadas para garantizar el acceso al agua potable por la escaces de agua.”</w:t>
      </w:r>
    </w:p>
    <w:p w14:paraId="3CBD849E" w14:textId="77777777" w:rsidR="00B41180" w:rsidRDefault="00B41180">
      <w:pPr>
        <w:pBdr>
          <w:top w:val="nil"/>
          <w:left w:val="nil"/>
          <w:bottom w:val="nil"/>
          <w:right w:val="nil"/>
          <w:between w:val="nil"/>
        </w:pBdr>
        <w:spacing w:line="360" w:lineRule="auto"/>
        <w:ind w:right="34"/>
        <w:jc w:val="both"/>
        <w:rPr>
          <w:rFonts w:ascii="Palatino Linotype" w:eastAsia="Palatino Linotype" w:hAnsi="Palatino Linotype" w:cs="Palatino Linotype"/>
          <w:color w:val="000000"/>
        </w:rPr>
      </w:pPr>
    </w:p>
    <w:p w14:paraId="3CBD849F" w14:textId="77777777" w:rsidR="00B41180" w:rsidRDefault="008A73A5">
      <w:pPr>
        <w:numPr>
          <w:ilvl w:val="0"/>
          <w:numId w:val="6"/>
        </w:numPr>
        <w:pBdr>
          <w:top w:val="nil"/>
          <w:left w:val="nil"/>
          <w:bottom w:val="nil"/>
          <w:right w:val="nil"/>
          <w:between w:val="nil"/>
        </w:pBdr>
        <w:spacing w:line="360" w:lineRule="auto"/>
        <w:ind w:right="3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Se agrega el archivo denominado </w:t>
      </w:r>
      <w:r>
        <w:rPr>
          <w:rFonts w:ascii="Palatino Linotype" w:eastAsia="Palatino Linotype" w:hAnsi="Palatino Linotype" w:cs="Palatino Linotype"/>
          <w:b/>
          <w:i/>
          <w:color w:val="000000"/>
        </w:rPr>
        <w:t>Petición SAPASA.pdf</w:t>
      </w:r>
      <w:r>
        <w:rPr>
          <w:rFonts w:ascii="Palatino Linotype" w:eastAsia="Palatino Linotype" w:hAnsi="Palatino Linotype" w:cs="Palatino Linotype"/>
          <w:color w:val="000000"/>
        </w:rPr>
        <w:t>, cuyo contenido es el siguiente:</w:t>
      </w:r>
    </w:p>
    <w:p w14:paraId="3CBD84A0" w14:textId="77777777" w:rsidR="00B41180" w:rsidRDefault="008A73A5">
      <w:pPr>
        <w:pBdr>
          <w:top w:val="nil"/>
          <w:left w:val="nil"/>
          <w:bottom w:val="nil"/>
          <w:right w:val="nil"/>
          <w:between w:val="nil"/>
        </w:pBdr>
        <w:spacing w:line="360" w:lineRule="auto"/>
        <w:ind w:left="709" w:right="333"/>
        <w:jc w:val="both"/>
        <w:rPr>
          <w:rFonts w:ascii="Palatino Linotype" w:eastAsia="Palatino Linotype" w:hAnsi="Palatino Linotype" w:cs="Palatino Linotype"/>
          <w:i/>
        </w:rPr>
      </w:pPr>
      <w:r>
        <w:rPr>
          <w:rFonts w:ascii="Palatino Linotype" w:eastAsia="Palatino Linotype" w:hAnsi="Palatino Linotype" w:cs="Palatino Linotype"/>
          <w:i/>
        </w:rPr>
        <w:t xml:space="preserve">Atizapán de Zaragoza, Estado de México, A 12 de marzo 2024 </w:t>
      </w:r>
    </w:p>
    <w:p w14:paraId="3CBD84A1" w14:textId="77777777" w:rsidR="00B41180" w:rsidRDefault="008A73A5">
      <w:pPr>
        <w:pBdr>
          <w:top w:val="nil"/>
          <w:left w:val="nil"/>
          <w:bottom w:val="nil"/>
          <w:right w:val="nil"/>
          <w:between w:val="nil"/>
        </w:pBdr>
        <w:spacing w:line="360" w:lineRule="auto"/>
        <w:ind w:left="709" w:right="333"/>
        <w:jc w:val="both"/>
        <w:rPr>
          <w:rFonts w:ascii="Palatino Linotype" w:eastAsia="Palatino Linotype" w:hAnsi="Palatino Linotype" w:cs="Palatino Linotype"/>
          <w:i/>
        </w:rPr>
      </w:pPr>
      <w:r>
        <w:rPr>
          <w:rFonts w:ascii="Palatino Linotype" w:eastAsia="Palatino Linotype" w:hAnsi="Palatino Linotype" w:cs="Palatino Linotype"/>
          <w:i/>
        </w:rPr>
        <w:t xml:space="preserve">Lic. Jaime Alejandro Vences Mejía, </w:t>
      </w:r>
    </w:p>
    <w:p w14:paraId="3CBD84A2" w14:textId="77777777" w:rsidR="00B41180" w:rsidRDefault="008A73A5">
      <w:pPr>
        <w:pBdr>
          <w:top w:val="nil"/>
          <w:left w:val="nil"/>
          <w:bottom w:val="nil"/>
          <w:right w:val="nil"/>
          <w:between w:val="nil"/>
        </w:pBdr>
        <w:spacing w:line="360" w:lineRule="auto"/>
        <w:ind w:left="709" w:right="333"/>
        <w:jc w:val="both"/>
        <w:rPr>
          <w:rFonts w:ascii="Palatino Linotype" w:eastAsia="Palatino Linotype" w:hAnsi="Palatino Linotype" w:cs="Palatino Linotype"/>
          <w:i/>
        </w:rPr>
      </w:pPr>
      <w:r>
        <w:rPr>
          <w:rFonts w:ascii="Palatino Linotype" w:eastAsia="Palatino Linotype" w:hAnsi="Palatino Linotype" w:cs="Palatino Linotype"/>
          <w:i/>
        </w:rPr>
        <w:t xml:space="preserve">Director General del Organismo Público Descentralizado, para la Prestación de los Servicios de Agua Potable, Alcantarillado y Saneamiento del Municipio de Atizapán de Zaragoza, México, conocida como S.A.P.A.S.A. </w:t>
      </w:r>
    </w:p>
    <w:p w14:paraId="3CBD84A3" w14:textId="77777777" w:rsidR="00B41180" w:rsidRDefault="008A73A5">
      <w:pPr>
        <w:pBdr>
          <w:top w:val="nil"/>
          <w:left w:val="nil"/>
          <w:bottom w:val="nil"/>
          <w:right w:val="nil"/>
          <w:between w:val="nil"/>
        </w:pBdr>
        <w:spacing w:line="360" w:lineRule="auto"/>
        <w:ind w:left="709" w:right="333"/>
        <w:jc w:val="both"/>
        <w:rPr>
          <w:rFonts w:ascii="Palatino Linotype" w:eastAsia="Palatino Linotype" w:hAnsi="Palatino Linotype" w:cs="Palatino Linotype"/>
          <w:i/>
        </w:rPr>
      </w:pPr>
      <w:r>
        <w:rPr>
          <w:rFonts w:ascii="Palatino Linotype" w:eastAsia="Palatino Linotype" w:hAnsi="Palatino Linotype" w:cs="Palatino Linotype"/>
          <w:i/>
        </w:rPr>
        <w:t>PRESENTE.</w:t>
      </w:r>
    </w:p>
    <w:p w14:paraId="3CBD84A4" w14:textId="77777777" w:rsidR="00B41180" w:rsidRDefault="008A73A5">
      <w:pPr>
        <w:pBdr>
          <w:top w:val="nil"/>
          <w:left w:val="nil"/>
          <w:bottom w:val="nil"/>
          <w:right w:val="nil"/>
          <w:between w:val="nil"/>
        </w:pBdr>
        <w:spacing w:line="360" w:lineRule="auto"/>
        <w:ind w:left="709" w:right="333"/>
        <w:jc w:val="both"/>
        <w:rPr>
          <w:rFonts w:ascii="Palatino Linotype" w:eastAsia="Palatino Linotype" w:hAnsi="Palatino Linotype" w:cs="Palatino Linotype"/>
          <w:i/>
        </w:rPr>
      </w:pPr>
      <w:r>
        <w:rPr>
          <w:rFonts w:ascii="Palatino Linotype" w:eastAsia="Palatino Linotype" w:hAnsi="Palatino Linotype" w:cs="Palatino Linotype"/>
          <w:i/>
        </w:rPr>
        <w:t xml:space="preserve">Yo perteneciente a Calle Higo, Colonia Profesor Cristóbal Higuera, del municipio de Atizapán de Zaragoza, Estado de México; en ejercicio de mi derecho de petición contenido en el artículo 8 de la Constitución Política de los Estados Unidos Mexicanos, y mi derecho al acceso a la información contenido en el artículo 4 de la Ley General de Transparencia y Acceso a la Información Pública, así como en el artículo 4 de la Ley de Transparencia y Acceso a la Información Pública del Estado de México y Municipios, hago llegar a usted el presente escrito en el que solicito soluciones eficientes respecto al acceso y distribución de agua potable en mi comunidad, el cuál es un derecho humano y está plasmado en el artículo 4 constitucional, e información de que medidas se han tomado respecto a este problema y que proyectos se tienen contemplados para continuar enfrentando esta situación. Desde el pasado mes de noviembre de 2023 el abastecimiento de agua ha sido muy escaso, insuficiente y no equitativo para los integrantes de mi </w:t>
      </w:r>
      <w:r>
        <w:rPr>
          <w:rFonts w:ascii="Palatino Linotype" w:eastAsia="Palatino Linotype" w:hAnsi="Palatino Linotype" w:cs="Palatino Linotype"/>
          <w:i/>
        </w:rPr>
        <w:lastRenderedPageBreak/>
        <w:t xml:space="preserve">comunidad, tanto de la red de agua entubada como de las pipas. Respeto a la red de agua entubada solo ha habido abastecimiento de agua un día al mes desde noviembre y en un periodo de máximo 8 horas. En lo que respecta a las pipas, la solicitud de estás no tiene una respuesta rápida en un periodo razonable y no son suficientes para abastecer en la mayoría de los domicilios de la comunidad; vulnerándose así más Derechos Humanos como el Derecho a la Salud, a un ambiente sano, a una vida digna, derecho a la alimentación, entre otros. </w:t>
      </w:r>
    </w:p>
    <w:p w14:paraId="3CBD84A5" w14:textId="77777777" w:rsidR="00B41180" w:rsidRDefault="008A73A5">
      <w:pPr>
        <w:pBdr>
          <w:top w:val="nil"/>
          <w:left w:val="nil"/>
          <w:bottom w:val="nil"/>
          <w:right w:val="nil"/>
          <w:between w:val="nil"/>
        </w:pBdr>
        <w:spacing w:line="360" w:lineRule="auto"/>
        <w:ind w:left="709" w:right="333"/>
        <w:jc w:val="both"/>
        <w:rPr>
          <w:rFonts w:ascii="Palatino Linotype" w:eastAsia="Palatino Linotype" w:hAnsi="Palatino Linotype" w:cs="Palatino Linotype"/>
          <w:i/>
        </w:rPr>
      </w:pPr>
      <w:r>
        <w:rPr>
          <w:rFonts w:ascii="Palatino Linotype" w:eastAsia="Palatino Linotype" w:hAnsi="Palatino Linotype" w:cs="Palatino Linotype"/>
          <w:i/>
        </w:rPr>
        <w:t xml:space="preserve">Por lo anterior me dirijo a usted para solicitarle información sobre las medidas tomadas y los proyectos que se están realizando y se realizarán para enfrentar el problema de suministro de agua potable en el ya que el Reglamento Interno del Organismo Público Descentralizado, para la Prestación de los Servicios de Agua Potable, Alcantarillado y Saneamiento del Municipio de Atizapán de Zaragoza, México, conocida como S.A.P.A.S.A. en el artículo 40, fracción XLV. le atribuye la función de garantizar la transparencia y el derecho humano de acceso a la información pública en posesión del Organismo, así como una respuesta de acuerdo al artículo 40, fracción LIV del ya mencionado reglamento. Sin más por el momento y anexo un correo de contacto. </w:t>
      </w:r>
    </w:p>
    <w:p w14:paraId="3CBD84A6" w14:textId="77777777" w:rsidR="00B41180" w:rsidRDefault="008A73A5">
      <w:pPr>
        <w:pBdr>
          <w:top w:val="nil"/>
          <w:left w:val="nil"/>
          <w:bottom w:val="nil"/>
          <w:right w:val="nil"/>
          <w:between w:val="nil"/>
        </w:pBdr>
        <w:spacing w:line="360" w:lineRule="auto"/>
        <w:ind w:left="709" w:right="333"/>
        <w:jc w:val="both"/>
        <w:rPr>
          <w:rFonts w:ascii="Palatino Linotype" w:eastAsia="Palatino Linotype" w:hAnsi="Palatino Linotype" w:cs="Palatino Linotype"/>
          <w:i/>
          <w:color w:val="000000"/>
        </w:rPr>
      </w:pPr>
      <w:r>
        <w:rPr>
          <w:rFonts w:ascii="Palatino Linotype" w:eastAsia="Palatino Linotype" w:hAnsi="Palatino Linotype" w:cs="Palatino Linotype"/>
          <w:i/>
        </w:rPr>
        <w:t>rdzbmar8@gmail.com</w:t>
      </w:r>
    </w:p>
    <w:p w14:paraId="3CBD84A7" w14:textId="77777777" w:rsidR="00B41180" w:rsidRDefault="00B41180">
      <w:pPr>
        <w:pBdr>
          <w:top w:val="nil"/>
          <w:left w:val="nil"/>
          <w:bottom w:val="nil"/>
          <w:right w:val="nil"/>
          <w:between w:val="nil"/>
        </w:pBdr>
        <w:spacing w:line="360" w:lineRule="auto"/>
        <w:ind w:right="34"/>
        <w:jc w:val="both"/>
        <w:rPr>
          <w:rFonts w:ascii="Palatino Linotype" w:eastAsia="Palatino Linotype" w:hAnsi="Palatino Linotype" w:cs="Palatino Linotype"/>
          <w:color w:val="000000"/>
        </w:rPr>
      </w:pPr>
    </w:p>
    <w:p w14:paraId="3CBD84A8" w14:textId="77777777" w:rsidR="00B41180" w:rsidRDefault="008A73A5">
      <w:pPr>
        <w:numPr>
          <w:ilvl w:val="0"/>
          <w:numId w:val="2"/>
        </w:numPr>
        <w:pBdr>
          <w:top w:val="nil"/>
          <w:left w:val="nil"/>
          <w:bottom w:val="nil"/>
          <w:right w:val="nil"/>
          <w:between w:val="nil"/>
        </w:pBdr>
        <w:tabs>
          <w:tab w:val="left" w:pos="0"/>
        </w:tabs>
        <w:spacing w:line="360" w:lineRule="auto"/>
        <w:ind w:left="709" w:right="47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Se eligió como modalidad de entrega de la información: A través del </w:t>
      </w:r>
      <w:r>
        <w:rPr>
          <w:rFonts w:ascii="Palatino Linotype" w:eastAsia="Palatino Linotype" w:hAnsi="Palatino Linotype" w:cs="Palatino Linotype"/>
          <w:b/>
          <w:color w:val="000000"/>
        </w:rPr>
        <w:t xml:space="preserve">SAIMEX y correo electrónico. </w:t>
      </w:r>
    </w:p>
    <w:p w14:paraId="3CBD84A9" w14:textId="77777777" w:rsidR="00B41180" w:rsidRDefault="008A73A5">
      <w:pPr>
        <w:numPr>
          <w:ilvl w:val="0"/>
          <w:numId w:val="3"/>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rPr>
      </w:pPr>
      <w:r>
        <w:rPr>
          <w:rFonts w:ascii="Palatino Linotype" w:eastAsia="Palatino Linotype" w:hAnsi="Palatino Linotype" w:cs="Palatino Linotype"/>
          <w:color w:val="000000"/>
        </w:rPr>
        <w:lastRenderedPageBreak/>
        <w:t>El</w:t>
      </w:r>
      <w:r>
        <w:rPr>
          <w:rFonts w:ascii="Palatino Linotype" w:eastAsia="Palatino Linotype" w:hAnsi="Palatino Linotype" w:cs="Palatino Linotype"/>
          <w:b/>
          <w:color w:val="000000"/>
        </w:rPr>
        <w:t xml:space="preserve"> diez de abril dos mil veinticuatro</w:t>
      </w:r>
      <w:r>
        <w:rPr>
          <w:rFonts w:ascii="Palatino Linotype" w:eastAsia="Palatino Linotype" w:hAnsi="Palatino Linotype" w:cs="Palatino Linotype"/>
          <w:color w:val="000000"/>
        </w:rPr>
        <w:t xml:space="preserv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emitió su respuesta adjuntando el oficio número </w:t>
      </w:r>
      <w:r>
        <w:rPr>
          <w:rFonts w:ascii="Palatino Linotype" w:eastAsia="Palatino Linotype" w:hAnsi="Palatino Linotype" w:cs="Palatino Linotype"/>
          <w:b/>
          <w:color w:val="000000"/>
        </w:rPr>
        <w:t>SAPASA/SCyOH/0118/2024</w:t>
      </w:r>
      <w:r>
        <w:rPr>
          <w:rFonts w:ascii="Palatino Linotype" w:eastAsia="Palatino Linotype" w:hAnsi="Palatino Linotype" w:cs="Palatino Linotype"/>
          <w:color w:val="000000"/>
        </w:rPr>
        <w:t xml:space="preserve"> suscrito por el Subdirector de Construcción y Operación Hidráulica, en el que de manera general informa que derivado de la disminución de caudal en el Sistema Cutzamala, se implementan seccionamientos en la distribución de agua potable mediante movimientos de válvula en las diversas zonas del Municipio de Atizapán de Zaragoza.</w:t>
      </w:r>
    </w:p>
    <w:p w14:paraId="3CBD84AA" w14:textId="77777777" w:rsidR="00B41180" w:rsidRDefault="00B41180">
      <w:pPr>
        <w:pBdr>
          <w:top w:val="nil"/>
          <w:left w:val="nil"/>
          <w:bottom w:val="nil"/>
          <w:right w:val="nil"/>
          <w:between w:val="nil"/>
        </w:pBdr>
        <w:spacing w:line="360" w:lineRule="auto"/>
        <w:ind w:left="720"/>
        <w:rPr>
          <w:rFonts w:ascii="Palatino Linotype" w:eastAsia="Palatino Linotype" w:hAnsi="Palatino Linotype" w:cs="Palatino Linotype"/>
          <w:b/>
          <w:i/>
          <w:color w:val="000000"/>
        </w:rPr>
      </w:pPr>
    </w:p>
    <w:p w14:paraId="3CBD84AB" w14:textId="77777777" w:rsidR="00B41180" w:rsidRDefault="008A73A5">
      <w:pPr>
        <w:numPr>
          <w:ilvl w:val="0"/>
          <w:numId w:val="3"/>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w:t>
      </w:r>
      <w:r>
        <w:rPr>
          <w:rFonts w:ascii="Palatino Linotype" w:eastAsia="Palatino Linotype" w:hAnsi="Palatino Linotype" w:cs="Palatino Linotype"/>
          <w:b/>
          <w:color w:val="000000"/>
        </w:rPr>
        <w:t xml:space="preserve"> catorce de abril de dos mil veinticuatro</w:t>
      </w:r>
      <w:r>
        <w:rPr>
          <w:rFonts w:ascii="Palatino Linotype" w:eastAsia="Palatino Linotype" w:hAnsi="Palatino Linotype" w:cs="Palatino Linotype"/>
          <w:color w:val="000000"/>
        </w:rPr>
        <w:t>, el particular interpuso el recurso de revisión en contra de la respuesta, realizando las siguientes manifestaciones:</w:t>
      </w:r>
    </w:p>
    <w:p w14:paraId="3CBD84AC" w14:textId="77777777" w:rsidR="00B41180" w:rsidRDefault="00B411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3CBD84AD" w14:textId="77777777" w:rsidR="00B41180" w:rsidRDefault="008A73A5">
      <w:pPr>
        <w:numPr>
          <w:ilvl w:val="0"/>
          <w:numId w:val="7"/>
        </w:numPr>
        <w:pBdr>
          <w:top w:val="nil"/>
          <w:left w:val="nil"/>
          <w:bottom w:val="nil"/>
          <w:right w:val="nil"/>
          <w:between w:val="nil"/>
        </w:pBdr>
        <w:spacing w:line="360" w:lineRule="auto"/>
        <w:ind w:right="616"/>
        <w:jc w:val="both"/>
        <w:rPr>
          <w:rFonts w:ascii="Palatino Linotype" w:eastAsia="Palatino Linotype" w:hAnsi="Palatino Linotype" w:cs="Palatino Linotype"/>
          <w:i/>
          <w:color w:val="000000"/>
        </w:rPr>
      </w:pPr>
      <w:bookmarkStart w:id="1" w:name="_heading=h.1fob9te" w:colFirst="0" w:colLast="0"/>
      <w:bookmarkEnd w:id="1"/>
      <w:r>
        <w:rPr>
          <w:rFonts w:ascii="Palatino Linotype" w:eastAsia="Palatino Linotype" w:hAnsi="Palatino Linotype" w:cs="Palatino Linotype"/>
          <w:b/>
          <w:color w:val="000000"/>
        </w:rPr>
        <w:t xml:space="preserve">Acto impugnado: </w:t>
      </w:r>
      <w:r>
        <w:rPr>
          <w:rFonts w:ascii="Palatino Linotype" w:eastAsia="Palatino Linotype" w:hAnsi="Palatino Linotype" w:cs="Palatino Linotype"/>
          <w:i/>
          <w:color w:val="000000"/>
        </w:rPr>
        <w:t xml:space="preserve">“La información no fue suficiente” </w:t>
      </w:r>
    </w:p>
    <w:p w14:paraId="3CBD84AE" w14:textId="77777777" w:rsidR="00B41180" w:rsidRDefault="00B41180">
      <w:pPr>
        <w:pBdr>
          <w:top w:val="nil"/>
          <w:left w:val="nil"/>
          <w:bottom w:val="nil"/>
          <w:right w:val="nil"/>
          <w:between w:val="nil"/>
        </w:pBdr>
        <w:spacing w:line="360" w:lineRule="auto"/>
        <w:ind w:left="851" w:right="616"/>
        <w:jc w:val="both"/>
        <w:rPr>
          <w:rFonts w:ascii="Palatino Linotype" w:eastAsia="Palatino Linotype" w:hAnsi="Palatino Linotype" w:cs="Palatino Linotype"/>
          <w:i/>
          <w:color w:val="000000"/>
        </w:rPr>
      </w:pPr>
    </w:p>
    <w:p w14:paraId="3CBD84AF" w14:textId="77777777" w:rsidR="00B41180" w:rsidRDefault="008A73A5">
      <w:pPr>
        <w:numPr>
          <w:ilvl w:val="0"/>
          <w:numId w:val="7"/>
        </w:numPr>
        <w:pBdr>
          <w:top w:val="nil"/>
          <w:left w:val="nil"/>
          <w:bottom w:val="nil"/>
          <w:right w:val="nil"/>
          <w:between w:val="nil"/>
        </w:pBdr>
        <w:spacing w:line="360" w:lineRule="auto"/>
        <w:ind w:right="616"/>
        <w:jc w:val="both"/>
        <w:rPr>
          <w:rFonts w:ascii="Palatino Linotype" w:eastAsia="Palatino Linotype" w:hAnsi="Palatino Linotype" w:cs="Palatino Linotype"/>
          <w:i/>
          <w:color w:val="000000"/>
        </w:rPr>
      </w:pPr>
      <w:r>
        <w:rPr>
          <w:rFonts w:ascii="Palatino Linotype" w:eastAsia="Palatino Linotype" w:hAnsi="Palatino Linotype" w:cs="Palatino Linotype"/>
          <w:b/>
          <w:color w:val="000000"/>
        </w:rPr>
        <w:t xml:space="preserve">RAZONES O MOTIVOS DE LA INCONFORMIDAD: </w:t>
      </w:r>
      <w:r>
        <w:rPr>
          <w:rFonts w:ascii="Palatino Linotype" w:eastAsia="Palatino Linotype" w:hAnsi="Palatino Linotype" w:cs="Palatino Linotype"/>
          <w:i/>
          <w:color w:val="000000"/>
        </w:rPr>
        <w:t xml:space="preserve">“La información enviada es algo evidente, ya que se había mencionado en un primer momento se mencionó acerca del suministro de agua potable a través de pipas y la red de agua entubad” </w:t>
      </w:r>
      <w:r>
        <w:rPr>
          <w:rFonts w:ascii="Palatino Linotype" w:eastAsia="Palatino Linotype" w:hAnsi="Palatino Linotype" w:cs="Palatino Linotype"/>
          <w:color w:val="000000"/>
        </w:rPr>
        <w:t>(Sic)</w:t>
      </w:r>
    </w:p>
    <w:p w14:paraId="3CBD84B0" w14:textId="77777777" w:rsidR="00B41180" w:rsidRDefault="00B41180">
      <w:pPr>
        <w:pBdr>
          <w:top w:val="nil"/>
          <w:left w:val="nil"/>
          <w:bottom w:val="nil"/>
          <w:right w:val="nil"/>
          <w:between w:val="nil"/>
        </w:pBdr>
        <w:spacing w:line="360" w:lineRule="auto"/>
        <w:ind w:left="720"/>
        <w:rPr>
          <w:rFonts w:ascii="Palatino Linotype" w:eastAsia="Palatino Linotype" w:hAnsi="Palatino Linotype" w:cs="Palatino Linotype"/>
          <w:i/>
          <w:color w:val="000000"/>
        </w:rPr>
      </w:pPr>
    </w:p>
    <w:p w14:paraId="3CBD84B1" w14:textId="77777777" w:rsidR="00B41180" w:rsidRDefault="008A73A5">
      <w:pPr>
        <w:numPr>
          <w:ilvl w:val="0"/>
          <w:numId w:val="6"/>
        </w:numPr>
        <w:pBdr>
          <w:top w:val="nil"/>
          <w:left w:val="nil"/>
          <w:bottom w:val="nil"/>
          <w:right w:val="nil"/>
          <w:between w:val="nil"/>
        </w:pBdr>
        <w:spacing w:line="360" w:lineRule="auto"/>
        <w:rPr>
          <w:rFonts w:ascii="Palatino Linotype" w:eastAsia="Palatino Linotype" w:hAnsi="Palatino Linotype" w:cs="Palatino Linotype"/>
          <w:i/>
          <w:color w:val="000000"/>
        </w:rPr>
      </w:pPr>
      <w:r>
        <w:rPr>
          <w:rFonts w:ascii="Palatino Linotype" w:eastAsia="Palatino Linotype" w:hAnsi="Palatino Linotype" w:cs="Palatino Linotype"/>
          <w:color w:val="000000"/>
        </w:rPr>
        <w:t xml:space="preserve">Se adjunta el archivo denominado </w:t>
      </w:r>
      <w:r>
        <w:rPr>
          <w:rFonts w:ascii="Palatino Linotype" w:eastAsia="Palatino Linotype" w:hAnsi="Palatino Linotype" w:cs="Palatino Linotype"/>
          <w:b/>
          <w:i/>
          <w:color w:val="000000"/>
        </w:rPr>
        <w:t>Re.Rev-1.pdf</w:t>
      </w:r>
      <w:r>
        <w:rPr>
          <w:rFonts w:ascii="Palatino Linotype" w:eastAsia="Palatino Linotype" w:hAnsi="Palatino Linotype" w:cs="Palatino Linotype"/>
          <w:color w:val="000000"/>
        </w:rPr>
        <w:t>, cuyo contenido es el siguiente:</w:t>
      </w:r>
    </w:p>
    <w:p w14:paraId="3CBD84B2" w14:textId="77777777" w:rsidR="00B41180" w:rsidRDefault="00B41180">
      <w:pPr>
        <w:pBdr>
          <w:top w:val="nil"/>
          <w:left w:val="nil"/>
          <w:bottom w:val="nil"/>
          <w:right w:val="nil"/>
          <w:between w:val="nil"/>
        </w:pBdr>
        <w:spacing w:line="360" w:lineRule="auto"/>
        <w:ind w:left="720"/>
        <w:rPr>
          <w:rFonts w:ascii="Palatino Linotype" w:eastAsia="Palatino Linotype" w:hAnsi="Palatino Linotype" w:cs="Palatino Linotype"/>
          <w:i/>
          <w:color w:val="000000"/>
        </w:rPr>
      </w:pPr>
    </w:p>
    <w:p w14:paraId="3CBD84B3" w14:textId="77777777" w:rsidR="00B41180" w:rsidRDefault="008A73A5">
      <w:pPr>
        <w:pBdr>
          <w:top w:val="nil"/>
          <w:left w:val="nil"/>
          <w:bottom w:val="nil"/>
          <w:right w:val="nil"/>
          <w:between w:val="nil"/>
        </w:pBdr>
        <w:spacing w:line="360" w:lineRule="auto"/>
        <w:ind w:left="720" w:right="333"/>
        <w:jc w:val="right"/>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lastRenderedPageBreak/>
        <w:t xml:space="preserve">Atizapán de Zaragoza, Estado de México, A 15 de abril 2024 </w:t>
      </w:r>
    </w:p>
    <w:p w14:paraId="3CBD84B4" w14:textId="77777777" w:rsidR="00B41180" w:rsidRDefault="008A73A5">
      <w:pPr>
        <w:pBdr>
          <w:top w:val="nil"/>
          <w:left w:val="nil"/>
          <w:bottom w:val="nil"/>
          <w:right w:val="nil"/>
          <w:between w:val="nil"/>
        </w:pBdr>
        <w:spacing w:line="360" w:lineRule="auto"/>
        <w:ind w:left="720" w:right="333"/>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Lic. Jaime Alejandro Vences Mejía, </w:t>
      </w:r>
    </w:p>
    <w:p w14:paraId="3CBD84B5" w14:textId="77777777" w:rsidR="00B41180" w:rsidRDefault="008A73A5">
      <w:pPr>
        <w:pBdr>
          <w:top w:val="nil"/>
          <w:left w:val="nil"/>
          <w:bottom w:val="nil"/>
          <w:right w:val="nil"/>
          <w:between w:val="nil"/>
        </w:pBdr>
        <w:spacing w:line="360" w:lineRule="auto"/>
        <w:ind w:left="720" w:right="333"/>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Director General del Organismo Público Descentralizado, para la Prestación de los Servicios de Agua Potable, Alcantarillado y Saneamiento del Municipio de Atizapán de Zaragoza, México, conocida como S.A.P.A.S.A. y </w:t>
      </w:r>
    </w:p>
    <w:p w14:paraId="3CBD84B6" w14:textId="77777777" w:rsidR="00B41180" w:rsidRDefault="008A73A5">
      <w:pPr>
        <w:pBdr>
          <w:top w:val="nil"/>
          <w:left w:val="nil"/>
          <w:bottom w:val="nil"/>
          <w:right w:val="nil"/>
          <w:between w:val="nil"/>
        </w:pBdr>
        <w:spacing w:line="360" w:lineRule="auto"/>
        <w:ind w:left="720" w:right="333"/>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Lic. Eva María Jiménez García, </w:t>
      </w:r>
    </w:p>
    <w:p w14:paraId="3CBD84B7" w14:textId="77777777" w:rsidR="00B41180" w:rsidRDefault="008A73A5">
      <w:pPr>
        <w:pBdr>
          <w:top w:val="nil"/>
          <w:left w:val="nil"/>
          <w:bottom w:val="nil"/>
          <w:right w:val="nil"/>
          <w:between w:val="nil"/>
        </w:pBdr>
        <w:spacing w:line="360" w:lineRule="auto"/>
        <w:ind w:left="720" w:right="333"/>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Titular de la Unidad de Transparencia y Acceso a la Información Pública del Organismo SAPASA. </w:t>
      </w:r>
    </w:p>
    <w:p w14:paraId="3CBD84B8" w14:textId="77777777" w:rsidR="00B41180" w:rsidRDefault="008A73A5">
      <w:pPr>
        <w:pBdr>
          <w:top w:val="nil"/>
          <w:left w:val="nil"/>
          <w:bottom w:val="nil"/>
          <w:right w:val="nil"/>
          <w:between w:val="nil"/>
        </w:pBdr>
        <w:spacing w:line="360" w:lineRule="auto"/>
        <w:ind w:left="720" w:right="333"/>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PRESENTE </w:t>
      </w:r>
    </w:p>
    <w:p w14:paraId="3CBD84B9" w14:textId="77777777" w:rsidR="00B41180" w:rsidRDefault="00B41180">
      <w:pPr>
        <w:pBdr>
          <w:top w:val="nil"/>
          <w:left w:val="nil"/>
          <w:bottom w:val="nil"/>
          <w:right w:val="nil"/>
          <w:between w:val="nil"/>
        </w:pBdr>
        <w:spacing w:line="360" w:lineRule="auto"/>
        <w:ind w:left="720" w:right="333"/>
        <w:jc w:val="both"/>
        <w:rPr>
          <w:rFonts w:ascii="Palatino Linotype" w:eastAsia="Palatino Linotype" w:hAnsi="Palatino Linotype" w:cs="Palatino Linotype"/>
          <w:i/>
          <w:color w:val="000000"/>
        </w:rPr>
      </w:pPr>
    </w:p>
    <w:p w14:paraId="3CBD84BA" w14:textId="77777777" w:rsidR="00B41180" w:rsidRDefault="008A73A5">
      <w:pPr>
        <w:pBdr>
          <w:top w:val="nil"/>
          <w:left w:val="nil"/>
          <w:bottom w:val="nil"/>
          <w:right w:val="nil"/>
          <w:between w:val="nil"/>
        </w:pBdr>
        <w:spacing w:line="360" w:lineRule="auto"/>
        <w:ind w:left="720" w:right="333"/>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Agradeciendo su respuesta mediante el oficio SAPASA/SCyOH/118/2024, me dirijo a ustedes mediante el presente escrito ya que la información brindada con anterioridad no me pareció suficiente, además de que no resuelve mis dudas con la situación del agua; por lo anterior solicito información adicional a las medidas de abastecimiento escalonado y a la distribución de agua mediante pipas, como podemos solicitar una a nuestro domicilio y que está acuda en un tiempo adecuado y la cantidad adecuada para cubrir nuestras necesidades ; además de estos mencionados que otros proyectos se contemplan para poder continuar con el abastecimiento de agua potable en el municipio a largo, corto y mediano plazo, así como el presupuesto de estos mismos, su planeación y cuáles son los plazos </w:t>
      </w:r>
      <w:r>
        <w:rPr>
          <w:rFonts w:ascii="Palatino Linotype" w:eastAsia="Palatino Linotype" w:hAnsi="Palatino Linotype" w:cs="Palatino Linotype"/>
          <w:i/>
          <w:color w:val="000000"/>
        </w:rPr>
        <w:lastRenderedPageBreak/>
        <w:t xml:space="preserve">contemplados para realizarlos; y que medidas se tienen para evitar que el agua se contamine como ha sucedido en otros lugares del país. </w:t>
      </w:r>
    </w:p>
    <w:p w14:paraId="3CBD84BB" w14:textId="77777777" w:rsidR="00B41180" w:rsidRDefault="008A73A5">
      <w:pPr>
        <w:pBdr>
          <w:top w:val="nil"/>
          <w:left w:val="nil"/>
          <w:bottom w:val="nil"/>
          <w:right w:val="nil"/>
          <w:between w:val="nil"/>
        </w:pBdr>
        <w:spacing w:line="360" w:lineRule="auto"/>
        <w:ind w:left="720" w:right="333"/>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Sin más por el momento agradezco su atención.</w:t>
      </w:r>
    </w:p>
    <w:p w14:paraId="3CBD84BC" w14:textId="77777777" w:rsidR="00B41180" w:rsidRDefault="00B41180">
      <w:pPr>
        <w:pBdr>
          <w:top w:val="nil"/>
          <w:left w:val="nil"/>
          <w:bottom w:val="nil"/>
          <w:right w:val="nil"/>
          <w:between w:val="nil"/>
        </w:pBdr>
        <w:spacing w:line="360" w:lineRule="auto"/>
        <w:ind w:left="720"/>
        <w:rPr>
          <w:rFonts w:ascii="Palatino Linotype" w:eastAsia="Palatino Linotype" w:hAnsi="Palatino Linotype" w:cs="Palatino Linotype"/>
          <w:i/>
          <w:color w:val="000000"/>
        </w:rPr>
      </w:pPr>
    </w:p>
    <w:p w14:paraId="3CBD84BD" w14:textId="77777777" w:rsidR="00B41180" w:rsidRDefault="008A73A5">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Con fundamento en lo dispuesto por el artículo 185 fracción II de la ley de la materia, se acordó a las partes a efecto de que en un plazo máximo de siete días, el Recurrente </w:t>
      </w:r>
      <w:r>
        <w:rPr>
          <w:rFonts w:ascii="Palatino Linotype" w:eastAsia="Palatino Linotype" w:hAnsi="Palatino Linotype" w:cs="Palatino Linotype"/>
        </w:rPr>
        <w:t>manifiesta</w:t>
      </w:r>
      <w:r>
        <w:rPr>
          <w:rFonts w:ascii="Palatino Linotype" w:eastAsia="Palatino Linotype" w:hAnsi="Palatino Linotype" w:cs="Palatino Linotype"/>
          <w:color w:val="000000"/>
        </w:rPr>
        <w:t xml:space="preserve"> lo que a su derecho conviniera, </w:t>
      </w:r>
      <w:r>
        <w:rPr>
          <w:rFonts w:ascii="Palatino Linotype" w:eastAsia="Palatino Linotype" w:hAnsi="Palatino Linotype" w:cs="Palatino Linotype"/>
        </w:rPr>
        <w:t>ofreciera</w:t>
      </w:r>
      <w:r>
        <w:rPr>
          <w:rFonts w:ascii="Palatino Linotype" w:eastAsia="Palatino Linotype" w:hAnsi="Palatino Linotype" w:cs="Palatino Linotype"/>
          <w:color w:val="000000"/>
        </w:rPr>
        <w:t xml:space="preserve"> pruebas y alegatos, y el Sujeto Obligado presentará el Informe Justificado.</w:t>
      </w:r>
    </w:p>
    <w:p w14:paraId="3CBD84BE" w14:textId="77777777" w:rsidR="00B41180" w:rsidRDefault="00B41180">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3CBD84BF" w14:textId="77777777" w:rsidR="00B41180" w:rsidRDefault="008A73A5">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Recurrente</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dejó de realizar manifestaciones que a su derecho conviniera y asistiera. Por su parte, el Sujeto Obligado,</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fue omiso en rendir el informe justificado correspondiente.</w:t>
      </w:r>
    </w:p>
    <w:p w14:paraId="3CBD84C0" w14:textId="77777777" w:rsidR="00B41180" w:rsidRDefault="00B411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3CBD84C1" w14:textId="77777777" w:rsidR="00B41180" w:rsidRDefault="008A73A5">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bookmarkStart w:id="2" w:name="_heading=h.3znysh7" w:colFirst="0" w:colLast="0"/>
      <w:bookmarkEnd w:id="2"/>
      <w:r>
        <w:rPr>
          <w:rFonts w:ascii="Palatino Linotype" w:eastAsia="Palatino Linotype" w:hAnsi="Palatino Linotype" w:cs="Palatino Linotype"/>
          <w:b/>
        </w:rPr>
        <w:t>Ampliación del término para resolver</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once de junio de dos mil veinticuatro</w:t>
      </w:r>
      <w:r>
        <w:rPr>
          <w:rFonts w:ascii="Palatino Linotype" w:eastAsia="Palatino Linotype" w:hAnsi="Palatino Linotype" w:cs="Palatino Linotype"/>
        </w:rPr>
        <w:t xml:space="preserve">, el Recurso de Revisión, se amplió el término para resolver en términos del artículo 133 de la Ley de Protección de Datos Personales en Posesión de Sujetos Obligados del Estado de México y Municipios. </w:t>
      </w:r>
    </w:p>
    <w:p w14:paraId="3CBD84C2" w14:textId="77777777" w:rsidR="00B41180" w:rsidRDefault="00B41180">
      <w:pPr>
        <w:spacing w:line="360" w:lineRule="auto"/>
        <w:jc w:val="both"/>
        <w:rPr>
          <w:rFonts w:ascii="Palatino Linotype" w:eastAsia="Palatino Linotype" w:hAnsi="Palatino Linotype" w:cs="Palatino Linotype"/>
        </w:rPr>
      </w:pPr>
    </w:p>
    <w:p w14:paraId="3CBD84C3" w14:textId="77777777" w:rsidR="00B41180" w:rsidRDefault="008A73A5">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Este Organismo Garante no pasa por alto justificar, que el plazo para emitir la resolución en el presente </w:t>
      </w:r>
      <w:r>
        <w:rPr>
          <w:rFonts w:ascii="Palatino Linotype" w:eastAsia="Palatino Linotype" w:hAnsi="Palatino Linotype" w:cs="Palatino Linotype"/>
          <w:color w:val="000000"/>
        </w:rPr>
        <w:t>asunto</w:t>
      </w:r>
      <w:r>
        <w:rPr>
          <w:rFonts w:ascii="Palatino Linotype" w:eastAsia="Palatino Linotype" w:hAnsi="Palatino Linotype" w:cs="Palatino Linotype"/>
        </w:rPr>
        <w:t xml:space="preserve"> encuentra justificación en el alto número de recursos de revisión recibidos, circunstancia atípica que ha rebasado las capacidades </w:t>
      </w:r>
      <w:r>
        <w:rPr>
          <w:rFonts w:ascii="Palatino Linotype" w:eastAsia="Palatino Linotype" w:hAnsi="Palatino Linotype" w:cs="Palatino Linotype"/>
        </w:rPr>
        <w:lastRenderedPageBreak/>
        <w:t xml:space="preserve">técnicas y humanas del personal encargado de la proyección de las resoluciones a dichos medios de impugnación. </w:t>
      </w:r>
    </w:p>
    <w:p w14:paraId="3CBD84C4" w14:textId="77777777" w:rsidR="00B41180" w:rsidRDefault="00B41180">
      <w:pPr>
        <w:spacing w:line="360" w:lineRule="auto"/>
        <w:jc w:val="both"/>
        <w:rPr>
          <w:rFonts w:ascii="Palatino Linotype" w:eastAsia="Palatino Linotype" w:hAnsi="Palatino Linotype" w:cs="Palatino Linotype"/>
        </w:rPr>
      </w:pPr>
    </w:p>
    <w:p w14:paraId="3CBD84C5" w14:textId="77777777" w:rsidR="00B41180" w:rsidRDefault="008A73A5">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 </w:t>
      </w:r>
    </w:p>
    <w:p w14:paraId="3CBD84C6" w14:textId="77777777" w:rsidR="00B41180" w:rsidRDefault="00B411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3CBD84C7" w14:textId="77777777" w:rsidR="00B41180" w:rsidRDefault="008A73A5">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 </w:t>
      </w:r>
    </w:p>
    <w:p w14:paraId="3CBD84C8" w14:textId="77777777" w:rsidR="00B41180" w:rsidRDefault="00B411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3CBD84C9" w14:textId="77777777" w:rsidR="00B41180" w:rsidRDefault="008A73A5">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3CBD84CA" w14:textId="77777777" w:rsidR="00B41180" w:rsidRDefault="00B411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3CBD84CB" w14:textId="77777777" w:rsidR="00B41180" w:rsidRDefault="008A73A5">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3CBD84CC" w14:textId="77777777" w:rsidR="00B41180" w:rsidRDefault="00B41180">
      <w:pPr>
        <w:spacing w:line="360" w:lineRule="auto"/>
        <w:ind w:left="720"/>
        <w:jc w:val="both"/>
        <w:rPr>
          <w:rFonts w:ascii="Palatino Linotype" w:eastAsia="Palatino Linotype" w:hAnsi="Palatino Linotype" w:cs="Palatino Linotype"/>
        </w:rPr>
      </w:pPr>
    </w:p>
    <w:p w14:paraId="3CBD84CD" w14:textId="77777777" w:rsidR="00B41180" w:rsidRDefault="008A73A5">
      <w:pPr>
        <w:spacing w:line="360" w:lineRule="auto"/>
        <w:ind w:left="720"/>
        <w:jc w:val="both"/>
        <w:rPr>
          <w:rFonts w:ascii="Palatino Linotype" w:eastAsia="Palatino Linotype" w:hAnsi="Palatino Linotype" w:cs="Palatino Linotype"/>
        </w:rPr>
      </w:pPr>
      <w:r>
        <w:rPr>
          <w:rFonts w:ascii="Palatino Linotype" w:eastAsia="Palatino Linotype" w:hAnsi="Palatino Linotype" w:cs="Palatino Linotype"/>
        </w:rPr>
        <w:t xml:space="preserve">a) Complejidad del Asunto: La complejidad de la prueba, la pluralidad de sujetos procesales, el tiempo transcurrido, las características y contexto del recurso. </w:t>
      </w:r>
    </w:p>
    <w:p w14:paraId="3CBD84CE" w14:textId="77777777" w:rsidR="00B41180" w:rsidRDefault="00B41180">
      <w:pPr>
        <w:spacing w:line="360" w:lineRule="auto"/>
        <w:ind w:left="720"/>
        <w:jc w:val="both"/>
        <w:rPr>
          <w:rFonts w:ascii="Palatino Linotype" w:eastAsia="Palatino Linotype" w:hAnsi="Palatino Linotype" w:cs="Palatino Linotype"/>
        </w:rPr>
      </w:pPr>
    </w:p>
    <w:p w14:paraId="3CBD84CF" w14:textId="77777777" w:rsidR="00B41180" w:rsidRDefault="008A73A5">
      <w:pPr>
        <w:spacing w:line="360" w:lineRule="auto"/>
        <w:ind w:left="720"/>
        <w:jc w:val="both"/>
        <w:rPr>
          <w:rFonts w:ascii="Palatino Linotype" w:eastAsia="Palatino Linotype" w:hAnsi="Palatino Linotype" w:cs="Palatino Linotype"/>
        </w:rPr>
      </w:pPr>
      <w:r>
        <w:rPr>
          <w:rFonts w:ascii="Palatino Linotype" w:eastAsia="Palatino Linotype" w:hAnsi="Palatino Linotype" w:cs="Palatino Linotype"/>
        </w:rPr>
        <w:t>b) Actividad Procesal del interesado. Acciones u omisiones del interesado.</w:t>
      </w:r>
    </w:p>
    <w:p w14:paraId="3CBD84D0" w14:textId="77777777" w:rsidR="00B41180" w:rsidRDefault="00B41180">
      <w:pPr>
        <w:spacing w:line="360" w:lineRule="auto"/>
        <w:ind w:left="720"/>
        <w:jc w:val="both"/>
        <w:rPr>
          <w:rFonts w:ascii="Palatino Linotype" w:eastAsia="Palatino Linotype" w:hAnsi="Palatino Linotype" w:cs="Palatino Linotype"/>
        </w:rPr>
      </w:pPr>
    </w:p>
    <w:p w14:paraId="3CBD84D1" w14:textId="77777777" w:rsidR="00B41180" w:rsidRDefault="008A73A5">
      <w:pPr>
        <w:spacing w:line="360" w:lineRule="auto"/>
        <w:ind w:left="720"/>
        <w:jc w:val="both"/>
        <w:rPr>
          <w:rFonts w:ascii="Palatino Linotype" w:eastAsia="Palatino Linotype" w:hAnsi="Palatino Linotype" w:cs="Palatino Linotype"/>
        </w:rPr>
      </w:pPr>
      <w:r>
        <w:rPr>
          <w:rFonts w:ascii="Palatino Linotype" w:eastAsia="Palatino Linotype" w:hAnsi="Palatino Linotype" w:cs="Palatino Linotype"/>
        </w:rPr>
        <w:t xml:space="preserve">c) Conducta de la Autoridad: Las Acciones u omisiones realizadas en el procedimiento. Así como si la autoridad actuó con la debida diligencia. </w:t>
      </w:r>
    </w:p>
    <w:p w14:paraId="3CBD84D2" w14:textId="77777777" w:rsidR="00B41180" w:rsidRDefault="00B41180">
      <w:pPr>
        <w:spacing w:line="360" w:lineRule="auto"/>
        <w:ind w:left="720"/>
        <w:jc w:val="both"/>
        <w:rPr>
          <w:rFonts w:ascii="Palatino Linotype" w:eastAsia="Palatino Linotype" w:hAnsi="Palatino Linotype" w:cs="Palatino Linotype"/>
        </w:rPr>
      </w:pPr>
    </w:p>
    <w:p w14:paraId="3CBD84D3" w14:textId="77777777" w:rsidR="00B41180" w:rsidRDefault="008A73A5">
      <w:pPr>
        <w:spacing w:line="360" w:lineRule="auto"/>
        <w:ind w:left="720"/>
        <w:jc w:val="both"/>
        <w:rPr>
          <w:rFonts w:ascii="Palatino Linotype" w:eastAsia="Palatino Linotype" w:hAnsi="Palatino Linotype" w:cs="Palatino Linotype"/>
        </w:rPr>
      </w:pPr>
      <w:r>
        <w:rPr>
          <w:rFonts w:ascii="Palatino Linotype" w:eastAsia="Palatino Linotype" w:hAnsi="Palatino Linotype" w:cs="Palatino Linotype"/>
        </w:rPr>
        <w:t xml:space="preserve">d) La afectación generada en la situación jurídica de la persona involucrada en el proceso: Violación a sus derechos humanos. </w:t>
      </w:r>
    </w:p>
    <w:p w14:paraId="3CBD84D4" w14:textId="77777777" w:rsidR="00B41180" w:rsidRDefault="00B41180">
      <w:pPr>
        <w:spacing w:line="360" w:lineRule="auto"/>
        <w:ind w:left="720"/>
        <w:jc w:val="both"/>
        <w:rPr>
          <w:rFonts w:ascii="Palatino Linotype" w:eastAsia="Palatino Linotype" w:hAnsi="Palatino Linotype" w:cs="Palatino Linotype"/>
        </w:rPr>
      </w:pPr>
    </w:p>
    <w:p w14:paraId="3CBD84D5" w14:textId="77777777" w:rsidR="00B41180" w:rsidRDefault="008A73A5">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Pr>
          <w:rFonts w:ascii="Palatino Linotype" w:eastAsia="Palatino Linotype" w:hAnsi="Palatino Linotype" w:cs="Palatino Linotype"/>
        </w:rPr>
        <w:lastRenderedPageBreak/>
        <w:t xml:space="preserve">relación con la actuación del funcionario, como ha acontecido en el caso que nos ocupa. </w:t>
      </w:r>
    </w:p>
    <w:p w14:paraId="3CBD84D6" w14:textId="77777777" w:rsidR="00B41180" w:rsidRDefault="00B41180">
      <w:pPr>
        <w:spacing w:line="360" w:lineRule="auto"/>
        <w:jc w:val="both"/>
        <w:rPr>
          <w:rFonts w:ascii="Palatino Linotype" w:eastAsia="Palatino Linotype" w:hAnsi="Palatino Linotype" w:cs="Palatino Linotype"/>
        </w:rPr>
      </w:pPr>
    </w:p>
    <w:p w14:paraId="3CBD84D7" w14:textId="77777777" w:rsidR="00B41180" w:rsidRDefault="008A73A5">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 </w:t>
      </w:r>
    </w:p>
    <w:p w14:paraId="3CBD84D8" w14:textId="77777777" w:rsidR="00B41180" w:rsidRDefault="00B41180">
      <w:pPr>
        <w:spacing w:line="360" w:lineRule="auto"/>
        <w:jc w:val="both"/>
        <w:rPr>
          <w:rFonts w:ascii="Palatino Linotype" w:eastAsia="Palatino Linotype" w:hAnsi="Palatino Linotype" w:cs="Palatino Linotype"/>
        </w:rPr>
      </w:pPr>
    </w:p>
    <w:p w14:paraId="3CBD84D9" w14:textId="77777777" w:rsidR="00B41180" w:rsidRDefault="008A73A5">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 </w:t>
      </w:r>
    </w:p>
    <w:p w14:paraId="3CBD84DA" w14:textId="77777777" w:rsidR="00B41180" w:rsidRDefault="008A73A5">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Al respecto, también son de considerar los criterios sostenidos por el Cuarto Tribunal Colegiado en Materia Administrativa del Primer Circuito, cuyos rubros y datos de identificación son los siguientes: </w:t>
      </w:r>
    </w:p>
    <w:p w14:paraId="3CBD84DB" w14:textId="77777777" w:rsidR="00B41180" w:rsidRDefault="008A73A5">
      <w:pPr>
        <w:spacing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“PLAZO RAZONABLE PARA RESOLVER. DIMENSIÓN Y EFECTOS DE ESTE CONCEPTO CUANDO SE ADUCE EXCESIVA CARGA DE TRABAJO.” consultable en el Seminario Judicial de la Federación y su gaceta, con el registro digital 2002351. </w:t>
      </w:r>
    </w:p>
    <w:p w14:paraId="3CBD84DC" w14:textId="77777777" w:rsidR="00B41180" w:rsidRDefault="00B41180">
      <w:pPr>
        <w:spacing w:line="360" w:lineRule="auto"/>
        <w:ind w:left="567" w:right="616"/>
        <w:jc w:val="both"/>
        <w:rPr>
          <w:rFonts w:ascii="Palatino Linotype" w:eastAsia="Palatino Linotype" w:hAnsi="Palatino Linotype" w:cs="Palatino Linotype"/>
          <w:i/>
        </w:rPr>
      </w:pPr>
    </w:p>
    <w:p w14:paraId="3CBD84DD" w14:textId="77777777" w:rsidR="00B41180" w:rsidRDefault="008A73A5">
      <w:pPr>
        <w:spacing w:line="360" w:lineRule="auto"/>
        <w:ind w:left="567" w:right="616"/>
        <w:jc w:val="both"/>
        <w:rPr>
          <w:rFonts w:ascii="Palatino Linotype" w:eastAsia="Palatino Linotype" w:hAnsi="Palatino Linotype" w:cs="Palatino Linotype"/>
          <w:i/>
        </w:rPr>
      </w:pPr>
      <w:r>
        <w:rPr>
          <w:rFonts w:ascii="Palatino Linotype" w:eastAsia="Palatino Linotype" w:hAnsi="Palatino Linotype" w:cs="Palatino Linotype"/>
          <w:i/>
        </w:rPr>
        <w:t xml:space="preserve">“PLAZO RAZONABLE PARA RESOLVER. CONCEPTO Y ELEMENTOS QUE LO INTEGRAN A LA LUZ DEL DERECHO INTERNACIONAL DE LOS DERECHOS HUMANOS.”, visible en el Seminario Judicial de la Federación y su gaceta, con el registro digital 2002350. </w:t>
      </w:r>
    </w:p>
    <w:p w14:paraId="3CBD84DE" w14:textId="77777777" w:rsidR="00B41180" w:rsidRDefault="00B41180">
      <w:pPr>
        <w:spacing w:line="360" w:lineRule="auto"/>
        <w:jc w:val="both"/>
        <w:rPr>
          <w:rFonts w:ascii="Palatino Linotype" w:eastAsia="Palatino Linotype" w:hAnsi="Palatino Linotype" w:cs="Palatino Linotype"/>
        </w:rPr>
      </w:pPr>
    </w:p>
    <w:p w14:paraId="3CBD84DF" w14:textId="77777777" w:rsidR="00B41180" w:rsidRDefault="008A73A5">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ello, este Organismo Garante comprometido con la tutela de los derechos humanos confiados, señala que este exceso del plazo legal para resolver el presente asunto, resulta de carácter excepcional. </w:t>
      </w:r>
    </w:p>
    <w:p w14:paraId="3CBD84E0" w14:textId="77777777" w:rsidR="00B41180" w:rsidRDefault="00B41180">
      <w:pPr>
        <w:spacing w:line="360" w:lineRule="auto"/>
        <w:jc w:val="both"/>
        <w:rPr>
          <w:rFonts w:ascii="Palatino Linotype" w:eastAsia="Palatino Linotype" w:hAnsi="Palatino Linotype" w:cs="Palatino Linotype"/>
        </w:rPr>
      </w:pPr>
    </w:p>
    <w:p w14:paraId="3CBD84E1" w14:textId="77777777" w:rsidR="00B41180" w:rsidRDefault="008A73A5">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En razón de que fue debidamente sustanciado el expediente electrónico y no existe diligencia pendiente de desahogo se decretó el cierre de instrucción el veinticinco de septiembre del año en curso, y se ordenó emitir la Resolución que conforme a Derecho proceda, de acuerdo con los siguientes:</w:t>
      </w:r>
    </w:p>
    <w:p w14:paraId="3CBD84E2" w14:textId="77777777" w:rsidR="00B41180" w:rsidRDefault="00B41180">
      <w:pPr>
        <w:pBdr>
          <w:top w:val="nil"/>
          <w:left w:val="nil"/>
          <w:bottom w:val="nil"/>
          <w:right w:val="nil"/>
          <w:between w:val="nil"/>
        </w:pBdr>
        <w:spacing w:line="360" w:lineRule="auto"/>
        <w:ind w:left="720"/>
        <w:rPr>
          <w:rFonts w:ascii="Palatino Linotype" w:eastAsia="Palatino Linotype" w:hAnsi="Palatino Linotype" w:cs="Palatino Linotype"/>
          <w:b/>
          <w:color w:val="000000"/>
        </w:rPr>
      </w:pPr>
    </w:p>
    <w:p w14:paraId="3CBD84E3" w14:textId="77777777" w:rsidR="00B41180" w:rsidRDefault="008A73A5">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 O N S I D E R A C I O N E S</w:t>
      </w:r>
    </w:p>
    <w:p w14:paraId="3CBD84E4" w14:textId="77777777" w:rsidR="00B41180" w:rsidRDefault="00B41180">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p>
    <w:p w14:paraId="3CBD84E5" w14:textId="77777777" w:rsidR="00B41180" w:rsidRDefault="008A73A5">
      <w:pPr>
        <w:pStyle w:val="Ttulo2"/>
        <w:spacing w:before="0" w:line="360" w:lineRule="auto"/>
        <w:rPr>
          <w:rFonts w:ascii="Palatino Linotype" w:eastAsia="Palatino Linotype" w:hAnsi="Palatino Linotype" w:cs="Palatino Linotype"/>
          <w:b/>
          <w:color w:val="000000"/>
          <w:sz w:val="24"/>
          <w:szCs w:val="24"/>
        </w:rPr>
      </w:pPr>
      <w:bookmarkStart w:id="3" w:name="_heading=h.2et92p0" w:colFirst="0" w:colLast="0"/>
      <w:bookmarkEnd w:id="3"/>
      <w:r>
        <w:rPr>
          <w:rFonts w:ascii="Palatino Linotype" w:eastAsia="Palatino Linotype" w:hAnsi="Palatino Linotype" w:cs="Palatino Linotype"/>
          <w:b/>
          <w:color w:val="000000"/>
          <w:sz w:val="24"/>
          <w:szCs w:val="24"/>
        </w:rPr>
        <w:t>PRIMERA. Competencia</w:t>
      </w:r>
    </w:p>
    <w:p w14:paraId="3CBD84E6" w14:textId="77777777" w:rsidR="00B41180" w:rsidRDefault="008A73A5">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3CBD84E7" w14:textId="77777777" w:rsidR="00B41180" w:rsidRDefault="00B4118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CBD84E8" w14:textId="77777777" w:rsidR="00B41180" w:rsidRDefault="008A73A5">
      <w:pPr>
        <w:pStyle w:val="Ttulo2"/>
        <w:spacing w:before="0" w:line="360" w:lineRule="auto"/>
        <w:rPr>
          <w:rFonts w:ascii="Palatino Linotype" w:eastAsia="Palatino Linotype" w:hAnsi="Palatino Linotype" w:cs="Palatino Linotype"/>
          <w:b/>
          <w:color w:val="000000"/>
          <w:sz w:val="24"/>
          <w:szCs w:val="24"/>
        </w:rPr>
      </w:pPr>
      <w:bookmarkStart w:id="4" w:name="_heading=h.tyjcwt" w:colFirst="0" w:colLast="0"/>
      <w:bookmarkEnd w:id="4"/>
      <w:r>
        <w:rPr>
          <w:rFonts w:ascii="Palatino Linotype" w:eastAsia="Palatino Linotype" w:hAnsi="Palatino Linotype" w:cs="Palatino Linotype"/>
          <w:b/>
          <w:color w:val="000000"/>
          <w:sz w:val="24"/>
          <w:szCs w:val="24"/>
        </w:rPr>
        <w:t>SEGUNDA. Procedencia.</w:t>
      </w:r>
    </w:p>
    <w:p w14:paraId="3CBD84E9" w14:textId="77777777" w:rsidR="00B41180" w:rsidRDefault="008A73A5">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rPr>
      </w:pPr>
      <w:r>
        <w:rPr>
          <w:rFonts w:ascii="Palatino Linotype" w:eastAsia="Palatino Linotype" w:hAnsi="Palatino Linotype" w:cs="Palatino Linotype"/>
        </w:rPr>
        <w:t xml:space="preserve">El artículo 178 de la Ley de Transparencia y Acceso a la Información Pública del Estado de México y Municipios establece que el solicitante podrá́ interponer, por </w:t>
      </w:r>
      <w:r>
        <w:rPr>
          <w:rFonts w:ascii="Palatino Linotype" w:eastAsia="Palatino Linotype" w:hAnsi="Palatino Linotype" w:cs="Palatino Linotype"/>
        </w:rPr>
        <w:lastRenderedPageBreak/>
        <w:t xml:space="preserve">sí mismo o a </w:t>
      </w:r>
      <w:r>
        <w:rPr>
          <w:rFonts w:ascii="Palatino Linotype" w:eastAsia="Palatino Linotype" w:hAnsi="Palatino Linotype" w:cs="Palatino Linotype"/>
          <w:color w:val="000000"/>
        </w:rPr>
        <w:t>través</w:t>
      </w:r>
      <w:r>
        <w:rPr>
          <w:rFonts w:ascii="Palatino Linotype" w:eastAsia="Palatino Linotype" w:hAnsi="Palatino Linotype" w:cs="Palatino Linotype"/>
        </w:rPr>
        <w:t xml:space="preserve"> de su representante, de manera directa o por medios electrónicos, recurso de revisión ante el Instituto o ante la Unidad de Transparencia que haya conocido de la solicitud dentro de los quince días hábiles, siguientes a la fecha de la notificación de la respuesta y que ante la falta de respuesta del sujeto obligado, dentro de los plazos establecidos en la Ley de Transparencia Local, a una solicitud de acceso a la información pública, el recurso podrá́ ser interpuesto en cualquier momento, por lo que la interposición del presente recurso de revisión resulta oportuna.</w:t>
      </w:r>
    </w:p>
    <w:p w14:paraId="3CBD84EA" w14:textId="77777777" w:rsidR="00B41180" w:rsidRDefault="00B41180">
      <w:p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p>
    <w:p w14:paraId="3CBD84EB" w14:textId="77777777" w:rsidR="00B41180" w:rsidRDefault="008A73A5">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Asimismo,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procedimentales para atender el fondo del asunto, en los términos del considerando posterior.</w:t>
      </w:r>
    </w:p>
    <w:p w14:paraId="3CBD84EC" w14:textId="77777777" w:rsidR="00B41180" w:rsidRDefault="00B41180">
      <w:pPr>
        <w:pBdr>
          <w:top w:val="nil"/>
          <w:left w:val="nil"/>
          <w:bottom w:val="nil"/>
          <w:right w:val="nil"/>
          <w:between w:val="nil"/>
        </w:pBdr>
        <w:spacing w:line="360" w:lineRule="auto"/>
        <w:rPr>
          <w:rFonts w:ascii="Palatino Linotype" w:eastAsia="Palatino Linotype" w:hAnsi="Palatino Linotype" w:cs="Palatino Linotype"/>
          <w:color w:val="000000"/>
        </w:rPr>
      </w:pPr>
    </w:p>
    <w:p w14:paraId="3CBD84ED" w14:textId="77777777" w:rsidR="00B41180" w:rsidRDefault="008A73A5">
      <w:pPr>
        <w:pStyle w:val="Ttulo1"/>
        <w:spacing w:before="0" w:line="360" w:lineRule="auto"/>
        <w:rPr>
          <w:rFonts w:ascii="Palatino Linotype" w:eastAsia="Palatino Linotype" w:hAnsi="Palatino Linotype" w:cs="Palatino Linotype"/>
          <w:b/>
          <w:color w:val="000000"/>
          <w:sz w:val="24"/>
          <w:szCs w:val="24"/>
        </w:rPr>
      </w:pPr>
      <w:bookmarkStart w:id="5" w:name="_heading=h.3dy6vkm" w:colFirst="0" w:colLast="0"/>
      <w:bookmarkEnd w:id="5"/>
      <w:r>
        <w:rPr>
          <w:rFonts w:ascii="Palatino Linotype" w:eastAsia="Palatino Linotype" w:hAnsi="Palatino Linotype" w:cs="Palatino Linotype"/>
          <w:b/>
          <w:color w:val="000000"/>
          <w:sz w:val="24"/>
          <w:szCs w:val="24"/>
        </w:rPr>
        <w:t>TERCERA. Descripción de hechos y planteamiento de la controversia.</w:t>
      </w:r>
    </w:p>
    <w:p w14:paraId="3CBD84EE" w14:textId="77777777" w:rsidR="00B41180" w:rsidRDefault="008A73A5">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Se solicitó tener acceso, a la información que a continuación se simplifica:</w:t>
      </w:r>
    </w:p>
    <w:p w14:paraId="3CBD84EF" w14:textId="77777777" w:rsidR="00B41180" w:rsidRDefault="00B4118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CBD84F0" w14:textId="77777777" w:rsidR="00B41180" w:rsidRDefault="008A73A5">
      <w:pPr>
        <w:numPr>
          <w:ilvl w:val="0"/>
          <w:numId w:val="1"/>
        </w:numPr>
        <w:pBdr>
          <w:top w:val="nil"/>
          <w:left w:val="nil"/>
          <w:bottom w:val="nil"/>
          <w:right w:val="nil"/>
          <w:between w:val="nil"/>
        </w:pBdr>
        <w:spacing w:line="360" w:lineRule="auto"/>
        <w:ind w:right="474"/>
        <w:jc w:val="both"/>
        <w:rPr>
          <w:rFonts w:ascii="Palatino Linotype" w:eastAsia="Palatino Linotype" w:hAnsi="Palatino Linotype" w:cs="Palatino Linotype"/>
          <w:color w:val="000000"/>
        </w:rPr>
      </w:pPr>
      <w:r>
        <w:rPr>
          <w:rFonts w:ascii="Palatino Linotype" w:eastAsia="Palatino Linotype" w:hAnsi="Palatino Linotype" w:cs="Palatino Linotype"/>
          <w:b/>
          <w:color w:val="000000"/>
        </w:rPr>
        <w:t>Medidas adoptadas y los proyectos que se están realizando y se realizarán para enfrentar el problema de suministro de agua potable.</w:t>
      </w:r>
    </w:p>
    <w:p w14:paraId="3CBD84F1" w14:textId="77777777" w:rsidR="00B41180" w:rsidRDefault="008A73A5">
      <w:pPr>
        <w:numPr>
          <w:ilvl w:val="0"/>
          <w:numId w:val="3"/>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lastRenderedPageBreak/>
        <w:t xml:space="preserve"> En respuesta, el Sujeto Obligado</w:t>
      </w:r>
      <w:r>
        <w:rPr>
          <w:rFonts w:ascii="Palatino Linotype" w:eastAsia="Palatino Linotype" w:hAnsi="Palatino Linotype" w:cs="Palatino Linotype"/>
          <w:b/>
        </w:rPr>
        <w:t xml:space="preserve"> </w:t>
      </w:r>
      <w:r>
        <w:rPr>
          <w:rFonts w:ascii="Palatino Linotype" w:eastAsia="Palatino Linotype" w:hAnsi="Palatino Linotype" w:cs="Palatino Linotype"/>
        </w:rPr>
        <w:t>remitió el oficio ya descrito en el anterior Párrafo 2. Inconforme con la respuesta, se interpuso recurso de revisión argumentando sustancialmente la entrega de la información incompleta.</w:t>
      </w:r>
    </w:p>
    <w:p w14:paraId="3CBD84F2" w14:textId="77777777" w:rsidR="00B41180" w:rsidRDefault="00B41180">
      <w:pPr>
        <w:spacing w:line="360" w:lineRule="auto"/>
        <w:jc w:val="both"/>
        <w:rPr>
          <w:rFonts w:ascii="Palatino Linotype" w:eastAsia="Palatino Linotype" w:hAnsi="Palatino Linotype" w:cs="Palatino Linotype"/>
          <w:color w:val="000000"/>
        </w:rPr>
      </w:pPr>
    </w:p>
    <w:p w14:paraId="3CBD84F3"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En dichas condiciones, la controversia a resolver en el presente proveído, corresponde a determinar si se actualiza la causal de procedencia prevista en el artículo 179, fracción V</w:t>
      </w:r>
      <w:r>
        <w:rPr>
          <w:rFonts w:ascii="Palatino Linotype" w:eastAsia="Palatino Linotype" w:hAnsi="Palatino Linotype" w:cs="Palatino Linotype"/>
          <w:b/>
        </w:rPr>
        <w:t xml:space="preserve"> </w:t>
      </w:r>
      <w:r>
        <w:rPr>
          <w:rFonts w:ascii="Palatino Linotype" w:eastAsia="Palatino Linotype" w:hAnsi="Palatino Linotype" w:cs="Palatino Linotype"/>
        </w:rPr>
        <w:t>de la Ley de Transparencia y Acceso a la Información Pública del Estado de</w:t>
      </w:r>
      <w:r>
        <w:rPr>
          <w:rFonts w:ascii="Palatino Linotype" w:eastAsia="Palatino Linotype" w:hAnsi="Palatino Linotype" w:cs="Palatino Linotype"/>
          <w:b/>
        </w:rPr>
        <w:t xml:space="preserve"> </w:t>
      </w:r>
      <w:r>
        <w:rPr>
          <w:rFonts w:ascii="Palatino Linotype" w:eastAsia="Palatino Linotype" w:hAnsi="Palatino Linotype" w:cs="Palatino Linotype"/>
        </w:rPr>
        <w:t>México</w:t>
      </w:r>
      <w:r>
        <w:rPr>
          <w:rFonts w:ascii="Palatino Linotype" w:eastAsia="Palatino Linotype" w:hAnsi="Palatino Linotype" w:cs="Palatino Linotype"/>
          <w:b/>
        </w:rPr>
        <w:t xml:space="preserve"> </w:t>
      </w:r>
      <w:r>
        <w:rPr>
          <w:rFonts w:ascii="Palatino Linotype" w:eastAsia="Palatino Linotype" w:hAnsi="Palatino Linotype" w:cs="Palatino Linotype"/>
        </w:rPr>
        <w:t>y</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Municipios; </w:t>
      </w:r>
      <w:r>
        <w:rPr>
          <w:rFonts w:ascii="Palatino Linotype" w:eastAsia="Palatino Linotype" w:hAnsi="Palatino Linotype" w:cs="Palatino Linotype"/>
          <w:color w:val="000000"/>
        </w:rPr>
        <w:t xml:space="preserve">fracción que determina la hipótesis relativa a la entrega de la información incompleta; </w:t>
      </w:r>
      <w:r>
        <w:rPr>
          <w:rFonts w:ascii="Palatino Linotype" w:eastAsia="Palatino Linotype" w:hAnsi="Palatino Linotype" w:cs="Palatino Linotype"/>
        </w:rPr>
        <w:t>contexto del cual se dolió el Recurrente al momento de interponer su inconformidad.</w:t>
      </w:r>
      <w:r>
        <w:rPr>
          <w:rFonts w:ascii="Palatino Linotype" w:eastAsia="Palatino Linotype" w:hAnsi="Palatino Linotype" w:cs="Palatino Linotype"/>
          <w:color w:val="000000"/>
        </w:rPr>
        <w:t xml:space="preserve"> De modo tal que el presente recurso de revisión se </w:t>
      </w:r>
      <w:r>
        <w:rPr>
          <w:rFonts w:ascii="Palatino Linotype" w:eastAsia="Palatino Linotype" w:hAnsi="Palatino Linotype" w:cs="Palatino Linotype"/>
        </w:rPr>
        <w:t>abocará</w:t>
      </w:r>
      <w:r>
        <w:rPr>
          <w:rFonts w:ascii="Palatino Linotype" w:eastAsia="Palatino Linotype" w:hAnsi="Palatino Linotype" w:cs="Palatino Linotype"/>
          <w:color w:val="000000"/>
        </w:rPr>
        <w:t xml:space="preserve"> en determinar si el Sujeto Obligado con su respuesta ciertamente actualiza la causal de procedencia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señalada. </w:t>
      </w:r>
    </w:p>
    <w:p w14:paraId="3CBD84F4" w14:textId="77777777" w:rsidR="00B41180" w:rsidRDefault="00B41180">
      <w:pPr>
        <w:spacing w:line="360" w:lineRule="auto"/>
        <w:jc w:val="both"/>
        <w:rPr>
          <w:rFonts w:ascii="Palatino Linotype" w:eastAsia="Palatino Linotype" w:hAnsi="Palatino Linotype" w:cs="Palatino Linotype"/>
        </w:rPr>
      </w:pPr>
    </w:p>
    <w:p w14:paraId="3CBD84F5" w14:textId="77777777" w:rsidR="00B41180" w:rsidRDefault="008A73A5">
      <w:pPr>
        <w:pStyle w:val="Ttulo2"/>
        <w:spacing w:before="0" w:line="360" w:lineRule="auto"/>
        <w:rPr>
          <w:rFonts w:ascii="Palatino Linotype" w:eastAsia="Palatino Linotype" w:hAnsi="Palatino Linotype" w:cs="Palatino Linotype"/>
          <w:b/>
          <w:color w:val="000000"/>
          <w:sz w:val="24"/>
          <w:szCs w:val="24"/>
        </w:rPr>
      </w:pPr>
      <w:bookmarkStart w:id="6" w:name="_heading=h.1t3h5sf" w:colFirst="0" w:colLast="0"/>
      <w:bookmarkEnd w:id="6"/>
      <w:r>
        <w:rPr>
          <w:rFonts w:ascii="Palatino Linotype" w:eastAsia="Palatino Linotype" w:hAnsi="Palatino Linotype" w:cs="Palatino Linotype"/>
          <w:b/>
          <w:color w:val="000000"/>
          <w:sz w:val="24"/>
          <w:szCs w:val="24"/>
        </w:rPr>
        <w:t>CUARTA. De las causales de sobreseimiento.</w:t>
      </w:r>
    </w:p>
    <w:p w14:paraId="3CBD84F6"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w:t>
      </w:r>
      <w:r>
        <w:rPr>
          <w:rFonts w:ascii="Palatino Linotype" w:eastAsia="Palatino Linotype" w:hAnsi="Palatino Linotype" w:cs="Palatino Linotype"/>
          <w:b/>
        </w:rPr>
        <w:t xml:space="preserve">deberán documentar todo acto que </w:t>
      </w:r>
      <w:r>
        <w:rPr>
          <w:rFonts w:ascii="Palatino Linotype" w:eastAsia="Palatino Linotype" w:hAnsi="Palatino Linotype" w:cs="Palatino Linotype"/>
          <w:b/>
        </w:rPr>
        <w:lastRenderedPageBreak/>
        <w:t>derive del ejercicio de sus facultades, competencias o funciones desde su origen la eventual publicidad y reutilización de la información que generen</w:t>
      </w:r>
      <w:r>
        <w:rPr>
          <w:rFonts w:ascii="Palatino Linotype" w:eastAsia="Palatino Linotype" w:hAnsi="Palatino Linotype" w:cs="Palatino Linotype"/>
        </w:rPr>
        <w:t>.</w:t>
      </w:r>
    </w:p>
    <w:p w14:paraId="3CBD84F7" w14:textId="77777777" w:rsidR="00B41180" w:rsidRDefault="00B41180">
      <w:pPr>
        <w:spacing w:line="360" w:lineRule="auto"/>
        <w:ind w:right="-646"/>
        <w:jc w:val="both"/>
        <w:rPr>
          <w:rFonts w:ascii="Palatino Linotype" w:eastAsia="Palatino Linotype" w:hAnsi="Palatino Linotype" w:cs="Palatino Linotype"/>
        </w:rPr>
      </w:pPr>
    </w:p>
    <w:p w14:paraId="3CBD84F8"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CBD84F9" w14:textId="77777777" w:rsidR="00B41180" w:rsidRDefault="00B411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3CBD84FA"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14:paraId="3CBD84FB" w14:textId="77777777" w:rsidR="00B41180" w:rsidRDefault="00B41180">
      <w:pPr>
        <w:spacing w:line="360" w:lineRule="auto"/>
        <w:jc w:val="both"/>
        <w:rPr>
          <w:rFonts w:ascii="Palatino Linotype" w:eastAsia="Palatino Linotype" w:hAnsi="Palatino Linotype" w:cs="Palatino Linotype"/>
        </w:rPr>
      </w:pPr>
    </w:p>
    <w:p w14:paraId="3CBD84FC"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Acotado lo anterior es dable traer a contexto primeramente, los motivos o razones de inconformidad expuestos por la parte Recurrente delos que se adolece de una respuesta que le resulta insuficiente.</w:t>
      </w:r>
    </w:p>
    <w:p w14:paraId="3CBD84FD" w14:textId="77777777" w:rsidR="00B41180" w:rsidRDefault="00B41180">
      <w:pPr>
        <w:spacing w:line="360" w:lineRule="auto"/>
        <w:jc w:val="both"/>
        <w:rPr>
          <w:rFonts w:ascii="Palatino Linotype" w:eastAsia="Palatino Linotype" w:hAnsi="Palatino Linotype" w:cs="Palatino Linotype"/>
        </w:rPr>
      </w:pPr>
    </w:p>
    <w:p w14:paraId="3CBD84FE"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las razones o motivos de inconformidad hechos valer, resultan </w:t>
      </w:r>
      <w:r>
        <w:rPr>
          <w:rFonts w:ascii="Palatino Linotype" w:eastAsia="Palatino Linotype" w:hAnsi="Palatino Linotype" w:cs="Palatino Linotype"/>
          <w:b/>
        </w:rPr>
        <w:t>improcedentes e inoperables;</w:t>
      </w:r>
      <w:r>
        <w:rPr>
          <w:rFonts w:ascii="Palatino Linotype" w:eastAsia="Palatino Linotype" w:hAnsi="Palatino Linotype" w:cs="Palatino Linotype"/>
        </w:rPr>
        <w:t xml:space="preserve"> toda vez que el hoy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al momento de interponer el medio de impugnación amplia de manera expresa, la totalidad de la solicitud de información inicial.</w:t>
      </w:r>
    </w:p>
    <w:p w14:paraId="3CBD84FF" w14:textId="77777777" w:rsidR="00B41180" w:rsidRDefault="00B411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3CBD8500"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Viene a colación, el artículo 36 fracción II de la Ley de Transparencia y Acceso a la Información Pública del Estado de México y Municipios, por el cual este Instituto no está facultado para resolver con respecto a ampliaciones a solicitudes de información presentadas por medios distintos a los que señala el artículo 155 del multicitado ordenamiento, por lo que el recurso de revisión no constituye un medio válido para solicitar información adicional.  </w:t>
      </w:r>
    </w:p>
    <w:p w14:paraId="3CBD8501" w14:textId="77777777" w:rsidR="00B41180" w:rsidRDefault="00B41180">
      <w:pPr>
        <w:tabs>
          <w:tab w:val="left" w:pos="7088"/>
        </w:tabs>
        <w:spacing w:line="360" w:lineRule="auto"/>
        <w:jc w:val="both"/>
        <w:rPr>
          <w:rFonts w:ascii="Palatino Linotype" w:eastAsia="Palatino Linotype" w:hAnsi="Palatino Linotype" w:cs="Palatino Linotype"/>
        </w:rPr>
      </w:pPr>
    </w:p>
    <w:p w14:paraId="3CBD8502"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Sirve de apoyo a lo anterior por analogía, la Jurisprudencia No. 29 visible a foja 19 del Apéndice al Semanario Judicial de la Federación 1917-1995, Tomo IV, Materia Común, Primera Parte, Tesis de la Suprema Corte de Justicia, que señala:</w:t>
      </w:r>
    </w:p>
    <w:p w14:paraId="3CBD8503" w14:textId="77777777" w:rsidR="00B41180" w:rsidRDefault="00B41180">
      <w:pPr>
        <w:ind w:left="567" w:right="616"/>
        <w:jc w:val="both"/>
        <w:rPr>
          <w:rFonts w:ascii="Palatino Linotype" w:eastAsia="Palatino Linotype" w:hAnsi="Palatino Linotype" w:cs="Palatino Linotype"/>
          <w:b/>
          <w:i/>
          <w:sz w:val="22"/>
          <w:szCs w:val="22"/>
        </w:rPr>
      </w:pPr>
    </w:p>
    <w:p w14:paraId="3CBD8504" w14:textId="77777777" w:rsidR="00B41180" w:rsidRDefault="008A73A5">
      <w:pPr>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“AGRAVIOS EN LA REVISIÓN. DEBEN ESTAR EN RELACIÓN DIRECTA CON LOS FUNDAMENTOS Y CONSIDERACIONES DE LA SENTENCIA</w:t>
      </w:r>
    </w:p>
    <w:p w14:paraId="3CBD8505" w14:textId="77777777" w:rsidR="00B41180" w:rsidRDefault="00B41180">
      <w:pPr>
        <w:tabs>
          <w:tab w:val="left" w:pos="7797"/>
        </w:tabs>
        <w:ind w:left="567" w:right="616"/>
        <w:jc w:val="both"/>
        <w:rPr>
          <w:rFonts w:ascii="Palatino Linotype" w:eastAsia="Palatino Linotype" w:hAnsi="Palatino Linotype" w:cs="Palatino Linotype"/>
          <w:b/>
          <w:i/>
          <w:sz w:val="22"/>
          <w:szCs w:val="22"/>
          <w:u w:val="single"/>
        </w:rPr>
      </w:pPr>
    </w:p>
    <w:p w14:paraId="3CBD8506" w14:textId="77777777" w:rsidR="00B41180" w:rsidRDefault="008A73A5">
      <w:pPr>
        <w:tabs>
          <w:tab w:val="left" w:pos="7797"/>
        </w:tabs>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lastRenderedPageBreak/>
        <w:t>Los agravios deben estar en relación directa e inmediata con los fundamentos contenidos en la sentencia que se recurre</w:t>
      </w:r>
      <w:r>
        <w:rPr>
          <w:rFonts w:ascii="Palatino Linotype" w:eastAsia="Palatino Linotype" w:hAnsi="Palatino Linotype" w:cs="Palatino Linotype"/>
          <w:i/>
          <w:sz w:val="22"/>
          <w:szCs w:val="22"/>
        </w:rPr>
        <w:t xml:space="preserv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r>
        <w:rPr>
          <w:rFonts w:ascii="Palatino Linotype" w:eastAsia="Palatino Linotype" w:hAnsi="Palatino Linotype" w:cs="Palatino Linotype"/>
          <w:b/>
          <w:i/>
          <w:sz w:val="22"/>
          <w:szCs w:val="22"/>
        </w:rPr>
        <w:t>[Sic]</w:t>
      </w:r>
    </w:p>
    <w:p w14:paraId="3CBD8507" w14:textId="77777777" w:rsidR="00B41180" w:rsidRDefault="00B41180">
      <w:pPr>
        <w:tabs>
          <w:tab w:val="left" w:pos="7088"/>
          <w:tab w:val="left" w:pos="7230"/>
        </w:tabs>
        <w:spacing w:line="360" w:lineRule="auto"/>
        <w:jc w:val="both"/>
        <w:rPr>
          <w:rFonts w:ascii="Palatino Linotype" w:eastAsia="Palatino Linotype" w:hAnsi="Palatino Linotype" w:cs="Palatino Linotype"/>
        </w:rPr>
      </w:pPr>
    </w:p>
    <w:p w14:paraId="3CBD8508"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lo anterior, se establece que dentro del recurso de revisión presentado por </w:t>
      </w:r>
      <w:r>
        <w:rPr>
          <w:rFonts w:ascii="Palatino Linotype" w:eastAsia="Palatino Linotype" w:hAnsi="Palatino Linotype" w:cs="Palatino Linotype"/>
          <w:b/>
        </w:rPr>
        <w:t xml:space="preserve">La Recurrente </w:t>
      </w:r>
      <w:r>
        <w:rPr>
          <w:rFonts w:ascii="Palatino Linotype" w:eastAsia="Palatino Linotype" w:hAnsi="Palatino Linotype" w:cs="Palatino Linotype"/>
        </w:rPr>
        <w:t xml:space="preserve">no debe variar el fondo de </w:t>
      </w:r>
      <w:r>
        <w:rPr>
          <w:rFonts w:ascii="Palatino Linotype" w:eastAsia="Palatino Linotype" w:hAnsi="Palatino Linotype" w:cs="Palatino Linotype"/>
          <w:i/>
        </w:rPr>
        <w:t>la litis,</w:t>
      </w:r>
      <w:r>
        <w:rPr>
          <w:rFonts w:ascii="Palatino Linotype" w:eastAsia="Palatino Linotype" w:hAnsi="Palatino Linotype" w:cs="Palatino Linotype"/>
        </w:rPr>
        <w:t xml:space="preserve"> de tal manera que la manifestación a que se ha hecho referencia y que fue vertida en sus motivos de inconformidad, resulta notoriamente improcedente, pues este Órgano Garante se encuentra imposibilitado para satisfacer requerimientos que no fueron formulados en tiempo y forma. </w:t>
      </w:r>
    </w:p>
    <w:p w14:paraId="3CBD8509" w14:textId="77777777" w:rsidR="00B41180" w:rsidRDefault="00B41180">
      <w:pPr>
        <w:tabs>
          <w:tab w:val="left" w:pos="7088"/>
          <w:tab w:val="left" w:pos="7230"/>
        </w:tabs>
        <w:spacing w:line="360" w:lineRule="auto"/>
        <w:jc w:val="both"/>
        <w:rPr>
          <w:rFonts w:ascii="Palatino Linotype" w:eastAsia="Palatino Linotype" w:hAnsi="Palatino Linotype" w:cs="Palatino Linotype"/>
        </w:rPr>
      </w:pPr>
    </w:p>
    <w:p w14:paraId="3CBD850A"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De igual manera, tiene aplicación al respecto por analogía, la tesis aislada número I.8o.A.136 A, de la Novena Época, publicada en el Seminario Oficial de la Federación y su Gaceta Tomo XXIX, Marzo de 2009, página 2887, con número de registro 167607, que lleva por rubro y texto los siguientes:</w:t>
      </w:r>
    </w:p>
    <w:p w14:paraId="3CBD850B" w14:textId="77777777" w:rsidR="00B41180" w:rsidRDefault="00B41180">
      <w:pPr>
        <w:pBdr>
          <w:top w:val="nil"/>
          <w:left w:val="nil"/>
          <w:bottom w:val="nil"/>
          <w:right w:val="nil"/>
          <w:between w:val="nil"/>
        </w:pBdr>
        <w:rPr>
          <w:rFonts w:ascii="Times New Roman" w:eastAsia="Times New Roman" w:hAnsi="Times New Roman" w:cs="Times New Roman"/>
          <w:color w:val="000000"/>
        </w:rPr>
      </w:pPr>
    </w:p>
    <w:p w14:paraId="3CBD850C" w14:textId="77777777" w:rsidR="00B41180" w:rsidRDefault="008A73A5">
      <w:pPr>
        <w:tabs>
          <w:tab w:val="left" w:pos="6237"/>
        </w:tabs>
        <w:ind w:left="567" w:right="616"/>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w:t>
      </w:r>
      <w:r>
        <w:rPr>
          <w:rFonts w:ascii="Palatino Linotype" w:eastAsia="Palatino Linotype" w:hAnsi="Palatino Linotype" w:cs="Palatino Linotype"/>
          <w:b/>
          <w:i/>
          <w:sz w:val="22"/>
          <w:szCs w:val="22"/>
          <w:u w:val="single"/>
        </w:rPr>
        <w:t xml:space="preserve">O SEAN DISTINTOS A LOS DE SU PETICIÓN INICIAL. </w:t>
      </w:r>
    </w:p>
    <w:p w14:paraId="3CBD850D" w14:textId="77777777" w:rsidR="00B41180" w:rsidRDefault="00B41180">
      <w:pPr>
        <w:tabs>
          <w:tab w:val="left" w:pos="6237"/>
        </w:tabs>
        <w:ind w:left="567" w:right="616"/>
        <w:jc w:val="both"/>
        <w:rPr>
          <w:rFonts w:ascii="Palatino Linotype" w:eastAsia="Palatino Linotype" w:hAnsi="Palatino Linotype" w:cs="Palatino Linotype"/>
          <w:i/>
          <w:sz w:val="22"/>
          <w:szCs w:val="22"/>
        </w:rPr>
      </w:pPr>
    </w:p>
    <w:p w14:paraId="3CBD850E" w14:textId="77777777" w:rsidR="00B41180" w:rsidRDefault="008A73A5">
      <w:pPr>
        <w:tabs>
          <w:tab w:val="left" w:pos="6237"/>
        </w:tabs>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w:t>
      </w:r>
      <w:r>
        <w:rPr>
          <w:rFonts w:ascii="Palatino Linotype" w:eastAsia="Palatino Linotype" w:hAnsi="Palatino Linotype" w:cs="Palatino Linotype"/>
          <w:b/>
          <w:i/>
          <w:sz w:val="22"/>
          <w:szCs w:val="22"/>
          <w:u w:val="single"/>
        </w:rPr>
        <w:t>el precepto 6 de la propia legislación prevé el principio de máxima publicidad y disponibilidad de la información en posesión de los sujetos obligados;</w:t>
      </w:r>
      <w:r>
        <w:rPr>
          <w:rFonts w:ascii="Palatino Linotype" w:eastAsia="Palatino Linotype" w:hAnsi="Palatino Linotype" w:cs="Palatino Linotype"/>
          <w:i/>
          <w:sz w:val="22"/>
          <w:szCs w:val="22"/>
        </w:rPr>
        <w:t xml:space="preserve"> también lo es que ello no implica que tales numerales deban interpretarse en el sentido de permitir al gobernado que a su arbitrio solicite copia de documentos que no obren en los expedientes de los sujetos obligados</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b/>
          <w:i/>
          <w:sz w:val="22"/>
          <w:szCs w:val="22"/>
          <w:u w:val="single"/>
        </w:rPr>
        <w:t>o sean distintos a los de su petición inicial, pues ello contravendría el artículo 42 de la citada ley, que señala que las dependencias y entidades sólo estarán obligadas a entregar los documentos que se encuentran en sus archivos –los solicitados- y que la obligación de acceso a la información se dará por cumplida cuando se pongan a disposición del solicitante para consulta en el sitio donde se encuentren.</w:t>
      </w:r>
    </w:p>
    <w:p w14:paraId="3CBD850F" w14:textId="77777777" w:rsidR="00B41180" w:rsidRDefault="00B41180">
      <w:pPr>
        <w:tabs>
          <w:tab w:val="left" w:pos="6237"/>
        </w:tabs>
        <w:ind w:left="567" w:right="616"/>
        <w:jc w:val="both"/>
        <w:rPr>
          <w:rFonts w:ascii="Palatino Linotype" w:eastAsia="Palatino Linotype" w:hAnsi="Palatino Linotype" w:cs="Palatino Linotype"/>
          <w:i/>
          <w:sz w:val="22"/>
          <w:szCs w:val="22"/>
        </w:rPr>
      </w:pPr>
    </w:p>
    <w:p w14:paraId="3CBD8510" w14:textId="77777777" w:rsidR="00B41180" w:rsidRDefault="008A73A5">
      <w:pPr>
        <w:tabs>
          <w:tab w:val="left" w:pos="6237"/>
        </w:tabs>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OCTAVO TRIBUNAL COLEGIADO EN MATERIA ADMINISTRATIVA DEL PRIMER CIRCUITO.” </w:t>
      </w:r>
    </w:p>
    <w:p w14:paraId="3CBD8511" w14:textId="77777777" w:rsidR="00B41180" w:rsidRDefault="00B41180">
      <w:pPr>
        <w:tabs>
          <w:tab w:val="left" w:pos="6237"/>
        </w:tabs>
        <w:ind w:left="567" w:right="616"/>
        <w:jc w:val="both"/>
        <w:rPr>
          <w:rFonts w:ascii="Palatino Linotype" w:eastAsia="Palatino Linotype" w:hAnsi="Palatino Linotype" w:cs="Palatino Linotype"/>
          <w:i/>
          <w:sz w:val="22"/>
          <w:szCs w:val="22"/>
        </w:rPr>
      </w:pPr>
    </w:p>
    <w:p w14:paraId="3CBD8512"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manera complementaria, el Instituto Nacional de Transparencia, Acceso a la Información y Protección de Datos Personales ha sostenido la improcedencia de ampliar las solicitudes de información pública o de datos personales a través de la interposición del recurso de revisión, como se estima acontece en el anterior asunto. Lo anterior de conformidad con el criterio 27/10; por lo que este Órgano Garante insiste en la imposibilidad de entrar al estudio de información novedosa. Criterio que es de la literalidad siguiente: </w:t>
      </w:r>
    </w:p>
    <w:p w14:paraId="3CBD8513" w14:textId="77777777" w:rsidR="00B41180" w:rsidRDefault="008A73A5">
      <w:pPr>
        <w:tabs>
          <w:tab w:val="left" w:pos="7513"/>
        </w:tabs>
        <w:ind w:left="567"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“ES IMPROCEDENTE AMPLIAR LAS SOLICITUDES DE ACCESO A INFORMACIÓN PÚBLICA O DATOS PERSONALES, A TRAVÉS DE LA INTERPOSICIÓN DEL RECURSO DE REVISIÓN</w:t>
      </w:r>
    </w:p>
    <w:p w14:paraId="3CBD8514" w14:textId="77777777" w:rsidR="00B41180" w:rsidRDefault="00B41180">
      <w:pPr>
        <w:tabs>
          <w:tab w:val="left" w:pos="7513"/>
        </w:tabs>
        <w:ind w:left="567" w:right="616"/>
        <w:jc w:val="both"/>
        <w:rPr>
          <w:rFonts w:ascii="Palatino Linotype" w:eastAsia="Palatino Linotype" w:hAnsi="Palatino Linotype" w:cs="Palatino Linotype"/>
          <w:b/>
          <w:i/>
          <w:sz w:val="22"/>
          <w:szCs w:val="22"/>
          <w:u w:val="single"/>
        </w:rPr>
      </w:pPr>
    </w:p>
    <w:p w14:paraId="3CBD8515" w14:textId="77777777" w:rsidR="00B41180" w:rsidRDefault="008A73A5">
      <w:pPr>
        <w:tabs>
          <w:tab w:val="left" w:pos="7513"/>
        </w:tabs>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En aquellos casos en los que los recurrentes amplíen los alcances de la solicitud de información o acceso a datos personales a través de un recurso de revisión, esta</w:t>
      </w:r>
      <w:r>
        <w:rPr>
          <w:rFonts w:ascii="Palatino Linotype" w:eastAsia="Palatino Linotype" w:hAnsi="Palatino Linotype" w:cs="Palatino Linotype"/>
          <w:i/>
          <w:sz w:val="22"/>
          <w:szCs w:val="22"/>
          <w:u w:val="single"/>
        </w:rPr>
        <w:t xml:space="preserve"> </w:t>
      </w:r>
      <w:r>
        <w:rPr>
          <w:rFonts w:ascii="Palatino Linotype" w:eastAsia="Palatino Linotype" w:hAnsi="Palatino Linotype" w:cs="Palatino Linotype"/>
          <w:b/>
          <w:i/>
          <w:sz w:val="22"/>
          <w:szCs w:val="22"/>
          <w:u w:val="single"/>
        </w:rPr>
        <w:t>ampliación no podrá constituir materia del procedimiento a sustanciarse</w:t>
      </w:r>
      <w:r>
        <w:rPr>
          <w:rFonts w:ascii="Palatino Linotype" w:eastAsia="Palatino Linotype" w:hAnsi="Palatino Linotype" w:cs="Palatino Linotype"/>
          <w:i/>
          <w:sz w:val="22"/>
          <w:szCs w:val="22"/>
        </w:rPr>
        <w:t xml:space="preserve"> por el Instituto Federal de Acceso a la Información y Protección de Datos. Lo anterior, sin perjuicio de que los recurrentes puedan ejercer su derecho a realizar una nueva solicitud en términos de la Ley de la materia. </w:t>
      </w:r>
    </w:p>
    <w:p w14:paraId="3CBD8516" w14:textId="77777777" w:rsidR="00B41180" w:rsidRDefault="00B41180">
      <w:pPr>
        <w:tabs>
          <w:tab w:val="left" w:pos="7513"/>
        </w:tabs>
        <w:ind w:left="567" w:right="616"/>
        <w:jc w:val="both"/>
        <w:rPr>
          <w:rFonts w:ascii="Palatino Linotype" w:eastAsia="Palatino Linotype" w:hAnsi="Palatino Linotype" w:cs="Palatino Linotype"/>
          <w:i/>
          <w:sz w:val="22"/>
          <w:szCs w:val="22"/>
        </w:rPr>
      </w:pPr>
    </w:p>
    <w:p w14:paraId="3CBD8517" w14:textId="77777777" w:rsidR="00B41180" w:rsidRDefault="008A73A5">
      <w:pPr>
        <w:tabs>
          <w:tab w:val="left" w:pos="7513"/>
        </w:tabs>
        <w:ind w:left="567"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Expedientes: 5871/08 Secretaría de Educación Pública –Alonso Gómez- Robledo Verduzco 3468/09 Instituto de Seguridad y Servicios Sociales de los Trabajadores del Estado – Ángel Trinidad Zaldívar 5417/09 Procuraduría General de la República  - María Marván Laborde1523 1006/10 Instituto Mexicano del Seguro Social – Sigrid Arzt Colunga 1378/10 Instituto de Seguridad y Servicios Sociales de los Trabajadores del Estado – María Elena Pérez-Jaén Zermeño.” </w:t>
      </w:r>
      <w:r>
        <w:rPr>
          <w:rFonts w:ascii="Palatino Linotype" w:eastAsia="Palatino Linotype" w:hAnsi="Palatino Linotype" w:cs="Palatino Linotype"/>
          <w:b/>
          <w:i/>
          <w:sz w:val="22"/>
          <w:szCs w:val="22"/>
        </w:rPr>
        <w:t>[Sic]</w:t>
      </w:r>
    </w:p>
    <w:p w14:paraId="3CBD8518" w14:textId="77777777" w:rsidR="00B41180" w:rsidRDefault="00B41180">
      <w:pPr>
        <w:spacing w:line="360" w:lineRule="auto"/>
        <w:jc w:val="both"/>
        <w:rPr>
          <w:rFonts w:ascii="Palatino Linotype" w:eastAsia="Palatino Linotype" w:hAnsi="Palatino Linotype" w:cs="Palatino Linotype"/>
        </w:rPr>
      </w:pPr>
    </w:p>
    <w:p w14:paraId="3CBD8519"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Al respecto, cabe traer a cuenta lo previsto por el artículo 12, párrafo segundo de la Ley de Transparencia y Acceso a la Información Pública del Estado de México y Municipios que la letra establece lo siguiente:</w:t>
      </w:r>
    </w:p>
    <w:p w14:paraId="3CBD851A" w14:textId="77777777" w:rsidR="00B41180" w:rsidRDefault="00B41180">
      <w:pPr>
        <w:rPr>
          <w:rFonts w:eastAsia="Calibri"/>
          <w:sz w:val="22"/>
          <w:szCs w:val="22"/>
        </w:rPr>
      </w:pPr>
    </w:p>
    <w:p w14:paraId="3CBD851B" w14:textId="77777777" w:rsidR="00B41180" w:rsidRDefault="00B41180">
      <w:pPr>
        <w:pBdr>
          <w:top w:val="nil"/>
          <w:left w:val="nil"/>
          <w:bottom w:val="nil"/>
          <w:right w:val="nil"/>
          <w:between w:val="nil"/>
        </w:pBdr>
        <w:rPr>
          <w:rFonts w:ascii="Times New Roman" w:eastAsia="Times New Roman" w:hAnsi="Times New Roman" w:cs="Times New Roman"/>
          <w:color w:val="000000"/>
          <w:sz w:val="8"/>
          <w:szCs w:val="8"/>
        </w:rPr>
      </w:pPr>
    </w:p>
    <w:p w14:paraId="3CBD851C" w14:textId="77777777" w:rsidR="00B41180" w:rsidRDefault="008A73A5">
      <w:pPr>
        <w:spacing w:after="160" w:line="259"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 xml:space="preserve"> </w:t>
      </w:r>
    </w:p>
    <w:p w14:paraId="3CBD851D" w14:textId="77777777" w:rsidR="00B41180" w:rsidRDefault="008A73A5">
      <w:pPr>
        <w:spacing w:after="160" w:line="259"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w:t>
      </w:r>
    </w:p>
    <w:p w14:paraId="3CBD851E" w14:textId="77777777" w:rsidR="00B41180" w:rsidRDefault="00B41180">
      <w:pPr>
        <w:spacing w:after="160" w:line="259" w:lineRule="auto"/>
        <w:ind w:left="851" w:right="851"/>
        <w:jc w:val="both"/>
        <w:rPr>
          <w:rFonts w:ascii="Palatino Linotype" w:eastAsia="Palatino Linotype" w:hAnsi="Palatino Linotype" w:cs="Palatino Linotype"/>
          <w:b/>
          <w:i/>
          <w:sz w:val="16"/>
          <w:szCs w:val="16"/>
        </w:rPr>
      </w:pPr>
    </w:p>
    <w:p w14:paraId="3CBD851F"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Además, y de conformidad con lo ya establecido anteriormente en el artículo 12, de la Ley de Transparencia y Acceso a la Información Pública del Estado de México y Municipios, anteriormente invocado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sólo proporcionará la información que obra en sus archivos, lo que </w:t>
      </w:r>
      <w:r>
        <w:rPr>
          <w:rFonts w:ascii="Palatino Linotype" w:eastAsia="Palatino Linotype" w:hAnsi="Palatino Linotype" w:cs="Palatino Linotype"/>
          <w:i/>
        </w:rPr>
        <w:t>a contrario sensu</w:t>
      </w:r>
      <w:r>
        <w:rPr>
          <w:rFonts w:ascii="Palatino Linotype" w:eastAsia="Palatino Linotype" w:hAnsi="Palatino Linotype" w:cs="Palatino Linotype"/>
        </w:rPr>
        <w:t xml:space="preserve"> significa que no se está obligado a proporcionar lo que no obre en sus archivos.</w:t>
      </w:r>
    </w:p>
    <w:p w14:paraId="3CBD8520" w14:textId="77777777" w:rsidR="00B41180" w:rsidRDefault="00B41180">
      <w:pPr>
        <w:widowControl w:val="0"/>
        <w:tabs>
          <w:tab w:val="left" w:pos="1701"/>
          <w:tab w:val="left" w:pos="1843"/>
        </w:tabs>
        <w:spacing w:line="360" w:lineRule="auto"/>
        <w:ind w:left="851" w:right="899"/>
        <w:jc w:val="both"/>
        <w:rPr>
          <w:rFonts w:ascii="Palatino Linotype" w:eastAsia="Palatino Linotype" w:hAnsi="Palatino Linotype" w:cs="Palatino Linotype"/>
          <w:i/>
        </w:rPr>
      </w:pPr>
    </w:p>
    <w:p w14:paraId="3CBD8521"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otro lado no pasa desapercibido que la solicitud de información inicial relativa a: </w:t>
      </w:r>
      <w:r>
        <w:rPr>
          <w:rFonts w:ascii="Palatino Linotype" w:eastAsia="Palatino Linotype" w:hAnsi="Palatino Linotype" w:cs="Palatino Linotype"/>
          <w:i/>
        </w:rPr>
        <w:t>“los proyectos que... se realizarán para enfrentar el problema de suministro de agua potable…”,</w:t>
      </w:r>
      <w:r>
        <w:rPr>
          <w:rFonts w:ascii="Palatino Linotype" w:eastAsia="Palatino Linotype" w:hAnsi="Palatino Linotype" w:cs="Palatino Linotype"/>
        </w:rPr>
        <w:t xml:space="preserve"> ciertamente guarda relación con lo vertido en el escrito recursal relativo a: </w:t>
      </w:r>
      <w:r>
        <w:rPr>
          <w:rFonts w:ascii="Palatino Linotype" w:eastAsia="Palatino Linotype" w:hAnsi="Palatino Linotype" w:cs="Palatino Linotype"/>
          <w:i/>
        </w:rPr>
        <w:t>"que otros proyectos se contemplan para poder continuar con el abastecimiento de agua potable..."</w:t>
      </w:r>
    </w:p>
    <w:p w14:paraId="3CBD8522" w14:textId="77777777" w:rsidR="00B41180" w:rsidRDefault="00B41180">
      <w:pPr>
        <w:spacing w:line="360" w:lineRule="auto"/>
        <w:jc w:val="both"/>
        <w:rPr>
          <w:rFonts w:ascii="Palatino Linotype" w:eastAsia="Palatino Linotype" w:hAnsi="Palatino Linotype" w:cs="Palatino Linotype"/>
        </w:rPr>
      </w:pPr>
    </w:p>
    <w:p w14:paraId="3CBD8523"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Sin embargo, no es un cuestionamiento que pueda darse observancia por corresponder a hechos futuros. Al respecto es de explorado derecho que el acceso a la información pública, se satisface con la entrega de soporte documental en posesión de los sujetos obligados que de acuerdo a sus facultades y atribuciones deben generar, poseer o administrar, previo a una solicitud de acceso a la información pública.</w:t>
      </w:r>
    </w:p>
    <w:p w14:paraId="3CBD8524" w14:textId="77777777" w:rsidR="00B41180" w:rsidRDefault="00B41180">
      <w:pPr>
        <w:pBdr>
          <w:top w:val="nil"/>
          <w:left w:val="nil"/>
          <w:bottom w:val="nil"/>
          <w:right w:val="nil"/>
          <w:between w:val="nil"/>
        </w:pBdr>
        <w:ind w:left="720"/>
        <w:rPr>
          <w:rFonts w:ascii="Palatino Linotype" w:eastAsia="Palatino Linotype" w:hAnsi="Palatino Linotype" w:cs="Palatino Linotype"/>
          <w:color w:val="000000"/>
        </w:rPr>
      </w:pPr>
    </w:p>
    <w:p w14:paraId="3CBD8525"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Asimismo, se advierte que corresponde a una duda o cuestionamiento que se pretende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conteste a efecto de dilucidar las inquietudes del solicitante. Luego entonces s</w:t>
      </w:r>
      <w:r>
        <w:rPr>
          <w:rFonts w:ascii="Palatino Linotype" w:eastAsia="Palatino Linotype" w:hAnsi="Palatino Linotype" w:cs="Palatino Linotype"/>
          <w:color w:val="000000"/>
        </w:rPr>
        <w:t xml:space="preserve">e </w:t>
      </w:r>
      <w:r>
        <w:rPr>
          <w:rFonts w:ascii="Palatino Linotype" w:eastAsia="Palatino Linotype" w:hAnsi="Palatino Linotype" w:cs="Palatino Linotype"/>
        </w:rPr>
        <w:t xml:space="preserve">puede apreciar a simple vista que el recurso de </w:t>
      </w:r>
      <w:r>
        <w:rPr>
          <w:rFonts w:ascii="Palatino Linotype" w:eastAsia="Palatino Linotype" w:hAnsi="Palatino Linotype" w:cs="Palatino Linotype"/>
        </w:rPr>
        <w:lastRenderedPageBreak/>
        <w:t>revisión hace referencia cuestionamientos que no se colman con la entrega de documentos, situación que conlleva a afirmar que se está en presencia del ejercicio del derecho de petición.</w:t>
      </w:r>
    </w:p>
    <w:p w14:paraId="3CBD8526" w14:textId="77777777" w:rsidR="00B41180" w:rsidRDefault="00B41180">
      <w:pPr>
        <w:spacing w:line="360" w:lineRule="auto"/>
        <w:ind w:right="49"/>
        <w:jc w:val="both"/>
        <w:rPr>
          <w:rFonts w:ascii="Palatino Linotype" w:eastAsia="Palatino Linotype" w:hAnsi="Palatino Linotype" w:cs="Palatino Linotype"/>
        </w:rPr>
      </w:pPr>
    </w:p>
    <w:p w14:paraId="3CBD8527"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la entrega de una razón o un razonamiento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w:t>
      </w:r>
    </w:p>
    <w:p w14:paraId="3CBD8528" w14:textId="77777777" w:rsidR="00B41180" w:rsidRDefault="00B41180">
      <w:pPr>
        <w:spacing w:line="360" w:lineRule="auto"/>
        <w:ind w:right="49"/>
        <w:jc w:val="both"/>
        <w:rPr>
          <w:rFonts w:ascii="Palatino Linotype" w:eastAsia="Palatino Linotype" w:hAnsi="Palatino Linotype" w:cs="Palatino Linotype"/>
        </w:rPr>
      </w:pPr>
    </w:p>
    <w:p w14:paraId="3CBD8529"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Luego entonces, es importante dejar en claro lo que debe entenderse por derecho de petición y por derecho de acceso a la información pública.</w:t>
      </w:r>
    </w:p>
    <w:p w14:paraId="3CBD852A" w14:textId="77777777" w:rsidR="00B41180" w:rsidRDefault="00B41180">
      <w:pPr>
        <w:spacing w:line="360" w:lineRule="auto"/>
        <w:ind w:right="49"/>
        <w:jc w:val="both"/>
        <w:rPr>
          <w:rFonts w:ascii="Palatino Linotype" w:eastAsia="Palatino Linotype" w:hAnsi="Palatino Linotype" w:cs="Palatino Linotype"/>
        </w:rPr>
      </w:pPr>
    </w:p>
    <w:p w14:paraId="3CBD852B" w14:textId="77777777" w:rsidR="00B41180" w:rsidRDefault="008A73A5">
      <w:pPr>
        <w:pStyle w:val="Ttulo2"/>
        <w:numPr>
          <w:ilvl w:val="0"/>
          <w:numId w:val="4"/>
        </w:numPr>
        <w:spacing w:before="0" w:line="360" w:lineRule="auto"/>
        <w:rPr>
          <w:rFonts w:ascii="Palatino Linotype" w:eastAsia="Palatino Linotype" w:hAnsi="Palatino Linotype" w:cs="Palatino Linotype"/>
          <w:b/>
          <w:i/>
          <w:color w:val="000000"/>
          <w:sz w:val="24"/>
          <w:szCs w:val="24"/>
        </w:rPr>
      </w:pPr>
      <w:bookmarkStart w:id="7" w:name="_heading=h.30j0zll" w:colFirst="0" w:colLast="0"/>
      <w:bookmarkEnd w:id="7"/>
      <w:r>
        <w:rPr>
          <w:rFonts w:ascii="Palatino Linotype" w:eastAsia="Palatino Linotype" w:hAnsi="Palatino Linotype" w:cs="Palatino Linotype"/>
          <w:b/>
          <w:i/>
          <w:color w:val="000000"/>
          <w:sz w:val="24"/>
          <w:szCs w:val="24"/>
        </w:rPr>
        <w:t>El derecho de petición y de acceso a la información.</w:t>
      </w:r>
    </w:p>
    <w:p w14:paraId="3CBD852C" w14:textId="77777777" w:rsidR="00B41180" w:rsidRDefault="00B41180">
      <w:pPr>
        <w:spacing w:line="360" w:lineRule="auto"/>
        <w:ind w:right="49"/>
        <w:jc w:val="both"/>
        <w:rPr>
          <w:rFonts w:ascii="Palatino Linotype" w:eastAsia="Palatino Linotype" w:hAnsi="Palatino Linotype" w:cs="Palatino Linotype"/>
        </w:rPr>
      </w:pPr>
    </w:p>
    <w:p w14:paraId="3CBD852D"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respecta a la definición de </w:t>
      </w:r>
      <w:r>
        <w:rPr>
          <w:rFonts w:ascii="Palatino Linotype" w:eastAsia="Palatino Linotype" w:hAnsi="Palatino Linotype" w:cs="Palatino Linotype"/>
          <w:b/>
        </w:rPr>
        <w:t>derecho de petición</w:t>
      </w:r>
      <w:r>
        <w:rPr>
          <w:rFonts w:ascii="Palatino Linotype" w:eastAsia="Palatino Linotype" w:hAnsi="Palatino Linotype" w:cs="Palatino Linotype"/>
        </w:rPr>
        <w:t xml:space="preserve">, el Maestro Ignacio Burgoa Orihuela refiere: </w:t>
      </w:r>
    </w:p>
    <w:p w14:paraId="3CBD852E" w14:textId="77777777" w:rsidR="00B41180" w:rsidRDefault="008A73A5">
      <w:pPr>
        <w:spacing w:line="360" w:lineRule="auto"/>
        <w:ind w:left="567" w:right="680"/>
        <w:jc w:val="both"/>
        <w:rPr>
          <w:rFonts w:ascii="Palatino Linotype" w:eastAsia="Palatino Linotype" w:hAnsi="Palatino Linotype" w:cs="Palatino Linotype"/>
          <w:i/>
        </w:rPr>
      </w:pPr>
      <w:r>
        <w:rPr>
          <w:rFonts w:ascii="Palatino Linotype" w:eastAsia="Palatino Linotype" w:hAnsi="Palatino Linotype" w:cs="Palatino Linotype"/>
        </w:rPr>
        <w:t>“…</w:t>
      </w:r>
      <w:r>
        <w:rPr>
          <w:rFonts w:ascii="Palatino Linotype" w:eastAsia="Palatino Linotype" w:hAnsi="Palatino Linotype" w:cs="Palatino Linotype"/>
          <w:i/>
        </w:rPr>
        <w:t xml:space="preserve">es un Derecho Público subjetivo individual de la Garantía Respectiva Consagrada en el Artículo 8 de la Ley Fundamental. En tal virtud, la persona tiene la facultad de acudir a cualquier autoridad, formulando una solicitud o </w:t>
      </w:r>
      <w:r>
        <w:rPr>
          <w:rFonts w:ascii="Palatino Linotype" w:eastAsia="Palatino Linotype" w:hAnsi="Palatino Linotype" w:cs="Palatino Linotype"/>
          <w:i/>
        </w:rPr>
        <w:lastRenderedPageBreak/>
        <w:t>instancia escrito de cualquier índole, la cual adopta, específicamente, el carácter de simple petición administrativa, acción o recurso, etc.</w:t>
      </w:r>
      <w:r>
        <w:rPr>
          <w:rFonts w:ascii="Palatino Linotype" w:eastAsia="Palatino Linotype" w:hAnsi="Palatino Linotype" w:cs="Palatino Linotype"/>
          <w:i/>
          <w:vertAlign w:val="superscript"/>
        </w:rPr>
        <w:footnoteReference w:id="1"/>
      </w:r>
      <w:r>
        <w:rPr>
          <w:rFonts w:ascii="Palatino Linotype" w:eastAsia="Palatino Linotype" w:hAnsi="Palatino Linotype" w:cs="Palatino Linotype"/>
          <w:i/>
        </w:rPr>
        <w:t xml:space="preserve">  “(Sic)</w:t>
      </w:r>
    </w:p>
    <w:p w14:paraId="3CBD852F" w14:textId="77777777" w:rsidR="00B41180" w:rsidRDefault="00B41180">
      <w:pPr>
        <w:spacing w:line="360" w:lineRule="auto"/>
        <w:ind w:right="49"/>
        <w:jc w:val="both"/>
        <w:rPr>
          <w:rFonts w:ascii="Palatino Linotype" w:eastAsia="Palatino Linotype" w:hAnsi="Palatino Linotype" w:cs="Palatino Linotype"/>
        </w:rPr>
      </w:pPr>
    </w:p>
    <w:p w14:paraId="3CBD8530"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Por</w:t>
      </w:r>
      <w:r>
        <w:rPr>
          <w:rFonts w:ascii="Palatino Linotype" w:eastAsia="Palatino Linotype" w:hAnsi="Palatino Linotype" w:cs="Palatino Linotype"/>
          <w:i/>
        </w:rPr>
        <w:t xml:space="preserve"> </w:t>
      </w:r>
      <w:r>
        <w:rPr>
          <w:rFonts w:ascii="Palatino Linotype" w:eastAsia="Palatino Linotype" w:hAnsi="Palatino Linotype" w:cs="Palatino Linotype"/>
        </w:rPr>
        <w:t>su parte, David Cienfuegos Salgado, concibe al derecho de petición como:</w:t>
      </w:r>
    </w:p>
    <w:p w14:paraId="3CBD8531" w14:textId="77777777" w:rsidR="00B41180" w:rsidRDefault="00B41180">
      <w:pPr>
        <w:spacing w:line="360" w:lineRule="auto"/>
        <w:ind w:right="49"/>
        <w:jc w:val="both"/>
        <w:rPr>
          <w:rFonts w:ascii="Palatino Linotype" w:eastAsia="Palatino Linotype" w:hAnsi="Palatino Linotype" w:cs="Palatino Linotype"/>
        </w:rPr>
      </w:pPr>
    </w:p>
    <w:p w14:paraId="3CBD8532" w14:textId="77777777" w:rsidR="00B41180" w:rsidRDefault="008A73A5">
      <w:pPr>
        <w:spacing w:line="360" w:lineRule="auto"/>
        <w:ind w:left="567" w:right="539"/>
        <w:jc w:val="both"/>
        <w:rPr>
          <w:rFonts w:ascii="Palatino Linotype" w:eastAsia="Palatino Linotype" w:hAnsi="Palatino Linotype" w:cs="Palatino Linotype"/>
        </w:rPr>
      </w:pPr>
      <w:r>
        <w:rPr>
          <w:rFonts w:ascii="Palatino Linotype" w:eastAsia="Palatino Linotype" w:hAnsi="Palatino Linotype" w:cs="Palatino Linotype"/>
          <w:i/>
        </w:rPr>
        <w:t xml:space="preserve">“el derecho de toda persona a ser escuchado por quienes ejercen el poder público. </w:t>
      </w:r>
      <w:r>
        <w:rPr>
          <w:rFonts w:ascii="Palatino Linotype" w:eastAsia="Palatino Linotype" w:hAnsi="Palatino Linotype" w:cs="Palatino Linotype"/>
          <w:i/>
          <w:vertAlign w:val="superscript"/>
        </w:rPr>
        <w:footnoteReference w:id="2"/>
      </w:r>
      <w:r>
        <w:rPr>
          <w:rFonts w:ascii="Palatino Linotype" w:eastAsia="Palatino Linotype" w:hAnsi="Palatino Linotype" w:cs="Palatino Linotype"/>
          <w:i/>
        </w:rPr>
        <w:t>” (Sic)</w:t>
      </w:r>
    </w:p>
    <w:p w14:paraId="3CBD8533" w14:textId="77777777" w:rsidR="00B41180" w:rsidRDefault="00B41180">
      <w:pPr>
        <w:spacing w:line="360" w:lineRule="auto"/>
        <w:ind w:right="49"/>
        <w:jc w:val="both"/>
        <w:rPr>
          <w:rFonts w:ascii="Palatino Linotype" w:eastAsia="Palatino Linotype" w:hAnsi="Palatino Linotype" w:cs="Palatino Linotype"/>
        </w:rPr>
      </w:pPr>
    </w:p>
    <w:p w14:paraId="3CBD8534"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Luego entonces, para diferenciar el derecho de petición al derecho de acceso a la información, resulta conducente señalar que José Guadalupe Robles, conceptualiza el </w:t>
      </w:r>
      <w:r>
        <w:rPr>
          <w:rFonts w:ascii="Palatino Linotype" w:eastAsia="Palatino Linotype" w:hAnsi="Palatino Linotype" w:cs="Palatino Linotype"/>
          <w:b/>
        </w:rPr>
        <w:t>derecho a la información</w:t>
      </w:r>
      <w:r>
        <w:rPr>
          <w:rFonts w:ascii="Palatino Linotype" w:eastAsia="Palatino Linotype" w:hAnsi="Palatino Linotype" w:cs="Palatino Linotype"/>
        </w:rPr>
        <w:t xml:space="preserve"> como:</w:t>
      </w:r>
    </w:p>
    <w:p w14:paraId="3CBD8535" w14:textId="77777777" w:rsidR="00B41180" w:rsidRDefault="00B41180">
      <w:pPr>
        <w:spacing w:line="360" w:lineRule="auto"/>
        <w:ind w:left="567" w:right="539"/>
        <w:jc w:val="both"/>
        <w:rPr>
          <w:rFonts w:ascii="Palatino Linotype" w:eastAsia="Palatino Linotype" w:hAnsi="Palatino Linotype" w:cs="Palatino Linotype"/>
        </w:rPr>
      </w:pPr>
    </w:p>
    <w:p w14:paraId="3CBD8536" w14:textId="77777777" w:rsidR="00B41180" w:rsidRDefault="008A73A5">
      <w:pPr>
        <w:spacing w:line="360" w:lineRule="auto"/>
        <w:ind w:left="567" w:right="539"/>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 xml:space="preserve">“un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w:t>
      </w:r>
      <w:r>
        <w:rPr>
          <w:rFonts w:ascii="Palatino Linotype" w:eastAsia="Palatino Linotype" w:hAnsi="Palatino Linotype" w:cs="Palatino Linotype"/>
          <w:i/>
        </w:rPr>
        <w:lastRenderedPageBreak/>
        <w:t xml:space="preserve">opinión pública de calidad para poder participar y luego influir en la vida pública. </w:t>
      </w:r>
      <w:r>
        <w:rPr>
          <w:rFonts w:ascii="Palatino Linotype" w:eastAsia="Palatino Linotype" w:hAnsi="Palatino Linotype" w:cs="Palatino Linotype"/>
          <w:i/>
          <w:vertAlign w:val="superscript"/>
        </w:rPr>
        <w:footnoteReference w:id="3"/>
      </w:r>
      <w:r>
        <w:rPr>
          <w:rFonts w:ascii="Palatino Linotype" w:eastAsia="Palatino Linotype" w:hAnsi="Palatino Linotype" w:cs="Palatino Linotype"/>
          <w:i/>
        </w:rPr>
        <w:t>“(Sic)</w:t>
      </w:r>
    </w:p>
    <w:p w14:paraId="3CBD8537"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Ahora </w:t>
      </w:r>
      <w:r>
        <w:rPr>
          <w:rFonts w:ascii="Palatino Linotype" w:eastAsia="Palatino Linotype" w:hAnsi="Palatino Linotype" w:cs="Palatino Linotype"/>
          <w:color w:val="000000"/>
        </w:rPr>
        <w:t xml:space="preserve">bien, el derecho </w:t>
      </w:r>
      <w:r>
        <w:rPr>
          <w:rFonts w:ascii="Palatino Linotype" w:eastAsia="Palatino Linotype" w:hAnsi="Palatino Linotype" w:cs="Palatino Linotype"/>
        </w:rPr>
        <w:t>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w:t>
      </w:r>
    </w:p>
    <w:p w14:paraId="3CBD8538" w14:textId="77777777" w:rsidR="00B41180" w:rsidRDefault="00B41180">
      <w:pPr>
        <w:spacing w:line="360" w:lineRule="auto"/>
        <w:ind w:right="49"/>
        <w:jc w:val="both"/>
        <w:rPr>
          <w:rFonts w:ascii="Palatino Linotype" w:eastAsia="Palatino Linotype" w:hAnsi="Palatino Linotype" w:cs="Palatino Linotype"/>
        </w:rPr>
      </w:pPr>
    </w:p>
    <w:p w14:paraId="3CBD8539"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 </w:t>
      </w:r>
      <w:r>
        <w:rPr>
          <w:rFonts w:ascii="Palatino Linotype" w:eastAsia="Palatino Linotype" w:hAnsi="Palatino Linotype" w:cs="Palatino Linotype"/>
          <w:color w:val="000000"/>
        </w:rPr>
        <w:t xml:space="preserve">por ello </w:t>
      </w:r>
      <w:r>
        <w:rPr>
          <w:rFonts w:ascii="Palatino Linotype" w:eastAsia="Palatino Linotype" w:hAnsi="Palatino Linotype" w:cs="Palatino Linotype"/>
        </w:rPr>
        <w:t>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w:t>
      </w:r>
    </w:p>
    <w:p w14:paraId="3CBD853A" w14:textId="77777777" w:rsidR="00B41180" w:rsidRDefault="00B41180">
      <w:pPr>
        <w:spacing w:line="360" w:lineRule="auto"/>
        <w:ind w:right="49"/>
        <w:jc w:val="both"/>
        <w:rPr>
          <w:rFonts w:ascii="Palatino Linotype" w:eastAsia="Palatino Linotype" w:hAnsi="Palatino Linotype" w:cs="Palatino Linotype"/>
        </w:rPr>
      </w:pPr>
    </w:p>
    <w:p w14:paraId="3CBD853B"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w:t>
      </w:r>
      <w:r>
        <w:rPr>
          <w:rFonts w:ascii="Palatino Linotype" w:eastAsia="Palatino Linotype" w:hAnsi="Palatino Linotype" w:cs="Palatino Linotype"/>
          <w:color w:val="000000"/>
        </w:rPr>
        <w:t xml:space="preserve">tanto, </w:t>
      </w:r>
      <w:r>
        <w:rPr>
          <w:rFonts w:ascii="Palatino Linotype" w:eastAsia="Palatino Linotype" w:hAnsi="Palatino Linotype" w:cs="Palatino Linotype"/>
        </w:rPr>
        <w:t xml:space="preserve">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para cualquier persona, en los términos y condiciones que se establezcan en los tratados internacionales de los que el Estado mexicano sea parte, </w:t>
      </w:r>
      <w:r>
        <w:rPr>
          <w:rFonts w:ascii="Palatino Linotype" w:eastAsia="Palatino Linotype" w:hAnsi="Palatino Linotype" w:cs="Palatino Linotype"/>
        </w:rPr>
        <w:lastRenderedPageBreak/>
        <w:t>en la Ley General de Transparencia y Acceso a la Información Pública, la Ley de Transparencia vigente en nuestra entidad y demás disposiciones de la materia, privilegiando el principio de máxima publicidad de la información.</w:t>
      </w:r>
    </w:p>
    <w:p w14:paraId="3CBD853C" w14:textId="77777777" w:rsidR="00B41180" w:rsidRDefault="00B41180">
      <w:pPr>
        <w:spacing w:line="360" w:lineRule="auto"/>
        <w:ind w:right="49"/>
        <w:jc w:val="both"/>
        <w:rPr>
          <w:rFonts w:ascii="Palatino Linotype" w:eastAsia="Palatino Linotype" w:hAnsi="Palatino Linotype" w:cs="Palatino Linotype"/>
        </w:rPr>
      </w:pPr>
    </w:p>
    <w:p w14:paraId="3CBD853D"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w:t>
      </w:r>
      <w:r>
        <w:rPr>
          <w:rFonts w:ascii="Palatino Linotype" w:eastAsia="Palatino Linotype" w:hAnsi="Palatino Linotype" w:cs="Palatino Linotype"/>
          <w:color w:val="000000"/>
        </w:rPr>
        <w:t xml:space="preserve">esa </w:t>
      </w:r>
      <w:r>
        <w:rPr>
          <w:rFonts w:ascii="Palatino Linotype" w:eastAsia="Palatino Linotype" w:hAnsi="Palatino Linotype" w:cs="Palatino Linotype"/>
        </w:rPr>
        <w:t>esa tesitura, los sujetos obligados deberán poner en práctica, políticas y programas de acceso a la información que se apeguen a criterios de publicidad, veracidad, oportunidad, precisión y suficiencia en beneficio de los solicitantes.</w:t>
      </w:r>
    </w:p>
    <w:p w14:paraId="3CBD853E" w14:textId="77777777" w:rsidR="00B41180" w:rsidRDefault="00B41180">
      <w:pPr>
        <w:spacing w:line="360" w:lineRule="auto"/>
        <w:ind w:right="49"/>
        <w:jc w:val="both"/>
        <w:rPr>
          <w:rFonts w:ascii="Palatino Linotype" w:eastAsia="Palatino Linotype" w:hAnsi="Palatino Linotype" w:cs="Palatino Linotype"/>
        </w:rPr>
      </w:pPr>
    </w:p>
    <w:p w14:paraId="3CBD853F"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Lo </w:t>
      </w:r>
      <w:r>
        <w:rPr>
          <w:rFonts w:ascii="Palatino Linotype" w:eastAsia="Palatino Linotype" w:hAnsi="Palatino Linotype" w:cs="Palatino Linotype"/>
          <w:color w:val="000000"/>
        </w:rPr>
        <w:t xml:space="preserve">anterior, </w:t>
      </w:r>
      <w:r>
        <w:rPr>
          <w:rFonts w:ascii="Palatino Linotype" w:eastAsia="Palatino Linotype" w:hAnsi="Palatino Linotype" w:cs="Palatino Linotype"/>
        </w:rPr>
        <w:t>tiene sustento en los artículos 3, fracciones XI y XXII; 4; 11 y 12 de la Ley de Transparencia y Acceso a la Información Pública del Estado de México y Municipios:</w:t>
      </w:r>
    </w:p>
    <w:p w14:paraId="3CBD8540" w14:textId="77777777" w:rsidR="00B41180" w:rsidRDefault="00B41180">
      <w:pPr>
        <w:spacing w:line="360" w:lineRule="auto"/>
        <w:ind w:right="49"/>
        <w:jc w:val="both"/>
        <w:rPr>
          <w:rFonts w:ascii="Palatino Linotype" w:eastAsia="Palatino Linotype" w:hAnsi="Palatino Linotype" w:cs="Palatino Linotype"/>
        </w:rPr>
      </w:pPr>
    </w:p>
    <w:p w14:paraId="3CBD8541" w14:textId="77777777" w:rsidR="00B41180" w:rsidRDefault="008A73A5">
      <w:pPr>
        <w:spacing w:line="360" w:lineRule="auto"/>
        <w:ind w:left="567" w:right="539"/>
        <w:rPr>
          <w:rFonts w:ascii="Palatino Linotype" w:eastAsia="Palatino Linotype" w:hAnsi="Palatino Linotype" w:cs="Palatino Linotype"/>
          <w:i/>
        </w:rPr>
      </w:pPr>
      <w:r>
        <w:rPr>
          <w:rFonts w:ascii="Palatino Linotype" w:eastAsia="Palatino Linotype" w:hAnsi="Palatino Linotype" w:cs="Palatino Linotype"/>
          <w:b/>
          <w:i/>
        </w:rPr>
        <w:t xml:space="preserve">“Artículo 3. Para los efectos de la presente Ley se entenderá por: </w:t>
      </w:r>
      <w:r>
        <w:rPr>
          <w:rFonts w:ascii="Palatino Linotype" w:eastAsia="Palatino Linotype" w:hAnsi="Palatino Linotype" w:cs="Palatino Linotype"/>
          <w:i/>
        </w:rPr>
        <w:t>…</w:t>
      </w:r>
    </w:p>
    <w:p w14:paraId="3CBD8542" w14:textId="77777777" w:rsidR="00B41180" w:rsidRDefault="008A73A5">
      <w:pPr>
        <w:spacing w:line="360" w:lineRule="auto"/>
        <w:ind w:left="567" w:right="539"/>
        <w:rPr>
          <w:rFonts w:ascii="Palatino Linotype" w:eastAsia="Palatino Linotype" w:hAnsi="Palatino Linotype" w:cs="Palatino Linotype"/>
          <w:i/>
        </w:rPr>
      </w:pPr>
      <w:r>
        <w:rPr>
          <w:rFonts w:ascii="Palatino Linotype" w:eastAsia="Palatino Linotype" w:hAnsi="Palatino Linotype" w:cs="Palatino Linotype"/>
          <w:i/>
        </w:rPr>
        <w:t>…</w:t>
      </w:r>
    </w:p>
    <w:p w14:paraId="3CBD8543" w14:textId="77777777" w:rsidR="00B41180" w:rsidRDefault="008A73A5">
      <w:pPr>
        <w:spacing w:line="360"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 xml:space="preserve">XI. Documento: </w:t>
      </w:r>
      <w:r>
        <w:rPr>
          <w:rFonts w:ascii="Palatino Linotype" w:eastAsia="Palatino Linotype" w:hAnsi="Palatino Linotype" w:cs="Palatino Linotype"/>
          <w:i/>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CBD8544" w14:textId="77777777" w:rsidR="00B41180" w:rsidRDefault="008A73A5">
      <w:pPr>
        <w:spacing w:line="360" w:lineRule="auto"/>
        <w:ind w:left="567" w:right="539"/>
        <w:rPr>
          <w:rFonts w:ascii="Palatino Linotype" w:eastAsia="Palatino Linotype" w:hAnsi="Palatino Linotype" w:cs="Palatino Linotype"/>
          <w:i/>
        </w:rPr>
      </w:pPr>
      <w:r>
        <w:rPr>
          <w:rFonts w:ascii="Palatino Linotype" w:eastAsia="Palatino Linotype" w:hAnsi="Palatino Linotype" w:cs="Palatino Linotype"/>
          <w:i/>
        </w:rPr>
        <w:lastRenderedPageBreak/>
        <w:t>…</w:t>
      </w:r>
    </w:p>
    <w:p w14:paraId="3CBD8545" w14:textId="77777777" w:rsidR="00B41180" w:rsidRDefault="008A73A5">
      <w:pPr>
        <w:spacing w:line="360"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 xml:space="preserve">XXII. </w:t>
      </w:r>
      <w:r>
        <w:rPr>
          <w:rFonts w:ascii="Palatino Linotype" w:eastAsia="Palatino Linotype" w:hAnsi="Palatino Linotype" w:cs="Palatino Linotype"/>
          <w:i/>
        </w:rPr>
        <w:t>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p w14:paraId="3CBD8546" w14:textId="77777777" w:rsidR="00B41180" w:rsidRDefault="00B41180">
      <w:pPr>
        <w:spacing w:line="360" w:lineRule="auto"/>
        <w:ind w:left="567" w:right="539"/>
        <w:jc w:val="both"/>
        <w:rPr>
          <w:rFonts w:ascii="Palatino Linotype" w:eastAsia="Palatino Linotype" w:hAnsi="Palatino Linotype" w:cs="Palatino Linotype"/>
          <w:i/>
        </w:rPr>
      </w:pPr>
    </w:p>
    <w:p w14:paraId="3CBD8547" w14:textId="77777777" w:rsidR="00B41180" w:rsidRDefault="008A73A5">
      <w:pPr>
        <w:spacing w:line="360" w:lineRule="auto"/>
        <w:ind w:left="567" w:right="539"/>
        <w:rPr>
          <w:rFonts w:ascii="Palatino Linotype" w:eastAsia="Palatino Linotype" w:hAnsi="Palatino Linotype" w:cs="Palatino Linotype"/>
          <w:i/>
        </w:rPr>
      </w:pPr>
      <w:r>
        <w:rPr>
          <w:rFonts w:ascii="Palatino Linotype" w:eastAsia="Palatino Linotype" w:hAnsi="Palatino Linotype" w:cs="Palatino Linotype"/>
          <w:b/>
          <w:i/>
        </w:rPr>
        <w:t xml:space="preserve">Artículo 4. </w:t>
      </w:r>
      <w:r>
        <w:rPr>
          <w:rFonts w:ascii="Palatino Linotype" w:eastAsia="Palatino Linotype" w:hAnsi="Palatino Linotype" w:cs="Palatino Linotype"/>
          <w:i/>
        </w:rPr>
        <w:t>El derecho humano de acceso a la información pública es la prerrogativa de las personas para buscar, difundir, investigar, recabar, recibir y solicitar información pública, sin necesidad de acreditar personalidad ni interés jurídico.</w:t>
      </w:r>
    </w:p>
    <w:p w14:paraId="3CBD8548" w14:textId="77777777" w:rsidR="00B41180" w:rsidRDefault="008A73A5">
      <w:pPr>
        <w:spacing w:line="360"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CBD8549" w14:textId="77777777" w:rsidR="00B41180" w:rsidRDefault="008A73A5">
      <w:pPr>
        <w:spacing w:line="360"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Los sujetos obligados deben poner en práctica, políticas y programas de acceso a la información que se apeguen a criterios de publicidad, veracidad, oportunidad, precisión y suficiencia en beneficio de los solicitantes.</w:t>
      </w:r>
    </w:p>
    <w:p w14:paraId="3CBD854A" w14:textId="77777777" w:rsidR="00B41180" w:rsidRDefault="00B41180">
      <w:pPr>
        <w:spacing w:line="360" w:lineRule="auto"/>
        <w:ind w:left="567" w:right="539"/>
        <w:jc w:val="both"/>
        <w:rPr>
          <w:rFonts w:ascii="Palatino Linotype" w:eastAsia="Palatino Linotype" w:hAnsi="Palatino Linotype" w:cs="Palatino Linotype"/>
          <w:i/>
        </w:rPr>
      </w:pPr>
    </w:p>
    <w:p w14:paraId="3CBD854B" w14:textId="77777777" w:rsidR="00B41180" w:rsidRDefault="008A73A5">
      <w:pPr>
        <w:spacing w:line="360"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11.- </w:t>
      </w:r>
      <w:r>
        <w:rPr>
          <w:rFonts w:ascii="Palatino Linotype" w:eastAsia="Palatino Linotype" w:hAnsi="Palatino Linotype" w:cs="Palatino Linotype"/>
          <w:i/>
        </w:rPr>
        <w:t>Los Sujetos Obligados sólo proporcionarán la información que generen en el ejercicio de sus atribuciones.</w:t>
      </w:r>
    </w:p>
    <w:p w14:paraId="3CBD854C" w14:textId="77777777" w:rsidR="00B41180" w:rsidRDefault="00B41180">
      <w:pPr>
        <w:spacing w:line="360" w:lineRule="auto"/>
        <w:ind w:left="567" w:right="539"/>
        <w:jc w:val="both"/>
        <w:rPr>
          <w:rFonts w:ascii="Palatino Linotype" w:eastAsia="Palatino Linotype" w:hAnsi="Palatino Linotype" w:cs="Palatino Linotype"/>
          <w:i/>
        </w:rPr>
      </w:pPr>
    </w:p>
    <w:p w14:paraId="3CBD854D" w14:textId="77777777" w:rsidR="00B41180" w:rsidRDefault="008A73A5">
      <w:pPr>
        <w:spacing w:line="360"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12. </w:t>
      </w:r>
      <w:r>
        <w:rPr>
          <w:rFonts w:ascii="Palatino Linotype" w:eastAsia="Palatino Linotype" w:hAnsi="Palatino Linotype" w:cs="Palatino Linotype"/>
          <w:i/>
        </w:rPr>
        <w:t>Quienes generen, recopilen, administren, manejen, procesen, archiven o conserven información pública serán responsables de la misma en los términos de las disposiciones jurídicas aplicables.</w:t>
      </w:r>
    </w:p>
    <w:p w14:paraId="3CBD854E" w14:textId="77777777" w:rsidR="00B41180" w:rsidRDefault="008A73A5">
      <w:pPr>
        <w:spacing w:line="360" w:lineRule="auto"/>
        <w:ind w:left="567" w:right="539"/>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CBD854F" w14:textId="77777777" w:rsidR="00B41180" w:rsidRDefault="008A73A5">
      <w:pPr>
        <w:spacing w:line="360" w:lineRule="auto"/>
        <w:ind w:left="567" w:right="539"/>
        <w:jc w:val="both"/>
        <w:rPr>
          <w:rFonts w:ascii="Palatino Linotype" w:eastAsia="Palatino Linotype" w:hAnsi="Palatino Linotype" w:cs="Palatino Linotype"/>
        </w:rPr>
      </w:pPr>
      <w:r>
        <w:rPr>
          <w:rFonts w:ascii="Palatino Linotype" w:eastAsia="Palatino Linotype" w:hAnsi="Palatino Linotype" w:cs="Palatino Linotype"/>
        </w:rPr>
        <w:t>(Énfasis añadido)</w:t>
      </w:r>
    </w:p>
    <w:p w14:paraId="3CBD8550" w14:textId="77777777" w:rsidR="00B41180" w:rsidRDefault="00B41180">
      <w:pPr>
        <w:spacing w:line="360" w:lineRule="auto"/>
        <w:ind w:right="539"/>
        <w:jc w:val="both"/>
        <w:rPr>
          <w:rFonts w:ascii="Palatino Linotype" w:eastAsia="Palatino Linotype" w:hAnsi="Palatino Linotype" w:cs="Palatino Linotype"/>
          <w:b/>
          <w:i/>
        </w:rPr>
      </w:pPr>
    </w:p>
    <w:p w14:paraId="3CBD8551"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De una interpretación </w:t>
      </w:r>
      <w:r>
        <w:rPr>
          <w:rFonts w:ascii="Palatino Linotype" w:eastAsia="Palatino Linotype" w:hAnsi="Palatino Linotype" w:cs="Palatino Linotype"/>
          <w:color w:val="000000"/>
        </w:rPr>
        <w:t xml:space="preserve">sistemática de los artículos anteriores, se puede advertir </w:t>
      </w:r>
      <w:r>
        <w:rPr>
          <w:rFonts w:ascii="Palatino Linotype" w:eastAsia="Palatino Linotype" w:hAnsi="Palatino Linotype" w:cs="Palatino Linotype"/>
        </w:rPr>
        <w:t>que</w:t>
      </w:r>
      <w:r>
        <w:rPr>
          <w:rFonts w:ascii="Palatino Linotype" w:eastAsia="Palatino Linotype" w:hAnsi="Palatino Linotype" w:cs="Palatino Linotype"/>
          <w:color w:val="000000"/>
        </w:rPr>
        <w:t xml:space="preserve"> el ejercicio del derecho de acceso a la información pública se centra en la potestad de los particulares para conocer el contenido de los documentos que </w:t>
      </w:r>
      <w:r>
        <w:rPr>
          <w:rFonts w:ascii="Palatino Linotype" w:eastAsia="Palatino Linotype" w:hAnsi="Palatino Linotype" w:cs="Palatino Linotype"/>
          <w:color w:val="000000"/>
        </w:rPr>
        <w:lastRenderedPageBreak/>
        <w:t>obren en los archivos de los Sujetos Obligados, ya sea porque los generen, administren o simplemente los posean en el ejercicio de sus atribuciones.</w:t>
      </w:r>
    </w:p>
    <w:p w14:paraId="3CBD8552" w14:textId="77777777" w:rsidR="00B41180" w:rsidRDefault="00B41180">
      <w:pPr>
        <w:spacing w:line="360" w:lineRule="auto"/>
        <w:ind w:right="49"/>
        <w:jc w:val="both"/>
        <w:rPr>
          <w:rFonts w:ascii="Palatino Linotype" w:eastAsia="Palatino Linotype" w:hAnsi="Palatino Linotype" w:cs="Palatino Linotype"/>
        </w:rPr>
      </w:pPr>
    </w:p>
    <w:p w14:paraId="3CBD8553"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Para </w:t>
      </w:r>
      <w:r>
        <w:rPr>
          <w:rFonts w:ascii="Palatino Linotype" w:eastAsia="Palatino Linotype" w:hAnsi="Palatino Linotype" w:cs="Palatino Linotype"/>
          <w:color w:val="000000"/>
        </w:rPr>
        <w:t xml:space="preserve">ello, la Ley </w:t>
      </w:r>
      <w:r>
        <w:rPr>
          <w:rFonts w:ascii="Palatino Linotype" w:eastAsia="Palatino Linotype" w:hAnsi="Palatino Linotype" w:cs="Palatino Linotype"/>
        </w:rPr>
        <w:t xml:space="preserve">de la materia otorga la calidad de documento a los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rPr>
        <w:t>cualquier otro registro que documente el ejercicio de las facultades, funciones y competencias de los sujetos obligados</w:t>
      </w:r>
      <w:r>
        <w:rPr>
          <w:rFonts w:ascii="Palatino Linotype" w:eastAsia="Palatino Linotype" w:hAnsi="Palatino Linotype" w:cs="Palatino Linotype"/>
        </w:rPr>
        <w:t>, sus servidores públicos e integrantes, sin importar su fuente o fecha de elaboración. Los documentos podrán estar en cualquier medio, sea escrito, impreso, sonoro, visual, electrónico, informático u holográfico.</w:t>
      </w:r>
    </w:p>
    <w:p w14:paraId="3CBD8554" w14:textId="77777777" w:rsidR="00B41180" w:rsidRDefault="00B41180">
      <w:pPr>
        <w:spacing w:line="360" w:lineRule="auto"/>
        <w:rPr>
          <w:rFonts w:ascii="Palatino Linotype" w:eastAsia="Palatino Linotype" w:hAnsi="Palatino Linotype" w:cs="Palatino Linotype"/>
        </w:rPr>
      </w:pPr>
    </w:p>
    <w:p w14:paraId="3CBD8555"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Por otro </w:t>
      </w:r>
      <w:r>
        <w:rPr>
          <w:rFonts w:ascii="Palatino Linotype" w:eastAsia="Palatino Linotype" w:hAnsi="Palatino Linotype" w:cs="Palatino Linotype"/>
          <w:color w:val="000000"/>
        </w:rPr>
        <w:t xml:space="preserve">lado, </w:t>
      </w:r>
      <w:r>
        <w:rPr>
          <w:rFonts w:ascii="Palatino Linotype" w:eastAsia="Palatino Linotype" w:hAnsi="Palatino Linotype" w:cs="Palatino Linotype"/>
        </w:rPr>
        <w:t>así como la Constitución y la Ley de la materia otorgan a los particulares el derecho de acceder a los documentos generados o en posesión de las autoridades; también lo es que, la obligación de proporcionar información no comprende el procesamiento de esta, ni el presentarla conforme al interés del solicitante ya que no estarán constreñidos a generarla, resumirla, efectuar cálculos o practicar investigaciones.</w:t>
      </w:r>
    </w:p>
    <w:p w14:paraId="3CBD8556" w14:textId="77777777" w:rsidR="00B41180" w:rsidRDefault="00B41180">
      <w:pPr>
        <w:spacing w:line="360" w:lineRule="auto"/>
        <w:ind w:right="49"/>
        <w:jc w:val="both"/>
        <w:rPr>
          <w:rFonts w:ascii="Palatino Linotype" w:eastAsia="Palatino Linotype" w:hAnsi="Palatino Linotype" w:cs="Palatino Linotype"/>
        </w:rPr>
      </w:pPr>
    </w:p>
    <w:p w14:paraId="3CBD8557"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Así, el derecho a la información constituye una prerrogativa a acceder a documentación en poder de los Sujetos Obligados, no así a realizar </w:t>
      </w:r>
      <w:r>
        <w:rPr>
          <w:rFonts w:ascii="Palatino Linotype" w:eastAsia="Palatino Linotype" w:hAnsi="Palatino Linotype" w:cs="Palatino Linotype"/>
        </w:rPr>
        <w:lastRenderedPageBreak/>
        <w:t xml:space="preserve">cuestionamientos, o manifestaciones subjetivas. Sirve de apoyo a lo anterior la definición de </w:t>
      </w:r>
      <w:r>
        <w:rPr>
          <w:rFonts w:ascii="Palatino Linotype" w:eastAsia="Palatino Linotype" w:hAnsi="Palatino Linotype" w:cs="Palatino Linotype"/>
          <w:b/>
        </w:rPr>
        <w:t>derecho a la información</w:t>
      </w:r>
      <w:r>
        <w:rPr>
          <w:rFonts w:ascii="Palatino Linotype" w:eastAsia="Palatino Linotype" w:hAnsi="Palatino Linotype" w:cs="Palatino Linotype"/>
        </w:rPr>
        <w:t xml:space="preserve"> de Ernesto Villanueva Villanueva, que dice: </w:t>
      </w:r>
    </w:p>
    <w:p w14:paraId="3CBD8558" w14:textId="77777777" w:rsidR="00B41180" w:rsidRDefault="00B41180">
      <w:pPr>
        <w:spacing w:line="360" w:lineRule="auto"/>
        <w:ind w:right="49"/>
        <w:jc w:val="both"/>
        <w:rPr>
          <w:rFonts w:ascii="Palatino Linotype" w:eastAsia="Palatino Linotype" w:hAnsi="Palatino Linotype" w:cs="Palatino Linotype"/>
        </w:rPr>
      </w:pPr>
    </w:p>
    <w:p w14:paraId="3CBD8559" w14:textId="77777777" w:rsidR="00B41180" w:rsidRDefault="008A73A5">
      <w:pPr>
        <w:spacing w:line="360" w:lineRule="auto"/>
        <w:ind w:left="567" w:right="539"/>
        <w:jc w:val="both"/>
        <w:rPr>
          <w:rFonts w:ascii="Palatino Linotype" w:eastAsia="Palatino Linotype" w:hAnsi="Palatino Linotype" w:cs="Palatino Linotype"/>
        </w:rPr>
      </w:pPr>
      <w:r>
        <w:rPr>
          <w:rFonts w:ascii="Palatino Linotype" w:eastAsia="Palatino Linotype" w:hAnsi="Palatino Linotype" w:cs="Palatino Linotype"/>
          <w:i/>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Pr>
          <w:rFonts w:ascii="Palatino Linotype" w:eastAsia="Palatino Linotype" w:hAnsi="Palatino Linotype" w:cs="Palatino Linotype"/>
          <w:i/>
          <w:vertAlign w:val="superscript"/>
        </w:rPr>
        <w:footnoteReference w:id="4"/>
      </w:r>
      <w:r>
        <w:rPr>
          <w:rFonts w:ascii="Palatino Linotype" w:eastAsia="Palatino Linotype" w:hAnsi="Palatino Linotype" w:cs="Palatino Linotype"/>
          <w:i/>
        </w:rPr>
        <w:t xml:space="preserve">” (Sic)  </w:t>
      </w:r>
    </w:p>
    <w:p w14:paraId="3CBD855A" w14:textId="77777777" w:rsidR="00B41180" w:rsidRDefault="00B41180">
      <w:pPr>
        <w:spacing w:line="360" w:lineRule="auto"/>
        <w:ind w:right="49"/>
        <w:jc w:val="both"/>
        <w:rPr>
          <w:rFonts w:ascii="Palatino Linotype" w:eastAsia="Palatino Linotype" w:hAnsi="Palatino Linotype" w:cs="Palatino Linotype"/>
        </w:rPr>
      </w:pPr>
    </w:p>
    <w:p w14:paraId="3CBD855B"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Aunado a lo anterior,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14:paraId="3CBD855C" w14:textId="77777777" w:rsidR="00B41180" w:rsidRDefault="00B41180">
      <w:pPr>
        <w:spacing w:line="360" w:lineRule="auto"/>
        <w:ind w:right="49"/>
        <w:jc w:val="both"/>
        <w:rPr>
          <w:rFonts w:ascii="Palatino Linotype" w:eastAsia="Palatino Linotype" w:hAnsi="Palatino Linotype" w:cs="Palatino Linotype"/>
        </w:rPr>
      </w:pPr>
    </w:p>
    <w:p w14:paraId="3CBD855D" w14:textId="77777777" w:rsidR="00B41180" w:rsidRDefault="008A73A5">
      <w:pPr>
        <w:tabs>
          <w:tab w:val="left" w:pos="8222"/>
        </w:tabs>
        <w:spacing w:line="360" w:lineRule="auto"/>
        <w:ind w:left="567" w:right="567"/>
        <w:jc w:val="center"/>
        <w:rPr>
          <w:rFonts w:ascii="Palatino Linotype" w:eastAsia="Palatino Linotype" w:hAnsi="Palatino Linotype" w:cs="Palatino Linotype"/>
          <w:b/>
          <w:i/>
        </w:rPr>
      </w:pPr>
      <w:r>
        <w:rPr>
          <w:rFonts w:ascii="Palatino Linotype" w:eastAsia="Palatino Linotype" w:hAnsi="Palatino Linotype" w:cs="Palatino Linotype"/>
          <w:b/>
          <w:i/>
        </w:rPr>
        <w:t>“CRITERIO 0002-11</w:t>
      </w:r>
    </w:p>
    <w:p w14:paraId="3CBD855E" w14:textId="77777777" w:rsidR="00B41180" w:rsidRDefault="008A73A5">
      <w:pPr>
        <w:tabs>
          <w:tab w:val="left" w:pos="8222"/>
        </w:tabs>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w:t>
      </w:r>
      <w:r>
        <w:rPr>
          <w:rFonts w:ascii="Palatino Linotype" w:eastAsia="Palatino Linotype" w:hAnsi="Palatino Linotype" w:cs="Palatino Linotype"/>
          <w:i/>
        </w:rPr>
        <w:lastRenderedPageBreak/>
        <w:t>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CBD855F" w14:textId="77777777" w:rsidR="00B41180" w:rsidRDefault="008A73A5">
      <w:pPr>
        <w:tabs>
          <w:tab w:val="left" w:pos="8222"/>
        </w:tabs>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14:paraId="3CBD8560" w14:textId="77777777" w:rsidR="00B41180" w:rsidRDefault="00B41180">
      <w:pPr>
        <w:tabs>
          <w:tab w:val="left" w:pos="8222"/>
        </w:tabs>
        <w:spacing w:line="360" w:lineRule="auto"/>
        <w:ind w:left="567" w:right="567"/>
        <w:jc w:val="both"/>
        <w:rPr>
          <w:rFonts w:ascii="Palatino Linotype" w:eastAsia="Palatino Linotype" w:hAnsi="Palatino Linotype" w:cs="Palatino Linotype"/>
          <w:i/>
        </w:rPr>
      </w:pPr>
    </w:p>
    <w:p w14:paraId="3CBD8561" w14:textId="77777777" w:rsidR="00B41180" w:rsidRDefault="008A73A5">
      <w:pPr>
        <w:tabs>
          <w:tab w:val="left" w:pos="8222"/>
        </w:tabs>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Que se trate de información registrada en cualquier soporte documental, que en ejercicio de las atribuciones conferidas, sea generada por los Sujetos Obligados;</w:t>
      </w:r>
    </w:p>
    <w:p w14:paraId="3CBD8562" w14:textId="77777777" w:rsidR="00B41180" w:rsidRDefault="00B41180">
      <w:pPr>
        <w:tabs>
          <w:tab w:val="left" w:pos="8222"/>
        </w:tabs>
        <w:spacing w:line="360" w:lineRule="auto"/>
        <w:ind w:left="567" w:right="567"/>
        <w:jc w:val="both"/>
        <w:rPr>
          <w:rFonts w:ascii="Palatino Linotype" w:eastAsia="Palatino Linotype" w:hAnsi="Palatino Linotype" w:cs="Palatino Linotype"/>
          <w:i/>
        </w:rPr>
      </w:pPr>
    </w:p>
    <w:p w14:paraId="3CBD8563" w14:textId="77777777" w:rsidR="00B41180" w:rsidRDefault="008A73A5">
      <w:pPr>
        <w:tabs>
          <w:tab w:val="left" w:pos="8222"/>
        </w:tabs>
        <w:spacing w:line="360" w:lineRule="auto"/>
        <w:ind w:left="567" w:right="567"/>
        <w:jc w:val="both"/>
        <w:rPr>
          <w:rFonts w:ascii="Palatino Linotype" w:eastAsia="Palatino Linotype" w:hAnsi="Palatino Linotype" w:cs="Palatino Linotype"/>
          <w:i/>
        </w:rPr>
      </w:pPr>
      <w:r>
        <w:rPr>
          <w:rFonts w:ascii="Palatino Linotype" w:eastAsia="Palatino Linotype" w:hAnsi="Palatino Linotype" w:cs="Palatino Linotype"/>
          <w:i/>
        </w:rPr>
        <w:t>Que se trate de información registrada en cualquier soporte documental, que en ejercicio de las atribuciones conferidas, sea administrada por los Sujetos Obligados, y</w:t>
      </w:r>
    </w:p>
    <w:p w14:paraId="3CBD8564" w14:textId="77777777" w:rsidR="00B41180" w:rsidRDefault="008A73A5">
      <w:pPr>
        <w:tabs>
          <w:tab w:val="left" w:pos="8222"/>
        </w:tabs>
        <w:spacing w:line="360"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i/>
        </w:rPr>
        <w:t>Que se trate de información registrada en cualquier soporte documental, que en ejercicio de las atribuciones conferidas, se encuentre en posesión de los Sujetos Obligados</w:t>
      </w:r>
      <w:r>
        <w:rPr>
          <w:rFonts w:ascii="Palatino Linotype" w:eastAsia="Palatino Linotype" w:hAnsi="Palatino Linotype" w:cs="Palatino Linotype"/>
        </w:rPr>
        <w:t>.”</w:t>
      </w:r>
    </w:p>
    <w:p w14:paraId="3CBD8565" w14:textId="77777777" w:rsidR="00B41180" w:rsidRDefault="00B41180">
      <w:pPr>
        <w:spacing w:line="360" w:lineRule="auto"/>
        <w:ind w:right="49"/>
        <w:jc w:val="both"/>
        <w:rPr>
          <w:rFonts w:ascii="Palatino Linotype" w:eastAsia="Palatino Linotype" w:hAnsi="Palatino Linotype" w:cs="Palatino Linotype"/>
        </w:rPr>
      </w:pPr>
    </w:p>
    <w:p w14:paraId="3CBD8566"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Así, se puede concluir que la distinción entre el derecho de petición y el derecho de acceso a la información pública estriba principalmente en que en el primero de ellos, la pretensión del peticionario consiste generalmente en obligar a la autoridad responsable a que actúe en el sentido de contestar lo solicitado, mientras </w:t>
      </w:r>
      <w:r>
        <w:rPr>
          <w:rFonts w:ascii="Palatino Linotype" w:eastAsia="Palatino Linotype" w:hAnsi="Palatino Linotype" w:cs="Palatino Linotype"/>
        </w:rPr>
        <w:lastRenderedPageBreak/>
        <w:t xml:space="preserve">que en el segundo supuesto </w:t>
      </w:r>
      <w:r>
        <w:rPr>
          <w:rFonts w:ascii="Palatino Linotype" w:eastAsia="Palatino Linotype" w:hAnsi="Palatino Linotype" w:cs="Palatino Linotype"/>
          <w:b/>
          <w:u w:val="single"/>
        </w:rPr>
        <w:t>la solicitud de acceso a la información pública se encamina primordialmente a permitir el acceso a datos, registros y todo tipo de</w:t>
      </w:r>
      <w:r>
        <w:rPr>
          <w:rFonts w:ascii="Palatino Linotype" w:eastAsia="Palatino Linotype" w:hAnsi="Palatino Linotype" w:cs="Palatino Linotype"/>
          <w:b/>
        </w:rPr>
        <w:t xml:space="preserve"> </w:t>
      </w:r>
      <w:r>
        <w:rPr>
          <w:rFonts w:ascii="Palatino Linotype" w:eastAsia="Palatino Linotype" w:hAnsi="Palatino Linotype" w:cs="Palatino Linotype"/>
          <w:b/>
          <w:u w:val="single"/>
        </w:rPr>
        <w:t>información pública que conste en documentos, sea generada o se encuentre en</w:t>
      </w:r>
      <w:r>
        <w:rPr>
          <w:rFonts w:ascii="Palatino Linotype" w:eastAsia="Palatino Linotype" w:hAnsi="Palatino Linotype" w:cs="Palatino Linotype"/>
          <w:b/>
        </w:rPr>
        <w:t xml:space="preserve"> </w:t>
      </w:r>
      <w:r>
        <w:rPr>
          <w:rFonts w:ascii="Palatino Linotype" w:eastAsia="Palatino Linotype" w:hAnsi="Palatino Linotype" w:cs="Palatino Linotype"/>
          <w:b/>
          <w:u w:val="single"/>
        </w:rPr>
        <w:t xml:space="preserve">posesión de la autoridad.  </w:t>
      </w:r>
    </w:p>
    <w:p w14:paraId="3CBD8567" w14:textId="77777777" w:rsidR="00B41180" w:rsidRDefault="00B41180">
      <w:pPr>
        <w:spacing w:line="360" w:lineRule="auto"/>
        <w:ind w:right="49"/>
        <w:jc w:val="both"/>
        <w:rPr>
          <w:rFonts w:ascii="Palatino Linotype" w:eastAsia="Palatino Linotype" w:hAnsi="Palatino Linotype" w:cs="Palatino Linotype"/>
        </w:rPr>
      </w:pPr>
    </w:p>
    <w:p w14:paraId="3CBD8568"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Es así como, la entrega de una razón o un razonamiento por parte del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no es algo que la ley establezca como atribución, derecho, o facultad; pues ello implicaría un juicio de valor referente a un cuestionamiento realizado, los cuales, al constituir interrogantes, inquietudes y </w:t>
      </w:r>
      <w:r>
        <w:rPr>
          <w:rFonts w:ascii="Palatino Linotype" w:eastAsia="Palatino Linotype" w:hAnsi="Palatino Linotype" w:cs="Palatino Linotype"/>
          <w:b/>
        </w:rPr>
        <w:t xml:space="preserve">manifestaciones </w:t>
      </w:r>
      <w:r>
        <w:rPr>
          <w:rFonts w:ascii="Palatino Linotype" w:eastAsia="Palatino Linotype" w:hAnsi="Palatino Linotype" w:cs="Palatino Linotype"/>
        </w:rPr>
        <w:t>se satisfacen vía derecho de petición.</w:t>
      </w:r>
    </w:p>
    <w:p w14:paraId="3CBD8569" w14:textId="77777777" w:rsidR="00B41180" w:rsidRDefault="00B41180">
      <w:pPr>
        <w:spacing w:line="360" w:lineRule="auto"/>
        <w:ind w:right="49"/>
        <w:jc w:val="both"/>
        <w:rPr>
          <w:rFonts w:ascii="Palatino Linotype" w:eastAsia="Palatino Linotype" w:hAnsi="Palatino Linotype" w:cs="Palatino Linotype"/>
        </w:rPr>
      </w:pPr>
    </w:p>
    <w:p w14:paraId="3CBD856A"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Ahora </w:t>
      </w:r>
      <w:r>
        <w:rPr>
          <w:rFonts w:ascii="Palatino Linotype" w:eastAsia="Palatino Linotype" w:hAnsi="Palatino Linotype" w:cs="Palatino Linotype"/>
          <w:color w:val="000000"/>
        </w:rPr>
        <w:t xml:space="preserve">bien, </w:t>
      </w:r>
      <w:r>
        <w:rPr>
          <w:rFonts w:ascii="Palatino Linotype" w:eastAsia="Palatino Linotype" w:hAnsi="Palatino Linotype" w:cs="Palatino Linotype"/>
        </w:rPr>
        <w:t>es importante precisar que este Instituto de Transparencia como Órgano Garante de la difusión, protección y respeto al derecho de acceso a la información pública y a la protección de datos personales, conforme a su naturaleza jurídica y en términos del artículo 179 de la Ley de la materia, es competente para resolver los recursos de revisión, cuando se actualice cualquiera de las siguientes causas:</w:t>
      </w:r>
    </w:p>
    <w:p w14:paraId="3CBD856B" w14:textId="77777777" w:rsidR="00B41180" w:rsidRDefault="00B41180">
      <w:pPr>
        <w:spacing w:line="360" w:lineRule="auto"/>
        <w:ind w:right="49"/>
        <w:jc w:val="both"/>
        <w:rPr>
          <w:rFonts w:ascii="Palatino Linotype" w:eastAsia="Palatino Linotype" w:hAnsi="Palatino Linotype" w:cs="Palatino Linotype"/>
        </w:rPr>
      </w:pPr>
    </w:p>
    <w:p w14:paraId="3CBD856C" w14:textId="77777777" w:rsidR="00B41180" w:rsidRDefault="008A73A5">
      <w:pPr>
        <w:spacing w:line="360" w:lineRule="auto"/>
        <w:ind w:left="954" w:right="1287"/>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El recurso de revisión es un medio de protección que la Ley otorga a los particulares, para hacer valer su derecho de acceso </w:t>
      </w:r>
      <w:r>
        <w:rPr>
          <w:rFonts w:ascii="Palatino Linotype" w:eastAsia="Palatino Linotype" w:hAnsi="Palatino Linotype" w:cs="Palatino Linotype"/>
          <w:i/>
        </w:rPr>
        <w:lastRenderedPageBreak/>
        <w:t xml:space="preserve">a la información </w:t>
      </w:r>
      <w:r>
        <w:rPr>
          <w:rFonts w:ascii="Palatino Linotype" w:eastAsia="Palatino Linotype" w:hAnsi="Palatino Linotype" w:cs="Palatino Linotype"/>
          <w:b/>
          <w:i/>
        </w:rPr>
        <w:t>pública</w:t>
      </w:r>
      <w:r>
        <w:rPr>
          <w:rFonts w:ascii="Palatino Linotype" w:eastAsia="Palatino Linotype" w:hAnsi="Palatino Linotype" w:cs="Palatino Linotype"/>
          <w:i/>
        </w:rPr>
        <w:t>, y procederá en contra de las siguientes causas:</w:t>
      </w:r>
    </w:p>
    <w:p w14:paraId="3CBD856D" w14:textId="77777777" w:rsidR="00B41180" w:rsidRDefault="008A73A5">
      <w:pPr>
        <w:widowControl w:val="0"/>
        <w:numPr>
          <w:ilvl w:val="0"/>
          <w:numId w:val="5"/>
        </w:numPr>
        <w:pBdr>
          <w:top w:val="nil"/>
          <w:left w:val="nil"/>
          <w:bottom w:val="nil"/>
          <w:right w:val="nil"/>
          <w:between w:val="nil"/>
        </w:pBdr>
        <w:tabs>
          <w:tab w:val="left" w:pos="1139"/>
        </w:tabs>
        <w:spacing w:line="360" w:lineRule="auto"/>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La negativa a la información solicitada;</w:t>
      </w:r>
    </w:p>
    <w:p w14:paraId="3CBD856E" w14:textId="77777777" w:rsidR="00B41180" w:rsidRDefault="008A73A5">
      <w:pPr>
        <w:widowControl w:val="0"/>
        <w:numPr>
          <w:ilvl w:val="0"/>
          <w:numId w:val="5"/>
        </w:numPr>
        <w:pBdr>
          <w:top w:val="nil"/>
          <w:left w:val="nil"/>
          <w:bottom w:val="nil"/>
          <w:right w:val="nil"/>
          <w:between w:val="nil"/>
        </w:pBdr>
        <w:tabs>
          <w:tab w:val="left" w:pos="1213"/>
        </w:tabs>
        <w:spacing w:line="360" w:lineRule="auto"/>
        <w:ind w:left="1212" w:hanging="25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La clasificación de la información;</w:t>
      </w:r>
    </w:p>
    <w:p w14:paraId="3CBD856F" w14:textId="77777777" w:rsidR="00B41180" w:rsidRDefault="008A73A5">
      <w:pPr>
        <w:widowControl w:val="0"/>
        <w:numPr>
          <w:ilvl w:val="0"/>
          <w:numId w:val="5"/>
        </w:numPr>
        <w:pBdr>
          <w:top w:val="nil"/>
          <w:left w:val="nil"/>
          <w:bottom w:val="nil"/>
          <w:right w:val="nil"/>
          <w:between w:val="nil"/>
        </w:pBdr>
        <w:tabs>
          <w:tab w:val="left" w:pos="1286"/>
        </w:tabs>
        <w:spacing w:line="360" w:lineRule="auto"/>
        <w:ind w:left="1285" w:hanging="33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La declaración de inexistencia de la información;</w:t>
      </w:r>
    </w:p>
    <w:p w14:paraId="3CBD8570" w14:textId="77777777" w:rsidR="00B41180" w:rsidRDefault="008A73A5">
      <w:pPr>
        <w:widowControl w:val="0"/>
        <w:numPr>
          <w:ilvl w:val="0"/>
          <w:numId w:val="5"/>
        </w:numPr>
        <w:pBdr>
          <w:top w:val="nil"/>
          <w:left w:val="nil"/>
          <w:bottom w:val="nil"/>
          <w:right w:val="nil"/>
          <w:between w:val="nil"/>
        </w:pBdr>
        <w:tabs>
          <w:tab w:val="left" w:pos="1285"/>
        </w:tabs>
        <w:spacing w:line="360" w:lineRule="auto"/>
        <w:ind w:left="1284" w:hanging="33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La declaración de incompetencia por el sujeto obligado;</w:t>
      </w:r>
    </w:p>
    <w:p w14:paraId="3CBD8571" w14:textId="77777777" w:rsidR="00B41180" w:rsidRDefault="008A73A5">
      <w:pPr>
        <w:widowControl w:val="0"/>
        <w:numPr>
          <w:ilvl w:val="0"/>
          <w:numId w:val="5"/>
        </w:numPr>
        <w:pBdr>
          <w:top w:val="nil"/>
          <w:left w:val="nil"/>
          <w:bottom w:val="nil"/>
          <w:right w:val="nil"/>
          <w:between w:val="nil"/>
        </w:pBdr>
        <w:tabs>
          <w:tab w:val="left" w:pos="1211"/>
        </w:tabs>
        <w:spacing w:line="360" w:lineRule="auto"/>
        <w:ind w:left="1210" w:hanging="257"/>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La entrega de información incompleta;</w:t>
      </w:r>
    </w:p>
    <w:p w14:paraId="3CBD8572" w14:textId="77777777" w:rsidR="00B41180" w:rsidRDefault="008A73A5">
      <w:pPr>
        <w:widowControl w:val="0"/>
        <w:numPr>
          <w:ilvl w:val="0"/>
          <w:numId w:val="5"/>
        </w:numPr>
        <w:pBdr>
          <w:top w:val="nil"/>
          <w:left w:val="nil"/>
          <w:bottom w:val="nil"/>
          <w:right w:val="nil"/>
          <w:between w:val="nil"/>
        </w:pBdr>
        <w:tabs>
          <w:tab w:val="left" w:pos="1285"/>
        </w:tabs>
        <w:spacing w:line="360" w:lineRule="auto"/>
        <w:ind w:left="1284" w:hanging="33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La entrega de información que no corresponda con lo solicitado;</w:t>
      </w:r>
    </w:p>
    <w:p w14:paraId="3CBD8573" w14:textId="77777777" w:rsidR="00B41180" w:rsidRDefault="008A73A5">
      <w:pPr>
        <w:widowControl w:val="0"/>
        <w:numPr>
          <w:ilvl w:val="0"/>
          <w:numId w:val="5"/>
        </w:numPr>
        <w:pBdr>
          <w:top w:val="nil"/>
          <w:left w:val="nil"/>
          <w:bottom w:val="nil"/>
          <w:right w:val="nil"/>
          <w:between w:val="nil"/>
        </w:pBdr>
        <w:tabs>
          <w:tab w:val="left" w:pos="1357"/>
        </w:tabs>
        <w:spacing w:line="360" w:lineRule="auto"/>
        <w:ind w:left="1356" w:hanging="403"/>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La falta de respuesta a una solicitud de acceso a la información;</w:t>
      </w:r>
    </w:p>
    <w:p w14:paraId="3CBD8574" w14:textId="77777777" w:rsidR="00B41180" w:rsidRDefault="008A73A5">
      <w:pPr>
        <w:widowControl w:val="0"/>
        <w:numPr>
          <w:ilvl w:val="0"/>
          <w:numId w:val="5"/>
        </w:numPr>
        <w:pBdr>
          <w:top w:val="nil"/>
          <w:left w:val="nil"/>
          <w:bottom w:val="nil"/>
          <w:right w:val="nil"/>
          <w:between w:val="nil"/>
        </w:pBdr>
        <w:tabs>
          <w:tab w:val="left" w:pos="1484"/>
        </w:tabs>
        <w:spacing w:line="360" w:lineRule="auto"/>
        <w:ind w:left="954" w:right="1292" w:firstLine="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La notificación, entrega o puesta a disposición de información en una modalidad o formato distinto al solicitado;</w:t>
      </w:r>
    </w:p>
    <w:p w14:paraId="3CBD8575" w14:textId="77777777" w:rsidR="00B41180" w:rsidRDefault="008A73A5">
      <w:pPr>
        <w:widowControl w:val="0"/>
        <w:numPr>
          <w:ilvl w:val="0"/>
          <w:numId w:val="5"/>
        </w:numPr>
        <w:pBdr>
          <w:top w:val="nil"/>
          <w:left w:val="nil"/>
          <w:bottom w:val="nil"/>
          <w:right w:val="nil"/>
          <w:between w:val="nil"/>
        </w:pBdr>
        <w:tabs>
          <w:tab w:val="left" w:pos="1408"/>
        </w:tabs>
        <w:spacing w:line="360" w:lineRule="auto"/>
        <w:ind w:left="954" w:right="1290" w:firstLine="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La entrega o puesta a disposición de información en un formato incomprensible y/o no accesible para el solicitante;</w:t>
      </w:r>
    </w:p>
    <w:p w14:paraId="3CBD8576" w14:textId="77777777" w:rsidR="00B41180" w:rsidRDefault="008A73A5">
      <w:pPr>
        <w:widowControl w:val="0"/>
        <w:numPr>
          <w:ilvl w:val="0"/>
          <w:numId w:val="5"/>
        </w:numPr>
        <w:pBdr>
          <w:top w:val="nil"/>
          <w:left w:val="nil"/>
          <w:bottom w:val="nil"/>
          <w:right w:val="nil"/>
          <w:between w:val="nil"/>
        </w:pBdr>
        <w:tabs>
          <w:tab w:val="left" w:pos="1223"/>
        </w:tabs>
        <w:spacing w:line="360" w:lineRule="auto"/>
        <w:ind w:left="1222" w:hanging="26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Los costos o tiempos de entrega de la información;</w:t>
      </w:r>
    </w:p>
    <w:p w14:paraId="3CBD8577" w14:textId="77777777" w:rsidR="00B41180" w:rsidRDefault="008A73A5">
      <w:pPr>
        <w:widowControl w:val="0"/>
        <w:numPr>
          <w:ilvl w:val="0"/>
          <w:numId w:val="5"/>
        </w:numPr>
        <w:pBdr>
          <w:top w:val="nil"/>
          <w:left w:val="nil"/>
          <w:bottom w:val="nil"/>
          <w:right w:val="nil"/>
          <w:between w:val="nil"/>
        </w:pBdr>
        <w:tabs>
          <w:tab w:val="left" w:pos="1297"/>
        </w:tabs>
        <w:spacing w:line="360" w:lineRule="auto"/>
        <w:ind w:left="1296" w:hanging="343"/>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La falta de trámite a una solicitud;</w:t>
      </w:r>
    </w:p>
    <w:p w14:paraId="3CBD8578" w14:textId="77777777" w:rsidR="00B41180" w:rsidRDefault="008A73A5">
      <w:pPr>
        <w:widowControl w:val="0"/>
        <w:numPr>
          <w:ilvl w:val="0"/>
          <w:numId w:val="5"/>
        </w:numPr>
        <w:pBdr>
          <w:top w:val="nil"/>
          <w:left w:val="nil"/>
          <w:bottom w:val="nil"/>
          <w:right w:val="nil"/>
          <w:between w:val="nil"/>
        </w:pBdr>
        <w:tabs>
          <w:tab w:val="left" w:pos="1372"/>
        </w:tabs>
        <w:spacing w:line="360" w:lineRule="auto"/>
        <w:ind w:left="1371" w:hanging="41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La negativa a permitir la consulta directa de la información;</w:t>
      </w:r>
    </w:p>
    <w:p w14:paraId="3CBD8579" w14:textId="77777777" w:rsidR="00B41180" w:rsidRDefault="008A73A5">
      <w:pPr>
        <w:widowControl w:val="0"/>
        <w:numPr>
          <w:ilvl w:val="0"/>
          <w:numId w:val="5"/>
        </w:numPr>
        <w:pBdr>
          <w:top w:val="nil"/>
          <w:left w:val="nil"/>
          <w:bottom w:val="nil"/>
          <w:right w:val="nil"/>
          <w:between w:val="nil"/>
        </w:pBdr>
        <w:tabs>
          <w:tab w:val="left" w:pos="1448"/>
        </w:tabs>
        <w:spacing w:line="360" w:lineRule="auto"/>
        <w:ind w:left="954" w:right="1285" w:firstLine="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La falta, deficiencia o insuficiencia de la fundamentación y/o motivación en la respuesta; y</w:t>
      </w:r>
    </w:p>
    <w:p w14:paraId="3CBD857A" w14:textId="77777777" w:rsidR="00B41180" w:rsidRDefault="008A73A5">
      <w:pPr>
        <w:widowControl w:val="0"/>
        <w:numPr>
          <w:ilvl w:val="0"/>
          <w:numId w:val="5"/>
        </w:numPr>
        <w:pBdr>
          <w:top w:val="nil"/>
          <w:left w:val="nil"/>
          <w:bottom w:val="nil"/>
          <w:right w:val="nil"/>
          <w:between w:val="nil"/>
        </w:pBdr>
        <w:tabs>
          <w:tab w:val="left" w:pos="1444"/>
        </w:tabs>
        <w:spacing w:line="360" w:lineRule="auto"/>
        <w:ind w:left="1443" w:hanging="490"/>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La orientación a un trámite específico.</w:t>
      </w:r>
    </w:p>
    <w:p w14:paraId="3CBD857B" w14:textId="77777777" w:rsidR="00B41180" w:rsidRDefault="00B41180">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3CBD857C" w14:textId="77777777" w:rsidR="00B41180" w:rsidRDefault="008A73A5">
      <w:pPr>
        <w:spacing w:line="360" w:lineRule="auto"/>
        <w:ind w:left="954" w:right="1287"/>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 xml:space="preserve">La respuesta que den los sujetos obligados derivada de la resolución a un recurso de revisión que proceda por las causales señaladas en las fracciones IV, VII, IX, X, XI y XII es susceptible de ser impugnada de nueva cuenta, mediante recurso de revisión, ante el Instituto.” </w:t>
      </w:r>
    </w:p>
    <w:p w14:paraId="3CBD857D" w14:textId="77777777" w:rsidR="00B41180" w:rsidRDefault="00B41180">
      <w:pPr>
        <w:spacing w:line="360" w:lineRule="auto"/>
        <w:ind w:left="954" w:right="1287"/>
        <w:jc w:val="both"/>
        <w:rPr>
          <w:rFonts w:ascii="Palatino Linotype" w:eastAsia="Palatino Linotype" w:hAnsi="Palatino Linotype" w:cs="Palatino Linotype"/>
          <w:i/>
        </w:rPr>
      </w:pPr>
    </w:p>
    <w:p w14:paraId="3CBD857E"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Siendo así así que dentro de dichas causales no se contempla la de cuando se trate de un derecho de petición ejercido por un gobernado.</w:t>
      </w:r>
    </w:p>
    <w:p w14:paraId="3CBD857F" w14:textId="77777777" w:rsidR="00B41180" w:rsidRDefault="00B41180">
      <w:pPr>
        <w:spacing w:line="360" w:lineRule="auto"/>
        <w:ind w:right="49"/>
        <w:jc w:val="both"/>
        <w:rPr>
          <w:rFonts w:ascii="Palatino Linotype" w:eastAsia="Palatino Linotype" w:hAnsi="Palatino Linotype" w:cs="Palatino Linotype"/>
        </w:rPr>
      </w:pPr>
    </w:p>
    <w:p w14:paraId="3CBD8580"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w:t>
      </w:r>
      <w:r>
        <w:rPr>
          <w:rFonts w:ascii="Palatino Linotype" w:eastAsia="Palatino Linotype" w:hAnsi="Palatino Linotype" w:cs="Palatino Linotype"/>
          <w:color w:val="000000"/>
        </w:rPr>
        <w:t xml:space="preserve">tal virtud, </w:t>
      </w:r>
      <w:r>
        <w:rPr>
          <w:rFonts w:ascii="Palatino Linotype" w:eastAsia="Palatino Linotype" w:hAnsi="Palatino Linotype" w:cs="Palatino Linotype"/>
        </w:rPr>
        <w:t xml:space="preserve">al no actualizarse ninguno de los supuestos aludidos, este Instituto no tiene atribuciones para pronunciarse respecto del recurso de revisión, que se trata de manifestaciones vertidas por el Recurrente, que van encaminados a obtener un juicio de valor emitido por parte de </w:t>
      </w:r>
      <w:r>
        <w:rPr>
          <w:rFonts w:ascii="Palatino Linotype" w:eastAsia="Palatino Linotype" w:hAnsi="Palatino Linotype" w:cs="Palatino Linotype"/>
          <w:b/>
        </w:rPr>
        <w:t xml:space="preserve">EL SUJETO OBLIGADO </w:t>
      </w:r>
      <w:r>
        <w:rPr>
          <w:rFonts w:ascii="Palatino Linotype" w:eastAsia="Palatino Linotype" w:hAnsi="Palatino Linotype" w:cs="Palatino Linotype"/>
        </w:rPr>
        <w:t>tendente a aclarar un cuestionamiento o una inquietud.</w:t>
      </w:r>
    </w:p>
    <w:p w14:paraId="3CBD8581" w14:textId="77777777" w:rsidR="00B41180" w:rsidRDefault="00B41180">
      <w:pPr>
        <w:spacing w:line="360" w:lineRule="auto"/>
        <w:jc w:val="both"/>
        <w:rPr>
          <w:rFonts w:ascii="Palatino Linotype" w:eastAsia="Palatino Linotype" w:hAnsi="Palatino Linotype" w:cs="Palatino Linotype"/>
        </w:rPr>
      </w:pPr>
    </w:p>
    <w:p w14:paraId="3CBD8582"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Ante tales consideraciones, resulta pertinente declarar </w:t>
      </w:r>
      <w:r>
        <w:rPr>
          <w:rFonts w:ascii="Palatino Linotype" w:eastAsia="Palatino Linotype" w:hAnsi="Palatino Linotype" w:cs="Palatino Linotype"/>
          <w:b/>
        </w:rPr>
        <w:t>improcedente</w:t>
      </w:r>
      <w:r>
        <w:rPr>
          <w:rFonts w:ascii="Palatino Linotype" w:eastAsia="Palatino Linotype" w:hAnsi="Palatino Linotype" w:cs="Palatino Linotype"/>
        </w:rPr>
        <w:t xml:space="preserve"> la ampliación de la solicitud del </w:t>
      </w:r>
      <w:r>
        <w:rPr>
          <w:rFonts w:ascii="Palatino Linotype" w:eastAsia="Palatino Linotype" w:hAnsi="Palatino Linotype" w:cs="Palatino Linotype"/>
          <w:b/>
        </w:rPr>
        <w:t>RECURRENTE</w:t>
      </w:r>
      <w:r>
        <w:rPr>
          <w:rFonts w:ascii="Palatino Linotype" w:eastAsia="Palatino Linotype" w:hAnsi="Palatino Linotype" w:cs="Palatino Linotype"/>
        </w:rPr>
        <w:t>, actualizándose lo previsto en los numerales 191, fracción VII con relación al 192, fracción IV de la Ley de Transparencia Local que a la letra menciona:</w:t>
      </w:r>
    </w:p>
    <w:p w14:paraId="3CBD8583" w14:textId="77777777" w:rsidR="00B41180" w:rsidRDefault="00B41180">
      <w:pPr>
        <w:spacing w:line="360" w:lineRule="auto"/>
        <w:ind w:right="899"/>
        <w:jc w:val="both"/>
        <w:rPr>
          <w:rFonts w:ascii="Palatino Linotype" w:eastAsia="Palatino Linotype" w:hAnsi="Palatino Linotype" w:cs="Palatino Linotype"/>
        </w:rPr>
      </w:pPr>
    </w:p>
    <w:p w14:paraId="3CBD8584" w14:textId="77777777" w:rsidR="00B41180" w:rsidRDefault="008A73A5">
      <w:pPr>
        <w:spacing w:line="360"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b/>
          <w:i/>
        </w:rPr>
        <w:t>“Artículo 191</w:t>
      </w:r>
      <w:r>
        <w:rPr>
          <w:rFonts w:ascii="Palatino Linotype" w:eastAsia="Palatino Linotype" w:hAnsi="Palatino Linotype" w:cs="Palatino Linotype"/>
          <w:i/>
        </w:rPr>
        <w:t xml:space="preserve">. El recurso será desechado por </w:t>
      </w:r>
      <w:r>
        <w:rPr>
          <w:rFonts w:ascii="Palatino Linotype" w:eastAsia="Palatino Linotype" w:hAnsi="Palatino Linotype" w:cs="Palatino Linotype"/>
          <w:b/>
          <w:i/>
        </w:rPr>
        <w:t>improcedente</w:t>
      </w:r>
      <w:r>
        <w:rPr>
          <w:rFonts w:ascii="Palatino Linotype" w:eastAsia="Palatino Linotype" w:hAnsi="Palatino Linotype" w:cs="Palatino Linotype"/>
          <w:i/>
        </w:rPr>
        <w:t xml:space="preserve"> cuando:</w:t>
      </w:r>
    </w:p>
    <w:p w14:paraId="3CBD8585" w14:textId="77777777" w:rsidR="00B41180" w:rsidRDefault="00B41180">
      <w:pPr>
        <w:spacing w:line="360" w:lineRule="auto"/>
        <w:ind w:right="899"/>
        <w:jc w:val="both"/>
        <w:rPr>
          <w:rFonts w:ascii="Palatino Linotype" w:eastAsia="Palatino Linotype" w:hAnsi="Palatino Linotype" w:cs="Palatino Linotype"/>
          <w:i/>
        </w:rPr>
      </w:pPr>
    </w:p>
    <w:p w14:paraId="3CBD8586" w14:textId="77777777" w:rsidR="00B41180" w:rsidRDefault="008A73A5">
      <w:pPr>
        <w:spacing w:line="360"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I. Sea extemporáneo por haber transcurrido el plazo establecido en la presente Ley, a partir de la respuesta;</w:t>
      </w:r>
    </w:p>
    <w:p w14:paraId="3CBD8587" w14:textId="77777777" w:rsidR="00B41180" w:rsidRDefault="008A73A5">
      <w:pPr>
        <w:spacing w:line="360"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II. Se esté tramitando ante el Poder Judicial de la Federación algún recurso o medio de defensa interpuesto por el recurrente;</w:t>
      </w:r>
    </w:p>
    <w:p w14:paraId="3CBD8588" w14:textId="77777777" w:rsidR="00B41180" w:rsidRDefault="008A73A5">
      <w:pPr>
        <w:spacing w:line="360"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III. No actualice alguno de los supuestos previstos en la presente Ley;</w:t>
      </w:r>
    </w:p>
    <w:p w14:paraId="3CBD8589" w14:textId="77777777" w:rsidR="00B41180" w:rsidRDefault="008A73A5">
      <w:pPr>
        <w:spacing w:line="360"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IV. No se haya desahogado la prevención en los términos establecidos en la presente Ley;</w:t>
      </w:r>
    </w:p>
    <w:p w14:paraId="3CBD858A" w14:textId="77777777" w:rsidR="00B41180" w:rsidRDefault="008A73A5">
      <w:pPr>
        <w:spacing w:line="360"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V. Se impugne la veracidad de la información proporcionada;</w:t>
      </w:r>
    </w:p>
    <w:p w14:paraId="3CBD858B" w14:textId="77777777" w:rsidR="00B41180" w:rsidRDefault="008A73A5">
      <w:pPr>
        <w:spacing w:line="360"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VI. Se trate de una consulta, o trámite en específico; y</w:t>
      </w:r>
    </w:p>
    <w:p w14:paraId="3CBD858C" w14:textId="77777777" w:rsidR="00B41180" w:rsidRDefault="008A73A5">
      <w:pPr>
        <w:spacing w:line="360" w:lineRule="auto"/>
        <w:ind w:left="851" w:right="899"/>
        <w:jc w:val="both"/>
        <w:rPr>
          <w:rFonts w:ascii="Palatino Linotype" w:eastAsia="Palatino Linotype" w:hAnsi="Palatino Linotype" w:cs="Palatino Linotype"/>
          <w:b/>
          <w:i/>
        </w:rPr>
      </w:pPr>
      <w:r>
        <w:rPr>
          <w:rFonts w:ascii="Palatino Linotype" w:eastAsia="Palatino Linotype" w:hAnsi="Palatino Linotype" w:cs="Palatino Linotype"/>
          <w:b/>
          <w:i/>
        </w:rPr>
        <w:t>VII. El recurrente amplíe su solicitud en el recurso de revisión, únicamente respecto de los nuevos contenidos.”</w:t>
      </w:r>
    </w:p>
    <w:p w14:paraId="3CBD858D" w14:textId="77777777" w:rsidR="00B41180" w:rsidRDefault="00B41180">
      <w:pPr>
        <w:spacing w:line="360" w:lineRule="auto"/>
        <w:ind w:left="851" w:right="899"/>
        <w:jc w:val="both"/>
        <w:rPr>
          <w:rFonts w:ascii="Palatino Linotype" w:eastAsia="Palatino Linotype" w:hAnsi="Palatino Linotype" w:cs="Palatino Linotype"/>
          <w:b/>
          <w:i/>
        </w:rPr>
      </w:pPr>
    </w:p>
    <w:p w14:paraId="3CBD858E" w14:textId="77777777" w:rsidR="00B41180" w:rsidRDefault="008A73A5">
      <w:pPr>
        <w:spacing w:line="360"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b/>
          <w:i/>
        </w:rPr>
        <w:t>Artículo 192</w:t>
      </w:r>
      <w:r>
        <w:rPr>
          <w:rFonts w:ascii="Palatino Linotype" w:eastAsia="Palatino Linotype" w:hAnsi="Palatino Linotype" w:cs="Palatino Linotype"/>
          <w:i/>
        </w:rPr>
        <w:t xml:space="preserve">. El recurso será </w:t>
      </w:r>
      <w:r>
        <w:rPr>
          <w:rFonts w:ascii="Palatino Linotype" w:eastAsia="Palatino Linotype" w:hAnsi="Palatino Linotype" w:cs="Palatino Linotype"/>
          <w:b/>
          <w:i/>
        </w:rPr>
        <w:t>sobreseído</w:t>
      </w:r>
      <w:r>
        <w:rPr>
          <w:rFonts w:ascii="Palatino Linotype" w:eastAsia="Palatino Linotype" w:hAnsi="Palatino Linotype" w:cs="Palatino Linotype"/>
          <w:i/>
        </w:rPr>
        <w:t>, en todo o en parte, cuando una vez admitido, se actualicen alguno de los siguientes supuestos:</w:t>
      </w:r>
    </w:p>
    <w:p w14:paraId="3CBD858F" w14:textId="77777777" w:rsidR="00B41180" w:rsidRDefault="00B41180">
      <w:pPr>
        <w:spacing w:line="360" w:lineRule="auto"/>
        <w:ind w:left="851" w:right="899"/>
        <w:jc w:val="both"/>
        <w:rPr>
          <w:rFonts w:ascii="Palatino Linotype" w:eastAsia="Palatino Linotype" w:hAnsi="Palatino Linotype" w:cs="Palatino Linotype"/>
          <w:i/>
        </w:rPr>
      </w:pPr>
    </w:p>
    <w:p w14:paraId="3CBD8590" w14:textId="77777777" w:rsidR="00B41180" w:rsidRDefault="008A73A5">
      <w:pPr>
        <w:spacing w:line="360"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I. El recurrente se desista expresamente del recurso;</w:t>
      </w:r>
    </w:p>
    <w:p w14:paraId="3CBD8591" w14:textId="77777777" w:rsidR="00B41180" w:rsidRDefault="008A73A5">
      <w:pPr>
        <w:spacing w:line="360"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II. El recurrente fallezca o, tratándose de personas jurídicas colectivas, se disuelva;</w:t>
      </w:r>
    </w:p>
    <w:p w14:paraId="3CBD8592" w14:textId="77777777" w:rsidR="00B41180" w:rsidRDefault="008A73A5">
      <w:pPr>
        <w:spacing w:line="360"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III. El sujeto obligado responsable del acto lo modifique o revoque de tal manera que el recurso de revisión quede sin materia;</w:t>
      </w:r>
    </w:p>
    <w:p w14:paraId="3CBD8593" w14:textId="77777777" w:rsidR="00B41180" w:rsidRDefault="008A73A5">
      <w:pPr>
        <w:spacing w:line="360" w:lineRule="auto"/>
        <w:ind w:left="851" w:right="899"/>
        <w:jc w:val="both"/>
        <w:rPr>
          <w:rFonts w:ascii="Palatino Linotype" w:eastAsia="Palatino Linotype" w:hAnsi="Palatino Linotype" w:cs="Palatino Linotype"/>
          <w:b/>
          <w:i/>
        </w:rPr>
      </w:pPr>
      <w:r>
        <w:rPr>
          <w:rFonts w:ascii="Palatino Linotype" w:eastAsia="Palatino Linotype" w:hAnsi="Palatino Linotype" w:cs="Palatino Linotype"/>
          <w:b/>
          <w:i/>
        </w:rPr>
        <w:lastRenderedPageBreak/>
        <w:t>IV. Admitido el recurso de revisión, aparezca alguna causal de improcedencia en los términos de la presente Ley; y</w:t>
      </w:r>
    </w:p>
    <w:p w14:paraId="3CBD8594" w14:textId="77777777" w:rsidR="00B41180" w:rsidRDefault="008A73A5">
      <w:pPr>
        <w:spacing w:line="360" w:lineRule="auto"/>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V. Cuando por cualquier motivo quede sin materia el recurso.”</w:t>
      </w:r>
    </w:p>
    <w:p w14:paraId="3CBD8595" w14:textId="77777777" w:rsidR="00B41180" w:rsidRDefault="00B41180">
      <w:pPr>
        <w:spacing w:line="360" w:lineRule="auto"/>
        <w:jc w:val="both"/>
        <w:rPr>
          <w:rFonts w:ascii="Palatino Linotype" w:eastAsia="Palatino Linotype" w:hAnsi="Palatino Linotype" w:cs="Palatino Linotype"/>
        </w:rPr>
      </w:pPr>
    </w:p>
    <w:p w14:paraId="3CBD8596" w14:textId="77777777" w:rsidR="00B41180" w:rsidRDefault="008A73A5">
      <w:pPr>
        <w:numPr>
          <w:ilvl w:val="0"/>
          <w:numId w:val="3"/>
        </w:numPr>
        <w:spacing w:line="360" w:lineRule="auto"/>
        <w:ind w:left="0" w:firstLine="0"/>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lo anteriormente expuesto, este Instituto estima que las razones o motivos de inconformidad hechos valer por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devienen </w:t>
      </w:r>
      <w:r>
        <w:rPr>
          <w:rFonts w:ascii="Palatino Linotype" w:eastAsia="Palatino Linotype" w:hAnsi="Palatino Linotype" w:cs="Palatino Linotype"/>
          <w:b/>
        </w:rPr>
        <w:t>infundadas</w:t>
      </w:r>
      <w:r>
        <w:rPr>
          <w:rFonts w:ascii="Palatino Linotype" w:eastAsia="Palatino Linotype" w:hAnsi="Palatino Linotype" w:cs="Palatino Linotype"/>
        </w:rPr>
        <w:t xml:space="preserve">; motivo por el cual, este Órgano Garante determina </w:t>
      </w:r>
      <w:r>
        <w:rPr>
          <w:rFonts w:ascii="Palatino Linotype" w:eastAsia="Palatino Linotype" w:hAnsi="Palatino Linotype" w:cs="Palatino Linotype"/>
          <w:b/>
        </w:rPr>
        <w:t xml:space="preserve">Sobreseer </w:t>
      </w:r>
      <w:r>
        <w:rPr>
          <w:rFonts w:ascii="Palatino Linotype" w:eastAsia="Palatino Linotype" w:hAnsi="Palatino Linotype" w:cs="Palatino Linotype"/>
        </w:rPr>
        <w:t>el Recurso de Revisión en que se actúa en términos del artículo 186, fracción I de la Ley de Transparencia y Acceso a la Información Pública del Estado de México y Municipios por las razones expuestas en el presente considerando.</w:t>
      </w:r>
    </w:p>
    <w:p w14:paraId="3CBD8597" w14:textId="77777777" w:rsidR="00B41180" w:rsidRDefault="00B41180">
      <w:pPr>
        <w:spacing w:line="360" w:lineRule="auto"/>
        <w:jc w:val="both"/>
        <w:rPr>
          <w:rFonts w:ascii="Palatino Linotype" w:eastAsia="Palatino Linotype" w:hAnsi="Palatino Linotype" w:cs="Palatino Linotype"/>
          <w:color w:val="000000"/>
        </w:rPr>
      </w:pPr>
    </w:p>
    <w:p w14:paraId="3CBD8598" w14:textId="77777777" w:rsidR="00B41180" w:rsidRDefault="008A73A5">
      <w:pPr>
        <w:numPr>
          <w:ilvl w:val="0"/>
          <w:numId w:val="3"/>
        </w:numPr>
        <w:spacing w:line="360" w:lineRule="auto"/>
        <w:ind w:left="0"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lo anteriormente expuesto y fundado, este </w:t>
      </w:r>
      <w:r>
        <w:rPr>
          <w:rFonts w:ascii="Palatino Linotype" w:eastAsia="Palatino Linotype" w:hAnsi="Palatino Linotype" w:cs="Palatino Linotype"/>
          <w:b/>
        </w:rPr>
        <w:t>ÓRGANO GARANTE</w:t>
      </w:r>
      <w:r>
        <w:rPr>
          <w:rFonts w:ascii="Palatino Linotype" w:eastAsia="Palatino Linotype" w:hAnsi="Palatino Linotype" w:cs="Palatino Linotype"/>
        </w:rPr>
        <w:t xml:space="preserve"> emite los siguientes:</w:t>
      </w:r>
      <w:r>
        <w:rPr>
          <w:rFonts w:ascii="Palatino Linotype" w:eastAsia="Palatino Linotype" w:hAnsi="Palatino Linotype" w:cs="Palatino Linotype"/>
          <w:color w:val="000000"/>
        </w:rPr>
        <w:t xml:space="preserve"> </w:t>
      </w:r>
    </w:p>
    <w:p w14:paraId="3CBD8599" w14:textId="77777777" w:rsidR="00B41180" w:rsidRDefault="00B41180">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14:paraId="3CBD859A" w14:textId="77777777" w:rsidR="00B41180" w:rsidRDefault="008A73A5">
      <w:pPr>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R E S O L U T I V O S</w:t>
      </w:r>
    </w:p>
    <w:p w14:paraId="3CBD859B" w14:textId="77777777" w:rsidR="00B41180" w:rsidRDefault="00B41180">
      <w:pPr>
        <w:spacing w:line="360" w:lineRule="auto"/>
        <w:jc w:val="center"/>
        <w:rPr>
          <w:rFonts w:ascii="Palatino Linotype" w:eastAsia="Palatino Linotype" w:hAnsi="Palatino Linotype" w:cs="Palatino Linotype"/>
          <w:b/>
        </w:rPr>
      </w:pPr>
    </w:p>
    <w:p w14:paraId="3CBD859C" w14:textId="46F84F45" w:rsidR="00B41180" w:rsidRDefault="008A73A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6"/>
          <w:szCs w:val="26"/>
        </w:rPr>
        <w:t>PRIMERO</w:t>
      </w:r>
      <w:r>
        <w:rPr>
          <w:rFonts w:ascii="Palatino Linotype" w:eastAsia="Palatino Linotype" w:hAnsi="Palatino Linotype" w:cs="Palatino Linotype"/>
          <w:sz w:val="28"/>
          <w:szCs w:val="28"/>
        </w:rPr>
        <w:t>.</w:t>
      </w:r>
      <w:r>
        <w:rPr>
          <w:rFonts w:ascii="Palatino Linotype" w:eastAsia="Palatino Linotype" w:hAnsi="Palatino Linotype" w:cs="Palatino Linotype"/>
        </w:rPr>
        <w:t xml:space="preserve"> Se </w:t>
      </w:r>
      <w:r>
        <w:rPr>
          <w:rFonts w:ascii="Palatino Linotype" w:eastAsia="Palatino Linotype" w:hAnsi="Palatino Linotype" w:cs="Palatino Linotype"/>
          <w:b/>
        </w:rPr>
        <w:t>SOBRESEE</w:t>
      </w:r>
      <w:r>
        <w:rPr>
          <w:rFonts w:ascii="Palatino Linotype" w:eastAsia="Palatino Linotype" w:hAnsi="Palatino Linotype" w:cs="Palatino Linotype"/>
        </w:rPr>
        <w:t xml:space="preserve"> el Recurso de Revisión </w:t>
      </w:r>
      <w:r>
        <w:rPr>
          <w:rFonts w:ascii="Palatino Linotype" w:eastAsia="Palatino Linotype" w:hAnsi="Palatino Linotype" w:cs="Palatino Linotype"/>
          <w:b/>
        </w:rPr>
        <w:t>01863/INFOEM/IP/RR/2024</w:t>
      </w:r>
      <w:r>
        <w:rPr>
          <w:rFonts w:ascii="Palatino Linotype" w:eastAsia="Palatino Linotype" w:hAnsi="Palatino Linotype" w:cs="Palatino Linotype"/>
        </w:rPr>
        <w:t>, porque una vez admitido se actualiza la causal referida en el artículo 192</w:t>
      </w:r>
      <w:r w:rsidR="00A43D0A">
        <w:rPr>
          <w:rFonts w:ascii="Palatino Linotype" w:eastAsia="Palatino Linotype" w:hAnsi="Palatino Linotype" w:cs="Palatino Linotype"/>
        </w:rPr>
        <w:t>,</w:t>
      </w:r>
      <w:r>
        <w:rPr>
          <w:rFonts w:ascii="Palatino Linotype" w:eastAsia="Palatino Linotype" w:hAnsi="Palatino Linotype" w:cs="Palatino Linotype"/>
        </w:rPr>
        <w:t xml:space="preserve"> fracción IV, en relación con el artículo 191</w:t>
      </w:r>
      <w:r w:rsidR="00A43D0A">
        <w:rPr>
          <w:rFonts w:ascii="Palatino Linotype" w:eastAsia="Palatino Linotype" w:hAnsi="Palatino Linotype" w:cs="Palatino Linotype"/>
        </w:rPr>
        <w:t>,</w:t>
      </w:r>
      <w:r>
        <w:rPr>
          <w:rFonts w:ascii="Palatino Linotype" w:eastAsia="Palatino Linotype" w:hAnsi="Palatino Linotype" w:cs="Palatino Linotype"/>
        </w:rPr>
        <w:t xml:space="preserve"> fracción VII</w:t>
      </w:r>
      <w:r w:rsidR="00A43D0A">
        <w:rPr>
          <w:rFonts w:ascii="Palatino Linotype" w:eastAsia="Palatino Linotype" w:hAnsi="Palatino Linotype" w:cs="Palatino Linotype"/>
        </w:rPr>
        <w:t>,</w:t>
      </w:r>
      <w:r>
        <w:rPr>
          <w:rFonts w:ascii="Palatino Linotype" w:eastAsia="Palatino Linotype" w:hAnsi="Palatino Linotype" w:cs="Palatino Linotype"/>
        </w:rPr>
        <w:t xml:space="preserve"> de la Ley de Transparencia y Acceso a la Información Pública del Estado de México y Municipios, toda vez que </w:t>
      </w:r>
      <w:r>
        <w:rPr>
          <w:rFonts w:ascii="Palatino Linotype" w:eastAsia="Palatino Linotype" w:hAnsi="Palatino Linotype" w:cs="Palatino Linotype"/>
          <w:b/>
        </w:rPr>
        <w:t xml:space="preserve">LA </w:t>
      </w:r>
      <w:r>
        <w:rPr>
          <w:rFonts w:ascii="Palatino Linotype" w:eastAsia="Palatino Linotype" w:hAnsi="Palatino Linotype" w:cs="Palatino Linotype"/>
          <w:b/>
        </w:rPr>
        <w:lastRenderedPageBreak/>
        <w:t>RECURRENTE</w:t>
      </w:r>
      <w:r>
        <w:rPr>
          <w:rFonts w:ascii="Palatino Linotype" w:eastAsia="Palatino Linotype" w:hAnsi="Palatino Linotype" w:cs="Palatino Linotype"/>
        </w:rPr>
        <w:t xml:space="preserve"> amplió su solicitud de información inicial en términos del Considerando </w:t>
      </w:r>
      <w:r>
        <w:rPr>
          <w:rFonts w:ascii="Palatino Linotype" w:eastAsia="Palatino Linotype" w:hAnsi="Palatino Linotype" w:cs="Palatino Linotype"/>
          <w:b/>
        </w:rPr>
        <w:t>Cuarto</w:t>
      </w:r>
      <w:r>
        <w:rPr>
          <w:rFonts w:ascii="Palatino Linotype" w:eastAsia="Palatino Linotype" w:hAnsi="Palatino Linotype" w:cs="Palatino Linotype"/>
        </w:rPr>
        <w:t xml:space="preserve"> la presente Resolución. </w:t>
      </w:r>
    </w:p>
    <w:p w14:paraId="3CBD859D" w14:textId="77777777" w:rsidR="00B41180" w:rsidRDefault="00B41180">
      <w:pPr>
        <w:spacing w:line="360" w:lineRule="auto"/>
        <w:jc w:val="both"/>
        <w:rPr>
          <w:rFonts w:ascii="Palatino Linotype" w:eastAsia="Palatino Linotype" w:hAnsi="Palatino Linotype" w:cs="Palatino Linotype"/>
        </w:rPr>
      </w:pPr>
    </w:p>
    <w:p w14:paraId="3CBD859E" w14:textId="5085D9F0" w:rsidR="00B41180" w:rsidRDefault="008A73A5">
      <w:pPr>
        <w:widowControl w:val="0"/>
        <w:tabs>
          <w:tab w:val="left" w:pos="1701"/>
        </w:tabs>
        <w:spacing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b/>
        </w:rPr>
        <w:t>SEGUNDO</w:t>
      </w:r>
      <w:r>
        <w:rPr>
          <w:rFonts w:ascii="Palatino Linotype" w:eastAsia="Palatino Linotype" w:hAnsi="Palatino Linotype" w:cs="Palatino Linotype"/>
          <w:b/>
          <w:highlight w:val="white"/>
        </w:rPr>
        <w:t xml:space="preserve">. Notifíquese </w:t>
      </w:r>
      <w:r w:rsidR="00A43D0A">
        <w:rPr>
          <w:rFonts w:ascii="Palatino Linotype" w:eastAsia="Palatino Linotype" w:hAnsi="Palatino Linotype" w:cs="Palatino Linotype"/>
          <w:b/>
          <w:highlight w:val="white"/>
        </w:rPr>
        <w:t xml:space="preserve">vía SAIMEX </w:t>
      </w:r>
      <w:r>
        <w:rPr>
          <w:rFonts w:ascii="Palatino Linotype" w:eastAsia="Palatino Linotype" w:hAnsi="Palatino Linotype" w:cs="Palatino Linotype"/>
          <w:highlight w:val="white"/>
        </w:rPr>
        <w:t xml:space="preserve">a la </w:t>
      </w:r>
      <w:r>
        <w:rPr>
          <w:rFonts w:ascii="Palatino Linotype" w:eastAsia="Palatino Linotype" w:hAnsi="Palatino Linotype" w:cs="Palatino Linotype"/>
        </w:rPr>
        <w:t>Titular</w:t>
      </w:r>
      <w:r>
        <w:rPr>
          <w:rFonts w:ascii="Palatino Linotype" w:eastAsia="Palatino Linotype" w:hAnsi="Palatino Linotype" w:cs="Palatino Linotype"/>
          <w:highlight w:val="white"/>
        </w:rPr>
        <w:t xml:space="preserve"> de la Unidad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xml:space="preserve"> para su conocimiento. </w:t>
      </w:r>
    </w:p>
    <w:p w14:paraId="3CBD859F" w14:textId="77777777" w:rsidR="00B41180" w:rsidRDefault="00B41180">
      <w:pPr>
        <w:widowControl w:val="0"/>
        <w:tabs>
          <w:tab w:val="left" w:pos="1701"/>
        </w:tabs>
        <w:spacing w:line="360" w:lineRule="auto"/>
        <w:jc w:val="both"/>
        <w:rPr>
          <w:rFonts w:ascii="Palatino Linotype" w:eastAsia="Palatino Linotype" w:hAnsi="Palatino Linotype" w:cs="Palatino Linotype"/>
        </w:rPr>
      </w:pPr>
    </w:p>
    <w:p w14:paraId="3CBD85A0" w14:textId="77777777" w:rsidR="00B41180" w:rsidRDefault="008A73A5">
      <w:pPr>
        <w:widowControl w:val="0"/>
        <w:tabs>
          <w:tab w:val="left" w:pos="1701"/>
        </w:tabs>
        <w:spacing w:line="360" w:lineRule="auto"/>
        <w:jc w:val="both"/>
        <w:rPr>
          <w:rFonts w:ascii="Palatino Linotype" w:eastAsia="Palatino Linotype" w:hAnsi="Palatino Linotype" w:cs="Palatino Linotype"/>
          <w:b/>
        </w:rPr>
      </w:pPr>
      <w:bookmarkStart w:id="8" w:name="_heading=h.2s8eyo1" w:colFirst="0" w:colLast="0"/>
      <w:bookmarkEnd w:id="8"/>
      <w:r>
        <w:rPr>
          <w:rFonts w:ascii="Palatino Linotype" w:eastAsia="Palatino Linotype" w:hAnsi="Palatino Linotype" w:cs="Palatino Linotype"/>
          <w:b/>
          <w:sz w:val="28"/>
          <w:szCs w:val="28"/>
        </w:rPr>
        <w:t>TERCERO</w:t>
      </w:r>
      <w:r>
        <w:rPr>
          <w:rFonts w:ascii="Palatino Linotype" w:eastAsia="Palatino Linotype" w:hAnsi="Palatino Linotype" w:cs="Palatino Linotype"/>
        </w:rPr>
        <w:t xml:space="preserve">. </w:t>
      </w:r>
      <w:r>
        <w:rPr>
          <w:rFonts w:ascii="Palatino Linotype" w:eastAsia="Palatino Linotype" w:hAnsi="Palatino Linotype" w:cs="Palatino Linotype"/>
          <w:b/>
        </w:rPr>
        <w:t>Notifíquese</w:t>
      </w:r>
      <w:r>
        <w:rPr>
          <w:rFonts w:ascii="Palatino Linotype" w:eastAsia="Palatino Linotype" w:hAnsi="Palatino Linotype" w:cs="Palatino Linotype"/>
        </w:rPr>
        <w:t xml:space="preserve">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vía Sistema de Acceso a la Información Mexiquense </w:t>
      </w:r>
      <w:r>
        <w:rPr>
          <w:rFonts w:ascii="Palatino Linotype" w:eastAsia="Palatino Linotype" w:hAnsi="Palatino Linotype" w:cs="Palatino Linotype"/>
          <w:b/>
        </w:rPr>
        <w:t xml:space="preserve">SAIMEX </w:t>
      </w:r>
      <w:r>
        <w:rPr>
          <w:rFonts w:ascii="Palatino Linotype" w:eastAsia="Palatino Linotype" w:hAnsi="Palatino Linotype" w:cs="Palatino Linotype"/>
        </w:rPr>
        <w:t>y</w:t>
      </w:r>
      <w:r>
        <w:rPr>
          <w:rFonts w:ascii="Palatino Linotype" w:eastAsia="Palatino Linotype" w:hAnsi="Palatino Linotype" w:cs="Palatino Linotype"/>
          <w:b/>
        </w:rPr>
        <w:t xml:space="preserve"> correo electrónico.</w:t>
      </w:r>
    </w:p>
    <w:p w14:paraId="3CBD85A1" w14:textId="77777777" w:rsidR="00B41180" w:rsidRDefault="00B41180">
      <w:pPr>
        <w:widowControl w:val="0"/>
        <w:tabs>
          <w:tab w:val="left" w:pos="1701"/>
        </w:tabs>
        <w:spacing w:line="360" w:lineRule="auto"/>
        <w:jc w:val="both"/>
        <w:rPr>
          <w:rFonts w:ascii="Palatino Linotype" w:eastAsia="Palatino Linotype" w:hAnsi="Palatino Linotype" w:cs="Palatino Linotype"/>
        </w:rPr>
      </w:pPr>
    </w:p>
    <w:p w14:paraId="3CBD85A2" w14:textId="77777777" w:rsidR="00B41180" w:rsidRDefault="008A73A5">
      <w:pPr>
        <w:widowControl w:val="0"/>
        <w:tabs>
          <w:tab w:val="left" w:pos="1701"/>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sz w:val="26"/>
          <w:szCs w:val="26"/>
        </w:rPr>
        <w:t>CUARTO.</w:t>
      </w:r>
      <w:r>
        <w:rPr>
          <w:rFonts w:ascii="Palatino Linotype" w:eastAsia="Palatino Linotype" w:hAnsi="Palatino Linotype" w:cs="Palatino Linotype"/>
          <w:b/>
        </w:rPr>
        <w:t xml:space="preserve"> Hágase del conocimiento</w:t>
      </w:r>
      <w:r>
        <w:rPr>
          <w:rFonts w:ascii="Palatino Linotype" w:eastAsia="Palatino Linotype" w:hAnsi="Palatino Linotype" w:cs="Palatino Linotype"/>
        </w:rPr>
        <w:t xml:space="preserve">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3CBD85A3" w14:textId="77777777" w:rsidR="00B41180" w:rsidRDefault="00B41180">
      <w:pPr>
        <w:shd w:val="clear" w:color="auto" w:fill="FFFFFF"/>
        <w:spacing w:line="360" w:lineRule="auto"/>
        <w:jc w:val="both"/>
        <w:rPr>
          <w:rFonts w:ascii="Palatino Linotype" w:eastAsia="Palatino Linotype" w:hAnsi="Palatino Linotype" w:cs="Palatino Linotype"/>
        </w:rPr>
      </w:pPr>
    </w:p>
    <w:p w14:paraId="58E2D3CC" w14:textId="77777777" w:rsidR="008A73A5" w:rsidRPr="000C614A" w:rsidRDefault="008A73A5" w:rsidP="008A73A5">
      <w:pPr>
        <w:spacing w:line="360" w:lineRule="auto"/>
        <w:ind w:firstLine="1"/>
        <w:jc w:val="both"/>
        <w:rPr>
          <w:rFonts w:ascii="Palatino Linotype" w:hAnsi="Palatino Linotype"/>
        </w:rPr>
      </w:pPr>
      <w:bookmarkStart w:id="9" w:name="_Hlk178879774"/>
      <w:r w:rsidRPr="000C614A">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Pr>
          <w:rFonts w:ascii="Palatino Linotype" w:hAnsi="Palatino Linotype"/>
        </w:rPr>
        <w:t>QUINTA</w:t>
      </w:r>
      <w:r w:rsidRPr="000C614A">
        <w:rPr>
          <w:rFonts w:ascii="Palatino Linotype" w:hAnsi="Palatino Linotype"/>
        </w:rPr>
        <w:t xml:space="preserve"> SESIÓN ORDINARIA </w:t>
      </w:r>
      <w:r w:rsidRPr="000C614A">
        <w:rPr>
          <w:rFonts w:ascii="Palatino Linotype" w:hAnsi="Palatino Linotype"/>
        </w:rPr>
        <w:lastRenderedPageBreak/>
        <w:t xml:space="preserve">CELEBRADA EL </w:t>
      </w:r>
      <w:r>
        <w:rPr>
          <w:rFonts w:ascii="Palatino Linotype" w:hAnsi="Palatino Linotype"/>
        </w:rPr>
        <w:t>TRES</w:t>
      </w:r>
      <w:r w:rsidRPr="000C614A">
        <w:rPr>
          <w:rFonts w:ascii="Palatino Linotype" w:hAnsi="Palatino Linotype"/>
        </w:rPr>
        <w:t xml:space="preserve"> </w:t>
      </w:r>
      <w:r w:rsidRPr="000B7D26">
        <w:rPr>
          <w:rFonts w:ascii="Palatino Linotype" w:hAnsi="Palatino Linotype"/>
        </w:rPr>
        <w:t xml:space="preserve">(03) </w:t>
      </w:r>
      <w:r w:rsidRPr="000C614A">
        <w:rPr>
          <w:rFonts w:ascii="Palatino Linotype" w:hAnsi="Palatino Linotype"/>
        </w:rPr>
        <w:t xml:space="preserve">DE </w:t>
      </w:r>
      <w:r>
        <w:rPr>
          <w:rFonts w:ascii="Palatino Linotype" w:hAnsi="Palatino Linotype"/>
        </w:rPr>
        <w:t>OCTUBRE</w:t>
      </w:r>
      <w:r w:rsidRPr="000C614A">
        <w:rPr>
          <w:rFonts w:ascii="Palatino Linotype" w:hAnsi="Palatino Linotype"/>
        </w:rPr>
        <w:t xml:space="preserve"> DE DOS MIL VEINTICUATRO, ANTE EL SECRETARIO TÉCNICO DEL PLENO ALEXIS TAPIA RAMÍREZ. </w:t>
      </w:r>
    </w:p>
    <w:bookmarkEnd w:id="9"/>
    <w:p w14:paraId="3CBD85A7" w14:textId="77777777" w:rsidR="00B41180" w:rsidRDefault="00B41180">
      <w:pPr>
        <w:spacing w:line="360" w:lineRule="auto"/>
        <w:ind w:firstLine="1"/>
        <w:jc w:val="both"/>
        <w:rPr>
          <w:rFonts w:ascii="Palatino Linotype" w:eastAsia="Palatino Linotype" w:hAnsi="Palatino Linotype" w:cs="Palatino Linotype"/>
        </w:rPr>
      </w:pPr>
    </w:p>
    <w:p w14:paraId="3CBD85A8" w14:textId="77777777" w:rsidR="00B41180" w:rsidRDefault="00B41180">
      <w:pPr>
        <w:spacing w:line="360" w:lineRule="auto"/>
        <w:ind w:firstLine="1"/>
        <w:jc w:val="both"/>
        <w:rPr>
          <w:rFonts w:ascii="Palatino Linotype" w:eastAsia="Palatino Linotype" w:hAnsi="Palatino Linotype" w:cs="Palatino Linotype"/>
        </w:rPr>
      </w:pPr>
    </w:p>
    <w:p w14:paraId="3CBD85A9" w14:textId="77777777" w:rsidR="00B41180" w:rsidRDefault="00B41180">
      <w:pPr>
        <w:spacing w:line="360" w:lineRule="auto"/>
        <w:ind w:firstLine="1"/>
        <w:jc w:val="both"/>
        <w:rPr>
          <w:rFonts w:ascii="Palatino Linotype" w:eastAsia="Palatino Linotype" w:hAnsi="Palatino Linotype" w:cs="Palatino Linotype"/>
        </w:rPr>
      </w:pPr>
    </w:p>
    <w:p w14:paraId="3CBD85AA" w14:textId="77777777" w:rsidR="00B41180" w:rsidRDefault="00B41180">
      <w:pPr>
        <w:spacing w:line="360" w:lineRule="auto"/>
        <w:ind w:firstLine="1"/>
        <w:jc w:val="both"/>
        <w:rPr>
          <w:rFonts w:ascii="Palatino Linotype" w:eastAsia="Palatino Linotype" w:hAnsi="Palatino Linotype" w:cs="Palatino Linotype"/>
        </w:rPr>
      </w:pPr>
    </w:p>
    <w:p w14:paraId="3CBD85AB" w14:textId="77777777" w:rsidR="00B41180" w:rsidRDefault="00B41180">
      <w:pPr>
        <w:spacing w:line="360" w:lineRule="auto"/>
        <w:ind w:firstLine="1"/>
        <w:jc w:val="both"/>
        <w:rPr>
          <w:rFonts w:ascii="Palatino Linotype" w:eastAsia="Palatino Linotype" w:hAnsi="Palatino Linotype" w:cs="Palatino Linotype"/>
        </w:rPr>
      </w:pPr>
    </w:p>
    <w:p w14:paraId="3CBD85AC" w14:textId="77777777" w:rsidR="00B41180" w:rsidRDefault="00B41180">
      <w:pPr>
        <w:spacing w:line="360" w:lineRule="auto"/>
        <w:ind w:firstLine="1"/>
        <w:jc w:val="both"/>
        <w:rPr>
          <w:rFonts w:ascii="Palatino Linotype" w:eastAsia="Palatino Linotype" w:hAnsi="Palatino Linotype" w:cs="Palatino Linotype"/>
        </w:rPr>
      </w:pPr>
    </w:p>
    <w:p w14:paraId="3CBD85AD" w14:textId="77777777" w:rsidR="00B41180" w:rsidRDefault="00B41180">
      <w:pPr>
        <w:spacing w:line="360" w:lineRule="auto"/>
        <w:ind w:firstLine="1"/>
        <w:jc w:val="both"/>
        <w:rPr>
          <w:rFonts w:ascii="Palatino Linotype" w:eastAsia="Palatino Linotype" w:hAnsi="Palatino Linotype" w:cs="Palatino Linotype"/>
        </w:rPr>
      </w:pPr>
    </w:p>
    <w:p w14:paraId="3CBD85AE" w14:textId="77777777" w:rsidR="00B41180" w:rsidRDefault="00B41180">
      <w:pPr>
        <w:spacing w:line="360" w:lineRule="auto"/>
        <w:ind w:firstLine="1"/>
        <w:jc w:val="both"/>
        <w:rPr>
          <w:rFonts w:ascii="Palatino Linotype" w:eastAsia="Palatino Linotype" w:hAnsi="Palatino Linotype" w:cs="Palatino Linotype"/>
        </w:rPr>
      </w:pPr>
    </w:p>
    <w:p w14:paraId="3CBD85AF" w14:textId="77777777" w:rsidR="00B41180" w:rsidRDefault="00B41180">
      <w:pPr>
        <w:spacing w:line="360" w:lineRule="auto"/>
        <w:ind w:firstLine="1"/>
        <w:jc w:val="both"/>
        <w:rPr>
          <w:rFonts w:ascii="Palatino Linotype" w:eastAsia="Palatino Linotype" w:hAnsi="Palatino Linotype" w:cs="Palatino Linotype"/>
        </w:rPr>
      </w:pPr>
    </w:p>
    <w:p w14:paraId="3CBD85B0" w14:textId="77777777" w:rsidR="00B41180" w:rsidRDefault="00B41180">
      <w:pPr>
        <w:spacing w:line="360" w:lineRule="auto"/>
        <w:ind w:firstLine="1"/>
        <w:jc w:val="both"/>
        <w:rPr>
          <w:rFonts w:ascii="Palatino Linotype" w:eastAsia="Palatino Linotype" w:hAnsi="Palatino Linotype" w:cs="Palatino Linotype"/>
        </w:rPr>
      </w:pPr>
    </w:p>
    <w:p w14:paraId="3CBD85B1" w14:textId="77777777" w:rsidR="00B41180" w:rsidRDefault="00B41180">
      <w:pPr>
        <w:spacing w:line="360" w:lineRule="auto"/>
        <w:ind w:firstLine="1"/>
        <w:jc w:val="both"/>
        <w:rPr>
          <w:rFonts w:ascii="Palatino Linotype" w:eastAsia="Palatino Linotype" w:hAnsi="Palatino Linotype" w:cs="Palatino Linotype"/>
        </w:rPr>
      </w:pPr>
    </w:p>
    <w:p w14:paraId="3CBD85B2" w14:textId="77777777" w:rsidR="00B41180" w:rsidRDefault="00B41180">
      <w:pPr>
        <w:spacing w:line="360" w:lineRule="auto"/>
        <w:ind w:firstLine="1"/>
        <w:jc w:val="both"/>
        <w:rPr>
          <w:rFonts w:ascii="Palatino Linotype" w:eastAsia="Palatino Linotype" w:hAnsi="Palatino Linotype" w:cs="Palatino Linotype"/>
        </w:rPr>
      </w:pPr>
    </w:p>
    <w:p w14:paraId="3CBD85B3" w14:textId="77777777" w:rsidR="00B41180" w:rsidRDefault="00B41180">
      <w:pPr>
        <w:spacing w:line="360" w:lineRule="auto"/>
        <w:ind w:firstLine="1"/>
        <w:jc w:val="both"/>
        <w:rPr>
          <w:rFonts w:ascii="Palatino Linotype" w:eastAsia="Palatino Linotype" w:hAnsi="Palatino Linotype" w:cs="Palatino Linotype"/>
        </w:rPr>
      </w:pPr>
    </w:p>
    <w:p w14:paraId="3CBD85B4" w14:textId="77777777" w:rsidR="00B41180" w:rsidRDefault="00B41180">
      <w:pPr>
        <w:spacing w:line="360" w:lineRule="auto"/>
        <w:ind w:firstLine="1"/>
        <w:jc w:val="both"/>
        <w:rPr>
          <w:rFonts w:ascii="Palatino Linotype" w:eastAsia="Palatino Linotype" w:hAnsi="Palatino Linotype" w:cs="Palatino Linotype"/>
        </w:rPr>
      </w:pPr>
    </w:p>
    <w:p w14:paraId="3CBD85B5" w14:textId="77777777" w:rsidR="00B41180" w:rsidRDefault="00B41180">
      <w:pPr>
        <w:spacing w:line="360" w:lineRule="auto"/>
        <w:ind w:firstLine="1"/>
        <w:jc w:val="both"/>
        <w:rPr>
          <w:rFonts w:ascii="Palatino Linotype" w:eastAsia="Palatino Linotype" w:hAnsi="Palatino Linotype" w:cs="Palatino Linotype"/>
        </w:rPr>
      </w:pPr>
    </w:p>
    <w:p w14:paraId="3CBD85B6" w14:textId="77777777" w:rsidR="00B41180" w:rsidRDefault="00B41180">
      <w:pPr>
        <w:spacing w:line="360" w:lineRule="auto"/>
        <w:ind w:firstLine="1"/>
        <w:jc w:val="both"/>
        <w:rPr>
          <w:rFonts w:ascii="Palatino Linotype" w:eastAsia="Palatino Linotype" w:hAnsi="Palatino Linotype" w:cs="Palatino Linotype"/>
        </w:rPr>
      </w:pPr>
    </w:p>
    <w:p w14:paraId="3CBD85B7" w14:textId="77777777" w:rsidR="00B41180" w:rsidRDefault="00B41180">
      <w:pPr>
        <w:spacing w:line="360" w:lineRule="auto"/>
        <w:ind w:firstLine="1"/>
        <w:jc w:val="both"/>
        <w:rPr>
          <w:rFonts w:ascii="Palatino Linotype" w:eastAsia="Palatino Linotype" w:hAnsi="Palatino Linotype" w:cs="Palatino Linotype"/>
        </w:rPr>
      </w:pPr>
    </w:p>
    <w:p w14:paraId="3CBD85B8" w14:textId="77777777" w:rsidR="00B41180" w:rsidRDefault="00B41180">
      <w:pPr>
        <w:spacing w:line="360" w:lineRule="auto"/>
        <w:ind w:firstLine="1"/>
        <w:jc w:val="both"/>
        <w:rPr>
          <w:rFonts w:ascii="Palatino Linotype" w:eastAsia="Palatino Linotype" w:hAnsi="Palatino Linotype" w:cs="Palatino Linotype"/>
        </w:rPr>
      </w:pPr>
    </w:p>
    <w:p w14:paraId="3CBD85B9" w14:textId="77777777" w:rsidR="00B41180" w:rsidRDefault="00B41180">
      <w:pPr>
        <w:spacing w:line="360" w:lineRule="auto"/>
        <w:ind w:firstLine="1"/>
        <w:jc w:val="both"/>
        <w:rPr>
          <w:rFonts w:ascii="Palatino Linotype" w:eastAsia="Palatino Linotype" w:hAnsi="Palatino Linotype" w:cs="Palatino Linotype"/>
        </w:rPr>
      </w:pPr>
    </w:p>
    <w:p w14:paraId="3CBD85BA" w14:textId="77777777" w:rsidR="00B41180" w:rsidRDefault="00B41180">
      <w:pPr>
        <w:spacing w:line="360" w:lineRule="auto"/>
        <w:ind w:firstLine="1"/>
        <w:jc w:val="both"/>
        <w:rPr>
          <w:rFonts w:ascii="Palatino Linotype" w:eastAsia="Palatino Linotype" w:hAnsi="Palatino Linotype" w:cs="Palatino Linotype"/>
        </w:rPr>
      </w:pPr>
    </w:p>
    <w:p w14:paraId="3CBD85BB" w14:textId="77777777" w:rsidR="00B41180" w:rsidRDefault="00B41180">
      <w:pPr>
        <w:spacing w:line="360" w:lineRule="auto"/>
        <w:ind w:firstLine="1"/>
        <w:jc w:val="both"/>
        <w:rPr>
          <w:rFonts w:ascii="Palatino Linotype" w:eastAsia="Palatino Linotype" w:hAnsi="Palatino Linotype" w:cs="Palatino Linotype"/>
        </w:rPr>
      </w:pPr>
    </w:p>
    <w:p w14:paraId="3CBD85BC" w14:textId="77777777" w:rsidR="00B41180" w:rsidRDefault="00B41180">
      <w:pPr>
        <w:spacing w:line="360" w:lineRule="auto"/>
        <w:ind w:firstLine="1"/>
        <w:jc w:val="both"/>
        <w:rPr>
          <w:rFonts w:ascii="Palatino Linotype" w:eastAsia="Palatino Linotype" w:hAnsi="Palatino Linotype" w:cs="Palatino Linotype"/>
        </w:rPr>
      </w:pPr>
    </w:p>
    <w:p w14:paraId="3CBD85BD" w14:textId="77777777" w:rsidR="00B41180" w:rsidRDefault="00B41180">
      <w:pPr>
        <w:spacing w:line="360" w:lineRule="auto"/>
        <w:jc w:val="both"/>
        <w:rPr>
          <w:rFonts w:ascii="Palatino Linotype" w:eastAsia="Palatino Linotype" w:hAnsi="Palatino Linotype" w:cs="Palatino Linotype"/>
        </w:rPr>
      </w:pPr>
    </w:p>
    <w:p w14:paraId="3CBD85BE" w14:textId="77777777" w:rsidR="00B41180" w:rsidRDefault="00B41180">
      <w:pPr>
        <w:spacing w:line="360" w:lineRule="auto"/>
        <w:jc w:val="both"/>
        <w:rPr>
          <w:rFonts w:ascii="Palatino Linotype" w:eastAsia="Palatino Linotype" w:hAnsi="Palatino Linotype" w:cs="Palatino Linotype"/>
        </w:rPr>
      </w:pPr>
    </w:p>
    <w:p w14:paraId="3CBD85BF" w14:textId="77777777" w:rsidR="00B41180" w:rsidRDefault="00B41180">
      <w:pPr>
        <w:spacing w:line="360" w:lineRule="auto"/>
        <w:jc w:val="both"/>
        <w:rPr>
          <w:rFonts w:ascii="Palatino Linotype" w:eastAsia="Palatino Linotype" w:hAnsi="Palatino Linotype" w:cs="Palatino Linotype"/>
        </w:rPr>
      </w:pPr>
    </w:p>
    <w:p w14:paraId="3CBD85C0" w14:textId="77777777" w:rsidR="00B41180" w:rsidRDefault="00B41180">
      <w:pPr>
        <w:spacing w:line="360" w:lineRule="auto"/>
        <w:jc w:val="both"/>
        <w:rPr>
          <w:rFonts w:ascii="Palatino Linotype" w:eastAsia="Palatino Linotype" w:hAnsi="Palatino Linotype" w:cs="Palatino Linotype"/>
        </w:rPr>
      </w:pPr>
    </w:p>
    <w:p w14:paraId="3CBD85C1" w14:textId="77777777" w:rsidR="00B41180" w:rsidRDefault="00B41180">
      <w:pPr>
        <w:spacing w:line="360" w:lineRule="auto"/>
        <w:jc w:val="both"/>
        <w:rPr>
          <w:rFonts w:ascii="Palatino Linotype" w:eastAsia="Palatino Linotype" w:hAnsi="Palatino Linotype" w:cs="Palatino Linotype"/>
        </w:rPr>
      </w:pPr>
    </w:p>
    <w:p w14:paraId="3CBD85C2" w14:textId="77777777" w:rsidR="00B41180" w:rsidRDefault="00B41180">
      <w:pPr>
        <w:spacing w:line="360" w:lineRule="auto"/>
        <w:jc w:val="both"/>
        <w:rPr>
          <w:rFonts w:ascii="Palatino Linotype" w:eastAsia="Palatino Linotype" w:hAnsi="Palatino Linotype" w:cs="Palatino Linotype"/>
        </w:rPr>
      </w:pPr>
    </w:p>
    <w:p w14:paraId="3CBD85C3" w14:textId="77777777" w:rsidR="00B41180" w:rsidRDefault="00B41180">
      <w:pPr>
        <w:spacing w:line="360" w:lineRule="auto"/>
        <w:rPr>
          <w:rFonts w:ascii="Palatino Linotype" w:eastAsia="Palatino Linotype" w:hAnsi="Palatino Linotype" w:cs="Palatino Linotype"/>
        </w:rPr>
      </w:pPr>
    </w:p>
    <w:p w14:paraId="3CBD85C4" w14:textId="77777777" w:rsidR="00B41180" w:rsidRDefault="00B41180">
      <w:pPr>
        <w:spacing w:line="360" w:lineRule="auto"/>
        <w:rPr>
          <w:rFonts w:ascii="Palatino Linotype" w:eastAsia="Palatino Linotype" w:hAnsi="Palatino Linotype" w:cs="Palatino Linotype"/>
        </w:rPr>
      </w:pPr>
    </w:p>
    <w:p w14:paraId="3CBD85C5" w14:textId="77777777" w:rsidR="00B41180" w:rsidRDefault="00B41180">
      <w:pPr>
        <w:spacing w:line="360" w:lineRule="auto"/>
        <w:rPr>
          <w:rFonts w:ascii="Palatino Linotype" w:eastAsia="Palatino Linotype" w:hAnsi="Palatino Linotype" w:cs="Palatino Linotype"/>
        </w:rPr>
      </w:pPr>
    </w:p>
    <w:p w14:paraId="3CBD85C6" w14:textId="77777777" w:rsidR="00B41180" w:rsidRDefault="00B41180">
      <w:pPr>
        <w:spacing w:line="360" w:lineRule="auto"/>
        <w:rPr>
          <w:rFonts w:ascii="Palatino Linotype" w:eastAsia="Palatino Linotype" w:hAnsi="Palatino Linotype" w:cs="Palatino Linotype"/>
        </w:rPr>
      </w:pPr>
    </w:p>
    <w:p w14:paraId="3CBD85C7" w14:textId="77777777" w:rsidR="00B41180" w:rsidRDefault="00B41180">
      <w:pPr>
        <w:spacing w:line="360" w:lineRule="auto"/>
        <w:rPr>
          <w:rFonts w:ascii="Palatino Linotype" w:eastAsia="Palatino Linotype" w:hAnsi="Palatino Linotype" w:cs="Palatino Linotype"/>
        </w:rPr>
      </w:pPr>
    </w:p>
    <w:p w14:paraId="3CBD85C8" w14:textId="77777777" w:rsidR="00B41180" w:rsidRDefault="00B41180">
      <w:pPr>
        <w:spacing w:line="360" w:lineRule="auto"/>
        <w:rPr>
          <w:rFonts w:ascii="Palatino Linotype" w:eastAsia="Palatino Linotype" w:hAnsi="Palatino Linotype" w:cs="Palatino Linotype"/>
        </w:rPr>
      </w:pPr>
    </w:p>
    <w:p w14:paraId="3CBD85C9" w14:textId="77777777" w:rsidR="00B41180" w:rsidRDefault="00B41180">
      <w:pPr>
        <w:spacing w:line="360" w:lineRule="auto"/>
        <w:rPr>
          <w:rFonts w:ascii="Palatino Linotype" w:eastAsia="Palatino Linotype" w:hAnsi="Palatino Linotype" w:cs="Palatino Linotype"/>
        </w:rPr>
      </w:pPr>
    </w:p>
    <w:p w14:paraId="3CBD85CA" w14:textId="77777777" w:rsidR="00B41180" w:rsidRDefault="008A73A5">
      <w:pPr>
        <w:tabs>
          <w:tab w:val="left" w:pos="3374"/>
        </w:tabs>
        <w:spacing w:line="360" w:lineRule="auto"/>
        <w:rPr>
          <w:rFonts w:ascii="Palatino Linotype" w:eastAsia="Palatino Linotype" w:hAnsi="Palatino Linotype" w:cs="Palatino Linotype"/>
        </w:rPr>
      </w:pPr>
      <w:r>
        <w:rPr>
          <w:rFonts w:ascii="Palatino Linotype" w:eastAsia="Palatino Linotype" w:hAnsi="Palatino Linotype" w:cs="Palatino Linotype"/>
        </w:rPr>
        <w:tab/>
      </w:r>
    </w:p>
    <w:p w14:paraId="3CBD85CB" w14:textId="77777777" w:rsidR="00B41180" w:rsidRDefault="00B41180">
      <w:pPr>
        <w:tabs>
          <w:tab w:val="left" w:pos="3374"/>
        </w:tabs>
        <w:spacing w:line="360" w:lineRule="auto"/>
        <w:rPr>
          <w:rFonts w:ascii="Palatino Linotype" w:eastAsia="Palatino Linotype" w:hAnsi="Palatino Linotype" w:cs="Palatino Linotype"/>
        </w:rPr>
      </w:pPr>
    </w:p>
    <w:p w14:paraId="3CBD85CC" w14:textId="77777777" w:rsidR="00B41180" w:rsidRDefault="00B41180">
      <w:pPr>
        <w:tabs>
          <w:tab w:val="left" w:pos="3374"/>
        </w:tabs>
        <w:spacing w:line="360" w:lineRule="auto"/>
        <w:rPr>
          <w:rFonts w:ascii="Palatino Linotype" w:eastAsia="Palatino Linotype" w:hAnsi="Palatino Linotype" w:cs="Palatino Linotype"/>
        </w:rPr>
      </w:pPr>
    </w:p>
    <w:sectPr w:rsidR="00B41180">
      <w:headerReference w:type="even" r:id="rId8"/>
      <w:headerReference w:type="default" r:id="rId9"/>
      <w:footerReference w:type="default" r:id="rId10"/>
      <w:headerReference w:type="first" r:id="rId11"/>
      <w:footerReference w:type="first" r:id="rId12"/>
      <w:pgSz w:w="12240" w:h="15840"/>
      <w:pgMar w:top="2268" w:right="1701" w:bottom="1702"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F6FF1" w14:textId="77777777" w:rsidR="000854BB" w:rsidRDefault="000854BB">
      <w:r>
        <w:separator/>
      </w:r>
    </w:p>
  </w:endnote>
  <w:endnote w:type="continuationSeparator" w:id="0">
    <w:p w14:paraId="0A95EF1D" w14:textId="77777777" w:rsidR="000854BB" w:rsidRDefault="00085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embedRegular r:id="rId1" w:fontKey="{A5050B86-D74E-49F0-A199-BC43C47F1094}"/>
    <w:embedBold r:id="rId2" w:fontKey="{28289EF2-9D03-461C-AD58-8BEE6D8F5528}"/>
    <w:embedItalic r:id="rId3" w:fontKey="{60932937-CBC2-4C0B-9C36-E73A26E688F9}"/>
    <w:embedBoldItalic r:id="rId4" w:fontKey="{6BD99714-08CE-419C-B0E8-88986C5D5275}"/>
  </w:font>
  <w:font w:name="Noto Sans Symbols">
    <w:altName w:val="Times New Roman"/>
    <w:charset w:val="00"/>
    <w:family w:val="auto"/>
    <w:pitch w:val="default"/>
    <w:embedRegular r:id="rId5" w:fontKey="{56DB5DF3-CC09-4A83-8FAE-6D72024D483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47B2AA88-89E6-42D0-989F-C2E488FC16EE}"/>
    <w:embedBold r:id="rId7" w:fontKey="{E08702DB-2FB3-447C-99AC-60B1227B821A}"/>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092DD040-EA13-4985-A929-047BCDBDD532}"/>
  </w:font>
  <w:font w:name="Century Gothic">
    <w:panose1 w:val="020B0502020202020204"/>
    <w:charset w:val="00"/>
    <w:family w:val="swiss"/>
    <w:pitch w:val="variable"/>
    <w:sig w:usb0="00000287" w:usb1="00000000" w:usb2="00000000" w:usb3="00000000" w:csb0="0000009F" w:csb1="00000000"/>
    <w:embedRegular r:id="rId9" w:fontKey="{FE8B44E0-679A-4B51-96E9-3412DBD7D5E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36E35EBD-B622-477A-9CE4-F75670B2D14C}"/>
    <w:embedItalic r:id="rId11" w:fontKey="{BD5499F8-5D63-47AC-83B9-3F87531BD91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D85D9" w14:textId="37AAF6C0" w:rsidR="00B41180" w:rsidRDefault="008A73A5">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E24433">
      <w:rPr>
        <w:rFonts w:ascii="Palatino Linotype" w:eastAsia="Palatino Linotype" w:hAnsi="Palatino Linotype" w:cs="Palatino Linotype"/>
        <w:noProof/>
        <w:color w:val="000000"/>
        <w:sz w:val="20"/>
        <w:szCs w:val="20"/>
      </w:rPr>
      <w:t>24</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E24433">
      <w:rPr>
        <w:rFonts w:ascii="Palatino Linotype" w:eastAsia="Palatino Linotype" w:hAnsi="Palatino Linotype" w:cs="Palatino Linotype"/>
        <w:noProof/>
        <w:color w:val="000000"/>
        <w:sz w:val="20"/>
        <w:szCs w:val="20"/>
      </w:rPr>
      <w:t>36</w:t>
    </w:r>
    <w:r>
      <w:rPr>
        <w:rFonts w:ascii="Palatino Linotype" w:eastAsia="Palatino Linotype" w:hAnsi="Palatino Linotype" w:cs="Palatino Linotype"/>
        <w:color w:val="000000"/>
        <w:sz w:val="20"/>
        <w:szCs w:val="20"/>
      </w:rPr>
      <w:fldChar w:fldCharType="end"/>
    </w:r>
  </w:p>
  <w:p w14:paraId="3CBD85DA" w14:textId="77777777" w:rsidR="00B41180" w:rsidRDefault="00B41180">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D85E9" w14:textId="0DCE36F6" w:rsidR="00B41180" w:rsidRDefault="008A73A5">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E24433">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E24433">
      <w:rPr>
        <w:rFonts w:ascii="Palatino Linotype" w:eastAsia="Palatino Linotype" w:hAnsi="Palatino Linotype" w:cs="Palatino Linotype"/>
        <w:noProof/>
        <w:color w:val="000000"/>
        <w:sz w:val="20"/>
        <w:szCs w:val="20"/>
      </w:rPr>
      <w:t>36</w:t>
    </w:r>
    <w:r>
      <w:rPr>
        <w:rFonts w:ascii="Palatino Linotype" w:eastAsia="Palatino Linotype" w:hAnsi="Palatino Linotype" w:cs="Palatino Linotype"/>
        <w:color w:val="000000"/>
        <w:sz w:val="20"/>
        <w:szCs w:val="20"/>
      </w:rPr>
      <w:fldChar w:fldCharType="end"/>
    </w:r>
  </w:p>
  <w:p w14:paraId="3CBD85EA" w14:textId="77777777" w:rsidR="00B41180" w:rsidRDefault="00B41180">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E58100" w14:textId="77777777" w:rsidR="000854BB" w:rsidRDefault="000854BB">
      <w:r>
        <w:separator/>
      </w:r>
    </w:p>
  </w:footnote>
  <w:footnote w:type="continuationSeparator" w:id="0">
    <w:p w14:paraId="1E0CE150" w14:textId="77777777" w:rsidR="000854BB" w:rsidRDefault="000854BB">
      <w:r>
        <w:continuationSeparator/>
      </w:r>
    </w:p>
  </w:footnote>
  <w:footnote w:id="1">
    <w:p w14:paraId="3CBD85EE" w14:textId="77777777" w:rsidR="00B41180" w:rsidRDefault="008A73A5">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w:t>
      </w:r>
      <w:r>
        <w:rPr>
          <w:rFonts w:ascii="Palatino Linotype" w:eastAsia="Palatino Linotype" w:hAnsi="Palatino Linotype" w:cs="Palatino Linotype"/>
          <w:color w:val="000000"/>
          <w:sz w:val="16"/>
          <w:szCs w:val="16"/>
        </w:rPr>
        <w:t xml:space="preserve">BURGOA ORIHUELA Ignacio. </w:t>
      </w:r>
      <w:r>
        <w:rPr>
          <w:rFonts w:ascii="Palatino Linotype" w:eastAsia="Palatino Linotype" w:hAnsi="Palatino Linotype" w:cs="Palatino Linotype"/>
          <w:i/>
          <w:color w:val="000000"/>
          <w:sz w:val="16"/>
          <w:szCs w:val="16"/>
        </w:rPr>
        <w:t>Diccionario De Derecho Constitucional, Garantías y Amparo</w:t>
      </w:r>
      <w:r>
        <w:rPr>
          <w:rFonts w:ascii="Palatino Linotype" w:eastAsia="Palatino Linotype" w:hAnsi="Palatino Linotype" w:cs="Palatino Linotype"/>
          <w:color w:val="000000"/>
          <w:sz w:val="16"/>
          <w:szCs w:val="16"/>
        </w:rPr>
        <w:t>. Ed. Porrúa, S.A., México. 1992. p. 115.</w:t>
      </w:r>
    </w:p>
  </w:footnote>
  <w:footnote w:id="2">
    <w:p w14:paraId="3CBD85EF" w14:textId="77777777" w:rsidR="00B41180" w:rsidRDefault="008A73A5">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w:t>
      </w:r>
      <w:r>
        <w:rPr>
          <w:rFonts w:ascii="Palatino Linotype" w:eastAsia="Palatino Linotype" w:hAnsi="Palatino Linotype" w:cs="Palatino Linotype"/>
          <w:color w:val="000000"/>
          <w:sz w:val="16"/>
          <w:szCs w:val="16"/>
        </w:rPr>
        <w:t xml:space="preserve">CIENFUEGOS SALGADO David. </w:t>
      </w:r>
      <w:r>
        <w:rPr>
          <w:rFonts w:ascii="Palatino Linotype" w:eastAsia="Palatino Linotype" w:hAnsi="Palatino Linotype" w:cs="Palatino Linotype"/>
          <w:i/>
          <w:color w:val="000000"/>
          <w:sz w:val="16"/>
          <w:szCs w:val="16"/>
        </w:rPr>
        <w:t xml:space="preserve">El Derecho de Petición en México. </w:t>
      </w:r>
      <w:r>
        <w:rPr>
          <w:rFonts w:ascii="Palatino Linotype" w:eastAsia="Palatino Linotype" w:hAnsi="Palatino Linotype" w:cs="Palatino Linotype"/>
          <w:color w:val="000000"/>
          <w:sz w:val="16"/>
          <w:szCs w:val="16"/>
        </w:rPr>
        <w:t>Ed. Instituto de Investigaciones Jurídica UNAM. México 2004. p. 31</w:t>
      </w:r>
    </w:p>
  </w:footnote>
  <w:footnote w:id="3">
    <w:p w14:paraId="3CBD85F0" w14:textId="77777777" w:rsidR="00B41180" w:rsidRDefault="008A73A5">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w:t>
      </w:r>
      <w:r>
        <w:rPr>
          <w:rFonts w:ascii="Palatino Linotype" w:eastAsia="Palatino Linotype" w:hAnsi="Palatino Linotype" w:cs="Palatino Linotype"/>
          <w:color w:val="000000"/>
          <w:sz w:val="16"/>
          <w:szCs w:val="16"/>
        </w:rPr>
        <w:t xml:space="preserve">ROBLES HERNÁNDEZ José Guadalupe. </w:t>
      </w:r>
      <w:r>
        <w:rPr>
          <w:rFonts w:ascii="Palatino Linotype" w:eastAsia="Palatino Linotype" w:hAnsi="Palatino Linotype" w:cs="Palatino Linotype"/>
          <w:i/>
          <w:color w:val="000000"/>
          <w:sz w:val="16"/>
          <w:szCs w:val="16"/>
        </w:rPr>
        <w:t xml:space="preserve">Derecho de la Información y Comunicación Pública. </w:t>
      </w:r>
      <w:r>
        <w:rPr>
          <w:rFonts w:ascii="Palatino Linotype" w:eastAsia="Palatino Linotype" w:hAnsi="Palatino Linotype" w:cs="Palatino Linotype"/>
          <w:color w:val="000000"/>
          <w:sz w:val="16"/>
          <w:szCs w:val="16"/>
        </w:rPr>
        <w:t>Ed. Universidad de Occidente. México. 2004, p. 72</w:t>
      </w:r>
    </w:p>
  </w:footnote>
  <w:footnote w:id="4">
    <w:p w14:paraId="3CBD85F1" w14:textId="77777777" w:rsidR="00B41180" w:rsidRDefault="008A73A5">
      <w:pPr>
        <w:pBdr>
          <w:top w:val="nil"/>
          <w:left w:val="nil"/>
          <w:bottom w:val="nil"/>
          <w:right w:val="nil"/>
          <w:between w:val="nil"/>
        </w:pBdr>
        <w:rPr>
          <w:rFonts w:eastAsia="Calibri"/>
          <w:color w:val="000000"/>
          <w:sz w:val="20"/>
          <w:szCs w:val="20"/>
        </w:rPr>
      </w:pPr>
      <w:r>
        <w:rPr>
          <w:vertAlign w:val="superscript"/>
        </w:rPr>
        <w:footnoteRef/>
      </w:r>
      <w:r>
        <w:rPr>
          <w:rFonts w:eastAsia="Calibri"/>
          <w:color w:val="000000"/>
          <w:sz w:val="20"/>
          <w:szCs w:val="20"/>
        </w:rPr>
        <w:t xml:space="preserve"> </w:t>
      </w:r>
      <w:r>
        <w:rPr>
          <w:rFonts w:ascii="Palatino Linotype" w:eastAsia="Palatino Linotype" w:hAnsi="Palatino Linotype" w:cs="Palatino Linotype"/>
          <w:color w:val="000000"/>
          <w:sz w:val="16"/>
          <w:szCs w:val="16"/>
        </w:rPr>
        <w:t>VILLANUEVA VILLANUEVA Ernesto. Derecho de la Información, Ed. Porrúa. S.A., México. 2006. p. 270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D85CD" w14:textId="77777777" w:rsidR="00B41180" w:rsidRDefault="000854BB">
    <w:pPr>
      <w:pBdr>
        <w:top w:val="nil"/>
        <w:left w:val="nil"/>
        <w:bottom w:val="nil"/>
        <w:right w:val="nil"/>
        <w:between w:val="nil"/>
      </w:pBdr>
      <w:tabs>
        <w:tab w:val="center" w:pos="4419"/>
        <w:tab w:val="right" w:pos="8838"/>
      </w:tabs>
      <w:rPr>
        <w:color w:val="000000"/>
      </w:rPr>
    </w:pPr>
    <w:r>
      <w:rPr>
        <w:color w:val="000000"/>
      </w:rPr>
      <w:pict w14:anchorId="3CBD85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D85CE" w14:textId="77777777" w:rsidR="00B41180" w:rsidRDefault="00B41180">
    <w:pPr>
      <w:widowControl w:val="0"/>
      <w:pBdr>
        <w:top w:val="nil"/>
        <w:left w:val="nil"/>
        <w:bottom w:val="nil"/>
        <w:right w:val="nil"/>
        <w:between w:val="nil"/>
      </w:pBdr>
      <w:spacing w:line="276" w:lineRule="auto"/>
      <w:rPr>
        <w:color w:val="000000"/>
      </w:rPr>
    </w:pPr>
  </w:p>
  <w:tbl>
    <w:tblPr>
      <w:tblStyle w:val="a"/>
      <w:tblW w:w="6519" w:type="dxa"/>
      <w:tblInd w:w="2694" w:type="dxa"/>
      <w:tblLayout w:type="fixed"/>
      <w:tblLook w:val="0400" w:firstRow="0" w:lastRow="0" w:firstColumn="0" w:lastColumn="0" w:noHBand="0" w:noVBand="1"/>
    </w:tblPr>
    <w:tblGrid>
      <w:gridCol w:w="2976"/>
      <w:gridCol w:w="3543"/>
    </w:tblGrid>
    <w:tr w:rsidR="00B41180" w14:paraId="3CBD85D1" w14:textId="77777777">
      <w:trPr>
        <w:trHeight w:val="227"/>
      </w:trPr>
      <w:tc>
        <w:tcPr>
          <w:tcW w:w="2976" w:type="dxa"/>
          <w:vAlign w:val="center"/>
        </w:tcPr>
        <w:p w14:paraId="3CBD85CF" w14:textId="77777777" w:rsidR="00B41180" w:rsidRDefault="008A73A5">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vAlign w:val="center"/>
        </w:tcPr>
        <w:p w14:paraId="3CBD85D0" w14:textId="77777777" w:rsidR="00B41180" w:rsidRDefault="008A73A5">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01863/INFOEM/IP/RR/2024</w:t>
          </w:r>
        </w:p>
      </w:tc>
    </w:tr>
    <w:tr w:rsidR="00B41180" w14:paraId="3CBD85D4" w14:textId="77777777">
      <w:trPr>
        <w:trHeight w:val="242"/>
      </w:trPr>
      <w:tc>
        <w:tcPr>
          <w:tcW w:w="2976" w:type="dxa"/>
          <w:vAlign w:val="center"/>
        </w:tcPr>
        <w:p w14:paraId="3CBD85D2" w14:textId="77777777" w:rsidR="00B41180" w:rsidRDefault="008A73A5">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vAlign w:val="center"/>
        </w:tcPr>
        <w:p w14:paraId="3CBD85D3" w14:textId="77777777" w:rsidR="00B41180" w:rsidRDefault="008A73A5">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Organismo Público Descentralizado para la Prestación de Los Servicios de Agua Potable Alcantarillado y Saneamiento de Atizapán de Zaragoza por sus siglas S.A.P.A.S.A.</w:t>
          </w:r>
        </w:p>
      </w:tc>
    </w:tr>
    <w:tr w:rsidR="00B41180" w14:paraId="3CBD85D7" w14:textId="77777777">
      <w:trPr>
        <w:trHeight w:val="342"/>
      </w:trPr>
      <w:tc>
        <w:tcPr>
          <w:tcW w:w="2976" w:type="dxa"/>
          <w:vAlign w:val="center"/>
        </w:tcPr>
        <w:p w14:paraId="3CBD85D5" w14:textId="77777777" w:rsidR="00B41180" w:rsidRDefault="008A73A5">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3" w:type="dxa"/>
          <w:vAlign w:val="center"/>
        </w:tcPr>
        <w:p w14:paraId="3CBD85D6" w14:textId="77777777" w:rsidR="00B41180" w:rsidRDefault="008A73A5">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3CBD85D8" w14:textId="77777777" w:rsidR="00B41180" w:rsidRDefault="000854BB">
    <w:pPr>
      <w:rPr>
        <w:color w:val="000000"/>
        <w:sz w:val="14"/>
        <w:szCs w:val="14"/>
      </w:rPr>
    </w:pPr>
    <w:r>
      <w:rPr>
        <w:color w:val="000000"/>
        <w:sz w:val="14"/>
        <w:szCs w:val="14"/>
      </w:rPr>
      <w:pict w14:anchorId="3CBD85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82.3pt;margin-top:-110.1pt;width:609.4pt;height:793.75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D85DB" w14:textId="77777777" w:rsidR="00B41180" w:rsidRDefault="00B41180">
    <w:pPr>
      <w:widowControl w:val="0"/>
      <w:pBdr>
        <w:top w:val="nil"/>
        <w:left w:val="nil"/>
        <w:bottom w:val="nil"/>
        <w:right w:val="nil"/>
        <w:between w:val="nil"/>
      </w:pBdr>
      <w:spacing w:line="276" w:lineRule="auto"/>
      <w:rPr>
        <w:color w:val="000000"/>
        <w:sz w:val="14"/>
        <w:szCs w:val="14"/>
      </w:rPr>
    </w:pPr>
  </w:p>
  <w:tbl>
    <w:tblPr>
      <w:tblStyle w:val="a0"/>
      <w:tblW w:w="6660" w:type="dxa"/>
      <w:tblInd w:w="2552" w:type="dxa"/>
      <w:tblLayout w:type="fixed"/>
      <w:tblLook w:val="0400" w:firstRow="0" w:lastRow="0" w:firstColumn="0" w:lastColumn="0" w:noHBand="0" w:noVBand="1"/>
    </w:tblPr>
    <w:tblGrid>
      <w:gridCol w:w="2977"/>
      <w:gridCol w:w="3683"/>
    </w:tblGrid>
    <w:tr w:rsidR="00B41180" w14:paraId="3CBD85DE" w14:textId="77777777">
      <w:trPr>
        <w:trHeight w:val="227"/>
      </w:trPr>
      <w:tc>
        <w:tcPr>
          <w:tcW w:w="2977" w:type="dxa"/>
          <w:vAlign w:val="center"/>
        </w:tcPr>
        <w:p w14:paraId="3CBD85DC" w14:textId="77777777" w:rsidR="00B41180" w:rsidRDefault="008A73A5">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3" w:type="dxa"/>
          <w:vAlign w:val="center"/>
        </w:tcPr>
        <w:p w14:paraId="3CBD85DD" w14:textId="77777777" w:rsidR="00B41180" w:rsidRDefault="008A73A5">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01863/INFOEM/IP/RR/2024</w:t>
          </w:r>
        </w:p>
      </w:tc>
    </w:tr>
    <w:tr w:rsidR="00B41180" w14:paraId="3CBD85E1" w14:textId="77777777">
      <w:trPr>
        <w:trHeight w:val="242"/>
      </w:trPr>
      <w:tc>
        <w:tcPr>
          <w:tcW w:w="2977" w:type="dxa"/>
          <w:vAlign w:val="center"/>
        </w:tcPr>
        <w:p w14:paraId="3CBD85DF" w14:textId="77777777" w:rsidR="00B41180" w:rsidRDefault="008A73A5">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3" w:type="dxa"/>
        </w:tcPr>
        <w:p w14:paraId="3CBD85E0" w14:textId="40CBB8C0" w:rsidR="00B41180" w:rsidRDefault="00A5675B">
          <w:r>
            <w:rPr>
              <w:rFonts w:ascii="Palatino Linotype" w:eastAsia="Palatino Linotype" w:hAnsi="Palatino Linotype" w:cs="Palatino Linotype"/>
              <w:color w:val="000000"/>
              <w:sz w:val="22"/>
              <w:szCs w:val="22"/>
            </w:rPr>
            <w:t>XXX XXX</w:t>
          </w:r>
        </w:p>
      </w:tc>
    </w:tr>
    <w:tr w:rsidR="00B41180" w14:paraId="3CBD85E4" w14:textId="77777777">
      <w:trPr>
        <w:trHeight w:val="342"/>
      </w:trPr>
      <w:tc>
        <w:tcPr>
          <w:tcW w:w="2977" w:type="dxa"/>
          <w:vAlign w:val="center"/>
        </w:tcPr>
        <w:p w14:paraId="3CBD85E2" w14:textId="77777777" w:rsidR="00B41180" w:rsidRDefault="008A73A5">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3" w:type="dxa"/>
          <w:vAlign w:val="center"/>
        </w:tcPr>
        <w:p w14:paraId="3CBD85E3" w14:textId="77777777" w:rsidR="00B41180" w:rsidRDefault="008A73A5">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Organismo Público Descentralizado para la Prestación de Los Servicios de Agua Potable Alcantarillado y Saneamiento de Atizapán de Zaragoza por sus siglas S.A.P.A.S.A.</w:t>
          </w:r>
        </w:p>
      </w:tc>
    </w:tr>
    <w:tr w:rsidR="00B41180" w14:paraId="3CBD85E7" w14:textId="77777777">
      <w:trPr>
        <w:trHeight w:val="342"/>
      </w:trPr>
      <w:tc>
        <w:tcPr>
          <w:tcW w:w="2977" w:type="dxa"/>
          <w:vAlign w:val="center"/>
        </w:tcPr>
        <w:p w14:paraId="3CBD85E5" w14:textId="77777777" w:rsidR="00B41180" w:rsidRDefault="008A73A5">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3" w:type="dxa"/>
          <w:vAlign w:val="center"/>
        </w:tcPr>
        <w:p w14:paraId="3CBD85E6" w14:textId="77777777" w:rsidR="00B41180" w:rsidRDefault="008A73A5">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3CBD85E8" w14:textId="77777777" w:rsidR="00B41180" w:rsidRDefault="000854BB">
    <w:pPr>
      <w:pBdr>
        <w:top w:val="nil"/>
        <w:left w:val="nil"/>
        <w:bottom w:val="nil"/>
        <w:right w:val="nil"/>
        <w:between w:val="nil"/>
      </w:pBdr>
      <w:tabs>
        <w:tab w:val="center" w:pos="4419"/>
        <w:tab w:val="right" w:pos="8838"/>
      </w:tabs>
      <w:rPr>
        <w:color w:val="000000"/>
        <w:sz w:val="16"/>
        <w:szCs w:val="16"/>
      </w:rPr>
    </w:pPr>
    <w:r>
      <w:rPr>
        <w:color w:val="000000"/>
        <w:sz w:val="16"/>
        <w:szCs w:val="16"/>
      </w:rPr>
      <w:pict w14:anchorId="3CBD85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263E4"/>
    <w:multiLevelType w:val="multilevel"/>
    <w:tmpl w:val="FFB464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F8370B"/>
    <w:multiLevelType w:val="multilevel"/>
    <w:tmpl w:val="A1DE6C72"/>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2F458B6"/>
    <w:multiLevelType w:val="multilevel"/>
    <w:tmpl w:val="F724ECEE"/>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BAC48DA"/>
    <w:multiLevelType w:val="multilevel"/>
    <w:tmpl w:val="440CE922"/>
    <w:lvl w:ilvl="0">
      <w:start w:val="1"/>
      <w:numFmt w:val="bullet"/>
      <w:lvlText w:val="●"/>
      <w:lvlJc w:val="left"/>
      <w:pPr>
        <w:ind w:left="851" w:hanging="360"/>
      </w:pPr>
      <w:rPr>
        <w:rFonts w:ascii="Noto Sans Symbols" w:eastAsia="Noto Sans Symbols" w:hAnsi="Noto Sans Symbols" w:cs="Noto Sans Symbols"/>
      </w:rPr>
    </w:lvl>
    <w:lvl w:ilvl="1">
      <w:start w:val="1"/>
      <w:numFmt w:val="bullet"/>
      <w:lvlText w:val="o"/>
      <w:lvlJc w:val="left"/>
      <w:pPr>
        <w:ind w:left="1571" w:hanging="360"/>
      </w:pPr>
      <w:rPr>
        <w:rFonts w:ascii="Courier New" w:eastAsia="Courier New" w:hAnsi="Courier New" w:cs="Courier New"/>
      </w:rPr>
    </w:lvl>
    <w:lvl w:ilvl="2">
      <w:start w:val="1"/>
      <w:numFmt w:val="bullet"/>
      <w:lvlText w:val="▪"/>
      <w:lvlJc w:val="left"/>
      <w:pPr>
        <w:ind w:left="2291" w:hanging="360"/>
      </w:pPr>
      <w:rPr>
        <w:rFonts w:ascii="Noto Sans Symbols" w:eastAsia="Noto Sans Symbols" w:hAnsi="Noto Sans Symbols" w:cs="Noto Sans Symbols"/>
      </w:rPr>
    </w:lvl>
    <w:lvl w:ilvl="3">
      <w:start w:val="1"/>
      <w:numFmt w:val="bullet"/>
      <w:lvlText w:val="●"/>
      <w:lvlJc w:val="left"/>
      <w:pPr>
        <w:ind w:left="3011" w:hanging="360"/>
      </w:pPr>
      <w:rPr>
        <w:rFonts w:ascii="Noto Sans Symbols" w:eastAsia="Noto Sans Symbols" w:hAnsi="Noto Sans Symbols" w:cs="Noto Sans Symbols"/>
      </w:rPr>
    </w:lvl>
    <w:lvl w:ilvl="4">
      <w:start w:val="1"/>
      <w:numFmt w:val="bullet"/>
      <w:lvlText w:val="o"/>
      <w:lvlJc w:val="left"/>
      <w:pPr>
        <w:ind w:left="3731" w:hanging="360"/>
      </w:pPr>
      <w:rPr>
        <w:rFonts w:ascii="Courier New" w:eastAsia="Courier New" w:hAnsi="Courier New" w:cs="Courier New"/>
      </w:rPr>
    </w:lvl>
    <w:lvl w:ilvl="5">
      <w:start w:val="1"/>
      <w:numFmt w:val="bullet"/>
      <w:lvlText w:val="▪"/>
      <w:lvlJc w:val="left"/>
      <w:pPr>
        <w:ind w:left="4451" w:hanging="360"/>
      </w:pPr>
      <w:rPr>
        <w:rFonts w:ascii="Noto Sans Symbols" w:eastAsia="Noto Sans Symbols" w:hAnsi="Noto Sans Symbols" w:cs="Noto Sans Symbols"/>
      </w:rPr>
    </w:lvl>
    <w:lvl w:ilvl="6">
      <w:start w:val="1"/>
      <w:numFmt w:val="bullet"/>
      <w:lvlText w:val="●"/>
      <w:lvlJc w:val="left"/>
      <w:pPr>
        <w:ind w:left="5171" w:hanging="360"/>
      </w:pPr>
      <w:rPr>
        <w:rFonts w:ascii="Noto Sans Symbols" w:eastAsia="Noto Sans Symbols" w:hAnsi="Noto Sans Symbols" w:cs="Noto Sans Symbols"/>
      </w:rPr>
    </w:lvl>
    <w:lvl w:ilvl="7">
      <w:start w:val="1"/>
      <w:numFmt w:val="bullet"/>
      <w:lvlText w:val="o"/>
      <w:lvlJc w:val="left"/>
      <w:pPr>
        <w:ind w:left="5891" w:hanging="360"/>
      </w:pPr>
      <w:rPr>
        <w:rFonts w:ascii="Courier New" w:eastAsia="Courier New" w:hAnsi="Courier New" w:cs="Courier New"/>
      </w:rPr>
    </w:lvl>
    <w:lvl w:ilvl="8">
      <w:start w:val="1"/>
      <w:numFmt w:val="bullet"/>
      <w:lvlText w:val="▪"/>
      <w:lvlJc w:val="left"/>
      <w:pPr>
        <w:ind w:left="6611" w:hanging="360"/>
      </w:pPr>
      <w:rPr>
        <w:rFonts w:ascii="Noto Sans Symbols" w:eastAsia="Noto Sans Symbols" w:hAnsi="Noto Sans Symbols" w:cs="Noto Sans Symbols"/>
      </w:rPr>
    </w:lvl>
  </w:abstractNum>
  <w:abstractNum w:abstractNumId="4" w15:restartNumberingAfterBreak="0">
    <w:nsid w:val="4D93451B"/>
    <w:multiLevelType w:val="multilevel"/>
    <w:tmpl w:val="C07848A2"/>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5" w15:restartNumberingAfterBreak="0">
    <w:nsid w:val="4EBE1859"/>
    <w:multiLevelType w:val="multilevel"/>
    <w:tmpl w:val="A496B82C"/>
    <w:lvl w:ilvl="0">
      <w:start w:val="1"/>
      <w:numFmt w:val="upperRoman"/>
      <w:lvlText w:val="%1."/>
      <w:lvlJc w:val="left"/>
      <w:pPr>
        <w:ind w:left="1138" w:hanging="185"/>
      </w:pPr>
      <w:rPr>
        <w:rFonts w:ascii="Palatino Linotype" w:eastAsia="Palatino Linotype" w:hAnsi="Palatino Linotype" w:cs="Palatino Linotype"/>
        <w:i/>
        <w:sz w:val="22"/>
        <w:szCs w:val="22"/>
      </w:rPr>
    </w:lvl>
    <w:lvl w:ilvl="1">
      <w:numFmt w:val="bullet"/>
      <w:lvlText w:val="•"/>
      <w:lvlJc w:val="left"/>
      <w:pPr>
        <w:ind w:left="1964" w:hanging="185"/>
      </w:pPr>
    </w:lvl>
    <w:lvl w:ilvl="2">
      <w:numFmt w:val="bullet"/>
      <w:lvlText w:val="•"/>
      <w:lvlJc w:val="left"/>
      <w:pPr>
        <w:ind w:left="2788" w:hanging="185"/>
      </w:pPr>
    </w:lvl>
    <w:lvl w:ilvl="3">
      <w:numFmt w:val="bullet"/>
      <w:lvlText w:val="•"/>
      <w:lvlJc w:val="left"/>
      <w:pPr>
        <w:ind w:left="3612" w:hanging="185"/>
      </w:pPr>
    </w:lvl>
    <w:lvl w:ilvl="4">
      <w:numFmt w:val="bullet"/>
      <w:lvlText w:val="•"/>
      <w:lvlJc w:val="left"/>
      <w:pPr>
        <w:ind w:left="4436" w:hanging="185"/>
      </w:pPr>
    </w:lvl>
    <w:lvl w:ilvl="5">
      <w:numFmt w:val="bullet"/>
      <w:lvlText w:val="•"/>
      <w:lvlJc w:val="left"/>
      <w:pPr>
        <w:ind w:left="5260" w:hanging="185"/>
      </w:pPr>
    </w:lvl>
    <w:lvl w:ilvl="6">
      <w:numFmt w:val="bullet"/>
      <w:lvlText w:val="•"/>
      <w:lvlJc w:val="left"/>
      <w:pPr>
        <w:ind w:left="6084" w:hanging="185"/>
      </w:pPr>
    </w:lvl>
    <w:lvl w:ilvl="7">
      <w:numFmt w:val="bullet"/>
      <w:lvlText w:val="•"/>
      <w:lvlJc w:val="left"/>
      <w:pPr>
        <w:ind w:left="6908" w:hanging="185"/>
      </w:pPr>
    </w:lvl>
    <w:lvl w:ilvl="8">
      <w:numFmt w:val="bullet"/>
      <w:lvlText w:val="•"/>
      <w:lvlJc w:val="left"/>
      <w:pPr>
        <w:ind w:left="7732" w:hanging="185"/>
      </w:pPr>
    </w:lvl>
  </w:abstractNum>
  <w:abstractNum w:abstractNumId="6" w15:restartNumberingAfterBreak="0">
    <w:nsid w:val="565246A2"/>
    <w:multiLevelType w:val="multilevel"/>
    <w:tmpl w:val="CC7422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3C237C5"/>
    <w:multiLevelType w:val="multilevel"/>
    <w:tmpl w:val="A40A83CA"/>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num w:numId="1" w16cid:durableId="1431972020">
    <w:abstractNumId w:val="4"/>
  </w:num>
  <w:num w:numId="2" w16cid:durableId="1609775007">
    <w:abstractNumId w:val="7"/>
  </w:num>
  <w:num w:numId="3" w16cid:durableId="2112122908">
    <w:abstractNumId w:val="2"/>
  </w:num>
  <w:num w:numId="4" w16cid:durableId="1243636415">
    <w:abstractNumId w:val="0"/>
  </w:num>
  <w:num w:numId="5" w16cid:durableId="597105953">
    <w:abstractNumId w:val="5"/>
  </w:num>
  <w:num w:numId="6" w16cid:durableId="866716398">
    <w:abstractNumId w:val="6"/>
  </w:num>
  <w:num w:numId="7" w16cid:durableId="152533453">
    <w:abstractNumId w:val="3"/>
  </w:num>
  <w:num w:numId="8" w16cid:durableId="15222078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180"/>
    <w:rsid w:val="0006517B"/>
    <w:rsid w:val="000854BB"/>
    <w:rsid w:val="008A73A5"/>
    <w:rsid w:val="00906C9A"/>
    <w:rsid w:val="00A43D0A"/>
    <w:rsid w:val="00A5675B"/>
    <w:rsid w:val="00AD36E4"/>
    <w:rsid w:val="00B16446"/>
    <w:rsid w:val="00B41180"/>
    <w:rsid w:val="00E24433"/>
    <w:rsid w:val="00FB2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BD8495"/>
  <w15:docId w15:val="{D0A85DFC-E0EA-4EBE-A2DA-FB5C2EF19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616"/>
    <w:rPr>
      <w:rFonts w:eastAsiaTheme="minorEastAsia"/>
      <w:lang w:eastAsia="es-ES"/>
    </w:rPr>
  </w:style>
  <w:style w:type="paragraph" w:styleId="Ttulo1">
    <w:name w:val="heading 1"/>
    <w:basedOn w:val="Normal"/>
    <w:next w:val="Normal"/>
    <w:link w:val="Ttulo1Car"/>
    <w:uiPriority w:val="9"/>
    <w:qFormat/>
    <w:rsid w:val="009426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94261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link w:val="Ttulo2"/>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2">
    <w:name w:val="List Bullet 2"/>
    <w:basedOn w:val="Normal"/>
    <w:uiPriority w:val="99"/>
    <w:unhideWhenUsed/>
    <w:rsid w:val="00E54602"/>
    <w:pPr>
      <w:numPr>
        <w:numId w:val="8"/>
      </w:numPr>
      <w:contextualSpacing/>
    </w:pPr>
    <w:rPr>
      <w:rFonts w:ascii="Times New Roman" w:eastAsia="Times New Roman" w:hAnsi="Times New Roman" w:cs="Times New Roman"/>
      <w:sz w:val="20"/>
      <w:szCs w:val="20"/>
      <w:lang w:val="es-MX"/>
    </w:rPr>
  </w:style>
  <w:style w:type="table" w:customStyle="1" w:styleId="Tablanormal12">
    <w:name w:val="Tabla normal 12"/>
    <w:basedOn w:val="Tablanormal"/>
    <w:next w:val="Tablanormal1"/>
    <w:uiPriority w:val="41"/>
    <w:rsid w:val="00A42FC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rrafodelista1">
    <w:name w:val="Párrafo de lista1"/>
    <w:basedOn w:val="Normal"/>
    <w:rsid w:val="003D5565"/>
    <w:pPr>
      <w:spacing w:before="100" w:beforeAutospacing="1"/>
      <w:ind w:left="720"/>
      <w:contextualSpacing/>
    </w:pPr>
    <w:rPr>
      <w:rFonts w:ascii="Century Gothic" w:eastAsia="Times New Roman" w:hAnsi="Century Gothic" w:cs="Times New Roman"/>
      <w:sz w:val="22"/>
      <w:szCs w:val="22"/>
      <w:lang w:val="es-MX" w:eastAsia="es-MX"/>
    </w:rPr>
  </w:style>
  <w:style w:type="character" w:customStyle="1" w:styleId="15">
    <w:name w:val="15"/>
    <w:basedOn w:val="Fuentedeprrafopredeter"/>
    <w:rsid w:val="008C6D2B"/>
    <w:rPr>
      <w:rFonts w:ascii="Calibri" w:hAnsi="Calibri" w:cs="Calibri" w:hint="default"/>
      <w:color w:val="0563C1"/>
      <w:u w:val="single"/>
    </w:rPr>
  </w:style>
  <w:style w:type="paragraph" w:customStyle="1" w:styleId="Default">
    <w:name w:val="Default"/>
    <w:rsid w:val="009D7098"/>
    <w:pPr>
      <w:autoSpaceDE w:val="0"/>
      <w:autoSpaceDN w:val="0"/>
      <w:adjustRightInd w:val="0"/>
    </w:pPr>
    <w:rPr>
      <w:rFonts w:ascii="Arial" w:hAnsi="Arial" w:cs="Arial"/>
      <w:color w:val="00000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0"/>
    <w:tblPr>
      <w:tblStyleRowBandSize w:val="1"/>
      <w:tblStyleColBandSize w:val="1"/>
      <w:tblCellMar>
        <w:left w:w="108" w:type="dxa"/>
        <w:right w:w="108" w:type="dxa"/>
      </w:tblCellMar>
    </w:tblPr>
  </w:style>
  <w:style w:type="table" w:customStyle="1" w:styleId="3">
    <w:name w:val="3"/>
    <w:basedOn w:val="TableNormal0"/>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2">
    <w:name w:val="2"/>
    <w:basedOn w:val="TableNormal0"/>
    <w:tblPr>
      <w:tblStyleRowBandSize w:val="1"/>
      <w:tblStyleColBandSize w:val="1"/>
      <w:tblCellMar>
        <w:left w:w="70" w:type="dxa"/>
        <w:right w:w="70" w:type="dxa"/>
      </w:tblCellMar>
    </w:tblPr>
  </w:style>
  <w:style w:type="table" w:customStyle="1" w:styleId="1">
    <w:name w:val="1"/>
    <w:basedOn w:val="TableNormal0"/>
    <w:tblPr>
      <w:tblStyleRowBandSize w:val="1"/>
      <w:tblStyleColBandSize w:val="1"/>
      <w:tblCellMar>
        <w:left w:w="70" w:type="dxa"/>
        <w:right w:w="70" w:type="dxa"/>
      </w:tblCellMar>
    </w:tblPr>
  </w:style>
  <w:style w:type="paragraph" w:styleId="Sinespaciado">
    <w:name w:val="No Spacing"/>
    <w:aliases w:val="Francesa,INAI,Fundamentos"/>
    <w:link w:val="SinespaciadoCar"/>
    <w:uiPriority w:val="1"/>
    <w:qFormat/>
    <w:rsid w:val="003A6840"/>
    <w:rPr>
      <w:rFonts w:ascii="Times New Roman" w:eastAsia="Times New Roman" w:hAnsi="Times New Roman" w:cs="Times New Roman"/>
      <w:lang w:val="es-MX" w:eastAsia="es-ES"/>
    </w:rPr>
  </w:style>
  <w:style w:type="character" w:customStyle="1" w:styleId="SinespaciadoCar">
    <w:name w:val="Sin espaciado Car"/>
    <w:aliases w:val="Francesa Car,INAI Car,Fundamentos Car"/>
    <w:link w:val="Sinespaciado"/>
    <w:uiPriority w:val="1"/>
    <w:qFormat/>
    <w:locked/>
    <w:rsid w:val="003A6840"/>
    <w:rPr>
      <w:rFonts w:ascii="Times New Roman" w:eastAsia="Times New Roman" w:hAnsi="Times New Roman" w:cs="Times New Roman"/>
      <w:lang w:val="es-MX" w:eastAsia="es-ES"/>
    </w:rPr>
  </w:style>
  <w:style w:type="paragraph" w:styleId="Textoindependiente">
    <w:name w:val="Body Text"/>
    <w:basedOn w:val="Normal"/>
    <w:link w:val="TextoindependienteCar"/>
    <w:rsid w:val="00C53DE7"/>
    <w:pPr>
      <w:jc w:val="both"/>
    </w:pPr>
    <w:rPr>
      <w:rFonts w:ascii="Arial" w:eastAsia="Times New Roman" w:hAnsi="Arial" w:cs="Times New Roman"/>
      <w:szCs w:val="20"/>
      <w:lang w:val="es-MX" w:eastAsia="es-ES_tradnl"/>
    </w:rPr>
  </w:style>
  <w:style w:type="character" w:customStyle="1" w:styleId="TextoindependienteCar">
    <w:name w:val="Texto independiente Car"/>
    <w:basedOn w:val="Fuentedeprrafopredeter"/>
    <w:link w:val="Textoindependiente"/>
    <w:rsid w:val="00C53DE7"/>
    <w:rPr>
      <w:rFonts w:ascii="Arial" w:eastAsia="Times New Roman" w:hAnsi="Arial" w:cs="Times New Roman"/>
      <w:szCs w:val="20"/>
      <w:lang w:val="es-MX" w:eastAsia="es-ES_tradnl"/>
    </w:rPr>
  </w:style>
  <w:style w:type="character" w:styleId="Textoennegrita">
    <w:name w:val="Strong"/>
    <w:basedOn w:val="Fuentedeprrafopredeter"/>
    <w:uiPriority w:val="22"/>
    <w:qFormat/>
    <w:rsid w:val="00E256E4"/>
    <w:rPr>
      <w:b/>
      <w:bCs/>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wMaZ1H/FmjLf3CXDAmJKcEdKiQ==">CgMxLjAyCGguZ2pkZ3hzMgloLjFmb2I5dGUyCWguM3pueXNoNzIJaC4yZXQ5MnAwMghoLnR5amN3dDIJaC4zZHk2dmttMgloLjF0M2g1c2YyCWguMzBqMHpsbDIJaC4yczhleW8xOAByITFRUzE0YVlBVm9sc3h0ZjMzQlU5bkdhX0RNVXhxOGV5TA==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36</Pages>
  <Words>6568</Words>
  <Characters>36124</Characters>
  <Application>Microsoft Office Word</Application>
  <DocSecurity>0</DocSecurity>
  <Lines>301</Lines>
  <Paragraphs>85</Paragraphs>
  <ScaleCrop>false</ScaleCrop>
  <Company/>
  <LinksUpToDate>false</LinksUpToDate>
  <CharactersWithSpaces>42607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inf03m612@outlook.com</cp:lastModifiedBy>
  <cp:revision>8</cp:revision>
  <cp:lastPrinted>2024-10-07T17:47:00Z</cp:lastPrinted>
  <dcterms:created xsi:type="dcterms:W3CDTF">2024-09-25T20:03:00Z</dcterms:created>
  <dcterms:modified xsi:type="dcterms:W3CDTF">2024-10-23T23:09:00Z</dcterms:modified>
</cp:coreProperties>
</file>