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3204C" w14:textId="19BD4D36" w:rsidR="00DA68A0" w:rsidRPr="00455C38" w:rsidRDefault="00DA68A0" w:rsidP="00DA68A0">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w:t>
      </w:r>
      <w:r w:rsidR="005B3169">
        <w:rPr>
          <w:rFonts w:ascii="Palatino Linotype" w:eastAsia="Times New Roman" w:hAnsi="Palatino Linotype" w:cs="Arial"/>
          <w:color w:val="000000"/>
          <w:sz w:val="24"/>
          <w:szCs w:val="24"/>
          <w:lang w:eastAsia="es-MX"/>
        </w:rPr>
        <w:t xml:space="preserve">     </w:t>
      </w:r>
      <w:r w:rsidRPr="00455C3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B3169" w:rsidRPr="00455C38">
        <w:rPr>
          <w:rFonts w:ascii="Palatino Linotype" w:eastAsia="Times New Roman" w:hAnsi="Palatino Linotype" w:cs="Arial"/>
          <w:color w:val="000000"/>
          <w:sz w:val="24"/>
          <w:szCs w:val="24"/>
          <w:lang w:eastAsia="es-MX"/>
        </w:rPr>
        <w:t>diecinueve</w:t>
      </w:r>
      <w:r w:rsidRPr="00455C38">
        <w:rPr>
          <w:rFonts w:ascii="Palatino Linotype" w:eastAsia="Times New Roman" w:hAnsi="Palatino Linotype" w:cs="Arial"/>
          <w:color w:val="000000"/>
          <w:sz w:val="24"/>
          <w:szCs w:val="24"/>
          <w:lang w:eastAsia="es-MX"/>
        </w:rPr>
        <w:t xml:space="preserve"> de junio de dos mil veinticuatro.</w:t>
      </w:r>
    </w:p>
    <w:p w14:paraId="277AC9AB" w14:textId="77777777" w:rsidR="00DA68A0" w:rsidRPr="00455C38" w:rsidRDefault="00DA68A0" w:rsidP="00DA68A0">
      <w:pPr>
        <w:tabs>
          <w:tab w:val="left" w:pos="1701"/>
        </w:tabs>
        <w:spacing w:after="0" w:line="360" w:lineRule="auto"/>
        <w:jc w:val="both"/>
        <w:rPr>
          <w:rFonts w:ascii="Palatino Linotype" w:eastAsia="Times New Roman" w:hAnsi="Palatino Linotype" w:cs="Arial"/>
          <w:color w:val="000000"/>
          <w:sz w:val="2"/>
          <w:szCs w:val="24"/>
          <w:lang w:eastAsia="es-MX"/>
        </w:rPr>
      </w:pPr>
    </w:p>
    <w:p w14:paraId="2C977898" w14:textId="77777777" w:rsidR="00DA68A0" w:rsidRPr="00455C38" w:rsidRDefault="00DA68A0" w:rsidP="00DA68A0">
      <w:pPr>
        <w:tabs>
          <w:tab w:val="left" w:pos="1701"/>
        </w:tabs>
        <w:spacing w:after="0" w:line="360" w:lineRule="auto"/>
        <w:jc w:val="both"/>
        <w:rPr>
          <w:rFonts w:ascii="Palatino Linotype" w:eastAsia="Times New Roman" w:hAnsi="Palatino Linotype" w:cs="Arial"/>
          <w:b/>
          <w:sz w:val="24"/>
        </w:rPr>
      </w:pPr>
    </w:p>
    <w:p w14:paraId="49FA2008" w14:textId="1B54E3FB" w:rsidR="00DA68A0" w:rsidRPr="00455C38" w:rsidRDefault="00DA68A0" w:rsidP="00DA68A0">
      <w:pPr>
        <w:tabs>
          <w:tab w:val="left" w:pos="1701"/>
        </w:tabs>
        <w:spacing w:after="0" w:line="360" w:lineRule="auto"/>
        <w:jc w:val="both"/>
        <w:rPr>
          <w:rFonts w:ascii="Palatino Linotype" w:eastAsia="Times New Roman" w:hAnsi="Palatino Linotype" w:cs="Arial"/>
          <w:sz w:val="24"/>
        </w:rPr>
      </w:pPr>
      <w:r w:rsidRPr="00455C38">
        <w:rPr>
          <w:rFonts w:ascii="Palatino Linotype" w:eastAsia="Times New Roman" w:hAnsi="Palatino Linotype" w:cs="Arial"/>
          <w:b/>
          <w:sz w:val="24"/>
        </w:rPr>
        <w:t>VISTO</w:t>
      </w:r>
      <w:r w:rsidRPr="00455C38">
        <w:rPr>
          <w:rFonts w:ascii="Palatino Linotype" w:eastAsia="Times New Roman" w:hAnsi="Palatino Linotype" w:cs="Arial"/>
          <w:sz w:val="24"/>
        </w:rPr>
        <w:t xml:space="preserve"> el expediente electrónico formado con motivo del recurso de revisión número </w:t>
      </w:r>
      <w:r w:rsidR="005B3169" w:rsidRPr="00455C38">
        <w:rPr>
          <w:rFonts w:ascii="Palatino Linotype" w:eastAsia="Times New Roman" w:hAnsi="Palatino Linotype" w:cs="Arial"/>
          <w:b/>
          <w:sz w:val="24"/>
        </w:rPr>
        <w:t>03295</w:t>
      </w:r>
      <w:r w:rsidRPr="00455C38">
        <w:rPr>
          <w:rFonts w:ascii="Palatino Linotype" w:eastAsia="Times New Roman" w:hAnsi="Palatino Linotype" w:cs="Arial"/>
          <w:b/>
          <w:bCs/>
          <w:sz w:val="24"/>
          <w:lang w:eastAsia="es-MX"/>
        </w:rPr>
        <w:t>/INFOEM/IP/RR/2024</w:t>
      </w:r>
      <w:r w:rsidRPr="00455C38">
        <w:rPr>
          <w:rFonts w:ascii="Palatino Linotype" w:eastAsia="Times New Roman" w:hAnsi="Palatino Linotype" w:cs="Arial"/>
          <w:sz w:val="24"/>
        </w:rPr>
        <w:t xml:space="preserve">, </w:t>
      </w:r>
      <w:r w:rsidRPr="00455C38">
        <w:rPr>
          <w:rFonts w:ascii="Palatino Linotype" w:eastAsia="Times New Roman" w:hAnsi="Palatino Linotype" w:cs="Arial"/>
          <w:sz w:val="24"/>
          <w:szCs w:val="24"/>
        </w:rPr>
        <w:t xml:space="preserve">interpuesto </w:t>
      </w:r>
      <w:r w:rsidRPr="00455C38">
        <w:rPr>
          <w:rFonts w:ascii="Palatino Linotype" w:eastAsia="Times New Roman" w:hAnsi="Palatino Linotype" w:cs="Arial"/>
          <w:bCs/>
          <w:sz w:val="24"/>
          <w:szCs w:val="24"/>
        </w:rPr>
        <w:t>por</w:t>
      </w:r>
      <w:r w:rsidR="005B3169" w:rsidRPr="00455C38">
        <w:rPr>
          <w:rFonts w:ascii="Palatino Linotype" w:eastAsia="Times New Roman" w:hAnsi="Palatino Linotype" w:cs="Arial"/>
          <w:sz w:val="24"/>
          <w:szCs w:val="24"/>
        </w:rPr>
        <w:t xml:space="preserve"> </w:t>
      </w:r>
      <w:r w:rsidR="003851AA" w:rsidRPr="00455C38">
        <w:rPr>
          <w:rFonts w:ascii="Palatino Linotype" w:eastAsia="Times New Roman" w:hAnsi="Palatino Linotype" w:cs="Arial"/>
          <w:b/>
          <w:sz w:val="24"/>
          <w:szCs w:val="24"/>
        </w:rPr>
        <w:t>XXXXXXXXXXXXXXX</w:t>
      </w:r>
      <w:r w:rsidRPr="00455C38">
        <w:rPr>
          <w:rFonts w:ascii="Palatino Linotype" w:eastAsia="Times New Roman" w:hAnsi="Palatino Linotype" w:cs="Arial"/>
          <w:sz w:val="24"/>
          <w:szCs w:val="24"/>
        </w:rPr>
        <w:t xml:space="preserve">, en lo sucesivo </w:t>
      </w:r>
      <w:r w:rsidRPr="00455C38">
        <w:rPr>
          <w:rFonts w:ascii="Palatino Linotype" w:eastAsia="Times New Roman" w:hAnsi="Palatino Linotype" w:cs="Arial"/>
          <w:b/>
          <w:bCs/>
          <w:sz w:val="24"/>
          <w:szCs w:val="24"/>
        </w:rPr>
        <w:t>el Recurrente</w:t>
      </w:r>
      <w:r w:rsidRPr="00455C38">
        <w:rPr>
          <w:rFonts w:ascii="Palatino Linotype" w:eastAsia="Times New Roman" w:hAnsi="Palatino Linotype" w:cs="Arial"/>
          <w:sz w:val="24"/>
          <w:szCs w:val="24"/>
        </w:rPr>
        <w:t>, en contra de la falta de respuesta del</w:t>
      </w:r>
      <w:r w:rsidRPr="00455C38">
        <w:rPr>
          <w:rFonts w:ascii="Palatino Linotype" w:hAnsi="Palatino Linotype"/>
          <w:b/>
          <w:bCs/>
          <w:color w:val="000000"/>
          <w:sz w:val="24"/>
          <w:szCs w:val="24"/>
        </w:rPr>
        <w:t xml:space="preserve"> Ayuntamiento de</w:t>
      </w:r>
      <w:r w:rsidR="00333B61" w:rsidRPr="00455C38">
        <w:rPr>
          <w:rFonts w:ascii="Palatino Linotype" w:hAnsi="Palatino Linotype"/>
          <w:b/>
          <w:bCs/>
          <w:color w:val="000000"/>
          <w:sz w:val="24"/>
          <w:szCs w:val="24"/>
        </w:rPr>
        <w:t xml:space="preserve"> </w:t>
      </w:r>
      <w:r w:rsidR="005B3169" w:rsidRPr="00455C38">
        <w:rPr>
          <w:rFonts w:ascii="Palatino Linotype" w:hAnsi="Palatino Linotype"/>
          <w:b/>
          <w:bCs/>
          <w:color w:val="000000"/>
          <w:sz w:val="24"/>
          <w:szCs w:val="24"/>
        </w:rPr>
        <w:t>Zumpango</w:t>
      </w:r>
      <w:r w:rsidRPr="00455C38">
        <w:rPr>
          <w:rFonts w:ascii="Palatino Linotype" w:eastAsia="Times New Roman" w:hAnsi="Palatino Linotype" w:cs="Arial"/>
          <w:sz w:val="24"/>
          <w:szCs w:val="24"/>
        </w:rPr>
        <w:t>, en lo subsecuente</w:t>
      </w:r>
      <w:r w:rsidRPr="00455C38">
        <w:rPr>
          <w:rFonts w:ascii="Palatino Linotype" w:eastAsia="Times New Roman" w:hAnsi="Palatino Linotype" w:cs="Arial"/>
          <w:b/>
          <w:sz w:val="24"/>
          <w:szCs w:val="24"/>
        </w:rPr>
        <w:t xml:space="preserve"> </w:t>
      </w:r>
      <w:r w:rsidRPr="00455C38">
        <w:rPr>
          <w:rFonts w:ascii="Palatino Linotype" w:eastAsia="Times New Roman" w:hAnsi="Palatino Linotype" w:cs="Arial"/>
          <w:sz w:val="24"/>
          <w:szCs w:val="24"/>
        </w:rPr>
        <w:t xml:space="preserve">el </w:t>
      </w:r>
      <w:r w:rsidRPr="00455C38">
        <w:rPr>
          <w:rFonts w:ascii="Palatino Linotype" w:eastAsia="Times New Roman" w:hAnsi="Palatino Linotype" w:cs="Arial"/>
          <w:b/>
          <w:sz w:val="24"/>
          <w:szCs w:val="24"/>
        </w:rPr>
        <w:t>Sujeto Obligado</w:t>
      </w:r>
      <w:r w:rsidRPr="00455C38">
        <w:rPr>
          <w:rFonts w:ascii="Palatino Linotype" w:eastAsia="Times New Roman" w:hAnsi="Palatino Linotype" w:cs="Arial"/>
          <w:sz w:val="24"/>
          <w:szCs w:val="24"/>
        </w:rPr>
        <w:t>,</w:t>
      </w:r>
      <w:r w:rsidRPr="00455C38">
        <w:rPr>
          <w:rFonts w:ascii="Palatino Linotype" w:eastAsia="Times New Roman" w:hAnsi="Palatino Linotype" w:cs="Arial"/>
          <w:b/>
          <w:sz w:val="24"/>
          <w:szCs w:val="24"/>
        </w:rPr>
        <w:t xml:space="preserve"> </w:t>
      </w:r>
      <w:r w:rsidRPr="00455C38">
        <w:rPr>
          <w:rFonts w:ascii="Palatino Linotype" w:eastAsia="Times New Roman" w:hAnsi="Palatino Linotype" w:cs="Arial"/>
          <w:sz w:val="24"/>
          <w:szCs w:val="24"/>
        </w:rPr>
        <w:t>se procede a</w:t>
      </w:r>
      <w:r w:rsidRPr="00455C38">
        <w:rPr>
          <w:rFonts w:ascii="Palatino Linotype" w:eastAsia="Times New Roman" w:hAnsi="Palatino Linotype" w:cs="Arial"/>
          <w:sz w:val="24"/>
        </w:rPr>
        <w:t xml:space="preserve"> dictar la presente resolución.</w:t>
      </w:r>
    </w:p>
    <w:p w14:paraId="1BABB152" w14:textId="77777777" w:rsidR="00DA68A0" w:rsidRPr="00455C38" w:rsidRDefault="00DA68A0" w:rsidP="00DA68A0">
      <w:pPr>
        <w:tabs>
          <w:tab w:val="left" w:pos="1701"/>
        </w:tabs>
        <w:spacing w:after="0" w:line="360" w:lineRule="auto"/>
        <w:jc w:val="both"/>
        <w:rPr>
          <w:rFonts w:ascii="Palatino Linotype" w:eastAsia="Times New Roman" w:hAnsi="Palatino Linotype" w:cs="Arial"/>
          <w:sz w:val="24"/>
        </w:rPr>
      </w:pPr>
    </w:p>
    <w:p w14:paraId="24BE452C" w14:textId="77777777" w:rsidR="00DA68A0" w:rsidRPr="00455C38" w:rsidRDefault="00DA68A0" w:rsidP="00DA68A0">
      <w:pPr>
        <w:spacing w:after="0" w:line="360" w:lineRule="auto"/>
        <w:jc w:val="center"/>
        <w:rPr>
          <w:rFonts w:ascii="Palatino Linotype" w:eastAsia="Times New Roman" w:hAnsi="Palatino Linotype" w:cs="Times New Roman"/>
          <w:b/>
          <w:sz w:val="28"/>
        </w:rPr>
      </w:pPr>
      <w:r w:rsidRPr="00455C38">
        <w:rPr>
          <w:rFonts w:ascii="Palatino Linotype" w:eastAsia="Times New Roman" w:hAnsi="Palatino Linotype" w:cs="Times New Roman"/>
          <w:b/>
          <w:sz w:val="28"/>
        </w:rPr>
        <w:t>A N T E C E D E N T E S   D E L   A S U N T O</w:t>
      </w:r>
    </w:p>
    <w:p w14:paraId="32706D2C" w14:textId="77777777" w:rsidR="00DA68A0" w:rsidRPr="00455C38" w:rsidRDefault="00DA68A0" w:rsidP="00DA68A0">
      <w:pPr>
        <w:spacing w:after="0" w:line="360" w:lineRule="auto"/>
        <w:jc w:val="center"/>
        <w:rPr>
          <w:rFonts w:ascii="Palatino Linotype" w:eastAsia="Times New Roman" w:hAnsi="Palatino Linotype" w:cs="Times New Roman"/>
          <w:b/>
          <w:sz w:val="24"/>
        </w:rPr>
      </w:pPr>
    </w:p>
    <w:p w14:paraId="1E18EFB4" w14:textId="77777777" w:rsidR="00DA68A0" w:rsidRPr="00455C38" w:rsidRDefault="00DA68A0" w:rsidP="00DA68A0">
      <w:pPr>
        <w:spacing w:after="0" w:line="360" w:lineRule="auto"/>
        <w:jc w:val="both"/>
        <w:rPr>
          <w:rFonts w:ascii="Palatino Linotype" w:eastAsia="Times New Roman" w:hAnsi="Palatino Linotype" w:cs="Times New Roman"/>
        </w:rPr>
      </w:pPr>
      <w:r w:rsidRPr="00455C38">
        <w:rPr>
          <w:rFonts w:ascii="Palatino Linotype" w:eastAsia="Times New Roman" w:hAnsi="Palatino Linotype" w:cs="Arial"/>
          <w:b/>
          <w:sz w:val="28"/>
        </w:rPr>
        <w:t>PRIMERO.</w:t>
      </w:r>
      <w:r w:rsidRPr="00455C38">
        <w:rPr>
          <w:rFonts w:ascii="Palatino Linotype" w:eastAsia="Times New Roman" w:hAnsi="Palatino Linotype" w:cs="Arial"/>
        </w:rPr>
        <w:t xml:space="preserve"> </w:t>
      </w:r>
      <w:r w:rsidRPr="00455C38">
        <w:rPr>
          <w:rFonts w:ascii="Palatino Linotype" w:eastAsia="Times New Roman" w:hAnsi="Palatino Linotype" w:cs="Times New Roman"/>
          <w:b/>
          <w:sz w:val="28"/>
          <w:szCs w:val="28"/>
        </w:rPr>
        <w:t>De la Solicitud de Información.</w:t>
      </w:r>
    </w:p>
    <w:p w14:paraId="3DB08124" w14:textId="684A28EF" w:rsidR="00DA68A0" w:rsidRPr="00455C38" w:rsidRDefault="00DA68A0" w:rsidP="00DA68A0">
      <w:pPr>
        <w:spacing w:after="0" w:line="360" w:lineRule="auto"/>
        <w:jc w:val="both"/>
        <w:rPr>
          <w:rFonts w:eastAsia="Times New Roman" w:cs="Times New Roman"/>
          <w:color w:val="000000"/>
          <w:sz w:val="27"/>
          <w:szCs w:val="27"/>
        </w:rPr>
      </w:pPr>
      <w:r w:rsidRPr="00455C38">
        <w:rPr>
          <w:rFonts w:ascii="Palatino Linotype" w:eastAsia="Times New Roman" w:hAnsi="Palatino Linotype" w:cs="Arial"/>
          <w:sz w:val="24"/>
        </w:rPr>
        <w:t xml:space="preserve">En fecha </w:t>
      </w:r>
      <w:r w:rsidR="005B3169" w:rsidRPr="00455C38">
        <w:rPr>
          <w:rFonts w:ascii="Palatino Linotype" w:eastAsia="Times New Roman" w:hAnsi="Palatino Linotype" w:cs="Arial"/>
          <w:sz w:val="24"/>
        </w:rPr>
        <w:t>diecinueve de abril</w:t>
      </w:r>
      <w:r w:rsidRPr="00455C38">
        <w:rPr>
          <w:rFonts w:ascii="Palatino Linotype" w:eastAsia="Times New Roman" w:hAnsi="Palatino Linotype" w:cs="Arial"/>
          <w:sz w:val="24"/>
        </w:rPr>
        <w:t xml:space="preserve"> de dos mil veinticuatro, el </w:t>
      </w:r>
      <w:r w:rsidRPr="00455C38">
        <w:rPr>
          <w:rFonts w:ascii="Palatino Linotype" w:eastAsia="Times New Roman" w:hAnsi="Palatino Linotype" w:cs="Arial"/>
          <w:b/>
          <w:sz w:val="24"/>
        </w:rPr>
        <w:t>Recurrente</w:t>
      </w:r>
      <w:r w:rsidRPr="00455C38">
        <w:rPr>
          <w:rFonts w:ascii="Palatino Linotype" w:eastAsia="Times New Roman" w:hAnsi="Palatino Linotype" w:cs="Arial"/>
          <w:sz w:val="24"/>
        </w:rPr>
        <w:t xml:space="preserve">, </w:t>
      </w:r>
      <w:r w:rsidRPr="00455C38">
        <w:rPr>
          <w:rFonts w:ascii="Palatino Linotype" w:eastAsia="Times New Roman" w:hAnsi="Palatino Linotype" w:cs="Times New Roman"/>
          <w:sz w:val="24"/>
          <w:szCs w:val="24"/>
        </w:rPr>
        <w:t>presentó a través del Sistema de Acceso a la Información Mexiquense (SAIMEX), ante el Sujeto Obligado, la solicitud de acceso a la información pública,</w:t>
      </w:r>
      <w:r w:rsidRPr="00455C38">
        <w:rPr>
          <w:rFonts w:eastAsia="Times New Roman" w:cs="Times New Roman"/>
        </w:rPr>
        <w:t xml:space="preserve"> </w:t>
      </w:r>
      <w:r w:rsidRPr="00455C38">
        <w:rPr>
          <w:rFonts w:ascii="Palatino Linotype" w:eastAsia="Times New Roman" w:hAnsi="Palatino Linotype" w:cs="Arial"/>
          <w:sz w:val="24"/>
        </w:rPr>
        <w:t>a la que se le asignó el número de expediente</w:t>
      </w:r>
      <w:r w:rsidRPr="00455C38">
        <w:rPr>
          <w:rFonts w:eastAsia="Times New Roman" w:cs="Times New Roman"/>
          <w:color w:val="000000"/>
          <w:sz w:val="27"/>
          <w:szCs w:val="27"/>
        </w:rPr>
        <w:t> </w:t>
      </w:r>
      <w:r w:rsidR="005B3169" w:rsidRPr="00455C38">
        <w:rPr>
          <w:rFonts w:ascii="Palatino Linotype" w:hAnsi="Palatino Linotype"/>
          <w:b/>
          <w:bCs/>
          <w:sz w:val="24"/>
          <w:szCs w:val="24"/>
        </w:rPr>
        <w:t>00086/ZUMPANGO/IP/2024</w:t>
      </w:r>
      <w:r w:rsidR="005B3169" w:rsidRPr="00455C38">
        <w:rPr>
          <w:rFonts w:ascii="Verdana" w:hAnsi="Verdana"/>
          <w:b/>
          <w:bCs/>
        </w:rPr>
        <w:t xml:space="preserve"> </w:t>
      </w:r>
      <w:r w:rsidRPr="00455C38">
        <w:rPr>
          <w:rFonts w:ascii="Palatino Linotype" w:eastAsia="Times New Roman" w:hAnsi="Palatino Linotype" w:cs="Arial"/>
          <w:sz w:val="24"/>
        </w:rPr>
        <w:t>mediante la cual solicitó lo siguiente:</w:t>
      </w:r>
    </w:p>
    <w:p w14:paraId="3757171F" w14:textId="77777777" w:rsidR="00DA68A0" w:rsidRPr="00455C38" w:rsidRDefault="00DA68A0" w:rsidP="00DA68A0">
      <w:pPr>
        <w:spacing w:after="0" w:line="360" w:lineRule="auto"/>
        <w:jc w:val="both"/>
        <w:rPr>
          <w:rFonts w:ascii="Palatino Linotype" w:eastAsia="Times New Roman" w:hAnsi="Palatino Linotype" w:cs="Arial"/>
          <w:i/>
          <w:sz w:val="24"/>
          <w:szCs w:val="24"/>
        </w:rPr>
      </w:pPr>
    </w:p>
    <w:p w14:paraId="231EE052" w14:textId="0314BBCD" w:rsidR="00DA68A0" w:rsidRPr="00455C38" w:rsidRDefault="00DA68A0" w:rsidP="00DA68A0">
      <w:pPr>
        <w:spacing w:line="360" w:lineRule="auto"/>
        <w:ind w:left="567"/>
        <w:jc w:val="both"/>
        <w:rPr>
          <w:rFonts w:ascii="Palatino Linotype" w:eastAsia="Times New Roman" w:hAnsi="Palatino Linotype" w:cs="Arial"/>
          <w:sz w:val="24"/>
        </w:rPr>
      </w:pPr>
      <w:bookmarkStart w:id="0" w:name="_Hlk82038186"/>
      <w:r w:rsidRPr="00455C38">
        <w:rPr>
          <w:rFonts w:ascii="Palatino Linotype" w:eastAsia="Times New Roman" w:hAnsi="Palatino Linotype" w:cs="Times New Roman"/>
          <w:i/>
          <w:color w:val="000000"/>
          <w:sz w:val="24"/>
          <w:szCs w:val="24"/>
        </w:rPr>
        <w:t>“</w:t>
      </w:r>
      <w:r w:rsidR="005B3169" w:rsidRPr="00455C38">
        <w:rPr>
          <w:rFonts w:ascii="Palatino Linotype" w:hAnsi="Palatino Linotype"/>
          <w:i/>
          <w:color w:val="000000"/>
          <w:sz w:val="24"/>
          <w:szCs w:val="24"/>
        </w:rPr>
        <w:t>Contratos formalizados con empresas ganadoras de procesos de licitación pública de 2022 a la fecha</w:t>
      </w:r>
      <w:r w:rsidRPr="00455C38">
        <w:rPr>
          <w:rFonts w:ascii="Palatino Linotype" w:hAnsi="Palatino Linotype"/>
          <w:i/>
          <w:iCs/>
          <w:color w:val="000000"/>
          <w:sz w:val="24"/>
          <w:szCs w:val="24"/>
        </w:rPr>
        <w:t>”.</w:t>
      </w:r>
      <w:r w:rsidRPr="00455C38">
        <w:rPr>
          <w:rFonts w:ascii="Palatino Linotype" w:eastAsia="Times New Roman" w:hAnsi="Palatino Linotype" w:cs="Arial"/>
          <w:i/>
          <w:sz w:val="24"/>
        </w:rPr>
        <w:t xml:space="preserve"> (Sic</w:t>
      </w:r>
      <w:r w:rsidRPr="00455C38">
        <w:rPr>
          <w:rFonts w:ascii="Palatino Linotype" w:eastAsia="Times New Roman" w:hAnsi="Palatino Linotype" w:cs="Arial"/>
          <w:sz w:val="24"/>
        </w:rPr>
        <w:t>).</w:t>
      </w:r>
    </w:p>
    <w:bookmarkEnd w:id="0"/>
    <w:p w14:paraId="72907E61" w14:textId="77777777" w:rsidR="00DA68A0" w:rsidRPr="00455C38" w:rsidRDefault="00DA68A0" w:rsidP="00DA68A0">
      <w:pPr>
        <w:spacing w:after="0" w:line="360" w:lineRule="auto"/>
        <w:ind w:right="850"/>
        <w:jc w:val="both"/>
        <w:rPr>
          <w:rFonts w:ascii="Palatino Linotype" w:eastAsia="Times New Roman" w:hAnsi="Palatino Linotype" w:cs="Arial"/>
          <w:b/>
          <w:sz w:val="2"/>
        </w:rPr>
      </w:pPr>
    </w:p>
    <w:p w14:paraId="2C4D5237" w14:textId="77777777" w:rsidR="00DA68A0" w:rsidRPr="00455C38" w:rsidRDefault="00DA68A0" w:rsidP="00DA68A0">
      <w:pPr>
        <w:spacing w:after="0" w:line="360" w:lineRule="auto"/>
        <w:ind w:right="850"/>
        <w:jc w:val="both"/>
        <w:rPr>
          <w:rFonts w:ascii="Palatino Linotype" w:eastAsia="Times New Roman" w:hAnsi="Palatino Linotype" w:cs="Arial"/>
          <w:b/>
          <w:sz w:val="2"/>
        </w:rPr>
      </w:pPr>
    </w:p>
    <w:p w14:paraId="2D57CEF0" w14:textId="77777777" w:rsidR="00DA68A0" w:rsidRPr="00455C38" w:rsidRDefault="00DA68A0" w:rsidP="00DA68A0">
      <w:pPr>
        <w:spacing w:after="0" w:line="360" w:lineRule="auto"/>
        <w:ind w:right="850"/>
        <w:jc w:val="both"/>
        <w:rPr>
          <w:rFonts w:ascii="Palatino Linotype" w:eastAsia="Times New Roman" w:hAnsi="Palatino Linotype" w:cs="Arial"/>
          <w:b/>
          <w:sz w:val="2"/>
        </w:rPr>
      </w:pPr>
    </w:p>
    <w:p w14:paraId="1CAAA78E" w14:textId="77777777" w:rsidR="00DA68A0" w:rsidRPr="00455C38" w:rsidRDefault="00DA68A0" w:rsidP="00DA68A0">
      <w:pPr>
        <w:spacing w:after="0" w:line="360" w:lineRule="auto"/>
        <w:ind w:right="850"/>
        <w:jc w:val="both"/>
        <w:rPr>
          <w:rFonts w:ascii="Palatino Linotype" w:eastAsia="Times New Roman" w:hAnsi="Palatino Linotype" w:cs="Arial"/>
          <w:b/>
          <w:sz w:val="2"/>
        </w:rPr>
      </w:pPr>
    </w:p>
    <w:p w14:paraId="59EAA84F" w14:textId="77777777" w:rsidR="00DA68A0" w:rsidRPr="00455C38" w:rsidRDefault="00DA68A0" w:rsidP="00DA68A0">
      <w:pPr>
        <w:spacing w:after="0" w:line="360" w:lineRule="auto"/>
        <w:ind w:right="850"/>
        <w:jc w:val="both"/>
        <w:rPr>
          <w:rFonts w:ascii="Palatino Linotype" w:eastAsia="Times New Roman" w:hAnsi="Palatino Linotype" w:cs="Arial"/>
          <w:b/>
          <w:sz w:val="2"/>
        </w:rPr>
      </w:pPr>
    </w:p>
    <w:p w14:paraId="1A47C19B" w14:textId="77777777" w:rsidR="00DA68A0" w:rsidRPr="00455C38" w:rsidRDefault="00DA68A0" w:rsidP="00DA68A0">
      <w:pPr>
        <w:spacing w:after="0" w:line="360" w:lineRule="auto"/>
        <w:ind w:right="850"/>
        <w:jc w:val="both"/>
        <w:rPr>
          <w:rFonts w:ascii="Palatino Linotype" w:eastAsia="Times New Roman" w:hAnsi="Palatino Linotype" w:cs="Arial"/>
          <w:b/>
          <w:sz w:val="2"/>
        </w:rPr>
      </w:pPr>
    </w:p>
    <w:p w14:paraId="4DDB2828" w14:textId="77777777" w:rsidR="00DA68A0" w:rsidRPr="00455C38" w:rsidRDefault="00DA68A0" w:rsidP="00DA68A0">
      <w:pPr>
        <w:spacing w:after="0" w:line="360" w:lineRule="auto"/>
        <w:jc w:val="both"/>
        <w:rPr>
          <w:rFonts w:ascii="Arial" w:eastAsia="Times New Roman" w:hAnsi="Arial" w:cs="Arial"/>
          <w:shd w:val="clear" w:color="auto" w:fill="FFFFFF"/>
        </w:rPr>
      </w:pPr>
      <w:r w:rsidRPr="00455C38">
        <w:rPr>
          <w:rFonts w:ascii="Palatino Linotype" w:eastAsia="Times New Roman" w:hAnsi="Palatino Linotype" w:cs="Arial"/>
          <w:b/>
          <w:sz w:val="24"/>
        </w:rPr>
        <w:t>MODALIDAD DE ENTREGA: a</w:t>
      </w:r>
      <w:r w:rsidRPr="00455C38">
        <w:rPr>
          <w:rFonts w:ascii="Palatino Linotype" w:eastAsia="Times New Roman" w:hAnsi="Palatino Linotype" w:cs="Arial"/>
          <w:sz w:val="24"/>
        </w:rPr>
        <w:t xml:space="preserve"> través de</w:t>
      </w:r>
      <w:r w:rsidRPr="00455C38">
        <w:rPr>
          <w:rFonts w:ascii="Palatino Linotype" w:eastAsia="Times New Roman" w:hAnsi="Palatino Linotype" w:cs="Arial"/>
          <w:b/>
          <w:sz w:val="24"/>
        </w:rPr>
        <w:t xml:space="preserve"> </w:t>
      </w:r>
      <w:r w:rsidRPr="00455C38">
        <w:rPr>
          <w:rFonts w:ascii="Palatino Linotype" w:eastAsia="Times New Roman" w:hAnsi="Palatino Linotype" w:cs="Arial"/>
          <w:sz w:val="24"/>
        </w:rPr>
        <w:t>SAIMEX</w:t>
      </w:r>
    </w:p>
    <w:p w14:paraId="6BA05FFE" w14:textId="77777777" w:rsidR="00DA68A0" w:rsidRPr="00455C38" w:rsidRDefault="00DA68A0" w:rsidP="00DA68A0">
      <w:pPr>
        <w:spacing w:after="0" w:line="360" w:lineRule="auto"/>
        <w:jc w:val="both"/>
        <w:rPr>
          <w:rFonts w:ascii="Arial" w:eastAsia="Times New Roman" w:hAnsi="Arial" w:cs="Arial"/>
          <w:shd w:val="clear" w:color="auto" w:fill="FFFFFF"/>
        </w:rPr>
      </w:pPr>
    </w:p>
    <w:p w14:paraId="028F8ED6" w14:textId="6C31B87C" w:rsidR="00DA68A0" w:rsidRPr="00455C38" w:rsidRDefault="00DA68A0" w:rsidP="00DA68A0">
      <w:pPr>
        <w:spacing w:after="0" w:line="360" w:lineRule="auto"/>
        <w:jc w:val="both"/>
        <w:rPr>
          <w:rFonts w:ascii="Palatino Linotype" w:eastAsia="Times New Roman" w:hAnsi="Palatino Linotype" w:cs="Times New Roman"/>
          <w:b/>
          <w:color w:val="000000" w:themeColor="text1"/>
          <w:sz w:val="28"/>
          <w:szCs w:val="26"/>
          <w:lang w:val="es-ES_tradnl" w:eastAsia="es-MX"/>
        </w:rPr>
      </w:pPr>
      <w:r w:rsidRPr="00455C38">
        <w:rPr>
          <w:rFonts w:ascii="Palatino Linotype" w:eastAsiaTheme="majorEastAsia" w:hAnsi="Palatino Linotype" w:cs="Arial"/>
          <w:b/>
          <w:color w:val="000000" w:themeColor="text1"/>
          <w:sz w:val="28"/>
          <w:szCs w:val="26"/>
          <w:lang w:val="es-ES_tradnl" w:eastAsia="es-MX"/>
        </w:rPr>
        <w:lastRenderedPageBreak/>
        <w:t>SEGUNDO</w:t>
      </w:r>
      <w:r w:rsidRPr="00455C38">
        <w:rPr>
          <w:rFonts w:ascii="Palatino Linotype" w:eastAsia="Times New Roman" w:hAnsi="Palatino Linotype" w:cs="Times New Roman"/>
          <w:b/>
          <w:color w:val="000000" w:themeColor="text1"/>
          <w:sz w:val="28"/>
          <w:szCs w:val="26"/>
          <w:lang w:val="es-ES_tradnl" w:eastAsia="es-MX"/>
        </w:rPr>
        <w:t xml:space="preserve">. De </w:t>
      </w:r>
      <w:r w:rsidRPr="00455C38">
        <w:rPr>
          <w:rFonts w:ascii="Palatino Linotype" w:eastAsiaTheme="majorEastAsia" w:hAnsi="Palatino Linotype" w:cs="Arial"/>
          <w:b/>
          <w:color w:val="000000" w:themeColor="text1"/>
          <w:sz w:val="28"/>
          <w:szCs w:val="20"/>
          <w:lang w:val="es-ES_tradnl" w:eastAsia="es-MX"/>
        </w:rPr>
        <w:t>la</w:t>
      </w:r>
      <w:r w:rsidR="005B3169" w:rsidRPr="00455C38">
        <w:rPr>
          <w:rFonts w:ascii="Palatino Linotype" w:eastAsiaTheme="majorEastAsia" w:hAnsi="Palatino Linotype" w:cs="Arial"/>
          <w:b/>
          <w:color w:val="000000" w:themeColor="text1"/>
          <w:sz w:val="28"/>
          <w:szCs w:val="20"/>
          <w:lang w:val="es-ES_tradnl" w:eastAsia="es-MX"/>
        </w:rPr>
        <w:t xml:space="preserve"> Prórroga y</w:t>
      </w:r>
      <w:r w:rsidRPr="00455C38">
        <w:rPr>
          <w:rFonts w:ascii="Palatino Linotype" w:eastAsiaTheme="majorEastAsia" w:hAnsi="Palatino Linotype" w:cs="Arial"/>
          <w:b/>
          <w:color w:val="000000" w:themeColor="text1"/>
          <w:sz w:val="28"/>
          <w:szCs w:val="20"/>
          <w:lang w:val="es-ES_tradnl" w:eastAsia="es-MX"/>
        </w:rPr>
        <w:t xml:space="preserve"> falta de respuestas del Sujeto Obligado.</w:t>
      </w:r>
    </w:p>
    <w:p w14:paraId="4A7F5D84" w14:textId="079575A3" w:rsidR="005B3169" w:rsidRPr="00455C38" w:rsidRDefault="005B3169" w:rsidP="00DA68A0">
      <w:pPr>
        <w:keepNext/>
        <w:keepLines/>
        <w:spacing w:after="0" w:line="360" w:lineRule="auto"/>
        <w:jc w:val="both"/>
        <w:outlineLvl w:val="1"/>
        <w:rPr>
          <w:rFonts w:ascii="Palatino Linotype" w:eastAsia="Times New Roman" w:hAnsi="Palatino Linotype" w:cs="Arial"/>
          <w:sz w:val="24"/>
          <w:szCs w:val="24"/>
        </w:rPr>
      </w:pPr>
      <w:r w:rsidRPr="00455C38">
        <w:rPr>
          <w:rFonts w:ascii="Palatino Linotype" w:eastAsia="Times New Roman" w:hAnsi="Palatino Linotype" w:cs="Arial"/>
          <w:sz w:val="24"/>
          <w:szCs w:val="24"/>
        </w:rPr>
        <w:t xml:space="preserve">En el expediente electrónico </w:t>
      </w:r>
      <w:r w:rsidRPr="00455C38">
        <w:rPr>
          <w:rFonts w:ascii="Palatino Linotype" w:eastAsia="Times New Roman" w:hAnsi="Palatino Linotype" w:cs="Arial"/>
          <w:b/>
          <w:sz w:val="24"/>
          <w:szCs w:val="24"/>
        </w:rPr>
        <w:t>SAIMEX</w:t>
      </w:r>
      <w:r w:rsidRPr="00455C38">
        <w:rPr>
          <w:rFonts w:ascii="Palatino Linotype" w:eastAsia="Times New Roman" w:hAnsi="Palatino Linotype" w:cs="Arial"/>
          <w:sz w:val="24"/>
          <w:szCs w:val="24"/>
        </w:rPr>
        <w:t xml:space="preserve">, se aprecia que </w:t>
      </w:r>
      <w:r w:rsidRPr="00455C38">
        <w:rPr>
          <w:rFonts w:ascii="Palatino Linotype" w:eastAsia="Times New Roman" w:hAnsi="Palatino Linotype" w:cs="Arial"/>
          <w:b/>
          <w:sz w:val="24"/>
          <w:szCs w:val="24"/>
        </w:rPr>
        <w:t xml:space="preserve">El Sujeto Obligado </w:t>
      </w:r>
      <w:r w:rsidRPr="00455C38">
        <w:rPr>
          <w:rFonts w:ascii="Palatino Linotype" w:eastAsia="Times New Roman" w:hAnsi="Palatino Linotype" w:cs="Arial"/>
          <w:sz w:val="24"/>
          <w:szCs w:val="24"/>
        </w:rPr>
        <w:t xml:space="preserve">emitió una prorroga en fecha catorce de mayo de dos mil veinticuatro  a efecto de  dar respuesta a la solicitud de información presentada por </w:t>
      </w:r>
      <w:r w:rsidRPr="00455C38">
        <w:rPr>
          <w:rFonts w:ascii="Palatino Linotype" w:eastAsia="Times New Roman" w:hAnsi="Palatino Linotype" w:cs="Arial"/>
          <w:b/>
          <w:sz w:val="24"/>
          <w:szCs w:val="24"/>
        </w:rPr>
        <w:t xml:space="preserve">el Recurrente, </w:t>
      </w:r>
      <w:r w:rsidRPr="00455C38">
        <w:rPr>
          <w:rFonts w:ascii="Palatino Linotype" w:eastAsia="Times New Roman" w:hAnsi="Palatino Linotype" w:cs="Arial"/>
          <w:sz w:val="24"/>
          <w:szCs w:val="24"/>
        </w:rPr>
        <w:t>sin embargo no pasa por desapercibido para este Órgano Garante que no cumple con los requisitos establecidos en el artículo 163 de la Ley de Transparencia Local.</w:t>
      </w:r>
    </w:p>
    <w:p w14:paraId="13335D29" w14:textId="77777777" w:rsidR="005B3169" w:rsidRPr="00455C38" w:rsidRDefault="005B3169" w:rsidP="00DA68A0">
      <w:pPr>
        <w:keepNext/>
        <w:keepLines/>
        <w:spacing w:after="0" w:line="360" w:lineRule="auto"/>
        <w:jc w:val="both"/>
        <w:outlineLvl w:val="1"/>
        <w:rPr>
          <w:rFonts w:ascii="Palatino Linotype" w:eastAsia="Times New Roman" w:hAnsi="Palatino Linotype" w:cs="Arial"/>
          <w:sz w:val="24"/>
          <w:szCs w:val="24"/>
        </w:rPr>
      </w:pPr>
    </w:p>
    <w:p w14:paraId="58674916" w14:textId="77777777" w:rsidR="00DA68A0" w:rsidRPr="00455C38" w:rsidRDefault="00DA68A0" w:rsidP="00DA68A0">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455C38">
        <w:rPr>
          <w:rFonts w:ascii="Palatino Linotype" w:eastAsia="Times New Roman" w:hAnsi="Palatino Linotype" w:cs="Arial"/>
          <w:sz w:val="24"/>
          <w:szCs w:val="24"/>
        </w:rPr>
        <w:t xml:space="preserve">En el expediente electrónico </w:t>
      </w:r>
      <w:r w:rsidRPr="00455C38">
        <w:rPr>
          <w:rFonts w:ascii="Palatino Linotype" w:eastAsia="Times New Roman" w:hAnsi="Palatino Linotype" w:cs="Arial"/>
          <w:b/>
          <w:sz w:val="24"/>
          <w:szCs w:val="24"/>
        </w:rPr>
        <w:t>SAIMEX</w:t>
      </w:r>
      <w:r w:rsidRPr="00455C38">
        <w:rPr>
          <w:rFonts w:ascii="Palatino Linotype" w:eastAsia="Times New Roman" w:hAnsi="Palatino Linotype" w:cs="Arial"/>
          <w:sz w:val="24"/>
          <w:szCs w:val="24"/>
        </w:rPr>
        <w:t xml:space="preserve">, se aprecia que </w:t>
      </w:r>
      <w:r w:rsidRPr="00455C38">
        <w:rPr>
          <w:rFonts w:ascii="Palatino Linotype" w:eastAsia="Times New Roman" w:hAnsi="Palatino Linotype" w:cs="Arial"/>
          <w:b/>
          <w:sz w:val="24"/>
          <w:szCs w:val="24"/>
        </w:rPr>
        <w:t xml:space="preserve">El Sujeto Obligado </w:t>
      </w:r>
      <w:r w:rsidRPr="00455C38">
        <w:rPr>
          <w:rFonts w:ascii="Palatino Linotype" w:eastAsia="Times New Roman" w:hAnsi="Palatino Linotype" w:cs="Arial"/>
          <w:sz w:val="24"/>
          <w:szCs w:val="24"/>
        </w:rPr>
        <w:t xml:space="preserve">fue omiso en dar respuesta a la solicitud de información presentada por </w:t>
      </w:r>
      <w:r w:rsidRPr="00455C38">
        <w:rPr>
          <w:rFonts w:ascii="Palatino Linotype" w:eastAsia="Times New Roman" w:hAnsi="Palatino Linotype" w:cs="Arial"/>
          <w:b/>
          <w:sz w:val="24"/>
          <w:szCs w:val="24"/>
        </w:rPr>
        <w:t xml:space="preserve">el Recurrente, </w:t>
      </w:r>
      <w:r w:rsidRPr="00455C38">
        <w:rPr>
          <w:rFonts w:ascii="Palatino Linotype" w:eastAsia="Times New Roman" w:hAnsi="Palatino Linotype" w:cs="Arial"/>
          <w:sz w:val="24"/>
          <w:szCs w:val="24"/>
        </w:rPr>
        <w:t xml:space="preserve">derivado de lo anterior, se constituye la figura de la </w:t>
      </w:r>
      <w:r w:rsidRPr="00455C38">
        <w:rPr>
          <w:rFonts w:ascii="Palatino Linotype" w:eastAsia="Times New Roman" w:hAnsi="Palatino Linotype" w:cs="Arial"/>
          <w:b/>
          <w:sz w:val="24"/>
          <w:szCs w:val="24"/>
        </w:rPr>
        <w:t xml:space="preserve">NEGATIVA FICTA, </w:t>
      </w:r>
      <w:r w:rsidRPr="00455C38">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0D6BA451" w14:textId="77777777" w:rsidR="00DA68A0" w:rsidRPr="00455C38" w:rsidRDefault="00DA68A0" w:rsidP="00DA68A0">
      <w:pPr>
        <w:spacing w:after="0" w:line="360" w:lineRule="auto"/>
        <w:jc w:val="both"/>
        <w:rPr>
          <w:rFonts w:ascii="Palatino Linotype" w:eastAsia="Times New Roman" w:hAnsi="Palatino Linotype" w:cs="Arial"/>
          <w:sz w:val="24"/>
        </w:rPr>
      </w:pPr>
    </w:p>
    <w:p w14:paraId="758B814D" w14:textId="77777777" w:rsidR="00DA68A0" w:rsidRPr="00455C38" w:rsidRDefault="00DA68A0" w:rsidP="00DA68A0">
      <w:pPr>
        <w:spacing w:after="0" w:line="360" w:lineRule="auto"/>
        <w:jc w:val="both"/>
        <w:rPr>
          <w:rFonts w:ascii="Palatino Linotype" w:eastAsia="Times New Roman" w:hAnsi="Palatino Linotype" w:cs="Arial"/>
          <w:b/>
          <w:sz w:val="28"/>
        </w:rPr>
      </w:pPr>
      <w:r w:rsidRPr="00455C38">
        <w:rPr>
          <w:rFonts w:ascii="Palatino Linotype" w:eastAsia="Times New Roman" w:hAnsi="Palatino Linotype" w:cs="Arial"/>
          <w:b/>
          <w:sz w:val="28"/>
        </w:rPr>
        <w:t xml:space="preserve">TERCERO. </w:t>
      </w:r>
      <w:r w:rsidRPr="00455C38">
        <w:rPr>
          <w:rFonts w:ascii="Palatino Linotype" w:eastAsia="Times New Roman" w:hAnsi="Palatino Linotype" w:cs="Times New Roman"/>
          <w:b/>
          <w:sz w:val="28"/>
        </w:rPr>
        <w:t>Del recurso de revisión.</w:t>
      </w:r>
    </w:p>
    <w:p w14:paraId="1FCEB4A1" w14:textId="6FB9AF82" w:rsidR="00DA68A0" w:rsidRPr="00455C38" w:rsidRDefault="00DA68A0" w:rsidP="00DA68A0">
      <w:pPr>
        <w:spacing w:after="0" w:line="360" w:lineRule="auto"/>
        <w:jc w:val="both"/>
        <w:rPr>
          <w:rFonts w:ascii="Palatino Linotype" w:eastAsia="Times New Roman" w:hAnsi="Palatino Linotype" w:cs="Arial"/>
          <w:b/>
          <w:sz w:val="24"/>
          <w:szCs w:val="24"/>
        </w:rPr>
      </w:pPr>
      <w:r w:rsidRPr="00455C38">
        <w:rPr>
          <w:rFonts w:ascii="Palatino Linotype" w:eastAsia="Times New Roman" w:hAnsi="Palatino Linotype" w:cs="Arial"/>
          <w:sz w:val="24"/>
          <w:szCs w:val="24"/>
        </w:rPr>
        <w:t>Inconforme con la falta de respuesta notificada por el</w:t>
      </w:r>
      <w:r w:rsidRPr="00455C38">
        <w:rPr>
          <w:rFonts w:ascii="Palatino Linotype" w:eastAsia="Times New Roman" w:hAnsi="Palatino Linotype" w:cs="Arial"/>
          <w:b/>
          <w:sz w:val="24"/>
          <w:szCs w:val="24"/>
        </w:rPr>
        <w:t xml:space="preserve"> Sujeto Obligado</w:t>
      </w:r>
      <w:r w:rsidRPr="00455C38">
        <w:rPr>
          <w:rFonts w:ascii="Palatino Linotype" w:eastAsia="Times New Roman" w:hAnsi="Palatino Linotype" w:cs="Arial"/>
          <w:sz w:val="24"/>
          <w:szCs w:val="24"/>
        </w:rPr>
        <w:t>, el Recurrente</w:t>
      </w:r>
      <w:r w:rsidRPr="00455C38">
        <w:rPr>
          <w:rFonts w:ascii="Palatino Linotype" w:eastAsia="Times New Roman" w:hAnsi="Palatino Linotype" w:cs="Arial"/>
          <w:b/>
          <w:sz w:val="24"/>
          <w:szCs w:val="24"/>
        </w:rPr>
        <w:t xml:space="preserve"> </w:t>
      </w:r>
      <w:r w:rsidRPr="00455C38">
        <w:rPr>
          <w:rFonts w:ascii="Palatino Linotype" w:eastAsia="Times New Roman" w:hAnsi="Palatino Linotype" w:cs="Arial"/>
          <w:sz w:val="24"/>
          <w:szCs w:val="24"/>
        </w:rPr>
        <w:t xml:space="preserve">interpuso el presente recurso de revisión, en fecha </w:t>
      </w:r>
      <w:r w:rsidR="005B3169" w:rsidRPr="00455C38">
        <w:rPr>
          <w:rFonts w:ascii="Palatino Linotype" w:eastAsia="Times New Roman" w:hAnsi="Palatino Linotype" w:cs="Times New Roman"/>
          <w:b/>
          <w:bCs/>
          <w:sz w:val="24"/>
        </w:rPr>
        <w:t>veintisiete de mayo</w:t>
      </w:r>
      <w:r w:rsidRPr="00455C38">
        <w:rPr>
          <w:rFonts w:ascii="Palatino Linotype" w:eastAsia="Times New Roman" w:hAnsi="Palatino Linotype" w:cs="Times New Roman"/>
          <w:b/>
          <w:bCs/>
          <w:sz w:val="24"/>
        </w:rPr>
        <w:t xml:space="preserve"> </w:t>
      </w:r>
      <w:r w:rsidRPr="00455C38">
        <w:rPr>
          <w:rFonts w:ascii="Palatino Linotype" w:eastAsia="Times New Roman" w:hAnsi="Palatino Linotype" w:cs="Times New Roman"/>
          <w:sz w:val="24"/>
        </w:rPr>
        <w:t>de dos mil veinticuatro</w:t>
      </w:r>
      <w:r w:rsidRPr="00455C38">
        <w:rPr>
          <w:rFonts w:ascii="Palatino Linotype" w:eastAsia="Times New Roman" w:hAnsi="Palatino Linotype" w:cs="Arial"/>
          <w:sz w:val="24"/>
          <w:szCs w:val="24"/>
        </w:rPr>
        <w:t>, el cual fue registrado</w:t>
      </w:r>
      <w:r w:rsidRPr="00455C38">
        <w:rPr>
          <w:rFonts w:ascii="Palatino Linotype" w:eastAsia="Times New Roman" w:hAnsi="Palatino Linotype" w:cs="Arial"/>
          <w:b/>
          <w:sz w:val="24"/>
          <w:szCs w:val="24"/>
        </w:rPr>
        <w:t xml:space="preserve"> </w:t>
      </w:r>
      <w:r w:rsidRPr="00455C38">
        <w:rPr>
          <w:rFonts w:ascii="Palatino Linotype" w:eastAsia="Times New Roman" w:hAnsi="Palatino Linotype" w:cs="Arial"/>
          <w:sz w:val="24"/>
          <w:szCs w:val="24"/>
        </w:rPr>
        <w:t xml:space="preserve">en el sistema electrónico con el expediente número </w:t>
      </w:r>
      <w:r w:rsidR="005B3169" w:rsidRPr="00455C38">
        <w:rPr>
          <w:rFonts w:ascii="Palatino Linotype" w:eastAsia="Times New Roman" w:hAnsi="Palatino Linotype" w:cs="Arial"/>
          <w:b/>
          <w:sz w:val="24"/>
          <w:szCs w:val="24"/>
        </w:rPr>
        <w:t>03295/</w:t>
      </w:r>
      <w:r w:rsidRPr="00455C38">
        <w:rPr>
          <w:rFonts w:ascii="Palatino Linotype" w:eastAsia="Times New Roman" w:hAnsi="Palatino Linotype" w:cs="Arial"/>
          <w:b/>
          <w:bCs/>
          <w:sz w:val="24"/>
          <w:szCs w:val="24"/>
          <w:lang w:eastAsia="es-MX"/>
        </w:rPr>
        <w:t>INFOEM/IP/RR/2024</w:t>
      </w:r>
      <w:r w:rsidRPr="00455C38">
        <w:rPr>
          <w:rFonts w:ascii="Palatino Linotype" w:eastAsia="Times New Roman" w:hAnsi="Palatino Linotype" w:cs="Arial"/>
          <w:sz w:val="24"/>
          <w:szCs w:val="24"/>
        </w:rPr>
        <w:t xml:space="preserve">, en el cual </w:t>
      </w:r>
      <w:r w:rsidRPr="00455C38">
        <w:rPr>
          <w:rFonts w:ascii="Palatino Linotype" w:eastAsia="Times New Roman" w:hAnsi="Palatino Linotype" w:cs="Arial"/>
          <w:sz w:val="24"/>
        </w:rPr>
        <w:t>arguye, las siguientes manifestaciones:</w:t>
      </w:r>
    </w:p>
    <w:p w14:paraId="0E47C898" w14:textId="77777777" w:rsidR="005B3169" w:rsidRPr="00455C38" w:rsidRDefault="005B3169" w:rsidP="005B3169">
      <w:pPr>
        <w:spacing w:after="0" w:line="360" w:lineRule="auto"/>
        <w:ind w:left="720"/>
        <w:jc w:val="both"/>
        <w:rPr>
          <w:rFonts w:ascii="Palatino Linotype" w:eastAsia="Times New Roman" w:hAnsi="Palatino Linotype" w:cs="Arial"/>
          <w:b/>
          <w:i/>
          <w:sz w:val="24"/>
          <w:szCs w:val="24"/>
          <w:lang w:val="es-ES" w:eastAsia="es-ES"/>
        </w:rPr>
      </w:pPr>
    </w:p>
    <w:p w14:paraId="6072C295" w14:textId="77777777" w:rsidR="005B3169" w:rsidRPr="00455C38" w:rsidRDefault="00DA68A0" w:rsidP="005B3169">
      <w:pPr>
        <w:spacing w:after="0" w:line="360" w:lineRule="auto"/>
        <w:ind w:left="720"/>
        <w:jc w:val="both"/>
        <w:rPr>
          <w:rFonts w:ascii="Palatino Linotype" w:eastAsia="Times New Roman" w:hAnsi="Palatino Linotype" w:cs="Arial"/>
          <w:b/>
          <w:i/>
          <w:sz w:val="24"/>
          <w:szCs w:val="24"/>
          <w:lang w:val="es-ES" w:eastAsia="es-ES"/>
        </w:rPr>
      </w:pPr>
      <w:r w:rsidRPr="00455C38">
        <w:rPr>
          <w:rFonts w:ascii="Palatino Linotype" w:eastAsia="Times New Roman" w:hAnsi="Palatino Linotype" w:cs="Arial"/>
          <w:b/>
          <w:i/>
          <w:sz w:val="24"/>
          <w:szCs w:val="24"/>
          <w:lang w:val="es-ES" w:eastAsia="es-ES"/>
        </w:rPr>
        <w:t>Acto Impugnado</w:t>
      </w:r>
      <w:r w:rsidR="005B3169" w:rsidRPr="00455C38">
        <w:rPr>
          <w:rFonts w:ascii="Palatino Linotype" w:eastAsia="Times New Roman" w:hAnsi="Palatino Linotype" w:cs="Arial"/>
          <w:b/>
          <w:i/>
          <w:sz w:val="24"/>
          <w:szCs w:val="24"/>
          <w:lang w:val="es-ES" w:eastAsia="es-ES"/>
        </w:rPr>
        <w:t xml:space="preserve"> </w:t>
      </w:r>
    </w:p>
    <w:p w14:paraId="1C102093" w14:textId="31BE61C6" w:rsidR="005B3169" w:rsidRPr="00455C38" w:rsidRDefault="005B3169" w:rsidP="005B3169">
      <w:pPr>
        <w:spacing w:after="0" w:line="360" w:lineRule="auto"/>
        <w:ind w:left="720"/>
        <w:jc w:val="both"/>
        <w:rPr>
          <w:rFonts w:ascii="Palatino Linotype" w:hAnsi="Palatino Linotype"/>
          <w:i/>
          <w:color w:val="000000"/>
          <w:sz w:val="24"/>
          <w:szCs w:val="24"/>
        </w:rPr>
      </w:pPr>
      <w:r w:rsidRPr="00455C38">
        <w:rPr>
          <w:rFonts w:ascii="Palatino Linotype" w:eastAsia="Times New Roman" w:hAnsi="Palatino Linotype" w:cs="Arial"/>
          <w:b/>
          <w:i/>
          <w:sz w:val="24"/>
          <w:szCs w:val="24"/>
          <w:lang w:val="es-ES" w:eastAsia="es-ES"/>
        </w:rPr>
        <w:t>“F</w:t>
      </w:r>
      <w:r w:rsidRPr="00455C38">
        <w:rPr>
          <w:rFonts w:ascii="Palatino Linotype" w:hAnsi="Palatino Linotype"/>
          <w:i/>
          <w:color w:val="000000"/>
          <w:sz w:val="24"/>
          <w:szCs w:val="24"/>
        </w:rPr>
        <w:t xml:space="preserve">alta de respuesta a una solicitud de información” (SIC) </w:t>
      </w:r>
    </w:p>
    <w:p w14:paraId="72E716A1" w14:textId="77777777" w:rsidR="005B3169" w:rsidRPr="00455C38" w:rsidRDefault="005B3169" w:rsidP="005B3169">
      <w:pPr>
        <w:spacing w:after="0" w:line="360" w:lineRule="auto"/>
        <w:ind w:left="720"/>
        <w:jc w:val="both"/>
        <w:rPr>
          <w:rFonts w:ascii="Palatino Linotype" w:eastAsia="Times New Roman" w:hAnsi="Palatino Linotype" w:cs="Arial"/>
          <w:b/>
          <w:i/>
          <w:sz w:val="24"/>
          <w:szCs w:val="24"/>
          <w:lang w:val="es-ES" w:eastAsia="es-ES"/>
        </w:rPr>
      </w:pPr>
    </w:p>
    <w:p w14:paraId="57F4569C" w14:textId="2D9FAAD1" w:rsidR="00DA68A0" w:rsidRPr="00455C38" w:rsidRDefault="00DA68A0" w:rsidP="005B3169">
      <w:pPr>
        <w:spacing w:after="0" w:line="360" w:lineRule="auto"/>
        <w:ind w:left="720"/>
        <w:jc w:val="both"/>
        <w:rPr>
          <w:rFonts w:ascii="Palatino Linotype" w:eastAsia="Times New Roman" w:hAnsi="Palatino Linotype" w:cs="Arial"/>
          <w:b/>
          <w:i/>
          <w:sz w:val="24"/>
          <w:szCs w:val="24"/>
          <w:lang w:val="es-ES" w:eastAsia="es-ES"/>
        </w:rPr>
      </w:pPr>
      <w:r w:rsidRPr="00455C38">
        <w:rPr>
          <w:rFonts w:ascii="Palatino Linotype" w:eastAsia="Times New Roman" w:hAnsi="Palatino Linotype" w:cs="Arial"/>
          <w:b/>
          <w:i/>
          <w:sz w:val="24"/>
          <w:szCs w:val="24"/>
          <w:lang w:val="es-ES" w:eastAsia="es-ES"/>
        </w:rPr>
        <w:t xml:space="preserve"> </w:t>
      </w:r>
      <w:r w:rsidRPr="00455C38">
        <w:rPr>
          <w:rFonts w:ascii="Palatino Linotype" w:eastAsia="Times New Roman" w:hAnsi="Palatino Linotype" w:cs="Times New Roman"/>
          <w:b/>
          <w:i/>
          <w:sz w:val="24"/>
          <w:szCs w:val="24"/>
          <w:lang w:val="es-ES" w:eastAsia="es-ES"/>
        </w:rPr>
        <w:t>Razones o motivos de inconformidad</w:t>
      </w:r>
    </w:p>
    <w:p w14:paraId="53AB7B82" w14:textId="77777777" w:rsidR="00DA68A0" w:rsidRPr="00455C38" w:rsidRDefault="00DA68A0" w:rsidP="005B3169">
      <w:pPr>
        <w:spacing w:after="0" w:line="360" w:lineRule="auto"/>
        <w:ind w:left="720"/>
        <w:jc w:val="both"/>
        <w:rPr>
          <w:rFonts w:ascii="Palatino Linotype" w:eastAsia="Times New Roman" w:hAnsi="Palatino Linotype" w:cs="Arial"/>
          <w:b/>
          <w:i/>
          <w:sz w:val="24"/>
          <w:szCs w:val="24"/>
          <w:lang w:val="es-ES" w:eastAsia="es-ES"/>
        </w:rPr>
      </w:pPr>
    </w:p>
    <w:p w14:paraId="74AE0616" w14:textId="1F40640D" w:rsidR="00DA68A0" w:rsidRPr="00455C38" w:rsidRDefault="00DA68A0" w:rsidP="005B3169">
      <w:pPr>
        <w:spacing w:after="0" w:line="360" w:lineRule="auto"/>
        <w:ind w:left="720"/>
        <w:jc w:val="both"/>
        <w:rPr>
          <w:rFonts w:ascii="Palatino Linotype" w:eastAsia="Times New Roman" w:hAnsi="Palatino Linotype" w:cs="Times New Roman"/>
          <w:i/>
          <w:color w:val="000000"/>
          <w:sz w:val="24"/>
          <w:szCs w:val="24"/>
          <w:lang w:val="es-ES" w:eastAsia="es-ES"/>
        </w:rPr>
      </w:pPr>
      <w:r w:rsidRPr="00455C38">
        <w:rPr>
          <w:rFonts w:ascii="Palatino Linotype" w:eastAsia="Times New Roman" w:hAnsi="Palatino Linotype" w:cs="Times New Roman"/>
          <w:i/>
          <w:color w:val="000000"/>
          <w:sz w:val="24"/>
          <w:szCs w:val="24"/>
          <w:lang w:val="es-ES" w:eastAsia="es-ES"/>
        </w:rPr>
        <w:lastRenderedPageBreak/>
        <w:t>“</w:t>
      </w:r>
      <w:r w:rsidR="005B3169" w:rsidRPr="00455C38">
        <w:rPr>
          <w:rFonts w:ascii="Palatino Linotype" w:hAnsi="Palatino Linotype"/>
          <w:i/>
          <w:color w:val="000000"/>
          <w:sz w:val="24"/>
          <w:szCs w:val="24"/>
        </w:rPr>
        <w:t>Se agotó el plazo para responder y la autoridad no ha dado información respecto de lo solicitado, como se puede verificar en sistema</w:t>
      </w:r>
      <w:r w:rsidRPr="00455C38">
        <w:rPr>
          <w:rFonts w:ascii="Palatino Linotype" w:eastAsia="Times New Roman" w:hAnsi="Palatino Linotype" w:cs="Times New Roman"/>
          <w:i/>
          <w:color w:val="000000"/>
          <w:sz w:val="24"/>
          <w:szCs w:val="24"/>
          <w:lang w:val="es-ES" w:eastAsia="es-ES"/>
        </w:rPr>
        <w:t>” (sic)</w:t>
      </w:r>
    </w:p>
    <w:p w14:paraId="532C6E5B" w14:textId="77777777" w:rsidR="00DA68A0" w:rsidRPr="00455C38" w:rsidRDefault="00DA68A0" w:rsidP="00DA68A0">
      <w:pPr>
        <w:spacing w:after="0" w:line="240" w:lineRule="auto"/>
        <w:ind w:left="720"/>
        <w:jc w:val="both"/>
        <w:rPr>
          <w:rFonts w:ascii="Palatino Linotype" w:eastAsia="Times New Roman" w:hAnsi="Palatino Linotype" w:cs="Times New Roman"/>
          <w:i/>
          <w:color w:val="000000"/>
          <w:sz w:val="24"/>
          <w:szCs w:val="24"/>
          <w:lang w:val="es-ES" w:eastAsia="es-ES"/>
        </w:rPr>
      </w:pPr>
    </w:p>
    <w:p w14:paraId="0FD2ED48" w14:textId="77777777" w:rsidR="00DA68A0" w:rsidRPr="00455C38" w:rsidRDefault="00DA68A0" w:rsidP="00DA68A0">
      <w:pPr>
        <w:spacing w:after="0" w:line="240" w:lineRule="auto"/>
        <w:rPr>
          <w:rFonts w:ascii="Palatino Linotype" w:eastAsia="Times New Roman" w:hAnsi="Palatino Linotype" w:cs="Times New Roman"/>
          <w:sz w:val="24"/>
          <w:szCs w:val="24"/>
          <w:lang w:eastAsia="es-ES"/>
        </w:rPr>
      </w:pPr>
    </w:p>
    <w:p w14:paraId="29E5986F" w14:textId="77777777" w:rsidR="00DA68A0" w:rsidRPr="00455C38" w:rsidRDefault="00DA68A0" w:rsidP="00DA68A0">
      <w:pPr>
        <w:spacing w:after="0" w:line="360" w:lineRule="auto"/>
        <w:jc w:val="both"/>
        <w:rPr>
          <w:rFonts w:ascii="Palatino Linotype" w:eastAsia="Times New Roman" w:hAnsi="Palatino Linotype" w:cs="Arial"/>
          <w:b/>
          <w:sz w:val="24"/>
          <w:szCs w:val="24"/>
        </w:rPr>
      </w:pPr>
      <w:r w:rsidRPr="00455C38">
        <w:rPr>
          <w:rFonts w:ascii="Palatino Linotype" w:eastAsia="Times New Roman" w:hAnsi="Palatino Linotype" w:cs="Arial"/>
          <w:b/>
          <w:sz w:val="28"/>
        </w:rPr>
        <w:t>CUARTO</w:t>
      </w:r>
      <w:r w:rsidRPr="00455C38">
        <w:rPr>
          <w:rFonts w:ascii="Palatino Linotype" w:eastAsia="Times New Roman" w:hAnsi="Palatino Linotype" w:cs="Arial"/>
          <w:b/>
          <w:sz w:val="24"/>
          <w:szCs w:val="24"/>
        </w:rPr>
        <w:t xml:space="preserve">. </w:t>
      </w:r>
      <w:r w:rsidRPr="00455C38">
        <w:rPr>
          <w:rFonts w:ascii="Palatino Linotype" w:eastAsia="Times New Roman" w:hAnsi="Palatino Linotype" w:cs="Arial"/>
          <w:b/>
          <w:sz w:val="28"/>
          <w:szCs w:val="28"/>
        </w:rPr>
        <w:t>Del turno y admisión del recurso de revisión.</w:t>
      </w:r>
    </w:p>
    <w:p w14:paraId="6815936B" w14:textId="5E298E65" w:rsidR="00DA68A0" w:rsidRPr="00455C38" w:rsidRDefault="00DA68A0" w:rsidP="00DA68A0">
      <w:pPr>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t xml:space="preserve">El medio de impugnación le fue turnado al Comisionado Presidente </w:t>
      </w:r>
      <w:r w:rsidRPr="00455C38">
        <w:rPr>
          <w:rFonts w:ascii="Palatino Linotype" w:eastAsia="Times New Roman" w:hAnsi="Palatino Linotype" w:cs="Arial"/>
          <w:b/>
          <w:sz w:val="24"/>
          <w:szCs w:val="24"/>
        </w:rPr>
        <w:t>José Martínez Vilchis</w:t>
      </w:r>
      <w:r w:rsidRPr="00455C38">
        <w:rPr>
          <w:rFonts w:ascii="Palatino Linotype" w:eastAsia="Times New Roman" w:hAnsi="Palatino Linotype" w:cs="Arial"/>
          <w:sz w:val="24"/>
          <w:szCs w:val="24"/>
        </w:rPr>
        <w:t xml:space="preserve">, por medio del sistema electrónico en términos del arábigo 185, fracción I, de la Ley de Transparencia y Acceso a la información Pública del Estado de México y Municipios, del cual recayó el </w:t>
      </w:r>
      <w:r w:rsidRPr="00455C38">
        <w:rPr>
          <w:rFonts w:ascii="Palatino Linotype" w:eastAsia="Times New Roman" w:hAnsi="Palatino Linotype" w:cs="Arial"/>
          <w:b/>
          <w:sz w:val="24"/>
          <w:szCs w:val="24"/>
        </w:rPr>
        <w:t>acuerdo de admisión</w:t>
      </w:r>
      <w:r w:rsidRPr="00455C38">
        <w:rPr>
          <w:rFonts w:ascii="Palatino Linotype" w:eastAsia="Times New Roman" w:hAnsi="Palatino Linotype" w:cs="Arial"/>
          <w:sz w:val="24"/>
          <w:szCs w:val="24"/>
        </w:rPr>
        <w:t xml:space="preserve"> en fecha </w:t>
      </w:r>
      <w:r w:rsidR="005B3169" w:rsidRPr="00455C38">
        <w:rPr>
          <w:rFonts w:ascii="Palatino Linotype" w:eastAsia="Times New Roman" w:hAnsi="Palatino Linotype" w:cs="Times New Roman"/>
          <w:b/>
          <w:bCs/>
          <w:sz w:val="24"/>
        </w:rPr>
        <w:t>treinta y uno de mayo</w:t>
      </w:r>
      <w:r w:rsidRPr="00455C38">
        <w:rPr>
          <w:rFonts w:ascii="Palatino Linotype" w:eastAsia="Times New Roman" w:hAnsi="Palatino Linotype" w:cs="Times New Roman"/>
          <w:b/>
          <w:bCs/>
          <w:sz w:val="24"/>
        </w:rPr>
        <w:t xml:space="preserve"> de dos mil veinticuatro</w:t>
      </w:r>
      <w:r w:rsidRPr="00455C38">
        <w:rPr>
          <w:rFonts w:ascii="Palatino Linotype" w:eastAsia="Times New Roman" w:hAnsi="Palatino Linotype" w:cs="Arial"/>
          <w:sz w:val="24"/>
          <w:szCs w:val="24"/>
        </w:rPr>
        <w:t>, determinándose en él, un plazo de siete días para que las partes manifestaran lo que a su derecho corresponda en términos del numeral ya citado.</w:t>
      </w:r>
    </w:p>
    <w:p w14:paraId="1EC55973" w14:textId="77777777" w:rsidR="00DA68A0" w:rsidRPr="00455C38" w:rsidRDefault="00DA68A0" w:rsidP="00DA68A0">
      <w:pPr>
        <w:spacing w:after="0" w:line="360" w:lineRule="auto"/>
        <w:jc w:val="both"/>
        <w:rPr>
          <w:rFonts w:ascii="Palatino Linotype" w:eastAsia="Times New Roman" w:hAnsi="Palatino Linotype" w:cs="Arial"/>
          <w:sz w:val="24"/>
          <w:szCs w:val="24"/>
        </w:rPr>
      </w:pPr>
    </w:p>
    <w:p w14:paraId="140541A2" w14:textId="764D44F9" w:rsidR="00DA68A0" w:rsidRPr="00455C38" w:rsidRDefault="004743B5" w:rsidP="00DA68A0">
      <w:pPr>
        <w:spacing w:after="0" w:line="360" w:lineRule="auto"/>
        <w:jc w:val="both"/>
        <w:rPr>
          <w:rFonts w:ascii="Palatino Linotype" w:eastAsia="Times New Roman" w:hAnsi="Palatino Linotype" w:cs="Arial"/>
          <w:b/>
          <w:sz w:val="28"/>
          <w:szCs w:val="28"/>
        </w:rPr>
      </w:pPr>
      <w:r w:rsidRPr="00455C38">
        <w:rPr>
          <w:rFonts w:ascii="Palatino Linotype" w:eastAsia="Times New Roman" w:hAnsi="Palatino Linotype" w:cs="Arial"/>
          <w:b/>
          <w:sz w:val="28"/>
        </w:rPr>
        <w:t>QUINTO</w:t>
      </w:r>
      <w:r w:rsidR="00DA68A0" w:rsidRPr="00455C38">
        <w:rPr>
          <w:rFonts w:ascii="Palatino Linotype" w:eastAsia="Times New Roman" w:hAnsi="Palatino Linotype" w:cs="Arial"/>
          <w:b/>
          <w:sz w:val="28"/>
        </w:rPr>
        <w:t xml:space="preserve">. </w:t>
      </w:r>
      <w:r w:rsidR="00DA68A0" w:rsidRPr="00455C38">
        <w:rPr>
          <w:rFonts w:ascii="Palatino Linotype" w:eastAsia="Times New Roman" w:hAnsi="Palatino Linotype" w:cs="Arial"/>
          <w:b/>
          <w:sz w:val="28"/>
          <w:szCs w:val="28"/>
        </w:rPr>
        <w:t>De la etapa de instrucción.</w:t>
      </w:r>
    </w:p>
    <w:p w14:paraId="28B3A7D0" w14:textId="43E60F16" w:rsidR="00DA68A0" w:rsidRPr="00455C38" w:rsidRDefault="00DA68A0" w:rsidP="00DA68A0">
      <w:pPr>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t xml:space="preserve">Una vez abierta la etapa de instrucción, se advierte que el </w:t>
      </w:r>
      <w:r w:rsidRPr="00455C38">
        <w:rPr>
          <w:rFonts w:ascii="Palatino Linotype" w:eastAsia="Times New Roman" w:hAnsi="Palatino Linotype" w:cs="Arial"/>
          <w:b/>
          <w:sz w:val="24"/>
          <w:szCs w:val="24"/>
        </w:rPr>
        <w:t>Sujeto Obligado</w:t>
      </w:r>
      <w:r w:rsidR="005B3169" w:rsidRPr="00455C38">
        <w:rPr>
          <w:rFonts w:ascii="Palatino Linotype" w:eastAsia="Times New Roman" w:hAnsi="Palatino Linotype" w:cs="Arial"/>
          <w:sz w:val="24"/>
          <w:szCs w:val="24"/>
        </w:rPr>
        <w:t xml:space="preserve"> fue omiso en rendir su informe justificado</w:t>
      </w:r>
      <w:r w:rsidRPr="00455C38">
        <w:rPr>
          <w:rFonts w:ascii="Palatino Linotype" w:eastAsia="Times New Roman" w:hAnsi="Palatino Linotype" w:cs="Arial"/>
          <w:sz w:val="24"/>
          <w:szCs w:val="24"/>
        </w:rPr>
        <w:t>. De igual manera, se advierte que el Recurrente</w:t>
      </w:r>
      <w:r w:rsidRPr="00455C38">
        <w:rPr>
          <w:rFonts w:ascii="Palatino Linotype" w:eastAsia="Times New Roman" w:hAnsi="Palatino Linotype" w:cs="Arial"/>
          <w:b/>
          <w:sz w:val="24"/>
          <w:szCs w:val="24"/>
        </w:rPr>
        <w:t>,</w:t>
      </w:r>
      <w:r w:rsidRPr="00455C38">
        <w:rPr>
          <w:rFonts w:ascii="Palatino Linotype" w:eastAsia="Times New Roman" w:hAnsi="Palatino Linotype" w:cs="Arial"/>
          <w:sz w:val="24"/>
          <w:szCs w:val="24"/>
        </w:rPr>
        <w:t xml:space="preserve"> omitió rendir dentro del término de Ley, las manifestaciones que a sus intereses conviniera.</w:t>
      </w:r>
    </w:p>
    <w:p w14:paraId="0F39A6BD" w14:textId="77777777" w:rsidR="00DA68A0" w:rsidRPr="00455C38" w:rsidRDefault="00DA68A0" w:rsidP="00DA68A0">
      <w:pPr>
        <w:spacing w:after="0" w:line="360" w:lineRule="auto"/>
        <w:rPr>
          <w:rFonts w:ascii="Palatino Linotype" w:eastAsia="Times New Roman" w:hAnsi="Palatino Linotype" w:cs="Arial"/>
          <w:sz w:val="24"/>
          <w:szCs w:val="24"/>
        </w:rPr>
      </w:pPr>
    </w:p>
    <w:p w14:paraId="31BE61C6" w14:textId="77777777" w:rsidR="00DA68A0" w:rsidRPr="00455C38" w:rsidRDefault="00DA68A0" w:rsidP="00DA68A0">
      <w:pPr>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455C38">
        <w:rPr>
          <w:rFonts w:ascii="Palatino Linotype" w:eastAsia="Times New Roman" w:hAnsi="Palatino Linotype" w:cs="Arial"/>
          <w:b/>
          <w:sz w:val="24"/>
          <w:szCs w:val="24"/>
        </w:rPr>
        <w:t>Recurrente</w:t>
      </w:r>
      <w:r w:rsidRPr="00455C38">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6FB9BCD9" w14:textId="77777777" w:rsidR="00DA68A0" w:rsidRPr="00455C38" w:rsidRDefault="00DA68A0" w:rsidP="00DA68A0">
      <w:pPr>
        <w:spacing w:after="0" w:line="360" w:lineRule="auto"/>
        <w:jc w:val="both"/>
        <w:rPr>
          <w:rFonts w:ascii="Palatino Linotype" w:eastAsia="Times New Roman" w:hAnsi="Palatino Linotype" w:cs="Arial"/>
          <w:sz w:val="24"/>
          <w:szCs w:val="24"/>
        </w:rPr>
      </w:pPr>
    </w:p>
    <w:p w14:paraId="438EBB75" w14:textId="01EB1D6E" w:rsidR="00DA68A0" w:rsidRPr="00455C38" w:rsidRDefault="004743B5" w:rsidP="00DA68A0">
      <w:pPr>
        <w:spacing w:after="0" w:line="360" w:lineRule="auto"/>
        <w:jc w:val="both"/>
        <w:rPr>
          <w:rFonts w:ascii="Palatino Linotype" w:eastAsia="Times New Roman" w:hAnsi="Palatino Linotype" w:cs="Arial"/>
          <w:b/>
          <w:sz w:val="28"/>
          <w:szCs w:val="28"/>
        </w:rPr>
      </w:pPr>
      <w:r w:rsidRPr="00455C38">
        <w:rPr>
          <w:rFonts w:ascii="Palatino Linotype" w:eastAsia="Times New Roman" w:hAnsi="Palatino Linotype" w:cs="Arial"/>
          <w:b/>
          <w:sz w:val="28"/>
        </w:rPr>
        <w:t>SEXT</w:t>
      </w:r>
      <w:r w:rsidR="00DA68A0" w:rsidRPr="00455C38">
        <w:rPr>
          <w:rFonts w:ascii="Palatino Linotype" w:eastAsia="Times New Roman" w:hAnsi="Palatino Linotype" w:cs="Arial"/>
          <w:b/>
          <w:sz w:val="28"/>
        </w:rPr>
        <w:t xml:space="preserve">O. </w:t>
      </w:r>
      <w:r w:rsidR="00DA68A0" w:rsidRPr="00455C38">
        <w:rPr>
          <w:rFonts w:ascii="Palatino Linotype" w:eastAsia="Times New Roman" w:hAnsi="Palatino Linotype" w:cs="Arial"/>
          <w:b/>
          <w:sz w:val="28"/>
          <w:szCs w:val="28"/>
        </w:rPr>
        <w:t>Del cierre de la etapa de instrucción.</w:t>
      </w:r>
    </w:p>
    <w:p w14:paraId="55BA3D43" w14:textId="6FDD72D8" w:rsidR="00DA68A0" w:rsidRPr="00455C38" w:rsidRDefault="00DA68A0" w:rsidP="00DA68A0">
      <w:pPr>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lastRenderedPageBreak/>
        <w:t>En fecha</w:t>
      </w:r>
      <w:r w:rsidRPr="00455C38">
        <w:rPr>
          <w:rFonts w:ascii="Palatino Linotype" w:eastAsia="Times New Roman" w:hAnsi="Palatino Linotype" w:cs="Arial"/>
          <w:b/>
          <w:bCs/>
          <w:sz w:val="24"/>
          <w:szCs w:val="24"/>
        </w:rPr>
        <w:t xml:space="preserve"> </w:t>
      </w:r>
      <w:r w:rsidR="005B3169" w:rsidRPr="00455C38">
        <w:rPr>
          <w:rFonts w:ascii="Palatino Linotype" w:eastAsia="Times New Roman" w:hAnsi="Palatino Linotype" w:cs="Arial"/>
          <w:b/>
          <w:bCs/>
          <w:sz w:val="24"/>
          <w:szCs w:val="24"/>
        </w:rPr>
        <w:t xml:space="preserve">doce </w:t>
      </w:r>
      <w:r w:rsidRPr="00455C38">
        <w:rPr>
          <w:rFonts w:ascii="Palatino Linotype" w:eastAsia="Times New Roman" w:hAnsi="Palatino Linotype" w:cs="Arial"/>
          <w:b/>
          <w:bCs/>
          <w:sz w:val="24"/>
          <w:szCs w:val="24"/>
        </w:rPr>
        <w:t xml:space="preserve">de junio </w:t>
      </w:r>
      <w:r w:rsidRPr="00455C38">
        <w:rPr>
          <w:rFonts w:ascii="Palatino Linotype" w:eastAsia="Times New Roman" w:hAnsi="Palatino Linotype" w:cs="Times New Roman"/>
          <w:sz w:val="24"/>
        </w:rPr>
        <w:t>de dos mil veinticuatro</w:t>
      </w:r>
      <w:r w:rsidRPr="00455C38">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33D4C57A" w14:textId="77777777" w:rsidR="004743B5" w:rsidRPr="00455C38" w:rsidRDefault="004743B5" w:rsidP="00DA68A0">
      <w:pPr>
        <w:spacing w:after="0" w:line="360" w:lineRule="auto"/>
        <w:jc w:val="both"/>
        <w:rPr>
          <w:rFonts w:ascii="Palatino Linotype" w:eastAsia="Times New Roman" w:hAnsi="Palatino Linotype" w:cs="Arial"/>
          <w:sz w:val="24"/>
          <w:szCs w:val="24"/>
        </w:rPr>
      </w:pPr>
    </w:p>
    <w:p w14:paraId="64CD114C" w14:textId="77777777" w:rsidR="00DA68A0" w:rsidRPr="00455C38" w:rsidRDefault="00DA68A0" w:rsidP="00DA68A0">
      <w:pPr>
        <w:spacing w:after="0" w:line="360" w:lineRule="auto"/>
        <w:jc w:val="center"/>
        <w:rPr>
          <w:rFonts w:ascii="Palatino Linotype" w:eastAsia="Times New Roman" w:hAnsi="Palatino Linotype" w:cs="Arial"/>
          <w:b/>
          <w:sz w:val="28"/>
        </w:rPr>
      </w:pPr>
      <w:r w:rsidRPr="00455C38">
        <w:rPr>
          <w:rFonts w:ascii="Palatino Linotype" w:eastAsia="Times New Roman" w:hAnsi="Palatino Linotype" w:cs="Arial"/>
          <w:b/>
          <w:sz w:val="28"/>
        </w:rPr>
        <w:t>C O N S I D E R A N D O</w:t>
      </w:r>
    </w:p>
    <w:p w14:paraId="2A1D8846" w14:textId="77777777" w:rsidR="00DA68A0" w:rsidRPr="00455C38" w:rsidRDefault="00DA68A0" w:rsidP="00DA68A0">
      <w:pPr>
        <w:spacing w:after="0" w:line="240" w:lineRule="auto"/>
        <w:rPr>
          <w:rFonts w:ascii="Palatino Linotype" w:eastAsia="Times New Roman" w:hAnsi="Palatino Linotype" w:cs="Times New Roman"/>
          <w:sz w:val="24"/>
          <w:szCs w:val="24"/>
          <w:lang w:eastAsia="es-ES"/>
        </w:rPr>
      </w:pPr>
    </w:p>
    <w:p w14:paraId="4A019BFA" w14:textId="77777777" w:rsidR="00DA68A0" w:rsidRPr="00455C38" w:rsidRDefault="00DA68A0" w:rsidP="00DA68A0">
      <w:pPr>
        <w:spacing w:after="0" w:line="240" w:lineRule="auto"/>
        <w:rPr>
          <w:rFonts w:ascii="Palatino Linotype" w:eastAsia="Times New Roman" w:hAnsi="Palatino Linotype" w:cs="Times New Roman"/>
          <w:sz w:val="24"/>
          <w:szCs w:val="24"/>
          <w:lang w:eastAsia="es-ES"/>
        </w:rPr>
      </w:pPr>
    </w:p>
    <w:p w14:paraId="3AC9A8A7" w14:textId="77777777" w:rsidR="00DA68A0" w:rsidRPr="00455C38" w:rsidRDefault="00DA68A0" w:rsidP="00DA68A0">
      <w:pPr>
        <w:spacing w:after="0" w:line="360" w:lineRule="auto"/>
        <w:jc w:val="both"/>
        <w:rPr>
          <w:rFonts w:ascii="Palatino Linotype" w:eastAsia="Times New Roman" w:hAnsi="Palatino Linotype" w:cs="Arial"/>
          <w:sz w:val="24"/>
        </w:rPr>
      </w:pPr>
      <w:r w:rsidRPr="00455C38">
        <w:rPr>
          <w:rFonts w:ascii="Palatino Linotype" w:eastAsia="Times New Roman" w:hAnsi="Palatino Linotype" w:cs="Arial"/>
          <w:b/>
          <w:sz w:val="28"/>
        </w:rPr>
        <w:t>PRIMERO.</w:t>
      </w:r>
      <w:r w:rsidRPr="00455C38">
        <w:rPr>
          <w:rFonts w:ascii="Palatino Linotype" w:eastAsia="Times New Roman" w:hAnsi="Palatino Linotype" w:cs="Arial"/>
          <w:b/>
        </w:rPr>
        <w:t xml:space="preserve"> </w:t>
      </w:r>
      <w:r w:rsidRPr="00455C38">
        <w:rPr>
          <w:rFonts w:ascii="Palatino Linotype" w:eastAsia="Times New Roman" w:hAnsi="Palatino Linotype" w:cs="Arial"/>
          <w:b/>
          <w:sz w:val="28"/>
          <w:szCs w:val="28"/>
        </w:rPr>
        <w:t>De la competencia</w:t>
      </w:r>
      <w:r w:rsidRPr="00455C38">
        <w:rPr>
          <w:rFonts w:ascii="Palatino Linotype" w:eastAsia="Times New Roman" w:hAnsi="Palatino Linotype" w:cs="Arial"/>
          <w:sz w:val="28"/>
          <w:szCs w:val="28"/>
        </w:rPr>
        <w:t>.</w:t>
      </w:r>
    </w:p>
    <w:p w14:paraId="6557D88C"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55C38">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455C38">
          <w:rPr>
            <w:rFonts w:ascii="Palatino Linotype" w:eastAsia="Times New Roman" w:hAnsi="Palatino Linotype" w:cs="Arial"/>
            <w:sz w:val="24"/>
            <w:szCs w:val="24"/>
            <w:lang w:val="es-ES" w:eastAsia="es-ES"/>
          </w:rPr>
          <w:t>176, 178, 179, 181</w:t>
        </w:r>
      </w:hyperlink>
      <w:r w:rsidRPr="00455C38">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761B5071"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10E9FA3C"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Times New Roman"/>
          <w:b/>
          <w:bCs/>
          <w:sz w:val="28"/>
          <w:szCs w:val="28"/>
        </w:rPr>
      </w:pPr>
      <w:r w:rsidRPr="00455C38">
        <w:rPr>
          <w:rFonts w:ascii="Palatino Linotype" w:eastAsia="Times New Roman" w:hAnsi="Palatino Linotype" w:cs="Arial"/>
          <w:b/>
          <w:sz w:val="28"/>
        </w:rPr>
        <w:t>SEGUNDO</w:t>
      </w:r>
      <w:r w:rsidRPr="00455C38">
        <w:rPr>
          <w:rFonts w:ascii="Palatino Linotype" w:eastAsia="Times New Roman" w:hAnsi="Palatino Linotype" w:cs="Arial"/>
          <w:b/>
        </w:rPr>
        <w:t xml:space="preserve">. </w:t>
      </w:r>
      <w:r w:rsidRPr="00455C38">
        <w:rPr>
          <w:rFonts w:ascii="Palatino Linotype" w:eastAsia="Times New Roman" w:hAnsi="Palatino Linotype" w:cs="Times New Roman"/>
          <w:b/>
          <w:bCs/>
          <w:sz w:val="28"/>
          <w:szCs w:val="28"/>
        </w:rPr>
        <w:t>Sobre los alcances del recurso de revisión</w:t>
      </w:r>
    </w:p>
    <w:p w14:paraId="7B319AF2"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455C38">
        <w:rPr>
          <w:rFonts w:eastAsia="Times New Roman" w:cs="Times New Roman"/>
        </w:rPr>
        <w:t xml:space="preserve"> </w:t>
      </w:r>
      <w:r w:rsidRPr="00455C38">
        <w:rPr>
          <w:rFonts w:ascii="Palatino Linotype" w:eastAsia="Times New Roman" w:hAnsi="Palatino Linotype" w:cs="Arial"/>
          <w:sz w:val="24"/>
          <w:szCs w:val="24"/>
        </w:rPr>
        <w:t xml:space="preserve">Anterior a todo debe destacarse que el recurso de revisión tiene el fin y alcance que señalan los numerales 176, 179 fracción V, 181 párrafo cuarto, 194 y 195 y demás </w:t>
      </w:r>
      <w:r w:rsidRPr="00455C38">
        <w:rPr>
          <w:rFonts w:ascii="Palatino Linotype" w:eastAsia="Times New Roman" w:hAnsi="Palatino Linotype" w:cs="Arial"/>
          <w:sz w:val="24"/>
          <w:szCs w:val="24"/>
        </w:rPr>
        <w:lastRenderedPageBreak/>
        <w:t>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9123D3C"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0BC40270"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799E3BC8"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4668513B" w14:textId="77777777" w:rsidR="00DA68A0" w:rsidRPr="00455C38"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55C38">
        <w:rPr>
          <w:rFonts w:ascii="Palatino Linotype" w:eastAsia="Times New Roman" w:hAnsi="Palatino Linotype" w:cs="Arial"/>
          <w:i/>
          <w:lang w:val="es-ES" w:eastAsia="es-ES"/>
        </w:rPr>
        <w:t>“</w:t>
      </w:r>
      <w:r w:rsidRPr="00455C38">
        <w:rPr>
          <w:rFonts w:ascii="Palatino Linotype" w:eastAsia="Times New Roman" w:hAnsi="Palatino Linotype" w:cs="Arial"/>
          <w:b/>
          <w:i/>
          <w:lang w:val="es-ES" w:eastAsia="es-ES"/>
        </w:rPr>
        <w:t>Artículo 163.</w:t>
      </w:r>
      <w:r w:rsidRPr="00455C38">
        <w:rPr>
          <w:rFonts w:ascii="Palatino Linotype" w:eastAsia="Times New Roman" w:hAnsi="Palatino Linotype" w:cs="Arial"/>
          <w:i/>
          <w:lang w:val="es-ES" w:eastAsia="es-ES"/>
        </w:rPr>
        <w:t xml:space="preserve"> </w:t>
      </w:r>
      <w:r w:rsidRPr="00455C38">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2B011BBA" w14:textId="77777777" w:rsidR="00DA68A0" w:rsidRPr="00455C38"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55C38">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491797F" w14:textId="77777777" w:rsidR="00DA68A0" w:rsidRPr="00455C38" w:rsidRDefault="00DA68A0" w:rsidP="00DA68A0">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455C38">
        <w:rPr>
          <w:rFonts w:ascii="Palatino Linotype" w:eastAsia="Times New Roman" w:hAnsi="Palatino Linotype" w:cs="Arial"/>
          <w:lang w:val="es-ES" w:eastAsia="es-ES"/>
        </w:rPr>
        <w:t>(Énfasis añadido)</w:t>
      </w:r>
    </w:p>
    <w:p w14:paraId="3BEEEF8E"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5868DC12"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t xml:space="preserve">De la interpretación al precepto legal inserto, se advierte que el plazo que les asiste a los </w:t>
      </w:r>
      <w:r w:rsidRPr="00455C38">
        <w:rPr>
          <w:rFonts w:ascii="Palatino Linotype" w:eastAsia="Times New Roman" w:hAnsi="Palatino Linotype" w:cs="Arial"/>
          <w:b/>
          <w:sz w:val="24"/>
          <w:szCs w:val="24"/>
        </w:rPr>
        <w:t>sujetos</w:t>
      </w:r>
      <w:r w:rsidRPr="00455C38">
        <w:rPr>
          <w:rFonts w:ascii="Palatino Linotype" w:eastAsia="Times New Roman" w:hAnsi="Palatino Linotype" w:cs="Arial"/>
          <w:sz w:val="24"/>
          <w:szCs w:val="24"/>
        </w:rPr>
        <w:t xml:space="preserve"> </w:t>
      </w:r>
      <w:r w:rsidRPr="00455C38">
        <w:rPr>
          <w:rFonts w:ascii="Palatino Linotype" w:eastAsia="Times New Roman" w:hAnsi="Palatino Linotype" w:cs="Arial"/>
          <w:b/>
          <w:sz w:val="24"/>
          <w:szCs w:val="24"/>
        </w:rPr>
        <w:t>obligados</w:t>
      </w:r>
      <w:r w:rsidRPr="00455C38">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49CF954D"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3B9F80FE"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t xml:space="preserve">Se constituye la figura jurídica de la </w:t>
      </w:r>
      <w:r w:rsidRPr="00455C38">
        <w:rPr>
          <w:rFonts w:ascii="Palatino Linotype" w:eastAsia="Times New Roman" w:hAnsi="Palatino Linotype" w:cs="Arial"/>
          <w:b/>
          <w:i/>
          <w:sz w:val="24"/>
          <w:szCs w:val="24"/>
        </w:rPr>
        <w:t>NEGATIVA FICTA</w:t>
      </w:r>
      <w:r w:rsidRPr="00455C38">
        <w:rPr>
          <w:rFonts w:ascii="Palatino Linotype" w:eastAsia="Times New Roman"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712457D4" w14:textId="77777777" w:rsidR="00DA68A0" w:rsidRPr="00455C38" w:rsidRDefault="00DA68A0" w:rsidP="00DA68A0">
      <w:pPr>
        <w:spacing w:after="0" w:line="240" w:lineRule="auto"/>
        <w:rPr>
          <w:rFonts w:ascii="Palatino Linotype" w:eastAsia="Times New Roman" w:hAnsi="Palatino Linotype" w:cs="Times New Roman"/>
        </w:rPr>
      </w:pPr>
    </w:p>
    <w:p w14:paraId="1A4A4BC4" w14:textId="77777777" w:rsidR="00DA68A0" w:rsidRPr="00455C38"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55C38">
        <w:rPr>
          <w:rFonts w:ascii="Palatino Linotype" w:eastAsia="Times New Roman" w:hAnsi="Palatino Linotype" w:cs="Arial"/>
          <w:i/>
          <w:lang w:val="es-ES" w:eastAsia="es-ES"/>
        </w:rPr>
        <w:t>“</w:t>
      </w:r>
      <w:r w:rsidRPr="00455C38">
        <w:rPr>
          <w:rFonts w:ascii="Palatino Linotype" w:eastAsia="Times New Roman" w:hAnsi="Palatino Linotype" w:cs="Arial"/>
          <w:b/>
          <w:i/>
          <w:lang w:val="es-ES" w:eastAsia="es-ES"/>
        </w:rPr>
        <w:t>Artículo 178.</w:t>
      </w:r>
      <w:r w:rsidRPr="00455C38">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F495979" w14:textId="77777777" w:rsidR="00DA68A0" w:rsidRPr="00455C38"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2BFA446F" w14:textId="77777777" w:rsidR="00DA68A0" w:rsidRPr="00455C38"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55C38">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455C38">
        <w:rPr>
          <w:rFonts w:ascii="Palatino Linotype" w:eastAsia="Times New Roman" w:hAnsi="Palatino Linotype" w:cs="Arial"/>
          <w:i/>
          <w:lang w:val="es-ES" w:eastAsia="es-ES"/>
        </w:rPr>
        <w:t>, acompañado con el documento que pruebe la fecha en que presentó la solicitud.</w:t>
      </w:r>
    </w:p>
    <w:p w14:paraId="3B20291F" w14:textId="77777777" w:rsidR="00DA68A0" w:rsidRPr="00455C38"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5BD65916" w14:textId="77777777" w:rsidR="00DA68A0" w:rsidRPr="00455C38"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55C38">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49247E21" w14:textId="77777777" w:rsidR="00DA68A0" w:rsidRPr="00455C38" w:rsidRDefault="00DA68A0" w:rsidP="00DA68A0">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807895D" w14:textId="77777777" w:rsidR="00DA68A0" w:rsidRPr="00455C38" w:rsidRDefault="00DA68A0" w:rsidP="00DA68A0">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455C38">
        <w:rPr>
          <w:rFonts w:ascii="Palatino Linotype" w:eastAsia="Times New Roman" w:hAnsi="Palatino Linotype" w:cs="Arial"/>
          <w:lang w:val="es-ES" w:eastAsia="es-ES"/>
        </w:rPr>
        <w:t>(Énfasis añadido)</w:t>
      </w:r>
    </w:p>
    <w:p w14:paraId="742D724C"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0E86D2AF"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455C38">
        <w:rPr>
          <w:rFonts w:ascii="Palatino Linotype" w:eastAsia="Times New Roman" w:hAnsi="Palatino Linotype" w:cs="Arial"/>
          <w:b/>
          <w:sz w:val="24"/>
          <w:szCs w:val="24"/>
        </w:rPr>
        <w:t>Sujeto Obligado</w:t>
      </w:r>
      <w:r w:rsidRPr="00455C38">
        <w:rPr>
          <w:rFonts w:ascii="Palatino Linotype" w:eastAsia="Times New Roman"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26EBC6C9" w14:textId="08A82029" w:rsidR="00DA68A0" w:rsidRPr="00455C38" w:rsidRDefault="00DA68A0" w:rsidP="005B3169">
      <w:pPr>
        <w:autoSpaceDE w:val="0"/>
        <w:autoSpaceDN w:val="0"/>
        <w:adjustRightInd w:val="0"/>
        <w:spacing w:before="240"/>
        <w:rPr>
          <w:rFonts w:ascii="Palatino Linotype" w:hAnsi="Palatino Linotype" w:cs="Arial"/>
          <w:lang w:val="es-ES"/>
        </w:rPr>
      </w:pPr>
      <w:r w:rsidRPr="00455C38">
        <w:rPr>
          <w:rFonts w:ascii="Palatino Linotype" w:hAnsi="Palatino Linotype"/>
          <w:b/>
          <w:color w:val="000000" w:themeColor="text1"/>
          <w:sz w:val="28"/>
          <w:szCs w:val="28"/>
          <w:lang w:val="es-ES_tradnl"/>
        </w:rPr>
        <w:lastRenderedPageBreak/>
        <w:t>TERCERO.</w:t>
      </w:r>
      <w:r w:rsidRPr="00455C38">
        <w:rPr>
          <w:rFonts w:ascii="Palatino Linotype" w:eastAsia="Times New Roman" w:hAnsi="Palatino Linotype" w:cs="Arial"/>
          <w:b/>
          <w:sz w:val="28"/>
          <w:szCs w:val="24"/>
          <w:lang w:val="es-ES" w:eastAsia="es-ES"/>
        </w:rPr>
        <w:t>De las causas de improcedencia.</w:t>
      </w:r>
    </w:p>
    <w:p w14:paraId="3E35C404"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55C38">
        <w:rPr>
          <w:rFonts w:ascii="Palatino Linotype" w:eastAsia="Times New Roman" w:hAnsi="Palatino Linotype" w:cs="Arial"/>
          <w:sz w:val="24"/>
          <w:szCs w:val="24"/>
          <w:lang w:val="es-ES" w:eastAsia="es-ES"/>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FADB3BB"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D4E473"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55C38">
        <w:rPr>
          <w:rFonts w:ascii="Palatino Linotype" w:eastAsia="Times New Roman" w:hAnsi="Palatino Linotype" w:cs="Arial"/>
          <w:sz w:val="24"/>
          <w:szCs w:val="24"/>
          <w:lang w:val="es-ES" w:eastAsia="es-ES"/>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55C38">
        <w:rPr>
          <w:rFonts w:ascii="Palatino Linotype" w:eastAsia="Times New Roman" w:hAnsi="Palatino Linotype" w:cs="Arial"/>
          <w:sz w:val="24"/>
          <w:szCs w:val="24"/>
          <w:vertAlign w:val="superscript"/>
          <w:lang w:val="es-ES" w:eastAsia="es-ES"/>
        </w:rPr>
        <w:footnoteReference w:id="1"/>
      </w:r>
      <w:r w:rsidRPr="00455C38">
        <w:rPr>
          <w:rFonts w:ascii="Palatino Linotype" w:eastAsia="Times New Roman" w:hAnsi="Palatino Linotype" w:cs="Arial"/>
          <w:sz w:val="24"/>
          <w:szCs w:val="24"/>
          <w:lang w:val="es-ES" w:eastAsia="es-ES"/>
        </w:rPr>
        <w:t>.</w:t>
      </w:r>
    </w:p>
    <w:p w14:paraId="434CEF9C"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9119B9"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455C38">
        <w:rPr>
          <w:rFonts w:ascii="Palatino Linotype" w:eastAsia="Times New Roman" w:hAnsi="Palatino Linotype" w:cs="Arial"/>
          <w:sz w:val="24"/>
          <w:szCs w:val="24"/>
          <w:lang w:val="es-ES" w:eastAsia="es-ES"/>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E94B72E"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444BFC" w14:textId="65055129" w:rsidR="00DA68A0" w:rsidRPr="00455C38" w:rsidRDefault="005B3169" w:rsidP="00DA68A0">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455C38">
        <w:rPr>
          <w:rFonts w:ascii="Palatino Linotype" w:eastAsia="Times New Roman" w:hAnsi="Palatino Linotype" w:cs="Arial"/>
          <w:b/>
          <w:sz w:val="28"/>
          <w:szCs w:val="24"/>
          <w:lang w:val="es-ES" w:eastAsia="es-ES"/>
        </w:rPr>
        <w:t>CUAR</w:t>
      </w:r>
      <w:r w:rsidR="00DA68A0" w:rsidRPr="00455C38">
        <w:rPr>
          <w:rFonts w:ascii="Palatino Linotype" w:eastAsia="Times New Roman" w:hAnsi="Palatino Linotype" w:cs="Arial"/>
          <w:b/>
          <w:sz w:val="28"/>
          <w:szCs w:val="24"/>
          <w:lang w:val="es-ES" w:eastAsia="es-ES"/>
        </w:rPr>
        <w:t>TO. Estudio y resolución del asunto.</w:t>
      </w:r>
    </w:p>
    <w:p w14:paraId="6923C814"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55C38">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CBF96B0"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D04953B"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55C38">
        <w:rPr>
          <w:rFonts w:ascii="Palatino Linotype" w:eastAsia="Times New Roman" w:hAnsi="Palatino Linotype" w:cs="Arial"/>
          <w:sz w:val="24"/>
          <w:szCs w:val="24"/>
          <w:lang w:val="es-ES" w:eastAsia="es-ES"/>
        </w:rPr>
        <w:t xml:space="preserve">En primera instancia, al referirnos a los actos impugnados por el </w:t>
      </w:r>
      <w:r w:rsidRPr="00455C38">
        <w:rPr>
          <w:rFonts w:ascii="Palatino Linotype" w:eastAsia="Times New Roman" w:hAnsi="Palatino Linotype" w:cs="Arial"/>
          <w:b/>
          <w:sz w:val="24"/>
          <w:szCs w:val="24"/>
          <w:lang w:val="es-ES" w:eastAsia="es-ES"/>
        </w:rPr>
        <w:t>Recurrente</w:t>
      </w:r>
      <w:r w:rsidRPr="00455C38">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w:t>
      </w:r>
      <w:r w:rsidRPr="00455C38">
        <w:rPr>
          <w:rFonts w:ascii="Palatino Linotype" w:eastAsia="Times New Roman" w:hAnsi="Palatino Linotype" w:cs="Arial"/>
          <w:sz w:val="24"/>
          <w:szCs w:val="24"/>
          <w:lang w:val="es-ES" w:eastAsia="es-ES"/>
        </w:rPr>
        <w:lastRenderedPageBreak/>
        <w:t xml:space="preserve">formulada, actualizando con ello lo </w:t>
      </w:r>
      <w:r w:rsidRPr="00455C38">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455C38">
        <w:rPr>
          <w:rFonts w:ascii="Palatino Linotype" w:eastAsia="Times New Roman" w:hAnsi="Palatino Linotype" w:cs="Arial"/>
          <w:b/>
          <w:color w:val="000000" w:themeColor="text1"/>
          <w:sz w:val="24"/>
          <w:szCs w:val="24"/>
          <w:lang w:val="es-ES" w:eastAsia="es-ES"/>
        </w:rPr>
        <w:t>Ley de Transparencia y Acceso a la Información Pública del Estado de México y Municipios</w:t>
      </w:r>
      <w:r w:rsidRPr="00455C38">
        <w:rPr>
          <w:rFonts w:ascii="Palatino Linotype" w:eastAsia="Times New Roman" w:hAnsi="Palatino Linotype" w:cs="Arial"/>
          <w:color w:val="000000" w:themeColor="text1"/>
          <w:sz w:val="24"/>
          <w:szCs w:val="24"/>
          <w:lang w:val="es-ES" w:eastAsia="es-ES"/>
        </w:rPr>
        <w:t>,</w:t>
      </w:r>
      <w:r w:rsidRPr="00455C38">
        <w:rPr>
          <w:rFonts w:ascii="Palatino Linotype" w:eastAsia="Times New Roman" w:hAnsi="Palatino Linotype" w:cs="Arial"/>
          <w:b/>
          <w:color w:val="000000" w:themeColor="text1"/>
          <w:sz w:val="24"/>
          <w:szCs w:val="24"/>
          <w:lang w:val="es-ES" w:eastAsia="es-ES"/>
        </w:rPr>
        <w:t xml:space="preserve"> </w:t>
      </w:r>
      <w:r w:rsidRPr="00455C38">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33DDFA96"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5E31399"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455C38">
        <w:rPr>
          <w:rFonts w:ascii="Palatino Linotype" w:eastAsia="Times New Roman" w:hAnsi="Palatino Linotype" w:cs="Arial"/>
          <w:sz w:val="24"/>
          <w:szCs w:val="24"/>
          <w:lang w:val="es-ES" w:eastAsia="es-ES"/>
        </w:rPr>
        <w:t xml:space="preserve">Establecido lo anterior, resulta evidente que las razones o motivos de </w:t>
      </w:r>
      <w:r w:rsidRPr="00455C38">
        <w:rPr>
          <w:rFonts w:ascii="Palatino Linotype" w:eastAsia="Times New Roman" w:hAnsi="Palatino Linotype" w:cs="Times New Roman"/>
          <w:sz w:val="24"/>
          <w:szCs w:val="24"/>
          <w:lang w:val="es-ES" w:eastAsia="es-ES"/>
        </w:rPr>
        <w:t xml:space="preserve">inconformidad hechos valer, resultan </w:t>
      </w:r>
      <w:r w:rsidRPr="00455C38">
        <w:rPr>
          <w:rFonts w:ascii="Palatino Linotype" w:eastAsia="Times New Roman" w:hAnsi="Palatino Linotype" w:cs="Times New Roman"/>
          <w:b/>
          <w:sz w:val="24"/>
          <w:szCs w:val="24"/>
          <w:lang w:val="es-ES" w:eastAsia="es-ES"/>
        </w:rPr>
        <w:t>fundadas y procedentes</w:t>
      </w:r>
      <w:r w:rsidRPr="00455C38">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455C38">
        <w:rPr>
          <w:rFonts w:ascii="Palatino Linotype" w:eastAsia="Times New Roman" w:hAnsi="Palatino Linotype" w:cs="Arial"/>
          <w:b/>
          <w:sz w:val="24"/>
          <w:szCs w:val="24"/>
          <w:lang w:val="es-ES" w:eastAsia="es-MX"/>
        </w:rPr>
        <w:t>Sujeto Obligado</w:t>
      </w:r>
      <w:r w:rsidRPr="00455C38">
        <w:rPr>
          <w:rFonts w:ascii="Palatino Linotype" w:eastAsia="Times New Roman" w:hAnsi="Palatino Linotype" w:cs="Arial"/>
          <w:sz w:val="24"/>
          <w:szCs w:val="24"/>
          <w:lang w:val="es-ES" w:eastAsia="es-MX"/>
        </w:rPr>
        <w:t xml:space="preserve"> fue omiso en responder la solicitud de información hecha por el </w:t>
      </w:r>
      <w:r w:rsidRPr="00455C38">
        <w:rPr>
          <w:rFonts w:ascii="Palatino Linotype" w:eastAsia="Times New Roman" w:hAnsi="Palatino Linotype" w:cs="Arial"/>
          <w:b/>
          <w:sz w:val="24"/>
          <w:szCs w:val="24"/>
          <w:lang w:val="es-ES" w:eastAsia="es-MX"/>
        </w:rPr>
        <w:t>Recurrente</w:t>
      </w:r>
      <w:r w:rsidRPr="00455C38">
        <w:rPr>
          <w:rFonts w:ascii="Palatino Linotype" w:eastAsia="Times New Roman" w:hAnsi="Palatino Linotype" w:cs="Arial"/>
          <w:sz w:val="24"/>
          <w:szCs w:val="24"/>
          <w:lang w:val="es-ES" w:eastAsia="es-MX"/>
        </w:rPr>
        <w:t>.</w:t>
      </w:r>
    </w:p>
    <w:p w14:paraId="5373BCE2"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A21FDF3" w14:textId="77777777" w:rsidR="00DA68A0" w:rsidRPr="00455C38" w:rsidRDefault="00DA68A0" w:rsidP="00DA68A0">
      <w:pPr>
        <w:spacing w:after="0" w:line="360" w:lineRule="auto"/>
        <w:contextualSpacing/>
        <w:jc w:val="both"/>
        <w:rPr>
          <w:rFonts w:ascii="Palatino Linotype" w:eastAsia="Times New Roman" w:hAnsi="Palatino Linotype" w:cs="Times New Roman"/>
          <w:sz w:val="24"/>
          <w:szCs w:val="24"/>
          <w:lang w:val="es-ES" w:eastAsia="es-MX"/>
        </w:rPr>
      </w:pPr>
      <w:r w:rsidRPr="00455C38">
        <w:rPr>
          <w:rFonts w:ascii="Palatino Linotype" w:eastAsia="Times New Roman" w:hAnsi="Palatino Linotype" w:cs="Times New Roman"/>
          <w:sz w:val="24"/>
          <w:szCs w:val="24"/>
          <w:lang w:val="es-ES" w:eastAsia="es-MX"/>
        </w:rPr>
        <w:t xml:space="preserve">De tal manera que se hace patente que la falta de respuesta del </w:t>
      </w:r>
      <w:r w:rsidRPr="00455C38">
        <w:rPr>
          <w:rFonts w:ascii="Palatino Linotype" w:eastAsia="Times New Roman" w:hAnsi="Palatino Linotype" w:cs="Times New Roman"/>
          <w:b/>
          <w:sz w:val="24"/>
          <w:szCs w:val="24"/>
          <w:lang w:val="es-ES" w:eastAsia="es-MX"/>
        </w:rPr>
        <w:t>Sujeto Obligado</w:t>
      </w:r>
      <w:r w:rsidRPr="00455C38">
        <w:rPr>
          <w:rFonts w:ascii="Palatino Linotype" w:eastAsia="Times New Roman" w:hAnsi="Palatino Linotype" w:cs="Times New Roman"/>
          <w:sz w:val="24"/>
          <w:szCs w:val="24"/>
          <w:lang w:val="es-ES" w:eastAsia="es-MX"/>
        </w:rPr>
        <w:t xml:space="preserve"> a la solicitud de información se traduce en el hecho de que fue omiso en dar atención a las peticiones en términos de la Ley de la materia, es decir, incumplió las obligaciones que dicho cuerpo legal le impone como </w:t>
      </w:r>
      <w:r w:rsidRPr="00455C38">
        <w:rPr>
          <w:rFonts w:ascii="Palatino Linotype" w:eastAsia="Times New Roman" w:hAnsi="Palatino Linotype" w:cs="Times New Roman"/>
          <w:b/>
          <w:sz w:val="24"/>
          <w:szCs w:val="24"/>
          <w:lang w:val="es-ES" w:eastAsia="es-MX"/>
        </w:rPr>
        <w:t>Sujeto Obligado</w:t>
      </w:r>
      <w:r w:rsidRPr="00455C38">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25181092" w14:textId="77777777" w:rsidR="00DA68A0" w:rsidRPr="00455C38" w:rsidRDefault="00DA68A0" w:rsidP="00DA68A0">
      <w:pPr>
        <w:spacing w:after="0" w:line="360" w:lineRule="auto"/>
        <w:contextualSpacing/>
        <w:jc w:val="both"/>
        <w:rPr>
          <w:rFonts w:ascii="Palatino Linotype" w:eastAsia="Times New Roman" w:hAnsi="Palatino Linotype" w:cs="Times New Roman"/>
          <w:sz w:val="24"/>
          <w:szCs w:val="24"/>
          <w:lang w:val="es-ES" w:eastAsia="es-MX"/>
        </w:rPr>
      </w:pPr>
    </w:p>
    <w:p w14:paraId="27407AD8"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rPr>
        <w:t>“</w:t>
      </w:r>
      <w:r w:rsidRPr="00455C38">
        <w:rPr>
          <w:rFonts w:ascii="Palatino Linotype" w:eastAsia="Times New Roman" w:hAnsi="Palatino Linotype" w:cs="Arial"/>
          <w:b/>
          <w:bCs/>
          <w:i/>
        </w:rPr>
        <w:t>Artículo 4.</w:t>
      </w:r>
      <w:r w:rsidRPr="00455C38">
        <w:rPr>
          <w:rFonts w:ascii="Palatino Linotype" w:eastAsia="Times New Roman" w:hAnsi="Palatino Linotype" w:cs="Arial"/>
          <w:bCs/>
          <w:i/>
        </w:rPr>
        <w:t xml:space="preserve"> </w:t>
      </w:r>
      <w:r w:rsidRPr="00455C38">
        <w:rPr>
          <w:rFonts w:ascii="Palatino Linotype" w:eastAsia="Times New Roman" w:hAnsi="Palatino Linotype" w:cs="Arial"/>
          <w:bCs/>
          <w:i/>
          <w:u w:val="single"/>
        </w:rPr>
        <w:t>El derecho humano de acceso a la información pública</w:t>
      </w:r>
      <w:r w:rsidRPr="00455C38">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6FB58715"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455C38">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20C2FEF"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rPr>
        <w:lastRenderedPageBreak/>
        <w:t>Los sujetos obligados deben poner en práctica, políticas y programas de acceso a la información que se apeguen a criterios de publicidad, veracidad, oportunidad, precisión y suficiencia en beneficio de los solicitantes.</w:t>
      </w:r>
    </w:p>
    <w:p w14:paraId="4897AEAD"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p>
    <w:p w14:paraId="7E150E4B"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
          <w:bCs/>
          <w:i/>
        </w:rPr>
        <w:t>Artículo 12.</w:t>
      </w:r>
      <w:r w:rsidRPr="00455C38">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08D23F39"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455C38">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4D01772"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rPr>
        <w:t>(…)</w:t>
      </w:r>
    </w:p>
    <w:p w14:paraId="3E202A8F"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p>
    <w:p w14:paraId="730D87FD"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
          <w:bCs/>
          <w:i/>
        </w:rPr>
        <w:t>Artículo 23</w:t>
      </w:r>
      <w:r w:rsidRPr="00455C38">
        <w:rPr>
          <w:rFonts w:ascii="Palatino Linotype" w:eastAsia="Times New Roman" w:hAnsi="Palatino Linotype" w:cs="Arial"/>
          <w:bCs/>
          <w:i/>
        </w:rPr>
        <w:t xml:space="preserve">. </w:t>
      </w:r>
      <w:r w:rsidRPr="00455C38">
        <w:rPr>
          <w:rFonts w:ascii="Palatino Linotype" w:eastAsia="Times New Roman" w:hAnsi="Palatino Linotype" w:cs="Arial"/>
          <w:b/>
          <w:bCs/>
          <w:i/>
        </w:rPr>
        <w:t>Son sujetos obligados</w:t>
      </w:r>
      <w:r w:rsidRPr="00455C38">
        <w:rPr>
          <w:rFonts w:ascii="Palatino Linotype" w:eastAsia="Times New Roman" w:hAnsi="Palatino Linotype" w:cs="Arial"/>
          <w:bCs/>
          <w:i/>
        </w:rPr>
        <w:t xml:space="preserve"> a transparentar y permitir el acceso a su información y proteger los datos personales que obren en su poder: </w:t>
      </w:r>
    </w:p>
    <w:p w14:paraId="6926DF28"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rPr>
        <w:t>…</w:t>
      </w:r>
    </w:p>
    <w:p w14:paraId="134BF141"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
          <w:bCs/>
          <w:i/>
        </w:rPr>
        <w:t xml:space="preserve">IV. </w:t>
      </w:r>
      <w:r w:rsidRPr="00455C38">
        <w:rPr>
          <w:rFonts w:ascii="Palatino Linotype" w:eastAsia="Times New Roman" w:hAnsi="Palatino Linotype" w:cs="Arial"/>
          <w:bCs/>
          <w:i/>
        </w:rPr>
        <w:t>Los ayuntamientos y las dependencias, organismos,</w:t>
      </w:r>
      <w:r w:rsidRPr="00455C38">
        <w:rPr>
          <w:rFonts w:ascii="Palatino Linotype" w:eastAsia="Times New Roman" w:hAnsi="Palatino Linotype" w:cs="Arial"/>
          <w:b/>
          <w:bCs/>
          <w:i/>
          <w:u w:val="single"/>
        </w:rPr>
        <w:t xml:space="preserve"> órganos y entidades de la administración municipal;</w:t>
      </w:r>
    </w:p>
    <w:p w14:paraId="6372F76B" w14:textId="77777777" w:rsidR="00DA68A0" w:rsidRPr="00455C38" w:rsidRDefault="00DA68A0" w:rsidP="00DA68A0">
      <w:pPr>
        <w:spacing w:after="0" w:line="240" w:lineRule="auto"/>
        <w:ind w:left="709" w:right="567"/>
        <w:jc w:val="both"/>
        <w:rPr>
          <w:rFonts w:ascii="Palatino Linotype" w:eastAsia="Times New Roman" w:hAnsi="Palatino Linotype" w:cs="Arial"/>
          <w:b/>
          <w:bCs/>
          <w:i/>
        </w:rPr>
      </w:pPr>
      <w:r w:rsidRPr="00455C38">
        <w:rPr>
          <w:rFonts w:ascii="Palatino Linotype" w:eastAsia="Times New Roman" w:hAnsi="Palatino Linotype" w:cs="Arial"/>
          <w:b/>
          <w:bCs/>
          <w:i/>
        </w:rPr>
        <w:t xml:space="preserve">Artículo 24. </w:t>
      </w:r>
    </w:p>
    <w:p w14:paraId="4C8AB589"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rPr>
        <w:t>(…)</w:t>
      </w:r>
    </w:p>
    <w:p w14:paraId="006337AB"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rPr>
        <w:t>Los sujetos obligados solo proporcionarán la información pública que generen, administren o posean en el ejercicio de sus atribuciones.”</w:t>
      </w:r>
    </w:p>
    <w:p w14:paraId="795B4800"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rPr>
        <w:t>(…)</w:t>
      </w:r>
    </w:p>
    <w:p w14:paraId="3DE620A3"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p>
    <w:p w14:paraId="407EE003"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
          <w:bCs/>
          <w:i/>
        </w:rPr>
        <w:t>Artículo 160.</w:t>
      </w:r>
      <w:r w:rsidRPr="00455C38">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64A1EA" w14:textId="77777777" w:rsidR="00DA68A0" w:rsidRPr="00455C38" w:rsidRDefault="00DA68A0" w:rsidP="00DA68A0">
      <w:pPr>
        <w:spacing w:after="0" w:line="240" w:lineRule="auto"/>
        <w:ind w:left="709" w:right="567"/>
        <w:jc w:val="both"/>
        <w:rPr>
          <w:rFonts w:ascii="Palatino Linotype" w:eastAsia="Times New Roman" w:hAnsi="Palatino Linotype" w:cs="Arial"/>
          <w:bCs/>
          <w:i/>
        </w:rPr>
      </w:pPr>
      <w:r w:rsidRPr="00455C38">
        <w:rPr>
          <w:rFonts w:ascii="Palatino Linotype" w:eastAsia="Times New Roman" w:hAnsi="Palatino Linotype" w:cs="Arial"/>
          <w:bCs/>
          <w:i/>
        </w:rPr>
        <w:t>En caso que la información solicitada consista en bases de datos se deberá privilegiar la entrega de la misma en formatos abiertos.</w:t>
      </w:r>
    </w:p>
    <w:p w14:paraId="55A46B25" w14:textId="77777777" w:rsidR="00DA68A0" w:rsidRPr="00455C38" w:rsidRDefault="00DA68A0" w:rsidP="00DA68A0">
      <w:pPr>
        <w:spacing w:after="0" w:line="240" w:lineRule="auto"/>
        <w:ind w:left="709" w:right="567"/>
        <w:jc w:val="right"/>
        <w:rPr>
          <w:rFonts w:ascii="Palatino Linotype" w:eastAsia="Times New Roman" w:hAnsi="Palatino Linotype" w:cs="Arial"/>
        </w:rPr>
      </w:pPr>
      <w:r w:rsidRPr="00455C38">
        <w:rPr>
          <w:rFonts w:ascii="Palatino Linotype" w:eastAsia="Times New Roman" w:hAnsi="Palatino Linotype" w:cs="Arial"/>
          <w:bCs/>
        </w:rPr>
        <w:t>(Énfasis añadido)</w:t>
      </w:r>
    </w:p>
    <w:p w14:paraId="1FAF3BD1" w14:textId="77777777" w:rsidR="00DA68A0" w:rsidRPr="00455C38" w:rsidRDefault="00DA68A0" w:rsidP="00DA68A0">
      <w:pPr>
        <w:spacing w:after="0" w:line="360" w:lineRule="auto"/>
        <w:contextualSpacing/>
        <w:jc w:val="both"/>
        <w:rPr>
          <w:rFonts w:ascii="Palatino Linotype" w:eastAsia="MS Mincho" w:hAnsi="Palatino Linotype" w:cs="Times New Roman"/>
          <w:sz w:val="24"/>
          <w:szCs w:val="24"/>
          <w:lang w:val="es-ES_tradnl" w:eastAsia="es-ES"/>
        </w:rPr>
      </w:pPr>
    </w:p>
    <w:p w14:paraId="20967E72" w14:textId="77777777" w:rsidR="00DA68A0" w:rsidRPr="00455C38" w:rsidRDefault="00DA68A0" w:rsidP="00DA68A0">
      <w:pPr>
        <w:spacing w:after="0" w:line="360" w:lineRule="auto"/>
        <w:contextualSpacing/>
        <w:jc w:val="both"/>
        <w:rPr>
          <w:rFonts w:ascii="Palatino Linotype" w:eastAsia="Times New Roman" w:hAnsi="Palatino Linotype" w:cs="Arial"/>
          <w:color w:val="000000"/>
          <w:sz w:val="24"/>
          <w:szCs w:val="24"/>
          <w:lang w:val="es-ES_tradnl" w:eastAsia="es-ES"/>
        </w:rPr>
      </w:pPr>
      <w:r w:rsidRPr="00455C38">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455C38">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w:t>
      </w:r>
      <w:r w:rsidRPr="00455C38">
        <w:rPr>
          <w:rFonts w:ascii="Palatino Linotype" w:eastAsia="Times New Roman" w:hAnsi="Palatino Linotype" w:cs="Arial"/>
          <w:color w:val="000000"/>
          <w:sz w:val="24"/>
          <w:szCs w:val="24"/>
          <w:lang w:val="es-ES_tradnl" w:eastAsia="es-MX"/>
        </w:rPr>
        <w:lastRenderedPageBreak/>
        <w:t>artículo sexto de la Constitución Política de los Estados Unidos Mexicanos y en el artículo quinto de la Particular del Estado de México, por lo que el</w:t>
      </w:r>
      <w:r w:rsidRPr="00455C38">
        <w:rPr>
          <w:rFonts w:ascii="Palatino Linotype" w:eastAsia="Times New Roman" w:hAnsi="Palatino Linotype" w:cs="Arial"/>
          <w:color w:val="000000"/>
          <w:sz w:val="24"/>
          <w:szCs w:val="24"/>
          <w:lang w:val="es-ES_tradnl" w:eastAsia="es-ES"/>
        </w:rPr>
        <w:t xml:space="preserve"> </w:t>
      </w:r>
      <w:r w:rsidRPr="00455C38">
        <w:rPr>
          <w:rFonts w:ascii="Palatino Linotype" w:eastAsia="Times New Roman" w:hAnsi="Palatino Linotype" w:cs="Arial"/>
          <w:b/>
          <w:color w:val="000000"/>
          <w:sz w:val="24"/>
          <w:szCs w:val="24"/>
          <w:lang w:val="es-ES_tradnl" w:eastAsia="es-ES"/>
        </w:rPr>
        <w:t>Sujeto Obligado</w:t>
      </w:r>
      <w:r w:rsidRPr="00455C38">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455C38">
        <w:rPr>
          <w:rFonts w:ascii="Palatino Linotype" w:eastAsia="Times New Roman" w:hAnsi="Palatino Linotype" w:cs="Arial"/>
          <w:b/>
          <w:color w:val="000000"/>
          <w:sz w:val="24"/>
          <w:szCs w:val="24"/>
          <w:lang w:val="es-ES_tradnl" w:eastAsia="es-ES"/>
        </w:rPr>
        <w:t xml:space="preserve">Constitución Política de los Estados Unidos Mexicanos </w:t>
      </w:r>
      <w:r w:rsidRPr="00455C38">
        <w:rPr>
          <w:rFonts w:ascii="Palatino Linotype" w:eastAsia="Times New Roman" w:hAnsi="Palatino Linotype" w:cs="Arial"/>
          <w:color w:val="000000"/>
          <w:sz w:val="24"/>
          <w:szCs w:val="24"/>
          <w:lang w:val="es-ES_tradnl" w:eastAsia="es-ES"/>
        </w:rPr>
        <w:t xml:space="preserve">al señalar la obligación de “promover, </w:t>
      </w:r>
      <w:r w:rsidRPr="00455C38">
        <w:rPr>
          <w:rFonts w:ascii="Palatino Linotype" w:eastAsia="Times New Roman" w:hAnsi="Palatino Linotype" w:cs="Arial"/>
          <w:b/>
          <w:color w:val="000000"/>
          <w:sz w:val="24"/>
          <w:szCs w:val="24"/>
          <w:lang w:val="es-ES_tradnl" w:eastAsia="es-ES"/>
        </w:rPr>
        <w:t>respetar</w:t>
      </w:r>
      <w:r w:rsidRPr="00455C38">
        <w:rPr>
          <w:rFonts w:ascii="Palatino Linotype" w:eastAsia="Times New Roman" w:hAnsi="Palatino Linotype" w:cs="Arial"/>
          <w:color w:val="000000"/>
          <w:sz w:val="24"/>
          <w:szCs w:val="24"/>
          <w:lang w:val="es-ES_tradnl" w:eastAsia="es-ES"/>
        </w:rPr>
        <w:t xml:space="preserve">, </w:t>
      </w:r>
      <w:r w:rsidRPr="00455C38">
        <w:rPr>
          <w:rFonts w:ascii="Palatino Linotype" w:eastAsia="Times New Roman" w:hAnsi="Palatino Linotype" w:cs="Arial"/>
          <w:b/>
          <w:color w:val="000000"/>
          <w:sz w:val="24"/>
          <w:szCs w:val="24"/>
          <w:lang w:val="es-ES_tradnl" w:eastAsia="es-ES"/>
        </w:rPr>
        <w:t>proteger</w:t>
      </w:r>
      <w:r w:rsidRPr="00455C38">
        <w:rPr>
          <w:rFonts w:ascii="Palatino Linotype" w:eastAsia="Times New Roman" w:hAnsi="Palatino Linotype" w:cs="Arial"/>
          <w:color w:val="000000"/>
          <w:sz w:val="24"/>
          <w:szCs w:val="24"/>
          <w:lang w:val="es-ES_tradnl" w:eastAsia="es-ES"/>
        </w:rPr>
        <w:t xml:space="preserve"> y </w:t>
      </w:r>
      <w:r w:rsidRPr="00455C38">
        <w:rPr>
          <w:rFonts w:ascii="Palatino Linotype" w:eastAsia="Times New Roman" w:hAnsi="Palatino Linotype" w:cs="Arial"/>
          <w:b/>
          <w:color w:val="000000"/>
          <w:sz w:val="24"/>
          <w:szCs w:val="24"/>
          <w:lang w:val="es-ES_tradnl" w:eastAsia="es-ES"/>
        </w:rPr>
        <w:t>garantizar</w:t>
      </w:r>
      <w:r w:rsidRPr="00455C38">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487D93C3" w14:textId="77777777" w:rsidR="00DA68A0" w:rsidRPr="00455C38" w:rsidRDefault="00DA68A0" w:rsidP="00DA68A0">
      <w:pPr>
        <w:spacing w:after="0" w:line="360" w:lineRule="auto"/>
        <w:contextualSpacing/>
        <w:jc w:val="both"/>
        <w:rPr>
          <w:rFonts w:ascii="Palatino Linotype" w:eastAsia="Times New Roman" w:hAnsi="Palatino Linotype" w:cs="Arial"/>
          <w:color w:val="000000"/>
          <w:sz w:val="24"/>
          <w:szCs w:val="24"/>
          <w:lang w:val="es-ES_tradnl" w:eastAsia="es-ES"/>
        </w:rPr>
      </w:pPr>
    </w:p>
    <w:p w14:paraId="149A6A19" w14:textId="77777777" w:rsidR="00DA68A0" w:rsidRPr="00455C38" w:rsidRDefault="00DA68A0" w:rsidP="00DA68A0">
      <w:pPr>
        <w:spacing w:after="0" w:line="360" w:lineRule="auto"/>
        <w:contextualSpacing/>
        <w:jc w:val="both"/>
        <w:rPr>
          <w:rFonts w:ascii="Palatino Linotype" w:eastAsia="Times New Roman" w:hAnsi="Palatino Linotype" w:cs="Arial"/>
          <w:color w:val="000000"/>
          <w:sz w:val="24"/>
          <w:szCs w:val="24"/>
          <w:lang w:val="es-ES_tradnl" w:eastAsia="es-ES"/>
        </w:rPr>
      </w:pPr>
      <w:r w:rsidRPr="00455C38">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02E4F4C9" w14:textId="77777777" w:rsidR="00DA68A0" w:rsidRPr="00455C38" w:rsidRDefault="00DA68A0" w:rsidP="00DA68A0">
      <w:pPr>
        <w:spacing w:after="0" w:line="360" w:lineRule="auto"/>
        <w:contextualSpacing/>
        <w:jc w:val="both"/>
        <w:rPr>
          <w:rFonts w:ascii="Palatino Linotype" w:eastAsia="MS Mincho" w:hAnsi="Palatino Linotype" w:cs="Times New Roman"/>
          <w:sz w:val="24"/>
          <w:szCs w:val="24"/>
          <w:lang w:val="es-ES_tradnl" w:eastAsia="es-ES"/>
        </w:rPr>
      </w:pPr>
    </w:p>
    <w:p w14:paraId="248F833C" w14:textId="77777777" w:rsidR="00DA68A0" w:rsidRPr="00455C38" w:rsidRDefault="00DA68A0" w:rsidP="00DA68A0">
      <w:pPr>
        <w:spacing w:after="0" w:line="360" w:lineRule="auto"/>
        <w:contextualSpacing/>
        <w:jc w:val="both"/>
        <w:rPr>
          <w:rFonts w:ascii="Palatino Linotype" w:eastAsia="MS Mincho" w:hAnsi="Palatino Linotype" w:cs="Times New Roman"/>
          <w:sz w:val="24"/>
          <w:szCs w:val="24"/>
          <w:lang w:val="es-ES_tradnl" w:eastAsia="es-ES"/>
        </w:rPr>
      </w:pPr>
      <w:r w:rsidRPr="00455C38">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455C38">
        <w:rPr>
          <w:rFonts w:ascii="Palatino Linotype" w:eastAsia="MS Mincho" w:hAnsi="Palatino Linotype" w:cs="Times New Roman"/>
          <w:b/>
          <w:sz w:val="24"/>
          <w:szCs w:val="24"/>
          <w:lang w:val="es-ES_tradnl" w:eastAsia="es-ES"/>
        </w:rPr>
        <w:t>Sujeto Obligado</w:t>
      </w:r>
      <w:r w:rsidRPr="00455C38">
        <w:rPr>
          <w:rFonts w:ascii="Palatino Linotype" w:eastAsia="MS Mincho" w:hAnsi="Palatino Linotype" w:cs="Times New Roman"/>
          <w:sz w:val="24"/>
          <w:szCs w:val="24"/>
          <w:lang w:val="es-ES_tradnl" w:eastAsia="es-ES"/>
        </w:rPr>
        <w:t>s.</w:t>
      </w:r>
    </w:p>
    <w:p w14:paraId="30AA61D4" w14:textId="77777777" w:rsidR="00DA68A0" w:rsidRPr="00455C38" w:rsidRDefault="00DA68A0" w:rsidP="00DA68A0">
      <w:pPr>
        <w:spacing w:after="0" w:line="360" w:lineRule="auto"/>
        <w:contextualSpacing/>
        <w:jc w:val="both"/>
        <w:rPr>
          <w:rFonts w:ascii="Palatino Linotype" w:eastAsia="Times New Roman" w:hAnsi="Palatino Linotype" w:cs="Times New Roman"/>
          <w:sz w:val="24"/>
          <w:szCs w:val="24"/>
          <w:lang w:val="es-ES" w:eastAsia="es-MX"/>
        </w:rPr>
      </w:pPr>
    </w:p>
    <w:p w14:paraId="1377C202"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55C38">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455C38">
        <w:rPr>
          <w:rFonts w:ascii="Palatino Linotype" w:eastAsia="Times New Roman" w:hAnsi="Palatino Linotype" w:cs="Arial"/>
          <w:b/>
          <w:sz w:val="24"/>
          <w:szCs w:val="24"/>
          <w:lang w:val="es-ES" w:eastAsia="es-ES"/>
        </w:rPr>
        <w:t>Sujeto Obligado</w:t>
      </w:r>
      <w:r w:rsidRPr="00455C38">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455C38">
        <w:rPr>
          <w:rFonts w:ascii="Palatino Linotype" w:eastAsia="Times New Roman" w:hAnsi="Palatino Linotype" w:cs="Arial"/>
          <w:b/>
          <w:sz w:val="24"/>
          <w:szCs w:val="24"/>
          <w:lang w:val="es-ES" w:eastAsia="es-ES"/>
        </w:rPr>
        <w:t>Sujeto Obligado</w:t>
      </w:r>
      <w:r w:rsidRPr="00455C38">
        <w:rPr>
          <w:rFonts w:ascii="Palatino Linotype" w:eastAsia="Times New Roman" w:hAnsi="Palatino Linotype" w:cs="Arial"/>
          <w:sz w:val="24"/>
          <w:szCs w:val="24"/>
          <w:lang w:val="es-ES" w:eastAsia="es-ES"/>
        </w:rPr>
        <w:t xml:space="preserve"> fue omiso en dar respuesta a la solicitud.</w:t>
      </w:r>
    </w:p>
    <w:p w14:paraId="745A7ED8"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C1268B"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55C38">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62F088EC"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0C1AB30"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455C38">
        <w:rPr>
          <w:rFonts w:ascii="Palatino Linotype" w:eastAsia="Times New Roman" w:hAnsi="Palatino Linotype" w:cs="Times New Roman"/>
          <w:sz w:val="24"/>
          <w:szCs w:val="24"/>
          <w:lang w:val="es-ES" w:eastAsia="es-ES"/>
        </w:rPr>
        <w:t xml:space="preserve">No sobra decir que, al actuar de esta forma, el </w:t>
      </w:r>
      <w:r w:rsidRPr="00455C38">
        <w:rPr>
          <w:rFonts w:ascii="Palatino Linotype" w:eastAsia="Times New Roman" w:hAnsi="Palatino Linotype" w:cs="Times New Roman"/>
          <w:b/>
          <w:sz w:val="24"/>
          <w:szCs w:val="24"/>
          <w:lang w:val="es-ES" w:eastAsia="es-ES"/>
        </w:rPr>
        <w:t>Sujeto Obligado</w:t>
      </w:r>
      <w:r w:rsidRPr="00455C38">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455C38">
        <w:rPr>
          <w:rFonts w:ascii="Palatino Linotype" w:eastAsia="Times New Roman" w:hAnsi="Palatino Linotype" w:cs="Times New Roman"/>
          <w:i/>
          <w:sz w:val="24"/>
          <w:szCs w:val="24"/>
          <w:lang w:val="es-ES" w:eastAsia="es-ES"/>
        </w:rPr>
        <w:t xml:space="preserve">en el ámbito de sus atribuciones, de promover, respetar, proteger y </w:t>
      </w:r>
      <w:r w:rsidRPr="00455C38">
        <w:rPr>
          <w:rFonts w:ascii="Palatino Linotype" w:eastAsia="Times New Roman" w:hAnsi="Palatino Linotype" w:cs="Times New Roman"/>
          <w:b/>
          <w:i/>
          <w:sz w:val="24"/>
          <w:szCs w:val="24"/>
          <w:lang w:val="es-ES" w:eastAsia="es-ES"/>
        </w:rPr>
        <w:t>garantizar</w:t>
      </w:r>
      <w:r w:rsidRPr="00455C38">
        <w:rPr>
          <w:rFonts w:ascii="Palatino Linotype" w:eastAsia="Times New Roman" w:hAnsi="Palatino Linotype" w:cs="Times New Roman"/>
          <w:i/>
          <w:sz w:val="24"/>
          <w:szCs w:val="24"/>
          <w:lang w:val="es-ES" w:eastAsia="es-ES"/>
        </w:rPr>
        <w:t xml:space="preserve"> los derechos humanos</w:t>
      </w:r>
      <w:r w:rsidRPr="00455C38">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455C38">
        <w:rPr>
          <w:rFonts w:ascii="Palatino Linotype" w:eastAsia="Times New Roman" w:hAnsi="Palatino Linotype" w:cs="Times New Roman"/>
          <w:i/>
          <w:sz w:val="24"/>
          <w:szCs w:val="24"/>
          <w:lang w:val="es-ES" w:eastAsia="es-ES"/>
        </w:rPr>
        <w:t>procedimiento de acceso a la información es la garantía primaria del derecho en cuestión.</w:t>
      </w:r>
      <w:r w:rsidRPr="00455C38">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455C38">
        <w:rPr>
          <w:rFonts w:ascii="Palatino Linotype" w:eastAsia="Times New Roman" w:hAnsi="Palatino Linotype" w:cs="Times New Roman"/>
          <w:b/>
          <w:sz w:val="24"/>
          <w:szCs w:val="24"/>
          <w:lang w:val="es-ES" w:eastAsia="es-ES"/>
        </w:rPr>
        <w:t>Sujeto Obligado</w:t>
      </w:r>
      <w:r w:rsidRPr="00455C38">
        <w:rPr>
          <w:rFonts w:ascii="Palatino Linotype" w:eastAsia="Times New Roman" w:hAnsi="Palatino Linotype" w:cs="Times New Roman"/>
          <w:sz w:val="24"/>
          <w:szCs w:val="24"/>
          <w:lang w:val="es-ES" w:eastAsia="es-ES"/>
        </w:rPr>
        <w:t xml:space="preserve"> a su deber de garantizar el derecho, lo que </w:t>
      </w:r>
      <w:r w:rsidRPr="00455C38">
        <w:rPr>
          <w:rFonts w:ascii="Palatino Linotype" w:eastAsia="Times New Roman" w:hAnsi="Palatino Linotype" w:cs="Times New Roman"/>
          <w:sz w:val="24"/>
          <w:szCs w:val="24"/>
          <w:lang w:val="es-ES" w:eastAsia="es-ES"/>
        </w:rPr>
        <w:lastRenderedPageBreak/>
        <w:t xml:space="preserve">constituye una vulneración al mismo y resulta, totalmente aplicable, el último mandato del mismo párrafo del artículo constitucional antes citado que establece la obligación del Estado Mexicano, de </w:t>
      </w:r>
      <w:r w:rsidRPr="00455C38">
        <w:rPr>
          <w:rFonts w:ascii="Palatino Linotype" w:eastAsia="Times New Roman" w:hAnsi="Palatino Linotype" w:cs="Times New Roman"/>
          <w:i/>
          <w:sz w:val="24"/>
          <w:szCs w:val="24"/>
          <w:lang w:val="es-ES" w:eastAsia="es-ES"/>
        </w:rPr>
        <w:t>investigar, sancionar y reparar las violaciones a los derechos humanos.</w:t>
      </w:r>
    </w:p>
    <w:p w14:paraId="60D12807"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52F97B58"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55C38">
        <w:rPr>
          <w:rFonts w:ascii="Palatino Linotype" w:eastAsia="Times New Roman" w:hAnsi="Palatino Linotype" w:cs="Arial"/>
          <w:sz w:val="24"/>
          <w:szCs w:val="24"/>
          <w:lang w:val="es-ES" w:eastAsia="es-ES"/>
        </w:rPr>
        <w:t xml:space="preserve">Por lo que en cumplimiento a esta resolución, el </w:t>
      </w:r>
      <w:r w:rsidRPr="00455C38">
        <w:rPr>
          <w:rFonts w:ascii="Palatino Linotype" w:eastAsia="Times New Roman" w:hAnsi="Palatino Linotype" w:cs="Arial"/>
          <w:b/>
          <w:sz w:val="24"/>
          <w:szCs w:val="24"/>
          <w:lang w:val="es-ES" w:eastAsia="es-ES"/>
        </w:rPr>
        <w:t xml:space="preserve">Sujeto Obligado </w:t>
      </w:r>
      <w:r w:rsidRPr="00455C38">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47FDC0E6" w14:textId="77777777" w:rsidR="00DA68A0" w:rsidRPr="00455C38" w:rsidRDefault="00DA68A0" w:rsidP="00DA68A0">
      <w:pPr>
        <w:spacing w:after="0" w:line="360" w:lineRule="auto"/>
        <w:jc w:val="both"/>
        <w:rPr>
          <w:rFonts w:ascii="Palatino Linotype" w:eastAsia="Times New Roman" w:hAnsi="Palatino Linotype" w:cs="Times New Roman"/>
          <w:b/>
          <w:bCs/>
          <w:sz w:val="24"/>
          <w:szCs w:val="24"/>
        </w:rPr>
      </w:pPr>
    </w:p>
    <w:p w14:paraId="6CDE20E7" w14:textId="77777777" w:rsidR="00DA68A0" w:rsidRPr="00455C38" w:rsidRDefault="00DA68A0" w:rsidP="00DA68A0">
      <w:pPr>
        <w:numPr>
          <w:ilvl w:val="0"/>
          <w:numId w:val="1"/>
        </w:numPr>
        <w:spacing w:after="0" w:line="360" w:lineRule="auto"/>
        <w:jc w:val="both"/>
        <w:rPr>
          <w:rFonts w:ascii="Palatino Linotype" w:eastAsia="Times New Roman" w:hAnsi="Palatino Linotype" w:cs="Arial"/>
          <w:b/>
          <w:i/>
          <w:sz w:val="26"/>
          <w:szCs w:val="26"/>
          <w:lang w:val="es-ES" w:eastAsia="es-ES"/>
        </w:rPr>
      </w:pPr>
      <w:r w:rsidRPr="00455C38">
        <w:rPr>
          <w:rFonts w:ascii="Palatino Linotype" w:eastAsia="Times New Roman" w:hAnsi="Palatino Linotype" w:cs="Arial"/>
          <w:b/>
          <w:i/>
          <w:sz w:val="26"/>
          <w:szCs w:val="26"/>
          <w:lang w:val="es-ES" w:eastAsia="es-ES"/>
        </w:rPr>
        <w:t>DE LA VERSIÓN PÚBLICA.</w:t>
      </w:r>
    </w:p>
    <w:p w14:paraId="20A12698" w14:textId="77777777" w:rsidR="00DA68A0" w:rsidRPr="00455C38" w:rsidRDefault="00DA68A0" w:rsidP="00DA68A0">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6152659D"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r w:rsidRPr="00455C38">
        <w:rPr>
          <w:rFonts w:ascii="Palatino Linotype" w:eastAsia="Times New Roman" w:hAnsi="Palatino Linotype" w:cs="Times New Roman"/>
          <w:bCs/>
          <w:sz w:val="24"/>
          <w:szCs w:val="24"/>
          <w:lang w:eastAsia="es-ES"/>
        </w:rPr>
        <w:t>A este respecto, los</w:t>
      </w:r>
      <w:r w:rsidRPr="00455C38">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3111346B" w14:textId="77777777" w:rsidR="00DA68A0" w:rsidRPr="00455C38" w:rsidRDefault="00DA68A0" w:rsidP="00DA68A0">
      <w:pPr>
        <w:spacing w:after="0" w:line="360" w:lineRule="auto"/>
        <w:jc w:val="both"/>
        <w:rPr>
          <w:rFonts w:ascii="Palatino Linotype" w:eastAsia="Times New Roman" w:hAnsi="Palatino Linotype" w:cs="Times New Roman"/>
          <w:b/>
          <w:bCs/>
          <w:i/>
          <w:noProof/>
          <w:sz w:val="24"/>
          <w:szCs w:val="24"/>
          <w:lang w:eastAsia="es-ES"/>
        </w:rPr>
      </w:pPr>
    </w:p>
    <w:p w14:paraId="7C14B46D"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ES"/>
        </w:rPr>
      </w:pPr>
      <w:r w:rsidRPr="00455C38">
        <w:rPr>
          <w:rFonts w:ascii="Palatino Linotype" w:eastAsia="Times New Roman" w:hAnsi="Palatino Linotype" w:cs="Arial"/>
          <w:b/>
          <w:bCs/>
          <w:i/>
          <w:noProof/>
          <w:lang w:eastAsia="es-ES"/>
        </w:rPr>
        <w:t>“</w:t>
      </w:r>
      <w:r w:rsidRPr="00455C38">
        <w:rPr>
          <w:rFonts w:ascii="Palatino Linotype" w:eastAsia="Times New Roman" w:hAnsi="Palatino Linotype" w:cs="Arial"/>
          <w:b/>
          <w:bCs/>
          <w:i/>
          <w:lang w:eastAsia="es-MX"/>
        </w:rPr>
        <w:t>Artículo</w:t>
      </w:r>
      <w:r w:rsidRPr="00455C38">
        <w:rPr>
          <w:rFonts w:ascii="Palatino Linotype" w:eastAsia="Times New Roman" w:hAnsi="Palatino Linotype" w:cs="Arial"/>
          <w:b/>
          <w:bCs/>
          <w:i/>
          <w:lang w:eastAsia="es-ES"/>
        </w:rPr>
        <w:t xml:space="preserve"> 3. </w:t>
      </w:r>
      <w:r w:rsidRPr="00455C38">
        <w:rPr>
          <w:rFonts w:ascii="Palatino Linotype" w:eastAsia="Times New Roman" w:hAnsi="Palatino Linotype" w:cs="Times New Roman"/>
          <w:i/>
          <w:lang w:eastAsia="es-ES"/>
        </w:rPr>
        <w:t xml:space="preserve">Para los efectos de la presente Ley se entenderá por: </w:t>
      </w:r>
    </w:p>
    <w:p w14:paraId="415AA558"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ES"/>
        </w:rPr>
      </w:pPr>
    </w:p>
    <w:p w14:paraId="4D86029A" w14:textId="77777777" w:rsidR="00DA68A0" w:rsidRPr="00455C38" w:rsidRDefault="00DA68A0" w:rsidP="00DA68A0">
      <w:pPr>
        <w:spacing w:after="0" w:line="240" w:lineRule="auto"/>
        <w:ind w:left="567" w:right="567"/>
        <w:jc w:val="both"/>
        <w:rPr>
          <w:rFonts w:ascii="Palatino Linotype" w:eastAsia="Times New Roman" w:hAnsi="Palatino Linotype" w:cs="Arial"/>
          <w:i/>
          <w:lang w:eastAsia="es-ES"/>
        </w:rPr>
      </w:pPr>
      <w:r w:rsidRPr="00455C38">
        <w:rPr>
          <w:rFonts w:ascii="Palatino Linotype" w:eastAsia="Times New Roman" w:hAnsi="Palatino Linotype" w:cs="Arial"/>
          <w:b/>
          <w:i/>
          <w:lang w:eastAsia="es-ES"/>
        </w:rPr>
        <w:t>IX.</w:t>
      </w:r>
      <w:r w:rsidRPr="00455C38">
        <w:rPr>
          <w:rFonts w:ascii="Palatino Linotype" w:eastAsia="Times New Roman" w:hAnsi="Palatino Linotype" w:cs="Arial"/>
          <w:i/>
          <w:lang w:eastAsia="es-ES"/>
        </w:rPr>
        <w:t xml:space="preserve"> </w:t>
      </w:r>
      <w:r w:rsidRPr="00455C38">
        <w:rPr>
          <w:rFonts w:ascii="Palatino Linotype" w:eastAsia="Times New Roman" w:hAnsi="Palatino Linotype" w:cs="Arial"/>
          <w:b/>
          <w:i/>
          <w:lang w:eastAsia="es-ES"/>
        </w:rPr>
        <w:t xml:space="preserve">Datos personales: </w:t>
      </w:r>
      <w:r w:rsidRPr="00455C38">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291E9B6C" w14:textId="77777777" w:rsidR="00DA68A0" w:rsidRPr="00455C38" w:rsidRDefault="00DA68A0" w:rsidP="00DA68A0">
      <w:pPr>
        <w:spacing w:after="0" w:line="240" w:lineRule="auto"/>
        <w:ind w:left="567" w:right="567"/>
        <w:jc w:val="both"/>
        <w:rPr>
          <w:rFonts w:ascii="Palatino Linotype" w:eastAsia="Times New Roman" w:hAnsi="Palatino Linotype" w:cs="Arial"/>
          <w:i/>
          <w:lang w:eastAsia="es-ES"/>
        </w:rPr>
      </w:pPr>
    </w:p>
    <w:p w14:paraId="163D5108" w14:textId="77777777" w:rsidR="00DA68A0" w:rsidRPr="00455C38" w:rsidRDefault="00DA68A0" w:rsidP="00DA68A0">
      <w:pPr>
        <w:spacing w:after="0" w:line="240" w:lineRule="auto"/>
        <w:ind w:left="567" w:right="567"/>
        <w:jc w:val="both"/>
        <w:rPr>
          <w:rFonts w:ascii="Palatino Linotype" w:eastAsia="Times New Roman" w:hAnsi="Palatino Linotype" w:cs="Arial"/>
          <w:i/>
          <w:lang w:eastAsia="es-ES"/>
        </w:rPr>
      </w:pPr>
      <w:r w:rsidRPr="00455C38">
        <w:rPr>
          <w:rFonts w:ascii="Palatino Linotype" w:eastAsia="Times New Roman" w:hAnsi="Palatino Linotype" w:cs="Arial"/>
          <w:b/>
          <w:i/>
          <w:lang w:eastAsia="es-ES"/>
        </w:rPr>
        <w:t>XX.</w:t>
      </w:r>
      <w:r w:rsidRPr="00455C38">
        <w:rPr>
          <w:rFonts w:ascii="Palatino Linotype" w:eastAsia="Times New Roman" w:hAnsi="Palatino Linotype" w:cs="Arial"/>
          <w:i/>
          <w:lang w:eastAsia="es-ES"/>
        </w:rPr>
        <w:t xml:space="preserve"> </w:t>
      </w:r>
      <w:r w:rsidRPr="00455C38">
        <w:rPr>
          <w:rFonts w:ascii="Palatino Linotype" w:eastAsia="Times New Roman" w:hAnsi="Palatino Linotype" w:cs="Arial"/>
          <w:b/>
          <w:i/>
          <w:lang w:eastAsia="es-ES"/>
        </w:rPr>
        <w:t>Información clasificada:</w:t>
      </w:r>
      <w:r w:rsidRPr="00455C38">
        <w:rPr>
          <w:rFonts w:ascii="Palatino Linotype" w:eastAsia="Times New Roman" w:hAnsi="Palatino Linotype" w:cs="Arial"/>
          <w:i/>
          <w:lang w:eastAsia="es-ES"/>
        </w:rPr>
        <w:t xml:space="preserve"> Aquella considerada por la presente Ley como reservada o confidencial; </w:t>
      </w:r>
    </w:p>
    <w:p w14:paraId="495A6EBB" w14:textId="77777777" w:rsidR="00DA68A0" w:rsidRPr="00455C38" w:rsidRDefault="00DA68A0" w:rsidP="00DA68A0">
      <w:pPr>
        <w:spacing w:after="0" w:line="240" w:lineRule="auto"/>
        <w:ind w:left="567" w:right="567"/>
        <w:jc w:val="both"/>
        <w:rPr>
          <w:rFonts w:ascii="Palatino Linotype" w:eastAsia="Times New Roman" w:hAnsi="Palatino Linotype" w:cs="Arial"/>
          <w:i/>
          <w:lang w:eastAsia="es-ES"/>
        </w:rPr>
      </w:pPr>
    </w:p>
    <w:p w14:paraId="2D56D912" w14:textId="77777777" w:rsidR="00DA68A0" w:rsidRPr="00455C38" w:rsidRDefault="00DA68A0" w:rsidP="00DA68A0">
      <w:pPr>
        <w:spacing w:after="0" w:line="240" w:lineRule="auto"/>
        <w:ind w:left="567" w:right="567"/>
        <w:jc w:val="both"/>
        <w:rPr>
          <w:rFonts w:ascii="Palatino Linotype" w:eastAsia="Times New Roman" w:hAnsi="Palatino Linotype" w:cs="Arial"/>
          <w:i/>
          <w:lang w:eastAsia="es-ES"/>
        </w:rPr>
      </w:pPr>
      <w:r w:rsidRPr="00455C38">
        <w:rPr>
          <w:rFonts w:ascii="Palatino Linotype" w:eastAsia="Times New Roman" w:hAnsi="Palatino Linotype" w:cs="Arial"/>
          <w:b/>
          <w:i/>
          <w:lang w:eastAsia="es-ES"/>
        </w:rPr>
        <w:t>XXI.</w:t>
      </w:r>
      <w:r w:rsidRPr="00455C38">
        <w:rPr>
          <w:rFonts w:ascii="Palatino Linotype" w:eastAsia="Times New Roman" w:hAnsi="Palatino Linotype" w:cs="Arial"/>
          <w:i/>
          <w:lang w:eastAsia="es-ES"/>
        </w:rPr>
        <w:t xml:space="preserve"> </w:t>
      </w:r>
      <w:r w:rsidRPr="00455C38">
        <w:rPr>
          <w:rFonts w:ascii="Palatino Linotype" w:eastAsia="Times New Roman" w:hAnsi="Palatino Linotype" w:cs="Arial"/>
          <w:b/>
          <w:i/>
          <w:lang w:eastAsia="es-ES"/>
        </w:rPr>
        <w:t>Información confidencial</w:t>
      </w:r>
      <w:r w:rsidRPr="00455C38">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w:t>
      </w:r>
      <w:r w:rsidRPr="00455C38">
        <w:rPr>
          <w:rFonts w:ascii="Palatino Linotype" w:eastAsia="Times New Roman" w:hAnsi="Palatino Linotype" w:cs="Arial"/>
          <w:i/>
          <w:lang w:eastAsia="es-ES"/>
        </w:rPr>
        <w:lastRenderedPageBreak/>
        <w:t xml:space="preserve">corresponda a particulares, sujetos de derecho internacional o a sujetos obligados cuando no involucren el ejercicio de recursos públicos; </w:t>
      </w:r>
    </w:p>
    <w:p w14:paraId="77D258E8" w14:textId="77777777" w:rsidR="00DA68A0" w:rsidRPr="00455C38" w:rsidRDefault="00DA68A0" w:rsidP="00DA68A0">
      <w:pPr>
        <w:spacing w:after="0" w:line="240" w:lineRule="auto"/>
        <w:ind w:left="567" w:right="567"/>
        <w:jc w:val="both"/>
        <w:rPr>
          <w:rFonts w:ascii="Palatino Linotype" w:eastAsia="Times New Roman" w:hAnsi="Palatino Linotype" w:cs="Arial"/>
          <w:i/>
          <w:lang w:eastAsia="es-ES"/>
        </w:rPr>
      </w:pPr>
      <w:r w:rsidRPr="00455C38">
        <w:rPr>
          <w:rFonts w:ascii="Palatino Linotype" w:eastAsia="Times New Roman" w:hAnsi="Palatino Linotype" w:cs="Arial"/>
          <w:b/>
          <w:i/>
          <w:lang w:eastAsia="es-ES"/>
        </w:rPr>
        <w:t>XLV. Versión pública:</w:t>
      </w:r>
      <w:r w:rsidRPr="00455C38">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5BA9C686" w14:textId="77777777" w:rsidR="00DA68A0" w:rsidRPr="00455C38" w:rsidRDefault="00DA68A0" w:rsidP="00DA68A0">
      <w:pPr>
        <w:spacing w:after="0" w:line="240" w:lineRule="auto"/>
        <w:ind w:left="567" w:right="567"/>
        <w:jc w:val="both"/>
        <w:rPr>
          <w:rFonts w:ascii="Palatino Linotype" w:eastAsia="Times New Roman" w:hAnsi="Palatino Linotype" w:cs="Arial"/>
          <w:i/>
          <w:lang w:eastAsia="es-ES"/>
        </w:rPr>
      </w:pPr>
    </w:p>
    <w:p w14:paraId="1B31E177" w14:textId="77777777" w:rsidR="00DA68A0" w:rsidRPr="00455C38" w:rsidRDefault="00DA68A0" w:rsidP="00DA68A0">
      <w:pPr>
        <w:spacing w:after="0" w:line="240" w:lineRule="auto"/>
        <w:ind w:left="567" w:right="567"/>
        <w:jc w:val="both"/>
        <w:rPr>
          <w:rFonts w:ascii="Palatino Linotype" w:eastAsia="Times New Roman" w:hAnsi="Palatino Linotype" w:cs="Arial"/>
          <w:i/>
          <w:lang w:eastAsia="es-ES"/>
        </w:rPr>
      </w:pPr>
      <w:r w:rsidRPr="00455C38">
        <w:rPr>
          <w:rFonts w:ascii="Palatino Linotype" w:eastAsia="Times New Roman" w:hAnsi="Palatino Linotype" w:cs="Arial"/>
          <w:b/>
          <w:i/>
          <w:lang w:eastAsia="es-ES"/>
        </w:rPr>
        <w:t>Artículo 51.</w:t>
      </w:r>
      <w:r w:rsidRPr="00455C38">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55C38">
        <w:rPr>
          <w:rFonts w:ascii="Palatino Linotype" w:eastAsia="Times New Roman" w:hAnsi="Palatino Linotype" w:cs="Arial"/>
          <w:b/>
          <w:i/>
          <w:lang w:eastAsia="es-ES"/>
        </w:rPr>
        <w:t xml:space="preserve">y tendrá la responsabilidad de verificar en cada caso que la misma no sea confidencial o reservada. </w:t>
      </w:r>
      <w:r w:rsidRPr="00455C38">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63A36373" w14:textId="77777777" w:rsidR="00DA68A0" w:rsidRPr="00455C38" w:rsidRDefault="00DA68A0" w:rsidP="00DA68A0">
      <w:pPr>
        <w:spacing w:after="0" w:line="240" w:lineRule="auto"/>
        <w:ind w:left="567" w:right="567"/>
        <w:jc w:val="both"/>
        <w:rPr>
          <w:rFonts w:ascii="Palatino Linotype" w:eastAsia="Times New Roman" w:hAnsi="Palatino Linotype" w:cs="Arial"/>
          <w:i/>
          <w:lang w:eastAsia="es-ES"/>
        </w:rPr>
      </w:pPr>
    </w:p>
    <w:p w14:paraId="0E2B2F16" w14:textId="77777777" w:rsidR="00DA68A0" w:rsidRPr="00455C38" w:rsidRDefault="00DA68A0" w:rsidP="00DA68A0">
      <w:pPr>
        <w:spacing w:after="0" w:line="240" w:lineRule="auto"/>
        <w:ind w:left="567" w:right="567"/>
        <w:jc w:val="both"/>
        <w:rPr>
          <w:rFonts w:ascii="Palatino Linotype" w:eastAsia="Times New Roman" w:hAnsi="Palatino Linotype" w:cs="Arial"/>
          <w:bCs/>
          <w:noProof/>
          <w:sz w:val="24"/>
          <w:szCs w:val="24"/>
          <w:lang w:eastAsia="es-ES"/>
        </w:rPr>
      </w:pPr>
      <w:r w:rsidRPr="00455C38">
        <w:rPr>
          <w:rFonts w:ascii="Palatino Linotype" w:eastAsia="Times New Roman" w:hAnsi="Palatino Linotype" w:cs="Arial"/>
          <w:b/>
          <w:i/>
          <w:lang w:eastAsia="es-ES"/>
        </w:rPr>
        <w:t>Artículo 52.</w:t>
      </w:r>
      <w:r w:rsidRPr="00455C38">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455C38">
        <w:rPr>
          <w:rFonts w:ascii="Palatino Linotype" w:eastAsia="Times New Roman" w:hAnsi="Palatino Linotype" w:cs="Arial"/>
          <w:bCs/>
          <w:i/>
          <w:noProof/>
          <w:lang w:eastAsia="es-ES"/>
        </w:rPr>
        <w:t>”</w:t>
      </w:r>
    </w:p>
    <w:p w14:paraId="29BA1F95"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p>
    <w:p w14:paraId="645A60A2" w14:textId="77777777" w:rsidR="00DA68A0" w:rsidRPr="00455C38" w:rsidRDefault="00DA68A0" w:rsidP="00DA68A0">
      <w:pPr>
        <w:spacing w:after="0" w:line="360" w:lineRule="auto"/>
        <w:jc w:val="both"/>
        <w:rPr>
          <w:rFonts w:ascii="Palatino Linotype" w:eastAsia="Arial Unicode MS" w:hAnsi="Palatino Linotype" w:cs="Arial"/>
          <w:i/>
          <w:szCs w:val="24"/>
          <w:lang w:eastAsia="es-ES"/>
        </w:rPr>
      </w:pPr>
      <w:r w:rsidRPr="00455C38">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7A3A07F5" w14:textId="77777777" w:rsidR="00DA68A0" w:rsidRPr="00455C38" w:rsidRDefault="00DA68A0" w:rsidP="00DA68A0">
      <w:pPr>
        <w:spacing w:after="0" w:line="360" w:lineRule="auto"/>
        <w:jc w:val="both"/>
        <w:rPr>
          <w:rFonts w:ascii="Palatino Linotype" w:eastAsia="Arial Unicode MS" w:hAnsi="Palatino Linotype"/>
        </w:rPr>
      </w:pPr>
    </w:p>
    <w:p w14:paraId="619EE450" w14:textId="180772C8" w:rsidR="00DA68A0" w:rsidRPr="00455C38" w:rsidRDefault="00DA68A0" w:rsidP="00DA68A0">
      <w:pPr>
        <w:spacing w:after="0" w:line="360" w:lineRule="auto"/>
        <w:jc w:val="both"/>
        <w:rPr>
          <w:rFonts w:ascii="Palatino Linotype" w:hAnsi="Palatino Linotype"/>
          <w:sz w:val="24"/>
        </w:rPr>
      </w:pPr>
      <w:r w:rsidRPr="00455C38">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27A9CA99" w14:textId="77777777" w:rsidR="00DA68A0" w:rsidRPr="00455C38" w:rsidRDefault="00DA68A0" w:rsidP="00DA68A0">
      <w:pPr>
        <w:spacing w:after="0" w:line="360" w:lineRule="auto"/>
        <w:jc w:val="both"/>
        <w:rPr>
          <w:rFonts w:ascii="Palatino Linotype" w:eastAsia="Arial Unicode MS" w:hAnsi="Palatino Linotype"/>
          <w:sz w:val="24"/>
          <w:lang w:val="es-ES"/>
        </w:rPr>
      </w:pPr>
      <w:r w:rsidRPr="00455C38">
        <w:rPr>
          <w:rFonts w:ascii="Palatino Linotype" w:eastAsia="Arial Unicode MS" w:hAnsi="Palatino Linotype"/>
          <w:sz w:val="24"/>
          <w:lang w:val="es-ES"/>
        </w:rPr>
        <w:lastRenderedPageBreak/>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55C38">
        <w:rPr>
          <w:rFonts w:ascii="Palatino Linotype" w:eastAsia="Arial Unicode MS" w:hAnsi="Palatino Linotype"/>
          <w:color w:val="000000"/>
          <w:sz w:val="24"/>
          <w:lang w:eastAsia="es-MX"/>
        </w:rPr>
        <w:t>el Sujeto Obligado</w:t>
      </w:r>
      <w:r w:rsidRPr="00455C38">
        <w:rPr>
          <w:rFonts w:ascii="Palatino Linotype" w:eastAsia="Arial Unicode MS" w:hAnsi="Palatino Linotype"/>
          <w:sz w:val="24"/>
          <w:lang w:val="es-ES"/>
        </w:rPr>
        <w:t xml:space="preserve">, en ese contexto, todo dato personal susceptible de clasificación debe ser protegido. </w:t>
      </w:r>
    </w:p>
    <w:p w14:paraId="37CE1AE3" w14:textId="77777777" w:rsidR="00DA68A0" w:rsidRPr="00455C38" w:rsidRDefault="00DA68A0" w:rsidP="00DA68A0">
      <w:pPr>
        <w:spacing w:after="0" w:line="360" w:lineRule="auto"/>
        <w:jc w:val="both"/>
        <w:rPr>
          <w:rFonts w:ascii="Palatino Linotype" w:eastAsia="Arial Unicode MS" w:hAnsi="Palatino Linotype"/>
          <w:sz w:val="24"/>
          <w:lang w:val="es-ES"/>
        </w:rPr>
      </w:pPr>
    </w:p>
    <w:p w14:paraId="78EA3EFE"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ES"/>
        </w:rPr>
      </w:pPr>
      <w:r w:rsidRPr="00455C38">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455C38">
        <w:rPr>
          <w:rFonts w:ascii="Palatino Linotype" w:eastAsia="Times New Roman" w:hAnsi="Palatino Linotype" w:cs="Times New Roman"/>
          <w:sz w:val="24"/>
          <w:szCs w:val="24"/>
          <w:lang w:val="es-ES" w:eastAsia="es-ES"/>
        </w:rPr>
        <w:t>resulta necesario que el Comité de Transparencia d</w:t>
      </w:r>
      <w:r w:rsidRPr="00455C38">
        <w:rPr>
          <w:rFonts w:ascii="Palatino Linotype" w:eastAsia="Times New Roman" w:hAnsi="Palatino Linotype" w:cs="Times New Roman"/>
          <w:sz w:val="24"/>
          <w:szCs w:val="24"/>
          <w:lang w:val="es-ES_tradnl" w:eastAsia="es-ES"/>
        </w:rPr>
        <w:t xml:space="preserve">el </w:t>
      </w:r>
      <w:r w:rsidRPr="00455C38">
        <w:rPr>
          <w:rFonts w:ascii="Palatino Linotype" w:eastAsia="Times New Roman" w:hAnsi="Palatino Linotype" w:cs="Times New Roman"/>
          <w:b/>
          <w:sz w:val="24"/>
          <w:szCs w:val="24"/>
          <w:lang w:val="es-ES_tradnl" w:eastAsia="es-ES"/>
        </w:rPr>
        <w:t>sujeto obligado</w:t>
      </w:r>
      <w:r w:rsidRPr="00455C38">
        <w:rPr>
          <w:rFonts w:ascii="Palatino Linotype" w:eastAsia="Times New Roman" w:hAnsi="Palatino Linotype" w:cs="Times New Roman"/>
          <w:sz w:val="24"/>
          <w:szCs w:val="24"/>
          <w:lang w:val="es-ES_tradnl" w:eastAsia="es-ES"/>
        </w:rPr>
        <w:t xml:space="preserve"> </w:t>
      </w:r>
      <w:r w:rsidRPr="00455C38">
        <w:rPr>
          <w:rFonts w:ascii="Palatino Linotype" w:eastAsia="Times New Roman" w:hAnsi="Palatino Linotype" w:cs="Times New Roman"/>
          <w:sz w:val="24"/>
          <w:szCs w:val="24"/>
          <w:lang w:val="es-ES" w:eastAsia="es-ES"/>
        </w:rPr>
        <w:t>emita el Acuerdo de Clasificación correspondiente</w:t>
      </w:r>
      <w:r w:rsidRPr="00455C38">
        <w:rPr>
          <w:rFonts w:ascii="Palatino Linotype" w:eastAsia="Times New Roman" w:hAnsi="Palatino Linotype" w:cs="Times New Roman"/>
          <w:sz w:val="24"/>
          <w:szCs w:val="24"/>
          <w:lang w:val="es-ES_tradnl" w:eastAsia="es-ES"/>
        </w:rPr>
        <w:t xml:space="preserve"> debidamente fundado y motivado, </w:t>
      </w:r>
      <w:r w:rsidRPr="00455C38">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4D7F8FE2"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ES"/>
        </w:rPr>
      </w:pPr>
    </w:p>
    <w:p w14:paraId="31BFA373"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ES"/>
        </w:rPr>
      </w:pPr>
      <w:r w:rsidRPr="00455C38">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455C38">
        <w:rPr>
          <w:rFonts w:ascii="Palatino Linotype" w:eastAsia="Times New Roman" w:hAnsi="Palatino Linotype" w:cs="Times New Roman"/>
          <w:b/>
          <w:sz w:val="24"/>
          <w:szCs w:val="24"/>
          <w:lang w:val="es-ES" w:eastAsia="es-ES"/>
        </w:rPr>
        <w:t>Registro Federal de Contribuyentes</w:t>
      </w:r>
      <w:r w:rsidRPr="00455C38">
        <w:rPr>
          <w:rFonts w:ascii="Palatino Linotype" w:eastAsia="Times New Roman" w:hAnsi="Palatino Linotype" w:cs="Times New Roman"/>
          <w:sz w:val="24"/>
          <w:szCs w:val="24"/>
          <w:lang w:val="es-ES" w:eastAsia="es-ES"/>
        </w:rPr>
        <w:t xml:space="preserve"> (RFC) y la </w:t>
      </w:r>
      <w:r w:rsidRPr="00455C38">
        <w:rPr>
          <w:rFonts w:ascii="Palatino Linotype" w:eastAsia="Times New Roman" w:hAnsi="Palatino Linotype" w:cs="Times New Roman"/>
          <w:b/>
          <w:sz w:val="24"/>
          <w:szCs w:val="24"/>
          <w:lang w:val="es-ES" w:eastAsia="es-ES"/>
        </w:rPr>
        <w:t>Clave Única de Registro de Población</w:t>
      </w:r>
      <w:r w:rsidRPr="00455C38">
        <w:rPr>
          <w:rFonts w:ascii="Palatino Linotype" w:eastAsia="Times New Roman" w:hAnsi="Palatino Linotype" w:cs="Times New Roman"/>
          <w:sz w:val="24"/>
          <w:szCs w:val="24"/>
          <w:lang w:val="es-ES" w:eastAsia="es-ES"/>
        </w:rPr>
        <w:t xml:space="preserve"> (CURP).</w:t>
      </w:r>
      <w:r w:rsidRPr="00455C38">
        <w:rPr>
          <w:rFonts w:ascii="Palatino Linotype" w:eastAsia="Times New Roman" w:hAnsi="Palatino Linotype" w:cs="Times New Roman"/>
          <w:b/>
          <w:sz w:val="24"/>
          <w:szCs w:val="24"/>
          <w:lang w:val="es-ES" w:eastAsia="es-ES"/>
        </w:rPr>
        <w:t>.</w:t>
      </w:r>
    </w:p>
    <w:p w14:paraId="1FEE3E28" w14:textId="77777777" w:rsidR="00DA68A0" w:rsidRPr="00455C38" w:rsidRDefault="00DA68A0" w:rsidP="00DA68A0">
      <w:pPr>
        <w:spacing w:after="0" w:line="360" w:lineRule="auto"/>
        <w:jc w:val="both"/>
        <w:rPr>
          <w:rFonts w:ascii="Palatino Linotype" w:eastAsia="Times New Roman" w:hAnsi="Palatino Linotype" w:cs="Times New Roman"/>
          <w:sz w:val="24"/>
          <w:szCs w:val="24"/>
        </w:rPr>
      </w:pPr>
    </w:p>
    <w:p w14:paraId="11D35409" w14:textId="77777777" w:rsidR="00DA68A0" w:rsidRPr="00455C38" w:rsidRDefault="00DA68A0" w:rsidP="00DA68A0">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455C38">
        <w:rPr>
          <w:rFonts w:ascii="Palatino Linotype" w:eastAsia="Times New Roman" w:hAnsi="Palatino Linotype" w:cs="Arial"/>
          <w:sz w:val="24"/>
          <w:szCs w:val="24"/>
          <w:lang w:eastAsia="es-MX"/>
        </w:rPr>
        <w:lastRenderedPageBreak/>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734B8607" w14:textId="77777777" w:rsidR="00DA68A0" w:rsidRPr="00455C38" w:rsidRDefault="00DA68A0" w:rsidP="00DA68A0">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3361B38E" w14:textId="77777777" w:rsidR="00DA68A0" w:rsidRPr="00455C38" w:rsidRDefault="00DA68A0" w:rsidP="00DA68A0">
      <w:pPr>
        <w:spacing w:after="0" w:line="360" w:lineRule="auto"/>
        <w:ind w:right="-91"/>
        <w:jc w:val="both"/>
        <w:rPr>
          <w:rFonts w:ascii="Palatino Linotype" w:eastAsia="Times New Roman" w:hAnsi="Palatino Linotype" w:cs="Arial"/>
          <w:sz w:val="24"/>
          <w:szCs w:val="24"/>
          <w:lang w:eastAsia="es-MX"/>
        </w:rPr>
      </w:pPr>
      <w:r w:rsidRPr="00455C38">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46320F8C" w14:textId="77777777" w:rsidR="00DA68A0" w:rsidRPr="00455C38" w:rsidRDefault="00DA68A0" w:rsidP="00DA68A0">
      <w:pPr>
        <w:spacing w:after="0" w:line="360" w:lineRule="auto"/>
        <w:ind w:right="-91"/>
        <w:jc w:val="both"/>
        <w:rPr>
          <w:rFonts w:ascii="Palatino Linotype" w:eastAsia="Times New Roman" w:hAnsi="Palatino Linotype" w:cs="Arial"/>
          <w:sz w:val="24"/>
          <w:szCs w:val="24"/>
          <w:lang w:eastAsia="es-MX"/>
        </w:rPr>
      </w:pPr>
    </w:p>
    <w:p w14:paraId="098B5A36" w14:textId="77777777" w:rsidR="00DA68A0" w:rsidRPr="00455C38" w:rsidRDefault="00DA68A0" w:rsidP="00DA68A0">
      <w:pPr>
        <w:spacing w:after="0" w:line="240" w:lineRule="auto"/>
        <w:ind w:left="567" w:right="567"/>
        <w:jc w:val="both"/>
        <w:rPr>
          <w:rFonts w:ascii="Palatino Linotype" w:eastAsia="Times New Roman" w:hAnsi="Palatino Linotype" w:cs="Arial"/>
          <w:b/>
          <w:bCs/>
          <w:i/>
        </w:rPr>
      </w:pPr>
      <w:r w:rsidRPr="00455C38">
        <w:rPr>
          <w:rFonts w:ascii="Palatino Linotype" w:eastAsia="Times New Roman" w:hAnsi="Palatino Linotype" w:cs="Arial"/>
          <w:bCs/>
          <w:i/>
        </w:rPr>
        <w:t>“</w:t>
      </w:r>
      <w:r w:rsidRPr="00455C38">
        <w:rPr>
          <w:rFonts w:ascii="Palatino Linotype" w:eastAsia="Times New Roman" w:hAnsi="Palatino Linotype" w:cs="Arial"/>
          <w:b/>
          <w:bCs/>
          <w:i/>
        </w:rPr>
        <w:t xml:space="preserve">Registro Federal de Contribuyentes (RFC) de personas físicas. </w:t>
      </w:r>
      <w:r w:rsidRPr="00455C38">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42106FC2" w14:textId="77777777" w:rsidR="00DA68A0" w:rsidRPr="00455C38" w:rsidRDefault="00DA68A0" w:rsidP="00DA68A0">
      <w:pPr>
        <w:spacing w:after="0" w:line="240" w:lineRule="auto"/>
        <w:ind w:left="567" w:right="567"/>
        <w:jc w:val="both"/>
        <w:rPr>
          <w:rFonts w:ascii="Palatino Linotype" w:eastAsia="Times New Roman" w:hAnsi="Palatino Linotype" w:cs="Arial"/>
          <w:bCs/>
          <w:i/>
          <w:sz w:val="20"/>
        </w:rPr>
      </w:pPr>
      <w:r w:rsidRPr="00455C38">
        <w:rPr>
          <w:rFonts w:ascii="Palatino Linotype" w:eastAsia="Times New Roman" w:hAnsi="Palatino Linotype" w:cs="Arial"/>
          <w:bCs/>
          <w:i/>
          <w:sz w:val="20"/>
        </w:rPr>
        <w:t>Resoluciones:</w:t>
      </w:r>
    </w:p>
    <w:p w14:paraId="0B9C2A6A" w14:textId="77777777" w:rsidR="00DA68A0" w:rsidRPr="00455C38" w:rsidRDefault="00DA68A0" w:rsidP="00DA68A0">
      <w:pPr>
        <w:spacing w:after="0" w:line="240" w:lineRule="auto"/>
        <w:ind w:left="567" w:right="567"/>
        <w:jc w:val="both"/>
        <w:rPr>
          <w:rFonts w:ascii="Palatino Linotype" w:eastAsia="Times New Roman" w:hAnsi="Palatino Linotype" w:cs="Arial"/>
          <w:bCs/>
          <w:i/>
          <w:sz w:val="20"/>
        </w:rPr>
      </w:pPr>
      <w:r w:rsidRPr="00455C38">
        <w:rPr>
          <w:rFonts w:ascii="Palatino Linotype" w:eastAsia="Times New Roman" w:hAnsi="Palatino Linotype" w:cs="Arial"/>
          <w:bCs/>
          <w:i/>
          <w:sz w:val="20"/>
        </w:rPr>
        <w:t>•</w:t>
      </w:r>
      <w:r w:rsidRPr="00455C38">
        <w:rPr>
          <w:rFonts w:ascii="Palatino Linotype" w:eastAsia="Times New Roman" w:hAnsi="Palatino Linotype" w:cs="Arial"/>
          <w:bCs/>
          <w:i/>
          <w:sz w:val="20"/>
        </w:rPr>
        <w:tab/>
        <w:t>RRA 0189/17. Morena. 08 de febrero de 2017. Por unanimidad. Comisionado Ponente Joel Salas Suárez.</w:t>
      </w:r>
    </w:p>
    <w:p w14:paraId="0113DC2F" w14:textId="77777777" w:rsidR="00DA68A0" w:rsidRPr="00455C38" w:rsidRDefault="00DA68A0" w:rsidP="00DA68A0">
      <w:pPr>
        <w:spacing w:after="0" w:line="240" w:lineRule="auto"/>
        <w:ind w:left="567" w:right="567"/>
        <w:jc w:val="both"/>
        <w:rPr>
          <w:rFonts w:ascii="Palatino Linotype" w:eastAsia="Times New Roman" w:hAnsi="Palatino Linotype" w:cs="Arial"/>
          <w:bCs/>
          <w:i/>
          <w:sz w:val="20"/>
        </w:rPr>
      </w:pPr>
      <w:r w:rsidRPr="00455C38">
        <w:rPr>
          <w:rFonts w:ascii="Palatino Linotype" w:eastAsia="Times New Roman" w:hAnsi="Palatino Linotype" w:cs="Arial"/>
          <w:bCs/>
          <w:i/>
          <w:sz w:val="20"/>
        </w:rPr>
        <w:t>•</w:t>
      </w:r>
      <w:r w:rsidRPr="00455C38">
        <w:rPr>
          <w:rFonts w:ascii="Palatino Linotype" w:eastAsia="Times New Roman" w:hAnsi="Palatino Linotype" w:cs="Arial"/>
          <w:bCs/>
          <w:i/>
          <w:sz w:val="20"/>
        </w:rPr>
        <w:tab/>
        <w:t xml:space="preserve">RRA 0677/17. Universidad Nacional Autónoma de México. 08 de marzo de 2017. Por unanimidad. Comisionado Ponente Rosendoevgueni Monterrey Chepov. </w:t>
      </w:r>
    </w:p>
    <w:p w14:paraId="71F2A8F9" w14:textId="77777777" w:rsidR="00DA68A0" w:rsidRPr="00455C38" w:rsidRDefault="00DA68A0" w:rsidP="00DA68A0">
      <w:pPr>
        <w:spacing w:after="0" w:line="240" w:lineRule="auto"/>
        <w:ind w:left="567" w:right="567"/>
        <w:jc w:val="both"/>
        <w:rPr>
          <w:rFonts w:ascii="Palatino Linotype" w:eastAsia="Times New Roman" w:hAnsi="Palatino Linotype" w:cs="Arial"/>
          <w:i/>
          <w:sz w:val="20"/>
        </w:rPr>
      </w:pPr>
      <w:r w:rsidRPr="00455C38">
        <w:rPr>
          <w:rFonts w:ascii="Palatino Linotype" w:eastAsia="Times New Roman" w:hAnsi="Palatino Linotype" w:cs="Arial"/>
          <w:bCs/>
          <w:i/>
          <w:sz w:val="20"/>
        </w:rPr>
        <w:t>•</w:t>
      </w:r>
      <w:r w:rsidRPr="00455C38">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455C38">
        <w:rPr>
          <w:rFonts w:ascii="Palatino Linotype" w:eastAsia="Times New Roman" w:hAnsi="Palatino Linotype" w:cs="Arial"/>
          <w:i/>
          <w:sz w:val="20"/>
        </w:rPr>
        <w:t>”</w:t>
      </w:r>
    </w:p>
    <w:p w14:paraId="0549579E" w14:textId="77777777" w:rsidR="00DA68A0" w:rsidRPr="00455C38" w:rsidRDefault="00DA68A0" w:rsidP="00DA68A0">
      <w:pPr>
        <w:spacing w:after="0" w:line="360" w:lineRule="auto"/>
        <w:jc w:val="both"/>
        <w:rPr>
          <w:rFonts w:ascii="Palatino Linotype" w:eastAsia="Times New Roman" w:hAnsi="Palatino Linotype" w:cs="Arial"/>
          <w:sz w:val="24"/>
          <w:szCs w:val="24"/>
          <w:lang w:eastAsia="es-MX"/>
        </w:rPr>
      </w:pPr>
    </w:p>
    <w:p w14:paraId="69B2EA7D" w14:textId="77777777" w:rsidR="00DA68A0" w:rsidRPr="00455C38" w:rsidRDefault="00DA68A0" w:rsidP="00DA68A0">
      <w:pPr>
        <w:spacing w:after="0" w:line="360" w:lineRule="auto"/>
        <w:jc w:val="both"/>
        <w:rPr>
          <w:rFonts w:ascii="Palatino Linotype" w:eastAsia="Times New Roman" w:hAnsi="Palatino Linotype" w:cs="Arial"/>
          <w:sz w:val="24"/>
          <w:szCs w:val="24"/>
          <w:lang w:eastAsia="es-MX"/>
        </w:rPr>
      </w:pPr>
      <w:r w:rsidRPr="00455C38">
        <w:rPr>
          <w:rFonts w:ascii="Palatino Linotype" w:eastAsia="Times New Roman"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0FDAB00E" w14:textId="77777777" w:rsidR="00DA68A0" w:rsidRPr="00455C38" w:rsidRDefault="00DA68A0" w:rsidP="00DA68A0">
      <w:pPr>
        <w:spacing w:after="0" w:line="360" w:lineRule="auto"/>
        <w:jc w:val="both"/>
        <w:rPr>
          <w:rFonts w:ascii="Palatino Linotype" w:eastAsia="Times New Roman" w:hAnsi="Palatino Linotype" w:cs="Arial"/>
          <w:sz w:val="24"/>
          <w:szCs w:val="24"/>
          <w:lang w:eastAsia="es-MX"/>
        </w:rPr>
      </w:pPr>
    </w:p>
    <w:p w14:paraId="53A0B91D"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MX"/>
        </w:rPr>
      </w:pPr>
      <w:r w:rsidRPr="00455C38">
        <w:rPr>
          <w:rFonts w:ascii="Palatino Linotype" w:eastAsia="Times New Roman" w:hAnsi="Palatino Linotype" w:cs="Times New Roman"/>
          <w:sz w:val="24"/>
          <w:szCs w:val="24"/>
          <w:lang w:val="es-ES" w:eastAsia="es-MX"/>
        </w:rPr>
        <w:lastRenderedPageBreak/>
        <w:t xml:space="preserve">Por cuanto hace a la </w:t>
      </w:r>
      <w:r w:rsidRPr="00455C38">
        <w:rPr>
          <w:rFonts w:ascii="Palatino Linotype" w:eastAsia="Times New Roman" w:hAnsi="Palatino Linotype" w:cs="Times New Roman"/>
          <w:b/>
          <w:sz w:val="24"/>
          <w:szCs w:val="24"/>
          <w:lang w:val="es-ES" w:eastAsia="es-ES"/>
        </w:rPr>
        <w:t xml:space="preserve">Clave Única de Registro de Población, </w:t>
      </w:r>
      <w:r w:rsidRPr="00455C38">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7EA77EF"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MX"/>
        </w:rPr>
      </w:pPr>
    </w:p>
    <w:p w14:paraId="5907E2F7"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MX"/>
        </w:rPr>
      </w:pPr>
      <w:r w:rsidRPr="00455C38">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1E9B0116"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MX"/>
        </w:rPr>
      </w:pPr>
    </w:p>
    <w:p w14:paraId="3B857D4A" w14:textId="77777777" w:rsidR="00DA68A0" w:rsidRPr="00455C38" w:rsidRDefault="00DA68A0" w:rsidP="00DA68A0">
      <w:pPr>
        <w:spacing w:after="0"/>
        <w:ind w:left="567" w:right="567"/>
        <w:jc w:val="both"/>
        <w:rPr>
          <w:rFonts w:ascii="Palatino Linotype" w:hAnsi="Palatino Linotype" w:cs="Arial"/>
          <w:i/>
          <w:lang w:val="es-ES" w:eastAsia="es-MX"/>
        </w:rPr>
      </w:pPr>
      <w:r w:rsidRPr="00455C38">
        <w:rPr>
          <w:rFonts w:ascii="Palatino Linotype" w:hAnsi="Palatino Linotype" w:cs="Arial,Bold"/>
          <w:b/>
          <w:bCs/>
          <w:i/>
          <w:lang w:val="es-ES" w:eastAsia="es-MX"/>
        </w:rPr>
        <w:t xml:space="preserve">“Artículo 86. </w:t>
      </w:r>
      <w:r w:rsidRPr="00455C38">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0B2440A0" w14:textId="77777777" w:rsidR="00DA68A0" w:rsidRPr="00455C38" w:rsidRDefault="00DA68A0" w:rsidP="00DA68A0">
      <w:pPr>
        <w:spacing w:after="0"/>
        <w:ind w:left="567" w:right="567"/>
        <w:jc w:val="both"/>
        <w:rPr>
          <w:rFonts w:ascii="Palatino Linotype" w:hAnsi="Palatino Linotype" w:cs="Arial"/>
          <w:i/>
          <w:lang w:val="es-ES" w:eastAsia="es-MX"/>
        </w:rPr>
      </w:pPr>
    </w:p>
    <w:p w14:paraId="08CFEB35" w14:textId="77777777" w:rsidR="00DA68A0" w:rsidRPr="00455C38" w:rsidRDefault="00DA68A0" w:rsidP="00DA68A0">
      <w:pPr>
        <w:spacing w:after="0"/>
        <w:ind w:left="567" w:right="567"/>
        <w:jc w:val="both"/>
        <w:rPr>
          <w:rFonts w:ascii="Palatino Linotype" w:hAnsi="Palatino Linotype" w:cs="Arial"/>
          <w:i/>
          <w:lang w:val="es-ES" w:eastAsia="es-MX"/>
        </w:rPr>
      </w:pPr>
      <w:r w:rsidRPr="00455C38">
        <w:rPr>
          <w:rFonts w:ascii="Palatino Linotype" w:hAnsi="Palatino Linotype" w:cs="Arial,Bold"/>
          <w:b/>
          <w:bCs/>
          <w:i/>
          <w:lang w:val="es-ES" w:eastAsia="es-MX"/>
        </w:rPr>
        <w:t xml:space="preserve">Artículo 91. </w:t>
      </w:r>
      <w:r w:rsidRPr="00455C38">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2B7F02C2"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MX"/>
        </w:rPr>
      </w:pPr>
    </w:p>
    <w:p w14:paraId="42999049"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MX"/>
        </w:rPr>
      </w:pPr>
      <w:r w:rsidRPr="00455C38">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1841291F"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MX"/>
        </w:rPr>
      </w:pPr>
    </w:p>
    <w:p w14:paraId="16D3539F"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MX"/>
        </w:rPr>
      </w:pPr>
      <w:r w:rsidRPr="00455C38">
        <w:rPr>
          <w:rFonts w:ascii="Palatino Linotype" w:eastAsia="Times New Roman" w:hAnsi="Palatino Linotype" w:cs="Times New Roman"/>
          <w:sz w:val="24"/>
          <w:szCs w:val="24"/>
          <w:lang w:val="es-ES" w:eastAsia="es-MX"/>
        </w:rPr>
        <w:lastRenderedPageBreak/>
        <w:t>Al respecto, el Instituto Nacional de Transparencia, Acceso a la Información y Protección de Datos Personales (INAI) a través del Criterio 18/17, señala literalmente lo siguiente:</w:t>
      </w:r>
    </w:p>
    <w:p w14:paraId="443BA792" w14:textId="77777777" w:rsidR="00DA68A0" w:rsidRPr="00455C38" w:rsidRDefault="00DA68A0" w:rsidP="00DA68A0">
      <w:pPr>
        <w:spacing w:after="0" w:line="360" w:lineRule="auto"/>
        <w:jc w:val="both"/>
        <w:rPr>
          <w:rFonts w:ascii="Palatino Linotype" w:hAnsi="Palatino Linotype" w:cs="Arial"/>
          <w:lang w:val="es-ES" w:eastAsia="es-MX"/>
        </w:rPr>
      </w:pPr>
    </w:p>
    <w:p w14:paraId="3F985758"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val="es-ES" w:eastAsia="es-MX"/>
        </w:rPr>
      </w:pPr>
    </w:p>
    <w:p w14:paraId="525B9380"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val="es-ES" w:eastAsia="es-MX"/>
        </w:rPr>
      </w:pPr>
      <w:r w:rsidRPr="00455C38">
        <w:rPr>
          <w:rFonts w:ascii="Palatino Linotype" w:eastAsia="Times New Roman" w:hAnsi="Palatino Linotype" w:cs="Times New Roman"/>
          <w:b/>
          <w:i/>
          <w:lang w:val="es-ES" w:eastAsia="es-MX"/>
        </w:rPr>
        <w:t>Clave Única de Registro de Población (CURP)</w:t>
      </w:r>
      <w:r w:rsidRPr="00455C38">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E3668BF" w14:textId="77777777" w:rsidR="00DA68A0" w:rsidRPr="00455C38" w:rsidRDefault="00DA68A0" w:rsidP="00DA68A0">
      <w:pPr>
        <w:spacing w:after="0" w:line="360" w:lineRule="auto"/>
        <w:ind w:right="616"/>
        <w:jc w:val="both"/>
        <w:rPr>
          <w:rFonts w:ascii="Palatino Linotype" w:hAnsi="Palatino Linotype" w:cs="Arial"/>
          <w:bCs/>
          <w:lang w:val="es-ES" w:eastAsia="es-MX"/>
        </w:rPr>
      </w:pPr>
    </w:p>
    <w:p w14:paraId="285D39A9"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MX"/>
        </w:rPr>
      </w:pPr>
      <w:r w:rsidRPr="00455C38">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B79CCCE" w14:textId="77777777" w:rsidR="00DA68A0" w:rsidRPr="00455C38" w:rsidRDefault="00DA68A0" w:rsidP="00DA68A0">
      <w:pPr>
        <w:spacing w:after="0" w:line="360" w:lineRule="auto"/>
        <w:jc w:val="both"/>
        <w:rPr>
          <w:rFonts w:ascii="Palatino Linotype" w:eastAsia="Arial Unicode MS" w:hAnsi="Palatino Linotype" w:cs="Times New Roman"/>
          <w:sz w:val="24"/>
          <w:szCs w:val="24"/>
          <w:lang w:eastAsia="es-ES"/>
        </w:rPr>
      </w:pPr>
    </w:p>
    <w:p w14:paraId="2AB2CE75"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MX"/>
        </w:rPr>
      </w:pPr>
      <w:r w:rsidRPr="00455C38">
        <w:rPr>
          <w:rFonts w:ascii="Palatino Linotype" w:eastAsia="Times New Roman" w:hAnsi="Palatino Linotype" w:cs="Times New Roman"/>
          <w:sz w:val="24"/>
          <w:szCs w:val="24"/>
          <w:lang w:val="es-ES_tradnl" w:eastAsia="es-ES"/>
        </w:rPr>
        <w:t xml:space="preserve">Por ende, en el presente caso el Sujeto Obligado debe </w:t>
      </w:r>
      <w:r w:rsidRPr="00455C38">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455C38">
        <w:rPr>
          <w:rFonts w:ascii="Palatino Linotype" w:eastAsia="Times New Roman" w:hAnsi="Palatino Linotype" w:cs="Times New Roman"/>
          <w:sz w:val="24"/>
          <w:szCs w:val="24"/>
          <w:lang w:val="es-ES_tradnl" w:eastAsia="es-ES"/>
        </w:rPr>
        <w:t xml:space="preserve">el Sujeto Obligado </w:t>
      </w:r>
      <w:r w:rsidRPr="00455C38">
        <w:rPr>
          <w:rFonts w:ascii="Palatino Linotype" w:eastAsia="Times New Roman" w:hAnsi="Palatino Linotype" w:cs="Times New Roman"/>
          <w:sz w:val="24"/>
          <w:szCs w:val="24"/>
          <w:lang w:eastAsia="es-MX"/>
        </w:rPr>
        <w:t xml:space="preserve">cuando clasifique un documento, ya sea en todo o en parte, debe atender lo dispuesto por la Ley de la materia, siendo que dicha clasificación es un trabajo en conjunto tanto de los Servidores Públicos Habilitados, de las Unidades </w:t>
      </w:r>
      <w:r w:rsidRPr="00455C38">
        <w:rPr>
          <w:rFonts w:ascii="Palatino Linotype" w:eastAsia="Times New Roman" w:hAnsi="Palatino Linotype" w:cs="Times New Roman"/>
          <w:sz w:val="24"/>
          <w:szCs w:val="24"/>
          <w:lang w:eastAsia="es-MX"/>
        </w:rPr>
        <w:lastRenderedPageBreak/>
        <w:t>de Transparencia y del Comité de Transparencia d</w:t>
      </w:r>
      <w:r w:rsidRPr="00455C38">
        <w:rPr>
          <w:rFonts w:ascii="Palatino Linotype" w:eastAsia="Times New Roman" w:hAnsi="Palatino Linotype" w:cs="Times New Roman"/>
          <w:sz w:val="24"/>
          <w:szCs w:val="24"/>
          <w:lang w:val="es-ES_tradnl" w:eastAsia="es-ES"/>
        </w:rPr>
        <w:t>el Sujeto Obligado</w:t>
      </w:r>
      <w:r w:rsidRPr="00455C38">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8A72D41"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MX"/>
        </w:rPr>
      </w:pPr>
    </w:p>
    <w:p w14:paraId="307FECC8" w14:textId="77777777" w:rsidR="00DA68A0" w:rsidRPr="00455C38" w:rsidRDefault="00DA68A0" w:rsidP="00DA68A0">
      <w:pPr>
        <w:spacing w:after="0" w:line="360" w:lineRule="auto"/>
        <w:jc w:val="both"/>
        <w:rPr>
          <w:rFonts w:ascii="Palatino Linotype" w:eastAsia="Calibri" w:hAnsi="Palatino Linotype" w:cs="Times New Roman"/>
          <w:sz w:val="24"/>
          <w:szCs w:val="24"/>
          <w:lang w:eastAsia="es-ES"/>
        </w:rPr>
      </w:pPr>
      <w:r w:rsidRPr="00455C38">
        <w:rPr>
          <w:rFonts w:ascii="Palatino Linotype" w:eastAsia="Calibri" w:hAnsi="Palatino Linotype" w:cs="Times New Roman"/>
          <w:sz w:val="24"/>
          <w:szCs w:val="24"/>
          <w:lang w:eastAsia="es-ES"/>
        </w:rPr>
        <w:t xml:space="preserve">Así, es que </w:t>
      </w:r>
      <w:r w:rsidRPr="00455C38">
        <w:rPr>
          <w:rFonts w:ascii="Palatino Linotype" w:eastAsia="Times New Roman" w:hAnsi="Palatino Linotype" w:cs="Times New Roman"/>
          <w:sz w:val="24"/>
          <w:szCs w:val="24"/>
          <w:lang w:val="es-ES_tradnl" w:eastAsia="es-ES"/>
        </w:rPr>
        <w:t xml:space="preserve">el Sujeto Obligado </w:t>
      </w:r>
      <w:r w:rsidRPr="00455C38">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6AB8A26" w14:textId="77777777" w:rsidR="00DA68A0" w:rsidRPr="00455C38" w:rsidRDefault="00DA68A0" w:rsidP="00DA68A0">
      <w:pPr>
        <w:spacing w:after="0" w:line="360" w:lineRule="auto"/>
        <w:jc w:val="both"/>
        <w:rPr>
          <w:rFonts w:ascii="Palatino Linotype" w:eastAsia="Calibri" w:hAnsi="Palatino Linotype" w:cs="Times New Roman"/>
          <w:sz w:val="24"/>
          <w:szCs w:val="24"/>
          <w:lang w:eastAsia="es-ES"/>
        </w:rPr>
      </w:pPr>
    </w:p>
    <w:p w14:paraId="6DDFB74F"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r w:rsidRPr="00455C38">
        <w:rPr>
          <w:rFonts w:ascii="Palatino Linotype" w:eastAsia="Times New Roman" w:hAnsi="Palatino Linotype" w:cs="Times New Roman"/>
          <w:sz w:val="24"/>
          <w:szCs w:val="24"/>
          <w:lang w:eastAsia="es-ES"/>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455C38">
        <w:rPr>
          <w:rFonts w:ascii="Palatino Linotype" w:eastAsia="Times New Roman" w:hAnsi="Palatino Linotype" w:cs="Times New Roman"/>
          <w:sz w:val="24"/>
          <w:szCs w:val="24"/>
          <w:lang w:eastAsia="es-ES"/>
        </w:rPr>
        <w:lastRenderedPageBreak/>
        <w:t>Desclasificación de la Información, así como para la elaboración de Versiones Públicas, que literalmente expresan:</w:t>
      </w:r>
    </w:p>
    <w:p w14:paraId="3A8833EE"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p>
    <w:p w14:paraId="163D1066"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 xml:space="preserve">“Artículo 49. </w:t>
      </w:r>
      <w:r w:rsidRPr="00455C38">
        <w:rPr>
          <w:rFonts w:ascii="Palatino Linotype" w:eastAsia="Times New Roman" w:hAnsi="Palatino Linotype" w:cs="Times New Roman"/>
          <w:i/>
          <w:lang w:eastAsia="es-MX"/>
        </w:rPr>
        <w:t>Los Comités de Transparencia tendrán las siguientes atribuciones:</w:t>
      </w:r>
    </w:p>
    <w:p w14:paraId="3FAAD1DA"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VIII.</w:t>
      </w:r>
      <w:r w:rsidRPr="00455C38">
        <w:rPr>
          <w:rFonts w:ascii="Palatino Linotype" w:eastAsia="Times New Roman" w:hAnsi="Palatino Linotype" w:cs="Times New Roman"/>
          <w:i/>
          <w:lang w:eastAsia="es-MX"/>
        </w:rPr>
        <w:t xml:space="preserve"> Aprobar, modificar o revocar la clasificación de la información;</w:t>
      </w:r>
    </w:p>
    <w:p w14:paraId="174165E6"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p>
    <w:p w14:paraId="42EEE9E4"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Artículo 132.</w:t>
      </w:r>
      <w:r w:rsidRPr="00455C38">
        <w:rPr>
          <w:rFonts w:ascii="Palatino Linotype" w:eastAsia="Times New Roman" w:hAnsi="Palatino Linotype" w:cs="Times New Roman"/>
          <w:i/>
          <w:lang w:eastAsia="es-MX"/>
        </w:rPr>
        <w:t xml:space="preserve"> La clasificación de la información se llevará a cabo en el momento en que:</w:t>
      </w:r>
    </w:p>
    <w:p w14:paraId="628FB8A7"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I.</w:t>
      </w:r>
      <w:r w:rsidRPr="00455C38">
        <w:rPr>
          <w:rFonts w:ascii="Palatino Linotype" w:eastAsia="Times New Roman" w:hAnsi="Palatino Linotype" w:cs="Times New Roman"/>
          <w:i/>
          <w:lang w:eastAsia="es-MX"/>
        </w:rPr>
        <w:t xml:space="preserve"> Se reciba una solicitud de acceso a la información;</w:t>
      </w:r>
    </w:p>
    <w:p w14:paraId="3EABBCEE"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II.</w:t>
      </w:r>
      <w:r w:rsidRPr="00455C38">
        <w:rPr>
          <w:rFonts w:ascii="Palatino Linotype" w:eastAsia="Times New Roman" w:hAnsi="Palatino Linotype" w:cs="Times New Roman"/>
          <w:i/>
          <w:lang w:eastAsia="es-MX"/>
        </w:rPr>
        <w:t xml:space="preserve"> Se determine mediante resolución de autoridad competente; o</w:t>
      </w:r>
    </w:p>
    <w:p w14:paraId="5D7BBD44"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r w:rsidRPr="00455C38">
        <w:rPr>
          <w:rFonts w:ascii="Palatino Linotype" w:eastAsia="Times New Roman" w:hAnsi="Palatino Linotype" w:cs="Times New Roman"/>
          <w:b/>
          <w:i/>
          <w:lang w:eastAsia="es-MX"/>
        </w:rPr>
        <w:t>III.</w:t>
      </w:r>
      <w:r w:rsidRPr="00455C38">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455C38">
        <w:rPr>
          <w:rFonts w:ascii="Palatino Linotype" w:eastAsia="Times New Roman" w:hAnsi="Palatino Linotype" w:cs="Times New Roman"/>
          <w:b/>
          <w:i/>
          <w:lang w:eastAsia="es-MX"/>
        </w:rPr>
        <w:t>”</w:t>
      </w:r>
    </w:p>
    <w:p w14:paraId="6F18CC7E"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p>
    <w:p w14:paraId="2569E21B"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p>
    <w:p w14:paraId="6A13E1AD"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“Segundo.-</w:t>
      </w:r>
      <w:r w:rsidRPr="00455C38">
        <w:rPr>
          <w:rFonts w:ascii="Palatino Linotype" w:eastAsia="Times New Roman" w:hAnsi="Palatino Linotype" w:cs="Times New Roman"/>
          <w:i/>
          <w:lang w:eastAsia="es-MX"/>
        </w:rPr>
        <w:t xml:space="preserve"> Para efectos de los presentes Lineamientos Generales, se entenderá por:</w:t>
      </w:r>
    </w:p>
    <w:p w14:paraId="17C588B6"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i/>
          <w:lang w:eastAsia="es-MX"/>
        </w:rPr>
        <w:t>…</w:t>
      </w:r>
    </w:p>
    <w:p w14:paraId="101A5FF3"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XVIII.</w:t>
      </w:r>
      <w:r w:rsidRPr="00455C38">
        <w:rPr>
          <w:rFonts w:ascii="Palatino Linotype" w:eastAsia="Times New Roman" w:hAnsi="Palatino Linotype" w:cs="Times New Roman"/>
          <w:i/>
          <w:lang w:eastAsia="es-MX"/>
        </w:rPr>
        <w:t xml:space="preserve"> </w:t>
      </w:r>
      <w:r w:rsidRPr="00455C38">
        <w:rPr>
          <w:rFonts w:ascii="Palatino Linotype" w:eastAsia="Times New Roman" w:hAnsi="Palatino Linotype" w:cs="Times New Roman"/>
          <w:b/>
          <w:i/>
          <w:lang w:eastAsia="es-MX"/>
        </w:rPr>
        <w:t>Versión pública:</w:t>
      </w:r>
      <w:r w:rsidRPr="00455C38">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EDF98BC"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p>
    <w:p w14:paraId="42F34BA0"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Cuarto.</w:t>
      </w:r>
      <w:r w:rsidRPr="00455C38">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AA8FF1D"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104FA1AD"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p>
    <w:p w14:paraId="59FA2EC8"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Quinto.</w:t>
      </w:r>
      <w:r w:rsidRPr="00455C38">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DE18CB0"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p>
    <w:p w14:paraId="00DF3A92"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lastRenderedPageBreak/>
        <w:t>Sexto.</w:t>
      </w:r>
      <w:r w:rsidRPr="00455C38">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ED6A59E"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5B9C692D"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Séptimo.</w:t>
      </w:r>
      <w:r w:rsidRPr="00455C38">
        <w:rPr>
          <w:rFonts w:ascii="Palatino Linotype" w:eastAsia="Times New Roman" w:hAnsi="Palatino Linotype" w:cs="Times New Roman"/>
          <w:i/>
          <w:lang w:eastAsia="es-MX"/>
        </w:rPr>
        <w:t xml:space="preserve"> La clasificación de la información se llevará a cabo en el momento en que:</w:t>
      </w:r>
    </w:p>
    <w:p w14:paraId="1A7BD355"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I.</w:t>
      </w:r>
      <w:r w:rsidRPr="00455C38">
        <w:rPr>
          <w:rFonts w:ascii="Palatino Linotype" w:eastAsia="Times New Roman" w:hAnsi="Palatino Linotype" w:cs="Times New Roman"/>
          <w:i/>
          <w:lang w:eastAsia="es-MX"/>
        </w:rPr>
        <w:t xml:space="preserve"> Se reciba una solicitud de acceso a la información;</w:t>
      </w:r>
    </w:p>
    <w:p w14:paraId="1B6715EF"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II.</w:t>
      </w:r>
      <w:r w:rsidRPr="00455C38">
        <w:rPr>
          <w:rFonts w:ascii="Palatino Linotype" w:eastAsia="Times New Roman" w:hAnsi="Palatino Linotype" w:cs="Times New Roman"/>
          <w:i/>
          <w:lang w:eastAsia="es-MX"/>
        </w:rPr>
        <w:t xml:space="preserve"> Se determine mediante resolución de autoridad competente, o</w:t>
      </w:r>
    </w:p>
    <w:p w14:paraId="5CC13230"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III.</w:t>
      </w:r>
      <w:r w:rsidRPr="00455C38">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7AAF3666"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2EC6D487"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p>
    <w:p w14:paraId="1CD4010F"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Octavo.</w:t>
      </w:r>
      <w:r w:rsidRPr="00455C38">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C3950E7"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0DE16717"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1B3CA789"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p>
    <w:p w14:paraId="00F405DF"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2C91D9FC"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72646532"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p>
    <w:p w14:paraId="108B33E7"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Noveno.</w:t>
      </w:r>
      <w:r w:rsidRPr="00455C38">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752E309"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p>
    <w:p w14:paraId="51DC9A00"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b/>
          <w:i/>
          <w:lang w:eastAsia="es-MX"/>
        </w:rPr>
        <w:t>Décimo.</w:t>
      </w:r>
      <w:r w:rsidRPr="00455C38">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455C38">
        <w:rPr>
          <w:rFonts w:ascii="Palatino Linotype" w:eastAsia="Times New Roman" w:hAnsi="Palatino Linotype" w:cs="Times New Roman"/>
          <w:i/>
          <w:lang w:eastAsia="es-MX"/>
        </w:rPr>
        <w:lastRenderedPageBreak/>
        <w:t>clasificada, en los términos de los Lineamientos para la Organización y Conservación de Archivos.</w:t>
      </w:r>
    </w:p>
    <w:p w14:paraId="170CC1A7"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p>
    <w:p w14:paraId="5F6DDA5D"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MX"/>
        </w:rPr>
      </w:pPr>
      <w:r w:rsidRPr="00455C38">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145F128E" w14:textId="77777777" w:rsidR="00DA68A0" w:rsidRPr="00455C38" w:rsidRDefault="00DA68A0" w:rsidP="00DA68A0">
      <w:pPr>
        <w:spacing w:after="0" w:line="240" w:lineRule="auto"/>
        <w:ind w:left="567" w:right="567"/>
        <w:jc w:val="both"/>
        <w:rPr>
          <w:rFonts w:ascii="Palatino Linotype" w:eastAsia="Times New Roman" w:hAnsi="Palatino Linotype" w:cs="Times New Roman"/>
          <w:b/>
          <w:i/>
          <w:lang w:eastAsia="es-MX"/>
        </w:rPr>
      </w:pPr>
    </w:p>
    <w:p w14:paraId="1E57933A" w14:textId="77777777" w:rsidR="00DA68A0" w:rsidRPr="00455C38" w:rsidRDefault="00DA68A0" w:rsidP="00DA68A0">
      <w:pPr>
        <w:spacing w:after="0" w:line="240" w:lineRule="auto"/>
        <w:ind w:left="567" w:right="567"/>
        <w:jc w:val="both"/>
        <w:rPr>
          <w:rFonts w:ascii="Palatino Linotype" w:eastAsia="Times New Roman" w:hAnsi="Palatino Linotype" w:cs="Times New Roman"/>
          <w:b/>
          <w:sz w:val="24"/>
          <w:szCs w:val="24"/>
          <w:lang w:eastAsia="es-MX"/>
        </w:rPr>
      </w:pPr>
      <w:r w:rsidRPr="00455C38">
        <w:rPr>
          <w:rFonts w:ascii="Palatino Linotype" w:eastAsia="Times New Roman" w:hAnsi="Palatino Linotype" w:cs="Times New Roman"/>
          <w:b/>
          <w:i/>
          <w:lang w:eastAsia="es-MX"/>
        </w:rPr>
        <w:t>Décimo primero.</w:t>
      </w:r>
      <w:r w:rsidRPr="00455C38">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55C38">
        <w:rPr>
          <w:rFonts w:ascii="Palatino Linotype" w:eastAsia="Times New Roman" w:hAnsi="Palatino Linotype" w:cs="Times New Roman"/>
          <w:b/>
          <w:i/>
          <w:lang w:eastAsia="es-MX"/>
        </w:rPr>
        <w:t>”</w:t>
      </w:r>
    </w:p>
    <w:p w14:paraId="20B7D00B" w14:textId="77777777" w:rsidR="00DA68A0" w:rsidRPr="00455C38" w:rsidRDefault="00DA68A0" w:rsidP="00DA68A0">
      <w:pPr>
        <w:spacing w:after="0" w:line="360" w:lineRule="auto"/>
        <w:jc w:val="both"/>
        <w:rPr>
          <w:rFonts w:ascii="Palatino Linotype" w:hAnsi="Palatino Linotype" w:cs="Arial"/>
          <w:i/>
          <w:lang w:eastAsia="es-MX"/>
        </w:rPr>
      </w:pPr>
    </w:p>
    <w:p w14:paraId="46B503C6"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r w:rsidRPr="00455C38">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455C38">
        <w:rPr>
          <w:rFonts w:ascii="Palatino Linotype" w:eastAsia="Times New Roman" w:hAnsi="Palatino Linotype" w:cs="Times New Roman"/>
          <w:sz w:val="24"/>
          <w:szCs w:val="24"/>
          <w:lang w:val="es-ES_tradnl" w:eastAsia="es-ES"/>
        </w:rPr>
        <w:t>el Sujeto Obligado</w:t>
      </w:r>
      <w:r w:rsidRPr="00455C38">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95E8B3D"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p>
    <w:p w14:paraId="2B106181"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r w:rsidRPr="00455C38">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2E794A23"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p>
    <w:p w14:paraId="7E1DE3FF"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r w:rsidRPr="00455C38">
        <w:rPr>
          <w:rFonts w:ascii="Palatino Linotype" w:eastAsia="Times New Roman" w:hAnsi="Palatino Linotype" w:cs="Times New Roman"/>
          <w:sz w:val="24"/>
          <w:szCs w:val="24"/>
          <w:lang w:eastAsia="es-ES"/>
        </w:rPr>
        <w:lastRenderedPageBreak/>
        <w:t>Al respecto, el máximo tribunal del país ha establecido jurisprudencia respecto a qué debe entenderse por fundamentación y motivación, en los siguientes términos:</w:t>
      </w:r>
    </w:p>
    <w:p w14:paraId="70CB10CF" w14:textId="77777777" w:rsidR="005B3169" w:rsidRPr="00455C38" w:rsidRDefault="005B3169" w:rsidP="00DA68A0">
      <w:pPr>
        <w:spacing w:after="0" w:line="360" w:lineRule="auto"/>
        <w:jc w:val="both"/>
        <w:rPr>
          <w:rFonts w:ascii="Palatino Linotype" w:eastAsia="Times New Roman" w:hAnsi="Palatino Linotype" w:cs="Times New Roman"/>
          <w:sz w:val="24"/>
          <w:szCs w:val="24"/>
          <w:lang w:eastAsia="es-ES"/>
        </w:rPr>
      </w:pPr>
    </w:p>
    <w:p w14:paraId="5BC0B22F"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ES"/>
        </w:rPr>
      </w:pPr>
      <w:r w:rsidRPr="00455C38">
        <w:rPr>
          <w:rFonts w:ascii="Palatino Linotype" w:eastAsia="Times New Roman" w:hAnsi="Palatino Linotype" w:cs="Times New Roman"/>
          <w:b/>
          <w:i/>
          <w:lang w:eastAsia="es-ES"/>
        </w:rPr>
        <w:t xml:space="preserve">FUNDAMENTACIÓN Y MOTIVACIÓN. </w:t>
      </w:r>
      <w:r w:rsidRPr="00455C38">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A809B5B"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p>
    <w:p w14:paraId="02D4A337"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r w:rsidRPr="00455C38">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2862E74"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p>
    <w:p w14:paraId="60B0D7D5"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r w:rsidRPr="00455C38">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B54DFFD"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p>
    <w:p w14:paraId="0221F668"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ES"/>
        </w:rPr>
      </w:pPr>
      <w:r w:rsidRPr="00455C38">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455C38">
        <w:rPr>
          <w:rFonts w:ascii="Palatino Linotype" w:eastAsia="Times New Roman" w:hAnsi="Palatino Linotype" w:cs="Times New Roman"/>
          <w:i/>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w:t>
      </w:r>
      <w:r w:rsidRPr="00455C38">
        <w:rPr>
          <w:rFonts w:ascii="Palatino Linotype" w:eastAsia="Times New Roman" w:hAnsi="Palatino Linotype" w:cs="Times New Roman"/>
          <w:i/>
          <w:lang w:eastAsia="es-ES"/>
        </w:rPr>
        <w:lastRenderedPageBreak/>
        <w:t>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BF6B33E" w14:textId="77777777" w:rsidR="00DA68A0" w:rsidRPr="00455C38" w:rsidRDefault="00DA68A0" w:rsidP="00DA68A0">
      <w:pPr>
        <w:spacing w:after="0" w:line="240" w:lineRule="auto"/>
        <w:ind w:left="567" w:right="567"/>
        <w:jc w:val="both"/>
        <w:rPr>
          <w:rFonts w:ascii="Palatino Linotype" w:eastAsia="Times New Roman" w:hAnsi="Palatino Linotype" w:cs="Times New Roman"/>
          <w:i/>
          <w:lang w:eastAsia="es-ES"/>
        </w:rPr>
      </w:pPr>
    </w:p>
    <w:p w14:paraId="72474BF5"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r w:rsidRPr="00455C38">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439DF47"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
        </w:rPr>
      </w:pPr>
    </w:p>
    <w:p w14:paraId="2B378893"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val="es-ES" w:eastAsia="es-ES"/>
        </w:rPr>
      </w:pPr>
      <w:r w:rsidRPr="00455C38">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455C38">
        <w:rPr>
          <w:rFonts w:ascii="Palatino Linotype" w:eastAsia="Times New Roman" w:hAnsi="Palatino Linotype" w:cs="Times New Roman"/>
          <w:b/>
          <w:sz w:val="24"/>
          <w:szCs w:val="24"/>
          <w:lang w:val="es-ES" w:eastAsia="es-ES"/>
        </w:rPr>
        <w:t xml:space="preserve"> </w:t>
      </w:r>
      <w:r w:rsidRPr="00455C38">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C7F4AD1" w14:textId="77777777" w:rsidR="00DA68A0" w:rsidRPr="00455C38" w:rsidRDefault="00DA68A0" w:rsidP="00DA68A0">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0A65FE7C" w14:textId="706828FF" w:rsidR="00DA68A0" w:rsidRPr="00455C38" w:rsidRDefault="00DA68A0" w:rsidP="00DA68A0">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455C38">
        <w:rPr>
          <w:rFonts w:ascii="Palatino Linotype" w:eastAsia="Times New Roman" w:hAnsi="Palatino Linotype" w:cs="Times New Roman"/>
          <w:b/>
          <w:i/>
          <w:sz w:val="28"/>
          <w:szCs w:val="28"/>
          <w:lang w:val="es-ES" w:eastAsia="es-ES"/>
        </w:rPr>
        <w:t>Vista a los órganos interno</w:t>
      </w:r>
      <w:r w:rsidR="00333B61" w:rsidRPr="00455C38">
        <w:rPr>
          <w:rFonts w:ascii="Palatino Linotype" w:eastAsia="Times New Roman" w:hAnsi="Palatino Linotype" w:cs="Times New Roman"/>
          <w:b/>
          <w:i/>
          <w:sz w:val="28"/>
          <w:szCs w:val="28"/>
          <w:lang w:val="es-ES" w:eastAsia="es-ES"/>
        </w:rPr>
        <w:t>s</w:t>
      </w:r>
      <w:r w:rsidRPr="00455C38">
        <w:rPr>
          <w:rFonts w:ascii="Palatino Linotype" w:eastAsia="Times New Roman" w:hAnsi="Palatino Linotype" w:cs="Times New Roman"/>
          <w:b/>
          <w:i/>
          <w:sz w:val="28"/>
          <w:szCs w:val="28"/>
          <w:lang w:val="es-ES" w:eastAsia="es-ES"/>
        </w:rPr>
        <w:t xml:space="preserve"> </w:t>
      </w:r>
      <w:r w:rsidR="00333B61" w:rsidRPr="00455C38">
        <w:rPr>
          <w:rFonts w:ascii="Palatino Linotype" w:eastAsia="Times New Roman" w:hAnsi="Palatino Linotype" w:cs="Times New Roman"/>
          <w:b/>
          <w:i/>
          <w:sz w:val="28"/>
          <w:szCs w:val="28"/>
          <w:lang w:val="es-ES" w:eastAsia="es-ES"/>
        </w:rPr>
        <w:t xml:space="preserve">de control </w:t>
      </w:r>
      <w:r w:rsidRPr="00455C38">
        <w:rPr>
          <w:rFonts w:ascii="Palatino Linotype" w:eastAsia="Times New Roman" w:hAnsi="Palatino Linotype" w:cs="Times New Roman"/>
          <w:b/>
          <w:i/>
          <w:sz w:val="28"/>
          <w:szCs w:val="28"/>
          <w:lang w:val="es-ES" w:eastAsia="es-ES"/>
        </w:rPr>
        <w:t xml:space="preserve">competentes </w:t>
      </w:r>
    </w:p>
    <w:p w14:paraId="05E08443" w14:textId="77777777" w:rsidR="00DA68A0" w:rsidRPr="00455C38"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113EAE13" w14:textId="77777777" w:rsidR="00DA68A0" w:rsidRPr="00455C38"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r w:rsidRPr="00455C38">
        <w:rPr>
          <w:rFonts w:ascii="Palatino Linotype" w:eastAsia="Times New Roman" w:hAnsi="Palatino Linotype" w:cs="Times New Roman"/>
          <w:sz w:val="24"/>
          <w:szCs w:val="24"/>
          <w:lang w:val="es-ES" w:eastAsia="es-ES"/>
        </w:rPr>
        <w:lastRenderedPageBreak/>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2CA8B711" w14:textId="77777777" w:rsidR="00DA68A0" w:rsidRPr="00455C38"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5F83C870" w14:textId="77777777" w:rsidR="00DA68A0" w:rsidRPr="00455C38"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r w:rsidRPr="00455C38">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5DAD528B" w14:textId="77777777" w:rsidR="00DA68A0" w:rsidRPr="00455C38"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5D4480E0"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r w:rsidRPr="00455C38">
        <w:rPr>
          <w:rFonts w:ascii="Palatino Linotype" w:eastAsia="Times New Roman" w:hAnsi="Palatino Linotype" w:cs="Times New Roman"/>
          <w:i/>
          <w:sz w:val="24"/>
          <w:szCs w:val="24"/>
          <w:lang w:val="es-ES" w:eastAsia="es-ES"/>
        </w:rPr>
        <w:t>“</w:t>
      </w:r>
      <w:r w:rsidRPr="00455C38">
        <w:rPr>
          <w:rFonts w:ascii="Palatino Linotype" w:eastAsia="Times New Roman" w:hAnsi="Palatino Linotype" w:cs="Times New Roman"/>
          <w:b/>
          <w:i/>
          <w:lang w:val="es-ES" w:eastAsia="es-ES"/>
        </w:rPr>
        <w:t>Artículo 190.</w:t>
      </w:r>
      <w:r w:rsidRPr="00455C38">
        <w:rPr>
          <w:rFonts w:ascii="Palatino Linotype" w:eastAsia="Times New Roman" w:hAnsi="Palatino Linotype" w:cs="Times New Roman"/>
          <w:i/>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2810FE2C"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p>
    <w:p w14:paraId="2EF3ADEF"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r w:rsidRPr="00455C38">
        <w:rPr>
          <w:rFonts w:ascii="Palatino Linotype" w:eastAsia="Times New Roman" w:hAnsi="Palatino Linotype" w:cs="Times New Roman"/>
          <w:b/>
          <w:i/>
          <w:lang w:val="es-ES" w:eastAsia="es-ES"/>
        </w:rPr>
        <w:t>Artículo 222.</w:t>
      </w:r>
      <w:r w:rsidRPr="00455C38">
        <w:rPr>
          <w:rFonts w:ascii="Palatino Linotype" w:eastAsia="Times New Roman" w:hAnsi="Palatino Linotype" w:cs="Times New Roman"/>
          <w:i/>
          <w:lang w:val="es-ES" w:eastAsia="es-ES"/>
        </w:rPr>
        <w:t xml:space="preserve"> Son causas de responsabilidad administrativa de los servidores públicos de los sujetos obligados, por incumplimiento de las obligaciones establecidas en la materia de la presente Ley, las siguientes:</w:t>
      </w:r>
    </w:p>
    <w:p w14:paraId="55647C65"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r w:rsidRPr="00455C38">
        <w:rPr>
          <w:rFonts w:ascii="Palatino Linotype" w:eastAsia="Times New Roman" w:hAnsi="Palatino Linotype" w:cs="Times New Roman"/>
          <w:i/>
          <w:lang w:val="es-ES" w:eastAsia="es-ES"/>
        </w:rPr>
        <w:t>(…)</w:t>
      </w:r>
    </w:p>
    <w:p w14:paraId="0B050EFA"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r w:rsidRPr="00455C38">
        <w:rPr>
          <w:rFonts w:ascii="Palatino Linotype" w:eastAsia="Times New Roman" w:hAnsi="Palatino Linotype" w:cs="Times New Roman"/>
          <w:i/>
          <w:lang w:val="es-ES" w:eastAsia="es-ES"/>
        </w:rPr>
        <w:t>I. Cualquier acto u omisión que provoque la suspensión o deficiencia en la atención de las solicitudes de información;</w:t>
      </w:r>
    </w:p>
    <w:p w14:paraId="5C1C4FF4"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r w:rsidRPr="00455C38">
        <w:rPr>
          <w:rFonts w:ascii="Palatino Linotype" w:eastAsia="Times New Roman" w:hAnsi="Palatino Linotype" w:cs="Times New Roman"/>
          <w:i/>
          <w:lang w:val="es-ES" w:eastAsia="es-ES"/>
        </w:rPr>
        <w:t>II. La falta de respuesta a las solicitudes de información en los plazos señalados en la normatividad aplicable;</w:t>
      </w:r>
    </w:p>
    <w:p w14:paraId="45343A41"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r w:rsidRPr="00455C38">
        <w:rPr>
          <w:rFonts w:ascii="Palatino Linotype" w:eastAsia="Times New Roman" w:hAnsi="Palatino Linotype" w:cs="Times New Roman"/>
          <w:i/>
          <w:lang w:val="es-ES" w:eastAsia="es-ES"/>
        </w:rPr>
        <w:lastRenderedPageBreak/>
        <w:t>(…)” (Sic)</w:t>
      </w:r>
    </w:p>
    <w:p w14:paraId="7FAB97B1" w14:textId="77777777" w:rsidR="00DA68A0" w:rsidRPr="00455C38"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74E75776" w14:textId="77777777" w:rsidR="00DA68A0" w:rsidRPr="00455C38"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r w:rsidRPr="00455C38">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6A1334F0" w14:textId="77777777" w:rsidR="00DA68A0" w:rsidRPr="00455C38"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7DE2CAC1"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r w:rsidRPr="00455C38">
        <w:rPr>
          <w:rFonts w:ascii="Palatino Linotype" w:eastAsia="Times New Roman" w:hAnsi="Palatino Linotype" w:cs="Times New Roman"/>
          <w:i/>
          <w:sz w:val="24"/>
          <w:szCs w:val="24"/>
          <w:lang w:val="es-ES" w:eastAsia="es-ES"/>
        </w:rPr>
        <w:t>“</w:t>
      </w:r>
      <w:r w:rsidRPr="00455C38">
        <w:rPr>
          <w:rFonts w:ascii="Palatino Linotype" w:eastAsia="Times New Roman" w:hAnsi="Palatino Linotype" w:cs="Times New Roman"/>
          <w:b/>
          <w:i/>
          <w:lang w:val="es-ES" w:eastAsia="es-ES"/>
        </w:rPr>
        <w:t>Artículo 19.</w:t>
      </w:r>
      <w:r w:rsidRPr="00455C38">
        <w:rPr>
          <w:rFonts w:ascii="Palatino Linotype" w:eastAsia="Times New Roman" w:hAnsi="Palatino Linotype" w:cs="Times New Roman"/>
          <w:i/>
          <w:lang w:val="es-ES" w:eastAsia="es-ES"/>
        </w:rPr>
        <w:t xml:space="preserve"> Corresponde a la Secretaría Técnica del Pleno ejercer las atribuciones siguientes:</w:t>
      </w:r>
    </w:p>
    <w:p w14:paraId="008939B7"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r w:rsidRPr="00455C38">
        <w:rPr>
          <w:rFonts w:ascii="Palatino Linotype" w:eastAsia="Times New Roman" w:hAnsi="Palatino Linotype" w:cs="Times New Roman"/>
          <w:i/>
          <w:lang w:val="es-ES" w:eastAsia="es-ES"/>
        </w:rPr>
        <w:t>(…)</w:t>
      </w:r>
    </w:p>
    <w:p w14:paraId="2B77CEAA" w14:textId="77777777" w:rsidR="00DA68A0" w:rsidRPr="00455C38" w:rsidRDefault="00DA68A0" w:rsidP="00DA68A0">
      <w:pPr>
        <w:tabs>
          <w:tab w:val="left" w:pos="7938"/>
        </w:tabs>
        <w:spacing w:after="0" w:line="240" w:lineRule="auto"/>
        <w:ind w:left="567" w:right="567"/>
        <w:jc w:val="both"/>
        <w:rPr>
          <w:rFonts w:ascii="Palatino Linotype" w:eastAsia="Times New Roman" w:hAnsi="Palatino Linotype" w:cs="Times New Roman"/>
          <w:i/>
          <w:lang w:val="es-ES" w:eastAsia="es-ES"/>
        </w:rPr>
      </w:pPr>
      <w:r w:rsidRPr="00455C38">
        <w:rPr>
          <w:rFonts w:ascii="Palatino Linotype" w:eastAsia="Times New Roman" w:hAnsi="Palatino Linotype" w:cs="Times New Roman"/>
          <w:b/>
          <w:i/>
          <w:lang w:val="es-ES" w:eastAsia="es-ES"/>
        </w:rPr>
        <w:t>XXVII.</w:t>
      </w:r>
      <w:r w:rsidRPr="00455C38">
        <w:rPr>
          <w:rFonts w:ascii="Palatino Linotype" w:eastAsia="Times New Roman" w:hAnsi="Palatino Linotype" w:cs="Times New Roman"/>
          <w:i/>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2E40178B" w14:textId="77777777" w:rsidR="00DA68A0" w:rsidRPr="00455C38" w:rsidRDefault="00DA68A0" w:rsidP="00DA68A0">
      <w:pPr>
        <w:tabs>
          <w:tab w:val="left" w:pos="7938"/>
        </w:tabs>
        <w:spacing w:after="0" w:line="360" w:lineRule="auto"/>
        <w:jc w:val="both"/>
        <w:rPr>
          <w:rFonts w:ascii="Palatino Linotype" w:eastAsia="Times New Roman" w:hAnsi="Palatino Linotype" w:cs="Times New Roman"/>
          <w:sz w:val="24"/>
          <w:szCs w:val="24"/>
          <w:lang w:val="es-ES" w:eastAsia="es-ES"/>
        </w:rPr>
      </w:pPr>
    </w:p>
    <w:p w14:paraId="6BD3EEEC" w14:textId="0249A9C2" w:rsidR="00DA68A0" w:rsidRPr="00455C38" w:rsidRDefault="00DA68A0" w:rsidP="00DA68A0">
      <w:pPr>
        <w:spacing w:after="0" w:line="360" w:lineRule="auto"/>
        <w:jc w:val="both"/>
        <w:rPr>
          <w:rFonts w:ascii="Palatino Linotype" w:eastAsia="Times New Roman" w:hAnsi="Palatino Linotype" w:cs="Arial"/>
          <w:sz w:val="24"/>
          <w:szCs w:val="24"/>
          <w:lang w:eastAsia="es-MX"/>
        </w:rPr>
      </w:pPr>
      <w:r w:rsidRPr="00455C38">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333B61" w:rsidRPr="00455C38">
        <w:rPr>
          <w:rFonts w:ascii="Palatino Linotype" w:eastAsia="Times New Roman" w:hAnsi="Palatino Linotype" w:cs="Times New Roman"/>
          <w:sz w:val="24"/>
          <w:szCs w:val="24"/>
          <w:lang w:val="es-ES" w:eastAsia="es-ES"/>
        </w:rPr>
        <w:t xml:space="preserve">de Control </w:t>
      </w:r>
      <w:r w:rsidRPr="00455C38">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333B61" w:rsidRPr="00455C38">
        <w:rPr>
          <w:rFonts w:ascii="Palatino Linotype" w:eastAsia="Times New Roman" w:hAnsi="Palatino Linotype" w:cs="Times New Roman"/>
          <w:sz w:val="24"/>
          <w:szCs w:val="24"/>
          <w:lang w:val="es-ES" w:eastAsia="es-ES"/>
        </w:rPr>
        <w:t xml:space="preserve">de control </w:t>
      </w:r>
      <w:r w:rsidRPr="00455C38">
        <w:rPr>
          <w:rFonts w:ascii="Palatino Linotype" w:eastAsia="Times New Roman" w:hAnsi="Palatino Linotype" w:cs="Times New Roman"/>
          <w:sz w:val="24"/>
          <w:szCs w:val="24"/>
          <w:lang w:val="es-ES" w:eastAsia="es-ES"/>
        </w:rPr>
        <w:t>de la instancia competente para que éste inicie, en su caso, el procedimiento de responsabilidad respectivo, cuyo resultado deberá de ser informado al Instituto</w:t>
      </w:r>
    </w:p>
    <w:p w14:paraId="3C81B780" w14:textId="77777777" w:rsidR="00DA68A0" w:rsidRPr="00455C38" w:rsidRDefault="00DA68A0" w:rsidP="00DA68A0">
      <w:pPr>
        <w:spacing w:after="0" w:line="360" w:lineRule="auto"/>
        <w:jc w:val="both"/>
        <w:rPr>
          <w:rFonts w:ascii="Palatino Linotype" w:eastAsia="Times New Roman" w:hAnsi="Palatino Linotype" w:cs="Arial"/>
          <w:sz w:val="24"/>
          <w:szCs w:val="24"/>
          <w:lang w:eastAsia="es-MX"/>
        </w:rPr>
      </w:pPr>
    </w:p>
    <w:p w14:paraId="576990FA" w14:textId="4ED5130E"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lastRenderedPageBreak/>
        <w:t xml:space="preserve">Por lo tanto, en mérito de lo expuesto en líneas anteriores, con fundamento en la fracción IV del artículo 186, de la Ley de Transparencia y Acceso a la Información Pública del Estado de México y Municipios, se </w:t>
      </w:r>
      <w:r w:rsidRPr="00455C38">
        <w:rPr>
          <w:rFonts w:ascii="Palatino Linotype" w:eastAsia="Times New Roman" w:hAnsi="Palatino Linotype" w:cs="Arial"/>
          <w:b/>
          <w:sz w:val="24"/>
          <w:szCs w:val="24"/>
        </w:rPr>
        <w:t>ORDENA</w:t>
      </w:r>
      <w:r w:rsidRPr="00455C38">
        <w:rPr>
          <w:rFonts w:ascii="Palatino Linotype" w:eastAsia="Times New Roman" w:hAnsi="Palatino Linotype" w:cs="Arial"/>
          <w:sz w:val="24"/>
          <w:szCs w:val="24"/>
        </w:rPr>
        <w:t xml:space="preserve"> al </w:t>
      </w:r>
      <w:r w:rsidRPr="00455C38">
        <w:rPr>
          <w:rFonts w:ascii="Palatino Linotype" w:eastAsia="Times New Roman" w:hAnsi="Palatino Linotype" w:cs="Arial"/>
          <w:b/>
          <w:sz w:val="24"/>
          <w:szCs w:val="24"/>
        </w:rPr>
        <w:t>Sujeto Obligado</w:t>
      </w:r>
      <w:r w:rsidRPr="00455C38">
        <w:rPr>
          <w:rFonts w:ascii="Palatino Linotype" w:eastAsia="Times New Roman" w:hAnsi="Palatino Linotype" w:cs="Arial"/>
          <w:sz w:val="24"/>
          <w:szCs w:val="24"/>
        </w:rPr>
        <w:t xml:space="preserve">, atienda la solicitud de información </w:t>
      </w:r>
      <w:r w:rsidR="005B3169" w:rsidRPr="00455C38">
        <w:rPr>
          <w:rFonts w:ascii="Palatino Linotype" w:hAnsi="Palatino Linotype"/>
          <w:b/>
          <w:bCs/>
          <w:sz w:val="24"/>
          <w:szCs w:val="24"/>
        </w:rPr>
        <w:t>00086/ZUMPANGO/IP/2024</w:t>
      </w:r>
      <w:r w:rsidRPr="00455C38">
        <w:rPr>
          <w:rFonts w:ascii="Palatino Linotype" w:eastAsia="Times New Roman" w:hAnsi="Palatino Linotype" w:cs="Times New Roman"/>
          <w:b/>
          <w:bCs/>
          <w:sz w:val="24"/>
          <w:szCs w:val="24"/>
        </w:rPr>
        <w:t xml:space="preserve">, </w:t>
      </w:r>
      <w:r w:rsidRPr="00455C38">
        <w:rPr>
          <w:rFonts w:ascii="Palatino Linotype" w:eastAsia="Times New Roman" w:hAnsi="Palatino Linotype" w:cs="Arial"/>
          <w:sz w:val="24"/>
          <w:szCs w:val="24"/>
        </w:rPr>
        <w:t>que ha sido materia del presente fallo.</w:t>
      </w:r>
    </w:p>
    <w:p w14:paraId="07EB9ABE"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p>
    <w:p w14:paraId="749C2F48" w14:textId="77777777" w:rsidR="00DA68A0" w:rsidRPr="00455C38" w:rsidRDefault="00DA68A0" w:rsidP="00DA68A0">
      <w:pPr>
        <w:autoSpaceDE w:val="0"/>
        <w:autoSpaceDN w:val="0"/>
        <w:adjustRightInd w:val="0"/>
        <w:spacing w:after="0" w:line="360" w:lineRule="auto"/>
        <w:jc w:val="both"/>
        <w:rPr>
          <w:rFonts w:ascii="Palatino Linotype" w:eastAsia="Times New Roman" w:hAnsi="Palatino Linotype" w:cs="Arial"/>
          <w:sz w:val="24"/>
          <w:szCs w:val="24"/>
        </w:rPr>
      </w:pPr>
      <w:r w:rsidRPr="00455C38">
        <w:rPr>
          <w:rFonts w:ascii="Palatino Linotype" w:eastAsia="Times New Roman" w:hAnsi="Palatino Linotype" w:cs="Arial"/>
          <w:sz w:val="24"/>
          <w:szCs w:val="24"/>
        </w:rPr>
        <w:t>Por lo antes expuesto y fundado es de resolverse y,</w:t>
      </w:r>
    </w:p>
    <w:p w14:paraId="7D1DC9C5" w14:textId="77777777" w:rsidR="003872B2" w:rsidRPr="00455C38" w:rsidRDefault="003872B2" w:rsidP="00DA68A0">
      <w:pPr>
        <w:autoSpaceDE w:val="0"/>
        <w:autoSpaceDN w:val="0"/>
        <w:adjustRightInd w:val="0"/>
        <w:spacing w:after="0" w:line="360" w:lineRule="auto"/>
        <w:jc w:val="both"/>
        <w:rPr>
          <w:rFonts w:ascii="Palatino Linotype" w:eastAsia="Times New Roman" w:hAnsi="Palatino Linotype" w:cs="Arial"/>
          <w:sz w:val="24"/>
          <w:szCs w:val="24"/>
        </w:rPr>
      </w:pPr>
    </w:p>
    <w:p w14:paraId="6609A708" w14:textId="77777777" w:rsidR="00DA68A0" w:rsidRPr="00455C38" w:rsidRDefault="00DA68A0" w:rsidP="00DA68A0">
      <w:pPr>
        <w:spacing w:after="0" w:line="360" w:lineRule="auto"/>
        <w:ind w:left="426"/>
        <w:jc w:val="center"/>
        <w:rPr>
          <w:rFonts w:ascii="Palatino Linotype" w:eastAsia="Times New Roman" w:hAnsi="Palatino Linotype" w:cs="Times New Roman"/>
          <w:b/>
          <w:color w:val="000000"/>
          <w:sz w:val="28"/>
          <w:szCs w:val="24"/>
          <w:lang w:val="es-ES" w:eastAsia="es-ES"/>
        </w:rPr>
      </w:pPr>
      <w:r w:rsidRPr="00455C38">
        <w:rPr>
          <w:rFonts w:ascii="Palatino Linotype" w:eastAsia="Times New Roman" w:hAnsi="Palatino Linotype" w:cs="Times New Roman"/>
          <w:b/>
          <w:color w:val="000000"/>
          <w:sz w:val="28"/>
          <w:szCs w:val="24"/>
          <w:lang w:val="es-ES" w:eastAsia="es-ES"/>
        </w:rPr>
        <w:t>SE    RESUELVE</w:t>
      </w:r>
    </w:p>
    <w:p w14:paraId="1B59C144" w14:textId="77777777" w:rsidR="00DA68A0" w:rsidRPr="00455C38" w:rsidRDefault="00DA68A0" w:rsidP="00DA68A0">
      <w:pPr>
        <w:tabs>
          <w:tab w:val="left" w:pos="8647"/>
        </w:tabs>
        <w:spacing w:after="0" w:line="360" w:lineRule="auto"/>
        <w:ind w:right="51"/>
        <w:jc w:val="both"/>
        <w:rPr>
          <w:rFonts w:ascii="Palatino Linotype" w:eastAsia="Times New Roman" w:hAnsi="Palatino Linotype" w:cs="Arial"/>
          <w:sz w:val="24"/>
          <w:szCs w:val="24"/>
        </w:rPr>
      </w:pPr>
    </w:p>
    <w:p w14:paraId="5D57FBA2" w14:textId="3B0E2D78" w:rsidR="00DA68A0" w:rsidRPr="00455C38" w:rsidRDefault="00DA68A0" w:rsidP="00DA68A0">
      <w:pPr>
        <w:tabs>
          <w:tab w:val="left" w:pos="8647"/>
        </w:tabs>
        <w:spacing w:after="0" w:line="360" w:lineRule="auto"/>
        <w:ind w:right="51"/>
        <w:jc w:val="both"/>
        <w:rPr>
          <w:rFonts w:ascii="Palatino Linotype" w:eastAsia="Times New Roman" w:hAnsi="Palatino Linotype" w:cs="Arial"/>
          <w:sz w:val="24"/>
          <w:szCs w:val="24"/>
        </w:rPr>
      </w:pPr>
      <w:r w:rsidRPr="00455C38">
        <w:rPr>
          <w:rFonts w:ascii="Palatino Linotype" w:eastAsia="Times New Roman" w:hAnsi="Palatino Linotype" w:cs="Arial"/>
          <w:b/>
          <w:sz w:val="28"/>
          <w:szCs w:val="24"/>
        </w:rPr>
        <w:t>PRIMERO.</w:t>
      </w:r>
      <w:r w:rsidRPr="00455C38">
        <w:rPr>
          <w:rFonts w:ascii="Palatino Linotype" w:eastAsia="Times New Roman" w:hAnsi="Palatino Linotype" w:cs="Arial"/>
          <w:sz w:val="24"/>
          <w:szCs w:val="24"/>
        </w:rPr>
        <w:t xml:space="preserve"> Resultan fundadas las razones o motivos de inconformidad hechos valer por el </w:t>
      </w:r>
      <w:r w:rsidRPr="00455C38">
        <w:rPr>
          <w:rFonts w:ascii="Palatino Linotype" w:eastAsia="Times New Roman" w:hAnsi="Palatino Linotype" w:cs="Arial"/>
          <w:b/>
          <w:sz w:val="24"/>
          <w:szCs w:val="24"/>
        </w:rPr>
        <w:t>Recurrente,</w:t>
      </w:r>
      <w:r w:rsidRPr="00455C38">
        <w:rPr>
          <w:rFonts w:ascii="Palatino Linotype" w:eastAsia="Times New Roman" w:hAnsi="Palatino Linotype" w:cs="Arial"/>
          <w:sz w:val="24"/>
          <w:szCs w:val="24"/>
        </w:rPr>
        <w:t xml:space="preserve"> en términos del considerando </w:t>
      </w:r>
      <w:r w:rsidR="005B3169" w:rsidRPr="00455C38">
        <w:rPr>
          <w:rFonts w:ascii="Palatino Linotype" w:eastAsia="Times New Roman" w:hAnsi="Palatino Linotype" w:cs="Arial"/>
          <w:b/>
          <w:sz w:val="24"/>
          <w:szCs w:val="24"/>
        </w:rPr>
        <w:t>CUAR</w:t>
      </w:r>
      <w:r w:rsidRPr="00455C38">
        <w:rPr>
          <w:rFonts w:ascii="Palatino Linotype" w:eastAsia="Times New Roman" w:hAnsi="Palatino Linotype" w:cs="Arial"/>
          <w:b/>
          <w:sz w:val="24"/>
          <w:szCs w:val="24"/>
        </w:rPr>
        <w:t>TO</w:t>
      </w:r>
      <w:r w:rsidRPr="00455C38">
        <w:rPr>
          <w:rFonts w:ascii="Palatino Linotype" w:eastAsia="Times New Roman" w:hAnsi="Palatino Linotype" w:cs="Arial"/>
          <w:sz w:val="24"/>
          <w:szCs w:val="24"/>
        </w:rPr>
        <w:t>, de la presente resolución.</w:t>
      </w:r>
    </w:p>
    <w:p w14:paraId="135D5CF5" w14:textId="77777777" w:rsidR="00DA68A0" w:rsidRPr="00455C38" w:rsidRDefault="00DA68A0" w:rsidP="00DA68A0">
      <w:pPr>
        <w:tabs>
          <w:tab w:val="left" w:pos="8647"/>
        </w:tabs>
        <w:spacing w:after="0" w:line="360" w:lineRule="auto"/>
        <w:ind w:right="51"/>
        <w:jc w:val="both"/>
        <w:rPr>
          <w:rFonts w:ascii="Palatino Linotype" w:eastAsia="Times New Roman" w:hAnsi="Palatino Linotype" w:cs="Arial"/>
          <w:sz w:val="24"/>
          <w:szCs w:val="24"/>
        </w:rPr>
      </w:pPr>
    </w:p>
    <w:p w14:paraId="7FC3D414" w14:textId="77777777" w:rsidR="00DA68A0" w:rsidRPr="00455C38" w:rsidRDefault="00DA68A0" w:rsidP="00DA68A0">
      <w:pPr>
        <w:tabs>
          <w:tab w:val="left" w:pos="8647"/>
        </w:tabs>
        <w:spacing w:after="0" w:line="360" w:lineRule="auto"/>
        <w:ind w:right="51"/>
        <w:jc w:val="both"/>
        <w:rPr>
          <w:rFonts w:ascii="Palatino Linotype" w:eastAsia="Times New Roman" w:hAnsi="Palatino Linotype" w:cs="Arial"/>
          <w:sz w:val="24"/>
          <w:szCs w:val="24"/>
        </w:rPr>
      </w:pPr>
    </w:p>
    <w:p w14:paraId="16AC027F" w14:textId="29E956DD" w:rsidR="00DA68A0" w:rsidRPr="00455C38" w:rsidRDefault="00DA68A0" w:rsidP="00DA68A0">
      <w:pPr>
        <w:spacing w:line="360" w:lineRule="auto"/>
        <w:ind w:right="49"/>
        <w:jc w:val="both"/>
        <w:rPr>
          <w:rFonts w:ascii="Palatino Linotype" w:eastAsia="Times New Roman" w:hAnsi="Palatino Linotype" w:cs="Times New Roman"/>
          <w:bCs/>
          <w:sz w:val="24"/>
          <w:szCs w:val="24"/>
        </w:rPr>
      </w:pPr>
      <w:r w:rsidRPr="00455C38">
        <w:rPr>
          <w:rFonts w:ascii="Palatino Linotype" w:eastAsia="Times New Roman" w:hAnsi="Palatino Linotype" w:cs="Calibri"/>
          <w:b/>
          <w:sz w:val="28"/>
        </w:rPr>
        <w:t>SEGUNDO</w:t>
      </w:r>
      <w:r w:rsidRPr="00455C38">
        <w:rPr>
          <w:rFonts w:ascii="Palatino Linotype" w:eastAsia="Times New Roman" w:hAnsi="Palatino Linotype" w:cs="Calibri"/>
          <w:b/>
        </w:rPr>
        <w:t xml:space="preserve">. </w:t>
      </w:r>
      <w:r w:rsidRPr="00455C38">
        <w:rPr>
          <w:rFonts w:ascii="Palatino Linotype" w:eastAsia="Times New Roman" w:hAnsi="Palatino Linotype" w:cs="Times New Roman"/>
          <w:bCs/>
          <w:sz w:val="24"/>
          <w:lang w:eastAsia="es-MX"/>
        </w:rPr>
        <w:t xml:space="preserve">Se </w:t>
      </w:r>
      <w:r w:rsidRPr="00455C38">
        <w:rPr>
          <w:rFonts w:ascii="Palatino Linotype" w:eastAsia="Times New Roman" w:hAnsi="Palatino Linotype" w:cs="Times New Roman"/>
          <w:b/>
          <w:bCs/>
          <w:sz w:val="24"/>
          <w:lang w:eastAsia="es-MX"/>
        </w:rPr>
        <w:t xml:space="preserve">ORDENA </w:t>
      </w:r>
      <w:r w:rsidRPr="00455C38">
        <w:rPr>
          <w:rFonts w:ascii="Palatino Linotype" w:eastAsia="Times New Roman" w:hAnsi="Palatino Linotype" w:cs="Times New Roman"/>
          <w:bCs/>
          <w:sz w:val="24"/>
          <w:lang w:eastAsia="es-MX"/>
        </w:rPr>
        <w:t>al</w:t>
      </w:r>
      <w:r w:rsidRPr="00455C38">
        <w:rPr>
          <w:rFonts w:ascii="Palatino Linotype" w:eastAsia="Times New Roman" w:hAnsi="Palatino Linotype" w:cs="Times New Roman"/>
          <w:b/>
          <w:sz w:val="24"/>
          <w:lang w:eastAsia="es-MX"/>
        </w:rPr>
        <w:t xml:space="preserve"> SUJETO</w:t>
      </w:r>
      <w:r w:rsidRPr="00455C38">
        <w:rPr>
          <w:rFonts w:ascii="Palatino Linotype" w:eastAsia="Times New Roman" w:hAnsi="Palatino Linotype" w:cs="Times New Roman"/>
          <w:b/>
          <w:lang w:eastAsia="es-MX"/>
        </w:rPr>
        <w:t xml:space="preserve"> </w:t>
      </w:r>
      <w:r w:rsidRPr="00455C38">
        <w:rPr>
          <w:rFonts w:ascii="Palatino Linotype" w:eastAsia="Times New Roman" w:hAnsi="Palatino Linotype" w:cs="Times New Roman"/>
          <w:b/>
          <w:sz w:val="24"/>
          <w:lang w:eastAsia="es-MX"/>
        </w:rPr>
        <w:t xml:space="preserve">OBLIGADO </w:t>
      </w:r>
      <w:r w:rsidRPr="00455C38">
        <w:rPr>
          <w:rFonts w:ascii="Palatino Linotype" w:eastAsia="Times New Roman" w:hAnsi="Palatino Linotype" w:cs="Times New Roman"/>
          <w:bCs/>
          <w:sz w:val="24"/>
          <w:lang w:eastAsia="es-MX"/>
        </w:rPr>
        <w:t xml:space="preserve">atienda la solicitud de información número </w:t>
      </w:r>
      <w:r w:rsidR="005B3169" w:rsidRPr="00455C38">
        <w:rPr>
          <w:rFonts w:ascii="Palatino Linotype" w:hAnsi="Palatino Linotype"/>
          <w:b/>
          <w:bCs/>
          <w:sz w:val="24"/>
          <w:szCs w:val="24"/>
        </w:rPr>
        <w:t>00086/ZUMPANGO/IP/2024</w:t>
      </w:r>
      <w:r w:rsidRPr="00455C38">
        <w:rPr>
          <w:rFonts w:ascii="Palatino Linotype" w:eastAsia="Times New Roman" w:hAnsi="Palatino Linotype" w:cs="Times New Roman"/>
          <w:b/>
          <w:bCs/>
          <w:sz w:val="24"/>
          <w:szCs w:val="24"/>
        </w:rPr>
        <w:t xml:space="preserve">, </w:t>
      </w:r>
      <w:r w:rsidRPr="00455C38">
        <w:rPr>
          <w:rFonts w:ascii="Palatino Linotype" w:eastAsia="Times New Roman" w:hAnsi="Palatino Linotype" w:cs="Times New Roman"/>
          <w:bCs/>
          <w:sz w:val="24"/>
          <w:lang w:eastAsia="es-MX"/>
        </w:rPr>
        <w:t xml:space="preserve">en términos del Considerando </w:t>
      </w:r>
      <w:r w:rsidR="005B3169" w:rsidRPr="00455C38">
        <w:rPr>
          <w:rFonts w:ascii="Palatino Linotype" w:eastAsia="Times New Roman" w:hAnsi="Palatino Linotype" w:cs="Times New Roman"/>
          <w:b/>
          <w:bCs/>
          <w:sz w:val="24"/>
          <w:szCs w:val="24"/>
          <w:lang w:eastAsia="es-MX"/>
        </w:rPr>
        <w:t>CUAR</w:t>
      </w:r>
      <w:r w:rsidRPr="00455C38">
        <w:rPr>
          <w:rFonts w:ascii="Palatino Linotype" w:eastAsia="Times New Roman" w:hAnsi="Palatino Linotype" w:cs="Times New Roman"/>
          <w:b/>
          <w:bCs/>
          <w:sz w:val="24"/>
          <w:szCs w:val="24"/>
          <w:lang w:eastAsia="es-MX"/>
        </w:rPr>
        <w:t>TO</w:t>
      </w:r>
      <w:r w:rsidRPr="00455C38">
        <w:rPr>
          <w:rFonts w:ascii="Palatino Linotype" w:eastAsia="Times New Roman" w:hAnsi="Palatino Linotype" w:cs="Times New Roman"/>
          <w:bCs/>
          <w:sz w:val="24"/>
          <w:szCs w:val="24"/>
          <w:lang w:eastAsia="es-MX"/>
        </w:rPr>
        <w:t xml:space="preserve"> de esta resolución; vía Sistema de Acceso a la Información Mexiquense (SAIMEX).</w:t>
      </w:r>
    </w:p>
    <w:p w14:paraId="5FE88618" w14:textId="77777777" w:rsidR="00DA68A0" w:rsidRPr="00455C38" w:rsidRDefault="00DA68A0" w:rsidP="00DA68A0">
      <w:pPr>
        <w:spacing w:after="0" w:line="360" w:lineRule="auto"/>
        <w:jc w:val="both"/>
        <w:rPr>
          <w:rFonts w:ascii="Palatino Linotype" w:eastAsia="Times New Roman" w:hAnsi="Palatino Linotype" w:cs="Times New Roman"/>
          <w:b/>
          <w:bCs/>
          <w:color w:val="222222"/>
          <w:sz w:val="24"/>
          <w:szCs w:val="24"/>
          <w:lang w:eastAsia="es-MX"/>
        </w:rPr>
      </w:pPr>
    </w:p>
    <w:p w14:paraId="766D3D41" w14:textId="472C2176" w:rsidR="00DA68A0" w:rsidRPr="00455C38" w:rsidRDefault="00DA68A0" w:rsidP="00DA68A0">
      <w:pPr>
        <w:tabs>
          <w:tab w:val="left" w:pos="8647"/>
        </w:tabs>
        <w:spacing w:after="0" w:line="360" w:lineRule="auto"/>
        <w:ind w:right="51"/>
        <w:jc w:val="both"/>
        <w:rPr>
          <w:rFonts w:ascii="Palatino Linotype" w:eastAsia="Times New Roman" w:hAnsi="Palatino Linotype" w:cs="Arial"/>
          <w:sz w:val="24"/>
          <w:szCs w:val="24"/>
        </w:rPr>
      </w:pPr>
      <w:r w:rsidRPr="00455C38">
        <w:rPr>
          <w:rFonts w:ascii="Palatino Linotype" w:eastAsia="Times New Roman" w:hAnsi="Palatino Linotype" w:cs="Arial"/>
          <w:b/>
          <w:sz w:val="28"/>
          <w:szCs w:val="24"/>
        </w:rPr>
        <w:t>TERCERO</w:t>
      </w:r>
      <w:r w:rsidRPr="00455C38">
        <w:rPr>
          <w:rFonts w:ascii="Palatino Linotype" w:eastAsia="Times New Roman" w:hAnsi="Palatino Linotype" w:cs="Arial"/>
          <w:b/>
          <w:sz w:val="24"/>
          <w:szCs w:val="24"/>
        </w:rPr>
        <w:t>.</w:t>
      </w:r>
      <w:r w:rsidRPr="00455C38">
        <w:rPr>
          <w:rFonts w:ascii="Palatino Linotype" w:eastAsia="Times New Roman" w:hAnsi="Palatino Linotype" w:cs="Arial"/>
          <w:sz w:val="24"/>
          <w:szCs w:val="24"/>
        </w:rPr>
        <w:t xml:space="preserve"> </w:t>
      </w:r>
      <w:r w:rsidRPr="00455C38">
        <w:rPr>
          <w:rFonts w:ascii="Palatino Linotype" w:eastAsia="Times New Roman" w:hAnsi="Palatino Linotype" w:cs="Arial"/>
          <w:b/>
          <w:sz w:val="24"/>
          <w:szCs w:val="24"/>
        </w:rPr>
        <w:t>Notifíquese</w:t>
      </w:r>
      <w:r w:rsidRPr="00455C38">
        <w:rPr>
          <w:rFonts w:ascii="Palatino Linotype" w:eastAsia="Times New Roman" w:hAnsi="Palatino Linotype" w:cs="Arial"/>
          <w:b/>
          <w:i/>
          <w:sz w:val="24"/>
          <w:szCs w:val="24"/>
        </w:rPr>
        <w:t xml:space="preserve"> </w:t>
      </w:r>
      <w:r w:rsidRPr="00455C38">
        <w:rPr>
          <w:rFonts w:ascii="Palatino Linotype" w:eastAsia="Times New Roman" w:hAnsi="Palatino Linotype" w:cs="Arial"/>
          <w:sz w:val="24"/>
          <w:szCs w:val="24"/>
        </w:rPr>
        <w:t>al Titular de la Unidad de Transparencia del</w:t>
      </w:r>
      <w:r w:rsidRPr="00455C38">
        <w:rPr>
          <w:rFonts w:ascii="Palatino Linotype" w:eastAsia="Times New Roman" w:hAnsi="Palatino Linotype" w:cs="Arial"/>
          <w:b/>
          <w:sz w:val="24"/>
          <w:szCs w:val="24"/>
        </w:rPr>
        <w:t xml:space="preserve"> Sujeto Obligado</w:t>
      </w:r>
      <w:r w:rsidRPr="00455C38">
        <w:rPr>
          <w:rFonts w:ascii="Palatino Linotype" w:eastAsia="Times New Roman" w:hAnsi="Palatino Linotype" w:cs="Arial"/>
          <w:sz w:val="24"/>
          <w:szCs w:val="24"/>
        </w:rPr>
        <w:t xml:space="preserve"> la presente resolución,</w:t>
      </w:r>
      <w:r w:rsidR="004743B5" w:rsidRPr="00455C38">
        <w:rPr>
          <w:rFonts w:ascii="Palatino Linotype" w:eastAsia="Times New Roman" w:hAnsi="Palatino Linotype" w:cs="Arial"/>
          <w:sz w:val="24"/>
          <w:szCs w:val="24"/>
        </w:rPr>
        <w:t xml:space="preserve"> a </w:t>
      </w:r>
      <w:r w:rsidR="004743B5" w:rsidRPr="00455C38">
        <w:rPr>
          <w:rFonts w:ascii="Palatino Linotype" w:eastAsia="Times New Roman" w:hAnsi="Palatino Linotype" w:cs="Arial"/>
          <w:sz w:val="24"/>
          <w:szCs w:val="24"/>
          <w:lang w:val="es-ES" w:eastAsia="es-ES"/>
        </w:rPr>
        <w:t xml:space="preserve">través del  </w:t>
      </w:r>
      <w:r w:rsidR="004743B5" w:rsidRPr="00455C38">
        <w:rPr>
          <w:rFonts w:ascii="Palatino Linotype" w:eastAsia="Palatino Linotype" w:hAnsi="Palatino Linotype" w:cs="Palatino Linotype"/>
          <w:sz w:val="24"/>
          <w:szCs w:val="24"/>
        </w:rPr>
        <w:t>Sistema de Acceso a la Información Mexiquense</w:t>
      </w:r>
      <w:r w:rsidRPr="00455C38">
        <w:rPr>
          <w:rFonts w:ascii="Palatino Linotype" w:eastAsia="Times New Roman" w:hAnsi="Palatino Linotype" w:cs="Arial"/>
          <w:sz w:val="24"/>
          <w:szCs w:val="24"/>
        </w:rPr>
        <w:t xml:space="preserve"> </w:t>
      </w:r>
      <w:r w:rsidR="004743B5" w:rsidRPr="00455C38">
        <w:rPr>
          <w:rFonts w:ascii="Palatino Linotype" w:eastAsia="Times New Roman" w:hAnsi="Palatino Linotype" w:cs="Arial"/>
          <w:sz w:val="24"/>
          <w:szCs w:val="24"/>
        </w:rPr>
        <w:t xml:space="preserve"> (</w:t>
      </w:r>
      <w:r w:rsidR="004743B5" w:rsidRPr="00455C38">
        <w:rPr>
          <w:rFonts w:ascii="Palatino Linotype" w:eastAsia="Times New Roman" w:hAnsi="Palatino Linotype" w:cs="Arial"/>
          <w:b/>
          <w:sz w:val="24"/>
          <w:szCs w:val="24"/>
        </w:rPr>
        <w:t xml:space="preserve">SAIMEX) </w:t>
      </w:r>
      <w:r w:rsidRPr="00455C38">
        <w:rPr>
          <w:rFonts w:ascii="Palatino Linotype" w:eastAsia="Times New Roman" w:hAnsi="Palatino Linotype" w:cs="Arial"/>
          <w:sz w:val="24"/>
          <w:szCs w:val="24"/>
        </w:rPr>
        <w:t xml:space="preserve">para que conforme al artículo 186 último párrafo y 189 segundo párrafo de la Ley de Transparencia y Acceso a la Información Pública del Estado de México y Municipios dé cumplimiento a lo ordenado dentro del plazo de diez días </w:t>
      </w:r>
      <w:r w:rsidRPr="00455C38">
        <w:rPr>
          <w:rFonts w:ascii="Palatino Linotype" w:eastAsia="Times New Roman" w:hAnsi="Palatino Linotype" w:cs="Arial"/>
          <w:sz w:val="24"/>
          <w:szCs w:val="24"/>
        </w:rPr>
        <w:lastRenderedPageBreak/>
        <w:t xml:space="preserve">hábiles, debiendo informar a este Instituto en un plazo de tres días hábiles siguientes sobre el cumplimiento dado a la presente </w:t>
      </w:r>
      <w:r w:rsidRPr="00455C38">
        <w:rPr>
          <w:rFonts w:ascii="Palatino Linotype" w:eastAsia="Times New Roman" w:hAnsi="Palatino Linotype" w:cs="Arial"/>
          <w:b/>
          <w:sz w:val="24"/>
          <w:szCs w:val="32"/>
          <w:lang w:val="es-ES_tradnl"/>
        </w:rPr>
        <w:t>y</w:t>
      </w:r>
      <w:r w:rsidRPr="00455C38">
        <w:rPr>
          <w:rFonts w:ascii="Palatino Linotype" w:eastAsia="Times New Roman" w:hAnsi="Palatino Linotype" w:cs="Arial"/>
          <w:sz w:val="24"/>
          <w:szCs w:val="32"/>
          <w:lang w:val="es-ES_tradnl"/>
        </w:rPr>
        <w:t xml:space="preserve"> </w:t>
      </w:r>
      <w:r w:rsidRPr="00455C38">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D3CE17" w14:textId="77777777" w:rsidR="00DA68A0" w:rsidRPr="00455C38" w:rsidRDefault="00DA68A0" w:rsidP="00DA68A0">
      <w:pPr>
        <w:tabs>
          <w:tab w:val="left" w:pos="8647"/>
        </w:tabs>
        <w:spacing w:after="0" w:line="360" w:lineRule="auto"/>
        <w:ind w:right="51"/>
        <w:jc w:val="both"/>
        <w:rPr>
          <w:rFonts w:ascii="Palatino Linotype" w:eastAsia="Times New Roman" w:hAnsi="Palatino Linotype" w:cs="Arial"/>
          <w:sz w:val="24"/>
          <w:szCs w:val="24"/>
        </w:rPr>
      </w:pPr>
    </w:p>
    <w:p w14:paraId="73961C59" w14:textId="052C335F" w:rsidR="00DA68A0" w:rsidRPr="00455C38" w:rsidRDefault="00DA68A0" w:rsidP="00DA68A0">
      <w:pPr>
        <w:spacing w:after="0" w:line="360" w:lineRule="auto"/>
        <w:jc w:val="both"/>
        <w:rPr>
          <w:rFonts w:ascii="Palatino Linotype" w:eastAsia="Times New Roman" w:hAnsi="Palatino Linotype" w:cs="Arial"/>
          <w:sz w:val="24"/>
          <w:szCs w:val="24"/>
          <w:lang w:val="es-ES" w:eastAsia="es-ES"/>
        </w:rPr>
      </w:pPr>
      <w:r w:rsidRPr="00455C38">
        <w:rPr>
          <w:rFonts w:ascii="Palatino Linotype" w:eastAsia="Times New Roman" w:hAnsi="Palatino Linotype" w:cs="Arial"/>
          <w:b/>
          <w:sz w:val="28"/>
          <w:szCs w:val="24"/>
          <w:lang w:val="es-ES" w:eastAsia="es-ES"/>
        </w:rPr>
        <w:t>CUARTO</w:t>
      </w:r>
      <w:r w:rsidRPr="00455C38">
        <w:rPr>
          <w:rFonts w:ascii="Palatino Linotype" w:eastAsia="Times New Roman" w:hAnsi="Palatino Linotype" w:cs="Arial"/>
          <w:b/>
          <w:sz w:val="24"/>
          <w:szCs w:val="24"/>
          <w:lang w:val="es-ES" w:eastAsia="es-ES"/>
        </w:rPr>
        <w:t>. Notifíquese</w:t>
      </w:r>
      <w:r w:rsidRPr="00455C38">
        <w:rPr>
          <w:rFonts w:ascii="Palatino Linotype" w:eastAsia="Times New Roman" w:hAnsi="Palatino Linotype" w:cs="Arial"/>
          <w:sz w:val="24"/>
          <w:szCs w:val="24"/>
          <w:lang w:val="es-ES" w:eastAsia="es-ES"/>
        </w:rPr>
        <w:t xml:space="preserve"> </w:t>
      </w:r>
      <w:r w:rsidRPr="00455C38">
        <w:rPr>
          <w:rFonts w:ascii="Palatino Linotype" w:eastAsia="Times New Roman" w:hAnsi="Palatino Linotype" w:cs="Arial"/>
          <w:b/>
          <w:sz w:val="24"/>
          <w:szCs w:val="24"/>
          <w:lang w:val="es-ES" w:eastAsia="es-ES"/>
        </w:rPr>
        <w:t>al Recurrente</w:t>
      </w:r>
      <w:r w:rsidRPr="00455C38">
        <w:rPr>
          <w:rFonts w:ascii="Palatino Linotype" w:eastAsia="Times New Roman" w:hAnsi="Palatino Linotype" w:cs="Arial"/>
          <w:sz w:val="24"/>
          <w:szCs w:val="24"/>
          <w:lang w:val="es-ES" w:eastAsia="es-ES"/>
        </w:rPr>
        <w:t xml:space="preserve">  por medio del </w:t>
      </w:r>
      <w:r w:rsidR="004743B5" w:rsidRPr="00455C38">
        <w:rPr>
          <w:rFonts w:ascii="Palatino Linotype" w:eastAsia="Times New Roman" w:hAnsi="Palatino Linotype" w:cs="Arial"/>
          <w:sz w:val="24"/>
          <w:szCs w:val="24"/>
          <w:lang w:val="es-ES" w:eastAsia="es-ES"/>
        </w:rPr>
        <w:t xml:space="preserve"> </w:t>
      </w:r>
      <w:r w:rsidR="004743B5" w:rsidRPr="00455C38">
        <w:rPr>
          <w:rFonts w:ascii="Palatino Linotype" w:eastAsia="Palatino Linotype" w:hAnsi="Palatino Linotype" w:cs="Palatino Linotype"/>
          <w:sz w:val="24"/>
          <w:szCs w:val="24"/>
        </w:rPr>
        <w:t>Sistema de Acceso a la Información Mexiquense</w:t>
      </w:r>
      <w:r w:rsidR="004743B5" w:rsidRPr="00455C38">
        <w:rPr>
          <w:rFonts w:ascii="Palatino Linotype" w:eastAsia="Times New Roman" w:hAnsi="Palatino Linotype" w:cs="Arial"/>
          <w:sz w:val="24"/>
          <w:szCs w:val="24"/>
          <w:lang w:val="es-ES" w:eastAsia="es-ES"/>
        </w:rPr>
        <w:t xml:space="preserve"> (</w:t>
      </w:r>
      <w:r w:rsidRPr="00455C38">
        <w:rPr>
          <w:rFonts w:ascii="Palatino Linotype" w:eastAsia="Times New Roman" w:hAnsi="Palatino Linotype" w:cs="Arial"/>
          <w:b/>
          <w:sz w:val="24"/>
          <w:szCs w:val="24"/>
          <w:lang w:val="es-ES" w:eastAsia="es-ES"/>
        </w:rPr>
        <w:t>SAIMEX</w:t>
      </w:r>
      <w:r w:rsidR="004743B5" w:rsidRPr="00455C38">
        <w:rPr>
          <w:rFonts w:ascii="Palatino Linotype" w:eastAsia="Times New Roman" w:hAnsi="Palatino Linotype" w:cs="Arial"/>
          <w:sz w:val="24"/>
          <w:szCs w:val="24"/>
          <w:lang w:val="es-ES" w:eastAsia="es-ES"/>
        </w:rPr>
        <w:t>)</w:t>
      </w:r>
      <w:r w:rsidRPr="00455C38">
        <w:rPr>
          <w:rFonts w:ascii="Palatino Linotype" w:eastAsia="Times New Roman" w:hAnsi="Palatino Linotype" w:cs="Arial"/>
          <w:sz w:val="24"/>
          <w:szCs w:val="24"/>
          <w:lang w:val="es-ES" w:eastAsia="es-ES"/>
        </w:rPr>
        <w:t>,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60CA73EC"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_tradnl"/>
        </w:rPr>
      </w:pPr>
    </w:p>
    <w:p w14:paraId="51CE0CA9"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_tradnl"/>
        </w:rPr>
      </w:pPr>
      <w:r w:rsidRPr="00455C38">
        <w:rPr>
          <w:rFonts w:ascii="Palatino Linotype" w:eastAsia="Times New Roman" w:hAnsi="Palatino Linotype" w:cs="Times New Roman"/>
          <w:b/>
          <w:sz w:val="28"/>
          <w:szCs w:val="24"/>
          <w:lang w:eastAsia="es-ES_tradnl"/>
        </w:rPr>
        <w:t>QUINTO</w:t>
      </w:r>
      <w:r w:rsidRPr="00455C38">
        <w:rPr>
          <w:rFonts w:ascii="Palatino Linotype" w:eastAsia="Times New Roman" w:hAnsi="Palatino Linotype" w:cs="Times New Roman"/>
          <w:b/>
          <w:sz w:val="24"/>
          <w:szCs w:val="24"/>
          <w:lang w:eastAsia="es-ES_tradnl"/>
        </w:rPr>
        <w:t>.</w:t>
      </w:r>
      <w:r w:rsidRPr="00455C38">
        <w:rPr>
          <w:rFonts w:ascii="Palatino Linotype" w:eastAsia="Times New Roman" w:hAnsi="Palatino Linotype" w:cs="Times New Roman"/>
          <w:sz w:val="24"/>
          <w:szCs w:val="24"/>
          <w:lang w:eastAsia="es-ES_tradnl"/>
        </w:rPr>
        <w:t xml:space="preserve"> </w:t>
      </w:r>
      <w:r w:rsidRPr="00455C38">
        <w:rPr>
          <w:rFonts w:ascii="Palatino Linotype" w:eastAsia="Times New Roman" w:hAnsi="Palatino Linotype" w:cs="Times New Roman"/>
          <w:b/>
          <w:sz w:val="24"/>
          <w:szCs w:val="24"/>
          <w:lang w:eastAsia="es-ES_tradnl"/>
        </w:rPr>
        <w:t>Notifíquese</w:t>
      </w:r>
      <w:r w:rsidRPr="00455C38">
        <w:rPr>
          <w:rFonts w:ascii="Palatino Linotype" w:eastAsia="Times New Roman" w:hAnsi="Palatino Linotype" w:cs="Times New Roman"/>
          <w:sz w:val="24"/>
          <w:szCs w:val="24"/>
          <w:lang w:eastAsia="es-ES_tradnl"/>
        </w:rPr>
        <w:t xml:space="preserve"> al </w:t>
      </w:r>
      <w:r w:rsidRPr="00455C38">
        <w:rPr>
          <w:rFonts w:ascii="Palatino Linotype" w:eastAsia="Times New Roman" w:hAnsi="Palatino Linotype" w:cs="Times New Roman"/>
          <w:b/>
          <w:sz w:val="24"/>
          <w:szCs w:val="24"/>
          <w:lang w:eastAsia="es-ES_tradnl"/>
        </w:rPr>
        <w:t>Recurrente</w:t>
      </w:r>
      <w:r w:rsidRPr="00455C38">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455C38">
        <w:rPr>
          <w:rFonts w:ascii="Palatino Linotype" w:eastAsia="Times New Roman" w:hAnsi="Palatino Linotype" w:cs="Times New Roman"/>
          <w:b/>
          <w:sz w:val="24"/>
          <w:szCs w:val="24"/>
          <w:lang w:eastAsia="es-ES_tradnl"/>
        </w:rPr>
        <w:t>Sujeto Obligado</w:t>
      </w:r>
      <w:r w:rsidRPr="00455C38">
        <w:rPr>
          <w:rFonts w:ascii="Palatino Linotype" w:eastAsia="Times New Roman" w:hAnsi="Palatino Linotype" w:cs="Times New Roman"/>
          <w:sz w:val="24"/>
          <w:szCs w:val="24"/>
          <w:lang w:eastAsia="es-ES_tradnl"/>
        </w:rPr>
        <w:t>, en cumplimiento a esta Resolución.</w:t>
      </w:r>
    </w:p>
    <w:p w14:paraId="68C886C2" w14:textId="77777777" w:rsidR="00DA68A0" w:rsidRPr="00455C38" w:rsidRDefault="00DA68A0" w:rsidP="00DA68A0">
      <w:pPr>
        <w:spacing w:after="0" w:line="360" w:lineRule="auto"/>
        <w:jc w:val="both"/>
        <w:rPr>
          <w:rFonts w:ascii="Palatino Linotype" w:eastAsia="Times New Roman" w:hAnsi="Palatino Linotype" w:cs="Times New Roman"/>
          <w:sz w:val="24"/>
          <w:szCs w:val="24"/>
          <w:lang w:eastAsia="es-ES_tradnl"/>
        </w:rPr>
      </w:pPr>
    </w:p>
    <w:p w14:paraId="0149F298" w14:textId="1F30D9E5" w:rsidR="00DA68A0" w:rsidRPr="00455C38" w:rsidRDefault="00DA68A0" w:rsidP="00DA68A0">
      <w:pPr>
        <w:spacing w:after="0" w:line="360" w:lineRule="auto"/>
        <w:jc w:val="both"/>
        <w:rPr>
          <w:rFonts w:ascii="Palatino Linotype" w:eastAsia="Times New Roman" w:hAnsi="Palatino Linotype" w:cs="Times New Roman"/>
          <w:sz w:val="24"/>
          <w:szCs w:val="24"/>
          <w:lang w:eastAsia="es-ES_tradnl"/>
        </w:rPr>
      </w:pPr>
      <w:r w:rsidRPr="00455C38">
        <w:rPr>
          <w:rFonts w:ascii="Palatino Linotype" w:eastAsia="Times New Roman" w:hAnsi="Palatino Linotype" w:cs="Times New Roman"/>
          <w:b/>
          <w:sz w:val="28"/>
          <w:szCs w:val="24"/>
          <w:lang w:eastAsia="es-ES_tradnl"/>
        </w:rPr>
        <w:t>SEXTO</w:t>
      </w:r>
      <w:r w:rsidRPr="00455C38">
        <w:rPr>
          <w:rFonts w:ascii="Palatino Linotype" w:eastAsia="Times New Roman" w:hAnsi="Palatino Linotype" w:cs="Times New Roman"/>
          <w:b/>
          <w:sz w:val="24"/>
          <w:szCs w:val="24"/>
          <w:lang w:eastAsia="es-ES_tradnl"/>
        </w:rPr>
        <w:t xml:space="preserve">. - Gírese </w:t>
      </w:r>
      <w:r w:rsidRPr="00455C38">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w:t>
      </w:r>
      <w:r w:rsidRPr="00455C38">
        <w:rPr>
          <w:rFonts w:ascii="Palatino Linotype" w:eastAsia="Times New Roman" w:hAnsi="Palatino Linotype" w:cs="Times New Roman"/>
          <w:sz w:val="24"/>
          <w:szCs w:val="24"/>
          <w:lang w:eastAsia="es-ES_tradnl"/>
        </w:rPr>
        <w:lastRenderedPageBreak/>
        <w:t xml:space="preserve">Información Pública del Estado de México y Municipios se determine lo conducente, en términos de lo señalado en el Considerando </w:t>
      </w:r>
      <w:r w:rsidR="005B3169" w:rsidRPr="00455C38">
        <w:rPr>
          <w:rFonts w:ascii="Palatino Linotype" w:eastAsia="Times New Roman" w:hAnsi="Palatino Linotype" w:cs="Times New Roman"/>
          <w:b/>
          <w:bCs/>
          <w:sz w:val="24"/>
          <w:szCs w:val="24"/>
          <w:lang w:eastAsia="es-ES_tradnl"/>
        </w:rPr>
        <w:t>CUAR</w:t>
      </w:r>
      <w:r w:rsidRPr="00455C38">
        <w:rPr>
          <w:rFonts w:ascii="Palatino Linotype" w:eastAsia="Times New Roman" w:hAnsi="Palatino Linotype" w:cs="Times New Roman"/>
          <w:b/>
          <w:bCs/>
          <w:sz w:val="24"/>
          <w:szCs w:val="24"/>
          <w:lang w:eastAsia="es-ES_tradnl"/>
        </w:rPr>
        <w:t>TO</w:t>
      </w:r>
      <w:r w:rsidRPr="00455C38">
        <w:rPr>
          <w:rFonts w:ascii="Palatino Linotype" w:eastAsia="Times New Roman" w:hAnsi="Palatino Linotype" w:cs="Times New Roman"/>
          <w:sz w:val="24"/>
          <w:szCs w:val="24"/>
          <w:lang w:eastAsia="es-ES_tradnl"/>
        </w:rPr>
        <w:t xml:space="preserve"> de la presente resolución.</w:t>
      </w:r>
    </w:p>
    <w:p w14:paraId="0CEC7316" w14:textId="77777777" w:rsidR="00DA68A0" w:rsidRPr="00455C38" w:rsidRDefault="00DA68A0" w:rsidP="00DA68A0">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6607B981" w14:textId="7B174284" w:rsidR="00DA68A0" w:rsidRPr="00455C38" w:rsidRDefault="00DA68A0" w:rsidP="00DA68A0">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455C38">
        <w:rPr>
          <w:rFonts w:ascii="Palatino Linotype" w:eastAsiaTheme="minorEastAsia" w:hAnsi="Palatino Linotype" w:cs="Times New Roman"/>
          <w:color w:val="000000" w:themeColor="text1"/>
          <w:sz w:val="24"/>
          <w:szCs w:val="24"/>
          <w:lang w:val="es-ES_tradnl"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4743B5" w:rsidRPr="00455C38">
        <w:rPr>
          <w:rFonts w:ascii="Palatino Linotype" w:eastAsiaTheme="minorEastAsia" w:hAnsi="Palatino Linotype" w:cs="Times New Roman"/>
          <w:color w:val="000000" w:themeColor="text1"/>
          <w:sz w:val="24"/>
          <w:szCs w:val="24"/>
          <w:lang w:val="es-ES_tradnl" w:eastAsia="es-ES"/>
        </w:rPr>
        <w:t xml:space="preserve">, </w:t>
      </w:r>
      <w:r w:rsidRPr="00455C38">
        <w:rPr>
          <w:rFonts w:ascii="Palatino Linotype" w:eastAsiaTheme="minorEastAsia" w:hAnsi="Palatino Linotype" w:cs="Times New Roman"/>
          <w:color w:val="000000" w:themeColor="text1"/>
          <w:sz w:val="24"/>
          <w:szCs w:val="24"/>
          <w:lang w:val="es-ES_tradnl" w:eastAsia="es-ES"/>
        </w:rPr>
        <w:t xml:space="preserve">LUIS GUSTAVO PARRA NORIEGA Y GUADALUPE RAMÍREZ PEÑA; EN LA </w:t>
      </w:r>
      <w:r w:rsidR="004743B5" w:rsidRPr="00455C38">
        <w:rPr>
          <w:rFonts w:ascii="Palatino Linotype" w:eastAsiaTheme="minorEastAsia" w:hAnsi="Palatino Linotype" w:cs="Times New Roman"/>
          <w:color w:val="000000" w:themeColor="text1"/>
          <w:sz w:val="24"/>
          <w:szCs w:val="24"/>
          <w:lang w:val="es-ES_tradnl" w:eastAsia="es-ES"/>
        </w:rPr>
        <w:t xml:space="preserve">VIGÉSIMA </w:t>
      </w:r>
      <w:r w:rsidR="00210F94" w:rsidRPr="00455C38">
        <w:rPr>
          <w:rFonts w:ascii="Palatino Linotype" w:eastAsiaTheme="minorEastAsia" w:hAnsi="Palatino Linotype" w:cs="Times New Roman"/>
          <w:color w:val="000000" w:themeColor="text1"/>
          <w:sz w:val="24"/>
          <w:szCs w:val="24"/>
          <w:lang w:val="es-ES_tradnl" w:eastAsia="es-ES"/>
        </w:rPr>
        <w:t>SEGUND</w:t>
      </w:r>
      <w:r w:rsidR="004743B5" w:rsidRPr="00455C38">
        <w:rPr>
          <w:rFonts w:ascii="Palatino Linotype" w:eastAsiaTheme="minorEastAsia" w:hAnsi="Palatino Linotype" w:cs="Times New Roman"/>
          <w:color w:val="000000" w:themeColor="text1"/>
          <w:sz w:val="24"/>
          <w:szCs w:val="24"/>
          <w:lang w:val="es-ES_tradnl" w:eastAsia="es-ES"/>
        </w:rPr>
        <w:t xml:space="preserve">A </w:t>
      </w:r>
      <w:r w:rsidRPr="00455C38">
        <w:rPr>
          <w:rFonts w:ascii="Palatino Linotype" w:eastAsiaTheme="minorEastAsia" w:hAnsi="Palatino Linotype" w:cs="Times New Roman"/>
          <w:color w:val="000000" w:themeColor="text1"/>
          <w:sz w:val="24"/>
          <w:szCs w:val="24"/>
          <w:lang w:val="es-ES_tradnl" w:eastAsia="es-ES"/>
        </w:rPr>
        <w:t xml:space="preserve">SESIÓN ORDINARIA CELEBRADA </w:t>
      </w:r>
      <w:r w:rsidR="004743B5" w:rsidRPr="00455C38">
        <w:rPr>
          <w:rFonts w:ascii="Palatino Linotype" w:eastAsiaTheme="minorEastAsia" w:hAnsi="Palatino Linotype" w:cs="Times New Roman"/>
          <w:color w:val="000000" w:themeColor="text1"/>
          <w:sz w:val="24"/>
          <w:szCs w:val="24"/>
          <w:lang w:val="es-ES_tradnl" w:eastAsia="es-ES"/>
        </w:rPr>
        <w:t xml:space="preserve">EL </w:t>
      </w:r>
      <w:r w:rsidR="00210F94" w:rsidRPr="00455C38">
        <w:rPr>
          <w:rFonts w:ascii="Palatino Linotype" w:eastAsiaTheme="minorEastAsia" w:hAnsi="Palatino Linotype" w:cs="Times New Roman"/>
          <w:color w:val="000000" w:themeColor="text1"/>
          <w:sz w:val="24"/>
          <w:szCs w:val="24"/>
          <w:lang w:val="es-ES_tradnl" w:eastAsia="es-ES"/>
        </w:rPr>
        <w:t xml:space="preserve">DIECINUEVE </w:t>
      </w:r>
      <w:r w:rsidR="004743B5" w:rsidRPr="00455C38">
        <w:rPr>
          <w:rFonts w:ascii="Palatino Linotype" w:eastAsiaTheme="minorEastAsia" w:hAnsi="Palatino Linotype" w:cs="Times New Roman"/>
          <w:color w:val="000000" w:themeColor="text1"/>
          <w:sz w:val="24"/>
          <w:szCs w:val="24"/>
          <w:lang w:val="es-ES_tradnl" w:eastAsia="es-ES"/>
        </w:rPr>
        <w:t xml:space="preserve">DE JUNIO </w:t>
      </w:r>
      <w:r w:rsidRPr="00455C38">
        <w:rPr>
          <w:rFonts w:ascii="Palatino Linotype" w:eastAsiaTheme="minorEastAsia" w:hAnsi="Palatino Linotype" w:cs="Times New Roman"/>
          <w:color w:val="000000" w:themeColor="text1"/>
          <w:sz w:val="24"/>
          <w:szCs w:val="24"/>
          <w:lang w:val="es-ES_tradnl" w:eastAsia="es-ES"/>
        </w:rPr>
        <w:t>DOS MIL VEINTICUATRO, ANTE EL SECRETARIO TÉCNICO DEL PLENO</w:t>
      </w:r>
      <w:r w:rsidR="00333B61" w:rsidRPr="00455C38">
        <w:rPr>
          <w:rFonts w:ascii="Palatino Linotype" w:eastAsiaTheme="minorEastAsia" w:hAnsi="Palatino Linotype" w:cs="Times New Roman"/>
          <w:color w:val="000000" w:themeColor="text1"/>
          <w:sz w:val="24"/>
          <w:szCs w:val="24"/>
          <w:lang w:val="es-ES_tradnl" w:eastAsia="es-ES"/>
        </w:rPr>
        <w:t>,</w:t>
      </w:r>
      <w:r w:rsidRPr="00455C38">
        <w:rPr>
          <w:rFonts w:ascii="Palatino Linotype" w:eastAsiaTheme="minorEastAsia" w:hAnsi="Palatino Linotype" w:cs="Times New Roman"/>
          <w:color w:val="000000" w:themeColor="text1"/>
          <w:sz w:val="24"/>
          <w:szCs w:val="24"/>
          <w:lang w:val="es-ES_tradnl" w:eastAsia="es-ES"/>
        </w:rPr>
        <w:t xml:space="preserve"> ALEXIS TAPIA RAMÍREZ.----------------------------------------------------------------------------------------------------------------------------------------------------------------------------------------------------------------------------------------------------------------------------------------------------------------------------------------------------------------------------------------------------------------------------------------------------------------------------------------------------------------------------------------------------------------------------------------------------------------------------------</w:t>
      </w:r>
      <w:r w:rsidR="00333B61" w:rsidRPr="00455C38">
        <w:rPr>
          <w:rFonts w:ascii="Palatino Linotype" w:eastAsiaTheme="minorEastAsia" w:hAnsi="Palatino Linotype" w:cs="Times New Roman"/>
          <w:color w:val="000000" w:themeColor="text1"/>
          <w:sz w:val="24"/>
          <w:szCs w:val="24"/>
          <w:lang w:val="es-ES_tradnl" w:eastAsia="es-ES"/>
        </w:rPr>
        <w:t>--</w:t>
      </w:r>
      <w:r w:rsidRPr="00455C38">
        <w:rPr>
          <w:rFonts w:ascii="Palatino Linotype" w:eastAsiaTheme="minorEastAsia" w:hAnsi="Palatino Linotype" w:cs="Times New Roman"/>
          <w:color w:val="000000" w:themeColor="text1"/>
          <w:sz w:val="24"/>
          <w:szCs w:val="24"/>
          <w:lang w:val="es-ES_tradnl" w:eastAsia="es-ES"/>
        </w:rPr>
        <w:t>----------------------------------------------------------------------------------------------------------------------------------------------------------------------------------------------------------------------------------------------------------------------------------------------------</w:t>
      </w:r>
      <w:r w:rsidR="00333B61" w:rsidRPr="00455C38">
        <w:rPr>
          <w:rFonts w:ascii="Palatino Linotype" w:hAnsi="Palatino Linotype" w:cs="Arial"/>
          <w:lang w:val="es-ES_tradnl"/>
        </w:rPr>
        <w:t>--------------------------------------------------------------------------------------------------------------------------------------------------------------------------------------------------------------------------------------------------------------------------------------------------------------------------------------------------------------------------------------------------------------------------------------------------------------------------------------------------------------------------------------------------------------------------------------------------------------------------------------------------</w:t>
      </w:r>
    </w:p>
    <w:p w14:paraId="51647D24" w14:textId="77777777" w:rsidR="00DA68A0" w:rsidRPr="00DB6E06" w:rsidRDefault="00DA68A0" w:rsidP="00DA68A0">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455C38">
        <w:rPr>
          <w:rFonts w:ascii="Palatino Linotype" w:eastAsia="Times New Roman" w:hAnsi="Palatino Linotype" w:cs="Times New Roman"/>
          <w:sz w:val="16"/>
          <w:szCs w:val="18"/>
        </w:rPr>
        <w:t>JMV/CCR/NJMB</w:t>
      </w:r>
      <w:bookmarkStart w:id="1" w:name="_GoBack"/>
      <w:bookmarkEnd w:id="1"/>
    </w:p>
    <w:p w14:paraId="1721A632" w14:textId="77777777" w:rsidR="00DA68A0" w:rsidRPr="00DB6E06" w:rsidRDefault="00DA68A0" w:rsidP="00DA68A0">
      <w:pPr>
        <w:rPr>
          <w:rFonts w:eastAsia="Times New Roman" w:cs="Times New Roman"/>
        </w:rPr>
      </w:pPr>
    </w:p>
    <w:p w14:paraId="00F19706" w14:textId="77777777" w:rsidR="00DA68A0" w:rsidRPr="00DB6E06" w:rsidRDefault="00DA68A0" w:rsidP="00DA68A0">
      <w:pPr>
        <w:rPr>
          <w:rFonts w:eastAsia="Times New Roman" w:cs="Times New Roman"/>
        </w:rPr>
      </w:pPr>
    </w:p>
    <w:p w14:paraId="4F3B5FE6" w14:textId="77777777" w:rsidR="00DA68A0" w:rsidRPr="00DB6E06" w:rsidRDefault="00DA68A0" w:rsidP="00DA68A0">
      <w:pPr>
        <w:rPr>
          <w:rFonts w:eastAsia="Times New Roman" w:cs="Times New Roman"/>
        </w:rPr>
      </w:pPr>
    </w:p>
    <w:p w14:paraId="33DAE687" w14:textId="77777777" w:rsidR="00DA68A0" w:rsidRPr="00DB6E06" w:rsidRDefault="00DA68A0" w:rsidP="00DA68A0">
      <w:pPr>
        <w:rPr>
          <w:rFonts w:eastAsia="Times New Roman" w:cs="Times New Roman"/>
        </w:rPr>
      </w:pPr>
    </w:p>
    <w:p w14:paraId="6FCAA487" w14:textId="77777777" w:rsidR="00DA68A0" w:rsidRPr="00DB6E06" w:rsidRDefault="00DA68A0" w:rsidP="00DA68A0">
      <w:pPr>
        <w:rPr>
          <w:rFonts w:eastAsia="Times New Roman" w:cs="Times New Roman"/>
        </w:rPr>
      </w:pPr>
    </w:p>
    <w:p w14:paraId="4C16C6EE" w14:textId="77777777" w:rsidR="00DA68A0" w:rsidRPr="00DB6E06" w:rsidRDefault="00DA68A0" w:rsidP="00DA68A0">
      <w:pPr>
        <w:rPr>
          <w:rFonts w:eastAsia="Times New Roman" w:cs="Times New Roman"/>
        </w:rPr>
      </w:pPr>
    </w:p>
    <w:p w14:paraId="20DA63EA" w14:textId="77777777" w:rsidR="00DA68A0" w:rsidRPr="00DB6E06" w:rsidRDefault="00DA68A0" w:rsidP="00DA68A0">
      <w:pPr>
        <w:rPr>
          <w:rFonts w:eastAsia="Times New Roman" w:cs="Times New Roman"/>
        </w:rPr>
      </w:pPr>
    </w:p>
    <w:p w14:paraId="7537DE79" w14:textId="77777777" w:rsidR="00DA68A0" w:rsidRPr="00DB6E06" w:rsidRDefault="00DA68A0" w:rsidP="00DA68A0">
      <w:pPr>
        <w:rPr>
          <w:rFonts w:eastAsia="Times New Roman" w:cs="Times New Roman"/>
        </w:rPr>
      </w:pPr>
    </w:p>
    <w:p w14:paraId="7B5EB952" w14:textId="77777777" w:rsidR="00DA68A0" w:rsidRPr="00DB6E06" w:rsidRDefault="00DA68A0" w:rsidP="00DA68A0">
      <w:pPr>
        <w:rPr>
          <w:rFonts w:eastAsia="Times New Roman" w:cs="Times New Roman"/>
        </w:rPr>
      </w:pPr>
    </w:p>
    <w:p w14:paraId="0449B026" w14:textId="77777777" w:rsidR="00DA68A0" w:rsidRPr="00DB6E06" w:rsidRDefault="00DA68A0" w:rsidP="00DA68A0">
      <w:pPr>
        <w:rPr>
          <w:rFonts w:eastAsia="Times New Roman" w:cs="Times New Roman"/>
        </w:rPr>
      </w:pPr>
    </w:p>
    <w:p w14:paraId="19F75B6D" w14:textId="77777777" w:rsidR="00DA68A0" w:rsidRPr="00DB6E06" w:rsidRDefault="00DA68A0" w:rsidP="00DA68A0">
      <w:pPr>
        <w:rPr>
          <w:rFonts w:eastAsia="Times New Roman" w:cs="Times New Roman"/>
        </w:rPr>
      </w:pPr>
    </w:p>
    <w:p w14:paraId="417B3239" w14:textId="77777777" w:rsidR="00DA68A0" w:rsidRPr="00DB6E06" w:rsidRDefault="00DA68A0" w:rsidP="00DA68A0">
      <w:pPr>
        <w:rPr>
          <w:rFonts w:eastAsia="Times New Roman" w:cs="Times New Roman"/>
        </w:rPr>
      </w:pPr>
    </w:p>
    <w:p w14:paraId="2E429571" w14:textId="77777777" w:rsidR="00DA68A0" w:rsidRPr="00DB6E06" w:rsidRDefault="00DA68A0" w:rsidP="00DA68A0">
      <w:pPr>
        <w:rPr>
          <w:rFonts w:eastAsia="Times New Roman" w:cs="Times New Roman"/>
        </w:rPr>
      </w:pPr>
    </w:p>
    <w:p w14:paraId="4B6BD6A2" w14:textId="77777777" w:rsidR="00DA68A0" w:rsidRPr="00DB6E06" w:rsidRDefault="00DA68A0" w:rsidP="00DA68A0">
      <w:pPr>
        <w:rPr>
          <w:rFonts w:eastAsia="Times New Roman" w:cs="Times New Roman"/>
        </w:rPr>
      </w:pPr>
    </w:p>
    <w:p w14:paraId="0315E2BE" w14:textId="77777777" w:rsidR="00DA68A0" w:rsidRPr="00DB6E06" w:rsidRDefault="00DA68A0" w:rsidP="00DA68A0">
      <w:pPr>
        <w:rPr>
          <w:rFonts w:eastAsia="Times New Roman" w:cs="Times New Roman"/>
        </w:rPr>
      </w:pPr>
    </w:p>
    <w:p w14:paraId="79A836FC" w14:textId="77777777" w:rsidR="00DA68A0" w:rsidRPr="00DB6E06" w:rsidRDefault="00DA68A0" w:rsidP="00DA68A0">
      <w:pPr>
        <w:rPr>
          <w:rFonts w:eastAsia="Times New Roman" w:cs="Times New Roman"/>
        </w:rPr>
      </w:pPr>
    </w:p>
    <w:p w14:paraId="455268F2" w14:textId="77777777" w:rsidR="00DA68A0" w:rsidRPr="00DB6E06" w:rsidRDefault="00DA68A0" w:rsidP="00DA68A0">
      <w:pPr>
        <w:rPr>
          <w:rFonts w:eastAsia="Times New Roman" w:cs="Times New Roman"/>
        </w:rPr>
      </w:pPr>
    </w:p>
    <w:p w14:paraId="0590DF03" w14:textId="77777777" w:rsidR="00DA68A0" w:rsidRPr="00DB6E06" w:rsidRDefault="00DA68A0" w:rsidP="00DA68A0">
      <w:pPr>
        <w:rPr>
          <w:rFonts w:eastAsia="Times New Roman" w:cs="Times New Roman"/>
        </w:rPr>
      </w:pPr>
    </w:p>
    <w:p w14:paraId="21C83A6D" w14:textId="77777777" w:rsidR="00DA68A0" w:rsidRPr="00DB6E06" w:rsidRDefault="00DA68A0" w:rsidP="00DA68A0">
      <w:pPr>
        <w:rPr>
          <w:rFonts w:eastAsia="Times New Roman" w:cs="Times New Roman"/>
        </w:rPr>
      </w:pPr>
    </w:p>
    <w:p w14:paraId="19763441" w14:textId="77777777" w:rsidR="00DA68A0" w:rsidRPr="00DB6E06" w:rsidRDefault="00DA68A0" w:rsidP="00DA68A0">
      <w:pPr>
        <w:rPr>
          <w:rFonts w:eastAsia="Times New Roman" w:cs="Times New Roman"/>
        </w:rPr>
      </w:pPr>
    </w:p>
    <w:p w14:paraId="66BF4E1E" w14:textId="77777777" w:rsidR="00DA68A0" w:rsidRDefault="00DA68A0" w:rsidP="00DA68A0"/>
    <w:p w14:paraId="01447905" w14:textId="77777777" w:rsidR="00DA68A0" w:rsidRDefault="00DA68A0"/>
    <w:sectPr w:rsidR="00DA68A0" w:rsidSect="00DA68A0">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4A50C" w14:textId="77777777" w:rsidR="009D19A6" w:rsidRDefault="009D19A6" w:rsidP="00DA68A0">
      <w:pPr>
        <w:spacing w:after="0" w:line="240" w:lineRule="auto"/>
      </w:pPr>
      <w:r>
        <w:separator/>
      </w:r>
    </w:p>
  </w:endnote>
  <w:endnote w:type="continuationSeparator" w:id="0">
    <w:p w14:paraId="1BF984FD" w14:textId="77777777" w:rsidR="009D19A6" w:rsidRDefault="009D19A6" w:rsidP="00DA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3D08" w14:textId="77777777" w:rsidR="005B3169" w:rsidRPr="000B69FA" w:rsidRDefault="005B3169" w:rsidP="005B316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55C38">
      <w:rPr>
        <w:rFonts w:ascii="Palatino Linotype" w:hAnsi="Palatino Linotype"/>
        <w:bCs/>
        <w:noProof/>
        <w:sz w:val="20"/>
      </w:rPr>
      <w:t>27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55C38">
      <w:rPr>
        <w:rFonts w:ascii="Palatino Linotype" w:hAnsi="Palatino Linotype"/>
        <w:bCs/>
        <w:noProof/>
        <w:sz w:val="20"/>
      </w:rPr>
      <w:t>30</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FEF0" w14:textId="77777777" w:rsidR="005B3169" w:rsidRPr="000B69FA" w:rsidRDefault="005B3169" w:rsidP="005B316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55C3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55C38">
      <w:rPr>
        <w:rFonts w:ascii="Palatino Linotype" w:hAnsi="Palatino Linotype"/>
        <w:bCs/>
        <w:noProof/>
        <w:sz w:val="20"/>
      </w:rPr>
      <w:t>30</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29A8" w14:textId="77777777" w:rsidR="009D19A6" w:rsidRDefault="009D19A6" w:rsidP="00DA68A0">
      <w:pPr>
        <w:spacing w:after="0" w:line="240" w:lineRule="auto"/>
      </w:pPr>
      <w:r>
        <w:separator/>
      </w:r>
    </w:p>
  </w:footnote>
  <w:footnote w:type="continuationSeparator" w:id="0">
    <w:p w14:paraId="781F35DA" w14:textId="77777777" w:rsidR="009D19A6" w:rsidRDefault="009D19A6" w:rsidP="00DA68A0">
      <w:pPr>
        <w:spacing w:after="0" w:line="240" w:lineRule="auto"/>
      </w:pPr>
      <w:r>
        <w:continuationSeparator/>
      </w:r>
    </w:p>
  </w:footnote>
  <w:footnote w:id="1">
    <w:p w14:paraId="559FBA31" w14:textId="77777777" w:rsidR="005B3169" w:rsidRPr="00481AAF" w:rsidRDefault="005B3169" w:rsidP="00DA68A0">
      <w:pPr>
        <w:spacing w:after="0" w:line="240"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6BB6CA28" w14:textId="77777777" w:rsidR="005B3169" w:rsidRDefault="005B3169" w:rsidP="00DA68A0">
      <w:pPr>
        <w:spacing w:after="0" w:line="240" w:lineRule="auto"/>
        <w:jc w:val="both"/>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09E94" w14:textId="77777777" w:rsidR="005B3169" w:rsidRDefault="00455C38">
    <w:pPr>
      <w:pStyle w:val="Encabezado"/>
    </w:pPr>
    <w:r>
      <w:rPr>
        <w:noProof/>
        <w:lang w:val="es-MX" w:eastAsia="es-MX"/>
      </w:rPr>
      <w:pict w14:anchorId="5E765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7" type="#_x0000_t75" alt="" style="position:absolute;margin-left:0;margin-top:0;width:736.5pt;height:960pt;z-index:-25165977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38837" w14:textId="69464D05" w:rsidR="005B3169" w:rsidRDefault="00455C38">
    <w:pPr>
      <w:pStyle w:val="Encabezado"/>
    </w:pPr>
    <w:r>
      <w:rPr>
        <w:noProof/>
        <w:lang w:val="es-MX" w:eastAsia="es-MX"/>
      </w:rPr>
      <w:pict w14:anchorId="7C0E3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alt="" style="position:absolute;margin-left:-85.05pt;margin-top:-130.2pt;width:642.4pt;height:837.35pt;z-index:-251658752;mso-wrap-edited:f;mso-width-percent:0;mso-height-percent:0;mso-position-horizontal-relative:margin;mso-position-vertical-relative:margin;mso-width-percent:0;mso-height-percent:0"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5B3169" w14:paraId="72EC0684" w14:textId="77777777" w:rsidTr="005B3169">
      <w:trPr>
        <w:trHeight w:val="227"/>
      </w:trPr>
      <w:tc>
        <w:tcPr>
          <w:tcW w:w="5949" w:type="dxa"/>
          <w:hideMark/>
        </w:tcPr>
        <w:p w14:paraId="770D9CD0" w14:textId="77777777" w:rsidR="005B3169" w:rsidRDefault="005B3169" w:rsidP="005B316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6045DAE9" w14:textId="414FDD44" w:rsidR="005B3169" w:rsidRPr="00B4142F" w:rsidRDefault="005B3169" w:rsidP="005B3169">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03295/INFOEM/IP/RR/2024</w:t>
          </w:r>
        </w:p>
      </w:tc>
    </w:tr>
    <w:tr w:rsidR="005B3169" w14:paraId="2758F76A" w14:textId="77777777" w:rsidTr="005B3169">
      <w:trPr>
        <w:trHeight w:val="242"/>
      </w:trPr>
      <w:tc>
        <w:tcPr>
          <w:tcW w:w="5949" w:type="dxa"/>
          <w:hideMark/>
        </w:tcPr>
        <w:p w14:paraId="63C2E90B" w14:textId="77777777" w:rsidR="005B3169" w:rsidRDefault="005B3169" w:rsidP="005B316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477324D6" w14:textId="6EBCBD7D" w:rsidR="005B3169" w:rsidRPr="005B65B0" w:rsidRDefault="005B3169" w:rsidP="005B3169">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Zumpango</w:t>
          </w:r>
        </w:p>
      </w:tc>
    </w:tr>
    <w:tr w:rsidR="005B3169" w14:paraId="5EE77B68" w14:textId="77777777" w:rsidTr="005B3169">
      <w:trPr>
        <w:trHeight w:val="342"/>
      </w:trPr>
      <w:tc>
        <w:tcPr>
          <w:tcW w:w="5949" w:type="dxa"/>
          <w:hideMark/>
        </w:tcPr>
        <w:p w14:paraId="1B1876E6" w14:textId="77777777" w:rsidR="005B3169" w:rsidRDefault="005B3169" w:rsidP="005B316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149623C8" w14:textId="77777777" w:rsidR="005B3169" w:rsidRDefault="005B3169" w:rsidP="005B3169">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7176371E" w14:textId="133EBF87" w:rsidR="005B3169" w:rsidRDefault="005B31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CB0F" w14:textId="48641195" w:rsidR="005B3169" w:rsidRDefault="00455C38">
    <w:pPr>
      <w:pStyle w:val="Encabezado"/>
    </w:pPr>
    <w:r>
      <w:rPr>
        <w:noProof/>
        <w:lang w:val="es-MX" w:eastAsia="es-MX"/>
      </w:rPr>
      <w:pict w14:anchorId="48B54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5" type="#_x0000_t75" alt="" style="position:absolute;margin-left:-85.2pt;margin-top:-152pt;width:647.9pt;height:844.5pt;z-index:-251657728;mso-wrap-edited:f;mso-width-percent:0;mso-height-percent:0;mso-position-horizontal-relative:margin;mso-position-vertical-relative:margin;mso-width-percent:0;mso-height-percent:0" o:allowincell="f">
          <v:imagedata r:id="rId1" o:title=""/>
          <w10:wrap anchorx="margin" anchory="margin"/>
        </v:shape>
      </w:pict>
    </w:r>
  </w:p>
  <w:tbl>
    <w:tblPr>
      <w:tblW w:w="9781" w:type="dxa"/>
      <w:tblLayout w:type="fixed"/>
      <w:tblCellMar>
        <w:left w:w="70" w:type="dxa"/>
        <w:right w:w="70" w:type="dxa"/>
      </w:tblCellMar>
      <w:tblLook w:val="04A0" w:firstRow="1" w:lastRow="0" w:firstColumn="1" w:lastColumn="0" w:noHBand="0" w:noVBand="1"/>
    </w:tblPr>
    <w:tblGrid>
      <w:gridCol w:w="5103"/>
      <w:gridCol w:w="4678"/>
    </w:tblGrid>
    <w:tr w:rsidR="005B3169" w:rsidRPr="00303CFF" w14:paraId="0BFFE637" w14:textId="77777777" w:rsidTr="005B3169">
      <w:trPr>
        <w:trHeight w:val="227"/>
      </w:trPr>
      <w:tc>
        <w:tcPr>
          <w:tcW w:w="5103" w:type="dxa"/>
          <w:hideMark/>
        </w:tcPr>
        <w:p w14:paraId="5330D8D0" w14:textId="77777777" w:rsidR="005B3169" w:rsidRPr="00303CFF" w:rsidRDefault="005B3169" w:rsidP="005B3169">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678" w:type="dxa"/>
          <w:hideMark/>
        </w:tcPr>
        <w:p w14:paraId="13FA7FA7" w14:textId="3F338E8C" w:rsidR="005B3169" w:rsidRPr="00303CFF" w:rsidRDefault="005B3169" w:rsidP="005B3169">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03295</w:t>
          </w:r>
          <w:r w:rsidRPr="00303CFF">
            <w:rPr>
              <w:rFonts w:ascii="Palatino Linotype" w:hAnsi="Palatino Linotype" w:cs="Arial"/>
              <w:b/>
              <w:bCs/>
              <w:sz w:val="24"/>
              <w:szCs w:val="24"/>
            </w:rPr>
            <w:t>/INFOEM/IP/RR/202</w:t>
          </w:r>
          <w:r>
            <w:rPr>
              <w:rFonts w:ascii="Palatino Linotype" w:hAnsi="Palatino Linotype" w:cs="Arial"/>
              <w:b/>
              <w:bCs/>
              <w:sz w:val="24"/>
              <w:szCs w:val="24"/>
            </w:rPr>
            <w:t>4</w:t>
          </w:r>
        </w:p>
      </w:tc>
    </w:tr>
    <w:tr w:rsidR="005B3169" w:rsidRPr="00303CFF" w14:paraId="07825E03" w14:textId="77777777" w:rsidTr="005B3169">
      <w:trPr>
        <w:trHeight w:val="227"/>
      </w:trPr>
      <w:tc>
        <w:tcPr>
          <w:tcW w:w="5103" w:type="dxa"/>
        </w:tcPr>
        <w:p w14:paraId="732F7676" w14:textId="77777777" w:rsidR="005B3169" w:rsidRPr="00303CFF" w:rsidRDefault="005B3169" w:rsidP="005B3169">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Recurrente</w:t>
          </w:r>
        </w:p>
      </w:tc>
      <w:tc>
        <w:tcPr>
          <w:tcW w:w="4678" w:type="dxa"/>
        </w:tcPr>
        <w:p w14:paraId="7EE08CB1" w14:textId="76D39BD8" w:rsidR="005B3169" w:rsidRDefault="003851AA" w:rsidP="005B3169">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XXXXXXXXXXXXXX</w:t>
          </w:r>
        </w:p>
      </w:tc>
    </w:tr>
    <w:tr w:rsidR="005B3169" w:rsidRPr="00303CFF" w14:paraId="3D648DD8" w14:textId="77777777" w:rsidTr="005B3169">
      <w:trPr>
        <w:trHeight w:val="242"/>
      </w:trPr>
      <w:tc>
        <w:tcPr>
          <w:tcW w:w="5103" w:type="dxa"/>
          <w:hideMark/>
        </w:tcPr>
        <w:p w14:paraId="2F5D485F" w14:textId="77777777" w:rsidR="005B3169" w:rsidRPr="00303CFF" w:rsidRDefault="005B3169" w:rsidP="005B3169">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678" w:type="dxa"/>
          <w:hideMark/>
        </w:tcPr>
        <w:p w14:paraId="28AE2F97" w14:textId="337AE71C" w:rsidR="005B3169" w:rsidRPr="005B65B0" w:rsidRDefault="005B3169" w:rsidP="005B3169">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Zumpango</w:t>
          </w:r>
        </w:p>
      </w:tc>
    </w:tr>
    <w:tr w:rsidR="005B3169" w:rsidRPr="00303CFF" w14:paraId="4025B07C" w14:textId="77777777" w:rsidTr="005B3169">
      <w:trPr>
        <w:trHeight w:val="342"/>
      </w:trPr>
      <w:tc>
        <w:tcPr>
          <w:tcW w:w="5103" w:type="dxa"/>
          <w:hideMark/>
        </w:tcPr>
        <w:p w14:paraId="55A27714" w14:textId="77777777" w:rsidR="005B3169" w:rsidRPr="00303CFF" w:rsidRDefault="005B3169" w:rsidP="005B3169">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678" w:type="dxa"/>
          <w:hideMark/>
        </w:tcPr>
        <w:p w14:paraId="54BF0B69" w14:textId="77777777" w:rsidR="005B3169" w:rsidRPr="00303CFF" w:rsidRDefault="005B3169" w:rsidP="005B3169">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00F049C3" w14:textId="22F9133F" w:rsidR="005B3169" w:rsidRDefault="005B31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A0"/>
    <w:rsid w:val="00210F94"/>
    <w:rsid w:val="00265B76"/>
    <w:rsid w:val="002746DC"/>
    <w:rsid w:val="00333B61"/>
    <w:rsid w:val="003851AA"/>
    <w:rsid w:val="003872B2"/>
    <w:rsid w:val="00455C38"/>
    <w:rsid w:val="004743B5"/>
    <w:rsid w:val="005B3169"/>
    <w:rsid w:val="00797396"/>
    <w:rsid w:val="007A6FC7"/>
    <w:rsid w:val="0080750B"/>
    <w:rsid w:val="009D19A6"/>
    <w:rsid w:val="00B30D03"/>
    <w:rsid w:val="00BF138C"/>
    <w:rsid w:val="00DA68A0"/>
    <w:rsid w:val="00EE4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E5D3"/>
  <w15:chartTrackingRefBased/>
  <w15:docId w15:val="{A8E8D598-D0E5-47A0-81E0-63505EB1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A0"/>
    <w:pPr>
      <w:spacing w:line="259" w:lineRule="auto"/>
    </w:pPr>
    <w:rPr>
      <w:kern w:val="0"/>
      <w:sz w:val="22"/>
      <w:szCs w:val="22"/>
      <w14:ligatures w14:val="none"/>
    </w:rPr>
  </w:style>
  <w:style w:type="paragraph" w:styleId="Ttulo1">
    <w:name w:val="heading 1"/>
    <w:basedOn w:val="Normal"/>
    <w:next w:val="Normal"/>
    <w:link w:val="Ttulo1Car"/>
    <w:uiPriority w:val="9"/>
    <w:qFormat/>
    <w:rsid w:val="00DA6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6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68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68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68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68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68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68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68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8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68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68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68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68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68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68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68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68A0"/>
    <w:rPr>
      <w:rFonts w:eastAsiaTheme="majorEastAsia" w:cstheme="majorBidi"/>
      <w:color w:val="272727" w:themeColor="text1" w:themeTint="D8"/>
    </w:rPr>
  </w:style>
  <w:style w:type="paragraph" w:styleId="Puesto">
    <w:name w:val="Title"/>
    <w:basedOn w:val="Normal"/>
    <w:next w:val="Normal"/>
    <w:link w:val="PuestoCar"/>
    <w:uiPriority w:val="10"/>
    <w:qFormat/>
    <w:rsid w:val="00DA6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A68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68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68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8A0"/>
    <w:pPr>
      <w:spacing w:before="160"/>
      <w:jc w:val="center"/>
    </w:pPr>
    <w:rPr>
      <w:i/>
      <w:iCs/>
      <w:color w:val="404040" w:themeColor="text1" w:themeTint="BF"/>
    </w:rPr>
  </w:style>
  <w:style w:type="character" w:customStyle="1" w:styleId="CitaCar">
    <w:name w:val="Cita Car"/>
    <w:basedOn w:val="Fuentedeprrafopredeter"/>
    <w:link w:val="Cita"/>
    <w:uiPriority w:val="29"/>
    <w:rsid w:val="00DA68A0"/>
    <w:rPr>
      <w:i/>
      <w:iCs/>
      <w:color w:val="404040" w:themeColor="text1" w:themeTint="BF"/>
    </w:rPr>
  </w:style>
  <w:style w:type="paragraph" w:styleId="Prrafodelista">
    <w:name w:val="List Paragraph"/>
    <w:basedOn w:val="Normal"/>
    <w:uiPriority w:val="34"/>
    <w:qFormat/>
    <w:rsid w:val="00DA68A0"/>
    <w:pPr>
      <w:ind w:left="720"/>
      <w:contextualSpacing/>
    </w:pPr>
  </w:style>
  <w:style w:type="character" w:styleId="nfasisintenso">
    <w:name w:val="Intense Emphasis"/>
    <w:basedOn w:val="Fuentedeprrafopredeter"/>
    <w:uiPriority w:val="21"/>
    <w:qFormat/>
    <w:rsid w:val="00DA68A0"/>
    <w:rPr>
      <w:i/>
      <w:iCs/>
      <w:color w:val="0F4761" w:themeColor="accent1" w:themeShade="BF"/>
    </w:rPr>
  </w:style>
  <w:style w:type="paragraph" w:styleId="Citadestacada">
    <w:name w:val="Intense Quote"/>
    <w:basedOn w:val="Normal"/>
    <w:next w:val="Normal"/>
    <w:link w:val="CitadestacadaCar"/>
    <w:uiPriority w:val="30"/>
    <w:qFormat/>
    <w:rsid w:val="00DA6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8A0"/>
    <w:rPr>
      <w:i/>
      <w:iCs/>
      <w:color w:val="0F4761" w:themeColor="accent1" w:themeShade="BF"/>
    </w:rPr>
  </w:style>
  <w:style w:type="character" w:styleId="Referenciaintensa">
    <w:name w:val="Intense Reference"/>
    <w:basedOn w:val="Fuentedeprrafopredeter"/>
    <w:uiPriority w:val="32"/>
    <w:qFormat/>
    <w:rsid w:val="00DA68A0"/>
    <w:rPr>
      <w:b/>
      <w:bCs/>
      <w:smallCaps/>
      <w:color w:val="0F4761" w:themeColor="accent1" w:themeShade="BF"/>
      <w:spacing w:val="5"/>
    </w:rPr>
  </w:style>
  <w:style w:type="paragraph" w:styleId="Encabezado">
    <w:name w:val="header"/>
    <w:basedOn w:val="Normal"/>
    <w:link w:val="EncabezadoCar"/>
    <w:uiPriority w:val="99"/>
    <w:unhideWhenUsed/>
    <w:rsid w:val="00DA68A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A68A0"/>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DA68A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A68A0"/>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DA68A0"/>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A68A0"/>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DA68A0"/>
    <w:rPr>
      <w:rFonts w:cs="Times New Roman"/>
      <w:color w:val="467886" w:themeColor="hyperlink"/>
      <w:u w:val="single"/>
    </w:rPr>
  </w:style>
  <w:style w:type="paragraph" w:styleId="Textodeglobo">
    <w:name w:val="Balloon Text"/>
    <w:basedOn w:val="Normal"/>
    <w:link w:val="TextodegloboCar"/>
    <w:uiPriority w:val="99"/>
    <w:semiHidden/>
    <w:unhideWhenUsed/>
    <w:rsid w:val="00EE45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454B"/>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EE454B"/>
    <w:rPr>
      <w:sz w:val="16"/>
      <w:szCs w:val="16"/>
    </w:rPr>
  </w:style>
  <w:style w:type="paragraph" w:styleId="Textocomentario">
    <w:name w:val="annotation text"/>
    <w:basedOn w:val="Normal"/>
    <w:link w:val="TextocomentarioCar"/>
    <w:uiPriority w:val="99"/>
    <w:semiHidden/>
    <w:unhideWhenUsed/>
    <w:rsid w:val="00EE45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454B"/>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E454B"/>
    <w:rPr>
      <w:b/>
      <w:bCs/>
    </w:rPr>
  </w:style>
  <w:style w:type="character" w:customStyle="1" w:styleId="AsuntodelcomentarioCar">
    <w:name w:val="Asunto del comentario Car"/>
    <w:basedOn w:val="TextocomentarioCar"/>
    <w:link w:val="Asuntodelcomentario"/>
    <w:uiPriority w:val="99"/>
    <w:semiHidden/>
    <w:rsid w:val="00EE454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7935</Words>
  <Characters>43646</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6</cp:revision>
  <dcterms:created xsi:type="dcterms:W3CDTF">2024-06-20T15:43:00Z</dcterms:created>
  <dcterms:modified xsi:type="dcterms:W3CDTF">2024-07-11T17:11:00Z</dcterms:modified>
</cp:coreProperties>
</file>