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81264" w14:textId="77777777" w:rsidR="00220300" w:rsidRPr="009D47A2" w:rsidRDefault="00C876FB">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9D47A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septiembre de dos mil veinticuatro. </w:t>
      </w:r>
    </w:p>
    <w:p w14:paraId="78C64A5C"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b/>
        </w:rPr>
        <w:t>VISTO</w:t>
      </w:r>
      <w:r w:rsidRPr="009D47A2">
        <w:rPr>
          <w:rFonts w:ascii="Palatino Linotype" w:eastAsia="Palatino Linotype" w:hAnsi="Palatino Linotype" w:cs="Palatino Linotype"/>
        </w:rPr>
        <w:t xml:space="preserve"> el expediente formado con motivo del recurso de revisión </w:t>
      </w:r>
      <w:r w:rsidRPr="009D47A2">
        <w:rPr>
          <w:rFonts w:ascii="Palatino Linotype" w:eastAsia="Palatino Linotype" w:hAnsi="Palatino Linotype" w:cs="Palatino Linotype"/>
          <w:b/>
        </w:rPr>
        <w:t>03559/INFOEM/IP/RR/2024</w:t>
      </w:r>
      <w:r w:rsidRPr="009D47A2">
        <w:rPr>
          <w:rFonts w:ascii="Palatino Linotype" w:eastAsia="Palatino Linotype" w:hAnsi="Palatino Linotype" w:cs="Palatino Linotype"/>
        </w:rPr>
        <w:t>, interpuesto por</w:t>
      </w:r>
      <w:r w:rsidRPr="009D47A2">
        <w:rPr>
          <w:rFonts w:ascii="Palatino Linotype" w:eastAsia="Palatino Linotype" w:hAnsi="Palatino Linotype" w:cs="Palatino Linotype"/>
          <w:b/>
        </w:rPr>
        <w:t xml:space="preserve"> un particular que no proporcionó su nombre</w:t>
      </w:r>
      <w:r w:rsidRPr="009D47A2">
        <w:rPr>
          <w:rFonts w:ascii="Palatino Linotype" w:eastAsia="Palatino Linotype" w:hAnsi="Palatino Linotype" w:cs="Palatino Linotype"/>
        </w:rPr>
        <w:t xml:space="preserve">, en lo sucesivo la parte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xml:space="preserve"> en contra de la respuesta a su solicitud de información con número de folio</w:t>
      </w:r>
      <w:r w:rsidRPr="009D47A2">
        <w:rPr>
          <w:rFonts w:ascii="Palatino Linotype" w:eastAsia="Palatino Linotype" w:hAnsi="Palatino Linotype" w:cs="Palatino Linotype"/>
          <w:b/>
        </w:rPr>
        <w:t xml:space="preserve"> 00225/TRIJAEM/IP/2024, </w:t>
      </w:r>
      <w:r w:rsidRPr="009D47A2">
        <w:rPr>
          <w:rFonts w:ascii="Palatino Linotype" w:eastAsia="Palatino Linotype" w:hAnsi="Palatino Linotype" w:cs="Palatino Linotype"/>
        </w:rPr>
        <w:t xml:space="preserve">por parte del </w:t>
      </w:r>
      <w:r w:rsidRPr="009D47A2">
        <w:rPr>
          <w:rFonts w:ascii="Palatino Linotype" w:eastAsia="Palatino Linotype" w:hAnsi="Palatino Linotype" w:cs="Palatino Linotype"/>
          <w:b/>
        </w:rPr>
        <w:t xml:space="preserve">Tribunal de Justicia Administrativa del Estado de México, </w:t>
      </w:r>
      <w:r w:rsidRPr="009D47A2">
        <w:rPr>
          <w:rFonts w:ascii="Palatino Linotype" w:eastAsia="Palatino Linotype" w:hAnsi="Palatino Linotype" w:cs="Palatino Linotype"/>
        </w:rPr>
        <w:t xml:space="preserve">en lo sucesivo el </w:t>
      </w:r>
      <w:r w:rsidRPr="009D47A2">
        <w:rPr>
          <w:rFonts w:ascii="Palatino Linotype" w:eastAsia="Palatino Linotype" w:hAnsi="Palatino Linotype" w:cs="Palatino Linotype"/>
          <w:b/>
        </w:rPr>
        <w:t xml:space="preserve">SUJETO OBLIGADO, </w:t>
      </w:r>
      <w:r w:rsidRPr="009D47A2">
        <w:rPr>
          <w:rFonts w:ascii="Palatino Linotype" w:eastAsia="Palatino Linotype" w:hAnsi="Palatino Linotype" w:cs="Palatino Linotype"/>
        </w:rPr>
        <w:t xml:space="preserve">se procede a dictar la presente resolución con base en los siguientes: </w:t>
      </w:r>
    </w:p>
    <w:p w14:paraId="6A1FA8ED" w14:textId="77777777" w:rsidR="00220300" w:rsidRPr="009D47A2" w:rsidRDefault="00C876FB">
      <w:pPr>
        <w:spacing w:before="240" w:after="240" w:line="360" w:lineRule="auto"/>
        <w:jc w:val="center"/>
        <w:rPr>
          <w:rFonts w:ascii="Palatino Linotype" w:eastAsia="Palatino Linotype" w:hAnsi="Palatino Linotype" w:cs="Palatino Linotype"/>
          <w:b/>
        </w:rPr>
      </w:pPr>
      <w:r w:rsidRPr="009D47A2">
        <w:rPr>
          <w:rFonts w:ascii="Palatino Linotype" w:eastAsia="Palatino Linotype" w:hAnsi="Palatino Linotype" w:cs="Palatino Linotype"/>
          <w:b/>
        </w:rPr>
        <w:t>I. A N T E C E D E N T E S</w:t>
      </w:r>
    </w:p>
    <w:p w14:paraId="5BA06F87"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b/>
        </w:rPr>
        <w:t>1. Solicitud de acceso a la información.</w:t>
      </w:r>
      <w:r w:rsidRPr="009D47A2">
        <w:rPr>
          <w:rFonts w:ascii="Palatino Linotype" w:eastAsia="Palatino Linotype" w:hAnsi="Palatino Linotype" w:cs="Palatino Linotype"/>
        </w:rPr>
        <w:t xml:space="preserve"> Con fecha </w:t>
      </w:r>
      <w:r w:rsidRPr="009D47A2">
        <w:rPr>
          <w:rFonts w:ascii="Palatino Linotype" w:eastAsia="Palatino Linotype" w:hAnsi="Palatino Linotype" w:cs="Palatino Linotype"/>
          <w:b/>
        </w:rPr>
        <w:t>quince de mayo de dos mil veinticuatro,</w:t>
      </w:r>
      <w:r w:rsidRPr="009D47A2">
        <w:rPr>
          <w:rFonts w:ascii="Palatino Linotype" w:eastAsia="Palatino Linotype" w:hAnsi="Palatino Linotype" w:cs="Palatino Linotype"/>
        </w:rPr>
        <w:t xml:space="preserve"> la parte </w:t>
      </w:r>
      <w:r w:rsidRPr="009D47A2">
        <w:rPr>
          <w:rFonts w:ascii="Palatino Linotype" w:eastAsia="Palatino Linotype" w:hAnsi="Palatino Linotype" w:cs="Palatino Linotype"/>
          <w:b/>
        </w:rPr>
        <w:t xml:space="preserve">RECURRENTE </w:t>
      </w:r>
      <w:r w:rsidRPr="009D47A2">
        <w:rPr>
          <w:rFonts w:ascii="Palatino Linotype" w:eastAsia="Palatino Linotype" w:hAnsi="Palatino Linotype" w:cs="Palatino Linotype"/>
        </w:rPr>
        <w:t xml:space="preserve">presentó, a través del Sistema de Acceso a la Información Mexiquense, en lo subsecuente el </w:t>
      </w:r>
      <w:r w:rsidRPr="009D47A2">
        <w:rPr>
          <w:rFonts w:ascii="Palatino Linotype" w:eastAsia="Palatino Linotype" w:hAnsi="Palatino Linotype" w:cs="Palatino Linotype"/>
          <w:b/>
        </w:rPr>
        <w:t>SAIMEX,</w:t>
      </w:r>
      <w:r w:rsidRPr="009D47A2">
        <w:rPr>
          <w:rFonts w:ascii="Palatino Linotype" w:eastAsia="Palatino Linotype" w:hAnsi="Palatino Linotype" w:cs="Palatino Linotype"/>
        </w:rPr>
        <w:t xml:space="preserve"> ante 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la solicitud de acceso a la información pública, a la que se le asignó el número</w:t>
      </w:r>
      <w:r w:rsidRPr="009D47A2">
        <w:rPr>
          <w:rFonts w:ascii="Palatino Linotype" w:eastAsia="Palatino Linotype" w:hAnsi="Palatino Linotype" w:cs="Palatino Linotype"/>
          <w:b/>
        </w:rPr>
        <w:t xml:space="preserve"> 00225/TRIJAEM/IP/2024, </w:t>
      </w:r>
      <w:r w:rsidRPr="009D47A2">
        <w:rPr>
          <w:rFonts w:ascii="Palatino Linotype" w:eastAsia="Palatino Linotype" w:hAnsi="Palatino Linotype" w:cs="Palatino Linotype"/>
        </w:rPr>
        <w:t xml:space="preserve">mediante la cual requirió la información siguiente: </w:t>
      </w:r>
    </w:p>
    <w:p w14:paraId="34E3694E" w14:textId="77777777" w:rsidR="00220300" w:rsidRPr="009D47A2" w:rsidRDefault="00C876FB">
      <w:pPr>
        <w:tabs>
          <w:tab w:val="left" w:pos="3808"/>
        </w:tabs>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9D47A2">
        <w:rPr>
          <w:rFonts w:ascii="Palatino Linotype" w:eastAsia="Palatino Linotype" w:hAnsi="Palatino Linotype" w:cs="Palatino Linotype"/>
          <w:i/>
          <w:sz w:val="22"/>
          <w:szCs w:val="22"/>
        </w:rPr>
        <w:t xml:space="preserve">“Solicito saber cuántos prestadores de servicio social y practicantes se tienen en la actualidad, así como las cartas de aceptación de todos ellos o el documento que se genere. cuántos prestadores y practicantes </w:t>
      </w:r>
      <w:proofErr w:type="gramStart"/>
      <w:r w:rsidRPr="009D47A2">
        <w:rPr>
          <w:rFonts w:ascii="Palatino Linotype" w:eastAsia="Palatino Linotype" w:hAnsi="Palatino Linotype" w:cs="Palatino Linotype"/>
          <w:i/>
          <w:sz w:val="22"/>
          <w:szCs w:val="22"/>
        </w:rPr>
        <w:t>ha</w:t>
      </w:r>
      <w:proofErr w:type="gramEnd"/>
      <w:r w:rsidRPr="009D47A2">
        <w:rPr>
          <w:rFonts w:ascii="Palatino Linotype" w:eastAsia="Palatino Linotype" w:hAnsi="Palatino Linotype" w:cs="Palatino Linotype"/>
          <w:i/>
          <w:sz w:val="22"/>
          <w:szCs w:val="22"/>
        </w:rPr>
        <w:t xml:space="preserve"> tenido el Instituto de Justicia Administrativa y todas las unidades administrativas durante este año, especificando aquellos que han iniciado, están desarrollando actividades o han concluido este año. cómo se integra un expediente. los oficios emitidos por el </w:t>
      </w:r>
      <w:r w:rsidRPr="009D47A2">
        <w:rPr>
          <w:rFonts w:ascii="Palatino Linotype" w:eastAsia="Palatino Linotype" w:hAnsi="Palatino Linotype" w:cs="Palatino Linotype"/>
          <w:i/>
          <w:sz w:val="22"/>
          <w:szCs w:val="22"/>
        </w:rPr>
        <w:lastRenderedPageBreak/>
        <w:t>instituto durante este año respecto a los prestadores y practicantes, y quiénes son los servidores públicos responsables del instituto de justicia administrativa de la organización, dar información y asignación de los prestadores y practicantes, aparte de la directora, y bajo qué atribuciones realizan esta función y ordenamiento legal que así lo establece Cuentan con listas de asistencia conforme a los lineamientos establecidos o cómo realizan la comprobación de horas conforme a los lineamientos para estos fines” (Sic)</w:t>
      </w:r>
    </w:p>
    <w:p w14:paraId="134BB852" w14:textId="77777777" w:rsidR="00220300" w:rsidRPr="009D47A2" w:rsidRDefault="00220300">
      <w:pPr>
        <w:spacing w:before="240"/>
        <w:ind w:left="851" w:right="902"/>
        <w:jc w:val="both"/>
        <w:rPr>
          <w:rFonts w:ascii="Palatino Linotype" w:eastAsia="Palatino Linotype" w:hAnsi="Palatino Linotype" w:cs="Palatino Linotype"/>
          <w:i/>
          <w:sz w:val="22"/>
          <w:szCs w:val="22"/>
        </w:rPr>
      </w:pPr>
    </w:p>
    <w:p w14:paraId="5AEAD33E"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b/>
        </w:rPr>
        <w:t>Modalidad de Entrega:</w:t>
      </w:r>
      <w:r w:rsidRPr="009D47A2">
        <w:rPr>
          <w:rFonts w:ascii="Palatino Linotype" w:eastAsia="Palatino Linotype" w:hAnsi="Palatino Linotype" w:cs="Palatino Linotype"/>
        </w:rPr>
        <w:t xml:space="preserve"> A través de SAIMEX.</w:t>
      </w:r>
    </w:p>
    <w:p w14:paraId="7DB6C6DD" w14:textId="77777777" w:rsidR="00220300" w:rsidRPr="009D47A2" w:rsidRDefault="00220300">
      <w:pPr>
        <w:spacing w:line="360" w:lineRule="auto"/>
        <w:jc w:val="both"/>
        <w:rPr>
          <w:rFonts w:ascii="Palatino Linotype" w:eastAsia="Palatino Linotype" w:hAnsi="Palatino Linotype" w:cs="Palatino Linotype"/>
        </w:rPr>
      </w:pPr>
    </w:p>
    <w:p w14:paraId="67F80837" w14:textId="77777777" w:rsidR="00220300" w:rsidRPr="009D47A2" w:rsidRDefault="00C876FB">
      <w:pPr>
        <w:spacing w:after="240" w:line="360" w:lineRule="auto"/>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rPr>
        <w:t xml:space="preserve">2. Respuesta. </w:t>
      </w:r>
      <w:r w:rsidRPr="009D47A2">
        <w:rPr>
          <w:rFonts w:ascii="Palatino Linotype" w:eastAsia="Palatino Linotype" w:hAnsi="Palatino Linotype" w:cs="Palatino Linotype"/>
        </w:rPr>
        <w:t xml:space="preserve">Con fecha </w:t>
      </w:r>
      <w:r w:rsidRPr="009D47A2">
        <w:rPr>
          <w:rFonts w:ascii="Palatino Linotype" w:eastAsia="Palatino Linotype" w:hAnsi="Palatino Linotype" w:cs="Palatino Linotype"/>
          <w:b/>
        </w:rPr>
        <w:t>tres de junio de dos mil veinticuatro</w:t>
      </w:r>
      <w:r w:rsidRPr="009D47A2">
        <w:rPr>
          <w:rFonts w:ascii="Palatino Linotype" w:eastAsia="Palatino Linotype" w:hAnsi="Palatino Linotype" w:cs="Palatino Linotype"/>
        </w:rPr>
        <w:t xml:space="preserve">, el </w:t>
      </w:r>
      <w:r w:rsidRPr="009D47A2">
        <w:rPr>
          <w:rFonts w:ascii="Palatino Linotype" w:eastAsia="Palatino Linotype" w:hAnsi="Palatino Linotype" w:cs="Palatino Linotype"/>
          <w:b/>
        </w:rPr>
        <w:t xml:space="preserve">SUJETO OBLIGADO </w:t>
      </w:r>
      <w:r w:rsidRPr="009D47A2">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9D47A2">
        <w:rPr>
          <w:rFonts w:ascii="Palatino Linotype" w:eastAsia="Palatino Linotype" w:hAnsi="Palatino Linotype" w:cs="Palatino Linotype"/>
          <w:i/>
          <w:sz w:val="22"/>
          <w:szCs w:val="22"/>
        </w:rPr>
        <w:t xml:space="preserve">  </w:t>
      </w:r>
    </w:p>
    <w:p w14:paraId="31601074" w14:textId="77777777" w:rsidR="00220300" w:rsidRPr="009D47A2" w:rsidRDefault="00220300">
      <w:pPr>
        <w:spacing w:line="360" w:lineRule="auto"/>
        <w:jc w:val="both"/>
        <w:rPr>
          <w:rFonts w:ascii="Palatino Linotype" w:eastAsia="Palatino Linotype" w:hAnsi="Palatino Linotype" w:cs="Palatino Linotype"/>
          <w:b/>
        </w:rPr>
      </w:pPr>
    </w:p>
    <w:p w14:paraId="4D641040" w14:textId="77777777" w:rsidR="00220300" w:rsidRPr="009D47A2" w:rsidRDefault="00C876FB">
      <w:pPr>
        <w:ind w:left="851" w:right="902"/>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“Se notifica respuesta” (Sic)</w:t>
      </w:r>
    </w:p>
    <w:p w14:paraId="12D0467D" w14:textId="77777777" w:rsidR="00220300" w:rsidRPr="009D47A2" w:rsidRDefault="00220300">
      <w:pPr>
        <w:spacing w:after="240" w:line="360" w:lineRule="auto"/>
        <w:jc w:val="both"/>
        <w:rPr>
          <w:rFonts w:ascii="Palatino Linotype" w:eastAsia="Palatino Linotype" w:hAnsi="Palatino Linotype" w:cs="Palatino Linotype"/>
        </w:rPr>
      </w:pPr>
    </w:p>
    <w:p w14:paraId="5B2CD7B7"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adjuntó los siguientes archivos electrónicos:</w:t>
      </w:r>
    </w:p>
    <w:p w14:paraId="625C6B0F"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w:t>
      </w:r>
      <w:hyperlink r:id="rId8">
        <w:r w:rsidRPr="009D47A2">
          <w:rPr>
            <w:rFonts w:ascii="Palatino Linotype" w:eastAsia="Palatino Linotype" w:hAnsi="Palatino Linotype" w:cs="Palatino Linotype"/>
          </w:rPr>
          <w:t>09_CUADRO DE TESTADO.pdf</w:t>
        </w:r>
      </w:hyperlink>
      <w:r w:rsidRPr="009D47A2">
        <w:rPr>
          <w:rFonts w:ascii="Palatino Linotype" w:eastAsia="Palatino Linotype" w:hAnsi="Palatino Linotype" w:cs="Palatino Linotype"/>
        </w:rPr>
        <w:t>”, el cual contiene el cuadro de clasificación, respecto de la información que se testo en las cartas de aceptación y oficios, constante de seis fojas.</w:t>
      </w:r>
    </w:p>
    <w:p w14:paraId="0E8407A7"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w:t>
      </w:r>
      <w:hyperlink r:id="rId9">
        <w:r w:rsidRPr="009D47A2">
          <w:rPr>
            <w:rFonts w:ascii="Palatino Linotype" w:eastAsia="Palatino Linotype" w:hAnsi="Palatino Linotype" w:cs="Palatino Linotype"/>
          </w:rPr>
          <w:t>TRIJAEM_IJA_525_2024.pdf</w:t>
        </w:r>
      </w:hyperlink>
      <w:r w:rsidRPr="009D47A2">
        <w:rPr>
          <w:rFonts w:ascii="Palatino Linotype" w:eastAsia="Palatino Linotype" w:hAnsi="Palatino Linotype" w:cs="Palatino Linotype"/>
        </w:rPr>
        <w:t>”, el cual contiene la respuesta de la Directora del Instituto de Justicia Administrativa, el cual versa en lo siguiente:</w:t>
      </w:r>
    </w:p>
    <w:p w14:paraId="7A26460A"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noProof/>
          <w:lang w:val="es-MX"/>
        </w:rPr>
        <w:lastRenderedPageBreak/>
        <w:drawing>
          <wp:inline distT="0" distB="0" distL="0" distR="0" wp14:anchorId="09D585C0" wp14:editId="5F78CA09">
            <wp:extent cx="5496692" cy="1438476"/>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96692" cy="1438476"/>
                    </a:xfrm>
                    <a:prstGeom prst="rect">
                      <a:avLst/>
                    </a:prstGeom>
                    <a:ln/>
                  </pic:spPr>
                </pic:pic>
              </a:graphicData>
            </a:graphic>
          </wp:inline>
        </w:drawing>
      </w:r>
    </w:p>
    <w:p w14:paraId="2959EC90"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noProof/>
          <w:lang w:val="es-MX"/>
        </w:rPr>
        <w:drawing>
          <wp:inline distT="0" distB="0" distL="0" distR="0" wp14:anchorId="37EBB511" wp14:editId="688E1DB9">
            <wp:extent cx="5612130" cy="5384800"/>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612130" cy="5384800"/>
                    </a:xfrm>
                    <a:prstGeom prst="rect">
                      <a:avLst/>
                    </a:prstGeom>
                    <a:ln/>
                  </pic:spPr>
                </pic:pic>
              </a:graphicData>
            </a:graphic>
          </wp:inline>
        </w:drawing>
      </w:r>
    </w:p>
    <w:p w14:paraId="79D51E9C"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noProof/>
          <w:lang w:val="es-MX"/>
        </w:rPr>
        <w:lastRenderedPageBreak/>
        <w:drawing>
          <wp:inline distT="0" distB="0" distL="0" distR="0" wp14:anchorId="2F17262A" wp14:editId="261FD893">
            <wp:extent cx="5612130" cy="6705600"/>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612130" cy="6705600"/>
                    </a:xfrm>
                    <a:prstGeom prst="rect">
                      <a:avLst/>
                    </a:prstGeom>
                    <a:ln/>
                  </pic:spPr>
                </pic:pic>
              </a:graphicData>
            </a:graphic>
          </wp:inline>
        </w:drawing>
      </w:r>
    </w:p>
    <w:p w14:paraId="00043FC3" w14:textId="77777777" w:rsidR="00220300" w:rsidRPr="009D47A2" w:rsidRDefault="00220300">
      <w:pPr>
        <w:spacing w:after="240" w:line="360" w:lineRule="auto"/>
        <w:jc w:val="both"/>
        <w:rPr>
          <w:rFonts w:ascii="Palatino Linotype" w:eastAsia="Palatino Linotype" w:hAnsi="Palatino Linotype" w:cs="Palatino Linotype"/>
        </w:rPr>
      </w:pPr>
    </w:p>
    <w:p w14:paraId="3E0EBD55"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noProof/>
          <w:lang w:val="es-MX"/>
        </w:rPr>
        <w:lastRenderedPageBreak/>
        <w:drawing>
          <wp:inline distT="0" distB="0" distL="0" distR="0" wp14:anchorId="2EC44589" wp14:editId="3AAC7335">
            <wp:extent cx="5572903" cy="4610743"/>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572903" cy="4610743"/>
                    </a:xfrm>
                    <a:prstGeom prst="rect">
                      <a:avLst/>
                    </a:prstGeom>
                    <a:ln/>
                  </pic:spPr>
                </pic:pic>
              </a:graphicData>
            </a:graphic>
          </wp:inline>
        </w:drawing>
      </w:r>
    </w:p>
    <w:p w14:paraId="56824723"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w:t>
      </w:r>
      <w:hyperlink r:id="rId14">
        <w:r w:rsidRPr="009D47A2">
          <w:rPr>
            <w:rFonts w:ascii="Palatino Linotype" w:eastAsia="Palatino Linotype" w:hAnsi="Palatino Linotype" w:cs="Palatino Linotype"/>
          </w:rPr>
          <w:t>ACTA DE LA 15 EXTRAORDINARIA.pdf</w:t>
        </w:r>
      </w:hyperlink>
      <w:r w:rsidRPr="009D47A2">
        <w:rPr>
          <w:rFonts w:ascii="Palatino Linotype" w:eastAsia="Palatino Linotype" w:hAnsi="Palatino Linotype" w:cs="Palatino Linotype"/>
        </w:rPr>
        <w:t>”, el cual contiene el Acta de la Décima Quinta Sesión Extraordinaria del Comité de Transparencia del Tribunal de Justicia Administrativa del Estado de México, por medio del cual se aprobó la propuesta de clasificación de la información como confidencial respecto de la información requerida en la solicitud 00225/TRIJAEM/IP/2024, mediante el acuerdo número TJAEM/CT/II/EXT -15/2024</w:t>
      </w:r>
      <w:r w:rsidRPr="009D47A2">
        <w:t>.</w:t>
      </w:r>
    </w:p>
    <w:p w14:paraId="5EEFE893"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lastRenderedPageBreak/>
        <w:t>“</w:t>
      </w:r>
      <w:hyperlink r:id="rId15">
        <w:r w:rsidRPr="009D47A2">
          <w:rPr>
            <w:rFonts w:ascii="Palatino Linotype" w:eastAsia="Palatino Linotype" w:hAnsi="Palatino Linotype" w:cs="Palatino Linotype"/>
          </w:rPr>
          <w:t>ACUERDO II SOLICITUD 225 V.P.pdf</w:t>
        </w:r>
      </w:hyperlink>
      <w:r w:rsidRPr="009D47A2">
        <w:rPr>
          <w:rFonts w:ascii="Palatino Linotype" w:eastAsia="Palatino Linotype" w:hAnsi="Palatino Linotype" w:cs="Palatino Linotype"/>
        </w:rPr>
        <w:t xml:space="preserve">”, el cual contiene el acuerdo número TJAEM/CT/II/EXT -15/2024, mediante el cual se aprueba la clasificación de la información como confidencial para la elaboración de la versión pública relativa a la solicitud de acceso a la información identificada con número de folio 00225/TRIJAEM/IP/2024, constante de 10 fojas. </w:t>
      </w:r>
    </w:p>
    <w:p w14:paraId="34BA2798"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w:t>
      </w:r>
      <w:hyperlink r:id="rId16">
        <w:r w:rsidRPr="009D47A2">
          <w:rPr>
            <w:rFonts w:ascii="Palatino Linotype" w:eastAsia="Palatino Linotype" w:hAnsi="Palatino Linotype" w:cs="Palatino Linotype"/>
          </w:rPr>
          <w:t>11_IJA_CA_2024 - TESTADO - FOLIADO - LEYENDA_II.pdf</w:t>
        </w:r>
      </w:hyperlink>
      <w:r w:rsidRPr="009D47A2">
        <w:rPr>
          <w:rFonts w:ascii="Palatino Linotype" w:eastAsia="Palatino Linotype" w:hAnsi="Palatino Linotype" w:cs="Palatino Linotype"/>
        </w:rPr>
        <w:t>”, el cual contiene 389 fojas:</w:t>
      </w:r>
    </w:p>
    <w:p w14:paraId="648DC40A"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De las cuales se conforma de lo siguiente:</w:t>
      </w:r>
    </w:p>
    <w:p w14:paraId="2DA69AF6"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-Cartas de aceptación para realizar el servicio social y listas de asistencia de los prestadores de servicios social, en versión pública. </w:t>
      </w:r>
    </w:p>
    <w:p w14:paraId="6B939559"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-Contiene diversos oficios por medio del cual la Directora del Instituto de Justicia Administrativa, remitió a los Titulares de las áreas del Tribunal de Justicia Administrativa del Estado de México, el estatus de las personas estudiantes de servicio social, practicantes profesionales y/o practicantes escolares, asignadas a diversas áreas del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asimismo anexo las listas de asistencia que se estipula en el artículo 12 de los Lineamientos para el ingreso, permanencia y conclusión de las actividades los prestadores de servicio social, practicantes profesionales y/o practicantes escolares en el Tribunal de Justicia Administrativa del Estado de México. </w:t>
      </w:r>
    </w:p>
    <w:p w14:paraId="17D56A33"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 Contiene diversos oficios por medio del cual el Instituto de Justicia Administrativa, informa a diferentes áreas del Tribunal de Justicia Administrativa del Estado de </w:t>
      </w:r>
      <w:r w:rsidRPr="009D47A2">
        <w:rPr>
          <w:rFonts w:ascii="Palatino Linotype" w:eastAsia="Palatino Linotype" w:hAnsi="Palatino Linotype" w:cs="Palatino Linotype"/>
        </w:rPr>
        <w:lastRenderedPageBreak/>
        <w:t xml:space="preserve">México, sobre el calendario de asesorías para los prestadores de servicio social, prácticas profesionales y practicantes escolares, de manera virtual, proporcionándoles el link, código de acceso y QR, los cuales fueron testados. </w:t>
      </w:r>
    </w:p>
    <w:p w14:paraId="7157EB89"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-Oficio número TRIJAEM-IJA-368/2024, por medio del cual la Directora del Instituto de Justicia Administrativa, remitió al Presidente de la Junta de Gobierno y Administración del TRIJAEM, la estadística de las personas estudiantes que prestan servicio social, practicantes profesionales y/o practicantes escolares, anexando el desglose por unidad administrativa señalando el nombre completo, el cual fue testado. </w:t>
      </w:r>
    </w:p>
    <w:p w14:paraId="54F3CBC6" w14:textId="77777777" w:rsidR="00220300" w:rsidRPr="009D47A2" w:rsidRDefault="00C876FB">
      <w:pPr>
        <w:spacing w:before="240" w:after="240" w:line="360" w:lineRule="auto"/>
        <w:ind w:right="49"/>
        <w:jc w:val="both"/>
        <w:rPr>
          <w:rFonts w:ascii="Palatino Linotype" w:eastAsia="Palatino Linotype" w:hAnsi="Palatino Linotype" w:cs="Palatino Linotype"/>
        </w:rPr>
      </w:pPr>
      <w:r w:rsidRPr="009D47A2">
        <w:rPr>
          <w:rFonts w:ascii="Palatino Linotype" w:eastAsia="Palatino Linotype" w:hAnsi="Palatino Linotype" w:cs="Palatino Linotype"/>
          <w:b/>
        </w:rPr>
        <w:t xml:space="preserve">3. Interposición del recurso de revisión. </w:t>
      </w:r>
      <w:r w:rsidRPr="009D47A2">
        <w:rPr>
          <w:rFonts w:ascii="Palatino Linotype" w:eastAsia="Palatino Linotype" w:hAnsi="Palatino Linotype" w:cs="Palatino Linotype"/>
        </w:rPr>
        <w:t xml:space="preserve">Inconforme con los términos de la respuesta emitida por parte del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el </w:t>
      </w:r>
      <w:r w:rsidRPr="009D47A2">
        <w:rPr>
          <w:rFonts w:ascii="Palatino Linotype" w:eastAsia="Palatino Linotype" w:hAnsi="Palatino Linotype" w:cs="Palatino Linotype"/>
          <w:b/>
        </w:rPr>
        <w:t>diez de junio del dos mil veinticuatro,</w:t>
      </w:r>
      <w:r w:rsidRPr="009D47A2">
        <w:rPr>
          <w:rFonts w:ascii="Palatino Linotype" w:eastAsia="Palatino Linotype" w:hAnsi="Palatino Linotype" w:cs="Palatino Linotype"/>
        </w:rPr>
        <w:t xml:space="preserve"> la parte recurrente interpuso el recurso de revisión a través de </w:t>
      </w:r>
      <w:r w:rsidRPr="009D47A2">
        <w:rPr>
          <w:rFonts w:ascii="Palatino Linotype" w:eastAsia="Palatino Linotype" w:hAnsi="Palatino Linotype" w:cs="Palatino Linotype"/>
          <w:b/>
        </w:rPr>
        <w:t xml:space="preserve">SAIMEX, </w:t>
      </w:r>
      <w:r w:rsidRPr="009D47A2">
        <w:rPr>
          <w:rFonts w:ascii="Palatino Linotype" w:eastAsia="Palatino Linotype" w:hAnsi="Palatino Linotype" w:cs="Palatino Linotype"/>
        </w:rPr>
        <w:t>en donde se manifestó de la siguiente manera:</w:t>
      </w:r>
    </w:p>
    <w:p w14:paraId="27DD3F13" w14:textId="77777777" w:rsidR="00220300" w:rsidRPr="009D47A2" w:rsidRDefault="00C876FB">
      <w:pPr>
        <w:tabs>
          <w:tab w:val="left" w:pos="2745"/>
        </w:tabs>
        <w:spacing w:before="240" w:after="240"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b/>
        </w:rPr>
        <w:t xml:space="preserve">Acto impugnado: </w:t>
      </w:r>
      <w:r w:rsidRPr="009D47A2">
        <w:rPr>
          <w:rFonts w:ascii="Palatino Linotype" w:eastAsia="Palatino Linotype" w:hAnsi="Palatino Linotype" w:cs="Palatino Linotype"/>
          <w:b/>
        </w:rPr>
        <w:tab/>
      </w:r>
    </w:p>
    <w:p w14:paraId="6DC99511" w14:textId="77777777" w:rsidR="00220300" w:rsidRPr="009D47A2" w:rsidRDefault="00C876FB">
      <w:pPr>
        <w:ind w:left="851" w:right="902"/>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“La información anexa” (Sic)</w:t>
      </w:r>
    </w:p>
    <w:p w14:paraId="69688CDB" w14:textId="77777777" w:rsidR="00220300" w:rsidRPr="009D47A2" w:rsidRDefault="00220300">
      <w:pPr>
        <w:ind w:left="851" w:right="902"/>
        <w:jc w:val="both"/>
        <w:rPr>
          <w:rFonts w:ascii="Palatino Linotype" w:eastAsia="Palatino Linotype" w:hAnsi="Palatino Linotype" w:cs="Palatino Linotype"/>
          <w:i/>
          <w:sz w:val="22"/>
          <w:szCs w:val="22"/>
        </w:rPr>
      </w:pPr>
    </w:p>
    <w:p w14:paraId="6AF0AC1C"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b/>
        </w:rPr>
        <w:t>Y Razones o motivos de inconformidad</w:t>
      </w:r>
      <w:r w:rsidRPr="009D47A2">
        <w:rPr>
          <w:rFonts w:ascii="Palatino Linotype" w:eastAsia="Palatino Linotype" w:hAnsi="Palatino Linotype" w:cs="Palatino Linotype"/>
        </w:rPr>
        <w:t>:</w:t>
      </w:r>
    </w:p>
    <w:p w14:paraId="2E07A65C" w14:textId="77777777" w:rsidR="00220300" w:rsidRPr="009D47A2" w:rsidRDefault="00C876FB">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9D47A2">
        <w:rPr>
          <w:rFonts w:ascii="Palatino Linotype" w:eastAsia="Palatino Linotype" w:hAnsi="Palatino Linotype" w:cs="Palatino Linotype"/>
          <w:i/>
          <w:sz w:val="22"/>
          <w:szCs w:val="22"/>
        </w:rPr>
        <w:t xml:space="preserve"> “la clasificación de la información” (Sic)</w:t>
      </w:r>
    </w:p>
    <w:p w14:paraId="7685D862" w14:textId="77777777" w:rsidR="00220300" w:rsidRPr="009D47A2" w:rsidRDefault="00220300">
      <w:pPr>
        <w:ind w:left="851" w:right="902"/>
        <w:jc w:val="both"/>
        <w:rPr>
          <w:rFonts w:ascii="Palatino Linotype" w:eastAsia="Palatino Linotype" w:hAnsi="Palatino Linotype" w:cs="Palatino Linotype"/>
          <w:i/>
          <w:sz w:val="22"/>
          <w:szCs w:val="22"/>
        </w:rPr>
      </w:pPr>
    </w:p>
    <w:p w14:paraId="07CB13F4" w14:textId="77777777" w:rsidR="00220300" w:rsidRPr="009D47A2" w:rsidRDefault="00C876FB">
      <w:pPr>
        <w:spacing w:line="360" w:lineRule="auto"/>
        <w:ind w:right="51"/>
        <w:jc w:val="both"/>
        <w:rPr>
          <w:rFonts w:ascii="Palatino Linotype" w:eastAsia="Palatino Linotype" w:hAnsi="Palatino Linotype" w:cs="Palatino Linotype"/>
        </w:rPr>
      </w:pPr>
      <w:r w:rsidRPr="009D47A2">
        <w:rPr>
          <w:rFonts w:ascii="Palatino Linotype" w:eastAsia="Palatino Linotype" w:hAnsi="Palatino Linotype" w:cs="Palatino Linotype"/>
          <w:b/>
        </w:rPr>
        <w:t xml:space="preserve">4. Turno. </w:t>
      </w:r>
      <w:r w:rsidRPr="009D47A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9D47A2">
        <w:rPr>
          <w:rFonts w:ascii="Palatino Linotype" w:eastAsia="Palatino Linotype" w:hAnsi="Palatino Linotype" w:cs="Palatino Linotype"/>
        </w:rPr>
        <w:lastRenderedPageBreak/>
        <w:t xml:space="preserve">del Estado de México y Municipios, a la Comisionada </w:t>
      </w:r>
      <w:r w:rsidRPr="009D47A2">
        <w:rPr>
          <w:rFonts w:ascii="Palatino Linotype" w:eastAsia="Palatino Linotype" w:hAnsi="Palatino Linotype" w:cs="Palatino Linotype"/>
          <w:b/>
        </w:rPr>
        <w:t xml:space="preserve">Guadalupe Ramírez Peña, </w:t>
      </w:r>
      <w:r w:rsidRPr="009D47A2">
        <w:rPr>
          <w:rFonts w:ascii="Palatino Linotype" w:eastAsia="Palatino Linotype" w:hAnsi="Palatino Linotype" w:cs="Palatino Linotype"/>
        </w:rPr>
        <w:t>a efecto de que analizara sobre su admisión o su desechamiento.</w:t>
      </w:r>
    </w:p>
    <w:p w14:paraId="14C91DC8" w14:textId="77777777" w:rsidR="00220300" w:rsidRPr="009D47A2" w:rsidRDefault="00220300">
      <w:pPr>
        <w:spacing w:line="360" w:lineRule="auto"/>
        <w:ind w:right="51"/>
        <w:jc w:val="both"/>
        <w:rPr>
          <w:rFonts w:ascii="Palatino Linotype" w:eastAsia="Palatino Linotype" w:hAnsi="Palatino Linotype" w:cs="Palatino Linotype"/>
        </w:rPr>
      </w:pPr>
    </w:p>
    <w:p w14:paraId="02884698" w14:textId="77777777" w:rsidR="00220300" w:rsidRPr="009D47A2" w:rsidRDefault="00C876FB">
      <w:pPr>
        <w:spacing w:after="240"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b/>
        </w:rPr>
        <w:t>5. Admisión del Recurso de revisión.</w:t>
      </w:r>
      <w:r w:rsidRPr="009D47A2">
        <w:rPr>
          <w:rFonts w:ascii="Palatino Linotype" w:eastAsia="Palatino Linotype" w:hAnsi="Palatino Linotype" w:cs="Palatino Linotype"/>
        </w:rPr>
        <w:t xml:space="preserve"> Con fecha</w:t>
      </w:r>
      <w:r w:rsidRPr="009D47A2">
        <w:rPr>
          <w:rFonts w:ascii="Palatino Linotype" w:eastAsia="Palatino Linotype" w:hAnsi="Palatino Linotype" w:cs="Palatino Linotype"/>
          <w:b/>
        </w:rPr>
        <w:t xml:space="preserve"> trece de junio de dos mil veinticuatro, </w:t>
      </w:r>
      <w:r w:rsidRPr="009D47A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D47A2">
        <w:rPr>
          <w:rFonts w:ascii="Palatino Linotype" w:eastAsia="Palatino Linotype" w:hAnsi="Palatino Linotype" w:cs="Palatino Linotype"/>
          <w:b/>
        </w:rPr>
        <w:t xml:space="preserve">SUJETO OBLIGADO </w:t>
      </w:r>
      <w:r w:rsidRPr="009D47A2">
        <w:rPr>
          <w:rFonts w:ascii="Palatino Linotype" w:eastAsia="Palatino Linotype" w:hAnsi="Palatino Linotype" w:cs="Palatino Linotype"/>
        </w:rPr>
        <w:t>presentara su informe justificado.</w:t>
      </w:r>
    </w:p>
    <w:p w14:paraId="4108ECE4"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b/>
        </w:rPr>
        <w:t>6. Manifestaciones</w:t>
      </w:r>
      <w:r w:rsidRPr="009D47A2">
        <w:rPr>
          <w:rFonts w:ascii="Palatino Linotype" w:eastAsia="Palatino Linotype" w:hAnsi="Palatino Linotype" w:cs="Palatino Linotype"/>
        </w:rPr>
        <w:t xml:space="preserve">. De las constancias que integran el expediente en que se actúa se advierte que la parte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fue omisa en presentar sus alegatos o manifestación alguna.</w:t>
      </w:r>
    </w:p>
    <w:p w14:paraId="0E74BF19"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Por su parte 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en fecha veintiséis de junio del año dos mil veinticuatro, adjuntó los archivos electrónicos siguientes:</w:t>
      </w:r>
    </w:p>
    <w:p w14:paraId="2FD3EB83" w14:textId="77777777" w:rsidR="00220300" w:rsidRPr="009D47A2" w:rsidRDefault="00220300">
      <w:pPr>
        <w:spacing w:line="360" w:lineRule="auto"/>
        <w:jc w:val="both"/>
        <w:rPr>
          <w:rFonts w:ascii="Palatino Linotype" w:eastAsia="Palatino Linotype" w:hAnsi="Palatino Linotype" w:cs="Palatino Linotype"/>
        </w:rPr>
      </w:pPr>
    </w:p>
    <w:p w14:paraId="6FFEDABA"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w:t>
      </w:r>
      <w:hyperlink r:id="rId17">
        <w:r w:rsidRPr="009D47A2">
          <w:rPr>
            <w:rFonts w:ascii="Palatino Linotype" w:eastAsia="Palatino Linotype" w:hAnsi="Palatino Linotype" w:cs="Palatino Linotype"/>
          </w:rPr>
          <w:t>11_IJA_CA_2024 - TESTADO - FOLIADO - LEYENDA_II.pdf</w:t>
        </w:r>
      </w:hyperlink>
      <w:r w:rsidRPr="009D47A2">
        <w:rPr>
          <w:rFonts w:ascii="Palatino Linotype" w:eastAsia="Palatino Linotype" w:hAnsi="Palatino Linotype" w:cs="Palatino Linotype"/>
        </w:rPr>
        <w:t xml:space="preserve">”, el cual corresponde al mismo archivo remitido en respuesta por el SUJETO OBLIGADO, descrito en el antecedente número 2 de la presente resolución. </w:t>
      </w:r>
    </w:p>
    <w:p w14:paraId="1F19FF1E" w14:textId="77777777" w:rsidR="00220300" w:rsidRPr="009D47A2" w:rsidRDefault="00220300">
      <w:pPr>
        <w:spacing w:line="360" w:lineRule="auto"/>
        <w:jc w:val="both"/>
        <w:rPr>
          <w:rFonts w:ascii="Palatino Linotype" w:eastAsia="Palatino Linotype" w:hAnsi="Palatino Linotype" w:cs="Palatino Linotype"/>
        </w:rPr>
      </w:pPr>
    </w:p>
    <w:p w14:paraId="435CEACE"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w:t>
      </w:r>
      <w:hyperlink r:id="rId18">
        <w:r w:rsidRPr="009D47A2">
          <w:rPr>
            <w:rFonts w:ascii="Palatino Linotype" w:eastAsia="Palatino Linotype" w:hAnsi="Palatino Linotype" w:cs="Palatino Linotype"/>
          </w:rPr>
          <w:t>INFORME_JUSTIFICADO_225_2024.pdf</w:t>
        </w:r>
      </w:hyperlink>
      <w:r w:rsidRPr="009D47A2">
        <w:rPr>
          <w:rFonts w:ascii="Palatino Linotype" w:eastAsia="Palatino Linotype" w:hAnsi="Palatino Linotype" w:cs="Palatino Linotype"/>
        </w:rPr>
        <w:t xml:space="preserve">”, el cual contiene el informe justificado del Tribunal de Justicia Administrativa del Estado de México, por medio del cual informó, además de señalar los antecedentes del presente asunto, respecto de los </w:t>
      </w:r>
      <w:r w:rsidRPr="009D47A2">
        <w:rPr>
          <w:rFonts w:ascii="Palatino Linotype" w:eastAsia="Palatino Linotype" w:hAnsi="Palatino Linotype" w:cs="Palatino Linotype"/>
        </w:rPr>
        <w:lastRenderedPageBreak/>
        <w:t>motivos de inconformidad de la parte RECURRENTE sobre la clasificación de la información, que la servidora pública habilitada del Instituto de Justicia Administrativa, se hace entrega de la información que actualiza los supuestos de clasificación de la información aprobada mediante la Décima Quinta Sesión Extraordinaria del Comité de Transparencia de este Tribunal de Justicia Administrativa del Estado de México, misma que fue remitida en vía de respuesta a la solicitud de acceso a la información y que se adjunta al presente.</w:t>
      </w:r>
    </w:p>
    <w:p w14:paraId="5EA8B08F" w14:textId="77777777" w:rsidR="00220300" w:rsidRPr="009D47A2" w:rsidRDefault="00220300">
      <w:pPr>
        <w:spacing w:line="360" w:lineRule="auto"/>
        <w:jc w:val="both"/>
        <w:rPr>
          <w:rFonts w:ascii="Palatino Linotype" w:eastAsia="Palatino Linotype" w:hAnsi="Palatino Linotype" w:cs="Palatino Linotype"/>
        </w:rPr>
      </w:pPr>
    </w:p>
    <w:p w14:paraId="088A41FB"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w:t>
      </w:r>
      <w:hyperlink r:id="rId19">
        <w:r w:rsidRPr="009D47A2">
          <w:rPr>
            <w:rFonts w:ascii="Palatino Linotype" w:eastAsia="Palatino Linotype" w:hAnsi="Palatino Linotype" w:cs="Palatino Linotype"/>
          </w:rPr>
          <w:t>629-2024.pdf</w:t>
        </w:r>
      </w:hyperlink>
      <w:r w:rsidRPr="009D47A2">
        <w:rPr>
          <w:rFonts w:ascii="Palatino Linotype" w:eastAsia="Palatino Linotype" w:hAnsi="Palatino Linotype" w:cs="Palatino Linotype"/>
        </w:rPr>
        <w:t xml:space="preserve">”, el cual contiene el oficio número TRIJAEM-IJA-629-2024, por medio del cual la Directora del Instituto de Justicia Administrativa, en lo medular reitero la información proporcionada, así como la versión pública de lo requerido por el particular. </w:t>
      </w:r>
    </w:p>
    <w:p w14:paraId="3B120078"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Los cuales se determinó poner a la vista de la parte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en términos de la fracción III del artículo 185 de la Ley de Transparencia y Acceso a la Información Pública del Estado de México y Municipios, sin que hiciera manifestación alguna al respecto</w:t>
      </w:r>
    </w:p>
    <w:p w14:paraId="3CA8BD9B" w14:textId="77777777" w:rsidR="00220300" w:rsidRPr="009D47A2" w:rsidRDefault="00C876FB">
      <w:pPr>
        <w:widowControl w:val="0"/>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b/>
        </w:rPr>
        <w:t>7</w:t>
      </w:r>
      <w:r w:rsidRPr="009D47A2">
        <w:rPr>
          <w:rFonts w:ascii="Palatino Linotype" w:eastAsia="Palatino Linotype" w:hAnsi="Palatino Linotype" w:cs="Palatino Linotype"/>
        </w:rPr>
        <w:t xml:space="preserve">. </w:t>
      </w:r>
      <w:r w:rsidRPr="009D47A2">
        <w:rPr>
          <w:rFonts w:ascii="Palatino Linotype" w:eastAsia="Palatino Linotype" w:hAnsi="Palatino Linotype" w:cs="Palatino Linotype"/>
          <w:b/>
        </w:rPr>
        <w:t>Ampliación del plazo.</w:t>
      </w:r>
      <w:r w:rsidRPr="009D47A2">
        <w:rPr>
          <w:rFonts w:ascii="Palatino Linotype" w:eastAsia="Palatino Linotype" w:hAnsi="Palatino Linotype" w:cs="Palatino Linotype"/>
        </w:rPr>
        <w:t xml:space="preserve"> En fecha diez de septiembre del año dos mil veinticuatro, con fundamento en el artículo 181, párrafo tercero de la Ley de Transparencia y Acceso a la Información Pública del Estado de México y Municipios, se acordó la ampliación del plazo para su resolución.</w:t>
      </w:r>
    </w:p>
    <w:p w14:paraId="307EBE1F" w14:textId="77777777" w:rsidR="00220300" w:rsidRPr="009D47A2" w:rsidRDefault="00220300">
      <w:pPr>
        <w:widowControl w:val="0"/>
        <w:spacing w:line="360" w:lineRule="auto"/>
        <w:jc w:val="both"/>
        <w:rPr>
          <w:rFonts w:ascii="Palatino Linotype" w:eastAsia="Palatino Linotype" w:hAnsi="Palatino Linotype" w:cs="Palatino Linotype"/>
        </w:rPr>
      </w:pPr>
    </w:p>
    <w:p w14:paraId="09508ACD" w14:textId="77777777" w:rsidR="00220300" w:rsidRPr="009D47A2" w:rsidRDefault="00C876FB">
      <w:pPr>
        <w:widowControl w:val="0"/>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9D47A2">
        <w:rPr>
          <w:rFonts w:ascii="Palatino Linotype" w:eastAsia="Palatino Linotype" w:hAnsi="Palatino Linotype" w:cs="Palatino Linotype"/>
        </w:rPr>
        <w:lastRenderedPageBreak/>
        <w:t>recursos de revisión recibidos, circunstancia atípica que ha rebasado las capacidades técnicas y humanas del personal encargado de la proyección de las resoluciones a dichos medios de impugnación.</w:t>
      </w:r>
    </w:p>
    <w:p w14:paraId="71E97E49" w14:textId="77777777" w:rsidR="00220300" w:rsidRPr="009D47A2" w:rsidRDefault="00220300">
      <w:pPr>
        <w:widowControl w:val="0"/>
        <w:spacing w:line="360" w:lineRule="auto"/>
        <w:jc w:val="both"/>
        <w:rPr>
          <w:rFonts w:ascii="Palatino Linotype" w:eastAsia="Palatino Linotype" w:hAnsi="Palatino Linotype" w:cs="Palatino Linotype"/>
        </w:rPr>
      </w:pPr>
    </w:p>
    <w:p w14:paraId="259EAFFB"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3D1F498" w14:textId="77777777" w:rsidR="00220300" w:rsidRPr="009D47A2" w:rsidRDefault="00220300">
      <w:pPr>
        <w:spacing w:line="360" w:lineRule="auto"/>
        <w:jc w:val="both"/>
        <w:rPr>
          <w:rFonts w:ascii="Palatino Linotype" w:eastAsia="Palatino Linotype" w:hAnsi="Palatino Linotype" w:cs="Palatino Linotype"/>
        </w:rPr>
      </w:pPr>
    </w:p>
    <w:p w14:paraId="38A13ED7"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F48CDC" w14:textId="77777777" w:rsidR="00220300" w:rsidRPr="009D47A2" w:rsidRDefault="00220300">
      <w:pPr>
        <w:spacing w:line="360" w:lineRule="auto"/>
        <w:jc w:val="both"/>
        <w:rPr>
          <w:rFonts w:ascii="Palatino Linotype" w:eastAsia="Palatino Linotype" w:hAnsi="Palatino Linotype" w:cs="Palatino Linotype"/>
        </w:rPr>
      </w:pPr>
    </w:p>
    <w:p w14:paraId="6CCC83B9"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CE64C0F" w14:textId="77777777" w:rsidR="00220300" w:rsidRPr="009D47A2" w:rsidRDefault="00220300">
      <w:pPr>
        <w:spacing w:line="360" w:lineRule="auto"/>
        <w:jc w:val="both"/>
        <w:rPr>
          <w:rFonts w:ascii="Palatino Linotype" w:eastAsia="Palatino Linotype" w:hAnsi="Palatino Linotype" w:cs="Palatino Linotype"/>
        </w:rPr>
      </w:pPr>
    </w:p>
    <w:p w14:paraId="2A00E565" w14:textId="77777777" w:rsidR="00220300" w:rsidRPr="009D47A2" w:rsidRDefault="00C876FB">
      <w:pPr>
        <w:spacing w:line="360" w:lineRule="auto"/>
        <w:jc w:val="both"/>
        <w:rPr>
          <w:rFonts w:ascii="Palatino Linotype" w:eastAsia="Palatino Linotype" w:hAnsi="Palatino Linotype" w:cs="Palatino Linotype"/>
          <w:strike/>
        </w:rPr>
      </w:pPr>
      <w:r w:rsidRPr="009D47A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F6D1699" w14:textId="77777777" w:rsidR="00220300" w:rsidRPr="009D47A2" w:rsidRDefault="00C876FB">
      <w:pPr>
        <w:numPr>
          <w:ilvl w:val="0"/>
          <w:numId w:val="5"/>
        </w:numPr>
        <w:ind w:left="851"/>
        <w:jc w:val="both"/>
        <w:rPr>
          <w:rFonts w:ascii="Palatino Linotype" w:eastAsia="Palatino Linotype" w:hAnsi="Palatino Linotype" w:cs="Palatino Linotype"/>
        </w:rPr>
      </w:pPr>
      <w:r w:rsidRPr="009D47A2">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1708F3A8" w14:textId="77777777" w:rsidR="00220300" w:rsidRPr="009D47A2" w:rsidRDefault="00220300">
      <w:pPr>
        <w:ind w:left="851" w:hanging="360"/>
        <w:jc w:val="both"/>
        <w:rPr>
          <w:rFonts w:ascii="Palatino Linotype" w:eastAsia="Palatino Linotype" w:hAnsi="Palatino Linotype" w:cs="Palatino Linotype"/>
        </w:rPr>
      </w:pPr>
    </w:p>
    <w:p w14:paraId="4D78221D" w14:textId="77777777" w:rsidR="00220300" w:rsidRPr="009D47A2" w:rsidRDefault="00C876FB">
      <w:pPr>
        <w:numPr>
          <w:ilvl w:val="0"/>
          <w:numId w:val="5"/>
        </w:numPr>
        <w:ind w:left="851"/>
        <w:jc w:val="both"/>
        <w:rPr>
          <w:rFonts w:ascii="Palatino Linotype" w:eastAsia="Palatino Linotype" w:hAnsi="Palatino Linotype" w:cs="Palatino Linotype"/>
        </w:rPr>
      </w:pPr>
      <w:r w:rsidRPr="009D47A2">
        <w:rPr>
          <w:rFonts w:ascii="Palatino Linotype" w:eastAsia="Palatino Linotype" w:hAnsi="Palatino Linotype" w:cs="Palatino Linotype"/>
        </w:rPr>
        <w:t>Actividad Procesal del interesado. Acciones u omisiones del interesado.</w:t>
      </w:r>
    </w:p>
    <w:p w14:paraId="14C18136" w14:textId="77777777" w:rsidR="00220300" w:rsidRPr="009D47A2" w:rsidRDefault="00220300">
      <w:pPr>
        <w:ind w:left="851" w:hanging="360"/>
        <w:jc w:val="both"/>
        <w:rPr>
          <w:rFonts w:ascii="Palatino Linotype" w:eastAsia="Palatino Linotype" w:hAnsi="Palatino Linotype" w:cs="Palatino Linotype"/>
        </w:rPr>
      </w:pPr>
    </w:p>
    <w:p w14:paraId="5E86C3D1" w14:textId="77777777" w:rsidR="00220300" w:rsidRPr="009D47A2" w:rsidRDefault="00C876FB">
      <w:pPr>
        <w:numPr>
          <w:ilvl w:val="0"/>
          <w:numId w:val="5"/>
        </w:numPr>
        <w:ind w:left="851"/>
        <w:jc w:val="both"/>
        <w:rPr>
          <w:rFonts w:ascii="Palatino Linotype" w:eastAsia="Palatino Linotype" w:hAnsi="Palatino Linotype" w:cs="Palatino Linotype"/>
        </w:rPr>
      </w:pPr>
      <w:r w:rsidRPr="009D47A2">
        <w:rPr>
          <w:rFonts w:ascii="Palatino Linotype" w:eastAsia="Palatino Linotype" w:hAnsi="Palatino Linotype" w:cs="Palatino Linotype"/>
        </w:rPr>
        <w:t>Conducta de la Autoridad: Las Acciones u omisiones realizadas en el procedimiento. Así como si la autoridad actuó con la debida diligencia.</w:t>
      </w:r>
    </w:p>
    <w:p w14:paraId="7313028A" w14:textId="77777777" w:rsidR="00220300" w:rsidRPr="009D47A2" w:rsidRDefault="00220300">
      <w:pPr>
        <w:ind w:left="851" w:hanging="360"/>
        <w:rPr>
          <w:rFonts w:ascii="Palatino Linotype" w:eastAsia="Palatino Linotype" w:hAnsi="Palatino Linotype" w:cs="Palatino Linotype"/>
        </w:rPr>
      </w:pPr>
    </w:p>
    <w:p w14:paraId="3B554B43" w14:textId="77777777" w:rsidR="00220300" w:rsidRPr="009D47A2" w:rsidRDefault="00C876FB">
      <w:pPr>
        <w:ind w:left="851" w:hanging="360"/>
        <w:jc w:val="both"/>
        <w:rPr>
          <w:rFonts w:ascii="Palatino Linotype" w:eastAsia="Palatino Linotype" w:hAnsi="Palatino Linotype" w:cs="Palatino Linotype"/>
        </w:rPr>
      </w:pPr>
      <w:r w:rsidRPr="009D47A2">
        <w:rPr>
          <w:rFonts w:ascii="Palatino Linotype" w:eastAsia="Palatino Linotype" w:hAnsi="Palatino Linotype" w:cs="Palatino Linotype"/>
        </w:rPr>
        <w:t>d) La afectación generada en la situación jurídica de la persona involucrada en el proceso: Violación a sus derechos humanos.</w:t>
      </w:r>
    </w:p>
    <w:p w14:paraId="52352F2B" w14:textId="77777777" w:rsidR="00220300" w:rsidRPr="009D47A2" w:rsidRDefault="00220300">
      <w:pPr>
        <w:spacing w:line="360" w:lineRule="auto"/>
        <w:jc w:val="both"/>
        <w:rPr>
          <w:rFonts w:ascii="Palatino Linotype" w:eastAsia="Palatino Linotype" w:hAnsi="Palatino Linotype" w:cs="Palatino Linotype"/>
        </w:rPr>
      </w:pPr>
    </w:p>
    <w:p w14:paraId="5D5F58B0"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DA5080" w14:textId="77777777" w:rsidR="00220300" w:rsidRPr="009D47A2" w:rsidRDefault="00220300">
      <w:pPr>
        <w:spacing w:line="360" w:lineRule="auto"/>
        <w:jc w:val="both"/>
        <w:rPr>
          <w:rFonts w:ascii="Palatino Linotype" w:eastAsia="Palatino Linotype" w:hAnsi="Palatino Linotype" w:cs="Palatino Linotype"/>
        </w:rPr>
      </w:pPr>
    </w:p>
    <w:p w14:paraId="2B4EFBF1" w14:textId="77777777" w:rsidR="00220300" w:rsidRPr="009D47A2" w:rsidRDefault="00C876FB">
      <w:pPr>
        <w:spacing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D47A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D47A2">
        <w:rPr>
          <w:rFonts w:ascii="Palatino Linotype" w:eastAsia="Palatino Linotype" w:hAnsi="Palatino Linotype" w:cs="Palatino Linotype"/>
        </w:rPr>
        <w:t>, visible en la Gaceta del Seminario Judicial de la Federación con el registro digital 205635.</w:t>
      </w:r>
    </w:p>
    <w:p w14:paraId="1024244C" w14:textId="77777777" w:rsidR="00220300" w:rsidRPr="009D47A2" w:rsidRDefault="00220300">
      <w:pPr>
        <w:spacing w:line="360" w:lineRule="auto"/>
        <w:jc w:val="both"/>
        <w:rPr>
          <w:rFonts w:ascii="Palatino Linotype" w:eastAsia="Palatino Linotype" w:hAnsi="Palatino Linotype" w:cs="Palatino Linotype"/>
        </w:rPr>
      </w:pPr>
    </w:p>
    <w:p w14:paraId="55911F9F"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B76F074" w14:textId="77777777" w:rsidR="00220300" w:rsidRPr="009D47A2" w:rsidRDefault="00220300">
      <w:pPr>
        <w:spacing w:line="360" w:lineRule="auto"/>
        <w:jc w:val="both"/>
        <w:rPr>
          <w:rFonts w:ascii="Palatino Linotype" w:eastAsia="Palatino Linotype" w:hAnsi="Palatino Linotype" w:cs="Palatino Linotype"/>
        </w:rPr>
      </w:pPr>
    </w:p>
    <w:p w14:paraId="5CF355E0"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E325401" w14:textId="77777777" w:rsidR="00220300" w:rsidRPr="009D47A2" w:rsidRDefault="00220300">
      <w:pPr>
        <w:spacing w:line="360" w:lineRule="auto"/>
        <w:jc w:val="both"/>
        <w:rPr>
          <w:rFonts w:ascii="Palatino Linotype" w:eastAsia="Palatino Linotype" w:hAnsi="Palatino Linotype" w:cs="Palatino Linotype"/>
        </w:rPr>
      </w:pPr>
    </w:p>
    <w:p w14:paraId="6BCD9E33"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 </w:t>
      </w:r>
      <w:r w:rsidRPr="009D47A2">
        <w:rPr>
          <w:rFonts w:ascii="Palatino Linotype" w:eastAsia="Palatino Linotype" w:hAnsi="Palatino Linotype" w:cs="Palatino Linotype"/>
          <w:i/>
        </w:rPr>
        <w:t>“PLAZO RAZONABLE PARA RESOLVER. DIMENSIÓN Y EFECTOS DE ESTE CONCEPTO CUANDO SE ADUCE EXCESIVA CARGA DE TRABAJO.”</w:t>
      </w:r>
      <w:r w:rsidRPr="009D47A2">
        <w:rPr>
          <w:rFonts w:ascii="Palatino Linotype" w:eastAsia="Palatino Linotype" w:hAnsi="Palatino Linotype" w:cs="Palatino Linotype"/>
        </w:rPr>
        <w:t xml:space="preserve"> consultable en el Seminario Judicial de la Federación y su gaceta, con el registro digital 2002351.</w:t>
      </w:r>
    </w:p>
    <w:p w14:paraId="4A3B03B0" w14:textId="77777777" w:rsidR="00220300" w:rsidRPr="009D47A2" w:rsidRDefault="00220300">
      <w:pPr>
        <w:spacing w:line="360" w:lineRule="auto"/>
        <w:jc w:val="both"/>
        <w:rPr>
          <w:rFonts w:ascii="Palatino Linotype" w:eastAsia="Palatino Linotype" w:hAnsi="Palatino Linotype" w:cs="Palatino Linotype"/>
          <w:b/>
        </w:rPr>
      </w:pPr>
    </w:p>
    <w:p w14:paraId="550945D6"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i/>
        </w:rPr>
        <w:t>“PLAZO RAZONABLE PARA RESOLVER. CONCEPTO Y ELEMENTOS QUE LO INTEGRAN A LA LUZ DEL DERECHO INTERNACIONAL DE LOS DERECHOS HUMANOS.”</w:t>
      </w:r>
      <w:r w:rsidRPr="009D47A2">
        <w:rPr>
          <w:rFonts w:ascii="Palatino Linotype" w:eastAsia="Palatino Linotype" w:hAnsi="Palatino Linotype" w:cs="Palatino Linotype"/>
        </w:rPr>
        <w:t>, visible en el Seminario Judicial de la Federación y su gaceta, con el registro digital 2002350.</w:t>
      </w:r>
    </w:p>
    <w:p w14:paraId="5FC906D8" w14:textId="77777777" w:rsidR="00220300" w:rsidRPr="009D47A2" w:rsidRDefault="00220300">
      <w:pPr>
        <w:spacing w:line="360" w:lineRule="auto"/>
        <w:jc w:val="both"/>
        <w:rPr>
          <w:rFonts w:ascii="Palatino Linotype" w:eastAsia="Palatino Linotype" w:hAnsi="Palatino Linotype" w:cs="Palatino Linotype"/>
        </w:rPr>
      </w:pPr>
    </w:p>
    <w:p w14:paraId="3E188015" w14:textId="77777777" w:rsidR="00220300" w:rsidRPr="009D47A2" w:rsidRDefault="00C876FB">
      <w:pPr>
        <w:widowControl w:val="0"/>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4CF689E2" w14:textId="77777777" w:rsidR="00220300" w:rsidRPr="009D47A2" w:rsidRDefault="00220300">
      <w:pPr>
        <w:widowControl w:val="0"/>
        <w:spacing w:line="360" w:lineRule="auto"/>
        <w:jc w:val="both"/>
        <w:rPr>
          <w:rFonts w:ascii="Palatino Linotype" w:eastAsia="Palatino Linotype" w:hAnsi="Palatino Linotype" w:cs="Palatino Linotype"/>
        </w:rPr>
      </w:pPr>
    </w:p>
    <w:p w14:paraId="29147E4B" w14:textId="77777777" w:rsidR="00220300" w:rsidRPr="009D47A2" w:rsidRDefault="00C876FB">
      <w:pPr>
        <w:widowControl w:val="0"/>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b/>
        </w:rPr>
        <w:t xml:space="preserve">8. Cierre de instrucción. </w:t>
      </w:r>
      <w:r w:rsidRPr="009D47A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9D47A2">
        <w:rPr>
          <w:rFonts w:ascii="Palatino Linotype" w:eastAsia="Palatino Linotype" w:hAnsi="Palatino Linotype" w:cs="Palatino Linotype"/>
          <w:b/>
        </w:rPr>
        <w:t>diecisiete de septiembre de dos mil veinticuatro</w:t>
      </w:r>
      <w:r w:rsidRPr="009D47A2">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123DB8E6"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4EB0520" w14:textId="77777777" w:rsidR="00220300" w:rsidRPr="009D47A2" w:rsidRDefault="00C876FB">
      <w:pPr>
        <w:widowControl w:val="0"/>
        <w:spacing w:line="360" w:lineRule="auto"/>
        <w:jc w:val="center"/>
        <w:rPr>
          <w:rFonts w:ascii="Palatino Linotype" w:eastAsia="Palatino Linotype" w:hAnsi="Palatino Linotype" w:cs="Palatino Linotype"/>
          <w:b/>
        </w:rPr>
      </w:pPr>
      <w:r w:rsidRPr="009D47A2">
        <w:rPr>
          <w:rFonts w:ascii="Palatino Linotype" w:eastAsia="Palatino Linotype" w:hAnsi="Palatino Linotype" w:cs="Palatino Linotype"/>
          <w:b/>
        </w:rPr>
        <w:t>II. C O N S I D E R A N D O S</w:t>
      </w:r>
    </w:p>
    <w:p w14:paraId="273097F5" w14:textId="77777777" w:rsidR="00220300" w:rsidRPr="009D47A2" w:rsidRDefault="00220300">
      <w:pPr>
        <w:widowControl w:val="0"/>
        <w:spacing w:line="360" w:lineRule="auto"/>
        <w:jc w:val="center"/>
        <w:rPr>
          <w:rFonts w:ascii="Palatino Linotype" w:eastAsia="Palatino Linotype" w:hAnsi="Palatino Linotype" w:cs="Palatino Linotype"/>
          <w:b/>
        </w:rPr>
      </w:pPr>
    </w:p>
    <w:p w14:paraId="0E426B19"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b/>
        </w:rPr>
        <w:t>Primero. Competencia.</w:t>
      </w:r>
      <w:r w:rsidRPr="009D47A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w:t>
      </w:r>
      <w:r w:rsidRPr="009D47A2">
        <w:rPr>
          <w:rFonts w:ascii="Palatino Linotype" w:eastAsia="Palatino Linotype" w:hAnsi="Palatino Linotype" w:cs="Palatino Linotype"/>
        </w:rPr>
        <w:lastRenderedPageBreak/>
        <w:t>Información Pública del Estado de México y Municipios; 9, fracciones I y XXIII y 11 del Reglamento Interior del Instituto de Transparencia, Acceso a la Información Pública y Protección de Datos Personales del Estado de México y Municipios.</w:t>
      </w:r>
    </w:p>
    <w:p w14:paraId="25135070" w14:textId="77777777" w:rsidR="00220300" w:rsidRPr="009D47A2" w:rsidRDefault="00220300">
      <w:pPr>
        <w:spacing w:line="360" w:lineRule="auto"/>
        <w:jc w:val="both"/>
        <w:rPr>
          <w:rFonts w:ascii="Palatino Linotype" w:eastAsia="Palatino Linotype" w:hAnsi="Palatino Linotype" w:cs="Palatino Linotype"/>
        </w:rPr>
      </w:pPr>
    </w:p>
    <w:p w14:paraId="71018E8F" w14:textId="77777777" w:rsidR="00220300" w:rsidRPr="009D47A2" w:rsidRDefault="00C876FB">
      <w:pPr>
        <w:spacing w:line="360" w:lineRule="auto"/>
        <w:jc w:val="both"/>
        <w:rPr>
          <w:rFonts w:ascii="Palatino Linotype" w:eastAsia="Palatino Linotype" w:hAnsi="Palatino Linotype" w:cs="Palatino Linotype"/>
        </w:rPr>
      </w:pPr>
      <w:bookmarkStart w:id="3" w:name="_heading=h.tyjcwt" w:colFirst="0" w:colLast="0"/>
      <w:bookmarkEnd w:id="3"/>
      <w:r w:rsidRPr="009D47A2">
        <w:rPr>
          <w:rFonts w:ascii="Palatino Linotype" w:eastAsia="Palatino Linotype" w:hAnsi="Palatino Linotype" w:cs="Palatino Linotype"/>
          <w:b/>
        </w:rPr>
        <w:t xml:space="preserve">Segundo. Oportunidad y Procedibilidad del Recurso de Revisión. </w:t>
      </w:r>
      <w:r w:rsidRPr="009D47A2">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emitió su respuesta a la solicitud planteada por la parte solicitante el tres de junio del año dos mil veinticuatro y la parte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xml:space="preserve"> presentó su recurso de revisión el diez de junio del mismo año, esto es, al quinto</w:t>
      </w:r>
      <w:r w:rsidRPr="009D47A2">
        <w:rPr>
          <w:rFonts w:ascii="Palatino Linotype" w:eastAsia="Palatino Linotype" w:hAnsi="Palatino Linotype" w:cs="Palatino Linotype"/>
          <w:b/>
        </w:rPr>
        <w:t xml:space="preserve"> día hábil siguiente </w:t>
      </w:r>
      <w:r w:rsidRPr="009D47A2">
        <w:rPr>
          <w:rFonts w:ascii="Palatino Linotype" w:eastAsia="Palatino Linotype" w:hAnsi="Palatino Linotype" w:cs="Palatino Linotype"/>
        </w:rPr>
        <w:t>en que tuvo conocimiento de la respuesta impugnada.</w:t>
      </w:r>
    </w:p>
    <w:p w14:paraId="63C6F4CA"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Al mismo tiempo, por cuanto hace a la procedibilidad del recurso de revisión, es de suma importancia señalar que la parte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xml:space="preserv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2A9D85A" w14:textId="77777777" w:rsidR="00220300" w:rsidRPr="009D47A2" w:rsidRDefault="00C876FB">
      <w:pPr>
        <w:ind w:left="567" w:right="474"/>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r w:rsidRPr="009D47A2">
        <w:rPr>
          <w:rFonts w:ascii="Palatino Linotype" w:eastAsia="Palatino Linotype" w:hAnsi="Palatino Linotype" w:cs="Palatino Linotype"/>
          <w:b/>
          <w:i/>
          <w:sz w:val="22"/>
          <w:szCs w:val="22"/>
        </w:rPr>
        <w:t>Las solicitudes anónimas</w:t>
      </w:r>
      <w:r w:rsidRPr="009D47A2">
        <w:rPr>
          <w:rFonts w:ascii="Palatino Linotype" w:eastAsia="Palatino Linotype" w:hAnsi="Palatino Linotype" w:cs="Palatino Linotype"/>
          <w:i/>
          <w:sz w:val="22"/>
          <w:szCs w:val="22"/>
        </w:rPr>
        <w:t xml:space="preserve">, con nombre incompleto o seudónimo </w:t>
      </w:r>
      <w:r w:rsidRPr="009D47A2">
        <w:rPr>
          <w:rFonts w:ascii="Palatino Linotype" w:eastAsia="Palatino Linotype" w:hAnsi="Palatino Linotype" w:cs="Palatino Linotype"/>
          <w:b/>
          <w:i/>
          <w:sz w:val="22"/>
          <w:szCs w:val="22"/>
        </w:rPr>
        <w:t>serán procedentes para su trámite por parte del sujeto obligado ante quien se presente</w:t>
      </w:r>
      <w:r w:rsidRPr="009D47A2">
        <w:rPr>
          <w:rFonts w:ascii="Palatino Linotype" w:eastAsia="Palatino Linotype" w:hAnsi="Palatino Linotype" w:cs="Palatino Linotype"/>
          <w:i/>
          <w:sz w:val="22"/>
          <w:szCs w:val="22"/>
        </w:rPr>
        <w:t xml:space="preserve">. No podrá </w:t>
      </w:r>
      <w:r w:rsidRPr="009D47A2">
        <w:rPr>
          <w:rFonts w:ascii="Palatino Linotype" w:eastAsia="Palatino Linotype" w:hAnsi="Palatino Linotype" w:cs="Palatino Linotype"/>
          <w:i/>
          <w:sz w:val="22"/>
          <w:szCs w:val="22"/>
        </w:rPr>
        <w:lastRenderedPageBreak/>
        <w:t>requerirse información adicional con motivo del nombre proporcionado por el solicitante."(Sic)</w:t>
      </w:r>
    </w:p>
    <w:p w14:paraId="28DDCEE9" w14:textId="77777777" w:rsidR="00220300" w:rsidRPr="009D47A2" w:rsidRDefault="00220300">
      <w:pPr>
        <w:spacing w:line="360" w:lineRule="auto"/>
        <w:jc w:val="both"/>
        <w:rPr>
          <w:rFonts w:ascii="Palatino Linotype" w:eastAsia="Palatino Linotype" w:hAnsi="Palatino Linotype" w:cs="Palatino Linotype"/>
        </w:rPr>
      </w:pPr>
    </w:p>
    <w:p w14:paraId="60578ECB"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este sentido, al considerar la fecha en que se formuló la solicitud y la fecha en que respondió a esta 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1A0DECE5" w14:textId="77777777" w:rsidR="00220300" w:rsidRPr="009D47A2" w:rsidRDefault="00C876FB">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9D47A2">
        <w:rPr>
          <w:rFonts w:ascii="Palatino Linotype" w:eastAsia="Palatino Linotype" w:hAnsi="Palatino Linotype" w:cs="Palatino Linotype"/>
          <w:b/>
        </w:rPr>
        <w:t>EL</w:t>
      </w:r>
      <w:r w:rsidRPr="009D47A2">
        <w:rPr>
          <w:rFonts w:ascii="Palatino Linotype" w:eastAsia="Palatino Linotype" w:hAnsi="Palatino Linotype" w:cs="Palatino Linotype"/>
        </w:rPr>
        <w:t xml:space="preserve"> </w:t>
      </w:r>
      <w:r w:rsidRPr="009D47A2">
        <w:rPr>
          <w:rFonts w:ascii="Palatino Linotype" w:eastAsia="Palatino Linotype" w:hAnsi="Palatino Linotype" w:cs="Palatino Linotype"/>
          <w:b/>
        </w:rPr>
        <w:t>SAIMEX</w:t>
      </w:r>
      <w:r w:rsidRPr="009D47A2">
        <w:rPr>
          <w:rFonts w:ascii="Palatino Linotype" w:eastAsia="Palatino Linotype" w:hAnsi="Palatino Linotype" w:cs="Palatino Linotype"/>
        </w:rPr>
        <w:t>.</w:t>
      </w:r>
    </w:p>
    <w:p w14:paraId="2345DD4B" w14:textId="77777777" w:rsidR="00220300" w:rsidRPr="009D47A2" w:rsidRDefault="00220300">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4A474064" w14:textId="77777777" w:rsidR="00220300" w:rsidRPr="009D47A2" w:rsidRDefault="00C876FB">
      <w:pP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II de la ley de la materia, que a la letra dice:</w:t>
      </w:r>
    </w:p>
    <w:p w14:paraId="2A7E145F" w14:textId="77777777" w:rsidR="00220300" w:rsidRPr="009D47A2" w:rsidRDefault="00C876FB">
      <w:pPr>
        <w:ind w:left="1276" w:right="1752"/>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r w:rsidRPr="009D47A2">
        <w:rPr>
          <w:rFonts w:ascii="Palatino Linotype" w:eastAsia="Palatino Linotype" w:hAnsi="Palatino Linotype" w:cs="Palatino Linotype"/>
          <w:b/>
          <w:i/>
          <w:sz w:val="22"/>
          <w:szCs w:val="22"/>
        </w:rPr>
        <w:t xml:space="preserve">Artículo 179. </w:t>
      </w:r>
      <w:r w:rsidRPr="009D47A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1E04466" w14:textId="77777777" w:rsidR="00220300" w:rsidRPr="009D47A2" w:rsidRDefault="00C876FB">
      <w:pPr>
        <w:ind w:left="1276" w:right="1752"/>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p>
    <w:p w14:paraId="53ACC642" w14:textId="77777777" w:rsidR="00220300" w:rsidRPr="009D47A2" w:rsidRDefault="00C876FB">
      <w:pPr>
        <w:ind w:left="1276" w:right="1752"/>
        <w:jc w:val="both"/>
        <w:rPr>
          <w:rFonts w:ascii="Palatino Linotype" w:eastAsia="Palatino Linotype" w:hAnsi="Palatino Linotype" w:cs="Palatino Linotype"/>
          <w:b/>
          <w:i/>
          <w:sz w:val="22"/>
          <w:szCs w:val="22"/>
        </w:rPr>
      </w:pPr>
      <w:r w:rsidRPr="009D47A2">
        <w:rPr>
          <w:rFonts w:ascii="Palatino Linotype" w:eastAsia="Palatino Linotype" w:hAnsi="Palatino Linotype" w:cs="Palatino Linotype"/>
          <w:i/>
          <w:sz w:val="22"/>
          <w:szCs w:val="22"/>
        </w:rPr>
        <w:t>II. La clasificación de la información…” (Sic</w:t>
      </w:r>
      <w:r w:rsidRPr="009D47A2">
        <w:rPr>
          <w:rFonts w:ascii="Palatino Linotype" w:eastAsia="Palatino Linotype" w:hAnsi="Palatino Linotype" w:cs="Palatino Linotype"/>
          <w:b/>
          <w:i/>
          <w:sz w:val="22"/>
          <w:szCs w:val="22"/>
        </w:rPr>
        <w:t>)</w:t>
      </w:r>
    </w:p>
    <w:p w14:paraId="263EBD93"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b/>
        </w:rPr>
        <w:t xml:space="preserve">Cuarto. Estudio de fondo del asunto. </w:t>
      </w:r>
      <w:r w:rsidRPr="009D47A2">
        <w:rPr>
          <w:rFonts w:ascii="Palatino Linotype" w:eastAsia="Palatino Linotype" w:hAnsi="Palatino Linotype" w:cs="Palatino Linotype"/>
        </w:rPr>
        <w:t xml:space="preserve">es conveniente analizar si la respuesta del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cumple con los requisitos y procedimientos del derecho de acceso a la información pública, en atención a que en la Ley de Transparencia y </w:t>
      </w:r>
      <w:r w:rsidRPr="009D47A2">
        <w:rPr>
          <w:rFonts w:ascii="Palatino Linotype" w:eastAsia="Palatino Linotype" w:hAnsi="Palatino Linotype" w:cs="Palatino Linotype"/>
        </w:rPr>
        <w:lastRenderedPageBreak/>
        <w:t>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FFB83F2" w14:textId="77777777" w:rsidR="00220300" w:rsidRPr="009D47A2" w:rsidRDefault="00C876FB">
      <w:pPr>
        <w:spacing w:before="240"/>
        <w:ind w:left="709" w:right="760"/>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r w:rsidRPr="009D47A2">
        <w:rPr>
          <w:rFonts w:ascii="Palatino Linotype" w:eastAsia="Palatino Linotype" w:hAnsi="Palatino Linotype" w:cs="Palatino Linotype"/>
          <w:b/>
          <w:i/>
          <w:sz w:val="22"/>
          <w:szCs w:val="22"/>
        </w:rPr>
        <w:t>Artículo 4.</w:t>
      </w:r>
      <w:r w:rsidRPr="009D47A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01C90E" w14:textId="77777777" w:rsidR="00220300" w:rsidRPr="009D47A2" w:rsidRDefault="00C876FB">
      <w:pPr>
        <w:ind w:left="709" w:right="760"/>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D47A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28B1EBE" w14:textId="77777777" w:rsidR="00220300" w:rsidRPr="009D47A2" w:rsidRDefault="00C876FB">
      <w:pPr>
        <w:ind w:left="709" w:right="760"/>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D47A2">
        <w:rPr>
          <w:rFonts w:ascii="Palatino Linotype" w:eastAsia="Palatino Linotype" w:hAnsi="Palatino Linotype" w:cs="Palatino Linotype"/>
          <w:i/>
          <w:sz w:val="22"/>
          <w:szCs w:val="22"/>
        </w:rPr>
        <w:t>.”(Sic)</w:t>
      </w:r>
    </w:p>
    <w:p w14:paraId="2E270DDB"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B4B5232" w14:textId="77777777" w:rsidR="00220300" w:rsidRPr="009D47A2" w:rsidRDefault="00C876FB">
      <w:pPr>
        <w:ind w:left="567" w:right="758"/>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lastRenderedPageBreak/>
        <w:t>“</w:t>
      </w:r>
      <w:r w:rsidRPr="009D47A2">
        <w:rPr>
          <w:rFonts w:ascii="Palatino Linotype" w:eastAsia="Palatino Linotype" w:hAnsi="Palatino Linotype" w:cs="Palatino Linotype"/>
          <w:b/>
          <w:i/>
          <w:sz w:val="22"/>
          <w:szCs w:val="22"/>
        </w:rPr>
        <w:t>Artículo12.-</w:t>
      </w:r>
      <w:r w:rsidRPr="009D47A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39D0529" w14:textId="77777777" w:rsidR="00220300" w:rsidRPr="009D47A2" w:rsidRDefault="00C876FB">
      <w:pPr>
        <w:ind w:left="567" w:right="758"/>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D47A2">
        <w:rPr>
          <w:rFonts w:ascii="Palatino Linotype" w:eastAsia="Palatino Linotype" w:hAnsi="Palatino Linotype" w:cs="Palatino Linotype"/>
          <w:i/>
          <w:sz w:val="22"/>
          <w:szCs w:val="22"/>
        </w:rPr>
        <w:t xml:space="preserve">. </w:t>
      </w:r>
      <w:r w:rsidRPr="009D47A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9DBA3D4" w14:textId="77777777" w:rsidR="00220300" w:rsidRPr="009D47A2" w:rsidRDefault="00220300">
      <w:pPr>
        <w:spacing w:line="360" w:lineRule="auto"/>
        <w:ind w:right="-93"/>
        <w:jc w:val="both"/>
        <w:rPr>
          <w:rFonts w:ascii="Palatino Linotype" w:eastAsia="Palatino Linotype" w:hAnsi="Palatino Linotype" w:cs="Palatino Linotype"/>
        </w:rPr>
      </w:pPr>
    </w:p>
    <w:p w14:paraId="3A28BCC1" w14:textId="77777777" w:rsidR="00220300" w:rsidRPr="009D47A2" w:rsidRDefault="00C876FB">
      <w:pPr>
        <w:spacing w:line="360" w:lineRule="auto"/>
        <w:ind w:right="-93"/>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47DE0F8E" w14:textId="77777777" w:rsidR="00220300" w:rsidRPr="009D47A2" w:rsidRDefault="00220300">
      <w:pPr>
        <w:spacing w:line="360" w:lineRule="auto"/>
        <w:ind w:right="-93"/>
        <w:jc w:val="both"/>
        <w:rPr>
          <w:rFonts w:ascii="Palatino Linotype" w:eastAsia="Palatino Linotype" w:hAnsi="Palatino Linotype" w:cs="Palatino Linotype"/>
        </w:rPr>
      </w:pPr>
    </w:p>
    <w:p w14:paraId="2D079374" w14:textId="77777777" w:rsidR="00220300" w:rsidRPr="009D47A2" w:rsidRDefault="00C876FB">
      <w:pPr>
        <w:spacing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9D47A2">
        <w:rPr>
          <w:rFonts w:ascii="Palatino Linotype" w:eastAsia="Palatino Linotype" w:hAnsi="Palatino Linotype" w:cs="Palatino Linotype"/>
          <w:b/>
        </w:rPr>
        <w:t xml:space="preserve"> </w:t>
      </w:r>
    </w:p>
    <w:p w14:paraId="16B08CF4" w14:textId="77777777" w:rsidR="00220300" w:rsidRPr="009D47A2" w:rsidRDefault="00220300">
      <w:pPr>
        <w:spacing w:line="360" w:lineRule="auto"/>
        <w:jc w:val="both"/>
        <w:rPr>
          <w:rFonts w:ascii="Palatino Linotype" w:eastAsia="Palatino Linotype" w:hAnsi="Palatino Linotype" w:cs="Palatino Linotype"/>
          <w:b/>
        </w:rPr>
      </w:pPr>
    </w:p>
    <w:p w14:paraId="0E1C2EE1" w14:textId="77777777" w:rsidR="00220300" w:rsidRPr="009D47A2" w:rsidRDefault="00C876FB">
      <w:pPr>
        <w:ind w:left="851" w:right="90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r w:rsidRPr="009D47A2">
        <w:rPr>
          <w:rFonts w:ascii="Palatino Linotype" w:eastAsia="Palatino Linotype" w:hAnsi="Palatino Linotype" w:cs="Palatino Linotype"/>
          <w:b/>
          <w:i/>
          <w:sz w:val="22"/>
          <w:szCs w:val="22"/>
        </w:rPr>
        <w:t>No existe obligación de elaborar documentos ad hoc para atender las solicitudes de acceso a la información.</w:t>
      </w:r>
      <w:r w:rsidRPr="009D47A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9D47A2">
        <w:rPr>
          <w:rFonts w:ascii="Palatino Linotype" w:eastAsia="Palatino Linotype" w:hAnsi="Palatino Linotype" w:cs="Palatino Linotype"/>
          <w:i/>
          <w:sz w:val="22"/>
          <w:szCs w:val="22"/>
        </w:rPr>
        <w:lastRenderedPageBreak/>
        <w:t>archivos; sin necesidad de elaborar documentos ad hoc para atender las solicitudes de información.</w:t>
      </w:r>
    </w:p>
    <w:p w14:paraId="6A3F3717" w14:textId="77777777" w:rsidR="00220300" w:rsidRPr="009D47A2" w:rsidRDefault="00C876FB">
      <w:pPr>
        <w:ind w:left="851" w:right="90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 xml:space="preserve">Resoluciones: </w:t>
      </w:r>
    </w:p>
    <w:p w14:paraId="163166E4" w14:textId="77777777" w:rsidR="00220300" w:rsidRPr="009D47A2" w:rsidRDefault="00C876FB">
      <w:pPr>
        <w:ind w:left="851" w:right="901"/>
        <w:jc w:val="both"/>
        <w:rPr>
          <w:rFonts w:ascii="Palatino Linotype" w:eastAsia="Palatino Linotype" w:hAnsi="Palatino Linotype" w:cs="Palatino Linotype"/>
          <w:i/>
          <w:sz w:val="22"/>
          <w:szCs w:val="22"/>
        </w:rPr>
      </w:pPr>
      <w:r w:rsidRPr="009D47A2">
        <w:rPr>
          <w:rFonts w:ascii="Noto Sans Symbols" w:eastAsia="Noto Sans Symbols" w:hAnsi="Noto Sans Symbols" w:cs="Noto Sans Symbols"/>
          <w:i/>
          <w:sz w:val="22"/>
          <w:szCs w:val="22"/>
        </w:rPr>
        <w:t>∙</w:t>
      </w:r>
      <w:r w:rsidRPr="009D47A2">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00450423" w14:textId="77777777" w:rsidR="00220300" w:rsidRPr="009D47A2" w:rsidRDefault="00C876FB">
      <w:pPr>
        <w:ind w:left="851" w:right="901"/>
        <w:jc w:val="both"/>
        <w:rPr>
          <w:rFonts w:ascii="Palatino Linotype" w:eastAsia="Palatino Linotype" w:hAnsi="Palatino Linotype" w:cs="Palatino Linotype"/>
          <w:i/>
          <w:sz w:val="22"/>
          <w:szCs w:val="22"/>
        </w:rPr>
      </w:pPr>
      <w:r w:rsidRPr="009D47A2">
        <w:rPr>
          <w:rFonts w:ascii="Noto Sans Symbols" w:eastAsia="Noto Sans Symbols" w:hAnsi="Noto Sans Symbols" w:cs="Noto Sans Symbols"/>
          <w:i/>
          <w:sz w:val="22"/>
          <w:szCs w:val="22"/>
        </w:rPr>
        <w:t>∙</w:t>
      </w:r>
      <w:r w:rsidRPr="009D47A2">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2BC54E1" w14:textId="77777777" w:rsidR="00220300" w:rsidRPr="009D47A2" w:rsidRDefault="00C876FB">
      <w:pPr>
        <w:ind w:left="851" w:right="901"/>
        <w:jc w:val="both"/>
        <w:rPr>
          <w:rFonts w:ascii="Palatino Linotype" w:eastAsia="Palatino Linotype" w:hAnsi="Palatino Linotype" w:cs="Palatino Linotype"/>
          <w:i/>
          <w:sz w:val="22"/>
          <w:szCs w:val="22"/>
        </w:rPr>
      </w:pPr>
      <w:r w:rsidRPr="009D47A2">
        <w:rPr>
          <w:rFonts w:ascii="Noto Sans Symbols" w:eastAsia="Noto Sans Symbols" w:hAnsi="Noto Sans Symbols" w:cs="Noto Sans Symbols"/>
          <w:i/>
          <w:sz w:val="22"/>
          <w:szCs w:val="22"/>
        </w:rPr>
        <w:t>∙</w:t>
      </w:r>
      <w:r w:rsidRPr="009D47A2">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3E113559" w14:textId="77777777" w:rsidR="00220300" w:rsidRPr="009D47A2" w:rsidRDefault="00220300">
      <w:pPr>
        <w:spacing w:line="360" w:lineRule="auto"/>
        <w:jc w:val="both"/>
        <w:rPr>
          <w:rFonts w:ascii="Palatino Linotype" w:eastAsia="Palatino Linotype" w:hAnsi="Palatino Linotype" w:cs="Palatino Linotype"/>
        </w:rPr>
      </w:pPr>
    </w:p>
    <w:p w14:paraId="353877EA"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25D2B04" w14:textId="77777777" w:rsidR="00220300" w:rsidRPr="009D47A2" w:rsidRDefault="00220300">
      <w:pPr>
        <w:spacing w:line="360" w:lineRule="auto"/>
        <w:jc w:val="both"/>
        <w:rPr>
          <w:rFonts w:ascii="Palatino Linotype" w:eastAsia="Palatino Linotype" w:hAnsi="Palatino Linotype" w:cs="Palatino Linotype"/>
        </w:rPr>
      </w:pPr>
    </w:p>
    <w:p w14:paraId="5B481E94" w14:textId="77777777" w:rsidR="00220300" w:rsidRPr="009D47A2" w:rsidRDefault="00C876FB">
      <w:pPr>
        <w:spacing w:line="360" w:lineRule="auto"/>
        <w:ind w:right="49"/>
        <w:jc w:val="both"/>
        <w:rPr>
          <w:rFonts w:ascii="Palatino Linotype" w:eastAsia="Palatino Linotype" w:hAnsi="Palatino Linotype" w:cs="Palatino Linotype"/>
        </w:rPr>
      </w:pPr>
      <w:r w:rsidRPr="009D47A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8CA03B5" w14:textId="77777777" w:rsidR="00220300" w:rsidRPr="009D47A2" w:rsidRDefault="00220300">
      <w:pPr>
        <w:spacing w:line="360" w:lineRule="auto"/>
        <w:ind w:right="49"/>
        <w:jc w:val="both"/>
        <w:rPr>
          <w:rFonts w:ascii="Palatino Linotype" w:eastAsia="Palatino Linotype" w:hAnsi="Palatino Linotype" w:cs="Palatino Linotype"/>
        </w:rPr>
      </w:pPr>
    </w:p>
    <w:p w14:paraId="78FD1ED3"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9D47A2">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1949065" w14:textId="77777777" w:rsidR="00220300" w:rsidRPr="009D47A2" w:rsidRDefault="00220300">
      <w:pPr>
        <w:ind w:left="851" w:right="899"/>
        <w:jc w:val="both"/>
        <w:rPr>
          <w:rFonts w:ascii="Palatino Linotype" w:eastAsia="Palatino Linotype" w:hAnsi="Palatino Linotype" w:cs="Palatino Linotype"/>
          <w:i/>
          <w:sz w:val="22"/>
          <w:szCs w:val="22"/>
        </w:rPr>
      </w:pPr>
    </w:p>
    <w:p w14:paraId="5B744363" w14:textId="77777777" w:rsidR="00220300" w:rsidRPr="009D47A2" w:rsidRDefault="00C876FB">
      <w:pPr>
        <w:ind w:left="851" w:right="89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r w:rsidRPr="009D47A2">
        <w:rPr>
          <w:rFonts w:ascii="Palatino Linotype" w:eastAsia="Palatino Linotype" w:hAnsi="Palatino Linotype" w:cs="Palatino Linotype"/>
          <w:b/>
          <w:i/>
          <w:sz w:val="22"/>
          <w:szCs w:val="22"/>
        </w:rPr>
        <w:t xml:space="preserve">Artículo 3. </w:t>
      </w:r>
      <w:r w:rsidRPr="009D47A2">
        <w:rPr>
          <w:rFonts w:ascii="Palatino Linotype" w:eastAsia="Palatino Linotype" w:hAnsi="Palatino Linotype" w:cs="Palatino Linotype"/>
          <w:i/>
          <w:sz w:val="22"/>
          <w:szCs w:val="22"/>
        </w:rPr>
        <w:t>Para los efectos de la presente Ley se entenderá por:</w:t>
      </w:r>
    </w:p>
    <w:p w14:paraId="164A1EDC" w14:textId="77777777" w:rsidR="00220300" w:rsidRPr="009D47A2" w:rsidRDefault="00C876FB">
      <w:pPr>
        <w:ind w:left="851" w:right="89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p>
    <w:p w14:paraId="348E94FF" w14:textId="77777777" w:rsidR="00220300" w:rsidRPr="009D47A2" w:rsidRDefault="00C876FB">
      <w:pPr>
        <w:ind w:left="851" w:right="89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XI. Documento:</w:t>
      </w:r>
      <w:r w:rsidRPr="009D47A2">
        <w:rPr>
          <w:rFonts w:ascii="Palatino Linotype" w:eastAsia="Palatino Linotype" w:hAnsi="Palatino Linotype" w:cs="Palatino Linotype"/>
          <w:i/>
          <w:sz w:val="22"/>
          <w:szCs w:val="22"/>
        </w:rPr>
        <w:t xml:space="preserve"> Los expedientes, reportes, estudios, actas</w:t>
      </w:r>
      <w:r w:rsidRPr="009D47A2">
        <w:rPr>
          <w:rFonts w:ascii="Palatino Linotype" w:eastAsia="Palatino Linotype" w:hAnsi="Palatino Linotype" w:cs="Palatino Linotype"/>
          <w:b/>
          <w:i/>
          <w:sz w:val="22"/>
          <w:szCs w:val="22"/>
        </w:rPr>
        <w:t>,</w:t>
      </w:r>
      <w:r w:rsidRPr="009D47A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CF6C184" w14:textId="77777777" w:rsidR="00220300" w:rsidRPr="009D47A2" w:rsidRDefault="00220300">
      <w:pPr>
        <w:ind w:left="851" w:right="899"/>
        <w:jc w:val="both"/>
        <w:rPr>
          <w:rFonts w:ascii="Palatino Linotype" w:eastAsia="Palatino Linotype" w:hAnsi="Palatino Linotype" w:cs="Palatino Linotype"/>
          <w:sz w:val="22"/>
          <w:szCs w:val="22"/>
        </w:rPr>
      </w:pPr>
    </w:p>
    <w:p w14:paraId="016ADEB7"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BEECC52" w14:textId="77777777" w:rsidR="00220300" w:rsidRPr="009D47A2" w:rsidRDefault="00220300">
      <w:pPr>
        <w:ind w:left="851" w:right="899"/>
        <w:jc w:val="both"/>
        <w:rPr>
          <w:rFonts w:ascii="Palatino Linotype" w:eastAsia="Palatino Linotype" w:hAnsi="Palatino Linotype" w:cs="Palatino Linotype"/>
          <w:b/>
          <w:sz w:val="22"/>
          <w:szCs w:val="22"/>
        </w:rPr>
      </w:pPr>
    </w:p>
    <w:p w14:paraId="13216EB0" w14:textId="77777777" w:rsidR="00220300" w:rsidRPr="009D47A2" w:rsidRDefault="00C876FB">
      <w:pPr>
        <w:ind w:left="851" w:right="899"/>
        <w:jc w:val="both"/>
        <w:rPr>
          <w:rFonts w:ascii="Palatino Linotype" w:eastAsia="Palatino Linotype" w:hAnsi="Palatino Linotype" w:cs="Palatino Linotype"/>
          <w:b/>
          <w:i/>
          <w:sz w:val="22"/>
          <w:szCs w:val="22"/>
        </w:rPr>
      </w:pPr>
      <w:r w:rsidRPr="009D47A2">
        <w:rPr>
          <w:rFonts w:ascii="Palatino Linotype" w:eastAsia="Palatino Linotype" w:hAnsi="Palatino Linotype" w:cs="Palatino Linotype"/>
          <w:b/>
          <w:sz w:val="22"/>
          <w:szCs w:val="22"/>
        </w:rPr>
        <w:t>“</w:t>
      </w:r>
      <w:r w:rsidRPr="009D47A2">
        <w:rPr>
          <w:rFonts w:ascii="Palatino Linotype" w:eastAsia="Palatino Linotype" w:hAnsi="Palatino Linotype" w:cs="Palatino Linotype"/>
          <w:b/>
          <w:i/>
          <w:sz w:val="22"/>
          <w:szCs w:val="22"/>
        </w:rPr>
        <w:t>CRITERIO 0002-11</w:t>
      </w:r>
    </w:p>
    <w:p w14:paraId="04A00F69" w14:textId="77777777" w:rsidR="00220300" w:rsidRPr="009D47A2" w:rsidRDefault="00C876FB">
      <w:pPr>
        <w:ind w:left="851" w:right="89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D47A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9D47A2">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14:paraId="0B7BEED6" w14:textId="77777777" w:rsidR="00220300" w:rsidRPr="009D47A2" w:rsidRDefault="00C876FB">
      <w:pPr>
        <w:ind w:left="851" w:right="89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C864A5B" w14:textId="77777777" w:rsidR="00220300" w:rsidRPr="009D47A2" w:rsidRDefault="00C876FB">
      <w:pPr>
        <w:ind w:left="851" w:right="89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6DF4AE5" w14:textId="77777777" w:rsidR="00220300" w:rsidRPr="009D47A2" w:rsidRDefault="00C876FB">
      <w:pPr>
        <w:ind w:left="851" w:right="899"/>
        <w:jc w:val="both"/>
        <w:rPr>
          <w:rFonts w:ascii="Palatino Linotype" w:eastAsia="Palatino Linotype" w:hAnsi="Palatino Linotype" w:cs="Palatino Linotype"/>
          <w:b/>
          <w:i/>
          <w:sz w:val="22"/>
          <w:szCs w:val="22"/>
        </w:rPr>
      </w:pPr>
      <w:r w:rsidRPr="009D47A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F48F1C2" w14:textId="77777777" w:rsidR="00220300" w:rsidRPr="009D47A2" w:rsidRDefault="00C876FB">
      <w:pPr>
        <w:ind w:left="851" w:right="899"/>
        <w:jc w:val="both"/>
        <w:rPr>
          <w:rFonts w:ascii="Palatino Linotype" w:eastAsia="Palatino Linotype" w:hAnsi="Palatino Linotype" w:cs="Palatino Linotype"/>
          <w:b/>
          <w:i/>
          <w:sz w:val="22"/>
          <w:szCs w:val="22"/>
        </w:rPr>
      </w:pPr>
      <w:r w:rsidRPr="009D47A2">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1C6F6CA8"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Así, del análisis de la solicitud de información pública que motivó el recurso de revisión que ahora se resuelve, se advierte que el particular requirió al Tribunal de Justicia Administrativa del Estado de México, lo siguiente:</w:t>
      </w:r>
    </w:p>
    <w:p w14:paraId="79A81FF3" w14:textId="77777777" w:rsidR="00220300" w:rsidRPr="009D47A2" w:rsidRDefault="00C876FB">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Cuántos prestadores de servicio social y practicantes se tienen en la actualidad, así como las cartas de aceptación de todos ellos o el documento que se genere. </w:t>
      </w:r>
    </w:p>
    <w:p w14:paraId="41DEB2F3" w14:textId="77777777" w:rsidR="00220300" w:rsidRPr="009D47A2" w:rsidRDefault="00C876F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Cuántos prestadores y practicantes ha tenido el Instituto de Justicia Administrativa y todas las unidades administrativas durante este año, especificando aquellos que han iniciado, están desarrollando actividades o han concluido este año. </w:t>
      </w:r>
    </w:p>
    <w:p w14:paraId="1783EFEB" w14:textId="77777777" w:rsidR="00220300" w:rsidRPr="009D47A2" w:rsidRDefault="00C876F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Cómo se integra un expediente. </w:t>
      </w:r>
    </w:p>
    <w:p w14:paraId="3B97C378" w14:textId="77777777" w:rsidR="00220300" w:rsidRPr="009D47A2" w:rsidRDefault="00C876F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Los oficios emitidos por el instituto durante este año respecto a los prestadores y practicantes.</w:t>
      </w:r>
    </w:p>
    <w:p w14:paraId="483295CE" w14:textId="77777777" w:rsidR="00220300" w:rsidRPr="009D47A2" w:rsidRDefault="00C876F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Quiénes son los servidores públicos responsables del instituto de justicia administrativa de la organización, dar información y asignación de los </w:t>
      </w:r>
      <w:r w:rsidRPr="009D47A2">
        <w:rPr>
          <w:rFonts w:ascii="Palatino Linotype" w:eastAsia="Palatino Linotype" w:hAnsi="Palatino Linotype" w:cs="Palatino Linotype"/>
        </w:rPr>
        <w:lastRenderedPageBreak/>
        <w:t>prestadores y practicantes, aparte de la directora, y bajo qué atribuciones realizan esta función y ordenamiento legal que así lo establece.</w:t>
      </w:r>
    </w:p>
    <w:p w14:paraId="57A9D70D" w14:textId="77777777" w:rsidR="00220300" w:rsidRPr="009D47A2" w:rsidRDefault="00C876FB">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Cuentan con listas de asistencia conforme a los lineamientos establecidos o cómo realizan la comprobación de horas conforme a los lineamientos para estos fines.</w:t>
      </w:r>
    </w:p>
    <w:p w14:paraId="29ABF80C"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respuesta, 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a través de su Directora del Instituto de Justicia Administrativa dio contestación a cada uno de los requerimientos del particular, adjuntando los documentos que sustentan sus respuestas, en versión pública la cual fue aprobada mediante el Acta de la Décima Quinta Sesión Extraordinaria del Comité de Transparencia del Tribunal de Justicia Administrativa del Estado de México.</w:t>
      </w:r>
    </w:p>
    <w:p w14:paraId="4557B488"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Una vez conocida la respuesta la parte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xml:space="preserve"> se inconformó por la clasificación de la información.</w:t>
      </w:r>
    </w:p>
    <w:p w14:paraId="50B5ACE2" w14:textId="77777777" w:rsidR="00220300" w:rsidRPr="009D47A2" w:rsidRDefault="00220300">
      <w:pPr>
        <w:spacing w:line="360" w:lineRule="auto"/>
        <w:jc w:val="both"/>
        <w:rPr>
          <w:rFonts w:ascii="Palatino Linotype" w:eastAsia="Palatino Linotype" w:hAnsi="Palatino Linotype" w:cs="Palatino Linotype"/>
        </w:rPr>
      </w:pPr>
    </w:p>
    <w:p w14:paraId="64B62E05"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Ante la interposición del recurso de revisión 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rindió su informe justificado a través del cual en lo medular ratificó su respuesta primigenia. </w:t>
      </w:r>
    </w:p>
    <w:p w14:paraId="3C106071" w14:textId="77777777" w:rsidR="00220300" w:rsidRPr="009D47A2" w:rsidRDefault="00220300">
      <w:pPr>
        <w:spacing w:line="360" w:lineRule="auto"/>
        <w:jc w:val="both"/>
        <w:rPr>
          <w:rFonts w:ascii="Palatino Linotype" w:eastAsia="Palatino Linotype" w:hAnsi="Palatino Linotype" w:cs="Palatino Linotype"/>
        </w:rPr>
      </w:pPr>
    </w:p>
    <w:p w14:paraId="5B5094BC"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Con base en lo precedente, se determina que la información proporcionada por 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en su respuesta, no con lo establecido por los artículos 4, 12 y 24 último párrafo de la Ley de Transparencia y Acceso a la Información Pública del Estado de México y Municipios; por ello, los motivos de inconformidad acontecen fundados para modificar la respuesta del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en razón de las consideraciones de derecho que a continuación se exponen:</w:t>
      </w:r>
    </w:p>
    <w:p w14:paraId="3D66C74A" w14:textId="77777777" w:rsidR="00220300" w:rsidRPr="009D47A2" w:rsidRDefault="00220300">
      <w:pPr>
        <w:spacing w:line="360" w:lineRule="auto"/>
        <w:jc w:val="both"/>
        <w:rPr>
          <w:rFonts w:ascii="Palatino Linotype" w:eastAsia="Palatino Linotype" w:hAnsi="Palatino Linotype" w:cs="Palatino Linotype"/>
        </w:rPr>
      </w:pPr>
    </w:p>
    <w:p w14:paraId="2AF8374D"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Antes del estudio de fondo, se debe precisar que de los motivos de inconformidad de la parte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no se advierte que se inconforme sobre los siguientes puntos:</w:t>
      </w:r>
    </w:p>
    <w:p w14:paraId="0F6E6183" w14:textId="77777777" w:rsidR="00220300" w:rsidRPr="009D47A2" w:rsidRDefault="00C876FB">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Cuántos prestadores de servicio social y practicantes se tienen en la actualidad, así como las cartas de aceptación de todos ellos o el documento que se genere. </w:t>
      </w:r>
    </w:p>
    <w:p w14:paraId="189F9E95" w14:textId="77777777" w:rsidR="00220300" w:rsidRPr="009D47A2" w:rsidRDefault="00C876F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Cuántos prestadores y practicantes ha tenido el Instituto de Justicia Administrativa y todas las unidades administrativas durante este año, especificando aquellos que han iniciado, están desarrollando actividades o han concluido este año. </w:t>
      </w:r>
    </w:p>
    <w:p w14:paraId="3E937240" w14:textId="77777777" w:rsidR="00220300" w:rsidRPr="009D47A2" w:rsidRDefault="00C876F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Cómo se integra un expediente. </w:t>
      </w:r>
    </w:p>
    <w:p w14:paraId="3992DCF7" w14:textId="77777777" w:rsidR="00220300" w:rsidRPr="009D47A2" w:rsidRDefault="00C876F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Los oficios emitidos por el instituto durante este año respecto a los prestadores y practicantes.</w:t>
      </w:r>
    </w:p>
    <w:p w14:paraId="5233AFCB" w14:textId="77777777" w:rsidR="00220300" w:rsidRPr="009D47A2" w:rsidRDefault="00C876F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Quiénes son los servidores públicos responsables del instituto de justicia administrativa de la organización, dar información y asignación de los prestadores y practicantes, aparte de la directora, y bajo qué atribuciones realizan esta función y ordenamiento legal que así lo establece.</w:t>
      </w:r>
    </w:p>
    <w:p w14:paraId="23EBE433" w14:textId="77777777" w:rsidR="00220300" w:rsidRPr="009D47A2" w:rsidRDefault="00C876FB">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Cuentan con listas de asistencia conforme a los lineamientos establecidos o cómo realizan la comprobación de horas conforme a los lineamientos para estos fines.</w:t>
      </w:r>
    </w:p>
    <w:p w14:paraId="2B9E501F" w14:textId="77777777" w:rsidR="00220300" w:rsidRPr="009D47A2" w:rsidRDefault="00220300">
      <w:pPr>
        <w:spacing w:line="360" w:lineRule="auto"/>
        <w:jc w:val="both"/>
        <w:rPr>
          <w:rFonts w:ascii="Palatino Linotype" w:eastAsia="Palatino Linotype" w:hAnsi="Palatino Linotype" w:cs="Palatino Linotype"/>
        </w:rPr>
      </w:pPr>
    </w:p>
    <w:p w14:paraId="737475B2" w14:textId="77777777" w:rsidR="00220300" w:rsidRPr="009D47A2" w:rsidRDefault="00220300">
      <w:pPr>
        <w:spacing w:line="360" w:lineRule="auto"/>
        <w:jc w:val="both"/>
        <w:rPr>
          <w:rFonts w:ascii="Palatino Linotype" w:eastAsia="Palatino Linotype" w:hAnsi="Palatino Linotype" w:cs="Palatino Linotype"/>
        </w:rPr>
      </w:pPr>
    </w:p>
    <w:p w14:paraId="55D435F5"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lastRenderedPageBreak/>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926E16E" w14:textId="77777777" w:rsidR="00220300" w:rsidRPr="009D47A2" w:rsidRDefault="00C876FB">
      <w:pPr>
        <w:spacing w:before="240" w:after="240" w:line="276" w:lineRule="auto"/>
        <w:ind w:left="567" w:right="567"/>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sz w:val="22"/>
          <w:szCs w:val="22"/>
        </w:rPr>
        <w:t>“</w:t>
      </w:r>
      <w:r w:rsidRPr="009D47A2">
        <w:rPr>
          <w:rFonts w:ascii="Palatino Linotype" w:eastAsia="Palatino Linotype" w:hAnsi="Palatino Linotype" w:cs="Palatino Linotype"/>
          <w:b/>
          <w:i/>
          <w:sz w:val="22"/>
          <w:szCs w:val="22"/>
        </w:rPr>
        <w:t>REVISIÓN EN AMPARO. LOS RESOLUTIVOS NO COMBATIDOS DEBEN DECLARARSE FIRMES</w:t>
      </w:r>
      <w:r w:rsidRPr="009D47A2">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3A3023D"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Esto es, la parte de la solicitud sobre la que no se expresó inconformidad, debe declararse consentida por el hoy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4F99D0BA" w14:textId="77777777" w:rsidR="00220300" w:rsidRPr="009D47A2" w:rsidRDefault="00C876FB">
      <w:pPr>
        <w:spacing w:before="240" w:after="24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5AE93F11" w14:textId="77777777" w:rsidR="00220300" w:rsidRPr="009D47A2" w:rsidRDefault="00C876FB">
      <w:pPr>
        <w:spacing w:before="240" w:after="240" w:line="276" w:lineRule="auto"/>
        <w:ind w:left="567" w:right="567"/>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r w:rsidRPr="009D47A2">
        <w:rPr>
          <w:rFonts w:ascii="Palatino Linotype" w:eastAsia="Palatino Linotype" w:hAnsi="Palatino Linotype" w:cs="Palatino Linotype"/>
          <w:b/>
          <w:i/>
          <w:sz w:val="22"/>
          <w:szCs w:val="22"/>
        </w:rPr>
        <w:t>ACTOS CONSENTIDOS. SON LOS QUE NO SE IMPUGNAN MEDIANTE EL RECURSO IDÓNEO</w:t>
      </w:r>
      <w:r w:rsidRPr="009D47A2">
        <w:rPr>
          <w:rFonts w:ascii="Palatino Linotype" w:eastAsia="Palatino Linotype" w:hAnsi="Palatino Linotype" w:cs="Palatino Linotype"/>
          <w:i/>
          <w:sz w:val="22"/>
          <w:szCs w:val="22"/>
        </w:rPr>
        <w:t xml:space="preserve">. Debe reputarse como consentido el acto que no se impugnó por el medio establecido por la ley, ya que, si se hizo uso de otro no previsto por ella o si se </w:t>
      </w:r>
      <w:r w:rsidRPr="009D47A2">
        <w:rPr>
          <w:rFonts w:ascii="Palatino Linotype" w:eastAsia="Palatino Linotype" w:hAnsi="Palatino Linotype" w:cs="Palatino Linotype"/>
          <w:i/>
          <w:sz w:val="22"/>
          <w:szCs w:val="22"/>
        </w:rPr>
        <w:lastRenderedPageBreak/>
        <w:t xml:space="preserve">hace una simple manifestación de inconformidad, tales actuaciones no producen efectos jurídicos tendientes a revocar, confirmar o modificar el acto reclamado en amparo, lo que significa consentimiento del mismo por falta de impugnación eficaz.” </w:t>
      </w:r>
    </w:p>
    <w:p w14:paraId="412564AA"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Entonces el análisis versaría sobre la clasificación que se realizó en las cartas de aceptación, informe mensuales, calendario de asesorías y de todos ellos o el documento que se genere.</w:t>
      </w:r>
    </w:p>
    <w:p w14:paraId="5293A067" w14:textId="77777777" w:rsidR="00220300" w:rsidRPr="009D47A2" w:rsidRDefault="00220300">
      <w:pPr>
        <w:spacing w:line="360" w:lineRule="auto"/>
        <w:jc w:val="both"/>
        <w:rPr>
          <w:rFonts w:ascii="Palatino Linotype" w:eastAsia="Palatino Linotype" w:hAnsi="Palatino Linotype" w:cs="Palatino Linotype"/>
        </w:rPr>
      </w:pPr>
    </w:p>
    <w:p w14:paraId="047D76AC"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Ahora bien, sobre la clasificación de la información de la que se queja la parte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xml:space="preserve">, el área que propuso la clasificación de la información y quien entregó la información requerida fue la Dirección del Instituto de Justicia Administrativa del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que en términos de lo señalado por el artículo 71 fracción IX de la Ley Orgánica del Tribunal de Justicia Administrativa del Estado de México, tiene la siguiente atribución</w:t>
      </w:r>
      <w:r w:rsidRPr="009D47A2">
        <w:t>:</w:t>
      </w:r>
    </w:p>
    <w:p w14:paraId="5C3E637F" w14:textId="77777777" w:rsidR="00220300" w:rsidRPr="009D47A2" w:rsidRDefault="00220300">
      <w:pPr>
        <w:spacing w:line="360" w:lineRule="auto"/>
        <w:jc w:val="both"/>
        <w:rPr>
          <w:rFonts w:ascii="Palatino Linotype" w:eastAsia="Palatino Linotype" w:hAnsi="Palatino Linotype" w:cs="Palatino Linotype"/>
        </w:rPr>
      </w:pPr>
    </w:p>
    <w:p w14:paraId="607BF61F" w14:textId="77777777" w:rsidR="00220300" w:rsidRPr="009D47A2" w:rsidRDefault="00C876FB">
      <w:pPr>
        <w:ind w:left="567" w:right="567"/>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“Artículo 71. La o el Director del Instituto de Justicia Administrativa tendrá las atribuciones y deberes siguientes:</w:t>
      </w:r>
    </w:p>
    <w:p w14:paraId="0E9DEE30" w14:textId="77777777" w:rsidR="00220300" w:rsidRPr="009D47A2" w:rsidRDefault="00C876FB">
      <w:pPr>
        <w:ind w:left="567" w:right="567"/>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p>
    <w:p w14:paraId="5BC762A1" w14:textId="77777777" w:rsidR="00220300" w:rsidRPr="009D47A2" w:rsidRDefault="00C876FB">
      <w:pPr>
        <w:ind w:left="567" w:right="567"/>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IX. Organizar, coordinar y controlar la prestación del servicio social, prácticas escolares y prácticas profesionales…” (Sic)</w:t>
      </w:r>
    </w:p>
    <w:p w14:paraId="0B1FA75D" w14:textId="77777777" w:rsidR="00220300" w:rsidRPr="009D47A2" w:rsidRDefault="00220300">
      <w:pPr>
        <w:ind w:left="567" w:right="567"/>
        <w:jc w:val="both"/>
        <w:rPr>
          <w:rFonts w:ascii="Palatino Linotype" w:eastAsia="Palatino Linotype" w:hAnsi="Palatino Linotype" w:cs="Palatino Linotype"/>
          <w:i/>
          <w:sz w:val="22"/>
          <w:szCs w:val="22"/>
        </w:rPr>
      </w:pPr>
    </w:p>
    <w:p w14:paraId="58644B56" w14:textId="77777777" w:rsidR="00220300" w:rsidRPr="009D47A2" w:rsidRDefault="00C876FB">
      <w:pPr>
        <w:spacing w:after="240" w:line="360" w:lineRule="auto"/>
        <w:ind w:right="49"/>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Siendo el área competente para conocer todo lo relacionado con los que prestan servicio social, prácticas escolares y prácticas profesionales. </w:t>
      </w:r>
    </w:p>
    <w:p w14:paraId="1AAB170F" w14:textId="77777777" w:rsidR="00220300" w:rsidRPr="009D47A2" w:rsidRDefault="00C876FB">
      <w:pPr>
        <w:tabs>
          <w:tab w:val="left" w:pos="7938"/>
        </w:tabs>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Asimismo, resulta importante señalar que de la respuesta, se desprende que el Tribunal de Justicia Administrativa del Estado de México, hizo la búsqueda exhaustiva en el área competente, cumpliendo con el procedimiento de búsqueda establecido en el artículo 162 de la Ley de Transparencia y Acceso a la Información </w:t>
      </w:r>
      <w:r w:rsidRPr="009D47A2">
        <w:rPr>
          <w:rFonts w:ascii="Palatino Linotype" w:eastAsia="Palatino Linotype" w:hAnsi="Palatino Linotype" w:cs="Palatino Linotype"/>
        </w:rPr>
        <w:lastRenderedPageBreak/>
        <w:t>Pública del Estado de México y Municipios, al gestionar el requerimiento de información al área competente para conocer de lo peticionado, como así lo determina dicho ordenamiento legal que señala:</w:t>
      </w:r>
    </w:p>
    <w:p w14:paraId="30A054BF" w14:textId="77777777" w:rsidR="00220300" w:rsidRPr="009D47A2" w:rsidRDefault="00220300">
      <w:pPr>
        <w:tabs>
          <w:tab w:val="left" w:pos="7938"/>
        </w:tabs>
        <w:spacing w:line="360" w:lineRule="auto"/>
        <w:jc w:val="both"/>
        <w:rPr>
          <w:rFonts w:ascii="Palatino Linotype" w:eastAsia="Palatino Linotype" w:hAnsi="Palatino Linotype" w:cs="Palatino Linotype"/>
        </w:rPr>
      </w:pPr>
    </w:p>
    <w:p w14:paraId="11DFE301" w14:textId="77777777" w:rsidR="00220300" w:rsidRPr="009D47A2" w:rsidRDefault="00C876FB">
      <w:pPr>
        <w:ind w:left="851" w:right="90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55145901" w14:textId="77777777" w:rsidR="00220300" w:rsidRPr="009D47A2" w:rsidRDefault="00C876FB">
      <w:pPr>
        <w:spacing w:before="240" w:after="240" w:line="360" w:lineRule="auto"/>
        <w:ind w:right="49"/>
        <w:jc w:val="both"/>
        <w:rPr>
          <w:rFonts w:ascii="Palatino Linotype" w:eastAsia="Palatino Linotype" w:hAnsi="Palatino Linotype" w:cs="Palatino Linotype"/>
        </w:rPr>
      </w:pPr>
      <w:r w:rsidRPr="009D47A2">
        <w:rPr>
          <w:rFonts w:ascii="Palatino Linotype" w:eastAsia="Palatino Linotype" w:hAnsi="Palatino Linotype" w:cs="Palatino Linotype"/>
        </w:rPr>
        <w:t>En ese sentido,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8A76BAF" w14:textId="77777777" w:rsidR="00220300" w:rsidRPr="009D47A2" w:rsidRDefault="00220300">
      <w:pPr>
        <w:spacing w:line="360" w:lineRule="auto"/>
        <w:jc w:val="both"/>
        <w:rPr>
          <w:rFonts w:ascii="Palatino Linotype" w:eastAsia="Palatino Linotype" w:hAnsi="Palatino Linotype" w:cs="Palatino Linotype"/>
        </w:rPr>
      </w:pPr>
    </w:p>
    <w:p w14:paraId="19DAD6C4"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B6DEDE6" w14:textId="77777777" w:rsidR="00220300" w:rsidRPr="009D47A2" w:rsidRDefault="00220300">
      <w:pPr>
        <w:spacing w:line="360" w:lineRule="auto"/>
        <w:jc w:val="both"/>
        <w:rPr>
          <w:rFonts w:ascii="Palatino Linotype" w:eastAsia="Palatino Linotype" w:hAnsi="Palatino Linotype" w:cs="Palatino Linotype"/>
        </w:rPr>
      </w:pPr>
    </w:p>
    <w:p w14:paraId="434C8272"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9352CD9" w14:textId="77777777" w:rsidR="00220300" w:rsidRPr="009D47A2" w:rsidRDefault="00220300">
      <w:pPr>
        <w:spacing w:line="360" w:lineRule="auto"/>
        <w:jc w:val="both"/>
        <w:rPr>
          <w:rFonts w:ascii="Palatino Linotype" w:eastAsia="Palatino Linotype" w:hAnsi="Palatino Linotype" w:cs="Palatino Linotype"/>
        </w:rPr>
      </w:pPr>
    </w:p>
    <w:p w14:paraId="38066E14"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9B9C8A9" w14:textId="77777777" w:rsidR="00220300" w:rsidRPr="009D47A2" w:rsidRDefault="00220300">
      <w:pPr>
        <w:spacing w:line="360" w:lineRule="auto"/>
        <w:jc w:val="both"/>
        <w:rPr>
          <w:rFonts w:ascii="Palatino Linotype" w:eastAsia="Palatino Linotype" w:hAnsi="Palatino Linotype" w:cs="Palatino Linotype"/>
        </w:rPr>
      </w:pPr>
    </w:p>
    <w:p w14:paraId="1753DB9B"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71C857B" w14:textId="77777777" w:rsidR="00220300" w:rsidRPr="009D47A2" w:rsidRDefault="00220300">
      <w:pPr>
        <w:spacing w:line="360" w:lineRule="auto"/>
        <w:jc w:val="both"/>
        <w:rPr>
          <w:rFonts w:ascii="Palatino Linotype" w:eastAsia="Palatino Linotype" w:hAnsi="Palatino Linotype" w:cs="Palatino Linotype"/>
        </w:rPr>
      </w:pPr>
    </w:p>
    <w:p w14:paraId="6C396DB0"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7231E701"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lastRenderedPageBreak/>
        <w:t>En términos de lo expuesto, la documentación y aquellos datos que se consideren confidenciales, serán una limitante del derecho de acceso a la información, siempre y cuando:</w:t>
      </w:r>
    </w:p>
    <w:p w14:paraId="7F780B1E" w14:textId="77777777" w:rsidR="00220300" w:rsidRPr="009D47A2" w:rsidRDefault="00220300">
      <w:pPr>
        <w:spacing w:line="360" w:lineRule="auto"/>
        <w:jc w:val="both"/>
        <w:rPr>
          <w:rFonts w:ascii="Palatino Linotype" w:eastAsia="Palatino Linotype" w:hAnsi="Palatino Linotype" w:cs="Palatino Linotype"/>
        </w:rPr>
      </w:pPr>
    </w:p>
    <w:p w14:paraId="3B4F848C" w14:textId="77777777" w:rsidR="00220300" w:rsidRPr="009D47A2" w:rsidRDefault="00C876FB">
      <w:pPr>
        <w:numPr>
          <w:ilvl w:val="0"/>
          <w:numId w:val="4"/>
        </w:num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Se trate de datos personales o información privada; esto es, información concerniente a una persona física o jurídico colectiva y que esta sea identificada o identificable. </w:t>
      </w:r>
    </w:p>
    <w:p w14:paraId="749CB211" w14:textId="77777777" w:rsidR="00220300" w:rsidRPr="009D47A2" w:rsidRDefault="00220300">
      <w:pPr>
        <w:spacing w:line="360" w:lineRule="auto"/>
        <w:jc w:val="both"/>
        <w:rPr>
          <w:rFonts w:ascii="Palatino Linotype" w:eastAsia="Palatino Linotype" w:hAnsi="Palatino Linotype" w:cs="Palatino Linotype"/>
        </w:rPr>
      </w:pPr>
    </w:p>
    <w:p w14:paraId="3A6833C2" w14:textId="77777777" w:rsidR="00220300" w:rsidRPr="009D47A2" w:rsidRDefault="00C876FB">
      <w:pPr>
        <w:numPr>
          <w:ilvl w:val="0"/>
          <w:numId w:val="4"/>
        </w:num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Para la difusión de los datos, se requiere el consentimiento del titular. </w:t>
      </w:r>
    </w:p>
    <w:p w14:paraId="4A965D70" w14:textId="77777777" w:rsidR="00220300" w:rsidRPr="009D47A2" w:rsidRDefault="00220300">
      <w:pPr>
        <w:spacing w:line="360" w:lineRule="auto"/>
        <w:jc w:val="both"/>
        <w:rPr>
          <w:rFonts w:ascii="Palatino Linotype" w:eastAsia="Palatino Linotype" w:hAnsi="Palatino Linotype" w:cs="Palatino Linotype"/>
        </w:rPr>
      </w:pPr>
    </w:p>
    <w:p w14:paraId="058B61DD"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F361C66" w14:textId="77777777" w:rsidR="00220300" w:rsidRPr="009D47A2" w:rsidRDefault="00220300">
      <w:pPr>
        <w:spacing w:line="360" w:lineRule="auto"/>
        <w:jc w:val="both"/>
        <w:rPr>
          <w:rFonts w:ascii="Palatino Linotype" w:eastAsia="Palatino Linotype" w:hAnsi="Palatino Linotype" w:cs="Palatino Linotype"/>
        </w:rPr>
      </w:pPr>
    </w:p>
    <w:p w14:paraId="69EC48F9"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Además, en el artículo 5° de dicho ordenamiento jurídico, establece que es la Ley aplicable para todo tratamiento de datos personales.</w:t>
      </w:r>
    </w:p>
    <w:p w14:paraId="28B86315" w14:textId="77777777" w:rsidR="00220300" w:rsidRPr="009D47A2" w:rsidRDefault="00220300">
      <w:pPr>
        <w:spacing w:line="360" w:lineRule="auto"/>
        <w:jc w:val="both"/>
        <w:rPr>
          <w:rFonts w:ascii="Palatino Linotype" w:eastAsia="Palatino Linotype" w:hAnsi="Palatino Linotype" w:cs="Palatino Linotype"/>
        </w:rPr>
      </w:pPr>
    </w:p>
    <w:p w14:paraId="44BDE250"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ese orden de ideas, los artículos 6°, 7°, 8° y 14 de la Ley de Protección de Datos Personales en Posesión de Sujetos Obligados del Estado de México y Municipios </w:t>
      </w:r>
      <w:r w:rsidRPr="009D47A2">
        <w:rPr>
          <w:rFonts w:ascii="Palatino Linotype" w:eastAsia="Palatino Linotype" w:hAnsi="Palatino Linotype" w:cs="Palatino Linotype"/>
        </w:rPr>
        <w:lastRenderedPageBreak/>
        <w:t>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39FEE0E" w14:textId="77777777" w:rsidR="00220300" w:rsidRPr="009D47A2" w:rsidRDefault="00220300">
      <w:pPr>
        <w:spacing w:line="360" w:lineRule="auto"/>
        <w:jc w:val="both"/>
        <w:rPr>
          <w:rFonts w:ascii="Palatino Linotype" w:eastAsia="Palatino Linotype" w:hAnsi="Palatino Linotype" w:cs="Palatino Linotype"/>
        </w:rPr>
      </w:pPr>
    </w:p>
    <w:p w14:paraId="697C6481"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4288566" w14:textId="77777777" w:rsidR="00220300" w:rsidRPr="009D47A2" w:rsidRDefault="00220300">
      <w:pPr>
        <w:spacing w:line="360" w:lineRule="auto"/>
        <w:jc w:val="both"/>
        <w:rPr>
          <w:rFonts w:ascii="Palatino Linotype" w:eastAsia="Palatino Linotype" w:hAnsi="Palatino Linotype" w:cs="Palatino Linotype"/>
        </w:rPr>
      </w:pPr>
    </w:p>
    <w:p w14:paraId="01928069"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C54F443" w14:textId="77777777" w:rsidR="00220300" w:rsidRPr="009D47A2" w:rsidRDefault="00220300">
      <w:pPr>
        <w:spacing w:line="360" w:lineRule="auto"/>
        <w:jc w:val="both"/>
        <w:rPr>
          <w:rFonts w:ascii="Palatino Linotype" w:eastAsia="Palatino Linotype" w:hAnsi="Palatino Linotype" w:cs="Palatino Linotype"/>
        </w:rPr>
      </w:pPr>
    </w:p>
    <w:p w14:paraId="122BB06B"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lastRenderedPageBreak/>
        <w:t>De tal suerte, las instituciones públicas tienen la doble responsabilidad, por un lado, de proteger los datos personales y por otro, darles publicidad cuando la relevancia de esos datos sea de interés público.</w:t>
      </w:r>
    </w:p>
    <w:p w14:paraId="311BC47A" w14:textId="77777777" w:rsidR="00220300" w:rsidRPr="009D47A2" w:rsidRDefault="00220300">
      <w:pPr>
        <w:spacing w:line="360" w:lineRule="auto"/>
        <w:jc w:val="both"/>
        <w:rPr>
          <w:rFonts w:ascii="Palatino Linotype" w:eastAsia="Palatino Linotype" w:hAnsi="Palatino Linotype" w:cs="Palatino Linotype"/>
        </w:rPr>
      </w:pPr>
    </w:p>
    <w:p w14:paraId="114D3A5D"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En este orden de ideas, toda la información que transparente la gestión pública, favorezca la rendición de cuentas y contribuya a la democratización del Estado Mexicano es, sin excepción, de naturaleza pública; tal es el caso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5AC4C48C" w14:textId="77777777" w:rsidR="00220300" w:rsidRPr="009D47A2" w:rsidRDefault="00220300">
      <w:pPr>
        <w:spacing w:line="360" w:lineRule="auto"/>
        <w:jc w:val="both"/>
        <w:rPr>
          <w:rFonts w:ascii="Palatino Linotype" w:eastAsia="Palatino Linotype" w:hAnsi="Palatino Linotype" w:cs="Palatino Linotype"/>
        </w:rPr>
      </w:pPr>
    </w:p>
    <w:p w14:paraId="49B502A1"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w:t>
      </w:r>
      <w:proofErr w:type="spellStart"/>
      <w:r w:rsidRPr="009D47A2">
        <w:rPr>
          <w:rFonts w:ascii="Palatino Linotype" w:eastAsia="Palatino Linotype" w:hAnsi="Palatino Linotype" w:cs="Palatino Linotype"/>
        </w:rPr>
        <w:t>aún</w:t>
      </w:r>
      <w:proofErr w:type="spellEnd"/>
      <w:r w:rsidRPr="009D47A2">
        <w:rPr>
          <w:rFonts w:ascii="Palatino Linotype" w:eastAsia="Palatino Linotype" w:hAnsi="Palatino Linotype" w:cs="Palatino Linotype"/>
        </w:rPr>
        <w:t xml:space="preserve"> tratándose de información personal.</w:t>
      </w:r>
    </w:p>
    <w:p w14:paraId="4032B72D"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4AA0745" w14:textId="77777777" w:rsidR="00220300" w:rsidRPr="009D47A2" w:rsidRDefault="00220300">
      <w:pPr>
        <w:spacing w:line="360" w:lineRule="auto"/>
        <w:jc w:val="both"/>
        <w:rPr>
          <w:rFonts w:ascii="Palatino Linotype" w:eastAsia="Palatino Linotype" w:hAnsi="Palatino Linotype" w:cs="Palatino Linotype"/>
        </w:rPr>
      </w:pPr>
    </w:p>
    <w:p w14:paraId="39E5DEAC"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Bajo ese contexto, se analizarán si los datos personales que se advierten en el archivo denominado “</w:t>
      </w:r>
      <w:hyperlink r:id="rId20">
        <w:r w:rsidRPr="009D47A2">
          <w:rPr>
            <w:rFonts w:ascii="Palatino Linotype" w:eastAsia="Palatino Linotype" w:hAnsi="Palatino Linotype" w:cs="Palatino Linotype"/>
          </w:rPr>
          <w:t>11_IJA_CA_2024 - TESTADO - FOLIADO - LEYENDA_II.pdf</w:t>
        </w:r>
      </w:hyperlink>
      <w:r w:rsidRPr="009D47A2">
        <w:rPr>
          <w:rFonts w:ascii="Palatino Linotype" w:eastAsia="Palatino Linotype" w:hAnsi="Palatino Linotype" w:cs="Palatino Linotype"/>
        </w:rPr>
        <w:t>”, entregado en respuesta</w:t>
      </w:r>
      <w:r w:rsidRPr="009D47A2">
        <w:t xml:space="preserve"> y</w:t>
      </w:r>
      <w:r w:rsidRPr="009D47A2">
        <w:rPr>
          <w:rFonts w:ascii="Palatino Linotype" w:eastAsia="Palatino Linotype" w:hAnsi="Palatino Linotype" w:cs="Palatino Linotype"/>
        </w:rPr>
        <w:t xml:space="preserve"> que el </w:t>
      </w:r>
      <w:r w:rsidRPr="009D47A2">
        <w:rPr>
          <w:rFonts w:ascii="Palatino Linotype" w:eastAsia="Palatino Linotype" w:hAnsi="Palatino Linotype" w:cs="Palatino Linotype"/>
          <w:b/>
        </w:rPr>
        <w:t xml:space="preserve">SUJETO OBLIGADO </w:t>
      </w:r>
      <w:r w:rsidRPr="009D47A2">
        <w:rPr>
          <w:rFonts w:ascii="Palatino Linotype" w:eastAsia="Palatino Linotype" w:hAnsi="Palatino Linotype" w:cs="Palatino Linotype"/>
        </w:rPr>
        <w:t>clasificó como confidencial, deben ser considerados tal, en términos del artículo 143, fracción I, de la Ley de Transparencia y Acceso a la Información Pública del Estado de México y Municipios, o públicos, conforme a lo siguiente:</w:t>
      </w:r>
    </w:p>
    <w:p w14:paraId="429C4905" w14:textId="77777777" w:rsidR="00220300" w:rsidRPr="009D47A2" w:rsidRDefault="00220300">
      <w:pPr>
        <w:spacing w:line="360" w:lineRule="auto"/>
        <w:jc w:val="both"/>
        <w:rPr>
          <w:rFonts w:ascii="Palatino Linotype" w:eastAsia="Palatino Linotype" w:hAnsi="Palatino Linotype" w:cs="Palatino Linotype"/>
        </w:rPr>
      </w:pPr>
    </w:p>
    <w:p w14:paraId="00AA2B2C" w14:textId="77777777" w:rsidR="00220300" w:rsidRPr="009D47A2" w:rsidRDefault="00C876FB">
      <w:pPr>
        <w:spacing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b/>
        </w:rPr>
        <w:t>-Nombre de los prestadores de Servicio Social, Prácticas Profesionales y Prácticas Escolares.</w:t>
      </w:r>
    </w:p>
    <w:p w14:paraId="1B46EF1C" w14:textId="77777777" w:rsidR="00220300" w:rsidRPr="009D47A2" w:rsidRDefault="00220300">
      <w:pPr>
        <w:spacing w:line="360" w:lineRule="auto"/>
        <w:jc w:val="both"/>
        <w:rPr>
          <w:rFonts w:ascii="Palatino Linotype" w:eastAsia="Palatino Linotype" w:hAnsi="Palatino Linotype" w:cs="Palatino Linotype"/>
          <w:b/>
        </w:rPr>
      </w:pPr>
    </w:p>
    <w:p w14:paraId="0B4FBA87" w14:textId="77777777" w:rsidR="00220300" w:rsidRPr="009D47A2" w:rsidRDefault="00C876FB">
      <w:pPr>
        <w:spacing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9D47A2">
        <w:rPr>
          <w:rFonts w:ascii="Palatino Linotype" w:eastAsia="Palatino Linotype" w:hAnsi="Palatino Linotype" w:cs="Palatino Linotype"/>
          <w:i/>
        </w:rPr>
        <w:t>per se</w:t>
      </w:r>
      <w:r w:rsidRPr="009D47A2">
        <w:rPr>
          <w:rFonts w:ascii="Palatino Linotype" w:eastAsia="Palatino Linotype" w:hAnsi="Palatino Linotype" w:cs="Palatino Linotype"/>
        </w:rPr>
        <w:t xml:space="preserve"> es un elemento que hace a una persona física identificada o identificable, por lo que, </w:t>
      </w:r>
      <w:r w:rsidRPr="009D47A2">
        <w:rPr>
          <w:rFonts w:ascii="Palatino Linotype" w:eastAsia="Palatino Linotype" w:hAnsi="Palatino Linotype" w:cs="Palatino Linotype"/>
          <w:b/>
        </w:rPr>
        <w:t>se considera un dato personal.</w:t>
      </w:r>
    </w:p>
    <w:p w14:paraId="0CB37240" w14:textId="77777777" w:rsidR="00220300" w:rsidRPr="009D47A2" w:rsidRDefault="00220300">
      <w:pPr>
        <w:spacing w:line="360" w:lineRule="auto"/>
        <w:jc w:val="both"/>
        <w:rPr>
          <w:rFonts w:ascii="Palatino Linotype" w:eastAsia="Palatino Linotype" w:hAnsi="Palatino Linotype" w:cs="Palatino Linotype"/>
          <w:b/>
        </w:rPr>
      </w:pPr>
    </w:p>
    <w:p w14:paraId="5B32A8A0"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sz w:val="22"/>
          <w:szCs w:val="22"/>
        </w:rPr>
        <w:t xml:space="preserve">En efecto, en el caso particular, por la naturaleza de la información que se solicita el nombre de los particulares, constituye un dato personal confidencial, por lo que actualiza el supuesto previsto en el artículo 143 </w:t>
      </w:r>
      <w:r w:rsidRPr="009D47A2">
        <w:rPr>
          <w:rFonts w:ascii="Palatino Linotype" w:eastAsia="Palatino Linotype" w:hAnsi="Palatino Linotype" w:cs="Palatino Linotype"/>
        </w:rPr>
        <w:t xml:space="preserve">fracción I de la Ley de Transparencia y Acceso a la Información Pública del Estado de México y Municipios y por tanto, procede su eliminación de las versiones públicas. </w:t>
      </w:r>
    </w:p>
    <w:p w14:paraId="417BDA21" w14:textId="77777777" w:rsidR="00220300" w:rsidRPr="009D47A2" w:rsidRDefault="00220300">
      <w:pPr>
        <w:spacing w:line="360" w:lineRule="auto"/>
        <w:jc w:val="both"/>
        <w:rPr>
          <w:rFonts w:ascii="Palatino Linotype" w:eastAsia="Palatino Linotype" w:hAnsi="Palatino Linotype" w:cs="Palatino Linotype"/>
        </w:rPr>
      </w:pPr>
    </w:p>
    <w:p w14:paraId="476BF79C"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el presente caso, los nombres de los prestadores de servicio social y prácticas profesionales es un dato que deberá ser protegido </w:t>
      </w:r>
      <w:r w:rsidRPr="009D47A2">
        <w:rPr>
          <w:rFonts w:ascii="Palatino Linotype" w:eastAsia="Palatino Linotype" w:hAnsi="Palatino Linotype" w:cs="Palatino Linotype"/>
          <w:b/>
        </w:rPr>
        <w:t>sólo en el caso de que estos no reciban ninguna contraprestación o recursos públicos;</w:t>
      </w:r>
      <w:r w:rsidRPr="009D47A2">
        <w:rPr>
          <w:rFonts w:ascii="Palatino Linotype" w:eastAsia="Palatino Linotype" w:hAnsi="Palatino Linotype" w:cs="Palatino Linotype"/>
        </w:rPr>
        <w:t xml:space="preserve"> en caso contrario, sí es procedente dejar visible el nombre por considerarse información de interés público y que abona a la transparencia y correcta rendición de cuentas, en términos de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1406EA6D" w14:textId="77777777" w:rsidR="00220300" w:rsidRPr="009D47A2" w:rsidRDefault="00220300">
      <w:pPr>
        <w:spacing w:line="360" w:lineRule="auto"/>
        <w:jc w:val="both"/>
        <w:rPr>
          <w:rFonts w:ascii="Palatino Linotype" w:eastAsia="Palatino Linotype" w:hAnsi="Palatino Linotype" w:cs="Palatino Linotype"/>
        </w:rPr>
      </w:pPr>
    </w:p>
    <w:p w14:paraId="685C0766" w14:textId="77777777" w:rsidR="00220300" w:rsidRPr="009D47A2" w:rsidRDefault="00C876FB">
      <w:pPr>
        <w:ind w:left="851" w:right="851"/>
        <w:jc w:val="both"/>
        <w:rPr>
          <w:rFonts w:ascii="Palatino Linotype" w:eastAsia="Palatino Linotype" w:hAnsi="Palatino Linotype" w:cs="Palatino Linotype"/>
          <w:i/>
          <w:sz w:val="22"/>
          <w:szCs w:val="22"/>
          <w:u w:val="single"/>
        </w:rPr>
      </w:pPr>
      <w:r w:rsidRPr="009D47A2">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9D47A2">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9D47A2">
        <w:rPr>
          <w:rFonts w:ascii="Palatino Linotype" w:eastAsia="Palatino Linotype" w:hAnsi="Palatino Linotype" w:cs="Palatino Linotype"/>
          <w:b/>
          <w:i/>
          <w:sz w:val="22"/>
          <w:szCs w:val="22"/>
          <w:u w:val="single"/>
        </w:rPr>
        <w:t>que reciba y ejerza recursos públicos</w:t>
      </w:r>
      <w:r w:rsidRPr="009D47A2">
        <w:rPr>
          <w:rFonts w:ascii="Palatino Linotype" w:eastAsia="Palatino Linotype" w:hAnsi="Palatino Linotype" w:cs="Palatino Linotype"/>
          <w:i/>
          <w:sz w:val="22"/>
          <w:szCs w:val="22"/>
        </w:rPr>
        <w:t xml:space="preserve"> o realice actos de autoridad </w:t>
      </w:r>
      <w:r w:rsidRPr="009D47A2">
        <w:rPr>
          <w:rFonts w:ascii="Palatino Linotype" w:eastAsia="Palatino Linotype" w:hAnsi="Palatino Linotype" w:cs="Palatino Linotype"/>
          <w:b/>
          <w:i/>
          <w:sz w:val="22"/>
          <w:szCs w:val="22"/>
          <w:u w:val="single"/>
        </w:rPr>
        <w:t>en el ámbito de competencia del Estado de México y sus municipios</w:t>
      </w:r>
      <w:r w:rsidRPr="009D47A2">
        <w:rPr>
          <w:rFonts w:ascii="Palatino Linotype" w:eastAsia="Palatino Linotype" w:hAnsi="Palatino Linotype" w:cs="Palatino Linotype"/>
          <w:i/>
          <w:sz w:val="22"/>
          <w:szCs w:val="22"/>
          <w:u w:val="single"/>
        </w:rPr>
        <w:t>.</w:t>
      </w:r>
    </w:p>
    <w:p w14:paraId="2D94CFEA"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lastRenderedPageBreak/>
        <w:t>Artículo 23. Son sujetos obligados a transparentar y permitir el acceso a su información y proteger los datos personales que obren en su poder:</w:t>
      </w:r>
    </w:p>
    <w:p w14:paraId="40F90126"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p>
    <w:p w14:paraId="2BADF10A" w14:textId="77777777" w:rsidR="00220300" w:rsidRPr="009D47A2" w:rsidRDefault="00C876FB">
      <w:pPr>
        <w:ind w:left="851" w:right="851"/>
        <w:jc w:val="both"/>
        <w:rPr>
          <w:rFonts w:ascii="Palatino Linotype" w:eastAsia="Palatino Linotype" w:hAnsi="Palatino Linotype" w:cs="Palatino Linotype"/>
          <w:b/>
          <w:i/>
          <w:sz w:val="22"/>
          <w:szCs w:val="22"/>
          <w:u w:val="single"/>
        </w:rPr>
      </w:pPr>
      <w:r w:rsidRPr="009D47A2">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4B04C521"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p>
    <w:p w14:paraId="110B5B2F" w14:textId="77777777" w:rsidR="00220300" w:rsidRPr="009D47A2" w:rsidRDefault="00C876FB">
      <w:pPr>
        <w:ind w:left="851" w:right="851"/>
        <w:jc w:val="both"/>
        <w:rPr>
          <w:rFonts w:ascii="Palatino Linotype" w:eastAsia="Palatino Linotype" w:hAnsi="Palatino Linotype" w:cs="Palatino Linotype"/>
          <w:b/>
          <w:i/>
          <w:sz w:val="22"/>
          <w:szCs w:val="22"/>
          <w:u w:val="single"/>
        </w:rPr>
      </w:pPr>
      <w:r w:rsidRPr="009D47A2">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BB5C588" w14:textId="77777777" w:rsidR="00220300" w:rsidRPr="009D47A2" w:rsidRDefault="00C876FB">
      <w:pPr>
        <w:ind w:left="851" w:right="851"/>
        <w:jc w:val="both"/>
        <w:rPr>
          <w:rFonts w:ascii="Palatino Linotype" w:eastAsia="Palatino Linotype" w:hAnsi="Palatino Linotype" w:cs="Palatino Linotype"/>
          <w:b/>
          <w:i/>
          <w:sz w:val="22"/>
          <w:szCs w:val="22"/>
        </w:rPr>
      </w:pPr>
      <w:r w:rsidRPr="009D47A2">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9D47A2">
        <w:rPr>
          <w:rFonts w:ascii="Palatino Linotype" w:eastAsia="Palatino Linotype" w:hAnsi="Palatino Linotype" w:cs="Palatino Linotype"/>
          <w:b/>
          <w:i/>
          <w:sz w:val="22"/>
          <w:szCs w:val="22"/>
        </w:rPr>
        <w:t xml:space="preserve"> </w:t>
      </w:r>
    </w:p>
    <w:p w14:paraId="0767D9BC" w14:textId="77777777" w:rsidR="00220300" w:rsidRPr="009D47A2" w:rsidRDefault="00220300">
      <w:pPr>
        <w:spacing w:line="360" w:lineRule="auto"/>
        <w:jc w:val="both"/>
        <w:rPr>
          <w:rFonts w:ascii="Palatino Linotype" w:eastAsia="Palatino Linotype" w:hAnsi="Palatino Linotype" w:cs="Palatino Linotype"/>
          <w:b/>
        </w:rPr>
      </w:pPr>
    </w:p>
    <w:p w14:paraId="3618C75B" w14:textId="77777777" w:rsidR="00220300" w:rsidRPr="009D47A2" w:rsidRDefault="00C876FB">
      <w:pPr>
        <w:spacing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b/>
        </w:rPr>
        <w:t xml:space="preserve">-Nombre, denominación o razón social de Escuelas privadas o particulares. </w:t>
      </w:r>
    </w:p>
    <w:p w14:paraId="6FA4C187" w14:textId="77777777" w:rsidR="00220300" w:rsidRPr="009D47A2" w:rsidRDefault="00220300">
      <w:pPr>
        <w:spacing w:line="360" w:lineRule="auto"/>
        <w:jc w:val="both"/>
        <w:rPr>
          <w:rFonts w:ascii="Palatino Linotype" w:eastAsia="Palatino Linotype" w:hAnsi="Palatino Linotype" w:cs="Palatino Linotype"/>
          <w:b/>
        </w:rPr>
      </w:pPr>
    </w:p>
    <w:p w14:paraId="1EA13F39"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El artículo 3 fracción VI de la Constitución Política de los Estados Unidos Mexicanos, señala: </w:t>
      </w:r>
    </w:p>
    <w:p w14:paraId="2B0325D4" w14:textId="77777777" w:rsidR="00220300" w:rsidRPr="009D47A2" w:rsidRDefault="00220300">
      <w:pPr>
        <w:spacing w:line="360" w:lineRule="auto"/>
        <w:jc w:val="both"/>
        <w:rPr>
          <w:rFonts w:ascii="Palatino Linotype" w:eastAsia="Palatino Linotype" w:hAnsi="Palatino Linotype" w:cs="Palatino Linotype"/>
        </w:rPr>
      </w:pPr>
    </w:p>
    <w:p w14:paraId="32CF11BB"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“Artículo 3o.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14:paraId="4CE7F2FF"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p>
    <w:p w14:paraId="79620616"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VI. Los particulares podrán impartir educación en todos sus tipos y modalidades. En los términos que establezca la ley, el Estado otorgará y retirará el reconocimiento de validez oficial a los estudios que se realicen en planteles particulares…”</w:t>
      </w:r>
    </w:p>
    <w:p w14:paraId="409077F2" w14:textId="77777777" w:rsidR="00220300" w:rsidRPr="009D47A2" w:rsidRDefault="00220300">
      <w:pPr>
        <w:spacing w:line="360" w:lineRule="auto"/>
        <w:jc w:val="both"/>
        <w:rPr>
          <w:rFonts w:ascii="Palatino Linotype" w:eastAsia="Palatino Linotype" w:hAnsi="Palatino Linotype" w:cs="Palatino Linotype"/>
          <w:b/>
        </w:rPr>
      </w:pPr>
    </w:p>
    <w:p w14:paraId="015665CB"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donde establece que todo particular podrá impartir educación en todos sus tipos y modalidad, y el Estado otorgará y retirara el reconocimiento de validez oficial, es </w:t>
      </w:r>
      <w:r w:rsidRPr="009D47A2">
        <w:rPr>
          <w:rFonts w:ascii="Palatino Linotype" w:eastAsia="Palatino Linotype" w:hAnsi="Palatino Linotype" w:cs="Palatino Linotype"/>
        </w:rPr>
        <w:lastRenderedPageBreak/>
        <w:t>decir, que el Estado, en este caso el Estado de México deberá otorgar validez oficial a todas las escuelas que impartan una educación, en este caso media superior y superior, lo que se robustece con lo señalado por el artículo 11 último párrafo de la Ley de Educación del Estado de México, que señala:</w:t>
      </w:r>
    </w:p>
    <w:p w14:paraId="6A8BDF48" w14:textId="77777777" w:rsidR="00220300" w:rsidRPr="009D47A2" w:rsidRDefault="00220300">
      <w:pPr>
        <w:spacing w:line="360" w:lineRule="auto"/>
        <w:jc w:val="both"/>
        <w:rPr>
          <w:rFonts w:ascii="Palatino Linotype" w:eastAsia="Palatino Linotype" w:hAnsi="Palatino Linotype" w:cs="Palatino Linotype"/>
        </w:rPr>
      </w:pPr>
    </w:p>
    <w:p w14:paraId="1301B263"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“Artículo 11. La educación que se imparta por el Estado, además de obligatoria, se sujetará a lo establecido en el párrafo segundo del artículo 3o. de la Constitución Política de los Estados Unidos Mexicanos, así como lo dispuesto en la Ley General, será:</w:t>
      </w:r>
    </w:p>
    <w:p w14:paraId="43254E1D"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p>
    <w:p w14:paraId="093299B0"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La educación impartida por los particulares con autorización o con reconocimiento de validez oficial de estudios, se sujetará a lo previsto en la fracción VI del artículo 3o. de la Constitución Política de los Estados Unidos Mexicanos, así como lo dispuesto en la Ley General….”</w:t>
      </w:r>
    </w:p>
    <w:p w14:paraId="753E9EAB" w14:textId="77777777" w:rsidR="00220300" w:rsidRPr="009D47A2" w:rsidRDefault="00220300">
      <w:pPr>
        <w:spacing w:line="360" w:lineRule="auto"/>
        <w:jc w:val="both"/>
        <w:rPr>
          <w:rFonts w:ascii="Palatino Linotype" w:eastAsia="Palatino Linotype" w:hAnsi="Palatino Linotype" w:cs="Palatino Linotype"/>
        </w:rPr>
      </w:pPr>
    </w:p>
    <w:p w14:paraId="7E5A0CFD"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Asimismo el artículo 118 y 143 de la Ley Estatal en comento, señala lo siguiente:</w:t>
      </w:r>
    </w:p>
    <w:p w14:paraId="5FB14450" w14:textId="77777777" w:rsidR="00220300" w:rsidRPr="009D47A2" w:rsidRDefault="00220300">
      <w:pPr>
        <w:spacing w:line="360" w:lineRule="auto"/>
        <w:jc w:val="both"/>
        <w:rPr>
          <w:rFonts w:ascii="Palatino Linotype" w:eastAsia="Palatino Linotype" w:hAnsi="Palatino Linotype" w:cs="Palatino Linotype"/>
        </w:rPr>
      </w:pPr>
    </w:p>
    <w:p w14:paraId="2E969B63"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 xml:space="preserve">Artículo 18. La educación que se imparta en el Sistema Educativo Estatal se organizará en tipos, niveles, modalidades y opciones educativas, conforme a lo siguiente: </w:t>
      </w:r>
    </w:p>
    <w:p w14:paraId="62D3F523"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I. Tipos:</w:t>
      </w:r>
      <w:r w:rsidRPr="009D47A2">
        <w:rPr>
          <w:rFonts w:ascii="Palatino Linotype" w:eastAsia="Palatino Linotype" w:hAnsi="Palatino Linotype" w:cs="Palatino Linotype"/>
          <w:i/>
          <w:sz w:val="22"/>
          <w:szCs w:val="22"/>
        </w:rPr>
        <w:t xml:space="preserve"> los de educación básica, </w:t>
      </w:r>
      <w:r w:rsidRPr="009D47A2">
        <w:rPr>
          <w:rFonts w:ascii="Palatino Linotype" w:eastAsia="Palatino Linotype" w:hAnsi="Palatino Linotype" w:cs="Palatino Linotype"/>
          <w:b/>
          <w:i/>
          <w:sz w:val="22"/>
          <w:szCs w:val="22"/>
        </w:rPr>
        <w:t>media superior y superior</w:t>
      </w:r>
      <w:r w:rsidRPr="009D47A2">
        <w:rPr>
          <w:rFonts w:ascii="Palatino Linotype" w:eastAsia="Palatino Linotype" w:hAnsi="Palatino Linotype" w:cs="Palatino Linotype"/>
          <w:i/>
          <w:sz w:val="22"/>
          <w:szCs w:val="22"/>
        </w:rPr>
        <w:t xml:space="preserve">; </w:t>
      </w:r>
    </w:p>
    <w:p w14:paraId="78702730"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 xml:space="preserve">II. Niveles: los que se indican para cada tipo educativo en esta Ley; </w:t>
      </w:r>
    </w:p>
    <w:p w14:paraId="019C56B9"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 xml:space="preserve">III. Modalidades: la escolarizada, no escolarizada y mixta, y </w:t>
      </w:r>
    </w:p>
    <w:p w14:paraId="65B7BB77"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IV. Opciones educativas: las que se determinen para cada nivel educativo en los términos de esta Ley y las disposiciones que de ella deriven, entre las que se encuentran la educación abierta y a distancia. Además de lo anterior, se consideran parte del Sistema Educativo Estatal la formación para el trabajo, la educación para personas adultas, la educación física, la educación artística y la educación tecnológica. La educación especial buscará la equidad y la inclusión, la cual deberá estar disponible para todos los tipos, niveles, modalidades y opciones educativas establecidas en esta Ley. De acuerdo con las necesidades educativas específicas de la población, podrá impartirse educación comunitaria con programas o contenidos particulares para ofrecerle una oportuna atención.</w:t>
      </w:r>
    </w:p>
    <w:p w14:paraId="549FB047"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lastRenderedPageBreak/>
        <w:t>…</w:t>
      </w:r>
    </w:p>
    <w:p w14:paraId="0D3A7641"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 xml:space="preserve">Artículo 143. </w:t>
      </w:r>
      <w:r w:rsidRPr="009D47A2">
        <w:rPr>
          <w:rFonts w:ascii="Palatino Linotype" w:eastAsia="Palatino Linotype" w:hAnsi="Palatino Linotype" w:cs="Palatino Linotype"/>
          <w:b/>
          <w:i/>
          <w:sz w:val="22"/>
          <w:szCs w:val="22"/>
        </w:rPr>
        <w:t>Los particulares podrán impartir educación considerada como servicio público en términos de esta Ley, en todos sus tipos y modalidades</w:t>
      </w:r>
      <w:r w:rsidRPr="009D47A2">
        <w:rPr>
          <w:rFonts w:ascii="Palatino Linotype" w:eastAsia="Palatino Linotype" w:hAnsi="Palatino Linotype" w:cs="Palatino Linotype"/>
          <w:i/>
          <w:sz w:val="22"/>
          <w:szCs w:val="22"/>
        </w:rPr>
        <w:t xml:space="preserve">, </w:t>
      </w:r>
      <w:r w:rsidRPr="009D47A2">
        <w:rPr>
          <w:rFonts w:ascii="Palatino Linotype" w:eastAsia="Palatino Linotype" w:hAnsi="Palatino Linotype" w:cs="Palatino Linotype"/>
          <w:b/>
          <w:i/>
          <w:sz w:val="22"/>
          <w:szCs w:val="22"/>
          <w:u w:val="single"/>
        </w:rPr>
        <w:t>con la autorización o reconocimiento de validez oficial de estudios que otorgue el Estado, conforme a lo dispuesto por el artículo 3o. de la Constitución Política de los Estados Unidos Mexicanos, la Ley General, esta Ley y demás disposiciones jurídicas aplicables</w:t>
      </w:r>
      <w:r w:rsidRPr="009D47A2">
        <w:rPr>
          <w:rFonts w:ascii="Palatino Linotype" w:eastAsia="Palatino Linotype" w:hAnsi="Palatino Linotype" w:cs="Palatino Linotype"/>
          <w:i/>
          <w:sz w:val="22"/>
          <w:szCs w:val="22"/>
        </w:rPr>
        <w:t xml:space="preserve">. </w:t>
      </w:r>
    </w:p>
    <w:p w14:paraId="16D742A7" w14:textId="77777777" w:rsidR="00220300" w:rsidRPr="009D47A2" w:rsidRDefault="00220300">
      <w:pPr>
        <w:ind w:left="851" w:right="851"/>
        <w:jc w:val="both"/>
        <w:rPr>
          <w:rFonts w:ascii="Palatino Linotype" w:eastAsia="Palatino Linotype" w:hAnsi="Palatino Linotype" w:cs="Palatino Linotype"/>
          <w:i/>
          <w:sz w:val="22"/>
          <w:szCs w:val="22"/>
        </w:rPr>
      </w:pPr>
    </w:p>
    <w:p w14:paraId="5B24CC7E"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 xml:space="preserve">Por lo que concierne a la educación inicial, preescolar, la primaria, la secundaria, la normal y demás para la formación de maestros de educación básica, deberán obtener previamente, en cada caso, la autorización expresa de las autoridades educativas, tratándose de estudios distintos de los antes mencionados podrán obtener el reconocimiento de validez oficial de estudios. </w:t>
      </w:r>
    </w:p>
    <w:p w14:paraId="2DC5F715"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La autorización y el reconocimiento serán específicos para cada plan y programa de estudio por lo que hace a</w:t>
      </w:r>
      <w:r w:rsidRPr="009D47A2">
        <w:rPr>
          <w:rFonts w:ascii="Palatino Linotype" w:eastAsia="Palatino Linotype" w:hAnsi="Palatino Linotype" w:cs="Palatino Linotype"/>
          <w:i/>
          <w:sz w:val="22"/>
          <w:szCs w:val="22"/>
        </w:rPr>
        <w:t xml:space="preserve"> educación básica y </w:t>
      </w:r>
      <w:r w:rsidRPr="009D47A2">
        <w:rPr>
          <w:rFonts w:ascii="Palatino Linotype" w:eastAsia="Palatino Linotype" w:hAnsi="Palatino Linotype" w:cs="Palatino Linotype"/>
          <w:b/>
          <w:i/>
          <w:sz w:val="22"/>
          <w:szCs w:val="22"/>
          <w:u w:val="single"/>
        </w:rPr>
        <w:t>media superior</w:t>
      </w:r>
      <w:r w:rsidRPr="009D47A2">
        <w:rPr>
          <w:rFonts w:ascii="Palatino Linotype" w:eastAsia="Palatino Linotype" w:hAnsi="Palatino Linotype" w:cs="Palatino Linotype"/>
          <w:i/>
          <w:sz w:val="22"/>
          <w:szCs w:val="22"/>
        </w:rPr>
        <w:t xml:space="preserve">, surtirá efectos a partir de su otorgamiento por parte de la autoridad correspondiente. </w:t>
      </w:r>
    </w:p>
    <w:p w14:paraId="1EA4BD64" w14:textId="77777777" w:rsidR="00220300" w:rsidRPr="009D47A2" w:rsidRDefault="00C876FB">
      <w:pPr>
        <w:ind w:left="851" w:right="85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Para impartir nuevos estudios se requerirá, según el caso, la autorización o el reconocimiento respectivos. En el tipo de educación superior, se estará a lo dispuesto en la Ley General de Educación Superior.</w:t>
      </w:r>
    </w:p>
    <w:p w14:paraId="31027A39" w14:textId="77777777" w:rsidR="00220300" w:rsidRPr="009D47A2" w:rsidRDefault="00220300">
      <w:pPr>
        <w:spacing w:line="360" w:lineRule="auto"/>
        <w:jc w:val="both"/>
        <w:rPr>
          <w:rFonts w:ascii="Palatino Linotype" w:eastAsia="Palatino Linotype" w:hAnsi="Palatino Linotype" w:cs="Palatino Linotype"/>
          <w:b/>
        </w:rPr>
      </w:pPr>
    </w:p>
    <w:p w14:paraId="4717AED4"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En donde establece que los particulares que impartan educación media superior o superior, deberán estar registrados ante la Secretaría de Educación del Estado de México, la cual deberá autorizar u otorgar el reconocimiento de validez oficial de estudios, a la institución educativa particular correspondiente.</w:t>
      </w:r>
    </w:p>
    <w:p w14:paraId="729AD7D9" w14:textId="77777777" w:rsidR="00220300" w:rsidRPr="009D47A2" w:rsidRDefault="00220300">
      <w:pPr>
        <w:spacing w:line="360" w:lineRule="auto"/>
        <w:jc w:val="both"/>
        <w:rPr>
          <w:rFonts w:ascii="Palatino Linotype" w:eastAsia="Palatino Linotype" w:hAnsi="Palatino Linotype" w:cs="Palatino Linotype"/>
        </w:rPr>
      </w:pPr>
    </w:p>
    <w:p w14:paraId="3957A20F"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Conforme a lo anterior, se determinar que el nombre, denominación o razón social de Escuelas privadas o particulares, es acceso público, toda vez que toda la información que transparente la gestión pública, favorezca la rendición de cuentas y contribuya a la democratización del Estado Mexicano es, sin excepción, de naturaleza pública, ya que dichas instituciones debieron obtener su autorización o </w:t>
      </w:r>
      <w:r w:rsidRPr="009D47A2">
        <w:rPr>
          <w:rFonts w:ascii="Palatino Linotype" w:eastAsia="Palatino Linotype" w:hAnsi="Palatino Linotype" w:cs="Palatino Linotype"/>
        </w:rPr>
        <w:lastRenderedPageBreak/>
        <w:t xml:space="preserve">validez oficial ante la autoridad educativa quien previo los requisitos de ley y una vez acreditados, se otorgó su validez oficial, lo justifica su publicidad. </w:t>
      </w:r>
    </w:p>
    <w:p w14:paraId="71F0E772" w14:textId="77777777" w:rsidR="00220300" w:rsidRPr="009D47A2" w:rsidRDefault="00220300">
      <w:pPr>
        <w:spacing w:line="360" w:lineRule="auto"/>
        <w:jc w:val="both"/>
        <w:rPr>
          <w:rFonts w:ascii="Palatino Linotype" w:eastAsia="Palatino Linotype" w:hAnsi="Palatino Linotype" w:cs="Palatino Linotype"/>
        </w:rPr>
      </w:pPr>
    </w:p>
    <w:p w14:paraId="41EC03FD" w14:textId="77777777" w:rsidR="00220300" w:rsidRPr="009D47A2" w:rsidRDefault="00C876FB">
      <w:pPr>
        <w:spacing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rPr>
        <w:t>-</w:t>
      </w:r>
      <w:r w:rsidRPr="009D47A2">
        <w:rPr>
          <w:rFonts w:ascii="Palatino Linotype" w:eastAsia="Palatino Linotype" w:hAnsi="Palatino Linotype" w:cs="Palatino Linotype"/>
          <w:b/>
        </w:rPr>
        <w:t>Nombre de los Directivos o Rectores de Escuelas privadas o particulares.</w:t>
      </w:r>
    </w:p>
    <w:p w14:paraId="1661D941" w14:textId="77777777" w:rsidR="00220300" w:rsidRPr="009D47A2" w:rsidRDefault="00220300">
      <w:pPr>
        <w:spacing w:line="360" w:lineRule="auto"/>
        <w:jc w:val="both"/>
        <w:rPr>
          <w:rFonts w:ascii="Palatino Linotype" w:eastAsia="Palatino Linotype" w:hAnsi="Palatino Linotype" w:cs="Palatino Linotype"/>
          <w:b/>
        </w:rPr>
      </w:pPr>
    </w:p>
    <w:p w14:paraId="42D84C02"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atención a lo señalado en el punto anterior en donde se determinó que el nombre o denominación de las escuelas privadas, son de acceso público, en cambio el nombre de los Directivos o Rectores, se considera por parte de este Organismo Garante, son de acceso público, toda vez que de acuerdo a lo publicado en su página oficial de la Secretaría de Educación del Gobierno Federal, la cual puede ser consultado en la siguiente liga </w:t>
      </w:r>
      <w:proofErr w:type="spellStart"/>
      <w:r w:rsidRPr="009D47A2">
        <w:rPr>
          <w:rFonts w:ascii="Palatino Linotype" w:eastAsia="Palatino Linotype" w:hAnsi="Palatino Linotype" w:cs="Palatino Linotype"/>
        </w:rPr>
        <w:t>electroncia</w:t>
      </w:r>
      <w:proofErr w:type="spellEnd"/>
      <w:r w:rsidRPr="009D47A2">
        <w:rPr>
          <w:rFonts w:ascii="Palatino Linotype" w:eastAsia="Palatino Linotype" w:hAnsi="Palatino Linotype" w:cs="Palatino Linotype"/>
        </w:rPr>
        <w:t xml:space="preserve"> </w:t>
      </w:r>
      <w:hyperlink r:id="rId21">
        <w:r w:rsidRPr="009D47A2">
          <w:rPr>
            <w:rFonts w:ascii="Palatino Linotype" w:eastAsia="Palatino Linotype" w:hAnsi="Palatino Linotype" w:cs="Palatino Linotype"/>
            <w:u w:val="single"/>
          </w:rPr>
          <w:t>https://www.gob.mx/sep/acciones-y-programas/autenticacion-de-certificados-titulos-diplomas-y-grados-de-estudios-del-tipo-superior-38457</w:t>
        </w:r>
      </w:hyperlink>
      <w:r w:rsidRPr="009D47A2">
        <w:rPr>
          <w:rFonts w:ascii="Palatino Linotype" w:eastAsia="Palatino Linotype" w:hAnsi="Palatino Linotype" w:cs="Palatino Linotype"/>
        </w:rPr>
        <w:t xml:space="preserve"> para mayor referencia, señala que para la Autenticación de certificados, títulos, diplomas y grados de estudios del tipo superior expedidos por instituciones particulares que cuentan con reconocimiento de validez oficial otorgado por la Secretaría de Educación, deben estar firmados y sellados por la autoridad educativa que le da la autenticidad, lo que justifica su publicidad.</w:t>
      </w:r>
    </w:p>
    <w:p w14:paraId="7EE8C7CF" w14:textId="77777777" w:rsidR="00220300" w:rsidRPr="009D47A2" w:rsidRDefault="00220300">
      <w:pPr>
        <w:spacing w:line="360" w:lineRule="auto"/>
        <w:jc w:val="both"/>
        <w:rPr>
          <w:rFonts w:ascii="Palatino Linotype" w:eastAsia="Palatino Linotype" w:hAnsi="Palatino Linotype" w:cs="Palatino Linotype"/>
        </w:rPr>
      </w:pPr>
    </w:p>
    <w:p w14:paraId="43463D4C" w14:textId="77777777" w:rsidR="00220300" w:rsidRPr="009D47A2" w:rsidRDefault="00C876FB">
      <w:pPr>
        <w:spacing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b/>
        </w:rPr>
        <w:t>-Firma de los de los prestadores de Servicio Social, Prácticas Profesionales y Prácticas Escolares.</w:t>
      </w:r>
    </w:p>
    <w:p w14:paraId="78AA5211" w14:textId="77777777" w:rsidR="00220300" w:rsidRPr="009D47A2" w:rsidRDefault="00220300">
      <w:pPr>
        <w:spacing w:line="360" w:lineRule="auto"/>
        <w:jc w:val="both"/>
        <w:rPr>
          <w:rFonts w:ascii="Palatino Linotype" w:eastAsia="Palatino Linotype" w:hAnsi="Palatino Linotype" w:cs="Palatino Linotype"/>
          <w:b/>
        </w:rPr>
      </w:pPr>
    </w:p>
    <w:p w14:paraId="391B3EA0"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Que en las Resoluciones RRA 1774/18 y RRA 1780/18 emitidas por el INAI, se señaló que la firma es considerada como escritura gráfica o grafo manuscrito que representa al nombre</w:t>
      </w:r>
      <w:r w:rsidRPr="009D47A2">
        <w:t xml:space="preserve"> </w:t>
      </w:r>
      <w:r w:rsidRPr="009D47A2">
        <w:rPr>
          <w:rFonts w:ascii="Palatino Linotype" w:eastAsia="Palatino Linotype" w:hAnsi="Palatino Linotype" w:cs="Palatino Linotype"/>
        </w:rPr>
        <w:t xml:space="preserve">y apellido(s), o título, que una persona escribe de su propia </w:t>
      </w:r>
      <w:r w:rsidRPr="009D47A2">
        <w:rPr>
          <w:rFonts w:ascii="Palatino Linotype" w:eastAsia="Palatino Linotype" w:hAnsi="Palatino Linotype" w:cs="Palatino Linotype"/>
        </w:rPr>
        <w:lastRenderedPageBreak/>
        <w:t>mano, que tiene fines de identificación, jurídicos y representativos, a través de los cuales es posible identificar o hacer identificable a su titular, por lo que a través de ésta se puede identificar a una persona, y, en consecuencia, se considera un dato personal susceptible de ser clasificado como confidencial, con fundamento en el artículo 143, fracción I de la Ley de Transparencia y Acceso a la Información Pública.</w:t>
      </w:r>
    </w:p>
    <w:p w14:paraId="653E61E8" w14:textId="77777777" w:rsidR="00220300" w:rsidRPr="009D47A2" w:rsidRDefault="00220300">
      <w:pPr>
        <w:spacing w:line="360" w:lineRule="auto"/>
        <w:jc w:val="both"/>
        <w:rPr>
          <w:rFonts w:ascii="Palatino Linotype" w:eastAsia="Palatino Linotype" w:hAnsi="Palatino Linotype" w:cs="Palatino Linotype"/>
          <w:b/>
        </w:rPr>
      </w:pPr>
    </w:p>
    <w:p w14:paraId="253EDCB2" w14:textId="77777777" w:rsidR="00220300" w:rsidRPr="009D47A2" w:rsidRDefault="00C876FB">
      <w:pPr>
        <w:spacing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rPr>
        <w:t>-</w:t>
      </w:r>
      <w:r w:rsidRPr="009D47A2">
        <w:rPr>
          <w:rFonts w:ascii="Palatino Linotype" w:eastAsia="Palatino Linotype" w:hAnsi="Palatino Linotype" w:cs="Palatino Linotype"/>
          <w:b/>
        </w:rPr>
        <w:t>Matricula de los de los prestadores de Servicio Social, Prácticas Profesionales y Prácticas Escolares.</w:t>
      </w:r>
    </w:p>
    <w:p w14:paraId="77A56337" w14:textId="77777777" w:rsidR="00220300" w:rsidRPr="009D47A2" w:rsidRDefault="00220300">
      <w:pPr>
        <w:spacing w:line="360" w:lineRule="auto"/>
        <w:jc w:val="both"/>
        <w:rPr>
          <w:rFonts w:ascii="Palatino Linotype" w:eastAsia="Palatino Linotype" w:hAnsi="Palatino Linotype" w:cs="Palatino Linotype"/>
          <w:b/>
        </w:rPr>
      </w:pPr>
    </w:p>
    <w:p w14:paraId="1EDC2AEC"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Ahora bien, 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7F674F76"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w:t>
      </w:r>
    </w:p>
    <w:p w14:paraId="396056C2"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3FED11BD" w14:textId="77777777" w:rsidR="00220300" w:rsidRPr="009D47A2" w:rsidRDefault="00220300">
      <w:pPr>
        <w:spacing w:line="360" w:lineRule="auto"/>
        <w:jc w:val="both"/>
        <w:rPr>
          <w:rFonts w:ascii="Palatino Linotype" w:eastAsia="Palatino Linotype" w:hAnsi="Palatino Linotype" w:cs="Palatino Linotype"/>
        </w:rPr>
      </w:pPr>
    </w:p>
    <w:p w14:paraId="04CE6185" w14:textId="77777777" w:rsidR="00220300" w:rsidRPr="009D47A2" w:rsidRDefault="00C876FB">
      <w:pPr>
        <w:spacing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b/>
        </w:rPr>
        <w:t>-Grado de Estudios de los de los prestadores de Servicio Social, Prácticas Profesionales y Prácticas Escolares.</w:t>
      </w:r>
    </w:p>
    <w:p w14:paraId="7C7FE755" w14:textId="77777777" w:rsidR="00220300" w:rsidRPr="009D47A2" w:rsidRDefault="00220300">
      <w:pPr>
        <w:spacing w:line="360" w:lineRule="auto"/>
        <w:jc w:val="both"/>
        <w:rPr>
          <w:rFonts w:ascii="Palatino Linotype" w:eastAsia="Palatino Linotype" w:hAnsi="Palatino Linotype" w:cs="Palatino Linotype"/>
          <w:b/>
        </w:rPr>
      </w:pPr>
    </w:p>
    <w:p w14:paraId="51DA94AD"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El grado de estudios se acredita de manera enunciativa más no limitada serían los certificados, diplomas, constancias, títulos o grados académicos que amparen </w:t>
      </w:r>
      <w:r w:rsidRPr="009D47A2">
        <w:rPr>
          <w:rFonts w:ascii="Palatino Linotype" w:eastAsia="Palatino Linotype" w:hAnsi="Palatino Linotype" w:cs="Palatino Linotype"/>
        </w:rPr>
        <w:lastRenderedPageBreak/>
        <w:t>estudios realizados; de acuerdo a lo establecido por el artículo 171 de la Ley de Educación del Estado de México, que señala:</w:t>
      </w:r>
    </w:p>
    <w:p w14:paraId="498680CC" w14:textId="77777777" w:rsidR="00220300" w:rsidRPr="009D47A2" w:rsidRDefault="00220300">
      <w:pPr>
        <w:spacing w:line="360" w:lineRule="auto"/>
        <w:jc w:val="both"/>
        <w:rPr>
          <w:rFonts w:ascii="Palatino Linotype" w:eastAsia="Palatino Linotype" w:hAnsi="Palatino Linotype" w:cs="Palatino Linotype"/>
        </w:rPr>
      </w:pPr>
    </w:p>
    <w:p w14:paraId="4807E4AE" w14:textId="77777777" w:rsidR="00220300" w:rsidRPr="009D47A2" w:rsidRDefault="00C876FB">
      <w:pPr>
        <w:ind w:left="567" w:right="618"/>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“Artículo 171. Las instituciones del Sistema Educativo expedirán certificados y otorgarán constancias, diplomas, títulos o grados académicos a las personas que hayan concluido estudios, de conformidad con los requisitos establecidos en los planes y programas correspondientes. Dichos certificados, constancias, diplomas, títulos y grados deberán registrarse en el Sistema de Información y Gestión Educativa y tendrán validez en toda la República, en términos de lo dispuesto en la Ley General” (Sic)</w:t>
      </w:r>
    </w:p>
    <w:p w14:paraId="71DCC77E" w14:textId="77777777" w:rsidR="00220300" w:rsidRPr="009D47A2" w:rsidRDefault="00220300">
      <w:pPr>
        <w:spacing w:line="360" w:lineRule="auto"/>
        <w:jc w:val="both"/>
        <w:rPr>
          <w:rFonts w:ascii="Palatino Linotype" w:eastAsia="Palatino Linotype" w:hAnsi="Palatino Linotype" w:cs="Palatino Linotype"/>
        </w:rPr>
      </w:pPr>
    </w:p>
    <w:p w14:paraId="3DDE1646"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Sin embargo, debemos recordar que lo que clasificó como confidencial 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es el grado de estudios de los prestadores de Servicio Social, Prácticas Profesionales y Prácticas Escolares, pero como se mencionó en párrafos anteriores el nombre de estos como su firma, no se pueden dar a conocer con excepción de que reciban recursos públicos. </w:t>
      </w:r>
    </w:p>
    <w:p w14:paraId="0C094BAE" w14:textId="77777777" w:rsidR="00220300" w:rsidRPr="009D47A2" w:rsidRDefault="00220300">
      <w:pPr>
        <w:spacing w:line="360" w:lineRule="auto"/>
        <w:jc w:val="both"/>
        <w:rPr>
          <w:rFonts w:ascii="Palatino Linotype" w:eastAsia="Palatino Linotype" w:hAnsi="Palatino Linotype" w:cs="Palatino Linotype"/>
        </w:rPr>
      </w:pPr>
    </w:p>
    <w:p w14:paraId="5BA91A4A"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En cambio lo correspondiente al grado de estudios de estos, que se testo en la documentación entregada en respuesta, se considera por este Organismo Garante que darlo a conocer, no afecta a la vida privada de los de los prestadores de Servicio Social, Prácticas Profesionales y Prácticas Escolares y menos aún los hace identificable; es decir, no se vulnera su derecho de protección de los datos personales.</w:t>
      </w:r>
    </w:p>
    <w:p w14:paraId="01627F0D" w14:textId="77777777" w:rsidR="00220300" w:rsidRPr="009D47A2" w:rsidRDefault="00220300">
      <w:pPr>
        <w:spacing w:line="360" w:lineRule="auto"/>
        <w:jc w:val="both"/>
        <w:rPr>
          <w:rFonts w:ascii="Palatino Linotype" w:eastAsia="Palatino Linotype" w:hAnsi="Palatino Linotype" w:cs="Palatino Linotype"/>
        </w:rPr>
      </w:pPr>
    </w:p>
    <w:p w14:paraId="3AB0B3FF"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Por consiguiente, se considera que dicho dato que se testo en la documentación entregada en respuesta debe ser visible.</w:t>
      </w:r>
    </w:p>
    <w:p w14:paraId="27F5FFCD" w14:textId="77777777" w:rsidR="00220300" w:rsidRPr="009D47A2" w:rsidRDefault="00220300">
      <w:pPr>
        <w:spacing w:line="360" w:lineRule="auto"/>
        <w:jc w:val="both"/>
        <w:rPr>
          <w:rFonts w:ascii="Palatino Linotype" w:eastAsia="Palatino Linotype" w:hAnsi="Palatino Linotype" w:cs="Palatino Linotype"/>
        </w:rPr>
      </w:pPr>
    </w:p>
    <w:p w14:paraId="23632953" w14:textId="77777777" w:rsidR="00220300" w:rsidRPr="009D47A2" w:rsidRDefault="00C876FB">
      <w:pPr>
        <w:spacing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b/>
        </w:rPr>
        <w:lastRenderedPageBreak/>
        <w:t>-Liga de acceso (link), Código de Acceso y Código QR.</w:t>
      </w:r>
    </w:p>
    <w:p w14:paraId="2E35246E" w14:textId="77777777" w:rsidR="00220300" w:rsidRPr="009D47A2" w:rsidRDefault="00220300">
      <w:pPr>
        <w:spacing w:line="360" w:lineRule="auto"/>
        <w:jc w:val="both"/>
        <w:rPr>
          <w:rFonts w:ascii="Palatino Linotype" w:eastAsia="Palatino Linotype" w:hAnsi="Palatino Linotype" w:cs="Palatino Linotype"/>
          <w:b/>
        </w:rPr>
      </w:pPr>
    </w:p>
    <w:p w14:paraId="47C34A2E"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De una revisión a dichos datos, estos fueron proporcionados con la finalidad de impartir asesorías a los prestadores de Servicio Social, Prácticas Profesionales y Prácticas Escolares, por parte del Tribunal de Justicia Administrativa del Estado de México, que si bien dicha asesoría es impartida por una Institución pública; sin embargo, como se precisó que el nombre de los prestadores de Servicio Social, Prácticas Profesionales y Prácticas Escolares, es un dato confidencial, no obstante se procede a realizar las siguientes precisiones:</w:t>
      </w:r>
    </w:p>
    <w:p w14:paraId="2A01A5B9" w14:textId="77777777" w:rsidR="00220300" w:rsidRPr="009D47A2" w:rsidRDefault="00220300">
      <w:pPr>
        <w:spacing w:line="360" w:lineRule="auto"/>
        <w:jc w:val="both"/>
        <w:rPr>
          <w:rFonts w:ascii="Palatino Linotype" w:eastAsia="Palatino Linotype" w:hAnsi="Palatino Linotype" w:cs="Palatino Linotype"/>
        </w:rPr>
      </w:pPr>
    </w:p>
    <w:p w14:paraId="1C3F69F9"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De una revisión dichas Liga de acceso (link), Código de Acceso y Código QR señaladas en respuesta, a la fecha de la solicitud de acceso a la información pública que se analiza, que fue el quince de mayo del año en curso, algunas asesorías ya pasaron, es decir ya se llevaron a cabo; por lo que, se considera que dar a conocer dicho datos ya no sería posible el acceso a dicha información mediante las ligas porque sólo funcionan para dicho fin.</w:t>
      </w:r>
    </w:p>
    <w:p w14:paraId="47D13F09" w14:textId="77777777" w:rsidR="00220300" w:rsidRPr="009D47A2" w:rsidRDefault="00220300">
      <w:pPr>
        <w:spacing w:line="360" w:lineRule="auto"/>
        <w:jc w:val="both"/>
        <w:rPr>
          <w:rFonts w:ascii="Palatino Linotype" w:eastAsia="Palatino Linotype" w:hAnsi="Palatino Linotype" w:cs="Palatino Linotype"/>
        </w:rPr>
      </w:pPr>
    </w:p>
    <w:p w14:paraId="416C2458"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Esto es que el solicitante, ya no tendría acceso a las asesorías impartidas a los  prestadores de Servicio Social, Prácticas Profesionales y Prácticas Escolares y por ende conocer el nombre u imagen de estos. </w:t>
      </w:r>
    </w:p>
    <w:p w14:paraId="6CBB2945"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 </w:t>
      </w:r>
    </w:p>
    <w:p w14:paraId="632B2C15"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cambio, respectos de la Liga de acceso (link), Código de Acceso y Código QR, de las asesorías que aún no se han celebrado, se considera como datos confidenciales, en razón de que dichas asesorías se llevaran a cabo por la plataforma ZOOM, es </w:t>
      </w:r>
      <w:r w:rsidRPr="009D47A2">
        <w:rPr>
          <w:rFonts w:ascii="Palatino Linotype" w:eastAsia="Palatino Linotype" w:hAnsi="Palatino Linotype" w:cs="Palatino Linotype"/>
        </w:rPr>
        <w:lastRenderedPageBreak/>
        <w:t xml:space="preserve">decir de manera virtual, luego entonces dar a conocer dichos datos podrían conocer tanto el nombre como imagen de los que prestan Servicio Social, Prácticas Profesionales y Prácticas Escolares dentro del Tribunal de Justicia Administrativa del Estado de México. </w:t>
      </w:r>
    </w:p>
    <w:p w14:paraId="0A4710C0" w14:textId="77777777" w:rsidR="00220300" w:rsidRPr="009D47A2" w:rsidRDefault="00C876FB">
      <w:pPr>
        <w:spacing w:before="280" w:after="28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Luego entonces, se considera que aquellas imágenes que identifiquen a individuos o los hagan identificables constituyen un dato personal y que el tratamiento de datos personales conlleva cualquier actividad que se realice con relación a los mismos, incluidos la obtención, uso, divulgación, almacenamiento, acceso, manejo, aprovechamiento, transferencia y disposición de datos personales, a través de la videograbación, lo que implica un tratamiento de datos personales de aquellas personas cuya imagen, es entre otras actividades, obtenida, almacenada, consultada o transferida.</w:t>
      </w:r>
    </w:p>
    <w:p w14:paraId="635A5789" w14:textId="77777777" w:rsidR="00220300" w:rsidRPr="009D47A2" w:rsidRDefault="00C876FB">
      <w:pPr>
        <w:spacing w:line="360" w:lineRule="auto"/>
        <w:jc w:val="both"/>
        <w:rPr>
          <w:rFonts w:ascii="Palatino Linotype" w:eastAsia="Palatino Linotype" w:hAnsi="Palatino Linotype" w:cs="Palatino Linotype"/>
          <w:b/>
        </w:rPr>
      </w:pPr>
      <w:r w:rsidRPr="009D47A2">
        <w:rPr>
          <w:rFonts w:ascii="Palatino Linotype" w:eastAsia="Palatino Linotype" w:hAnsi="Palatino Linotype" w:cs="Palatino Linotype"/>
          <w:b/>
        </w:rPr>
        <w:t>-Sexo.</w:t>
      </w:r>
    </w:p>
    <w:p w14:paraId="1BDD0F0B" w14:textId="77777777" w:rsidR="00220300" w:rsidRPr="009D47A2" w:rsidRDefault="00220300">
      <w:pPr>
        <w:spacing w:line="360" w:lineRule="auto"/>
        <w:jc w:val="both"/>
        <w:rPr>
          <w:rFonts w:ascii="Palatino Linotype" w:eastAsia="Palatino Linotype" w:hAnsi="Palatino Linotype" w:cs="Palatino Linotype"/>
          <w:b/>
        </w:rPr>
      </w:pPr>
    </w:p>
    <w:p w14:paraId="0A96DE88"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Se trata de un dato concerniente a la vida privada de la persona, en virtud de que darlo a conocer se afectaría la intimidad de esta; por lo tanto, es considerado un dato de carácter confidencial, en términos de lo dispuesto en el artículo 143, fracción I de la Ley de Transparencia y Acceso a la Información Pública del Estado de México y Municipios.</w:t>
      </w:r>
    </w:p>
    <w:p w14:paraId="58E3D076" w14:textId="77777777" w:rsidR="00220300" w:rsidRPr="009D47A2" w:rsidRDefault="00220300">
      <w:pPr>
        <w:spacing w:line="360" w:lineRule="auto"/>
        <w:jc w:val="both"/>
        <w:rPr>
          <w:rFonts w:ascii="Palatino Linotype" w:eastAsia="Palatino Linotype" w:hAnsi="Palatino Linotype" w:cs="Palatino Linotype"/>
        </w:rPr>
      </w:pPr>
    </w:p>
    <w:p w14:paraId="36C11C87"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otro orden de idea, si bien es cierto que 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hizo entrega del Acta de la Décima Quinta Sesión Extraordinaria del Comité de Transparencia del Tribunal de Justicia Administrativa del Estado de México, por medio del cual se </w:t>
      </w:r>
      <w:r w:rsidRPr="009D47A2">
        <w:rPr>
          <w:rFonts w:ascii="Palatino Linotype" w:eastAsia="Palatino Linotype" w:hAnsi="Palatino Linotype" w:cs="Palatino Linotype"/>
        </w:rPr>
        <w:lastRenderedPageBreak/>
        <w:t xml:space="preserve">aprobó la propuesta de clasificación de la información como confidencial respecto de la información requerida en la solicitud 00225/TRIJAEM/IP/2024 (archivo denominado </w:t>
      </w:r>
      <w:hyperlink r:id="rId22">
        <w:r w:rsidRPr="009D47A2">
          <w:rPr>
            <w:rFonts w:ascii="Palatino Linotype" w:eastAsia="Palatino Linotype" w:hAnsi="Palatino Linotype" w:cs="Palatino Linotype"/>
          </w:rPr>
          <w:t>11_IJA_CA_2024 - TESTADO - FOLIADO - LEYENDA_II.pdf</w:t>
        </w:r>
      </w:hyperlink>
      <w:r w:rsidRPr="009D47A2">
        <w:rPr>
          <w:rFonts w:ascii="Palatino Linotype" w:eastAsia="Palatino Linotype" w:hAnsi="Palatino Linotype" w:cs="Palatino Linotype"/>
        </w:rPr>
        <w:t>), mediante el acuerdo número TJAEM/CT/II/EXT -15/2024</w:t>
      </w:r>
      <w:r w:rsidRPr="009D47A2">
        <w:t xml:space="preserve">, </w:t>
      </w:r>
      <w:r w:rsidRPr="009D47A2">
        <w:rPr>
          <w:rFonts w:ascii="Palatino Linotype" w:eastAsia="Palatino Linotype" w:hAnsi="Palatino Linotype" w:cs="Palatino Linotype"/>
        </w:rPr>
        <w:t>adjuntando para tal efecto el cuadro de clasificación, correspondiente.</w:t>
      </w:r>
    </w:p>
    <w:p w14:paraId="297042D5" w14:textId="77777777" w:rsidR="00220300" w:rsidRPr="009D47A2" w:rsidRDefault="00220300">
      <w:pPr>
        <w:spacing w:line="360" w:lineRule="auto"/>
        <w:jc w:val="both"/>
        <w:rPr>
          <w:rFonts w:ascii="Palatino Linotype" w:eastAsia="Palatino Linotype" w:hAnsi="Palatino Linotype" w:cs="Palatino Linotype"/>
        </w:rPr>
      </w:pPr>
    </w:p>
    <w:p w14:paraId="52C0AC69"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Sin embargo, conforme al análisis de cada dato que se testó, se advierte que además de testar información pública, no se abordó de manera puntal los motivos y fundamentos legales porque se testo la información correspondiente a:</w:t>
      </w:r>
    </w:p>
    <w:p w14:paraId="44A3197A" w14:textId="77777777" w:rsidR="00220300" w:rsidRPr="009D47A2" w:rsidRDefault="00220300">
      <w:pPr>
        <w:spacing w:line="360" w:lineRule="auto"/>
        <w:jc w:val="both"/>
        <w:rPr>
          <w:rFonts w:ascii="Palatino Linotype" w:eastAsia="Palatino Linotype" w:hAnsi="Palatino Linotype" w:cs="Palatino Linotype"/>
        </w:rPr>
      </w:pPr>
    </w:p>
    <w:p w14:paraId="40153549" w14:textId="77777777" w:rsidR="00220300" w:rsidRPr="009D47A2" w:rsidRDefault="00C876F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Matricula.</w:t>
      </w:r>
    </w:p>
    <w:p w14:paraId="08AA14CE" w14:textId="77777777" w:rsidR="00220300" w:rsidRPr="009D47A2" w:rsidRDefault="00C876F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Grado de Estudios.</w:t>
      </w:r>
    </w:p>
    <w:p w14:paraId="7FECC9CC" w14:textId="77777777" w:rsidR="00220300" w:rsidRPr="009D47A2" w:rsidRDefault="00C876F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Liga de acceso (link)</w:t>
      </w:r>
    </w:p>
    <w:p w14:paraId="3A068255" w14:textId="77777777" w:rsidR="00220300" w:rsidRPr="009D47A2" w:rsidRDefault="00C876F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Código de Acceso.</w:t>
      </w:r>
    </w:p>
    <w:p w14:paraId="26C2CE06" w14:textId="77777777" w:rsidR="00220300" w:rsidRPr="009D47A2" w:rsidRDefault="00C876F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Código QR</w:t>
      </w:r>
    </w:p>
    <w:p w14:paraId="1A66792D" w14:textId="77777777" w:rsidR="00220300" w:rsidRPr="009D47A2" w:rsidRDefault="00C876F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Sexo</w:t>
      </w:r>
    </w:p>
    <w:p w14:paraId="68436147" w14:textId="77777777" w:rsidR="00220300" w:rsidRPr="009D47A2" w:rsidRDefault="00220300">
      <w:pPr>
        <w:spacing w:line="360" w:lineRule="auto"/>
        <w:jc w:val="both"/>
        <w:rPr>
          <w:rFonts w:ascii="Palatino Linotype" w:eastAsia="Palatino Linotype" w:hAnsi="Palatino Linotype" w:cs="Palatino Linotype"/>
        </w:rPr>
      </w:pPr>
    </w:p>
    <w:p w14:paraId="7BF7C7E4"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En consecuencia se determina que el acuerdo número TJAEM/CT/II/EXT -15/2024 aprobado en el Acta de la Décima Quinta Sesión Extraordinaria del Comité de Transparencia del Tribunal de Justicia Administrativa del Estado de México, no está debidamente fundado y motivado; es decir, no cumple con las formalidades señalada Ley de Transparencia y Acceso a la Información Pública del Estado de México y Municipios, en esta tesitura, para mejor proveer del presente asunto, se procede a analizar el acuerdo emitido por el Comité de Transparencia, ello con el </w:t>
      </w:r>
      <w:r w:rsidRPr="009D47A2">
        <w:rPr>
          <w:rFonts w:ascii="Palatino Linotype" w:eastAsia="Palatino Linotype" w:hAnsi="Palatino Linotype" w:cs="Palatino Linotype"/>
        </w:rPr>
        <w:lastRenderedPageBreak/>
        <w:t>propósito de determinar si se realizó conforme a derecho, para esto se inserta el siguiente cuadro de análisis:</w:t>
      </w:r>
    </w:p>
    <w:tbl>
      <w:tblPr>
        <w:tblStyle w:val="af"/>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9D47A2" w:rsidRPr="009D47A2" w14:paraId="5A690D07" w14:textId="77777777">
        <w:trPr>
          <w:trHeight w:val="569"/>
        </w:trPr>
        <w:tc>
          <w:tcPr>
            <w:tcW w:w="1548" w:type="dxa"/>
            <w:shd w:val="clear" w:color="auto" w:fill="D7E3BC"/>
          </w:tcPr>
          <w:p w14:paraId="6BBC73A1" w14:textId="77777777" w:rsidR="00220300" w:rsidRPr="009D47A2" w:rsidRDefault="00C876FB">
            <w:pPr>
              <w:spacing w:before="100" w:after="200" w:line="276" w:lineRule="auto"/>
              <w:jc w:val="center"/>
              <w:rPr>
                <w:rFonts w:ascii="Palatino Linotype" w:eastAsia="Palatino Linotype" w:hAnsi="Palatino Linotype" w:cs="Palatino Linotype"/>
                <w:b/>
                <w:sz w:val="18"/>
                <w:szCs w:val="18"/>
              </w:rPr>
            </w:pPr>
            <w:r w:rsidRPr="009D47A2">
              <w:rPr>
                <w:rFonts w:ascii="Palatino Linotype" w:eastAsia="Palatino Linotype" w:hAnsi="Palatino Linotype" w:cs="Palatino Linotype"/>
                <w:b/>
                <w:sz w:val="18"/>
                <w:szCs w:val="18"/>
              </w:rPr>
              <w:t>Elementos del acuerdo de clasificación</w:t>
            </w:r>
          </w:p>
        </w:tc>
        <w:tc>
          <w:tcPr>
            <w:tcW w:w="6020" w:type="dxa"/>
            <w:gridSpan w:val="2"/>
            <w:shd w:val="clear" w:color="auto" w:fill="D7E3BC"/>
          </w:tcPr>
          <w:p w14:paraId="37ACE6CB" w14:textId="77777777" w:rsidR="00220300" w:rsidRPr="009D47A2" w:rsidRDefault="00C876FB">
            <w:pPr>
              <w:spacing w:before="100" w:after="200" w:line="276" w:lineRule="auto"/>
              <w:jc w:val="center"/>
              <w:rPr>
                <w:rFonts w:ascii="Palatino Linotype" w:eastAsia="Palatino Linotype" w:hAnsi="Palatino Linotype" w:cs="Palatino Linotype"/>
                <w:b/>
                <w:sz w:val="18"/>
                <w:szCs w:val="18"/>
              </w:rPr>
            </w:pPr>
            <w:r w:rsidRPr="009D47A2">
              <w:rPr>
                <w:rFonts w:ascii="Palatino Linotype" w:eastAsia="Palatino Linotype" w:hAnsi="Palatino Linotype" w:cs="Palatino Linotype"/>
                <w:b/>
                <w:sz w:val="18"/>
                <w:szCs w:val="18"/>
              </w:rPr>
              <w:t>Contenido</w:t>
            </w:r>
          </w:p>
        </w:tc>
        <w:tc>
          <w:tcPr>
            <w:tcW w:w="1499" w:type="dxa"/>
            <w:shd w:val="clear" w:color="auto" w:fill="D7E3BC"/>
          </w:tcPr>
          <w:p w14:paraId="7F1EC499" w14:textId="77777777" w:rsidR="00220300" w:rsidRPr="009D47A2" w:rsidRDefault="00C876FB">
            <w:pPr>
              <w:spacing w:before="100" w:after="200" w:line="276" w:lineRule="auto"/>
              <w:jc w:val="center"/>
              <w:rPr>
                <w:rFonts w:ascii="Palatino Linotype" w:eastAsia="Palatino Linotype" w:hAnsi="Palatino Linotype" w:cs="Palatino Linotype"/>
                <w:b/>
                <w:sz w:val="18"/>
                <w:szCs w:val="18"/>
              </w:rPr>
            </w:pPr>
            <w:r w:rsidRPr="009D47A2">
              <w:rPr>
                <w:rFonts w:ascii="Palatino Linotype" w:eastAsia="Palatino Linotype" w:hAnsi="Palatino Linotype" w:cs="Palatino Linotype"/>
                <w:b/>
                <w:sz w:val="18"/>
                <w:szCs w:val="18"/>
              </w:rPr>
              <w:t>¿Cumple?</w:t>
            </w:r>
          </w:p>
        </w:tc>
      </w:tr>
      <w:tr w:rsidR="009D47A2" w:rsidRPr="009D47A2" w14:paraId="0657B996" w14:textId="77777777">
        <w:tc>
          <w:tcPr>
            <w:tcW w:w="1548" w:type="dxa"/>
          </w:tcPr>
          <w:p w14:paraId="0B25B185" w14:textId="77777777" w:rsidR="00220300" w:rsidRPr="009D47A2" w:rsidRDefault="00C876FB">
            <w:pPr>
              <w:spacing w:before="100" w:after="200" w:line="276" w:lineRule="auto"/>
              <w:jc w:val="center"/>
              <w:rPr>
                <w:rFonts w:ascii="Palatino Linotype" w:eastAsia="Palatino Linotype" w:hAnsi="Palatino Linotype" w:cs="Palatino Linotype"/>
                <w:sz w:val="18"/>
                <w:szCs w:val="18"/>
              </w:rPr>
            </w:pPr>
            <w:r w:rsidRPr="009D47A2">
              <w:rPr>
                <w:rFonts w:ascii="Palatino Linotype" w:eastAsia="Palatino Linotype" w:hAnsi="Palatino Linotype" w:cs="Palatino Linotype"/>
                <w:b/>
                <w:sz w:val="18"/>
                <w:szCs w:val="18"/>
              </w:rPr>
              <w:t>Referencia de la información solicitada</w:t>
            </w:r>
          </w:p>
        </w:tc>
        <w:tc>
          <w:tcPr>
            <w:tcW w:w="6020" w:type="dxa"/>
            <w:gridSpan w:val="2"/>
          </w:tcPr>
          <w:p w14:paraId="4017E4FA" w14:textId="77777777" w:rsidR="00220300" w:rsidRPr="009D47A2" w:rsidRDefault="00C876FB">
            <w:pPr>
              <w:spacing w:before="100" w:after="200" w:line="276" w:lineRule="auto"/>
              <w:rPr>
                <w:rFonts w:ascii="Palatino Linotype" w:eastAsia="Palatino Linotype" w:hAnsi="Palatino Linotype" w:cs="Palatino Linotype"/>
              </w:rPr>
            </w:pPr>
            <w:r w:rsidRPr="009D47A2">
              <w:rPr>
                <w:rFonts w:ascii="Palatino Linotype" w:eastAsia="Palatino Linotype" w:hAnsi="Palatino Linotype" w:cs="Palatino Linotype"/>
                <w:noProof/>
                <w:lang w:val="es-MX"/>
              </w:rPr>
              <w:drawing>
                <wp:inline distT="0" distB="0" distL="0" distR="0" wp14:anchorId="04CC9B50" wp14:editId="386F047C">
                  <wp:extent cx="3685540" cy="1518285"/>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685540" cy="1518285"/>
                          </a:xfrm>
                          <a:prstGeom prst="rect">
                            <a:avLst/>
                          </a:prstGeom>
                          <a:ln/>
                        </pic:spPr>
                      </pic:pic>
                    </a:graphicData>
                  </a:graphic>
                </wp:inline>
              </w:drawing>
            </w:r>
          </w:p>
        </w:tc>
        <w:tc>
          <w:tcPr>
            <w:tcW w:w="1499" w:type="dxa"/>
          </w:tcPr>
          <w:p w14:paraId="6FB8245B" w14:textId="77777777" w:rsidR="00220300" w:rsidRPr="009D47A2" w:rsidRDefault="00C876FB">
            <w:pPr>
              <w:spacing w:before="100" w:after="200" w:line="276" w:lineRule="auto"/>
              <w:jc w:val="center"/>
              <w:rPr>
                <w:rFonts w:ascii="Palatino Linotype" w:eastAsia="Palatino Linotype" w:hAnsi="Palatino Linotype" w:cs="Palatino Linotype"/>
                <w:b/>
                <w:sz w:val="22"/>
                <w:szCs w:val="22"/>
              </w:rPr>
            </w:pPr>
            <w:r w:rsidRPr="009D47A2">
              <w:rPr>
                <w:rFonts w:ascii="Palatino Linotype" w:eastAsia="Palatino Linotype" w:hAnsi="Palatino Linotype" w:cs="Palatino Linotype"/>
                <w:b/>
                <w:sz w:val="22"/>
                <w:szCs w:val="22"/>
              </w:rPr>
              <w:t>Sí</w:t>
            </w:r>
          </w:p>
        </w:tc>
      </w:tr>
      <w:tr w:rsidR="009D47A2" w:rsidRPr="009D47A2" w14:paraId="3B04189C" w14:textId="77777777">
        <w:tc>
          <w:tcPr>
            <w:tcW w:w="1548" w:type="dxa"/>
          </w:tcPr>
          <w:p w14:paraId="6E777300" w14:textId="77777777" w:rsidR="00220300" w:rsidRPr="009D47A2" w:rsidRDefault="00C876FB">
            <w:pPr>
              <w:spacing w:before="100" w:after="200" w:line="276" w:lineRule="auto"/>
              <w:jc w:val="center"/>
              <w:rPr>
                <w:rFonts w:ascii="Palatino Linotype" w:eastAsia="Palatino Linotype" w:hAnsi="Palatino Linotype" w:cs="Palatino Linotype"/>
                <w:b/>
                <w:sz w:val="18"/>
                <w:szCs w:val="18"/>
              </w:rPr>
            </w:pPr>
            <w:r w:rsidRPr="009D47A2">
              <w:rPr>
                <w:rFonts w:ascii="Palatino Linotype" w:eastAsia="Palatino Linotype" w:hAnsi="Palatino Linotype" w:cs="Palatino Linotype"/>
                <w:b/>
                <w:sz w:val="18"/>
                <w:szCs w:val="18"/>
              </w:rPr>
              <w:t>Artículo, fracción, inciso, párrafo o numeral de la ley que le otorga el carácter de confidencial.</w:t>
            </w:r>
          </w:p>
        </w:tc>
        <w:tc>
          <w:tcPr>
            <w:tcW w:w="6020" w:type="dxa"/>
            <w:gridSpan w:val="2"/>
          </w:tcPr>
          <w:p w14:paraId="7783BA16" w14:textId="77777777" w:rsidR="00220300" w:rsidRPr="009D47A2" w:rsidRDefault="00220300">
            <w:pPr>
              <w:spacing w:before="100" w:after="200" w:line="276" w:lineRule="auto"/>
              <w:rPr>
                <w:rFonts w:ascii="Calibri" w:eastAsia="Calibri" w:hAnsi="Calibri" w:cs="Calibri"/>
                <w:sz w:val="20"/>
                <w:szCs w:val="20"/>
              </w:rPr>
            </w:pPr>
          </w:p>
          <w:p w14:paraId="1386DE33" w14:textId="77777777" w:rsidR="00220300" w:rsidRPr="009D47A2" w:rsidRDefault="00C876FB">
            <w:pPr>
              <w:spacing w:before="100" w:after="200" w:line="276" w:lineRule="auto"/>
              <w:rPr>
                <w:rFonts w:ascii="Calibri" w:eastAsia="Calibri" w:hAnsi="Calibri" w:cs="Calibri"/>
                <w:sz w:val="20"/>
                <w:szCs w:val="20"/>
              </w:rPr>
            </w:pPr>
            <w:r w:rsidRPr="009D47A2">
              <w:rPr>
                <w:rFonts w:ascii="Calibri" w:eastAsia="Calibri" w:hAnsi="Calibri" w:cs="Calibri"/>
                <w:noProof/>
                <w:sz w:val="20"/>
                <w:szCs w:val="20"/>
                <w:lang w:val="es-MX"/>
              </w:rPr>
              <w:drawing>
                <wp:inline distT="0" distB="0" distL="0" distR="0" wp14:anchorId="160BDA46" wp14:editId="5FC15F02">
                  <wp:extent cx="3685540" cy="552450"/>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3685540" cy="552450"/>
                          </a:xfrm>
                          <a:prstGeom prst="rect">
                            <a:avLst/>
                          </a:prstGeom>
                          <a:ln/>
                        </pic:spPr>
                      </pic:pic>
                    </a:graphicData>
                  </a:graphic>
                </wp:inline>
              </w:drawing>
            </w:r>
          </w:p>
          <w:p w14:paraId="3806F5E9" w14:textId="77777777" w:rsidR="00220300" w:rsidRPr="009D47A2" w:rsidRDefault="00C876FB">
            <w:pPr>
              <w:spacing w:before="100" w:after="200" w:line="276" w:lineRule="auto"/>
              <w:jc w:val="center"/>
              <w:rPr>
                <w:rFonts w:ascii="Calibri" w:eastAsia="Calibri" w:hAnsi="Calibri" w:cs="Calibri"/>
                <w:sz w:val="20"/>
                <w:szCs w:val="20"/>
              </w:rPr>
            </w:pPr>
            <w:r w:rsidRPr="009D47A2">
              <w:rPr>
                <w:rFonts w:ascii="Calibri" w:eastAsia="Calibri" w:hAnsi="Calibri" w:cs="Calibri"/>
                <w:noProof/>
                <w:sz w:val="20"/>
                <w:szCs w:val="20"/>
                <w:lang w:val="es-MX"/>
              </w:rPr>
              <w:drawing>
                <wp:inline distT="0" distB="0" distL="0" distR="0" wp14:anchorId="1866B6AE" wp14:editId="377AFAB7">
                  <wp:extent cx="3685540" cy="1179195"/>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685540" cy="1179195"/>
                          </a:xfrm>
                          <a:prstGeom prst="rect">
                            <a:avLst/>
                          </a:prstGeom>
                          <a:ln/>
                        </pic:spPr>
                      </pic:pic>
                    </a:graphicData>
                  </a:graphic>
                </wp:inline>
              </w:drawing>
            </w:r>
          </w:p>
        </w:tc>
        <w:tc>
          <w:tcPr>
            <w:tcW w:w="1499" w:type="dxa"/>
          </w:tcPr>
          <w:p w14:paraId="7E14CC00" w14:textId="77777777" w:rsidR="00220300" w:rsidRPr="009D47A2" w:rsidRDefault="00C876FB">
            <w:pPr>
              <w:spacing w:before="100"/>
              <w:jc w:val="both"/>
              <w:rPr>
                <w:rFonts w:ascii="Palatino Linotype" w:eastAsia="Palatino Linotype" w:hAnsi="Palatino Linotype" w:cs="Palatino Linotype"/>
                <w:b/>
                <w:sz w:val="20"/>
                <w:szCs w:val="20"/>
              </w:rPr>
            </w:pPr>
            <w:r w:rsidRPr="009D47A2">
              <w:rPr>
                <w:rFonts w:ascii="Palatino Linotype" w:eastAsia="Palatino Linotype" w:hAnsi="Palatino Linotype" w:cs="Palatino Linotype"/>
                <w:b/>
                <w:sz w:val="20"/>
                <w:szCs w:val="20"/>
              </w:rPr>
              <w:t>Parcialmente</w:t>
            </w:r>
          </w:p>
          <w:p w14:paraId="7EE30C77" w14:textId="77777777" w:rsidR="00220300" w:rsidRPr="009D47A2" w:rsidRDefault="00220300">
            <w:pPr>
              <w:jc w:val="both"/>
              <w:rPr>
                <w:rFonts w:ascii="Palatino Linotype" w:eastAsia="Palatino Linotype" w:hAnsi="Palatino Linotype" w:cs="Palatino Linotype"/>
                <w:b/>
                <w:sz w:val="20"/>
                <w:szCs w:val="20"/>
              </w:rPr>
            </w:pPr>
          </w:p>
          <w:p w14:paraId="676223CB" w14:textId="77777777" w:rsidR="00220300" w:rsidRPr="009D47A2" w:rsidRDefault="00C876FB">
            <w:pPr>
              <w:spacing w:after="200"/>
              <w:jc w:val="both"/>
              <w:rPr>
                <w:rFonts w:ascii="Palatino Linotype" w:eastAsia="Palatino Linotype" w:hAnsi="Palatino Linotype" w:cs="Palatino Linotype"/>
                <w:b/>
                <w:sz w:val="20"/>
                <w:szCs w:val="20"/>
              </w:rPr>
            </w:pPr>
            <w:r w:rsidRPr="009D47A2">
              <w:rPr>
                <w:rFonts w:ascii="Palatino Linotype" w:eastAsia="Palatino Linotype" w:hAnsi="Palatino Linotype" w:cs="Palatino Linotype"/>
                <w:b/>
                <w:sz w:val="20"/>
                <w:szCs w:val="20"/>
              </w:rPr>
              <w:t>No se analizaron todos los datos que se testaron en el documento denominado: “</w:t>
            </w:r>
            <w:hyperlink r:id="rId26">
              <w:r w:rsidRPr="009D47A2">
                <w:rPr>
                  <w:rFonts w:ascii="Palatino Linotype" w:eastAsia="Palatino Linotype" w:hAnsi="Palatino Linotype" w:cs="Palatino Linotype"/>
                  <w:b/>
                  <w:sz w:val="20"/>
                  <w:szCs w:val="20"/>
                </w:rPr>
                <w:t>11_IJA_CA_2024 - TESTADO - FOLIADO - LEYENDA_II.pdf</w:t>
              </w:r>
            </w:hyperlink>
            <w:r w:rsidRPr="009D47A2">
              <w:rPr>
                <w:rFonts w:ascii="Palatino Linotype" w:eastAsia="Palatino Linotype" w:hAnsi="Palatino Linotype" w:cs="Palatino Linotype"/>
                <w:b/>
                <w:sz w:val="20"/>
                <w:szCs w:val="20"/>
              </w:rPr>
              <w:t>”, entregado en respuesta.</w:t>
            </w:r>
          </w:p>
        </w:tc>
      </w:tr>
      <w:tr w:rsidR="009D47A2" w:rsidRPr="009D47A2" w14:paraId="7A8BC704" w14:textId="77777777">
        <w:tc>
          <w:tcPr>
            <w:tcW w:w="1548" w:type="dxa"/>
          </w:tcPr>
          <w:p w14:paraId="2730E7CC" w14:textId="77777777" w:rsidR="00220300" w:rsidRPr="009D47A2" w:rsidRDefault="00C876FB">
            <w:pPr>
              <w:spacing w:before="100" w:after="200" w:line="276" w:lineRule="auto"/>
              <w:jc w:val="center"/>
              <w:rPr>
                <w:rFonts w:ascii="Palatino Linotype" w:eastAsia="Palatino Linotype" w:hAnsi="Palatino Linotype" w:cs="Palatino Linotype"/>
                <w:sz w:val="18"/>
                <w:szCs w:val="18"/>
              </w:rPr>
            </w:pPr>
            <w:r w:rsidRPr="009D47A2">
              <w:rPr>
                <w:rFonts w:ascii="Palatino Linotype" w:eastAsia="Palatino Linotype" w:hAnsi="Palatino Linotype" w:cs="Palatino Linotype"/>
                <w:b/>
                <w:sz w:val="18"/>
                <w:szCs w:val="18"/>
              </w:rPr>
              <w:lastRenderedPageBreak/>
              <w:t>Motivación Legal</w:t>
            </w:r>
          </w:p>
        </w:tc>
        <w:tc>
          <w:tcPr>
            <w:tcW w:w="6020" w:type="dxa"/>
            <w:gridSpan w:val="2"/>
          </w:tcPr>
          <w:p w14:paraId="1A394FC2" w14:textId="77777777" w:rsidR="00220300" w:rsidRPr="009D47A2" w:rsidRDefault="00C876FB">
            <w:pPr>
              <w:spacing w:before="100" w:after="200" w:line="276" w:lineRule="auto"/>
              <w:rPr>
                <w:rFonts w:ascii="Calibri" w:eastAsia="Calibri" w:hAnsi="Calibri" w:cs="Calibri"/>
                <w:sz w:val="20"/>
                <w:szCs w:val="20"/>
              </w:rPr>
            </w:pPr>
            <w:r w:rsidRPr="009D47A2">
              <w:rPr>
                <w:rFonts w:ascii="Calibri" w:eastAsia="Calibri" w:hAnsi="Calibri" w:cs="Calibri"/>
                <w:noProof/>
                <w:sz w:val="20"/>
                <w:szCs w:val="20"/>
                <w:lang w:val="es-MX"/>
              </w:rPr>
              <w:drawing>
                <wp:inline distT="0" distB="0" distL="0" distR="0" wp14:anchorId="03F11F97" wp14:editId="5455A6EA">
                  <wp:extent cx="3685540" cy="1661160"/>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3685540" cy="1661160"/>
                          </a:xfrm>
                          <a:prstGeom prst="rect">
                            <a:avLst/>
                          </a:prstGeom>
                          <a:ln/>
                        </pic:spPr>
                      </pic:pic>
                    </a:graphicData>
                  </a:graphic>
                </wp:inline>
              </w:drawing>
            </w:r>
          </w:p>
          <w:p w14:paraId="23B5865E" w14:textId="77777777" w:rsidR="00220300" w:rsidRPr="009D47A2" w:rsidRDefault="00220300">
            <w:pPr>
              <w:spacing w:before="100" w:after="200" w:line="276" w:lineRule="auto"/>
              <w:rPr>
                <w:rFonts w:ascii="Calibri" w:eastAsia="Calibri" w:hAnsi="Calibri" w:cs="Calibri"/>
                <w:sz w:val="20"/>
                <w:szCs w:val="20"/>
              </w:rPr>
            </w:pPr>
          </w:p>
          <w:p w14:paraId="05F0832B" w14:textId="77777777" w:rsidR="00220300" w:rsidRPr="009D47A2" w:rsidRDefault="00220300">
            <w:pPr>
              <w:spacing w:before="100" w:after="200" w:line="276" w:lineRule="auto"/>
              <w:rPr>
                <w:rFonts w:ascii="Calibri" w:eastAsia="Calibri" w:hAnsi="Calibri" w:cs="Calibri"/>
                <w:sz w:val="20"/>
                <w:szCs w:val="20"/>
              </w:rPr>
            </w:pPr>
          </w:p>
        </w:tc>
        <w:tc>
          <w:tcPr>
            <w:tcW w:w="1499" w:type="dxa"/>
          </w:tcPr>
          <w:p w14:paraId="76E4B2E1" w14:textId="77777777" w:rsidR="00220300" w:rsidRPr="009D47A2" w:rsidRDefault="00C876FB">
            <w:pPr>
              <w:spacing w:before="100"/>
              <w:jc w:val="both"/>
              <w:rPr>
                <w:rFonts w:ascii="Palatino Linotype" w:eastAsia="Palatino Linotype" w:hAnsi="Palatino Linotype" w:cs="Palatino Linotype"/>
                <w:b/>
                <w:sz w:val="20"/>
                <w:szCs w:val="20"/>
              </w:rPr>
            </w:pPr>
            <w:r w:rsidRPr="009D47A2">
              <w:rPr>
                <w:rFonts w:ascii="Palatino Linotype" w:eastAsia="Palatino Linotype" w:hAnsi="Palatino Linotype" w:cs="Palatino Linotype"/>
                <w:b/>
                <w:sz w:val="20"/>
                <w:szCs w:val="20"/>
              </w:rPr>
              <w:t>Parcialmente</w:t>
            </w:r>
          </w:p>
          <w:p w14:paraId="3EAF4CA9" w14:textId="77777777" w:rsidR="00220300" w:rsidRPr="009D47A2" w:rsidRDefault="00220300">
            <w:pPr>
              <w:jc w:val="both"/>
              <w:rPr>
                <w:rFonts w:ascii="Palatino Linotype" w:eastAsia="Palatino Linotype" w:hAnsi="Palatino Linotype" w:cs="Palatino Linotype"/>
                <w:b/>
                <w:sz w:val="20"/>
                <w:szCs w:val="20"/>
              </w:rPr>
            </w:pPr>
          </w:p>
          <w:p w14:paraId="661CD106" w14:textId="77777777" w:rsidR="00220300" w:rsidRPr="009D47A2" w:rsidRDefault="00C876FB">
            <w:pPr>
              <w:spacing w:after="200"/>
              <w:jc w:val="both"/>
              <w:rPr>
                <w:rFonts w:ascii="Palatino Linotype" w:eastAsia="Palatino Linotype" w:hAnsi="Palatino Linotype" w:cs="Palatino Linotype"/>
                <w:b/>
                <w:sz w:val="20"/>
                <w:szCs w:val="20"/>
              </w:rPr>
            </w:pPr>
            <w:r w:rsidRPr="009D47A2">
              <w:rPr>
                <w:rFonts w:ascii="Palatino Linotype" w:eastAsia="Palatino Linotype" w:hAnsi="Palatino Linotype" w:cs="Palatino Linotype"/>
                <w:b/>
                <w:sz w:val="20"/>
                <w:szCs w:val="20"/>
              </w:rPr>
              <w:t>No se analizaron todos los datos que se testaron en el documento denominado: “</w:t>
            </w:r>
            <w:hyperlink r:id="rId28">
              <w:r w:rsidRPr="009D47A2">
                <w:rPr>
                  <w:rFonts w:ascii="Palatino Linotype" w:eastAsia="Palatino Linotype" w:hAnsi="Palatino Linotype" w:cs="Palatino Linotype"/>
                  <w:b/>
                  <w:sz w:val="20"/>
                  <w:szCs w:val="20"/>
                </w:rPr>
                <w:t>11_IJA_CA_2024 - TESTADO - FOLIADO - LEYENDA_II.pdf</w:t>
              </w:r>
            </w:hyperlink>
            <w:r w:rsidRPr="009D47A2">
              <w:rPr>
                <w:rFonts w:ascii="Palatino Linotype" w:eastAsia="Palatino Linotype" w:hAnsi="Palatino Linotype" w:cs="Palatino Linotype"/>
                <w:b/>
                <w:sz w:val="20"/>
                <w:szCs w:val="20"/>
              </w:rPr>
              <w:t>”, entregado en respuesta.</w:t>
            </w:r>
          </w:p>
        </w:tc>
      </w:tr>
      <w:tr w:rsidR="00220300" w:rsidRPr="009D47A2" w14:paraId="6463E9B6" w14:textId="77777777">
        <w:tc>
          <w:tcPr>
            <w:tcW w:w="1555" w:type="dxa"/>
            <w:gridSpan w:val="2"/>
            <w:shd w:val="clear" w:color="auto" w:fill="auto"/>
          </w:tcPr>
          <w:p w14:paraId="5F5EDD9C" w14:textId="77777777" w:rsidR="00220300" w:rsidRPr="009D47A2" w:rsidRDefault="00C876FB">
            <w:pPr>
              <w:spacing w:before="100" w:after="200" w:line="276" w:lineRule="auto"/>
              <w:jc w:val="center"/>
              <w:rPr>
                <w:rFonts w:ascii="Palatino Linotype" w:eastAsia="Palatino Linotype" w:hAnsi="Palatino Linotype" w:cs="Palatino Linotype"/>
                <w:b/>
                <w:sz w:val="22"/>
                <w:szCs w:val="22"/>
              </w:rPr>
            </w:pPr>
            <w:r w:rsidRPr="009D47A2">
              <w:rPr>
                <w:rFonts w:ascii="Palatino Linotype" w:eastAsia="Palatino Linotype" w:hAnsi="Palatino Linotype" w:cs="Palatino Linotype"/>
                <w:b/>
                <w:sz w:val="18"/>
                <w:szCs w:val="18"/>
              </w:rPr>
              <w:t>Autoridades competentes.</w:t>
            </w:r>
          </w:p>
        </w:tc>
        <w:tc>
          <w:tcPr>
            <w:tcW w:w="6013" w:type="dxa"/>
            <w:shd w:val="clear" w:color="auto" w:fill="auto"/>
          </w:tcPr>
          <w:p w14:paraId="55689EEF" w14:textId="77777777" w:rsidR="00220300" w:rsidRPr="009D47A2" w:rsidRDefault="00C876FB">
            <w:pPr>
              <w:spacing w:before="100" w:after="200" w:line="276" w:lineRule="auto"/>
              <w:rPr>
                <w:rFonts w:ascii="Cambria" w:eastAsia="Cambria" w:hAnsi="Cambria" w:cs="Cambria"/>
              </w:rPr>
            </w:pPr>
            <w:r w:rsidRPr="009D47A2">
              <w:rPr>
                <w:rFonts w:ascii="Cambria" w:eastAsia="Cambria" w:hAnsi="Cambria" w:cs="Cambria"/>
                <w:noProof/>
                <w:lang w:val="es-MX"/>
              </w:rPr>
              <w:drawing>
                <wp:inline distT="0" distB="0" distL="0" distR="0" wp14:anchorId="74F14EA6" wp14:editId="686328DE">
                  <wp:extent cx="3681095" cy="2616835"/>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3681095" cy="2616835"/>
                          </a:xfrm>
                          <a:prstGeom prst="rect">
                            <a:avLst/>
                          </a:prstGeom>
                          <a:ln/>
                        </pic:spPr>
                      </pic:pic>
                    </a:graphicData>
                  </a:graphic>
                </wp:inline>
              </w:drawing>
            </w:r>
            <w:r w:rsidRPr="009D47A2">
              <w:rPr>
                <w:rFonts w:ascii="Cambria" w:eastAsia="Cambria" w:hAnsi="Cambria" w:cs="Cambria"/>
              </w:rPr>
              <w:t xml:space="preserve"> </w:t>
            </w:r>
          </w:p>
        </w:tc>
        <w:tc>
          <w:tcPr>
            <w:tcW w:w="1499" w:type="dxa"/>
            <w:shd w:val="clear" w:color="auto" w:fill="auto"/>
          </w:tcPr>
          <w:p w14:paraId="29A61AEE" w14:textId="77777777" w:rsidR="00220300" w:rsidRPr="009D47A2" w:rsidRDefault="00C876FB">
            <w:pPr>
              <w:spacing w:before="100" w:after="200" w:line="276" w:lineRule="auto"/>
              <w:jc w:val="center"/>
              <w:rPr>
                <w:rFonts w:ascii="Palatino Linotype" w:eastAsia="Palatino Linotype" w:hAnsi="Palatino Linotype" w:cs="Palatino Linotype"/>
                <w:b/>
                <w:sz w:val="22"/>
                <w:szCs w:val="22"/>
              </w:rPr>
            </w:pPr>
            <w:r w:rsidRPr="009D47A2">
              <w:rPr>
                <w:rFonts w:ascii="Palatino Linotype" w:eastAsia="Palatino Linotype" w:hAnsi="Palatino Linotype" w:cs="Palatino Linotype"/>
                <w:b/>
                <w:sz w:val="18"/>
                <w:szCs w:val="18"/>
              </w:rPr>
              <w:t>Si</w:t>
            </w:r>
          </w:p>
        </w:tc>
      </w:tr>
    </w:tbl>
    <w:p w14:paraId="6809CF5E" w14:textId="77777777" w:rsidR="00220300" w:rsidRPr="009D47A2" w:rsidRDefault="00220300">
      <w:pPr>
        <w:spacing w:line="360" w:lineRule="auto"/>
        <w:ind w:right="49"/>
        <w:jc w:val="both"/>
        <w:rPr>
          <w:rFonts w:ascii="Palatino Linotype" w:eastAsia="Palatino Linotype" w:hAnsi="Palatino Linotype" w:cs="Palatino Linotype"/>
        </w:rPr>
      </w:pPr>
    </w:p>
    <w:p w14:paraId="5B654AB3" w14:textId="77777777" w:rsidR="00220300" w:rsidRPr="009D47A2" w:rsidRDefault="00C876FB">
      <w:pPr>
        <w:spacing w:line="360" w:lineRule="auto"/>
        <w:ind w:right="49"/>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De tal suerte que con lo anteriormente analizado se concluye que efectivamente, el acuerdo de clasificación remitido en informe justificado no cumple con todas las </w:t>
      </w:r>
      <w:r w:rsidRPr="009D47A2">
        <w:rPr>
          <w:rFonts w:ascii="Palatino Linotype" w:eastAsia="Palatino Linotype" w:hAnsi="Palatino Linotype" w:cs="Palatino Linotype"/>
        </w:rPr>
        <w:lastRenderedPageBreak/>
        <w:t>formalidades previstas por la normatividad, por falta de fundamentación y motivación de la clasificación.</w:t>
      </w:r>
    </w:p>
    <w:p w14:paraId="57EF910A"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Razones por las cuales lo procedente es ordenar el documento denominado “</w:t>
      </w:r>
      <w:hyperlink r:id="rId30">
        <w:r w:rsidRPr="009D47A2">
          <w:rPr>
            <w:rFonts w:ascii="Palatino Linotype" w:eastAsia="Palatino Linotype" w:hAnsi="Palatino Linotype" w:cs="Palatino Linotype"/>
          </w:rPr>
          <w:t>11_IJA_CA_2024 - TESTADO - FOLIADO - LEYENDA_II.pdf</w:t>
        </w:r>
      </w:hyperlink>
      <w:r w:rsidRPr="009D47A2">
        <w:rPr>
          <w:rFonts w:ascii="Palatino Linotype" w:eastAsia="Palatino Linotype" w:hAnsi="Palatino Linotype" w:cs="Palatino Linotype"/>
        </w:rPr>
        <w:t xml:space="preserve">” entregado en respuesta y en correcta versión pública debiendo observar lo señalado en el presente considerando como en el quinto del presente fallo. </w:t>
      </w:r>
    </w:p>
    <w:p w14:paraId="1C9C0893" w14:textId="77777777" w:rsidR="00220300" w:rsidRPr="009D47A2" w:rsidRDefault="00C876FB">
      <w:pPr>
        <w:spacing w:before="240" w:after="240" w:line="360" w:lineRule="auto"/>
        <w:ind w:right="49"/>
        <w:jc w:val="both"/>
        <w:rPr>
          <w:rFonts w:ascii="Palatino Linotype" w:eastAsia="Palatino Linotype" w:hAnsi="Palatino Linotype" w:cs="Palatino Linotype"/>
        </w:rPr>
      </w:pPr>
      <w:r w:rsidRPr="009D47A2">
        <w:rPr>
          <w:rFonts w:ascii="Palatino Linotype" w:eastAsia="Palatino Linotype" w:hAnsi="Palatino Linotype" w:cs="Palatino Linotype"/>
          <w:b/>
        </w:rPr>
        <w:t xml:space="preserve">Quinto. Versión Pública. </w:t>
      </w:r>
      <w:r w:rsidRPr="009D47A2">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xml:space="preserve"> sin menoscabar el derecho a la protección de los datos personales de terceros.</w:t>
      </w:r>
    </w:p>
    <w:p w14:paraId="29019E02" w14:textId="77777777" w:rsidR="00220300" w:rsidRPr="009D47A2" w:rsidRDefault="00C876FB">
      <w:pPr>
        <w:spacing w:after="240" w:line="360" w:lineRule="auto"/>
        <w:ind w:right="50"/>
        <w:jc w:val="both"/>
        <w:rPr>
          <w:rFonts w:ascii="Palatino Linotype" w:eastAsia="Palatino Linotype" w:hAnsi="Palatino Linotype" w:cs="Palatino Linotype"/>
        </w:rPr>
      </w:pPr>
      <w:r w:rsidRPr="009D47A2">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3E178BD1" w14:textId="77777777" w:rsidR="00220300" w:rsidRPr="009D47A2" w:rsidRDefault="00C876FB">
      <w:pPr>
        <w:ind w:left="993" w:right="1041"/>
        <w:jc w:val="both"/>
        <w:rPr>
          <w:rFonts w:ascii="Palatino Linotype" w:eastAsia="Palatino Linotype" w:hAnsi="Palatino Linotype" w:cs="Palatino Linotype"/>
          <w:b/>
          <w:i/>
          <w:sz w:val="22"/>
          <w:szCs w:val="22"/>
        </w:rPr>
      </w:pPr>
      <w:r w:rsidRPr="009D47A2">
        <w:rPr>
          <w:rFonts w:ascii="Palatino Linotype" w:eastAsia="Palatino Linotype" w:hAnsi="Palatino Linotype" w:cs="Palatino Linotype"/>
          <w:b/>
          <w:i/>
          <w:sz w:val="22"/>
          <w:szCs w:val="22"/>
        </w:rPr>
        <w:t xml:space="preserve"> “Artículo 3. Para los efectos de la presente Ley se entenderá por:</w:t>
      </w:r>
    </w:p>
    <w:p w14:paraId="285BA9A5" w14:textId="77777777" w:rsidR="00220300" w:rsidRPr="009D47A2" w:rsidRDefault="00C876FB">
      <w:pPr>
        <w:ind w:left="993" w:right="104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IX. Datos personales:</w:t>
      </w:r>
      <w:r w:rsidRPr="009D47A2">
        <w:rPr>
          <w:rFonts w:ascii="Palatino Linotype" w:eastAsia="Palatino Linotype" w:hAnsi="Palatino Linotype" w:cs="Palatino Linotype"/>
          <w:i/>
          <w:sz w:val="22"/>
          <w:szCs w:val="22"/>
        </w:rPr>
        <w:t xml:space="preserve"> </w:t>
      </w:r>
      <w:r w:rsidRPr="009D47A2">
        <w:rPr>
          <w:rFonts w:ascii="Palatino Linotype" w:eastAsia="Palatino Linotype" w:hAnsi="Palatino Linotype" w:cs="Palatino Linotype"/>
          <w:b/>
          <w:i/>
          <w:sz w:val="22"/>
          <w:szCs w:val="22"/>
        </w:rPr>
        <w:t>La información concerniente a una persona, identificada o identificable</w:t>
      </w:r>
      <w:r w:rsidRPr="009D47A2">
        <w:rPr>
          <w:rFonts w:ascii="Palatino Linotype" w:eastAsia="Palatino Linotype" w:hAnsi="Palatino Linotype" w:cs="Palatino Linotype"/>
          <w:i/>
          <w:sz w:val="22"/>
          <w:szCs w:val="22"/>
        </w:rPr>
        <w:t xml:space="preserve"> según lo dispuesto por la Ley de Protección de Datos Personales del Estado de México;</w:t>
      </w:r>
    </w:p>
    <w:p w14:paraId="5F87D4D0" w14:textId="77777777" w:rsidR="00220300" w:rsidRPr="009D47A2" w:rsidRDefault="00C876FB">
      <w:pPr>
        <w:ind w:left="993" w:right="104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XX. Información clasificada:</w:t>
      </w:r>
      <w:r w:rsidRPr="009D47A2">
        <w:rPr>
          <w:rFonts w:ascii="Palatino Linotype" w:eastAsia="Palatino Linotype" w:hAnsi="Palatino Linotype" w:cs="Palatino Linotype"/>
          <w:i/>
          <w:sz w:val="22"/>
          <w:szCs w:val="22"/>
        </w:rPr>
        <w:t xml:space="preserve"> Aquella considerada por la presente Ley como reservada o confidencial;</w:t>
      </w:r>
    </w:p>
    <w:p w14:paraId="78FC2067" w14:textId="77777777" w:rsidR="00220300" w:rsidRPr="009D47A2" w:rsidRDefault="00C876FB">
      <w:pPr>
        <w:ind w:left="993" w:right="104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lastRenderedPageBreak/>
        <w:t>XXXII. Protección de Datos Personales:</w:t>
      </w:r>
      <w:r w:rsidRPr="009D47A2">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B73FE62" w14:textId="77777777" w:rsidR="00220300" w:rsidRPr="009D47A2" w:rsidRDefault="00C876FB">
      <w:pPr>
        <w:ind w:left="993" w:right="104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XLV. Versión pública</w:t>
      </w:r>
      <w:r w:rsidRPr="009D47A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BF2F641" w14:textId="77777777" w:rsidR="00220300" w:rsidRPr="009D47A2" w:rsidRDefault="00220300">
      <w:pPr>
        <w:ind w:left="993" w:right="1041"/>
        <w:jc w:val="both"/>
        <w:rPr>
          <w:rFonts w:ascii="Palatino Linotype" w:eastAsia="Palatino Linotype" w:hAnsi="Palatino Linotype" w:cs="Palatino Linotype"/>
          <w:i/>
          <w:sz w:val="22"/>
          <w:szCs w:val="22"/>
        </w:rPr>
      </w:pPr>
    </w:p>
    <w:p w14:paraId="22DDF0CF" w14:textId="77777777" w:rsidR="00220300" w:rsidRPr="009D47A2" w:rsidRDefault="00C876FB">
      <w:pPr>
        <w:ind w:left="993" w:right="104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“Artículo 6.</w:t>
      </w:r>
      <w:r w:rsidRPr="009D47A2">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76BFCD5" w14:textId="77777777" w:rsidR="00220300" w:rsidRPr="009D47A2" w:rsidRDefault="00220300">
      <w:pPr>
        <w:ind w:left="993" w:right="1041"/>
        <w:jc w:val="both"/>
        <w:rPr>
          <w:rFonts w:ascii="Palatino Linotype" w:eastAsia="Palatino Linotype" w:hAnsi="Palatino Linotype" w:cs="Palatino Linotype"/>
          <w:i/>
          <w:sz w:val="22"/>
          <w:szCs w:val="22"/>
        </w:rPr>
      </w:pPr>
    </w:p>
    <w:p w14:paraId="44CF43BB" w14:textId="77777777" w:rsidR="00220300" w:rsidRPr="009D47A2" w:rsidRDefault="00C876FB">
      <w:pPr>
        <w:ind w:left="993" w:right="1041"/>
        <w:jc w:val="both"/>
        <w:rPr>
          <w:rFonts w:ascii="Palatino Linotype" w:eastAsia="Palatino Linotype" w:hAnsi="Palatino Linotype" w:cs="Palatino Linotype"/>
          <w:b/>
          <w:i/>
          <w:sz w:val="22"/>
          <w:szCs w:val="22"/>
        </w:rPr>
      </w:pPr>
      <w:r w:rsidRPr="009D47A2">
        <w:rPr>
          <w:rFonts w:ascii="Palatino Linotype" w:eastAsia="Palatino Linotype" w:hAnsi="Palatino Linotype" w:cs="Palatino Linotype"/>
          <w:b/>
          <w:i/>
          <w:sz w:val="22"/>
          <w:szCs w:val="22"/>
        </w:rPr>
        <w:t>“Artículo 137.</w:t>
      </w:r>
      <w:r w:rsidRPr="009D47A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E663A4B" w14:textId="77777777" w:rsidR="00220300" w:rsidRPr="009D47A2" w:rsidRDefault="00220300">
      <w:pPr>
        <w:ind w:left="993" w:right="1041"/>
        <w:jc w:val="both"/>
        <w:rPr>
          <w:rFonts w:ascii="Palatino Linotype" w:eastAsia="Palatino Linotype" w:hAnsi="Palatino Linotype" w:cs="Palatino Linotype"/>
          <w:b/>
          <w:i/>
          <w:sz w:val="22"/>
          <w:szCs w:val="22"/>
        </w:rPr>
      </w:pPr>
    </w:p>
    <w:p w14:paraId="12D73587" w14:textId="77777777" w:rsidR="00220300" w:rsidRPr="009D47A2" w:rsidRDefault="00C876FB">
      <w:pPr>
        <w:ind w:left="993" w:right="104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“Artículo 143</w:t>
      </w:r>
      <w:r w:rsidRPr="009D47A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52D2D32" w14:textId="77777777" w:rsidR="00220300" w:rsidRPr="009D47A2" w:rsidRDefault="00C876FB">
      <w:pPr>
        <w:ind w:left="993" w:right="104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I.</w:t>
      </w:r>
      <w:r w:rsidRPr="009D47A2">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12BB700" w14:textId="77777777" w:rsidR="00220300" w:rsidRPr="009D47A2" w:rsidRDefault="00C876FB">
      <w:pPr>
        <w:ind w:left="993" w:right="104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5183AB0" w14:textId="77777777" w:rsidR="00220300" w:rsidRPr="009D47A2" w:rsidRDefault="00C876FB">
      <w:pPr>
        <w:ind w:left="993" w:right="104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D905AEA" w14:textId="77777777" w:rsidR="00220300" w:rsidRPr="009D47A2" w:rsidRDefault="00220300">
      <w:pPr>
        <w:ind w:left="993" w:right="1041"/>
        <w:jc w:val="both"/>
        <w:rPr>
          <w:rFonts w:ascii="Palatino Linotype" w:eastAsia="Palatino Linotype" w:hAnsi="Palatino Linotype" w:cs="Palatino Linotype"/>
          <w:i/>
          <w:sz w:val="22"/>
          <w:szCs w:val="22"/>
        </w:rPr>
      </w:pPr>
    </w:p>
    <w:p w14:paraId="45FC88D7" w14:textId="77777777" w:rsidR="00220300" w:rsidRPr="009D47A2" w:rsidRDefault="00C876FB">
      <w:pPr>
        <w:spacing w:line="360" w:lineRule="auto"/>
        <w:ind w:right="51"/>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sidRPr="009D47A2">
        <w:rPr>
          <w:rFonts w:ascii="Palatino Linotype" w:eastAsia="Palatino Linotype" w:hAnsi="Palatino Linotype" w:cs="Palatino Linotype"/>
        </w:rPr>
        <w:lastRenderedPageBreak/>
        <w:t xml:space="preserve">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41A850A" w14:textId="77777777" w:rsidR="00220300" w:rsidRPr="009D47A2" w:rsidRDefault="00220300">
      <w:pPr>
        <w:spacing w:line="360" w:lineRule="auto"/>
        <w:ind w:right="51"/>
        <w:jc w:val="both"/>
        <w:rPr>
          <w:rFonts w:ascii="Palatino Linotype" w:eastAsia="Palatino Linotype" w:hAnsi="Palatino Linotype" w:cs="Palatino Linotype"/>
        </w:rPr>
      </w:pPr>
    </w:p>
    <w:p w14:paraId="086E7773" w14:textId="77777777" w:rsidR="00220300" w:rsidRPr="009D47A2" w:rsidRDefault="00C876FB">
      <w:pPr>
        <w:spacing w:line="360" w:lineRule="auto"/>
        <w:ind w:right="50"/>
        <w:jc w:val="both"/>
        <w:rPr>
          <w:rFonts w:ascii="Palatino Linotype" w:eastAsia="Palatino Linotype" w:hAnsi="Palatino Linotype" w:cs="Palatino Linotype"/>
        </w:rPr>
      </w:pPr>
      <w:r w:rsidRPr="009D47A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0E92DB4" w14:textId="77777777" w:rsidR="00220300" w:rsidRPr="009D47A2" w:rsidRDefault="00220300">
      <w:pPr>
        <w:spacing w:line="360" w:lineRule="auto"/>
        <w:ind w:right="51"/>
        <w:jc w:val="both"/>
        <w:rPr>
          <w:rFonts w:ascii="Palatino Linotype" w:eastAsia="Palatino Linotype" w:hAnsi="Palatino Linotype" w:cs="Palatino Linotype"/>
        </w:rPr>
      </w:pPr>
    </w:p>
    <w:p w14:paraId="5C8B0B56" w14:textId="77777777" w:rsidR="00220300" w:rsidRPr="009D47A2" w:rsidRDefault="00C876FB">
      <w:pPr>
        <w:spacing w:line="360" w:lineRule="auto"/>
        <w:ind w:right="51"/>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5D3EBDE1" w14:textId="77777777" w:rsidR="00220300" w:rsidRPr="009D47A2" w:rsidRDefault="00220300">
      <w:pPr>
        <w:spacing w:line="360" w:lineRule="auto"/>
        <w:ind w:right="51"/>
        <w:jc w:val="both"/>
        <w:rPr>
          <w:rFonts w:ascii="Palatino Linotype" w:eastAsia="Palatino Linotype" w:hAnsi="Palatino Linotype" w:cs="Palatino Linotype"/>
        </w:rPr>
      </w:pPr>
    </w:p>
    <w:p w14:paraId="4B074032" w14:textId="77777777" w:rsidR="00220300" w:rsidRPr="009D47A2" w:rsidRDefault="00C876FB">
      <w:pPr>
        <w:ind w:left="992" w:right="1043"/>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lastRenderedPageBreak/>
        <w:t>“Artículo 49.</w:t>
      </w:r>
      <w:r w:rsidRPr="009D47A2">
        <w:rPr>
          <w:rFonts w:ascii="Palatino Linotype" w:eastAsia="Palatino Linotype" w:hAnsi="Palatino Linotype" w:cs="Palatino Linotype"/>
          <w:i/>
          <w:sz w:val="22"/>
          <w:szCs w:val="22"/>
        </w:rPr>
        <w:t xml:space="preserve"> </w:t>
      </w:r>
      <w:r w:rsidRPr="009D47A2">
        <w:rPr>
          <w:rFonts w:ascii="Palatino Linotype" w:eastAsia="Palatino Linotype" w:hAnsi="Palatino Linotype" w:cs="Palatino Linotype"/>
          <w:b/>
          <w:i/>
          <w:sz w:val="22"/>
          <w:szCs w:val="22"/>
        </w:rPr>
        <w:t>Los Comités de Transparencia</w:t>
      </w:r>
      <w:r w:rsidRPr="009D47A2">
        <w:rPr>
          <w:rFonts w:ascii="Palatino Linotype" w:eastAsia="Palatino Linotype" w:hAnsi="Palatino Linotype" w:cs="Palatino Linotype"/>
          <w:i/>
          <w:sz w:val="22"/>
          <w:szCs w:val="22"/>
        </w:rPr>
        <w:t xml:space="preserve"> tendrán las siguientes atribuciones:</w:t>
      </w:r>
    </w:p>
    <w:p w14:paraId="7036A7BC" w14:textId="77777777" w:rsidR="00220300" w:rsidRPr="009D47A2" w:rsidRDefault="00C876FB">
      <w:pPr>
        <w:ind w:left="992" w:right="1043"/>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VIII. Aprobar, modificar o revocar la clasificación de la información</w:t>
      </w:r>
      <w:r w:rsidRPr="009D47A2">
        <w:rPr>
          <w:rFonts w:ascii="Palatino Linotype" w:eastAsia="Palatino Linotype" w:hAnsi="Palatino Linotype" w:cs="Palatino Linotype"/>
          <w:i/>
          <w:sz w:val="22"/>
          <w:szCs w:val="22"/>
        </w:rPr>
        <w:t>…”</w:t>
      </w:r>
    </w:p>
    <w:p w14:paraId="7BCDD4E0" w14:textId="77777777" w:rsidR="00220300" w:rsidRPr="009D47A2" w:rsidRDefault="00C876FB">
      <w:pPr>
        <w:ind w:left="992" w:right="1043"/>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r w:rsidRPr="009D47A2">
        <w:rPr>
          <w:rFonts w:ascii="Palatino Linotype" w:eastAsia="Palatino Linotype" w:hAnsi="Palatino Linotype" w:cs="Palatino Linotype"/>
          <w:b/>
          <w:i/>
          <w:sz w:val="22"/>
          <w:szCs w:val="22"/>
        </w:rPr>
        <w:t>Artículo 53.</w:t>
      </w:r>
      <w:r w:rsidRPr="009D47A2">
        <w:rPr>
          <w:rFonts w:ascii="Palatino Linotype" w:eastAsia="Palatino Linotype" w:hAnsi="Palatino Linotype" w:cs="Palatino Linotype"/>
          <w:i/>
          <w:sz w:val="22"/>
          <w:szCs w:val="22"/>
        </w:rPr>
        <w:t xml:space="preserve"> Las </w:t>
      </w:r>
      <w:r w:rsidRPr="009D47A2">
        <w:rPr>
          <w:rFonts w:ascii="Palatino Linotype" w:eastAsia="Palatino Linotype" w:hAnsi="Palatino Linotype" w:cs="Palatino Linotype"/>
          <w:b/>
          <w:i/>
          <w:sz w:val="22"/>
          <w:szCs w:val="22"/>
        </w:rPr>
        <w:t>Unidades de Transparencia</w:t>
      </w:r>
      <w:r w:rsidRPr="009D47A2">
        <w:rPr>
          <w:rFonts w:ascii="Palatino Linotype" w:eastAsia="Palatino Linotype" w:hAnsi="Palatino Linotype" w:cs="Palatino Linotype"/>
          <w:i/>
          <w:sz w:val="22"/>
          <w:szCs w:val="22"/>
        </w:rPr>
        <w:t xml:space="preserve"> tendrán las siguientes </w:t>
      </w:r>
      <w:r w:rsidRPr="009D47A2">
        <w:rPr>
          <w:rFonts w:ascii="Palatino Linotype" w:eastAsia="Palatino Linotype" w:hAnsi="Palatino Linotype" w:cs="Palatino Linotype"/>
          <w:b/>
          <w:i/>
          <w:sz w:val="22"/>
          <w:szCs w:val="22"/>
        </w:rPr>
        <w:t>funciones</w:t>
      </w:r>
      <w:r w:rsidRPr="009D47A2">
        <w:rPr>
          <w:rFonts w:ascii="Palatino Linotype" w:eastAsia="Palatino Linotype" w:hAnsi="Palatino Linotype" w:cs="Palatino Linotype"/>
          <w:i/>
          <w:sz w:val="22"/>
          <w:szCs w:val="22"/>
        </w:rPr>
        <w:t>:</w:t>
      </w:r>
    </w:p>
    <w:p w14:paraId="226C7FB3" w14:textId="77777777" w:rsidR="00220300" w:rsidRPr="009D47A2" w:rsidRDefault="00C876FB">
      <w:pPr>
        <w:ind w:left="992" w:right="1043"/>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X. Presentar ante el Comité, el proyecto de clasificación de información</w:t>
      </w:r>
      <w:r w:rsidRPr="009D47A2">
        <w:rPr>
          <w:rFonts w:ascii="Palatino Linotype" w:eastAsia="Palatino Linotype" w:hAnsi="Palatino Linotype" w:cs="Palatino Linotype"/>
          <w:i/>
          <w:sz w:val="22"/>
          <w:szCs w:val="22"/>
        </w:rPr>
        <w:t xml:space="preserve">…” </w:t>
      </w:r>
    </w:p>
    <w:p w14:paraId="376BC647" w14:textId="77777777" w:rsidR="00220300" w:rsidRPr="009D47A2" w:rsidRDefault="00C876FB">
      <w:pPr>
        <w:ind w:left="992" w:right="1043"/>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“Artículo 59.</w:t>
      </w:r>
      <w:r w:rsidRPr="009D47A2">
        <w:rPr>
          <w:rFonts w:ascii="Palatino Linotype" w:eastAsia="Palatino Linotype" w:hAnsi="Palatino Linotype" w:cs="Palatino Linotype"/>
          <w:i/>
          <w:sz w:val="22"/>
          <w:szCs w:val="22"/>
        </w:rPr>
        <w:t xml:space="preserve"> Los </w:t>
      </w:r>
      <w:r w:rsidRPr="009D47A2">
        <w:rPr>
          <w:rFonts w:ascii="Palatino Linotype" w:eastAsia="Palatino Linotype" w:hAnsi="Palatino Linotype" w:cs="Palatino Linotype"/>
          <w:b/>
          <w:i/>
          <w:sz w:val="22"/>
          <w:szCs w:val="22"/>
        </w:rPr>
        <w:t>servidores públicos habilitados</w:t>
      </w:r>
      <w:r w:rsidRPr="009D47A2">
        <w:rPr>
          <w:rFonts w:ascii="Palatino Linotype" w:eastAsia="Palatino Linotype" w:hAnsi="Palatino Linotype" w:cs="Palatino Linotype"/>
          <w:i/>
          <w:sz w:val="22"/>
          <w:szCs w:val="22"/>
        </w:rPr>
        <w:t xml:space="preserve"> tendrán las </w:t>
      </w:r>
      <w:r w:rsidRPr="009D47A2">
        <w:rPr>
          <w:rFonts w:ascii="Palatino Linotype" w:eastAsia="Palatino Linotype" w:hAnsi="Palatino Linotype" w:cs="Palatino Linotype"/>
          <w:b/>
          <w:i/>
          <w:sz w:val="22"/>
          <w:szCs w:val="22"/>
        </w:rPr>
        <w:t>funciones</w:t>
      </w:r>
      <w:r w:rsidRPr="009D47A2">
        <w:rPr>
          <w:rFonts w:ascii="Palatino Linotype" w:eastAsia="Palatino Linotype" w:hAnsi="Palatino Linotype" w:cs="Palatino Linotype"/>
          <w:i/>
          <w:sz w:val="22"/>
          <w:szCs w:val="22"/>
        </w:rPr>
        <w:t xml:space="preserve"> siguientes:</w:t>
      </w:r>
    </w:p>
    <w:p w14:paraId="3CA259E0" w14:textId="77777777" w:rsidR="00220300" w:rsidRPr="009D47A2" w:rsidRDefault="00C876FB">
      <w:pPr>
        <w:ind w:left="992" w:right="1043"/>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9D47A2">
        <w:rPr>
          <w:rFonts w:ascii="Palatino Linotype" w:eastAsia="Palatino Linotype" w:hAnsi="Palatino Linotype" w:cs="Palatino Linotype"/>
          <w:i/>
          <w:sz w:val="22"/>
          <w:szCs w:val="22"/>
        </w:rPr>
        <w:t>, la cual tendrá los fundamentos y argumentos en que se basa dicha propuesta…” (Sic)</w:t>
      </w:r>
    </w:p>
    <w:p w14:paraId="3B5EB62D" w14:textId="77777777" w:rsidR="00220300" w:rsidRPr="009D47A2" w:rsidRDefault="00220300">
      <w:pPr>
        <w:ind w:left="992" w:right="1043"/>
        <w:jc w:val="both"/>
        <w:rPr>
          <w:rFonts w:ascii="Palatino Linotype" w:eastAsia="Palatino Linotype" w:hAnsi="Palatino Linotype" w:cs="Palatino Linotype"/>
          <w:i/>
          <w:sz w:val="22"/>
          <w:szCs w:val="22"/>
        </w:rPr>
      </w:pPr>
    </w:p>
    <w:p w14:paraId="3B7FA0FC"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A4FA5B6" w14:textId="77777777" w:rsidR="00220300" w:rsidRPr="009D47A2" w:rsidRDefault="00220300">
      <w:pPr>
        <w:spacing w:line="360" w:lineRule="auto"/>
        <w:jc w:val="both"/>
        <w:rPr>
          <w:rFonts w:ascii="Palatino Linotype" w:eastAsia="Palatino Linotype" w:hAnsi="Palatino Linotype" w:cs="Palatino Linotype"/>
        </w:rPr>
      </w:pPr>
    </w:p>
    <w:p w14:paraId="4C94F981"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A34A129" w14:textId="77777777" w:rsidR="00220300" w:rsidRPr="009D47A2" w:rsidRDefault="00220300">
      <w:pPr>
        <w:spacing w:line="360" w:lineRule="auto"/>
        <w:jc w:val="both"/>
        <w:rPr>
          <w:rFonts w:ascii="Palatino Linotype" w:eastAsia="Palatino Linotype" w:hAnsi="Palatino Linotype" w:cs="Palatino Linotype"/>
        </w:rPr>
      </w:pPr>
    </w:p>
    <w:p w14:paraId="20174676" w14:textId="77777777" w:rsidR="00220300" w:rsidRPr="009D47A2" w:rsidRDefault="00C876FB">
      <w:pPr>
        <w:spacing w:after="240"/>
        <w:ind w:left="993" w:right="1041"/>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w:t>
      </w:r>
      <w:r w:rsidRPr="009D47A2">
        <w:rPr>
          <w:rFonts w:ascii="Palatino Linotype" w:eastAsia="Palatino Linotype" w:hAnsi="Palatino Linotype" w:cs="Palatino Linotype"/>
          <w:b/>
          <w:i/>
          <w:sz w:val="22"/>
          <w:szCs w:val="22"/>
        </w:rPr>
        <w:t>Artículo 149.</w:t>
      </w:r>
      <w:r w:rsidRPr="009D47A2">
        <w:rPr>
          <w:rFonts w:ascii="Palatino Linotype" w:eastAsia="Palatino Linotype" w:hAnsi="Palatino Linotype" w:cs="Palatino Linotype"/>
          <w:i/>
          <w:sz w:val="22"/>
          <w:szCs w:val="22"/>
        </w:rPr>
        <w:t xml:space="preserve"> El </w:t>
      </w:r>
      <w:r w:rsidRPr="009D47A2">
        <w:rPr>
          <w:rFonts w:ascii="Palatino Linotype" w:eastAsia="Palatino Linotype" w:hAnsi="Palatino Linotype" w:cs="Palatino Linotype"/>
          <w:b/>
          <w:i/>
          <w:sz w:val="22"/>
          <w:szCs w:val="22"/>
        </w:rPr>
        <w:t>acuerdo que clasifique la información como confidencial</w:t>
      </w:r>
      <w:r w:rsidRPr="009D47A2">
        <w:rPr>
          <w:rFonts w:ascii="Palatino Linotype" w:eastAsia="Palatino Linotype" w:hAnsi="Palatino Linotype" w:cs="Palatino Linotype"/>
          <w:i/>
          <w:sz w:val="22"/>
          <w:szCs w:val="22"/>
        </w:rPr>
        <w:t xml:space="preserve"> deberá contener un razonamiento lógico en el que demuestre que </w:t>
      </w:r>
      <w:r w:rsidRPr="009D47A2">
        <w:rPr>
          <w:rFonts w:ascii="Palatino Linotype" w:eastAsia="Palatino Linotype" w:hAnsi="Palatino Linotype" w:cs="Palatino Linotype"/>
          <w:i/>
          <w:sz w:val="22"/>
          <w:szCs w:val="22"/>
        </w:rPr>
        <w:lastRenderedPageBreak/>
        <w:t>la información se encuentra en alguna o algunas de las hipótesis previstas en la presente Ley.”(Sic)</w:t>
      </w:r>
    </w:p>
    <w:p w14:paraId="37F6E8EC" w14:textId="77777777" w:rsidR="00220300" w:rsidRPr="009D47A2" w:rsidRDefault="00220300">
      <w:pPr>
        <w:spacing w:before="240" w:line="360" w:lineRule="auto"/>
        <w:ind w:right="51"/>
        <w:jc w:val="both"/>
        <w:rPr>
          <w:rFonts w:ascii="Palatino Linotype" w:eastAsia="Palatino Linotype" w:hAnsi="Palatino Linotype" w:cs="Palatino Linotype"/>
          <w:i/>
          <w:sz w:val="22"/>
          <w:szCs w:val="22"/>
        </w:rPr>
      </w:pPr>
    </w:p>
    <w:p w14:paraId="16526739" w14:textId="77777777" w:rsidR="00220300" w:rsidRPr="009D47A2" w:rsidRDefault="00C876FB">
      <w:pPr>
        <w:spacing w:line="360" w:lineRule="auto"/>
        <w:ind w:right="51"/>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Es decir, 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24EC61A" w14:textId="77777777" w:rsidR="00220300" w:rsidRPr="009D47A2" w:rsidRDefault="00220300">
      <w:pPr>
        <w:spacing w:line="360" w:lineRule="auto"/>
        <w:ind w:right="51"/>
        <w:jc w:val="both"/>
        <w:rPr>
          <w:rFonts w:ascii="Palatino Linotype" w:eastAsia="Palatino Linotype" w:hAnsi="Palatino Linotype" w:cs="Palatino Linotype"/>
        </w:rPr>
      </w:pPr>
    </w:p>
    <w:p w14:paraId="5312CFD3"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Al respecto, se destaca que la versión pública que elabore 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D47A2">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9D47A2">
        <w:rPr>
          <w:rFonts w:ascii="Palatino Linotype" w:eastAsia="Palatino Linotype" w:hAnsi="Palatino Linotype" w:cs="Palatino Linotype"/>
        </w:rPr>
        <w:t xml:space="preserve">, publicados en el Diario Oficial de la Federación en fecha dieciocho de noviembre del año dos mil veintidós, mediante </w:t>
      </w:r>
      <w:r w:rsidRPr="009D47A2">
        <w:rPr>
          <w:rFonts w:ascii="Palatino Linotype" w:eastAsia="Palatino Linotype" w:hAnsi="Palatino Linotype" w:cs="Palatino Linotype"/>
        </w:rPr>
        <w:lastRenderedPageBreak/>
        <w:t>Acuerdo del Consejo Nacional del Sistema Nacional de Transparencia, Acceso a la Información Pública y Protección de Datos Personales, que literalmente expresan:</w:t>
      </w:r>
    </w:p>
    <w:p w14:paraId="13BBBF93" w14:textId="77777777" w:rsidR="00220300" w:rsidRPr="009D47A2" w:rsidRDefault="00220300">
      <w:pPr>
        <w:ind w:left="709" w:right="709"/>
        <w:jc w:val="both"/>
        <w:rPr>
          <w:rFonts w:ascii="Palatino Linotype" w:eastAsia="Palatino Linotype" w:hAnsi="Palatino Linotype" w:cs="Palatino Linotype"/>
          <w:b/>
          <w:i/>
          <w:sz w:val="22"/>
          <w:szCs w:val="22"/>
        </w:rPr>
      </w:pPr>
    </w:p>
    <w:p w14:paraId="24B12FCA"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3C831380"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i/>
          <w:sz w:val="22"/>
          <w:szCs w:val="22"/>
        </w:rPr>
        <w:t>“</w:t>
      </w:r>
      <w:r w:rsidRPr="009D47A2">
        <w:rPr>
          <w:rFonts w:ascii="Palatino Linotype" w:eastAsia="Palatino Linotype" w:hAnsi="Palatino Linotype" w:cs="Palatino Linotype"/>
          <w:b/>
          <w:i/>
          <w:sz w:val="22"/>
          <w:szCs w:val="22"/>
        </w:rPr>
        <w:t>Segundo.-</w:t>
      </w:r>
      <w:r w:rsidRPr="009D47A2">
        <w:rPr>
          <w:rFonts w:ascii="Palatino Linotype" w:eastAsia="Palatino Linotype" w:hAnsi="Palatino Linotype" w:cs="Palatino Linotype"/>
          <w:i/>
          <w:sz w:val="22"/>
          <w:szCs w:val="22"/>
        </w:rPr>
        <w:t xml:space="preserve"> Para efectos de los presentes Lineamientos Generales, se entenderá por:</w:t>
      </w:r>
    </w:p>
    <w:p w14:paraId="0B8FFB68"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b/>
          <w:i/>
          <w:sz w:val="22"/>
          <w:szCs w:val="22"/>
        </w:rPr>
        <w:t>XVIII.</w:t>
      </w:r>
      <w:r w:rsidRPr="009D47A2">
        <w:rPr>
          <w:rFonts w:ascii="Palatino Linotype" w:eastAsia="Palatino Linotype" w:hAnsi="Palatino Linotype" w:cs="Palatino Linotype"/>
          <w:i/>
          <w:sz w:val="22"/>
          <w:szCs w:val="22"/>
        </w:rPr>
        <w:t xml:space="preserve"> </w:t>
      </w:r>
      <w:r w:rsidRPr="009D47A2">
        <w:rPr>
          <w:rFonts w:ascii="Palatino Linotype" w:eastAsia="Palatino Linotype" w:hAnsi="Palatino Linotype" w:cs="Palatino Linotype"/>
          <w:b/>
          <w:i/>
          <w:sz w:val="22"/>
          <w:szCs w:val="22"/>
        </w:rPr>
        <w:t>Versión pública:</w:t>
      </w:r>
      <w:r w:rsidRPr="009D47A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D47A2">
        <w:rPr>
          <w:rFonts w:ascii="Palatino Linotype" w:eastAsia="Palatino Linotype" w:hAnsi="Palatino Linotype" w:cs="Palatino Linotype"/>
          <w:b/>
          <w:i/>
          <w:sz w:val="22"/>
          <w:szCs w:val="22"/>
          <w:u w:val="single"/>
        </w:rPr>
        <w:t>fundando y motivando la</w:t>
      </w:r>
      <w:r w:rsidRPr="009D47A2">
        <w:rPr>
          <w:rFonts w:ascii="Palatino Linotype" w:eastAsia="Palatino Linotype" w:hAnsi="Palatino Linotype" w:cs="Palatino Linotype"/>
          <w:i/>
          <w:sz w:val="22"/>
          <w:szCs w:val="22"/>
        </w:rPr>
        <w:t xml:space="preserve"> reserva o </w:t>
      </w:r>
      <w:r w:rsidRPr="009D47A2">
        <w:rPr>
          <w:rFonts w:ascii="Palatino Linotype" w:eastAsia="Palatino Linotype" w:hAnsi="Palatino Linotype" w:cs="Palatino Linotype"/>
          <w:b/>
          <w:i/>
          <w:sz w:val="22"/>
          <w:szCs w:val="22"/>
          <w:u w:val="single"/>
        </w:rPr>
        <w:t>confidencialidad</w:t>
      </w:r>
      <w:r w:rsidRPr="009D47A2">
        <w:rPr>
          <w:rFonts w:ascii="Palatino Linotype" w:eastAsia="Palatino Linotype" w:hAnsi="Palatino Linotype" w:cs="Palatino Linotype"/>
          <w:i/>
          <w:sz w:val="22"/>
          <w:szCs w:val="22"/>
        </w:rPr>
        <w:t>, a través de la resolución que para tal efecto emita el Comité de Transparencia.</w:t>
      </w:r>
    </w:p>
    <w:p w14:paraId="2DAC7975"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b/>
          <w:i/>
          <w:sz w:val="22"/>
          <w:szCs w:val="22"/>
        </w:rPr>
        <w:t>Cuarto.</w:t>
      </w:r>
      <w:r w:rsidRPr="009D47A2">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CBC4B94"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EAC50F1"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b/>
          <w:i/>
          <w:sz w:val="22"/>
          <w:szCs w:val="22"/>
        </w:rPr>
        <w:t>Quinto.</w:t>
      </w:r>
      <w:r w:rsidRPr="009D47A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3AA2822"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b/>
          <w:i/>
          <w:sz w:val="22"/>
          <w:szCs w:val="22"/>
        </w:rPr>
        <w:t>…</w:t>
      </w:r>
    </w:p>
    <w:p w14:paraId="11D2807D"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b/>
          <w:i/>
          <w:sz w:val="22"/>
          <w:szCs w:val="22"/>
        </w:rPr>
        <w:t>Séptimo.</w:t>
      </w:r>
      <w:r w:rsidRPr="009D47A2">
        <w:rPr>
          <w:rFonts w:ascii="Palatino Linotype" w:eastAsia="Palatino Linotype" w:hAnsi="Palatino Linotype" w:cs="Palatino Linotype"/>
          <w:i/>
          <w:sz w:val="22"/>
          <w:szCs w:val="22"/>
        </w:rPr>
        <w:t xml:space="preserve"> La clasificación de la información se llevará a cabo en el momento en que:</w:t>
      </w:r>
    </w:p>
    <w:p w14:paraId="5397F09C"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b/>
          <w:i/>
          <w:sz w:val="22"/>
          <w:szCs w:val="22"/>
        </w:rPr>
        <w:t>I.</w:t>
      </w:r>
      <w:r w:rsidRPr="009D47A2">
        <w:rPr>
          <w:rFonts w:ascii="Palatino Linotype" w:eastAsia="Palatino Linotype" w:hAnsi="Palatino Linotype" w:cs="Palatino Linotype"/>
          <w:i/>
          <w:sz w:val="22"/>
          <w:szCs w:val="22"/>
        </w:rPr>
        <w:t xml:space="preserve"> Se reciba una solicitud de acceso a la información;</w:t>
      </w:r>
    </w:p>
    <w:p w14:paraId="06F6692A" w14:textId="77777777" w:rsidR="00220300" w:rsidRPr="009D47A2" w:rsidRDefault="00C876F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II.</w:t>
      </w:r>
      <w:r w:rsidRPr="009D47A2">
        <w:rPr>
          <w:rFonts w:ascii="Palatino Linotype" w:eastAsia="Palatino Linotype" w:hAnsi="Palatino Linotype" w:cs="Palatino Linotype"/>
          <w:i/>
          <w:sz w:val="22"/>
          <w:szCs w:val="22"/>
        </w:rPr>
        <w:t xml:space="preserve"> Se  determine mediante resolución del Comité de Transparencia, el órgano garante </w:t>
      </w:r>
    </w:p>
    <w:p w14:paraId="362D3797"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i/>
          <w:sz w:val="22"/>
          <w:szCs w:val="22"/>
        </w:rPr>
        <w:t>competente, o en cumplimiento a una sentencia del Poder Judicial; o</w:t>
      </w:r>
    </w:p>
    <w:p w14:paraId="7FBA72B2"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b/>
          <w:i/>
          <w:sz w:val="22"/>
          <w:szCs w:val="22"/>
        </w:rPr>
        <w:t>III.</w:t>
      </w:r>
      <w:r w:rsidRPr="009D47A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ECF0483"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6ECD401"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b/>
          <w:i/>
          <w:sz w:val="22"/>
          <w:szCs w:val="22"/>
        </w:rPr>
        <w:lastRenderedPageBreak/>
        <w:t>Octavo.</w:t>
      </w:r>
      <w:r w:rsidRPr="009D47A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8E0FF7"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3075C43" w14:textId="77777777" w:rsidR="00220300" w:rsidRPr="009D47A2" w:rsidRDefault="00C876F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C6B2E89"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b/>
          <w:i/>
          <w:sz w:val="22"/>
          <w:szCs w:val="22"/>
        </w:rPr>
        <w:t>Noveno.</w:t>
      </w:r>
      <w:r w:rsidRPr="009D47A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6E52073"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b/>
          <w:i/>
          <w:sz w:val="22"/>
          <w:szCs w:val="22"/>
        </w:rPr>
        <w:t>Décimo.</w:t>
      </w:r>
      <w:r w:rsidRPr="009D47A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F1ABE28"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FFDF154" w14:textId="77777777" w:rsidR="00220300" w:rsidRPr="009D47A2" w:rsidRDefault="00C876F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Décimo primero.</w:t>
      </w:r>
      <w:r w:rsidRPr="009D47A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C1FF378" w14:textId="77777777" w:rsidR="00220300" w:rsidRPr="009D47A2" w:rsidRDefault="00220300">
      <w:pPr>
        <w:pBdr>
          <w:top w:val="nil"/>
          <w:left w:val="nil"/>
          <w:bottom w:val="nil"/>
          <w:right w:val="nil"/>
          <w:between w:val="nil"/>
        </w:pBdr>
        <w:ind w:right="709"/>
        <w:jc w:val="both"/>
      </w:pPr>
    </w:p>
    <w:p w14:paraId="40CBEECD" w14:textId="77777777" w:rsidR="00220300" w:rsidRPr="009D47A2" w:rsidRDefault="00C876FB">
      <w:pPr>
        <w:pBdr>
          <w:top w:val="nil"/>
          <w:left w:val="nil"/>
          <w:bottom w:val="nil"/>
          <w:right w:val="nil"/>
          <w:between w:val="nil"/>
        </w:pBdr>
        <w:ind w:left="709" w:right="709"/>
        <w:jc w:val="both"/>
      </w:pPr>
      <w:r w:rsidRPr="009D47A2">
        <w:rPr>
          <w:rFonts w:ascii="Palatino Linotype" w:eastAsia="Palatino Linotype" w:hAnsi="Palatino Linotype" w:cs="Palatino Linotype"/>
          <w:i/>
          <w:sz w:val="22"/>
          <w:szCs w:val="22"/>
        </w:rPr>
        <w:t>[…]</w:t>
      </w:r>
    </w:p>
    <w:p w14:paraId="6A950EC1" w14:textId="77777777" w:rsidR="00220300" w:rsidRPr="009D47A2" w:rsidRDefault="00C876FB">
      <w:pPr>
        <w:pBdr>
          <w:top w:val="nil"/>
          <w:left w:val="nil"/>
          <w:bottom w:val="nil"/>
          <w:right w:val="nil"/>
          <w:between w:val="nil"/>
        </w:pBdr>
        <w:ind w:left="709" w:right="709"/>
        <w:jc w:val="center"/>
      </w:pPr>
      <w:r w:rsidRPr="009D47A2">
        <w:rPr>
          <w:rFonts w:ascii="Palatino Linotype" w:eastAsia="Palatino Linotype" w:hAnsi="Palatino Linotype" w:cs="Palatino Linotype"/>
          <w:b/>
          <w:i/>
          <w:sz w:val="22"/>
          <w:szCs w:val="22"/>
        </w:rPr>
        <w:t>CAPÍTULO VIII</w:t>
      </w:r>
    </w:p>
    <w:p w14:paraId="7363EB9C" w14:textId="77777777" w:rsidR="00220300" w:rsidRPr="009D47A2" w:rsidRDefault="00C876FB">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9D47A2">
        <w:rPr>
          <w:rFonts w:ascii="Palatino Linotype" w:eastAsia="Palatino Linotype" w:hAnsi="Palatino Linotype" w:cs="Palatino Linotype"/>
          <w:b/>
          <w:i/>
          <w:sz w:val="22"/>
          <w:szCs w:val="22"/>
        </w:rPr>
        <w:t>DE LOS ELEMENTOS PARA LA CLASIFICACIÓN</w:t>
      </w:r>
    </w:p>
    <w:p w14:paraId="5B52B648"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Quincuagésimo</w:t>
      </w:r>
      <w:r w:rsidRPr="009D47A2">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F27D6AE"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lastRenderedPageBreak/>
        <w:t>Quincuagésimo primero</w:t>
      </w:r>
      <w:r w:rsidRPr="009D47A2">
        <w:rPr>
          <w:rFonts w:ascii="Palatino Linotype" w:eastAsia="Palatino Linotype" w:hAnsi="Palatino Linotype" w:cs="Palatino Linotype"/>
          <w:i/>
          <w:sz w:val="22"/>
          <w:szCs w:val="22"/>
        </w:rPr>
        <w:t>. Toda acta del Comité de Transparencia deberá contener:</w:t>
      </w:r>
    </w:p>
    <w:p w14:paraId="0663819E"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 xml:space="preserve">I. El número de sesión y fecha; </w:t>
      </w:r>
    </w:p>
    <w:p w14:paraId="32704AEA"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II. El nombre del área que solicitó la clasificación de información;</w:t>
      </w:r>
    </w:p>
    <w:p w14:paraId="18F6B58C"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III. La fundamentación legal y motivación correspondiente;</w:t>
      </w:r>
    </w:p>
    <w:p w14:paraId="4B9F7AB9"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IV. La resolución o resoluciones aprobadas; y</w:t>
      </w:r>
    </w:p>
    <w:p w14:paraId="4033F442"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 xml:space="preserve">V. La rúbrica o firma digital de cada integrante del Comité de Transparencia. </w:t>
      </w:r>
    </w:p>
    <w:p w14:paraId="242E54C8"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2077371A"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 Los motivos y razonamientos que sustenten la confirmación o modificación de la prueba de daño;</w:t>
      </w:r>
    </w:p>
    <w:p w14:paraId="1889AE00"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II. Descripción de las partes o secciones reservadas, en caso de clasificación parcial;</w:t>
      </w:r>
    </w:p>
    <w:p w14:paraId="74E4E966"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III. El periodo por el que mantendrá su clasificación y fecha de expiración; y</w:t>
      </w:r>
    </w:p>
    <w:p w14:paraId="0CDADF20"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IV. El nombre del titular y área encargada de realizar la versión pública del documento, en su caso.</w:t>
      </w:r>
    </w:p>
    <w:p w14:paraId="43AE85D9"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951AAA7"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D0C93D2"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b/>
          <w:i/>
          <w:sz w:val="22"/>
          <w:szCs w:val="22"/>
        </w:rPr>
        <w:t>Quincuagésimo segundo</w:t>
      </w:r>
      <w:r w:rsidRPr="009D47A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68FC040"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3CF0C60"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591A9065"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14:paraId="6B226481"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III. Señalar las personas o instancias autorizadas a acceder a la información clasificada.</w:t>
      </w:r>
    </w:p>
    <w:p w14:paraId="2176A5B2"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FBF68AA"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b/>
          <w:i/>
          <w:sz w:val="22"/>
          <w:szCs w:val="22"/>
        </w:rPr>
      </w:pPr>
      <w:r w:rsidRPr="009D47A2">
        <w:rPr>
          <w:rFonts w:ascii="Palatino Linotype" w:eastAsia="Palatino Linotype" w:hAnsi="Palatino Linotype" w:cs="Palatino Linotype"/>
          <w:b/>
          <w:i/>
          <w:sz w:val="22"/>
          <w:szCs w:val="22"/>
        </w:rPr>
        <w:t>…</w:t>
      </w:r>
    </w:p>
    <w:p w14:paraId="4D1F3B24" w14:textId="77777777" w:rsidR="00220300" w:rsidRPr="009D47A2" w:rsidRDefault="00C876F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22CB7CF" w14:textId="77777777" w:rsidR="00220300" w:rsidRPr="009D47A2" w:rsidRDefault="00C876FB">
      <w:pPr>
        <w:pBdr>
          <w:top w:val="nil"/>
          <w:left w:val="nil"/>
          <w:bottom w:val="nil"/>
          <w:right w:val="nil"/>
          <w:between w:val="nil"/>
        </w:pBdr>
        <w:spacing w:after="160"/>
        <w:ind w:left="709" w:right="709"/>
        <w:jc w:val="both"/>
      </w:pPr>
      <w:r w:rsidRPr="009D47A2">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9D47A2">
        <w:rPr>
          <w:rFonts w:ascii="Palatino Linotype" w:eastAsia="Palatino Linotype" w:hAnsi="Palatino Linotype" w:cs="Palatino Linotype"/>
          <w:i/>
          <w:sz w:val="22"/>
          <w:szCs w:val="22"/>
        </w:rPr>
        <w:t>testado</w:t>
      </w:r>
      <w:proofErr w:type="spellEnd"/>
      <w:r w:rsidRPr="009D47A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489450F9" w14:textId="77777777" w:rsidR="00220300" w:rsidRPr="009D47A2" w:rsidRDefault="00220300">
      <w:pPr>
        <w:jc w:val="both"/>
      </w:pPr>
    </w:p>
    <w:p w14:paraId="7CF332F3" w14:textId="77777777" w:rsidR="00220300" w:rsidRPr="009D47A2" w:rsidRDefault="00220300"/>
    <w:p w14:paraId="18F693F5"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696E543" w14:textId="77777777" w:rsidR="00220300" w:rsidRPr="009D47A2" w:rsidRDefault="00220300">
      <w:pPr>
        <w:spacing w:line="360" w:lineRule="auto"/>
        <w:jc w:val="both"/>
        <w:rPr>
          <w:rFonts w:ascii="Palatino Linotype" w:eastAsia="Palatino Linotype" w:hAnsi="Palatino Linotype" w:cs="Palatino Linotype"/>
        </w:rPr>
      </w:pPr>
    </w:p>
    <w:p w14:paraId="25E60B37" w14:textId="77777777" w:rsidR="00220300" w:rsidRPr="009D47A2" w:rsidRDefault="00C876FB">
      <w:pPr>
        <w:shd w:val="clear" w:color="auto" w:fill="FFFFFF"/>
        <w:spacing w:line="360" w:lineRule="auto"/>
        <w:ind w:right="51"/>
        <w:jc w:val="both"/>
        <w:rPr>
          <w:rFonts w:ascii="Palatino Linotype" w:eastAsia="Palatino Linotype" w:hAnsi="Palatino Linotype" w:cs="Palatino Linotype"/>
        </w:rPr>
      </w:pPr>
      <w:r w:rsidRPr="009D47A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w:t>
      </w:r>
      <w:r w:rsidRPr="009D47A2">
        <w:rPr>
          <w:rFonts w:ascii="Palatino Linotype" w:eastAsia="Palatino Linotype" w:hAnsi="Palatino Linotype" w:cs="Palatino Linotype"/>
        </w:rPr>
        <w:lastRenderedPageBreak/>
        <w:t xml:space="preserve">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w:t>
      </w:r>
    </w:p>
    <w:p w14:paraId="05490896" w14:textId="77777777" w:rsidR="00220300" w:rsidRPr="009D47A2" w:rsidRDefault="00220300">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p>
    <w:p w14:paraId="5DDB2088" w14:textId="77777777" w:rsidR="00220300" w:rsidRPr="009D47A2" w:rsidRDefault="00C876FB">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A7BEA88" w14:textId="77777777" w:rsidR="00220300" w:rsidRPr="009D47A2" w:rsidRDefault="00C876FB">
      <w:pPr>
        <w:widowControl w:val="0"/>
        <w:spacing w:line="360" w:lineRule="auto"/>
        <w:jc w:val="center"/>
        <w:rPr>
          <w:rFonts w:ascii="Palatino Linotype" w:eastAsia="Palatino Linotype" w:hAnsi="Palatino Linotype" w:cs="Palatino Linotype"/>
          <w:b/>
        </w:rPr>
      </w:pPr>
      <w:r w:rsidRPr="009D47A2">
        <w:rPr>
          <w:rFonts w:ascii="Palatino Linotype" w:eastAsia="Palatino Linotype" w:hAnsi="Palatino Linotype" w:cs="Palatino Linotype"/>
          <w:b/>
        </w:rPr>
        <w:t>III. R E S U E L V E:</w:t>
      </w:r>
    </w:p>
    <w:p w14:paraId="3EE1372D" w14:textId="77777777" w:rsidR="00220300" w:rsidRPr="009D47A2" w:rsidRDefault="00220300">
      <w:pPr>
        <w:pBdr>
          <w:top w:val="nil"/>
          <w:left w:val="nil"/>
          <w:bottom w:val="nil"/>
          <w:right w:val="nil"/>
          <w:between w:val="nil"/>
        </w:pBdr>
        <w:spacing w:line="360" w:lineRule="auto"/>
        <w:jc w:val="both"/>
        <w:rPr>
          <w:rFonts w:ascii="Palatino Linotype" w:eastAsia="Palatino Linotype" w:hAnsi="Palatino Linotype" w:cs="Palatino Linotype"/>
        </w:rPr>
      </w:pPr>
    </w:p>
    <w:p w14:paraId="610E9608"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b/>
        </w:rPr>
        <w:t xml:space="preserve">PRIMERO. </w:t>
      </w:r>
      <w:r w:rsidRPr="009D47A2">
        <w:rPr>
          <w:rFonts w:ascii="Palatino Linotype" w:eastAsia="Palatino Linotype" w:hAnsi="Palatino Linotype" w:cs="Palatino Linotype"/>
        </w:rPr>
        <w:t>Se</w:t>
      </w:r>
      <w:r w:rsidRPr="009D47A2">
        <w:t xml:space="preserve"> </w:t>
      </w:r>
      <w:r w:rsidRPr="009D47A2">
        <w:rPr>
          <w:rFonts w:ascii="Palatino Linotype" w:eastAsia="Palatino Linotype" w:hAnsi="Palatino Linotype" w:cs="Palatino Linotype"/>
          <w:b/>
        </w:rPr>
        <w:t xml:space="preserve">MODIFICA </w:t>
      </w:r>
      <w:r w:rsidRPr="009D47A2">
        <w:rPr>
          <w:rFonts w:ascii="Palatino Linotype" w:eastAsia="Palatino Linotype" w:hAnsi="Palatino Linotype" w:cs="Palatino Linotype"/>
        </w:rPr>
        <w:t xml:space="preserve">la respuesta entregada por </w:t>
      </w:r>
      <w:r w:rsidRPr="009D47A2">
        <w:rPr>
          <w:rFonts w:ascii="Palatino Linotype" w:eastAsia="Palatino Linotype" w:hAnsi="Palatino Linotype" w:cs="Palatino Linotype"/>
          <w:b/>
        </w:rPr>
        <w:t xml:space="preserve">el SUJETO OBLIGADO </w:t>
      </w:r>
      <w:r w:rsidRPr="009D47A2">
        <w:rPr>
          <w:rFonts w:ascii="Palatino Linotype" w:eastAsia="Palatino Linotype" w:hAnsi="Palatino Linotype" w:cs="Palatino Linotype"/>
        </w:rPr>
        <w:t xml:space="preserve">a la solicitud de información </w:t>
      </w:r>
      <w:r w:rsidRPr="009D47A2">
        <w:rPr>
          <w:rFonts w:ascii="Palatino Linotype" w:eastAsia="Palatino Linotype" w:hAnsi="Palatino Linotype" w:cs="Palatino Linotype"/>
          <w:b/>
        </w:rPr>
        <w:t xml:space="preserve">00225/TRIJAEM/IP/2024, </w:t>
      </w:r>
      <w:r w:rsidRPr="009D47A2">
        <w:rPr>
          <w:rFonts w:ascii="Palatino Linotype" w:eastAsia="Palatino Linotype" w:hAnsi="Palatino Linotype" w:cs="Palatino Linotype"/>
        </w:rPr>
        <w:t xml:space="preserve">por resultar fundadas las razones o motivos de inconformidad hechos valer por </w:t>
      </w:r>
      <w:r w:rsidRPr="009D47A2">
        <w:rPr>
          <w:rFonts w:ascii="Palatino Linotype" w:eastAsia="Palatino Linotype" w:hAnsi="Palatino Linotype" w:cs="Palatino Linotype"/>
          <w:b/>
        </w:rPr>
        <w:t xml:space="preserve">la parte RECURRENTE, </w:t>
      </w:r>
      <w:r w:rsidRPr="009D47A2">
        <w:rPr>
          <w:rFonts w:ascii="Palatino Linotype" w:eastAsia="Palatino Linotype" w:hAnsi="Palatino Linotype" w:cs="Palatino Linotype"/>
        </w:rPr>
        <w:t xml:space="preserve">en el recurso de revisión </w:t>
      </w:r>
      <w:r w:rsidRPr="009D47A2">
        <w:rPr>
          <w:rFonts w:ascii="Palatino Linotype" w:eastAsia="Palatino Linotype" w:hAnsi="Palatino Linotype" w:cs="Palatino Linotype"/>
          <w:b/>
        </w:rPr>
        <w:t>03559/INFOEM/IP/RR/2024,</w:t>
      </w:r>
      <w:r w:rsidRPr="009D47A2">
        <w:rPr>
          <w:rFonts w:ascii="Palatino Linotype" w:eastAsia="Palatino Linotype" w:hAnsi="Palatino Linotype" w:cs="Palatino Linotype"/>
        </w:rPr>
        <w:t xml:space="preserve"> en términos del considerando </w:t>
      </w:r>
      <w:r w:rsidRPr="009D47A2">
        <w:rPr>
          <w:rFonts w:ascii="Palatino Linotype" w:eastAsia="Palatino Linotype" w:hAnsi="Palatino Linotype" w:cs="Palatino Linotype"/>
          <w:b/>
        </w:rPr>
        <w:t>Cuarto</w:t>
      </w:r>
      <w:r w:rsidRPr="009D47A2">
        <w:rPr>
          <w:rFonts w:ascii="Palatino Linotype" w:eastAsia="Palatino Linotype" w:hAnsi="Palatino Linotype" w:cs="Palatino Linotype"/>
        </w:rPr>
        <w:t xml:space="preserve"> de la presente Resolución.</w:t>
      </w:r>
    </w:p>
    <w:p w14:paraId="079EA533" w14:textId="77777777" w:rsidR="00220300" w:rsidRPr="009D47A2" w:rsidRDefault="00220300">
      <w:pPr>
        <w:spacing w:line="360" w:lineRule="auto"/>
        <w:jc w:val="both"/>
        <w:rPr>
          <w:rFonts w:ascii="Palatino Linotype" w:eastAsia="Palatino Linotype" w:hAnsi="Palatino Linotype" w:cs="Palatino Linotype"/>
          <w:b/>
        </w:rPr>
      </w:pPr>
    </w:p>
    <w:p w14:paraId="6C344567" w14:textId="77777777" w:rsidR="00220300" w:rsidRPr="009D47A2" w:rsidRDefault="00C876FB">
      <w:pPr>
        <w:spacing w:line="360" w:lineRule="auto"/>
        <w:ind w:right="49"/>
        <w:jc w:val="both"/>
        <w:rPr>
          <w:rFonts w:ascii="Palatino Linotype" w:eastAsia="Palatino Linotype" w:hAnsi="Palatino Linotype" w:cs="Palatino Linotype"/>
        </w:rPr>
      </w:pPr>
      <w:r w:rsidRPr="009D47A2">
        <w:rPr>
          <w:rFonts w:ascii="Palatino Linotype" w:eastAsia="Palatino Linotype" w:hAnsi="Palatino Linotype" w:cs="Palatino Linotype"/>
          <w:b/>
        </w:rPr>
        <w:lastRenderedPageBreak/>
        <w:t xml:space="preserve">SEGUNDO. </w:t>
      </w:r>
      <w:r w:rsidRPr="009D47A2">
        <w:rPr>
          <w:rFonts w:ascii="Palatino Linotype" w:eastAsia="Palatino Linotype" w:hAnsi="Palatino Linotype" w:cs="Palatino Linotype"/>
        </w:rPr>
        <w:t>Se</w:t>
      </w:r>
      <w:r w:rsidRPr="009D47A2">
        <w:rPr>
          <w:rFonts w:ascii="Palatino Linotype" w:eastAsia="Palatino Linotype" w:hAnsi="Palatino Linotype" w:cs="Palatino Linotype"/>
          <w:b/>
        </w:rPr>
        <w:t xml:space="preserve"> ORDENA </w:t>
      </w:r>
      <w:r w:rsidRPr="009D47A2">
        <w:rPr>
          <w:rFonts w:ascii="Palatino Linotype" w:eastAsia="Palatino Linotype" w:hAnsi="Palatino Linotype" w:cs="Palatino Linotype"/>
        </w:rPr>
        <w:t xml:space="preserve">al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xml:space="preserve"> a que,</w:t>
      </w:r>
      <w:r w:rsidRPr="009D47A2">
        <w:rPr>
          <w:rFonts w:ascii="Palatino Linotype" w:eastAsia="Palatino Linotype" w:hAnsi="Palatino Linotype" w:cs="Palatino Linotype"/>
          <w:b/>
        </w:rPr>
        <w:t xml:space="preserve"> </w:t>
      </w:r>
      <w:r w:rsidRPr="009D47A2">
        <w:rPr>
          <w:rFonts w:ascii="Palatino Linotype" w:eastAsia="Palatino Linotype" w:hAnsi="Palatino Linotype" w:cs="Palatino Linotype"/>
        </w:rPr>
        <w:t>en términos del Considerando Cuarto y Quinto, haga entrega vía Sistema de Acceso a la Información Mexiquense (SAIMEX), de lo siguiente:</w:t>
      </w:r>
    </w:p>
    <w:p w14:paraId="2C57833F" w14:textId="77777777" w:rsidR="00220300" w:rsidRPr="009D47A2" w:rsidRDefault="00C876FB">
      <w:pPr>
        <w:numPr>
          <w:ilvl w:val="0"/>
          <w:numId w:val="1"/>
        </w:numPr>
        <w:pBdr>
          <w:top w:val="nil"/>
          <w:left w:val="nil"/>
          <w:bottom w:val="nil"/>
          <w:right w:val="nil"/>
          <w:between w:val="nil"/>
        </w:pBdr>
        <w:spacing w:before="280"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rPr>
        <w:t>El documento denominado “</w:t>
      </w:r>
      <w:hyperlink r:id="rId31">
        <w:r w:rsidRPr="009D47A2">
          <w:rPr>
            <w:rFonts w:ascii="Palatino Linotype" w:eastAsia="Palatino Linotype" w:hAnsi="Palatino Linotype" w:cs="Palatino Linotype"/>
          </w:rPr>
          <w:t>11_IJA_CA_2024 - TESTADO - FOLIADO - LEYENDA_II.pdf</w:t>
        </w:r>
      </w:hyperlink>
      <w:r w:rsidRPr="009D47A2">
        <w:rPr>
          <w:rFonts w:ascii="Palatino Linotype" w:eastAsia="Palatino Linotype" w:hAnsi="Palatino Linotype" w:cs="Palatino Linotype"/>
        </w:rPr>
        <w:t>” entregado en respuesta, en correcta versión pública.</w:t>
      </w:r>
    </w:p>
    <w:p w14:paraId="3452C0E8" w14:textId="77777777" w:rsidR="00220300" w:rsidRPr="009D47A2" w:rsidRDefault="00220300">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65BF66E3" w14:textId="77777777" w:rsidR="00220300" w:rsidRPr="009D47A2" w:rsidRDefault="00C876FB">
      <w:pPr>
        <w:pBdr>
          <w:top w:val="nil"/>
          <w:left w:val="nil"/>
          <w:bottom w:val="nil"/>
          <w:right w:val="nil"/>
          <w:between w:val="nil"/>
        </w:pBdr>
        <w:ind w:left="720"/>
        <w:jc w:val="both"/>
        <w:rPr>
          <w:rFonts w:ascii="Palatino Linotype" w:eastAsia="Palatino Linotype" w:hAnsi="Palatino Linotype" w:cs="Palatino Linotype"/>
          <w:i/>
          <w:sz w:val="22"/>
          <w:szCs w:val="22"/>
        </w:rPr>
      </w:pPr>
      <w:r w:rsidRPr="009D47A2">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7ADAEDCD" w14:textId="77777777" w:rsidR="00220300" w:rsidRPr="009D47A2" w:rsidRDefault="00220300">
      <w:pPr>
        <w:pBdr>
          <w:top w:val="nil"/>
          <w:left w:val="nil"/>
          <w:bottom w:val="nil"/>
          <w:right w:val="nil"/>
          <w:between w:val="nil"/>
        </w:pBdr>
        <w:spacing w:after="280" w:line="360" w:lineRule="auto"/>
        <w:ind w:left="720"/>
        <w:jc w:val="both"/>
        <w:rPr>
          <w:rFonts w:ascii="Palatino Linotype" w:eastAsia="Palatino Linotype" w:hAnsi="Palatino Linotype" w:cs="Palatino Linotype"/>
        </w:rPr>
      </w:pPr>
    </w:p>
    <w:p w14:paraId="3BE1BB6C" w14:textId="77777777" w:rsidR="00220300" w:rsidRPr="009D47A2" w:rsidRDefault="00C876FB">
      <w:pPr>
        <w:spacing w:line="360" w:lineRule="auto"/>
        <w:ind w:right="-93"/>
        <w:jc w:val="both"/>
        <w:rPr>
          <w:rFonts w:ascii="Palatino Linotype" w:eastAsia="Palatino Linotype" w:hAnsi="Palatino Linotype" w:cs="Palatino Linotype"/>
        </w:rPr>
      </w:pPr>
      <w:r w:rsidRPr="009D47A2">
        <w:rPr>
          <w:rFonts w:ascii="Palatino Linotype" w:eastAsia="Palatino Linotype" w:hAnsi="Palatino Linotype" w:cs="Palatino Linotype"/>
          <w:b/>
        </w:rPr>
        <w:t xml:space="preserve">TERCERO. Notifíquese vía SAIMEX, </w:t>
      </w:r>
      <w:r w:rsidRPr="009D47A2">
        <w:rPr>
          <w:rFonts w:ascii="Palatino Linotype" w:eastAsia="Palatino Linotype" w:hAnsi="Palatino Linotype" w:cs="Palatino Linotype"/>
        </w:rPr>
        <w:t>la presente resolución al T</w:t>
      </w:r>
      <w:r w:rsidRPr="009D47A2">
        <w:rPr>
          <w:rFonts w:ascii="Palatino Linotype" w:eastAsia="Palatino Linotype" w:hAnsi="Palatino Linotype" w:cs="Palatino Linotype"/>
          <w:b/>
        </w:rPr>
        <w:t xml:space="preserve">itular de la Unidad de Transparencia </w:t>
      </w:r>
      <w:r w:rsidRPr="009D47A2">
        <w:rPr>
          <w:rFonts w:ascii="Palatino Linotype" w:eastAsia="Palatino Linotype" w:hAnsi="Palatino Linotype" w:cs="Palatino Linotype"/>
        </w:rPr>
        <w:t xml:space="preserve">del </w:t>
      </w:r>
      <w:r w:rsidRPr="009D47A2">
        <w:rPr>
          <w:rFonts w:ascii="Palatino Linotype" w:eastAsia="Palatino Linotype" w:hAnsi="Palatino Linotype" w:cs="Palatino Linotype"/>
          <w:b/>
        </w:rPr>
        <w:t>SUJETO OBLIGADO</w:t>
      </w:r>
      <w:r w:rsidRPr="009D47A2">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DFF1EE" w14:textId="77777777" w:rsidR="00220300" w:rsidRPr="009D47A2" w:rsidRDefault="00220300">
      <w:pPr>
        <w:spacing w:line="360" w:lineRule="auto"/>
        <w:ind w:right="-93"/>
        <w:jc w:val="both"/>
        <w:rPr>
          <w:rFonts w:ascii="Palatino Linotype" w:eastAsia="Palatino Linotype" w:hAnsi="Palatino Linotype" w:cs="Palatino Linotype"/>
        </w:rPr>
      </w:pPr>
    </w:p>
    <w:p w14:paraId="73510D2D" w14:textId="77777777" w:rsidR="00220300" w:rsidRPr="009D47A2" w:rsidRDefault="00C876FB">
      <w:pPr>
        <w:spacing w:line="360" w:lineRule="auto"/>
        <w:jc w:val="both"/>
        <w:rPr>
          <w:rFonts w:ascii="Palatino Linotype" w:eastAsia="Palatino Linotype" w:hAnsi="Palatino Linotype" w:cs="Palatino Linotype"/>
        </w:rPr>
      </w:pPr>
      <w:r w:rsidRPr="009D47A2">
        <w:rPr>
          <w:rFonts w:ascii="Palatino Linotype" w:eastAsia="Palatino Linotype" w:hAnsi="Palatino Linotype" w:cs="Palatino Linotype"/>
          <w:b/>
        </w:rPr>
        <w:t xml:space="preserve">CUARTO. </w:t>
      </w:r>
      <w:r w:rsidRPr="009D47A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9D47A2">
        <w:rPr>
          <w:rFonts w:ascii="Palatino Linotype" w:eastAsia="Palatino Linotype" w:hAnsi="Palatino Linotype" w:cs="Palatino Linotype"/>
        </w:rPr>
        <w:lastRenderedPageBreak/>
        <w:t xml:space="preserve">procedente, </w:t>
      </w:r>
      <w:r w:rsidRPr="009D47A2">
        <w:rPr>
          <w:rFonts w:ascii="Palatino Linotype" w:eastAsia="Palatino Linotype" w:hAnsi="Palatino Linotype" w:cs="Palatino Linotype"/>
          <w:b/>
        </w:rPr>
        <w:t>EL SUJETO OBLIGADO</w:t>
      </w:r>
      <w:r w:rsidRPr="009D47A2">
        <w:rPr>
          <w:rFonts w:ascii="Palatino Linotype" w:eastAsia="Palatino Linotype" w:hAnsi="Palatino Linotype" w:cs="Palatino Linotype"/>
        </w:rPr>
        <w:t xml:space="preserve"> de manera fundada y motivada, podrá solicitar una ampliación de plazo para el cumplimiento de la presente resolución.</w:t>
      </w:r>
    </w:p>
    <w:p w14:paraId="07736FC3" w14:textId="77777777" w:rsidR="00220300" w:rsidRPr="009D47A2" w:rsidRDefault="00220300">
      <w:pPr>
        <w:spacing w:line="360" w:lineRule="auto"/>
        <w:jc w:val="both"/>
        <w:rPr>
          <w:rFonts w:ascii="Palatino Linotype" w:eastAsia="Palatino Linotype" w:hAnsi="Palatino Linotype" w:cs="Palatino Linotype"/>
          <w:b/>
        </w:rPr>
      </w:pPr>
    </w:p>
    <w:p w14:paraId="72933B6B" w14:textId="77777777" w:rsidR="00220300" w:rsidRPr="009D47A2" w:rsidRDefault="00C876FB">
      <w:pPr>
        <w:spacing w:line="360" w:lineRule="auto"/>
        <w:ind w:right="49"/>
        <w:jc w:val="both"/>
        <w:rPr>
          <w:rFonts w:ascii="Palatino Linotype" w:eastAsia="Palatino Linotype" w:hAnsi="Palatino Linotype" w:cs="Palatino Linotype"/>
        </w:rPr>
      </w:pPr>
      <w:bookmarkStart w:id="4" w:name="_heading=h.2et92p0" w:colFirst="0" w:colLast="0"/>
      <w:bookmarkEnd w:id="4"/>
      <w:r w:rsidRPr="009D47A2">
        <w:rPr>
          <w:rFonts w:ascii="Palatino Linotype" w:eastAsia="Palatino Linotype" w:hAnsi="Palatino Linotype" w:cs="Palatino Linotype"/>
          <w:b/>
        </w:rPr>
        <w:t>QUINTO. Notifíquese vía SAIMEX</w:t>
      </w:r>
      <w:r w:rsidRPr="009D47A2">
        <w:rPr>
          <w:rFonts w:ascii="Palatino Linotype" w:eastAsia="Palatino Linotype" w:hAnsi="Palatino Linotype" w:cs="Palatino Linotype"/>
        </w:rPr>
        <w:t xml:space="preserve">, a la parte </w:t>
      </w:r>
      <w:r w:rsidRPr="009D47A2">
        <w:rPr>
          <w:rFonts w:ascii="Palatino Linotype" w:eastAsia="Palatino Linotype" w:hAnsi="Palatino Linotype" w:cs="Palatino Linotype"/>
          <w:b/>
        </w:rPr>
        <w:t>RECURRENTE</w:t>
      </w:r>
      <w:r w:rsidRPr="009D47A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55B5ED3" w14:textId="77777777" w:rsidR="00220300" w:rsidRPr="009D47A2" w:rsidRDefault="00C876FB">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9D47A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VEINTICINCO DE SEPTIEMBRE DE DOS MIL VEINTICUATRO, ANTE EL SECRETARIO TÉCNICO DEL PLENO ALEXIS TAPIA RAMÍREZ.</w:t>
      </w:r>
    </w:p>
    <w:p w14:paraId="6D518E28" w14:textId="77777777" w:rsidR="00220300" w:rsidRPr="009D47A2" w:rsidRDefault="00220300">
      <w:pPr>
        <w:spacing w:before="240" w:after="240" w:line="360" w:lineRule="auto"/>
        <w:jc w:val="both"/>
        <w:rPr>
          <w:rFonts w:ascii="Palatino Linotype" w:eastAsia="Palatino Linotype" w:hAnsi="Palatino Linotype" w:cs="Palatino Linotype"/>
        </w:rPr>
      </w:pPr>
    </w:p>
    <w:p w14:paraId="6CC775A3" w14:textId="77777777" w:rsidR="009D47A2" w:rsidRPr="009D47A2" w:rsidRDefault="009D47A2">
      <w:pPr>
        <w:spacing w:before="240" w:after="240" w:line="360" w:lineRule="auto"/>
        <w:jc w:val="both"/>
        <w:rPr>
          <w:rFonts w:ascii="Palatino Linotype" w:eastAsia="Palatino Linotype" w:hAnsi="Palatino Linotype" w:cs="Palatino Linotype"/>
        </w:rPr>
      </w:pPr>
    </w:p>
    <w:p w14:paraId="3AF8D7A4" w14:textId="77777777" w:rsidR="009D47A2" w:rsidRPr="009D47A2" w:rsidRDefault="009D47A2">
      <w:pPr>
        <w:spacing w:before="240" w:after="240" w:line="360" w:lineRule="auto"/>
        <w:jc w:val="both"/>
        <w:rPr>
          <w:rFonts w:ascii="Palatino Linotype" w:eastAsia="Palatino Linotype" w:hAnsi="Palatino Linotype" w:cs="Palatino Linotype"/>
        </w:rPr>
      </w:pPr>
    </w:p>
    <w:p w14:paraId="777577EE" w14:textId="77777777" w:rsidR="009D47A2" w:rsidRPr="009D47A2" w:rsidRDefault="009D47A2">
      <w:pPr>
        <w:spacing w:before="240" w:after="240" w:line="360" w:lineRule="auto"/>
        <w:jc w:val="both"/>
        <w:rPr>
          <w:rFonts w:ascii="Palatino Linotype" w:eastAsia="Palatino Linotype" w:hAnsi="Palatino Linotype" w:cs="Palatino Linotype"/>
        </w:rPr>
      </w:pPr>
    </w:p>
    <w:p w14:paraId="7086DEFE" w14:textId="77777777" w:rsidR="009D47A2" w:rsidRPr="009D47A2" w:rsidRDefault="009D47A2">
      <w:pPr>
        <w:spacing w:before="240" w:after="240" w:line="360" w:lineRule="auto"/>
        <w:jc w:val="both"/>
        <w:rPr>
          <w:rFonts w:ascii="Palatino Linotype" w:eastAsia="Palatino Linotype" w:hAnsi="Palatino Linotype" w:cs="Palatino Linotype"/>
        </w:rPr>
      </w:pPr>
    </w:p>
    <w:p w14:paraId="0125A7F2" w14:textId="77777777" w:rsidR="009D47A2" w:rsidRPr="009D47A2" w:rsidRDefault="009D47A2">
      <w:pPr>
        <w:spacing w:before="240" w:after="240" w:line="360" w:lineRule="auto"/>
        <w:jc w:val="both"/>
        <w:rPr>
          <w:rFonts w:ascii="Palatino Linotype" w:eastAsia="Palatino Linotype" w:hAnsi="Palatino Linotype" w:cs="Palatino Linotype"/>
        </w:rPr>
      </w:pPr>
    </w:p>
    <w:p w14:paraId="1CA89129" w14:textId="77777777" w:rsidR="009D47A2" w:rsidRPr="009D47A2" w:rsidRDefault="009D47A2">
      <w:pPr>
        <w:spacing w:before="240" w:after="240" w:line="360" w:lineRule="auto"/>
        <w:jc w:val="both"/>
        <w:rPr>
          <w:rFonts w:ascii="Palatino Linotype" w:eastAsia="Palatino Linotype" w:hAnsi="Palatino Linotype" w:cs="Palatino Linotype"/>
        </w:rPr>
      </w:pPr>
    </w:p>
    <w:sectPr w:rsidR="009D47A2" w:rsidRPr="009D47A2">
      <w:headerReference w:type="default" r:id="rId32"/>
      <w:footerReference w:type="default" r:id="rId33"/>
      <w:headerReference w:type="first" r:id="rId34"/>
      <w:footerReference w:type="first" r:id="rId35"/>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8F710" w14:textId="77777777" w:rsidR="002264A7" w:rsidRDefault="002264A7">
      <w:r>
        <w:separator/>
      </w:r>
    </w:p>
  </w:endnote>
  <w:endnote w:type="continuationSeparator" w:id="0">
    <w:p w14:paraId="7E7C8D50" w14:textId="77777777" w:rsidR="002264A7" w:rsidRDefault="0022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charset w:val="00"/>
    <w:family w:val="swiss"/>
    <w:pitch w:val="variable"/>
    <w:sig w:usb0="E7002EFF" w:usb1="D200FDFF" w:usb2="0A246029" w:usb3="00000000" w:csb0="000001FF" w:csb1="00000000"/>
  </w:font>
  <w:font w:name="Lohit Hindi">
    <w:panose1 w:val="00000000000000000000"/>
    <w:charset w:val="00"/>
    <w:family w:val="roman"/>
    <w:notTrueType/>
    <w:pitch w:val="default"/>
  </w:font>
  <w:font w:name="Helvetica">
    <w:panose1 w:val="020B0504020202020204"/>
    <w:charset w:val="00"/>
    <w:family w:val="auto"/>
    <w:notTrueType/>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7890" w14:textId="77777777" w:rsidR="00220300" w:rsidRDefault="00C876F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D47A2">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D47A2">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21C2F91E" w14:textId="77777777" w:rsidR="00220300" w:rsidRDefault="0022030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B6CD" w14:textId="77777777" w:rsidR="00220300" w:rsidRDefault="00C876F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D47A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D47A2">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1656CD89" w14:textId="77777777" w:rsidR="00220300" w:rsidRDefault="0022030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2B37E" w14:textId="77777777" w:rsidR="002264A7" w:rsidRDefault="002264A7">
      <w:r>
        <w:separator/>
      </w:r>
    </w:p>
  </w:footnote>
  <w:footnote w:type="continuationSeparator" w:id="0">
    <w:p w14:paraId="1D2F61A8" w14:textId="77777777" w:rsidR="002264A7" w:rsidRDefault="00226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9196" w14:textId="77777777" w:rsidR="00220300" w:rsidRDefault="00C876F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615C623" wp14:editId="0C5EDA33">
          <wp:simplePos x="0" y="0"/>
          <wp:positionH relativeFrom="column">
            <wp:posOffset>-1080129</wp:posOffset>
          </wp:positionH>
          <wp:positionV relativeFrom="paragraph">
            <wp:posOffset>-488309</wp:posOffset>
          </wp:positionV>
          <wp:extent cx="7809865" cy="10165715"/>
          <wp:effectExtent l="0" t="0" r="0" b="0"/>
          <wp:wrapNone/>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953" w:type="dxa"/>
      <w:tblInd w:w="3261" w:type="dxa"/>
      <w:tblLayout w:type="fixed"/>
      <w:tblLook w:val="0400" w:firstRow="0" w:lastRow="0" w:firstColumn="0" w:lastColumn="0" w:noHBand="0" w:noVBand="1"/>
    </w:tblPr>
    <w:tblGrid>
      <w:gridCol w:w="2489"/>
      <w:gridCol w:w="3464"/>
    </w:tblGrid>
    <w:tr w:rsidR="00220300" w14:paraId="5A2FBA15" w14:textId="77777777">
      <w:tc>
        <w:tcPr>
          <w:tcW w:w="2489" w:type="dxa"/>
          <w:shd w:val="clear" w:color="auto" w:fill="auto"/>
        </w:tcPr>
        <w:p w14:paraId="138A2347" w14:textId="77777777" w:rsidR="00220300" w:rsidRDefault="00C876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57810F8" w14:textId="77777777" w:rsidR="00220300" w:rsidRDefault="00C876F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03559/INFOEM/IP/RR/2024</w:t>
          </w:r>
        </w:p>
      </w:tc>
    </w:tr>
    <w:tr w:rsidR="00220300" w14:paraId="66D40150" w14:textId="77777777">
      <w:trPr>
        <w:trHeight w:val="228"/>
      </w:trPr>
      <w:tc>
        <w:tcPr>
          <w:tcW w:w="2489" w:type="dxa"/>
          <w:shd w:val="clear" w:color="auto" w:fill="auto"/>
          <w:vAlign w:val="center"/>
        </w:tcPr>
        <w:p w14:paraId="7402961C" w14:textId="77777777" w:rsidR="00220300" w:rsidRDefault="00C876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245B240" w14:textId="77777777" w:rsidR="00220300" w:rsidRDefault="00C876F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Tribunal de Justicia Administrativa del Estado de México.</w:t>
          </w:r>
        </w:p>
      </w:tc>
    </w:tr>
    <w:tr w:rsidR="00220300" w14:paraId="06E4F560" w14:textId="77777777">
      <w:tc>
        <w:tcPr>
          <w:tcW w:w="2489" w:type="dxa"/>
          <w:shd w:val="clear" w:color="auto" w:fill="auto"/>
          <w:vAlign w:val="center"/>
        </w:tcPr>
        <w:p w14:paraId="6E433F83" w14:textId="77777777" w:rsidR="00220300" w:rsidRDefault="00C876F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4E8828C" w14:textId="77777777" w:rsidR="00220300" w:rsidRDefault="00C876F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A6266A" w14:textId="77777777" w:rsidR="00220300" w:rsidRDefault="00C876F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3385" w14:textId="77777777" w:rsidR="00220300" w:rsidRDefault="0022030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1"/>
      <w:tblW w:w="5670" w:type="dxa"/>
      <w:tblInd w:w="3261" w:type="dxa"/>
      <w:tblLayout w:type="fixed"/>
      <w:tblLook w:val="0400" w:firstRow="0" w:lastRow="0" w:firstColumn="0" w:lastColumn="0" w:noHBand="0" w:noVBand="1"/>
    </w:tblPr>
    <w:tblGrid>
      <w:gridCol w:w="2551"/>
      <w:gridCol w:w="3119"/>
    </w:tblGrid>
    <w:tr w:rsidR="00220300" w14:paraId="376DD164" w14:textId="77777777">
      <w:tc>
        <w:tcPr>
          <w:tcW w:w="2551" w:type="dxa"/>
          <w:shd w:val="clear" w:color="auto" w:fill="auto"/>
          <w:vAlign w:val="center"/>
        </w:tcPr>
        <w:p w14:paraId="04114F16" w14:textId="77777777" w:rsidR="00220300" w:rsidRDefault="00C876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713A356" w14:textId="77777777" w:rsidR="00220300" w:rsidRDefault="00C876F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03559/INFOEM/IP/RR/2024</w:t>
          </w:r>
        </w:p>
      </w:tc>
    </w:tr>
    <w:tr w:rsidR="00220300" w14:paraId="044D5A22" w14:textId="77777777">
      <w:trPr>
        <w:trHeight w:val="130"/>
      </w:trPr>
      <w:tc>
        <w:tcPr>
          <w:tcW w:w="2551" w:type="dxa"/>
          <w:shd w:val="clear" w:color="auto" w:fill="auto"/>
          <w:vAlign w:val="center"/>
        </w:tcPr>
        <w:p w14:paraId="0B06B72F" w14:textId="77777777" w:rsidR="00220300" w:rsidRDefault="00C876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BAE2EFD" w14:textId="77777777" w:rsidR="00220300" w:rsidRDefault="00220300">
          <w:pPr>
            <w:tabs>
              <w:tab w:val="left" w:pos="3153"/>
            </w:tabs>
            <w:ind w:left="-45"/>
            <w:jc w:val="both"/>
            <w:rPr>
              <w:rFonts w:ascii="Palatino Linotype" w:eastAsia="Palatino Linotype" w:hAnsi="Palatino Linotype" w:cs="Palatino Linotype"/>
              <w:b/>
              <w:sz w:val="22"/>
              <w:szCs w:val="22"/>
            </w:rPr>
          </w:pPr>
        </w:p>
      </w:tc>
    </w:tr>
    <w:tr w:rsidR="00220300" w14:paraId="5C4266C8" w14:textId="77777777">
      <w:trPr>
        <w:trHeight w:val="228"/>
      </w:trPr>
      <w:tc>
        <w:tcPr>
          <w:tcW w:w="2551" w:type="dxa"/>
          <w:shd w:val="clear" w:color="auto" w:fill="auto"/>
          <w:vAlign w:val="center"/>
        </w:tcPr>
        <w:p w14:paraId="26878300" w14:textId="77777777" w:rsidR="00220300" w:rsidRDefault="00C876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7B956C4" w14:textId="77777777" w:rsidR="00220300" w:rsidRDefault="00C876FB">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Tribunal de Justicia Administrativa del Estado de México.</w:t>
          </w:r>
        </w:p>
      </w:tc>
    </w:tr>
    <w:tr w:rsidR="00220300" w14:paraId="66DB2AD0" w14:textId="77777777">
      <w:tc>
        <w:tcPr>
          <w:tcW w:w="2551" w:type="dxa"/>
          <w:shd w:val="clear" w:color="auto" w:fill="auto"/>
          <w:vAlign w:val="center"/>
        </w:tcPr>
        <w:p w14:paraId="7A6DEEBA" w14:textId="77777777" w:rsidR="00220300" w:rsidRDefault="00C876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66C613C" w14:textId="77777777" w:rsidR="00220300" w:rsidRDefault="00C876F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1065C9C" w14:textId="77777777" w:rsidR="00220300" w:rsidRDefault="00C876FB">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2DE593D2" wp14:editId="5B64A918">
          <wp:simplePos x="0" y="0"/>
          <wp:positionH relativeFrom="column">
            <wp:posOffset>-1089654</wp:posOffset>
          </wp:positionH>
          <wp:positionV relativeFrom="paragraph">
            <wp:posOffset>-1169664</wp:posOffset>
          </wp:positionV>
          <wp:extent cx="7809865" cy="10165715"/>
          <wp:effectExtent l="0" t="0" r="0" b="0"/>
          <wp:wrapNone/>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14454"/>
    <w:multiLevelType w:val="multilevel"/>
    <w:tmpl w:val="03DC4878"/>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A2339E"/>
    <w:multiLevelType w:val="multilevel"/>
    <w:tmpl w:val="FD1A9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6B2F26"/>
    <w:multiLevelType w:val="multilevel"/>
    <w:tmpl w:val="091E1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AC61F3"/>
    <w:multiLevelType w:val="multilevel"/>
    <w:tmpl w:val="EBFA5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8A2F1A"/>
    <w:multiLevelType w:val="multilevel"/>
    <w:tmpl w:val="7660DA7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ECE121F"/>
    <w:multiLevelType w:val="multilevel"/>
    <w:tmpl w:val="DE8C46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300"/>
    <w:rsid w:val="00034D1E"/>
    <w:rsid w:val="00220300"/>
    <w:rsid w:val="002264A7"/>
    <w:rsid w:val="009D47A2"/>
    <w:rsid w:val="00AF74CB"/>
    <w:rsid w:val="00BE6765"/>
    <w:rsid w:val="00C876FB"/>
    <w:rsid w:val="00D932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9C030"/>
  <w15:docId w15:val="{838E2656-61BD-4278-A56D-974982EA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2232D5"/>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basedOn w:val="TableNormal1"/>
    <w:tblPr>
      <w:tblStyleRowBandSize w:val="1"/>
      <w:tblStyleColBandSize w:val="1"/>
      <w:tblCellMar>
        <w:top w:w="15" w:type="dxa"/>
        <w:left w:w="115" w:type="dxa"/>
        <w:bottom w:w="15" w:type="dxa"/>
        <w:right w:w="115" w:type="dxa"/>
      </w:tblCellMar>
    </w:tblPr>
  </w:style>
  <w:style w:type="table" w:customStyle="1" w:styleId="ae">
    <w:basedOn w:val="TableNormal1"/>
    <w:tblPr>
      <w:tblStyleRowBandSize w:val="1"/>
      <w:tblStyleColBandSize w:val="1"/>
      <w:tblCellMar>
        <w:top w:w="15" w:type="dxa"/>
        <w:left w:w="115" w:type="dxa"/>
        <w:bottom w:w="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top w:w="15" w:type="dxa"/>
        <w:left w:w="115" w:type="dxa"/>
        <w:bottom w:w="15" w:type="dxa"/>
        <w:right w:w="115" w:type="dxa"/>
      </w:tblCellMar>
    </w:tblPr>
  </w:style>
  <w:style w:type="table" w:customStyle="1" w:styleId="af1">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aimex.org.mx/saimex/solicitud/downloadAttach/2148367.page" TargetMode="External"/><Relationship Id="rId26" Type="http://schemas.openxmlformats.org/officeDocument/2006/relationships/hyperlink" Target="https://saimex.org.mx/saimex/solicitud/downloadAttach/2126116.page" TargetMode="External"/><Relationship Id="rId21" Type="http://schemas.openxmlformats.org/officeDocument/2006/relationships/hyperlink" Target="https://www.gob.mx/sep/acciones-y-programas/autenticacion-de-certificados-titulos-diplomas-y-grados-de-estudios-del-tipo-superior-38457"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aimex.org.mx/saimex/solicitud/downloadAttach/2148366.page" TargetMode="Externa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aimex.org.mx/saimex/solicitud/downloadAttach/2126116.page" TargetMode="External"/><Relationship Id="rId20" Type="http://schemas.openxmlformats.org/officeDocument/2006/relationships/hyperlink" Target="https://saimex.org.mx/saimex/solicitud/downloadAttach/2126116.pag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imex.org.mx/saimex/solicitud/downloadAttach/2126115.page" TargetMode="External"/><Relationship Id="rId23" Type="http://schemas.openxmlformats.org/officeDocument/2006/relationships/image" Target="media/image5.png"/><Relationship Id="rId28" Type="http://schemas.openxmlformats.org/officeDocument/2006/relationships/hyperlink" Target="https://saimex.org.mx/saimex/solicitud/downloadAttach/2126116.page"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aimex.org.mx/saimex/solicitud/downloadAttach/2148473.page" TargetMode="External"/><Relationship Id="rId31" Type="http://schemas.openxmlformats.org/officeDocument/2006/relationships/hyperlink" Target="https://saimex.org.mx/saimex/solicitud/downloadAttach/2126116.page" TargetMode="External"/><Relationship Id="rId4" Type="http://schemas.openxmlformats.org/officeDocument/2006/relationships/settings" Target="settings.xml"/><Relationship Id="rId9" Type="http://schemas.openxmlformats.org/officeDocument/2006/relationships/hyperlink" Target="https://saimex.org.mx/saimex/solicitud/downloadAttach/2122108.page" TargetMode="External"/><Relationship Id="rId14" Type="http://schemas.openxmlformats.org/officeDocument/2006/relationships/hyperlink" Target="https://saimex.org.mx/saimex/solicitud/downloadAttach/2126114.page" TargetMode="External"/><Relationship Id="rId22" Type="http://schemas.openxmlformats.org/officeDocument/2006/relationships/hyperlink" Target="https://saimex.org.mx/saimex/solicitud/downloadAttach/2126116.page" TargetMode="External"/><Relationship Id="rId27" Type="http://schemas.openxmlformats.org/officeDocument/2006/relationships/image" Target="media/image8.png"/><Relationship Id="rId30" Type="http://schemas.openxmlformats.org/officeDocument/2006/relationships/hyperlink" Target="https://saimex.org.mx/saimex/solicitud/downloadAttach/2126116.page" TargetMode="External"/><Relationship Id="rId35" Type="http://schemas.openxmlformats.org/officeDocument/2006/relationships/footer" Target="footer2.xml"/><Relationship Id="rId8" Type="http://schemas.openxmlformats.org/officeDocument/2006/relationships/hyperlink" Target="https://saimex.org.mx/saimex/solicitud/downloadAttach/2122074.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zNOEnOcE8+779s5ySkNDgJ1f2g==">CgMxLjAyCWguMWZvYjl0ZTIIaC5namRneHMyCWguMzBqMHpsbDIIaC50eWpjd3QyCWguMmV0OTJwMDIJaC4zem55c2g3OAByITFVcDBHSTNHano4UjZEbUFVaXNDSzBEalprV085aUd6Vw==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12750</Words>
  <Characters>70130</Characters>
  <Application>Microsoft Office Word</Application>
  <DocSecurity>0</DocSecurity>
  <Lines>584</Lines>
  <Paragraphs>165</Paragraphs>
  <ScaleCrop>false</ScaleCrop>
  <Company>HP Inc.</Company>
  <LinksUpToDate>false</LinksUpToDate>
  <CharactersWithSpaces>82715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2024-09-27T16:16:00Z</cp:lastPrinted>
  <dcterms:created xsi:type="dcterms:W3CDTF">2024-10-03T23:39:00Z</dcterms:created>
  <dcterms:modified xsi:type="dcterms:W3CDTF">2024-10-03T23:39:00Z</dcterms:modified>
</cp:coreProperties>
</file>