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C850A" w14:textId="77777777" w:rsidR="005D7278" w:rsidRDefault="005D7278">
      <w:pPr>
        <w:widowControl w:val="0"/>
        <w:pBdr>
          <w:top w:val="nil"/>
          <w:left w:val="nil"/>
          <w:bottom w:val="nil"/>
          <w:right w:val="nil"/>
          <w:between w:val="nil"/>
        </w:pBdr>
        <w:spacing w:after="0" w:line="276" w:lineRule="auto"/>
        <w:jc w:val="left"/>
      </w:pPr>
    </w:p>
    <w:p w14:paraId="26F8C213" w14:textId="77777777" w:rsidR="005D7278" w:rsidRDefault="00BE72A9">
      <w:pPr>
        <w:spacing w:after="0" w:line="360" w:lineRule="auto"/>
      </w:pPr>
      <w:r>
        <w:t>Resolución del Pleno del Instituto de Transparencia, Acceso a la Información Pública y Protección de Datos Personales del Estado de México y Municipios, con domicilio en Metepec, Estado de México, de fecha dieciséis de octubre de dos mil veinticuatro.</w:t>
      </w:r>
    </w:p>
    <w:p w14:paraId="303A2CE4" w14:textId="77777777" w:rsidR="005D7278" w:rsidRDefault="005D7278">
      <w:pPr>
        <w:spacing w:after="0" w:line="360" w:lineRule="auto"/>
        <w:rPr>
          <w:b/>
        </w:rPr>
      </w:pPr>
    </w:p>
    <w:p w14:paraId="42D90670" w14:textId="7B27F961" w:rsidR="005D7278" w:rsidRDefault="00BE72A9">
      <w:pPr>
        <w:spacing w:after="0" w:line="360" w:lineRule="auto"/>
      </w:pPr>
      <w:r>
        <w:rPr>
          <w:b/>
        </w:rPr>
        <w:t>VISTO</w:t>
      </w:r>
      <w:r>
        <w:t xml:space="preserve"> el expediente conformado con motivo del Recurso de Revisión 03246/INFOEM/IP/RR/2024, interpuesto por</w:t>
      </w:r>
      <w:r w:rsidRPr="007B7F6A">
        <w:t xml:space="preserve"> </w:t>
      </w:r>
      <w:r w:rsidR="00F0502C" w:rsidRPr="007B7F6A">
        <w:rPr>
          <w:b/>
          <w:highlight w:val="black"/>
        </w:rPr>
        <w:t>XXXXXXX</w:t>
      </w:r>
      <w:r w:rsidR="00DA09EF" w:rsidRPr="007B7F6A">
        <w:rPr>
          <w:b/>
          <w:highlight w:val="black"/>
        </w:rPr>
        <w:t>XXXXXXXX</w:t>
      </w:r>
      <w:r w:rsidR="00F0502C" w:rsidRPr="007B7F6A">
        <w:rPr>
          <w:b/>
          <w:highlight w:val="black"/>
        </w:rPr>
        <w:t>XX</w:t>
      </w:r>
      <w:r>
        <w:t xml:space="preserve">, en adelante, Recurrente o Particular, en contra de la respuesta del Sujeto Obligado, Ayuntamiento de Temascalcingo, a la solicitud de acceso a la información </w:t>
      </w:r>
      <w:r>
        <w:rPr>
          <w:color w:val="0D0D0D"/>
        </w:rPr>
        <w:t>00037/TMASCALC/IP/2024</w:t>
      </w:r>
      <w:r>
        <w:t>, se emite la presente Resolución, con base en los Antecedentes y Considerandos que se exponen a continuación:</w:t>
      </w:r>
    </w:p>
    <w:p w14:paraId="1AD8C7D6" w14:textId="77777777" w:rsidR="005D7278" w:rsidRDefault="005D7278">
      <w:pPr>
        <w:spacing w:after="0" w:line="360" w:lineRule="auto"/>
      </w:pPr>
    </w:p>
    <w:p w14:paraId="09772BB8" w14:textId="77777777" w:rsidR="005D7278" w:rsidRDefault="00BE72A9">
      <w:pPr>
        <w:tabs>
          <w:tab w:val="center" w:pos="4522"/>
          <w:tab w:val="left" w:pos="7245"/>
        </w:tabs>
        <w:spacing w:after="0" w:line="360" w:lineRule="auto"/>
        <w:jc w:val="center"/>
        <w:rPr>
          <w:b/>
        </w:rPr>
      </w:pPr>
      <w:r>
        <w:rPr>
          <w:b/>
        </w:rPr>
        <w:t>A N T E C E D E N T E S</w:t>
      </w:r>
    </w:p>
    <w:p w14:paraId="3BD4F68E" w14:textId="77777777" w:rsidR="005D7278" w:rsidRDefault="005D7278">
      <w:pPr>
        <w:spacing w:after="0" w:line="360" w:lineRule="auto"/>
      </w:pPr>
    </w:p>
    <w:p w14:paraId="74036EB7" w14:textId="77777777" w:rsidR="005D7278" w:rsidRDefault="00BE72A9">
      <w:pPr>
        <w:tabs>
          <w:tab w:val="left" w:pos="567"/>
        </w:tabs>
        <w:spacing w:after="0" w:line="360" w:lineRule="auto"/>
        <w:rPr>
          <w:b/>
        </w:rPr>
      </w:pPr>
      <w:r>
        <w:rPr>
          <w:b/>
        </w:rPr>
        <w:t>I. Presentación de la solicitud de información</w:t>
      </w:r>
    </w:p>
    <w:p w14:paraId="42BB471C" w14:textId="77777777" w:rsidR="005D7278" w:rsidRDefault="005D7278">
      <w:pPr>
        <w:tabs>
          <w:tab w:val="left" w:pos="567"/>
        </w:tabs>
        <w:spacing w:after="0" w:line="360" w:lineRule="auto"/>
      </w:pPr>
    </w:p>
    <w:p w14:paraId="25A3D4EA" w14:textId="77777777" w:rsidR="005D7278" w:rsidRDefault="00BE72A9">
      <w:pPr>
        <w:spacing w:after="0" w:line="360" w:lineRule="auto"/>
      </w:pPr>
      <w:r>
        <w:t xml:space="preserve">Con fecha diecisiete de abril de dos mil veinticuatro, el Particular presentó una solicitud de acceso a la información pública  a través del Sistema de Acceso a la Información Mexiquense (SAIMEX), ante el Ayuntamiento de Temascalcingo, en los siguientes términos: </w:t>
      </w:r>
    </w:p>
    <w:p w14:paraId="192BE363" w14:textId="77777777" w:rsidR="005D7278" w:rsidRDefault="005D7278">
      <w:pPr>
        <w:spacing w:after="0" w:line="360" w:lineRule="auto"/>
      </w:pPr>
    </w:p>
    <w:p w14:paraId="43BF004A" w14:textId="77777777" w:rsidR="005D7278" w:rsidRDefault="00BE72A9">
      <w:pPr>
        <w:tabs>
          <w:tab w:val="left" w:pos="4667"/>
        </w:tabs>
        <w:spacing w:after="0" w:line="360" w:lineRule="auto"/>
        <w:ind w:left="567" w:right="567"/>
        <w:rPr>
          <w:b/>
          <w:i/>
          <w:sz w:val="20"/>
          <w:szCs w:val="20"/>
        </w:rPr>
      </w:pPr>
      <w:r>
        <w:rPr>
          <w:b/>
          <w:i/>
          <w:sz w:val="20"/>
          <w:szCs w:val="20"/>
        </w:rPr>
        <w:t>“DESCRIPCIÓN CLARA Y PRECISA DE LA INFORMACIÓN SOLICITADA.</w:t>
      </w:r>
    </w:p>
    <w:p w14:paraId="117B00FC" w14:textId="77777777" w:rsidR="005D7278" w:rsidRDefault="00BE72A9">
      <w:pPr>
        <w:tabs>
          <w:tab w:val="left" w:pos="4667"/>
        </w:tabs>
        <w:spacing w:after="0" w:line="360" w:lineRule="auto"/>
        <w:ind w:left="567" w:right="567"/>
        <w:rPr>
          <w:i/>
          <w:sz w:val="20"/>
          <w:szCs w:val="20"/>
        </w:rPr>
      </w:pPr>
      <w:r>
        <w:rPr>
          <w:i/>
          <w:sz w:val="20"/>
          <w:szCs w:val="20"/>
        </w:rPr>
        <w:t xml:space="preserve">Solicito Copia de las resoluciones de Responsabilidad administrativa emitidos en el periodo del 1 de enero de 2022 al 15 de abril de 2024.” </w:t>
      </w:r>
      <w:r>
        <w:rPr>
          <w:i/>
          <w:sz w:val="16"/>
          <w:szCs w:val="16"/>
        </w:rPr>
        <w:t>(</w:t>
      </w:r>
      <w:r>
        <w:rPr>
          <w:i/>
          <w:sz w:val="20"/>
          <w:szCs w:val="20"/>
        </w:rPr>
        <w:t xml:space="preserve">Sic) </w:t>
      </w:r>
    </w:p>
    <w:p w14:paraId="36E17ED1" w14:textId="77777777" w:rsidR="005D7278" w:rsidRDefault="005D7278">
      <w:pPr>
        <w:tabs>
          <w:tab w:val="left" w:pos="4667"/>
        </w:tabs>
        <w:spacing w:after="0" w:line="360" w:lineRule="auto"/>
        <w:ind w:left="567" w:right="567"/>
        <w:rPr>
          <w:b/>
          <w:i/>
          <w:sz w:val="20"/>
          <w:szCs w:val="20"/>
        </w:rPr>
      </w:pPr>
    </w:p>
    <w:p w14:paraId="03CAE568" w14:textId="77777777" w:rsidR="005D7278" w:rsidRDefault="00BE72A9">
      <w:pPr>
        <w:tabs>
          <w:tab w:val="left" w:pos="4667"/>
        </w:tabs>
        <w:spacing w:after="0" w:line="360" w:lineRule="auto"/>
        <w:ind w:left="567" w:right="567"/>
        <w:rPr>
          <w:b/>
          <w:i/>
          <w:sz w:val="20"/>
          <w:szCs w:val="20"/>
        </w:rPr>
      </w:pPr>
      <w:r>
        <w:rPr>
          <w:b/>
          <w:i/>
          <w:sz w:val="20"/>
          <w:szCs w:val="20"/>
        </w:rPr>
        <w:t>“MODALIDAD DE ENTREGA</w:t>
      </w:r>
    </w:p>
    <w:p w14:paraId="19CF7337" w14:textId="77777777" w:rsidR="005D7278" w:rsidRDefault="00BE72A9">
      <w:pPr>
        <w:spacing w:after="0" w:line="360" w:lineRule="auto"/>
        <w:ind w:left="567" w:right="567"/>
        <w:rPr>
          <w:i/>
          <w:sz w:val="20"/>
          <w:szCs w:val="20"/>
        </w:rPr>
      </w:pPr>
      <w:r>
        <w:rPr>
          <w:i/>
          <w:sz w:val="20"/>
          <w:szCs w:val="20"/>
        </w:rPr>
        <w:t>A través del SAIMEX”</w:t>
      </w:r>
    </w:p>
    <w:p w14:paraId="4683D3CE" w14:textId="77777777" w:rsidR="005D7278" w:rsidRDefault="005D7278">
      <w:pPr>
        <w:spacing w:after="0" w:line="360" w:lineRule="auto"/>
        <w:rPr>
          <w:b/>
        </w:rPr>
      </w:pPr>
    </w:p>
    <w:p w14:paraId="4A6162F9" w14:textId="77777777" w:rsidR="005D7278" w:rsidRDefault="00BE72A9">
      <w:pPr>
        <w:tabs>
          <w:tab w:val="left" w:pos="4667"/>
        </w:tabs>
        <w:spacing w:after="0" w:line="360" w:lineRule="auto"/>
        <w:ind w:right="567"/>
        <w:rPr>
          <w:b/>
        </w:rPr>
      </w:pPr>
      <w:r>
        <w:rPr>
          <w:b/>
        </w:rPr>
        <w:t>II. Prórroga para atender la solicitud de información</w:t>
      </w:r>
    </w:p>
    <w:p w14:paraId="151EBBD5" w14:textId="77777777" w:rsidR="005D7278" w:rsidRDefault="005D7278">
      <w:pPr>
        <w:tabs>
          <w:tab w:val="left" w:pos="4667"/>
        </w:tabs>
        <w:spacing w:after="0" w:line="360" w:lineRule="auto"/>
        <w:ind w:right="567"/>
        <w:rPr>
          <w:b/>
          <w:color w:val="000000"/>
        </w:rPr>
      </w:pPr>
    </w:p>
    <w:p w14:paraId="571897E5" w14:textId="77777777" w:rsidR="005D7278" w:rsidRDefault="00BE72A9">
      <w:pPr>
        <w:tabs>
          <w:tab w:val="left" w:pos="4667"/>
        </w:tabs>
        <w:spacing w:after="0" w:line="360" w:lineRule="auto"/>
      </w:pPr>
      <w:r>
        <w:t>Con fecha diez de mayo de dos mil veinticuatro, el Sujeto Obligado, a través del Sistema de Acceso a la Información Mexiquense (SAIMEX), notificó una prórroga, mediante la cual aprobó la ampliación de término para atender la solicitud de información.</w:t>
      </w:r>
    </w:p>
    <w:p w14:paraId="65880AE6" w14:textId="77777777" w:rsidR="005D7278" w:rsidRDefault="005D7278">
      <w:pPr>
        <w:spacing w:after="0" w:line="360" w:lineRule="auto"/>
        <w:rPr>
          <w:b/>
        </w:rPr>
      </w:pPr>
    </w:p>
    <w:p w14:paraId="2F170A2C" w14:textId="77777777" w:rsidR="005D7278" w:rsidRDefault="00BE72A9">
      <w:pPr>
        <w:spacing w:after="0" w:line="360" w:lineRule="auto"/>
        <w:rPr>
          <w:b/>
        </w:rPr>
      </w:pPr>
      <w:r>
        <w:rPr>
          <w:b/>
        </w:rPr>
        <w:t>III. Respuesta del Sujeto Obligado</w:t>
      </w:r>
    </w:p>
    <w:p w14:paraId="21EE140D" w14:textId="77777777" w:rsidR="005D7278" w:rsidRDefault="005D7278">
      <w:pPr>
        <w:spacing w:after="0" w:line="360" w:lineRule="auto"/>
        <w:rPr>
          <w:b/>
        </w:rPr>
      </w:pPr>
    </w:p>
    <w:p w14:paraId="4583F6F0" w14:textId="77777777" w:rsidR="005D7278" w:rsidRDefault="00BE72A9">
      <w:pPr>
        <w:spacing w:after="0" w:line="360" w:lineRule="auto"/>
      </w:pPr>
      <w:r>
        <w:t>Con fecha veintiuno de mayo de dos mil veinticuatro, el Sujeto Obligado notificó, a través del Sistema de Acceso a la Información Mexiquense (SAIMEX), la respuesta a la solicitud de acceso a la información pública, a través del oficio de la Autoridad Resolutora de la Contraloría Municipal, donde solicitó a la Titular de la Unidad de  Transparencia, se clasificara diversa información contenida en las resoluciones y comunicó que las mismas se refieren solo a faltas administrativas no graves. El Sujeto Obligado acompañó a su respuesta la digitalización de los siguientes documentos:</w:t>
      </w:r>
    </w:p>
    <w:p w14:paraId="72A52236" w14:textId="77777777" w:rsidR="005D7278" w:rsidRDefault="005D7278">
      <w:pPr>
        <w:spacing w:after="0" w:line="360" w:lineRule="auto"/>
      </w:pPr>
    </w:p>
    <w:p w14:paraId="441E6754" w14:textId="77777777" w:rsidR="005D7278" w:rsidRDefault="00BE72A9">
      <w:pPr>
        <w:numPr>
          <w:ilvl w:val="0"/>
          <w:numId w:val="8"/>
        </w:numPr>
        <w:pBdr>
          <w:top w:val="nil"/>
          <w:left w:val="nil"/>
          <w:bottom w:val="nil"/>
          <w:right w:val="nil"/>
          <w:between w:val="nil"/>
        </w:pBdr>
        <w:spacing w:after="0" w:line="360" w:lineRule="auto"/>
        <w:ind w:right="567"/>
      </w:pPr>
      <w:r>
        <w:rPr>
          <w:color w:val="000000"/>
        </w:rPr>
        <w:t xml:space="preserve">Acta de la Octogésima Sexta Sesión Extraordinaria del Comité de Transparencia, donde se aprobó la clasificación de los siguientes datos: </w:t>
      </w:r>
      <w:r>
        <w:rPr>
          <w:b/>
          <w:color w:val="000000"/>
        </w:rPr>
        <w:t>Nombre, Nivel Socioeconómico y RFC,</w:t>
      </w:r>
      <w:r>
        <w:rPr>
          <w:color w:val="000000"/>
        </w:rPr>
        <w:t xml:space="preserve"> lo anterior para dar respuesta a la solicitud de información 00037/TMASCALC/IP/2024.</w:t>
      </w:r>
    </w:p>
    <w:p w14:paraId="5D6EE924" w14:textId="77777777" w:rsidR="005D7278" w:rsidRDefault="005D7278">
      <w:pPr>
        <w:pBdr>
          <w:top w:val="nil"/>
          <w:left w:val="nil"/>
          <w:bottom w:val="nil"/>
          <w:right w:val="nil"/>
          <w:between w:val="nil"/>
        </w:pBdr>
        <w:spacing w:after="0" w:line="360" w:lineRule="auto"/>
        <w:ind w:left="720" w:right="567"/>
        <w:rPr>
          <w:color w:val="000000"/>
        </w:rPr>
      </w:pPr>
    </w:p>
    <w:p w14:paraId="02F2EBF0" w14:textId="77777777" w:rsidR="005D7278" w:rsidRDefault="00BE72A9">
      <w:pPr>
        <w:numPr>
          <w:ilvl w:val="0"/>
          <w:numId w:val="8"/>
        </w:numPr>
        <w:pBdr>
          <w:top w:val="nil"/>
          <w:left w:val="nil"/>
          <w:bottom w:val="nil"/>
          <w:right w:val="nil"/>
          <w:between w:val="nil"/>
        </w:pBdr>
        <w:spacing w:after="0" w:line="360" w:lineRule="auto"/>
        <w:ind w:right="567"/>
      </w:pPr>
      <w:r>
        <w:rPr>
          <w:color w:val="000000"/>
        </w:rPr>
        <w:t>Trece resoluciones de procedimientos de responsabilidad administrativa.</w:t>
      </w:r>
    </w:p>
    <w:p w14:paraId="3C521235" w14:textId="77777777" w:rsidR="005D7278" w:rsidRDefault="005D7278">
      <w:pPr>
        <w:pBdr>
          <w:top w:val="nil"/>
          <w:left w:val="nil"/>
          <w:bottom w:val="nil"/>
          <w:right w:val="nil"/>
          <w:between w:val="nil"/>
        </w:pBdr>
        <w:spacing w:after="0" w:line="360" w:lineRule="auto"/>
        <w:ind w:left="720" w:right="567"/>
        <w:rPr>
          <w:color w:val="000000"/>
        </w:rPr>
      </w:pPr>
    </w:p>
    <w:p w14:paraId="339141B1" w14:textId="77777777" w:rsidR="005D7278" w:rsidRDefault="00BE72A9">
      <w:pPr>
        <w:spacing w:after="0" w:line="360" w:lineRule="auto"/>
        <w:rPr>
          <w:b/>
        </w:rPr>
      </w:pPr>
      <w:r>
        <w:rPr>
          <w:b/>
        </w:rPr>
        <w:t>IV. Interposición del Recurso de Revisión</w:t>
      </w:r>
    </w:p>
    <w:p w14:paraId="6691E3E3" w14:textId="77777777" w:rsidR="005D7278" w:rsidRDefault="005D7278">
      <w:pPr>
        <w:spacing w:after="0" w:line="360" w:lineRule="auto"/>
        <w:rPr>
          <w:b/>
        </w:rPr>
      </w:pPr>
    </w:p>
    <w:p w14:paraId="05E06B56" w14:textId="77777777" w:rsidR="005D7278" w:rsidRDefault="00BE72A9">
      <w:pPr>
        <w:spacing w:after="0" w:line="360" w:lineRule="auto"/>
      </w:pPr>
      <w:r>
        <w:t xml:space="preserve">Con fecha veintitrés de mayo de dos mil veinticuatro, se recibió en este Instituto, a través del Sistema de Acceso a la Información Mexiquense (SAIMEX), Recurso de Revisión interpuesto </w:t>
      </w:r>
      <w:r>
        <w:lastRenderedPageBreak/>
        <w:t>por la parte Recurrente, en contra de la respuesta por el Sujeto Obligado, a la solicitud de información, en los siguientes términos:</w:t>
      </w:r>
    </w:p>
    <w:p w14:paraId="0D827CFD" w14:textId="77777777" w:rsidR="005D7278" w:rsidRDefault="005D7278">
      <w:pPr>
        <w:spacing w:after="0" w:line="360" w:lineRule="auto"/>
      </w:pPr>
    </w:p>
    <w:p w14:paraId="6201B8F8" w14:textId="77777777" w:rsidR="005D7278" w:rsidRDefault="00BE72A9">
      <w:pPr>
        <w:spacing w:after="0" w:line="360" w:lineRule="auto"/>
        <w:ind w:left="567" w:right="567"/>
        <w:rPr>
          <w:i/>
          <w:sz w:val="20"/>
          <w:szCs w:val="20"/>
        </w:rPr>
      </w:pPr>
      <w:r>
        <w:rPr>
          <w:b/>
          <w:i/>
          <w:sz w:val="20"/>
          <w:szCs w:val="20"/>
        </w:rPr>
        <w:t>“ACTO IMPUGNADO”</w:t>
      </w:r>
    </w:p>
    <w:p w14:paraId="7721F1BC" w14:textId="77777777" w:rsidR="005D7278" w:rsidRDefault="00BE72A9">
      <w:pPr>
        <w:spacing w:after="0" w:line="360" w:lineRule="auto"/>
        <w:ind w:left="567" w:right="567"/>
        <w:rPr>
          <w:i/>
          <w:sz w:val="20"/>
          <w:szCs w:val="20"/>
        </w:rPr>
      </w:pPr>
      <w:r>
        <w:rPr>
          <w:i/>
          <w:color w:val="000000"/>
          <w:sz w:val="20"/>
          <w:szCs w:val="20"/>
        </w:rPr>
        <w:t xml:space="preserve">Respuesta </w:t>
      </w:r>
      <w:proofErr w:type="spellStart"/>
      <w:r>
        <w:rPr>
          <w:i/>
          <w:color w:val="000000"/>
          <w:sz w:val="20"/>
          <w:szCs w:val="20"/>
        </w:rPr>
        <w:t>inciompleta</w:t>
      </w:r>
      <w:proofErr w:type="spellEnd"/>
      <w:r>
        <w:rPr>
          <w:i/>
          <w:color w:val="000000"/>
          <w:sz w:val="20"/>
          <w:szCs w:val="20"/>
        </w:rPr>
        <w:t xml:space="preserve"> y </w:t>
      </w:r>
      <w:proofErr w:type="spellStart"/>
      <w:r>
        <w:rPr>
          <w:i/>
          <w:color w:val="000000"/>
          <w:sz w:val="20"/>
          <w:szCs w:val="20"/>
        </w:rPr>
        <w:t>claifocacion</w:t>
      </w:r>
      <w:proofErr w:type="spellEnd"/>
      <w:r>
        <w:rPr>
          <w:i/>
          <w:color w:val="000000"/>
          <w:sz w:val="20"/>
          <w:szCs w:val="20"/>
        </w:rPr>
        <w:t xml:space="preserve"> de la </w:t>
      </w:r>
      <w:proofErr w:type="spellStart"/>
      <w:r>
        <w:rPr>
          <w:i/>
          <w:color w:val="000000"/>
          <w:sz w:val="20"/>
          <w:szCs w:val="20"/>
        </w:rPr>
        <w:t>infrmacion</w:t>
      </w:r>
      <w:proofErr w:type="spellEnd"/>
      <w:r>
        <w:rPr>
          <w:i/>
          <w:color w:val="000000"/>
          <w:sz w:val="20"/>
          <w:szCs w:val="20"/>
        </w:rPr>
        <w:t xml:space="preserve"> de forma arbitraria</w:t>
      </w:r>
      <w:r>
        <w:rPr>
          <w:i/>
          <w:sz w:val="20"/>
          <w:szCs w:val="20"/>
        </w:rPr>
        <w:t>” (Sic.)</w:t>
      </w:r>
    </w:p>
    <w:p w14:paraId="6C43ABDC" w14:textId="77777777" w:rsidR="005D7278" w:rsidRDefault="005D7278">
      <w:pPr>
        <w:spacing w:after="0" w:line="360" w:lineRule="auto"/>
        <w:ind w:left="567" w:right="567"/>
        <w:rPr>
          <w:i/>
          <w:sz w:val="20"/>
          <w:szCs w:val="20"/>
        </w:rPr>
      </w:pPr>
    </w:p>
    <w:p w14:paraId="7B250CC8" w14:textId="77777777" w:rsidR="005D7278" w:rsidRDefault="00BE72A9">
      <w:pPr>
        <w:spacing w:after="0" w:line="360" w:lineRule="auto"/>
        <w:ind w:left="567" w:right="567"/>
        <w:rPr>
          <w:b/>
          <w:i/>
          <w:sz w:val="20"/>
          <w:szCs w:val="20"/>
        </w:rPr>
      </w:pPr>
      <w:r>
        <w:rPr>
          <w:b/>
          <w:i/>
          <w:sz w:val="20"/>
          <w:szCs w:val="20"/>
        </w:rPr>
        <w:t>“RAZONES O MOTIVOS DE LA INCONFORMIDAD”</w:t>
      </w:r>
    </w:p>
    <w:p w14:paraId="57684A38" w14:textId="77777777" w:rsidR="005D7278" w:rsidRDefault="00BE72A9">
      <w:pPr>
        <w:spacing w:after="0" w:line="360" w:lineRule="auto"/>
        <w:ind w:left="567" w:right="567"/>
        <w:rPr>
          <w:i/>
          <w:sz w:val="20"/>
          <w:szCs w:val="20"/>
        </w:rPr>
      </w:pPr>
      <w:r>
        <w:rPr>
          <w:i/>
          <w:color w:val="000000"/>
          <w:sz w:val="20"/>
          <w:szCs w:val="20"/>
        </w:rPr>
        <w:t xml:space="preserve">No estregan la </w:t>
      </w:r>
      <w:proofErr w:type="spellStart"/>
      <w:r>
        <w:rPr>
          <w:i/>
          <w:color w:val="000000"/>
          <w:sz w:val="20"/>
          <w:szCs w:val="20"/>
        </w:rPr>
        <w:t>informacion</w:t>
      </w:r>
      <w:proofErr w:type="spellEnd"/>
      <w:r>
        <w:rPr>
          <w:i/>
          <w:color w:val="000000"/>
          <w:sz w:val="20"/>
          <w:szCs w:val="20"/>
        </w:rPr>
        <w:t xml:space="preserve"> que se solicita y de forma ilegal clasifican </w:t>
      </w:r>
      <w:proofErr w:type="spellStart"/>
      <w:r>
        <w:rPr>
          <w:i/>
          <w:color w:val="000000"/>
          <w:sz w:val="20"/>
          <w:szCs w:val="20"/>
        </w:rPr>
        <w:t>informacion</w:t>
      </w:r>
      <w:proofErr w:type="spellEnd"/>
      <w:r>
        <w:rPr>
          <w:i/>
          <w:color w:val="000000"/>
          <w:sz w:val="20"/>
          <w:szCs w:val="20"/>
        </w:rPr>
        <w:t xml:space="preserve"> </w:t>
      </w:r>
      <w:proofErr w:type="spellStart"/>
      <w:r>
        <w:rPr>
          <w:i/>
          <w:color w:val="000000"/>
          <w:sz w:val="20"/>
          <w:szCs w:val="20"/>
        </w:rPr>
        <w:t>publica</w:t>
      </w:r>
      <w:proofErr w:type="spellEnd"/>
      <w:r>
        <w:rPr>
          <w:i/>
          <w:color w:val="000000"/>
          <w:sz w:val="20"/>
          <w:szCs w:val="20"/>
        </w:rPr>
        <w:t xml:space="preserve">. violan mi derecho humano de acceso a la </w:t>
      </w:r>
      <w:proofErr w:type="spellStart"/>
      <w:r>
        <w:rPr>
          <w:i/>
          <w:color w:val="000000"/>
          <w:sz w:val="20"/>
          <w:szCs w:val="20"/>
        </w:rPr>
        <w:t>informacion</w:t>
      </w:r>
      <w:proofErr w:type="spellEnd"/>
      <w:r>
        <w:rPr>
          <w:i/>
          <w:color w:val="000000"/>
          <w:sz w:val="20"/>
          <w:szCs w:val="20"/>
        </w:rPr>
        <w:t xml:space="preserve">, solicito a l INFOEM aplique la </w:t>
      </w:r>
      <w:proofErr w:type="spellStart"/>
      <w:r>
        <w:rPr>
          <w:i/>
          <w:color w:val="000000"/>
          <w:sz w:val="20"/>
          <w:szCs w:val="20"/>
        </w:rPr>
        <w:t>proteccion</w:t>
      </w:r>
      <w:proofErr w:type="spellEnd"/>
      <w:r>
        <w:rPr>
          <w:i/>
          <w:color w:val="000000"/>
          <w:sz w:val="20"/>
          <w:szCs w:val="20"/>
        </w:rPr>
        <w:t xml:space="preserve"> </w:t>
      </w:r>
      <w:proofErr w:type="spellStart"/>
      <w:r>
        <w:rPr>
          <w:i/>
          <w:color w:val="000000"/>
          <w:sz w:val="20"/>
          <w:szCs w:val="20"/>
        </w:rPr>
        <w:t>mas</w:t>
      </w:r>
      <w:proofErr w:type="spellEnd"/>
      <w:r>
        <w:rPr>
          <w:i/>
          <w:color w:val="000000"/>
          <w:sz w:val="20"/>
          <w:szCs w:val="20"/>
        </w:rPr>
        <w:t xml:space="preserve"> amplia y menos restrictiva apara garantizar mi derecho humano a la </w:t>
      </w:r>
      <w:proofErr w:type="spellStart"/>
      <w:r>
        <w:rPr>
          <w:i/>
          <w:color w:val="000000"/>
          <w:sz w:val="20"/>
          <w:szCs w:val="20"/>
        </w:rPr>
        <w:t>informacion</w:t>
      </w:r>
      <w:proofErr w:type="spellEnd"/>
      <w:r>
        <w:rPr>
          <w:i/>
          <w:color w:val="000000"/>
          <w:sz w:val="20"/>
          <w:szCs w:val="20"/>
        </w:rPr>
        <w:t>.</w:t>
      </w:r>
      <w:r>
        <w:rPr>
          <w:i/>
          <w:sz w:val="20"/>
          <w:szCs w:val="20"/>
        </w:rPr>
        <w:t>” (Sic.)</w:t>
      </w:r>
    </w:p>
    <w:p w14:paraId="56F42008" w14:textId="77777777" w:rsidR="005D7278" w:rsidRDefault="005D7278">
      <w:pPr>
        <w:spacing w:after="0" w:line="360" w:lineRule="auto"/>
      </w:pPr>
    </w:p>
    <w:p w14:paraId="6E7DBD01" w14:textId="77777777" w:rsidR="005D7278" w:rsidRDefault="00BE72A9">
      <w:pPr>
        <w:spacing w:after="0" w:line="360" w:lineRule="auto"/>
        <w:rPr>
          <w:b/>
        </w:rPr>
      </w:pPr>
      <w:r>
        <w:rPr>
          <w:b/>
        </w:rPr>
        <w:t>V. Trámite del Recurso de Revisión ante este Instituto</w:t>
      </w:r>
    </w:p>
    <w:p w14:paraId="68C8B0FE" w14:textId="77777777" w:rsidR="005D7278" w:rsidRDefault="005D7278">
      <w:pPr>
        <w:spacing w:after="0" w:line="360" w:lineRule="auto"/>
        <w:rPr>
          <w:b/>
        </w:rPr>
      </w:pPr>
    </w:p>
    <w:p w14:paraId="763AF42F" w14:textId="77777777" w:rsidR="005D7278" w:rsidRDefault="00BE72A9">
      <w:pPr>
        <w:spacing w:after="0" w:line="360" w:lineRule="auto"/>
        <w:rPr>
          <w:b/>
        </w:rPr>
      </w:pPr>
      <w:r>
        <w:rPr>
          <w:b/>
        </w:rPr>
        <w:t>a) Turno del Medio de Impugnación.</w:t>
      </w:r>
      <w:r>
        <w:t xml:space="preserve"> El veintitrés de mayo de dos mil veinticuatro, el Sistema de Acceso a la Información Mexiquense (SAIMEX), asignó el número de expediente </w:t>
      </w:r>
      <w:r>
        <w:rPr>
          <w:b/>
        </w:rPr>
        <w:t>03246/INFOEM/IP/RR/2024</w:t>
      </w:r>
      <w: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4EB6AF33" w14:textId="77777777" w:rsidR="005D7278" w:rsidRDefault="005D7278">
      <w:pPr>
        <w:spacing w:after="0" w:line="360" w:lineRule="auto"/>
      </w:pPr>
    </w:p>
    <w:p w14:paraId="516C28BE" w14:textId="77777777" w:rsidR="005D7278" w:rsidRDefault="00BE72A9">
      <w:pPr>
        <w:spacing w:after="0" w:line="360" w:lineRule="auto"/>
      </w:pPr>
      <w:r>
        <w:rPr>
          <w:b/>
        </w:rPr>
        <w:t>b) Admisión del Recurso de Revisión.</w:t>
      </w:r>
      <w:r>
        <w:t xml:space="preserve"> El veintiocho de mayo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once de dicho mes y año, a través del Sistema de Acceso a la Información Mexiquense (SAIMEX), en el que se les otorgó un plazo de siete días hábiles posteriores a la misma, para que manifestaran lo que a su derecho conviniera y formularan alegatos.</w:t>
      </w:r>
    </w:p>
    <w:p w14:paraId="3D63EC79" w14:textId="77777777" w:rsidR="005D7278" w:rsidRDefault="005D7278">
      <w:pPr>
        <w:spacing w:after="0" w:line="360" w:lineRule="auto"/>
        <w:rPr>
          <w:b/>
        </w:rPr>
      </w:pPr>
    </w:p>
    <w:p w14:paraId="3D73A391" w14:textId="77777777" w:rsidR="005D7278" w:rsidRDefault="00BE72A9">
      <w:pPr>
        <w:spacing w:after="0" w:line="360" w:lineRule="auto"/>
      </w:pPr>
      <w:r>
        <w:rPr>
          <w:b/>
          <w:color w:val="000000"/>
        </w:rPr>
        <w:lastRenderedPageBreak/>
        <w:t xml:space="preserve">c) </w:t>
      </w:r>
      <w:r>
        <w:rPr>
          <w:b/>
        </w:rPr>
        <w:t xml:space="preserve">Informe Justificado o Manifestaciones. </w:t>
      </w:r>
      <w:r>
        <w:t xml:space="preserve">El cuatro de mayo de dos mil veinticuatro, el Sujeto Obligado rindió su informe justificado, donde de forma general ratifica su respuesta. Por su parte la particular realizó vía alegatos las siguientes manifestaciones: </w:t>
      </w:r>
    </w:p>
    <w:p w14:paraId="1856C1B4" w14:textId="77777777" w:rsidR="005D7278" w:rsidRDefault="005D7278">
      <w:pPr>
        <w:spacing w:after="0" w:line="360" w:lineRule="auto"/>
      </w:pPr>
    </w:p>
    <w:p w14:paraId="5351C991" w14:textId="77777777" w:rsidR="005D7278" w:rsidRDefault="00BE72A9">
      <w:pPr>
        <w:spacing w:after="0" w:line="360" w:lineRule="auto"/>
        <w:ind w:left="567" w:right="709"/>
      </w:pPr>
      <w:r>
        <w:rPr>
          <w:i/>
          <w:sz w:val="20"/>
          <w:szCs w:val="20"/>
        </w:rPr>
        <w:t xml:space="preserve">“INSTITUTO DE TRANSPARENCIA Y ACCESO A LA INFORMACION PÚBLICA DEL ESTADO DE MEXICOY MUNICIPIOS. PRESENTE. Por medio del este escrito comento a Usted que el Ayuntamiento de </w:t>
      </w:r>
      <w:proofErr w:type="spellStart"/>
      <w:r>
        <w:rPr>
          <w:i/>
          <w:sz w:val="20"/>
          <w:szCs w:val="20"/>
        </w:rPr>
        <w:t>temsacalcingo</w:t>
      </w:r>
      <w:proofErr w:type="spellEnd"/>
      <w:r>
        <w:rPr>
          <w:i/>
          <w:sz w:val="20"/>
          <w:szCs w:val="20"/>
        </w:rPr>
        <w:t xml:space="preserve"> sigue incurriendo en falta de entrega de la información que solicite, por lo que pido que cumpla con la obligación de entregarme la información que le solicite, pidiendo a esta alta autoridad no solape estas violaciones a mis derechos humanos por parte de esta autoridad, recordándoles que el </w:t>
      </w:r>
      <w:proofErr w:type="spellStart"/>
      <w:r>
        <w:rPr>
          <w:i/>
          <w:sz w:val="20"/>
          <w:szCs w:val="20"/>
        </w:rPr>
        <w:t>articulo</w:t>
      </w:r>
      <w:proofErr w:type="spellEnd"/>
      <w:r>
        <w:rPr>
          <w:i/>
          <w:sz w:val="20"/>
          <w:szCs w:val="20"/>
        </w:rPr>
        <w:t xml:space="preserve"> 1 de la </w:t>
      </w:r>
      <w:proofErr w:type="spellStart"/>
      <w:r>
        <w:rPr>
          <w:i/>
          <w:sz w:val="20"/>
          <w:szCs w:val="20"/>
        </w:rPr>
        <w:t>Constituciojn</w:t>
      </w:r>
      <w:proofErr w:type="spellEnd"/>
      <w:r>
        <w:rPr>
          <w:i/>
          <w:sz w:val="20"/>
          <w:szCs w:val="20"/>
        </w:rPr>
        <w:t xml:space="preserve"> </w:t>
      </w:r>
      <w:proofErr w:type="spellStart"/>
      <w:r>
        <w:rPr>
          <w:i/>
          <w:sz w:val="20"/>
          <w:szCs w:val="20"/>
        </w:rPr>
        <w:t>Politica</w:t>
      </w:r>
      <w:proofErr w:type="spellEnd"/>
      <w:r>
        <w:rPr>
          <w:i/>
          <w:sz w:val="20"/>
          <w:szCs w:val="20"/>
        </w:rPr>
        <w:t xml:space="preserve"> de los Estados Unidos Mexicanos dice: 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t>(Sic)</w:t>
      </w:r>
    </w:p>
    <w:p w14:paraId="03AE9BD7" w14:textId="77777777" w:rsidR="005D7278" w:rsidRDefault="005D7278">
      <w:pPr>
        <w:spacing w:after="0" w:line="360" w:lineRule="auto"/>
        <w:rPr>
          <w:b/>
        </w:rPr>
      </w:pPr>
    </w:p>
    <w:p w14:paraId="5C9D4A9D" w14:textId="77777777" w:rsidR="005D7278" w:rsidRDefault="00BE72A9">
      <w:pPr>
        <w:widowControl w:val="0"/>
        <w:spacing w:after="0" w:line="360" w:lineRule="auto"/>
        <w:rPr>
          <w:color w:val="000000"/>
        </w:rPr>
      </w:pPr>
      <w:r>
        <w:rPr>
          <w:b/>
        </w:rPr>
        <w:t xml:space="preserve">d) </w:t>
      </w:r>
      <w:r>
        <w:rPr>
          <w:b/>
          <w:color w:val="000000"/>
        </w:rPr>
        <w:t xml:space="preserve">Ampliación de plazo para resolver. </w:t>
      </w:r>
      <w:r>
        <w:rPr>
          <w:color w:val="000000"/>
        </w:rPr>
        <w:t>El nueve de octubre de dos mil veinticuatro, el Comisionado Ponente, con fundamento en lo dispuesto por el artículo 181, párrafo tercero, de la Ley de Transparencia y Acceso a la Información Pública del Estado de México y Municipios, acordó ampliar por un periodo razonable, el plazo para resolver el Recurso de Revisión que nos ocupa; acto que fue notificado a las partes, mediante el Sistema de Acceso a la Información Mexiquense (SAIMEX).</w:t>
      </w:r>
    </w:p>
    <w:p w14:paraId="19445C21" w14:textId="77777777" w:rsidR="005D7278" w:rsidRDefault="005D7278">
      <w:pPr>
        <w:spacing w:after="0" w:line="360" w:lineRule="auto"/>
        <w:rPr>
          <w:color w:val="000000"/>
        </w:rPr>
      </w:pPr>
    </w:p>
    <w:p w14:paraId="6E8F1176" w14:textId="77777777" w:rsidR="005D7278" w:rsidRDefault="00BE72A9">
      <w:pPr>
        <w:spacing w:after="0" w:line="360" w:lineRule="auto"/>
        <w:rPr>
          <w:color w:val="000000"/>
        </w:rPr>
      </w:pPr>
      <w:r>
        <w:rPr>
          <w:color w:val="000000"/>
        </w:rPr>
        <w:t xml:space="preserve">Este organismo garante no pasa por alto justificar, que el plazo para emitir resolución en el presente asunto encuentra justificación en el alto número de recursos de revisión recibidos, </w:t>
      </w:r>
      <w:r>
        <w:rPr>
          <w:color w:val="000000"/>
        </w:rPr>
        <w:lastRenderedPageBreak/>
        <w:t>circunstancia atípica que ha rebasado las capacidades técnicas y humanas del personal encargado de la proyección de las resoluciones a dichos medios de impugnación.</w:t>
      </w:r>
    </w:p>
    <w:p w14:paraId="019DD3E8" w14:textId="77777777" w:rsidR="005D7278" w:rsidRDefault="005D7278">
      <w:pPr>
        <w:spacing w:after="0" w:line="360" w:lineRule="auto"/>
        <w:rPr>
          <w:color w:val="000000"/>
        </w:rPr>
      </w:pPr>
    </w:p>
    <w:p w14:paraId="1ED71E76" w14:textId="77777777" w:rsidR="005D7278" w:rsidRDefault="00BE72A9">
      <w:pPr>
        <w:spacing w:after="0" w:line="360" w:lineRule="auto"/>
        <w:rPr>
          <w:color w:val="000000"/>
        </w:rPr>
      </w:pPr>
      <w:r>
        <w:rPr>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DB84AAB" w14:textId="77777777" w:rsidR="005D7278" w:rsidRDefault="005D7278">
      <w:pPr>
        <w:spacing w:after="0" w:line="360" w:lineRule="auto"/>
        <w:rPr>
          <w:color w:val="000000"/>
        </w:rPr>
      </w:pPr>
    </w:p>
    <w:p w14:paraId="62155122" w14:textId="77777777" w:rsidR="005D7278" w:rsidRDefault="00BE72A9">
      <w:pPr>
        <w:spacing w:after="0" w:line="360" w:lineRule="auto"/>
        <w:rPr>
          <w:color w:val="000000"/>
        </w:rPr>
      </w:pPr>
      <w:r>
        <w:rPr>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6D660C3" w14:textId="77777777" w:rsidR="005D7278" w:rsidRDefault="00BE72A9">
      <w:pPr>
        <w:spacing w:after="0" w:line="360" w:lineRule="auto"/>
        <w:rPr>
          <w:color w:val="000000"/>
        </w:rPr>
      </w:pPr>
      <w:r>
        <w:rPr>
          <w:color w:val="000000"/>
        </w:rPr>
        <w:t xml:space="preserve"> </w:t>
      </w:r>
    </w:p>
    <w:p w14:paraId="494B09C2" w14:textId="77777777" w:rsidR="005D7278" w:rsidRDefault="00BE72A9">
      <w:pPr>
        <w:spacing w:after="0" w:line="360" w:lineRule="auto"/>
        <w:rPr>
          <w:color w:val="000000"/>
        </w:rPr>
      </w:pPr>
      <w:r>
        <w:rPr>
          <w:color w:val="000000"/>
        </w:rPr>
        <w:t xml:space="preserve">Por ello, excepcionalmente, si un asunto es resuelto con posterioridad a los plazos señalados por la norma debe analizarse la razonabilidad del tiempo necesario para su resolución, atentos a los siguientes criterios:  </w:t>
      </w:r>
    </w:p>
    <w:p w14:paraId="5EC2270D" w14:textId="77777777" w:rsidR="005D7278" w:rsidRDefault="00BE72A9">
      <w:pPr>
        <w:spacing w:after="0" w:line="360" w:lineRule="auto"/>
        <w:rPr>
          <w:color w:val="000000"/>
        </w:rPr>
      </w:pPr>
      <w:r>
        <w:rPr>
          <w:color w:val="000000"/>
        </w:rPr>
        <w:t xml:space="preserve"> </w:t>
      </w:r>
    </w:p>
    <w:p w14:paraId="5960F3D0" w14:textId="77777777" w:rsidR="005D7278" w:rsidRDefault="00BE72A9">
      <w:pPr>
        <w:numPr>
          <w:ilvl w:val="0"/>
          <w:numId w:val="10"/>
        </w:numPr>
        <w:spacing w:after="0" w:line="360" w:lineRule="auto"/>
        <w:rPr>
          <w:color w:val="000000"/>
        </w:rPr>
      </w:pPr>
      <w:r>
        <w:rPr>
          <w:b/>
          <w:color w:val="000000"/>
        </w:rPr>
        <w:t>Complejidad del asunto:</w:t>
      </w:r>
      <w:r>
        <w:rPr>
          <w:color w:val="000000"/>
        </w:rPr>
        <w:t xml:space="preserve"> La complejidad de la prueba, la pluralidad de sujetos procesales, el tiempo transcurrido, las características y contexto del recurso.</w:t>
      </w:r>
    </w:p>
    <w:p w14:paraId="77766773" w14:textId="77777777" w:rsidR="005D7278" w:rsidRDefault="005D7278">
      <w:pPr>
        <w:spacing w:after="0" w:line="360" w:lineRule="auto"/>
        <w:ind w:left="720"/>
        <w:rPr>
          <w:color w:val="000000"/>
        </w:rPr>
      </w:pPr>
    </w:p>
    <w:p w14:paraId="146B8E68" w14:textId="77777777" w:rsidR="005D7278" w:rsidRDefault="00BE72A9">
      <w:pPr>
        <w:numPr>
          <w:ilvl w:val="0"/>
          <w:numId w:val="10"/>
        </w:numPr>
        <w:spacing w:after="0" w:line="360" w:lineRule="auto"/>
        <w:jc w:val="left"/>
        <w:rPr>
          <w:color w:val="000000"/>
        </w:rPr>
      </w:pPr>
      <w:r>
        <w:rPr>
          <w:b/>
          <w:color w:val="000000"/>
        </w:rPr>
        <w:t>Actividad Procesal del interesado:</w:t>
      </w:r>
      <w:r>
        <w:rPr>
          <w:color w:val="000000"/>
        </w:rPr>
        <w:t xml:space="preserve"> Acciones u omisiones del interesado.</w:t>
      </w:r>
    </w:p>
    <w:p w14:paraId="7D42E759" w14:textId="77777777" w:rsidR="005D7278" w:rsidRDefault="005D7278">
      <w:pPr>
        <w:spacing w:after="0" w:line="360" w:lineRule="auto"/>
        <w:ind w:left="720"/>
        <w:rPr>
          <w:color w:val="000000"/>
        </w:rPr>
      </w:pPr>
    </w:p>
    <w:p w14:paraId="0AB22AAF" w14:textId="77777777" w:rsidR="005D7278" w:rsidRDefault="00BE72A9">
      <w:pPr>
        <w:numPr>
          <w:ilvl w:val="0"/>
          <w:numId w:val="10"/>
        </w:numPr>
        <w:spacing w:after="0" w:line="360" w:lineRule="auto"/>
        <w:jc w:val="left"/>
        <w:rPr>
          <w:color w:val="000000"/>
        </w:rPr>
      </w:pPr>
      <w:r>
        <w:rPr>
          <w:b/>
          <w:color w:val="000000"/>
        </w:rPr>
        <w:lastRenderedPageBreak/>
        <w:t>Conducta de la Autoridad:</w:t>
      </w:r>
      <w:r>
        <w:rPr>
          <w:color w:val="000000"/>
        </w:rPr>
        <w:t xml:space="preserve"> Las Acciones u omisiones realizadas en el procedimiento. Así como si la autoridad actuó con la debida diligencia.</w:t>
      </w:r>
    </w:p>
    <w:p w14:paraId="701C3E08" w14:textId="77777777" w:rsidR="005D7278" w:rsidRDefault="005D7278">
      <w:pPr>
        <w:spacing w:after="0" w:line="360" w:lineRule="auto"/>
        <w:ind w:left="720"/>
        <w:rPr>
          <w:color w:val="000000"/>
        </w:rPr>
      </w:pPr>
    </w:p>
    <w:p w14:paraId="0684BD88" w14:textId="77777777" w:rsidR="005D7278" w:rsidRDefault="00BE72A9">
      <w:pPr>
        <w:numPr>
          <w:ilvl w:val="0"/>
          <w:numId w:val="10"/>
        </w:numPr>
        <w:spacing w:after="0" w:line="360" w:lineRule="auto"/>
        <w:jc w:val="left"/>
        <w:rPr>
          <w:color w:val="000000"/>
        </w:rPr>
      </w:pPr>
      <w:r>
        <w:rPr>
          <w:b/>
          <w:color w:val="000000"/>
        </w:rPr>
        <w:t xml:space="preserve">La afectación generada en la situación jurídica de la persona involucrada en el proceso: </w:t>
      </w:r>
      <w:r>
        <w:rPr>
          <w:color w:val="000000"/>
        </w:rPr>
        <w:t>Violación a sus derechos humanos.</w:t>
      </w:r>
    </w:p>
    <w:p w14:paraId="2D67D15D" w14:textId="77777777" w:rsidR="005D7278" w:rsidRDefault="005D7278">
      <w:pPr>
        <w:spacing w:after="0" w:line="360" w:lineRule="auto"/>
        <w:rPr>
          <w:color w:val="000000"/>
        </w:rPr>
      </w:pPr>
    </w:p>
    <w:p w14:paraId="02D7B727" w14:textId="77777777" w:rsidR="005D7278" w:rsidRDefault="00BE72A9">
      <w:pPr>
        <w:spacing w:after="0" w:line="360" w:lineRule="auto"/>
        <w:rPr>
          <w:color w:val="000000"/>
        </w:rPr>
      </w:pPr>
      <w:r>
        <w:rPr>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89A08E5" w14:textId="77777777" w:rsidR="005D7278" w:rsidRDefault="00BE72A9">
      <w:pPr>
        <w:spacing w:after="0" w:line="360" w:lineRule="auto"/>
        <w:rPr>
          <w:color w:val="000000"/>
        </w:rPr>
      </w:pPr>
      <w:r>
        <w:rPr>
          <w:color w:val="000000"/>
        </w:rPr>
        <w:t xml:space="preserve"> </w:t>
      </w:r>
    </w:p>
    <w:p w14:paraId="3853F5BD" w14:textId="77777777" w:rsidR="005D7278" w:rsidRDefault="00BE72A9">
      <w:pPr>
        <w:spacing w:after="0" w:line="360" w:lineRule="auto"/>
        <w:rPr>
          <w:color w:val="000000"/>
        </w:rPr>
      </w:pPr>
      <w:r>
        <w:rPr>
          <w:color w:val="000000"/>
        </w:rPr>
        <w:t xml:space="preserve">Argumento que encuentra sustento en la jurisprudencia P./J. 32/92 emitida por el Pleno de la Suprema Corte de Justicia de la Nación de rubro </w:t>
      </w:r>
      <w:r>
        <w:rPr>
          <w:b/>
          <w:color w:val="000000"/>
        </w:rPr>
        <w:t>“TÉRMINOS PROCESALES. PARA DETERMINAR SI UN FUNCIONARIO JUDICIAL ACTUÓ INDEBIDAMENTE POR NO RESPETARLOS SE DEBE ATENDER AL PRESUPUESTO QUE CONSIDERÓ EL LEGISLADOR AL FIJARLOS Y LAS CARACTERÍSTICAS DEL CASO.”</w:t>
      </w:r>
      <w:r>
        <w:rPr>
          <w:color w:val="000000"/>
        </w:rPr>
        <w:t>, visible en la Gaceta del Seminario Judicial de la Federación con el registro digital 205635.</w:t>
      </w:r>
    </w:p>
    <w:p w14:paraId="08071527" w14:textId="77777777" w:rsidR="005D7278" w:rsidRDefault="00BE72A9">
      <w:pPr>
        <w:spacing w:after="0" w:line="360" w:lineRule="auto"/>
        <w:rPr>
          <w:color w:val="000000"/>
        </w:rPr>
      </w:pPr>
      <w:r>
        <w:rPr>
          <w:color w:val="000000"/>
        </w:rPr>
        <w:t xml:space="preserve"> </w:t>
      </w:r>
    </w:p>
    <w:p w14:paraId="12C32335" w14:textId="77777777" w:rsidR="005D7278" w:rsidRDefault="00BE72A9">
      <w:pPr>
        <w:spacing w:after="0" w:line="360" w:lineRule="auto"/>
        <w:rPr>
          <w:color w:val="000000"/>
        </w:rPr>
      </w:pPr>
      <w:r>
        <w:rPr>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w:t>
      </w:r>
      <w:r>
        <w:rPr>
          <w:color w:val="000000"/>
        </w:rPr>
        <w:lastRenderedPageBreak/>
        <w:t>los términos legales previamente establecidos por la Ley, por tratarse de causas de fuerza mayor.</w:t>
      </w:r>
    </w:p>
    <w:p w14:paraId="632A57E8" w14:textId="77777777" w:rsidR="005D7278" w:rsidRDefault="005D7278">
      <w:pPr>
        <w:spacing w:after="0" w:line="360" w:lineRule="auto"/>
        <w:rPr>
          <w:color w:val="000000"/>
        </w:rPr>
      </w:pPr>
    </w:p>
    <w:p w14:paraId="6A7B4D33" w14:textId="77777777" w:rsidR="005D7278" w:rsidRDefault="00BE72A9">
      <w:pPr>
        <w:spacing w:after="0" w:line="360" w:lineRule="auto"/>
        <w:rPr>
          <w:color w:val="000000"/>
        </w:rPr>
      </w:pPr>
      <w:r>
        <w:rPr>
          <w:color w:val="000000"/>
        </w:rPr>
        <w:t>Al respecto, también son de considerar los criterios sostenidos por el Cuarto Tribunal Colegiado en Materia Administrativa del Primer Circuito, cuyos rubros y datos de identificación son los siguientes:</w:t>
      </w:r>
    </w:p>
    <w:p w14:paraId="174D8947" w14:textId="77777777" w:rsidR="005D7278" w:rsidRDefault="00BE72A9">
      <w:pPr>
        <w:spacing w:after="0" w:line="360" w:lineRule="auto"/>
        <w:rPr>
          <w:color w:val="000000"/>
        </w:rPr>
      </w:pPr>
      <w:r>
        <w:rPr>
          <w:color w:val="000000"/>
        </w:rPr>
        <w:t xml:space="preserve"> </w:t>
      </w:r>
    </w:p>
    <w:p w14:paraId="149823EA" w14:textId="77777777" w:rsidR="005D7278" w:rsidRDefault="00BE72A9">
      <w:pPr>
        <w:spacing w:after="0" w:line="360" w:lineRule="auto"/>
        <w:rPr>
          <w:color w:val="000000"/>
        </w:rPr>
      </w:pPr>
      <w:r>
        <w:rPr>
          <w:b/>
          <w:color w:val="000000"/>
        </w:rPr>
        <w:t>“PLAZO RAZONABLE PARA RESOLVER. DIMENSIÓN Y EFECTOS DE ESTE CONCEPTO CUANDO SE ADUCE EXCESIVA CARGA DE TRABAJO.”</w:t>
      </w:r>
      <w:r>
        <w:rPr>
          <w:color w:val="000000"/>
        </w:rPr>
        <w:t xml:space="preserve"> consultable en el Seminario Judicial de la Federación y su gaceta, con el registro digital 2002351.</w:t>
      </w:r>
    </w:p>
    <w:p w14:paraId="2BA6878C" w14:textId="77777777" w:rsidR="005D7278" w:rsidRDefault="00BE72A9">
      <w:pPr>
        <w:spacing w:after="0" w:line="360" w:lineRule="auto"/>
        <w:rPr>
          <w:color w:val="000000"/>
        </w:rPr>
      </w:pPr>
      <w:r>
        <w:rPr>
          <w:color w:val="000000"/>
        </w:rPr>
        <w:t xml:space="preserve"> </w:t>
      </w:r>
    </w:p>
    <w:p w14:paraId="2EAAE0E6" w14:textId="77777777" w:rsidR="005D7278" w:rsidRDefault="00BE72A9">
      <w:pPr>
        <w:spacing w:after="0" w:line="360" w:lineRule="auto"/>
        <w:rPr>
          <w:color w:val="000000"/>
        </w:rPr>
      </w:pPr>
      <w:r>
        <w:rPr>
          <w:b/>
          <w:color w:val="000000"/>
        </w:rPr>
        <w:t>“PLAZO RAZONABLE PARA RESOLVER. CONCEPTO Y ELEMENTOS QUE LO INTEGRAN A LA LUZ DEL DERECHO INTERNACIONAL DE LOS DERECHOS HUMANOS.”</w:t>
      </w:r>
      <w:r>
        <w:rPr>
          <w:color w:val="000000"/>
        </w:rPr>
        <w:t>, visible en el Seminario Judicial de la Federación y su gaceta, con el registro digital 2002350.</w:t>
      </w:r>
    </w:p>
    <w:p w14:paraId="6C82A5A1" w14:textId="77777777" w:rsidR="005D7278" w:rsidRDefault="005D7278">
      <w:pPr>
        <w:spacing w:after="0" w:line="360" w:lineRule="auto"/>
        <w:rPr>
          <w:color w:val="000000"/>
        </w:rPr>
      </w:pPr>
    </w:p>
    <w:p w14:paraId="6B18F5AA" w14:textId="77777777" w:rsidR="005D7278" w:rsidRDefault="00BE72A9">
      <w:pPr>
        <w:spacing w:after="0" w:line="360" w:lineRule="auto"/>
        <w:rPr>
          <w:color w:val="000000"/>
        </w:rPr>
      </w:pPr>
      <w:r>
        <w:rPr>
          <w:color w:val="000000"/>
        </w:rPr>
        <w:t>Por ello, este organismo garante comprometido con la tutela de los derechos humanos confiados, señala que este exceso del plazo legal para resolver el presente asunto, resulta de carácter excepcional.</w:t>
      </w:r>
    </w:p>
    <w:p w14:paraId="3795756B" w14:textId="77777777" w:rsidR="005D7278" w:rsidRDefault="005D7278">
      <w:pPr>
        <w:spacing w:after="0" w:line="360" w:lineRule="auto"/>
        <w:rPr>
          <w:b/>
        </w:rPr>
      </w:pPr>
    </w:p>
    <w:p w14:paraId="7BC64AAE" w14:textId="77777777" w:rsidR="005D7278" w:rsidRDefault="00BE72A9">
      <w:pPr>
        <w:spacing w:after="0" w:line="360" w:lineRule="auto"/>
        <w:rPr>
          <w:b/>
        </w:rPr>
      </w:pPr>
      <w:r>
        <w:rPr>
          <w:b/>
        </w:rPr>
        <w:t>e) Cierre de instrucción.</w:t>
      </w:r>
      <w:r>
        <w:t xml:space="preserve"> El quince de octubre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14:paraId="012BF9FD" w14:textId="77777777" w:rsidR="005D7278" w:rsidRDefault="005D7278">
      <w:pPr>
        <w:spacing w:after="0" w:line="360" w:lineRule="auto"/>
      </w:pPr>
    </w:p>
    <w:p w14:paraId="0F220D4B" w14:textId="77777777" w:rsidR="005D7278" w:rsidRDefault="00BE72A9">
      <w:pPr>
        <w:spacing w:after="0" w:line="360" w:lineRule="auto"/>
      </w:pPr>
      <w:r>
        <w:lastRenderedPageBreak/>
        <w:t xml:space="preserve">En razón de que fue debidamente sustanciado e integrado el expediente electrónico y no existe diligencia pendiente de desahogo, se emite la resolución que conforme a Derecho proceda, de acuerdo a los siguientes: </w:t>
      </w:r>
    </w:p>
    <w:p w14:paraId="2864BA6F" w14:textId="77777777" w:rsidR="005D7278" w:rsidRDefault="005D7278">
      <w:pPr>
        <w:spacing w:after="0" w:line="360" w:lineRule="auto"/>
      </w:pPr>
    </w:p>
    <w:p w14:paraId="3B50FE8B" w14:textId="77777777" w:rsidR="005D7278" w:rsidRDefault="00BE72A9">
      <w:pPr>
        <w:spacing w:after="0" w:line="360" w:lineRule="auto"/>
        <w:jc w:val="center"/>
        <w:rPr>
          <w:b/>
        </w:rPr>
      </w:pPr>
      <w:r>
        <w:rPr>
          <w:b/>
        </w:rPr>
        <w:t>C O N S I D E R A N D O S</w:t>
      </w:r>
    </w:p>
    <w:p w14:paraId="2D41DDE5" w14:textId="77777777" w:rsidR="005D7278" w:rsidRDefault="005D7278">
      <w:pPr>
        <w:spacing w:after="0" w:line="360" w:lineRule="auto"/>
        <w:rPr>
          <w:b/>
        </w:rPr>
      </w:pPr>
    </w:p>
    <w:p w14:paraId="52EA6F9C" w14:textId="77777777" w:rsidR="005D7278" w:rsidRDefault="00BE72A9">
      <w:pPr>
        <w:spacing w:after="0" w:line="360" w:lineRule="auto"/>
        <w:rPr>
          <w:b/>
        </w:rPr>
      </w:pPr>
      <w:r>
        <w:rPr>
          <w:b/>
        </w:rPr>
        <w:t>PRIMERO</w:t>
      </w:r>
      <w:r>
        <w:t xml:space="preserve">. </w:t>
      </w:r>
      <w:r>
        <w:rPr>
          <w:b/>
        </w:rPr>
        <w:t>Competencia</w:t>
      </w:r>
    </w:p>
    <w:p w14:paraId="06C89036" w14:textId="77777777" w:rsidR="005D7278" w:rsidRDefault="005D7278">
      <w:pPr>
        <w:spacing w:after="0" w:line="360" w:lineRule="auto"/>
        <w:rPr>
          <w:b/>
        </w:rPr>
      </w:pPr>
    </w:p>
    <w:p w14:paraId="5751279B" w14:textId="77777777" w:rsidR="005D7278" w:rsidRDefault="00BE72A9">
      <w:pPr>
        <w:spacing w:after="0" w:line="360" w:lineRule="auto"/>
      </w:pPr>
      <w: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Pr>
          <w:color w:val="000000"/>
        </w:rPr>
        <w:t>trigésimo segundo, trigésimo tercero y trigésimo cuarto</w:t>
      </w:r>
      <w: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F6943CB" w14:textId="77777777" w:rsidR="005D7278" w:rsidRDefault="005D7278">
      <w:pPr>
        <w:spacing w:after="0" w:line="360" w:lineRule="auto"/>
      </w:pPr>
    </w:p>
    <w:p w14:paraId="645A9E75" w14:textId="77777777" w:rsidR="005D7278" w:rsidRDefault="00BE72A9">
      <w:pPr>
        <w:spacing w:after="0" w:line="360" w:lineRule="auto"/>
      </w:pPr>
      <w:r>
        <w:rPr>
          <w:b/>
        </w:rPr>
        <w:t>SEGUNDO</w:t>
      </w:r>
      <w:r>
        <w:t xml:space="preserve">. </w:t>
      </w:r>
      <w:r>
        <w:rPr>
          <w:b/>
        </w:rPr>
        <w:t>Causales de improcedencia y sobreseimiento</w:t>
      </w:r>
    </w:p>
    <w:p w14:paraId="037DD4EF" w14:textId="77777777" w:rsidR="005D7278" w:rsidRDefault="005D7278">
      <w:pPr>
        <w:spacing w:after="0" w:line="360" w:lineRule="auto"/>
      </w:pPr>
    </w:p>
    <w:p w14:paraId="0D5E93EB" w14:textId="77777777" w:rsidR="005D7278" w:rsidRDefault="00BE72A9">
      <w:pPr>
        <w:spacing w:after="0" w:line="360" w:lineRule="auto"/>
      </w:pPr>
      <w:r>
        <w:t xml:space="preserve">De las constancias que forma parte del Recurso de Revisión que se analiza, se advierte que previo al estudio del fondo de la </w:t>
      </w:r>
      <w:r>
        <w:rPr>
          <w:i/>
        </w:rPr>
        <w:t>litis</w:t>
      </w:r>
      <w:r>
        <w:t>, es necesario estudiar las causales de improcedencia y sobreseimiento que se adviertan, para determinar lo que en Derecho proceda.</w:t>
      </w:r>
    </w:p>
    <w:p w14:paraId="005D4F9A" w14:textId="77777777" w:rsidR="005D7278" w:rsidRDefault="005D7278">
      <w:pPr>
        <w:spacing w:after="0" w:line="360" w:lineRule="auto"/>
      </w:pPr>
    </w:p>
    <w:p w14:paraId="16C38763" w14:textId="77777777" w:rsidR="005D7278" w:rsidRDefault="00BE72A9">
      <w:pPr>
        <w:spacing w:after="0" w:line="360" w:lineRule="auto"/>
      </w:pPr>
      <w:r>
        <w:rPr>
          <w:b/>
        </w:rPr>
        <w:t>Causales de improcedencia</w:t>
      </w:r>
    </w:p>
    <w:p w14:paraId="662D9C88" w14:textId="77777777" w:rsidR="005D7278" w:rsidRDefault="00BE72A9">
      <w:pPr>
        <w:spacing w:after="0" w:line="360" w:lineRule="auto"/>
      </w:pPr>
      <w:r>
        <w:lastRenderedPageBreak/>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1a./J. 163/2005</w:t>
      </w:r>
      <w:r>
        <w:rPr>
          <w:b/>
        </w:rPr>
        <w:t xml:space="preserve"> </w:t>
      </w:r>
      <w:r>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7EDB051F" w14:textId="77777777" w:rsidR="005D7278" w:rsidRDefault="005D7278">
      <w:pPr>
        <w:spacing w:after="0" w:line="360" w:lineRule="auto"/>
      </w:pPr>
    </w:p>
    <w:p w14:paraId="33606202" w14:textId="77777777" w:rsidR="005D7278" w:rsidRDefault="00BE72A9">
      <w:pPr>
        <w:spacing w:after="0" w:line="360" w:lineRule="auto"/>
      </w:pPr>
      <w:r>
        <w:t xml:space="preserve">En el presente caso, </w:t>
      </w:r>
      <w:r>
        <w:rPr>
          <w:b/>
        </w:rPr>
        <w:t>no se actualiza ninguna de las causales de improcedencia</w:t>
      </w:r>
      <w:r>
        <w:t xml:space="preserve">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139CC85C" w14:textId="77777777" w:rsidR="005D7278" w:rsidRDefault="005D7278">
      <w:pPr>
        <w:spacing w:after="0" w:line="360" w:lineRule="auto"/>
        <w:rPr>
          <w:b/>
        </w:rPr>
      </w:pPr>
    </w:p>
    <w:p w14:paraId="00BF3EE7" w14:textId="77777777" w:rsidR="005D7278" w:rsidRDefault="00BE72A9">
      <w:pPr>
        <w:spacing w:after="0" w:line="360" w:lineRule="auto"/>
      </w:pPr>
      <w:r>
        <w:t>Asimismo, se actualiza la causal de procedencia del Recurso de Revisión señalada en el artículo 179, fracciones II y V, de la Ley en cita, pues la Recurrente se inconformó de la clasificación de la información, así como de la entrega incompleta.</w:t>
      </w:r>
    </w:p>
    <w:p w14:paraId="43DCD05A" w14:textId="77777777" w:rsidR="005D7278" w:rsidRDefault="005D7278">
      <w:pPr>
        <w:spacing w:after="0" w:line="360" w:lineRule="auto"/>
        <w:rPr>
          <w:b/>
        </w:rPr>
      </w:pPr>
    </w:p>
    <w:p w14:paraId="0931DB86" w14:textId="77777777" w:rsidR="005D7278" w:rsidRDefault="00BE72A9">
      <w:pPr>
        <w:spacing w:after="0" w:line="360" w:lineRule="auto"/>
        <w:ind w:right="-28"/>
        <w:rPr>
          <w:b/>
          <w:color w:val="000000"/>
        </w:rPr>
      </w:pPr>
      <w:r>
        <w:rPr>
          <w:b/>
          <w:color w:val="000000"/>
        </w:rPr>
        <w:t>Causales de sobreseimiento</w:t>
      </w:r>
    </w:p>
    <w:p w14:paraId="58BF65EA" w14:textId="77777777" w:rsidR="005D7278" w:rsidRDefault="005D7278">
      <w:pPr>
        <w:spacing w:after="0" w:line="360" w:lineRule="auto"/>
        <w:ind w:right="-28"/>
        <w:rPr>
          <w:color w:val="000000"/>
        </w:rPr>
      </w:pPr>
    </w:p>
    <w:p w14:paraId="41B5B1BA" w14:textId="77777777" w:rsidR="005D7278" w:rsidRDefault="00BE72A9">
      <w:pPr>
        <w:spacing w:after="0" w:line="360" w:lineRule="auto"/>
        <w:rPr>
          <w:color w:val="000000"/>
        </w:rPr>
      </w:pPr>
      <w:r>
        <w:rPr>
          <w:color w:val="000000"/>
        </w:rPr>
        <w:t>Por ser de previo y especial pronunciamiento, este Instituto analiza si se actualiza alguna causal de sobreseimiento.</w:t>
      </w:r>
    </w:p>
    <w:p w14:paraId="726FFFBD" w14:textId="77777777" w:rsidR="005D7278" w:rsidRDefault="005D7278">
      <w:pPr>
        <w:spacing w:after="0" w:line="360" w:lineRule="auto"/>
        <w:rPr>
          <w:color w:val="000000"/>
        </w:rPr>
      </w:pPr>
    </w:p>
    <w:p w14:paraId="4DB2E753" w14:textId="77777777" w:rsidR="005D7278" w:rsidRDefault="00BE72A9">
      <w:pPr>
        <w:spacing w:after="0" w:line="360" w:lineRule="auto"/>
        <w:rPr>
          <w:color w:val="0D0D0D"/>
        </w:rPr>
      </w:pPr>
      <w:r>
        <w:rPr>
          <w:color w:val="0D0D0D"/>
        </w:rPr>
        <w:t xml:space="preserve">El artículo 192 de la Ley Transparencia y Acceso a la Información Pública del Estado de México y Municipios, señala las causales por las cuales se puede sobreseer en todo o en parte el Recurso </w:t>
      </w:r>
      <w:r>
        <w:rPr>
          <w:color w:val="0D0D0D"/>
        </w:rPr>
        <w:lastRenderedPageBreak/>
        <w:t>de Revisión; así, del análisis realizado por este Instituto, se advierte que</w:t>
      </w:r>
      <w:r>
        <w:rPr>
          <w:b/>
          <w:color w:val="0D0D0D"/>
        </w:rPr>
        <w:t xml:space="preserve"> no se configuran las causales establecidas en las fracciones I, II, III, IV y V, </w:t>
      </w:r>
      <w:r>
        <w:rPr>
          <w:color w:val="0D0D0D"/>
        </w:rPr>
        <w:t>toda vez que no hay constancias en el expediente en que se actúa, de que la Recurrente se haya desistido, fallecido, que el Sujeto Obligado hubiese modificado o revocado el acto impugnado o bien,</w:t>
      </w:r>
      <w:r>
        <w:t xml:space="preserve"> </w:t>
      </w:r>
      <w:r>
        <w:rPr>
          <w:color w:val="0D0D0D"/>
        </w:rPr>
        <w:t>que admitido una vez admitido el Recurso de Revisión, aparezca alguna causal de improcedencia o haya quedado sin materia.</w:t>
      </w:r>
    </w:p>
    <w:p w14:paraId="63614A1F" w14:textId="77777777" w:rsidR="005D7278" w:rsidRDefault="005D7278">
      <w:pPr>
        <w:spacing w:after="0" w:line="360" w:lineRule="auto"/>
        <w:rPr>
          <w:color w:val="000000"/>
        </w:rPr>
      </w:pPr>
    </w:p>
    <w:p w14:paraId="2665617A" w14:textId="77777777" w:rsidR="005D7278" w:rsidRDefault="00BE72A9">
      <w:pPr>
        <w:spacing w:after="0" w:line="360" w:lineRule="auto"/>
        <w:rPr>
          <w:b/>
          <w:color w:val="000000"/>
        </w:rPr>
      </w:pPr>
      <w:r>
        <w:rPr>
          <w:b/>
          <w:color w:val="000000"/>
        </w:rPr>
        <w:t xml:space="preserve">TERCERO. Determinación de la Controversia </w:t>
      </w:r>
    </w:p>
    <w:p w14:paraId="1A595379" w14:textId="77777777" w:rsidR="005D7278" w:rsidRDefault="005D7278">
      <w:pPr>
        <w:spacing w:after="0" w:line="360" w:lineRule="auto"/>
        <w:rPr>
          <w:b/>
        </w:rPr>
      </w:pPr>
    </w:p>
    <w:p w14:paraId="6FE40DBD" w14:textId="77777777" w:rsidR="005D7278" w:rsidRDefault="00BE72A9">
      <w:pPr>
        <w:widowControl w:val="0"/>
        <w:spacing w:after="0" w:line="360" w:lineRule="auto"/>
        <w:rPr>
          <w:color w:val="000000"/>
        </w:rPr>
      </w:pPr>
      <w:r>
        <w:t>Una vez realizado el estudio de las constancias que integran el expediente en que se actúa, se desprende que el Recurrente requirió</w:t>
      </w:r>
      <w:r>
        <w:rPr>
          <w:color w:val="000000"/>
        </w:rPr>
        <w:t xml:space="preserve"> las resoluciones de Responsabilidad Administrativa del periodo del primero de enero de dos mil veintidós al quince de abril de dos mil veinticuatro.</w:t>
      </w:r>
    </w:p>
    <w:p w14:paraId="1AF00220" w14:textId="77777777" w:rsidR="005D7278" w:rsidRDefault="005D7278">
      <w:pPr>
        <w:widowControl w:val="0"/>
        <w:spacing w:after="0" w:line="360" w:lineRule="auto"/>
        <w:rPr>
          <w:color w:val="000000"/>
        </w:rPr>
      </w:pPr>
    </w:p>
    <w:p w14:paraId="048E3FD9" w14:textId="77777777" w:rsidR="005D7278" w:rsidRDefault="00BE72A9">
      <w:pPr>
        <w:spacing w:after="0" w:line="360" w:lineRule="auto"/>
        <w:ind w:right="-28"/>
        <w:rPr>
          <w:color w:val="000000"/>
        </w:rPr>
      </w:pPr>
      <w:r>
        <w:rPr>
          <w:color w:val="000000"/>
        </w:rPr>
        <w:t xml:space="preserve">En respuesta, el Sujeto Obligado a través de la Contraloría Municipal y de la Autoridad Resolutora, remitió la versión pública de trece resoluciones de procedimientos de responsabilidad administrativa; ante dicha respuesta, el Particular se inconformó de la entrega incompleta de la información y de la clasificación de la misma, lo cual actualiza los supuestos de procedencia establecidos en el artículo 179, fracciones II y V de la Ley de trasparencia local. Así las cosas, una vez admitido y notificado el Recurso de Revisión a las partes, el Sujeto Obligado ratificó su respuesta. </w:t>
      </w:r>
    </w:p>
    <w:p w14:paraId="6034207A" w14:textId="77777777" w:rsidR="005D7278" w:rsidRDefault="005D7278">
      <w:pPr>
        <w:spacing w:after="0" w:line="360" w:lineRule="auto"/>
      </w:pPr>
    </w:p>
    <w:p w14:paraId="4ACECE72" w14:textId="77777777" w:rsidR="005D7278" w:rsidRDefault="00BE72A9">
      <w:pPr>
        <w:spacing w:after="0" w:line="360" w:lineRule="auto"/>
      </w:pPr>
      <w:r>
        <w:t>Lo anterior, se desprende de las documentales que obran en los expedientes de referencia, materia de la presente resolución, consistente en: la solicitud de acceso a la información; la respuesta del Sujeto Obligado; el escrito recursal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14:paraId="7AD2DB5B" w14:textId="77777777" w:rsidR="005D7278" w:rsidRDefault="005D7278">
      <w:pPr>
        <w:spacing w:after="0" w:line="360" w:lineRule="auto"/>
      </w:pPr>
    </w:p>
    <w:p w14:paraId="06361A23" w14:textId="77777777" w:rsidR="005D7278" w:rsidRDefault="00BE72A9">
      <w:pPr>
        <w:spacing w:after="0" w:line="360" w:lineRule="auto"/>
        <w:rPr>
          <w:b/>
          <w:color w:val="000000"/>
        </w:rPr>
      </w:pPr>
      <w:r>
        <w:rPr>
          <w:b/>
          <w:color w:val="000000"/>
        </w:rPr>
        <w:t>CUARTO. Marco normativo aplicable en materia de transparencia y acceso a la información pública</w:t>
      </w:r>
    </w:p>
    <w:p w14:paraId="64956FBA" w14:textId="77777777" w:rsidR="005D7278" w:rsidRDefault="005D7278">
      <w:pPr>
        <w:spacing w:after="0" w:line="360" w:lineRule="auto"/>
        <w:rPr>
          <w:color w:val="000000"/>
        </w:rPr>
      </w:pPr>
    </w:p>
    <w:p w14:paraId="53EC298E" w14:textId="77777777" w:rsidR="005D7278" w:rsidRDefault="00BE72A9">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26031783" w14:textId="77777777" w:rsidR="005D7278" w:rsidRDefault="005D7278">
      <w:pPr>
        <w:spacing w:after="0" w:line="360" w:lineRule="auto"/>
        <w:rPr>
          <w:color w:val="000000"/>
        </w:rPr>
      </w:pPr>
    </w:p>
    <w:p w14:paraId="5FA9B7C8" w14:textId="77777777" w:rsidR="005D7278" w:rsidRDefault="00BE72A9">
      <w:pPr>
        <w:spacing w:after="0" w:line="360" w:lineRule="auto"/>
        <w:rPr>
          <w:color w:val="000000"/>
        </w:rPr>
      </w:pPr>
      <w:r>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0CFC6088" w14:textId="77777777" w:rsidR="005D7278" w:rsidRDefault="005D7278">
      <w:pPr>
        <w:spacing w:after="0" w:line="360" w:lineRule="auto"/>
        <w:rPr>
          <w:color w:val="000000"/>
        </w:rPr>
      </w:pPr>
    </w:p>
    <w:p w14:paraId="490FF1F6" w14:textId="77777777" w:rsidR="005D7278" w:rsidRDefault="00BE72A9">
      <w:pPr>
        <w:spacing w:after="0" w:line="360" w:lineRule="auto"/>
        <w:rPr>
          <w:color w:val="000000"/>
        </w:rPr>
      </w:pPr>
      <w:r>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03C238D2" w14:textId="77777777" w:rsidR="005D7278" w:rsidRDefault="005D7278">
      <w:pPr>
        <w:spacing w:after="0" w:line="360" w:lineRule="auto"/>
        <w:rPr>
          <w:color w:val="000000"/>
        </w:rPr>
      </w:pPr>
    </w:p>
    <w:p w14:paraId="4D0A8A95" w14:textId="77777777" w:rsidR="005D7278" w:rsidRDefault="00BE72A9">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14:paraId="28735C1C" w14:textId="77777777" w:rsidR="005D7278" w:rsidRDefault="005D7278">
      <w:pPr>
        <w:spacing w:after="0" w:line="360" w:lineRule="auto"/>
        <w:rPr>
          <w:color w:val="000000"/>
        </w:rPr>
      </w:pPr>
    </w:p>
    <w:p w14:paraId="6CA159D0" w14:textId="77777777" w:rsidR="005D7278" w:rsidRDefault="00BE72A9">
      <w:pPr>
        <w:spacing w:after="0" w:line="360" w:lineRule="auto"/>
        <w:rPr>
          <w:color w:val="000000"/>
        </w:rPr>
      </w:pPr>
      <w:r>
        <w:rPr>
          <w:color w:val="000000"/>
        </w:rPr>
        <w:t>El artículo 12, que, quienes generen, recopilen, administren, manejen, procesen, archiven o conserven información pública serán responsables de la misma.</w:t>
      </w:r>
    </w:p>
    <w:p w14:paraId="04FF70E2" w14:textId="77777777" w:rsidR="005D7278" w:rsidRDefault="005D7278">
      <w:pPr>
        <w:spacing w:after="0" w:line="360" w:lineRule="auto"/>
        <w:rPr>
          <w:color w:val="000000"/>
        </w:rPr>
      </w:pPr>
    </w:p>
    <w:p w14:paraId="569A4C5E" w14:textId="77777777" w:rsidR="005D7278" w:rsidRDefault="00BE72A9">
      <w:pPr>
        <w:widowControl w:val="0"/>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787089D0" w14:textId="77777777" w:rsidR="005D7278" w:rsidRDefault="005D7278">
      <w:pPr>
        <w:spacing w:after="0" w:line="360" w:lineRule="auto"/>
        <w:rPr>
          <w:color w:val="000000"/>
        </w:rPr>
      </w:pPr>
    </w:p>
    <w:p w14:paraId="1063DE56" w14:textId="77777777" w:rsidR="005D7278" w:rsidRDefault="00BE72A9">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25540C3" w14:textId="77777777" w:rsidR="005D7278" w:rsidRDefault="005D7278">
      <w:pPr>
        <w:spacing w:after="0" w:line="360" w:lineRule="auto"/>
      </w:pPr>
    </w:p>
    <w:p w14:paraId="7BA26987" w14:textId="77777777" w:rsidR="005D7278" w:rsidRDefault="00BE72A9">
      <w:pPr>
        <w:spacing w:after="0" w:line="360" w:lineRule="auto"/>
        <w:rPr>
          <w:b/>
          <w:color w:val="000000"/>
        </w:rPr>
      </w:pPr>
      <w:r>
        <w:rPr>
          <w:b/>
          <w:color w:val="000000"/>
        </w:rPr>
        <w:t>Quinto. Estudio de Fondo</w:t>
      </w:r>
    </w:p>
    <w:p w14:paraId="20B76771" w14:textId="77777777" w:rsidR="005D7278" w:rsidRDefault="005D7278">
      <w:pPr>
        <w:widowControl w:val="0"/>
        <w:spacing w:after="0" w:line="360" w:lineRule="auto"/>
        <w:rPr>
          <w:color w:val="000000"/>
        </w:rPr>
      </w:pPr>
    </w:p>
    <w:p w14:paraId="37081638" w14:textId="77777777" w:rsidR="005D7278" w:rsidRDefault="00BE72A9">
      <w:pPr>
        <w:widowControl w:val="0"/>
        <w:spacing w:after="0" w:line="360" w:lineRule="auto"/>
        <w:rPr>
          <w:color w:val="000000"/>
        </w:rPr>
      </w:pPr>
      <w:r>
        <w:rPr>
          <w:color w:val="000000"/>
        </w:rPr>
        <w:t>Expuestas las posturas de las partes, se procede al análisis del agravio hecho valer por el Recurrente, concerniente a la clasificación de la información</w:t>
      </w:r>
      <w:r>
        <w:t xml:space="preserve">, </w:t>
      </w:r>
      <w:r>
        <w:rPr>
          <w:color w:val="000000"/>
        </w:rPr>
        <w:t>para lo cual, en principio es necesario contextualizar la solicitud, por lo que, el artículo 3°, fracciones XIII y XIV, de la Ley de Responsabilidades Administrativas del Estado de México y Municipios, señala lo siguiente:</w:t>
      </w:r>
    </w:p>
    <w:p w14:paraId="4C4936B6" w14:textId="77777777" w:rsidR="005D7278" w:rsidRDefault="005D7278">
      <w:pPr>
        <w:tabs>
          <w:tab w:val="left" w:pos="2100"/>
        </w:tabs>
        <w:spacing w:after="0" w:line="360" w:lineRule="auto"/>
        <w:rPr>
          <w:color w:val="000000"/>
        </w:rPr>
      </w:pPr>
    </w:p>
    <w:p w14:paraId="2FC4D230" w14:textId="77777777" w:rsidR="005D7278" w:rsidRDefault="00BE72A9">
      <w:pPr>
        <w:numPr>
          <w:ilvl w:val="0"/>
          <w:numId w:val="11"/>
        </w:numPr>
        <w:tabs>
          <w:tab w:val="left" w:pos="2100"/>
        </w:tabs>
        <w:spacing w:after="0" w:line="360" w:lineRule="auto"/>
        <w:jc w:val="left"/>
        <w:rPr>
          <w:color w:val="000000"/>
        </w:rPr>
      </w:pPr>
      <w:r>
        <w:rPr>
          <w:b/>
          <w:color w:val="000000"/>
        </w:rPr>
        <w:t xml:space="preserve">Falta administrativa no grave: </w:t>
      </w:r>
      <w:r>
        <w:rPr>
          <w:color w:val="000000"/>
        </w:rPr>
        <w:t>A las faltas administrativas de los servidores públicos en los términos de la presente Ley, cuya imposición de la sanción corresponde a los Órganos Internos de Control.</w:t>
      </w:r>
    </w:p>
    <w:p w14:paraId="2CC04EC2" w14:textId="77777777" w:rsidR="005D7278" w:rsidRDefault="005D7278">
      <w:pPr>
        <w:tabs>
          <w:tab w:val="left" w:pos="2100"/>
        </w:tabs>
        <w:spacing w:after="0" w:line="360" w:lineRule="auto"/>
        <w:ind w:left="720"/>
        <w:jc w:val="left"/>
        <w:rPr>
          <w:color w:val="000000"/>
        </w:rPr>
      </w:pPr>
    </w:p>
    <w:p w14:paraId="689A41B7" w14:textId="77777777" w:rsidR="005D7278" w:rsidRDefault="00BE72A9">
      <w:pPr>
        <w:numPr>
          <w:ilvl w:val="0"/>
          <w:numId w:val="11"/>
        </w:numPr>
        <w:tabs>
          <w:tab w:val="left" w:pos="2100"/>
        </w:tabs>
        <w:spacing w:after="0" w:line="360" w:lineRule="auto"/>
        <w:rPr>
          <w:color w:val="000000"/>
        </w:rPr>
      </w:pPr>
      <w:r>
        <w:rPr>
          <w:b/>
          <w:color w:val="000000"/>
        </w:rPr>
        <w:t>Falta administrativa grave:</w:t>
      </w:r>
      <w:r>
        <w:rPr>
          <w:color w:val="000000"/>
        </w:rPr>
        <w:t xml:space="preserve"> A las faltas administrativas de los servidores públicos catalogadas como graves en los términos de la presente Ley, cuya sanción corresponde al Tribunal de Justicia Administrativa del Estado de México.</w:t>
      </w:r>
    </w:p>
    <w:p w14:paraId="00D7F023" w14:textId="77777777" w:rsidR="005D7278" w:rsidRDefault="005D7278">
      <w:pPr>
        <w:tabs>
          <w:tab w:val="left" w:pos="2100"/>
        </w:tabs>
        <w:spacing w:after="0" w:line="360" w:lineRule="auto"/>
        <w:rPr>
          <w:color w:val="000000"/>
        </w:rPr>
      </w:pPr>
    </w:p>
    <w:p w14:paraId="77241C58" w14:textId="77777777" w:rsidR="005D7278" w:rsidRDefault="00BE72A9">
      <w:pPr>
        <w:tabs>
          <w:tab w:val="left" w:pos="2100"/>
        </w:tabs>
        <w:spacing w:after="0" w:line="360" w:lineRule="auto"/>
      </w:pPr>
      <w:r>
        <w:t xml:space="preserve">En ese contexto, el artículo 112, fracciones I y III, de la Ley Orgánica Municipal del Estado de México, que establece que el Órgano Interno de Control Municipal, es el encargado de recibir las denuncia que se formulen por presuntas infracciones o faltas administrativas derivadas de actos u omisiones cometidos por las personas servidoras públicas de sus municipios, así como, de iniciar de oficio o a petición, los procedimientos de investigación por posibles faltas administrativas y en su caso, la calificación de faltas graves y no graves; además, de substanciar </w:t>
      </w:r>
      <w:r>
        <w:lastRenderedPageBreak/>
        <w:t>los procedimientos de responsabilidad administrativa y emitir en su caso, las resoluciones que son de su competencia, imponiendo cuando proceda, las sanciones que correspondan y remitiendo los expedientes al Tribunal de Justicia Administrativa del Estado de México, por faltas graves.</w:t>
      </w:r>
    </w:p>
    <w:p w14:paraId="3F604D90" w14:textId="77777777" w:rsidR="005D7278" w:rsidRDefault="005D7278">
      <w:pPr>
        <w:tabs>
          <w:tab w:val="left" w:pos="2100"/>
        </w:tabs>
        <w:spacing w:after="0" w:line="360" w:lineRule="auto"/>
        <w:rPr>
          <w:color w:val="000000"/>
        </w:rPr>
      </w:pPr>
    </w:p>
    <w:p w14:paraId="6C8C5A69" w14:textId="77777777" w:rsidR="005D7278" w:rsidRDefault="00BE72A9">
      <w:pPr>
        <w:tabs>
          <w:tab w:val="left" w:pos="2100"/>
        </w:tabs>
        <w:spacing w:after="0" w:line="360" w:lineRule="auto"/>
        <w:rPr>
          <w:color w:val="000000"/>
        </w:rPr>
      </w:pPr>
      <w:r>
        <w:rPr>
          <w:color w:val="000000"/>
        </w:rPr>
        <w:t>Además, los artículos 3°, fracciones I, II y III, 10 y 11 de la Ley de Responsabilidades Administrativas del Estado de México y Municipios, establece que los Órganos Internos de Control tendrán a su cargo, la investigación, substanciación y calificación de las faltas administrativas (graves y no graves) y en su caso, emisión de la resolución donde determinen el grado de la falta, mediante el desarrollo del procedimiento de responsabilidades administrativas.</w:t>
      </w:r>
    </w:p>
    <w:p w14:paraId="5F756AD3" w14:textId="77777777" w:rsidR="005D7278" w:rsidRDefault="005D7278">
      <w:pPr>
        <w:widowControl w:val="0"/>
        <w:spacing w:after="0" w:line="360" w:lineRule="auto"/>
        <w:rPr>
          <w:color w:val="000000"/>
        </w:rPr>
      </w:pPr>
    </w:p>
    <w:p w14:paraId="36900415" w14:textId="77777777" w:rsidR="005D7278" w:rsidRDefault="00BE72A9">
      <w:pPr>
        <w:tabs>
          <w:tab w:val="left" w:pos="2100"/>
        </w:tabs>
        <w:spacing w:after="0" w:line="360" w:lineRule="auto"/>
        <w:rPr>
          <w:color w:val="000000"/>
        </w:rPr>
      </w:pPr>
      <w:r>
        <w:rPr>
          <w:color w:val="000000"/>
        </w:rPr>
        <w:t>Conforme a lo anterior, se logra observar que la pretensión del ahora Recurrente, es obtener las resoluciones de Responsabilidad Administrativa emitidas del primero de enero de dos mil veintidós al quince de abril de dos mil veinticuatro.</w:t>
      </w:r>
    </w:p>
    <w:p w14:paraId="4DF974E4" w14:textId="77777777" w:rsidR="005D7278" w:rsidRDefault="005D7278">
      <w:pPr>
        <w:widowControl w:val="0"/>
        <w:spacing w:after="0" w:line="360" w:lineRule="auto"/>
        <w:rPr>
          <w:color w:val="000000"/>
        </w:rPr>
      </w:pPr>
    </w:p>
    <w:p w14:paraId="760631CE" w14:textId="77777777" w:rsidR="005D7278" w:rsidRDefault="00BE72A9">
      <w:pPr>
        <w:widowControl w:val="0"/>
        <w:spacing w:after="0" w:line="360" w:lineRule="auto"/>
      </w:pPr>
      <w:r>
        <w:rPr>
          <w:color w:val="000000"/>
        </w:rPr>
        <w:t>Ante</w:t>
      </w:r>
      <w:r>
        <w:t xml:space="preserve"> dicha circunstancia, es necesario precisar que de las constancias que obran en el expediente se logra vislumbrar que el Sujeto Obligado en respuesta, turnó la solicitud de información a la Contraloría Municipal, así como a la Autoridad Resolutora 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66B1AA03" w14:textId="77777777" w:rsidR="005D7278" w:rsidRDefault="005D7278">
      <w:pPr>
        <w:spacing w:after="0" w:line="360" w:lineRule="auto"/>
      </w:pPr>
    </w:p>
    <w:p w14:paraId="48D430CC" w14:textId="77777777" w:rsidR="005D7278" w:rsidRDefault="00BE72A9">
      <w:pPr>
        <w:numPr>
          <w:ilvl w:val="0"/>
          <w:numId w:val="9"/>
        </w:numPr>
        <w:spacing w:after="0" w:line="360" w:lineRule="auto"/>
        <w:rPr>
          <w:color w:val="000000"/>
        </w:rPr>
      </w:pPr>
      <w:r>
        <w:rPr>
          <w:color w:val="000000"/>
        </w:rPr>
        <w:t xml:space="preserve">Las Unidades de Transparencia garantizarán que las solicitudes de acceso a la información se turnen a todas las áreas competentes que cuenten con la información o deban tenerla -de acuerdo a las facultades, competencias y funciones-, con el objeto de </w:t>
      </w:r>
      <w:r>
        <w:rPr>
          <w:color w:val="000000"/>
        </w:rPr>
        <w:lastRenderedPageBreak/>
        <w:t>que dichas áreas realicen una búsqueda exhaustiva y razonable de la información requerida, y</w:t>
      </w:r>
    </w:p>
    <w:p w14:paraId="0F60D7AE" w14:textId="77777777" w:rsidR="005D7278" w:rsidRDefault="005D7278">
      <w:pPr>
        <w:spacing w:after="0" w:line="360" w:lineRule="auto"/>
        <w:ind w:left="360"/>
        <w:rPr>
          <w:color w:val="000000"/>
        </w:rPr>
      </w:pPr>
    </w:p>
    <w:p w14:paraId="113EF253" w14:textId="77777777" w:rsidR="005D7278" w:rsidRDefault="00BE72A9">
      <w:pPr>
        <w:numPr>
          <w:ilvl w:val="0"/>
          <w:numId w:val="9"/>
        </w:numPr>
        <w:spacing w:after="0" w:line="360" w:lineRule="auto"/>
        <w:rPr>
          <w:color w:val="000000"/>
        </w:rPr>
      </w:pPr>
      <w:r>
        <w:rPr>
          <w:color w:val="000000"/>
        </w:rPr>
        <w:t xml:space="preserve">Los sujetos obligados </w:t>
      </w:r>
      <w:r>
        <w:t>otorgarán</w:t>
      </w:r>
      <w:r>
        <w:rPr>
          <w:color w:val="000000"/>
        </w:rPr>
        <w:t xml:space="preserve"> acceso a los documentos que se encuentren en sus archivos o que estén obligados a documentar de acuerdo con sus facultades, competencias o funciones, en el formato en que la solicitante manifieste, de entre aquellos formatos existentes.</w:t>
      </w:r>
    </w:p>
    <w:p w14:paraId="36E311E6" w14:textId="77777777" w:rsidR="005D7278" w:rsidRDefault="005D7278">
      <w:pPr>
        <w:spacing w:after="0" w:line="360" w:lineRule="auto"/>
      </w:pPr>
    </w:p>
    <w:p w14:paraId="403283CA" w14:textId="77777777" w:rsidR="005D7278" w:rsidRDefault="00BE72A9">
      <w:pPr>
        <w:spacing w:after="0" w:line="360" w:lineRule="auto"/>
        <w:ind w:right="-28"/>
        <w:rPr>
          <w:color w:val="000000"/>
        </w:rPr>
      </w:pPr>
      <w:r>
        <w:rPr>
          <w:color w:val="000000"/>
        </w:rPr>
        <w:t>Así, a efecto de verificar que el Sujeto Obligado cumplió con el procedimiento de búsqueda señalado, es necesario traer a colación el Manual de Organización 2022-2024 de la Contraloría Municipal, mismo que establece que es objetivo de la Contraloría  Planear, programar, organizar y coordinar el sistema de control y evaluación municipal; vigilar el cumplimiento de las obligaciones administrativas de las personas servidoras públicas; prevenir y sancionar la comisión de faltas administrativas y de hechos de corrupción; inspeccionar el ejercicio del gasto</w:t>
      </w:r>
    </w:p>
    <w:p w14:paraId="6CF6B10D" w14:textId="77777777" w:rsidR="005D7278" w:rsidRDefault="00BE72A9">
      <w:pPr>
        <w:spacing w:after="0" w:line="360" w:lineRule="auto"/>
        <w:ind w:right="-28"/>
        <w:rPr>
          <w:color w:val="000000"/>
        </w:rPr>
      </w:pPr>
      <w:r>
        <w:rPr>
          <w:color w:val="000000"/>
        </w:rPr>
        <w:t>público municipal y su congruencia con el presupuesto de egresos, promover la participación ciudadana contribuyendo a la transparencia y rendición de cuentas del quehacer gubernamental. Así mismo que corresponde a la Autoridad Resolutora, dictar las resoluciones de los procedimientos de responsabilidad administrativa no grave.</w:t>
      </w:r>
    </w:p>
    <w:p w14:paraId="4EF3234D" w14:textId="77777777" w:rsidR="005D7278" w:rsidRDefault="00BE72A9">
      <w:pPr>
        <w:spacing w:after="0" w:line="360" w:lineRule="auto"/>
        <w:ind w:right="-28"/>
        <w:rPr>
          <w:color w:val="000000"/>
        </w:rPr>
      </w:pPr>
      <w:r>
        <w:rPr>
          <w:color w:val="000000"/>
        </w:rPr>
        <w:t>De tal circunstancia, se advierte que el Sujeto Obligado cumplió con el procedimiento de búsqueda establecido en el artículo 162 de la Ley de Transparencia y Acceso a la Información Pública del Estado de México y Municipios, al gestionar el requerimiento de información a las áreas encargadas de ver las cuestiones relacionadas con los procedimientos de responsabilidades administrativas.</w:t>
      </w:r>
    </w:p>
    <w:p w14:paraId="609E2A3F" w14:textId="77777777" w:rsidR="005D7278" w:rsidRDefault="005D7278">
      <w:pPr>
        <w:spacing w:after="0" w:line="360" w:lineRule="auto"/>
        <w:ind w:right="-28"/>
        <w:rPr>
          <w:color w:val="000000"/>
        </w:rPr>
      </w:pPr>
    </w:p>
    <w:p w14:paraId="2EC79498" w14:textId="77777777" w:rsidR="005D7278" w:rsidRDefault="00BE72A9">
      <w:pPr>
        <w:spacing w:after="0" w:line="360" w:lineRule="auto"/>
        <w:rPr>
          <w:color w:val="000000"/>
        </w:rPr>
      </w:pPr>
      <w:r>
        <w:rPr>
          <w:color w:val="000000"/>
        </w:rPr>
        <w:t xml:space="preserve">Ahora bien, dicha área remitió la digitalización de trece resoluciones sancionatorias por responsabilidad administrativa no grave; sobre dicha circunstancia este Instituto realizó una búsqueda en la Plataforma Digital Estatal del Sistema Estatal Anticorrupción, respecto a las </w:t>
      </w:r>
      <w:r>
        <w:rPr>
          <w:color w:val="000000"/>
        </w:rPr>
        <w:lastRenderedPageBreak/>
        <w:t>faltas registradas del periodo solicitado, las cuales concuerdan con las proporcionada, tal como se muestra a continuación:</w:t>
      </w:r>
    </w:p>
    <w:p w14:paraId="399C5FAA" w14:textId="77777777" w:rsidR="005D7278" w:rsidRDefault="005D7278">
      <w:pPr>
        <w:spacing w:after="0" w:line="360" w:lineRule="auto"/>
        <w:rPr>
          <w:color w:val="000000"/>
        </w:rPr>
      </w:pPr>
    </w:p>
    <w:p w14:paraId="3F0ECB6F" w14:textId="77777777" w:rsidR="005D7278" w:rsidRDefault="00BE72A9">
      <w:pPr>
        <w:spacing w:after="0" w:line="240" w:lineRule="auto"/>
        <w:rPr>
          <w:color w:val="000000"/>
        </w:rPr>
      </w:pPr>
      <w:r>
        <w:rPr>
          <w:noProof/>
          <w:color w:val="000000"/>
        </w:rPr>
        <w:drawing>
          <wp:inline distT="0" distB="0" distL="0" distR="0" wp14:anchorId="112189A2" wp14:editId="4EA9C6E5">
            <wp:extent cx="5850890" cy="1453515"/>
            <wp:effectExtent l="0" t="0" r="0" b="0"/>
            <wp:docPr id="162498930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850890" cy="1453515"/>
                    </a:xfrm>
                    <a:prstGeom prst="rect">
                      <a:avLst/>
                    </a:prstGeom>
                    <a:ln/>
                  </pic:spPr>
                </pic:pic>
              </a:graphicData>
            </a:graphic>
          </wp:inline>
        </w:drawing>
      </w:r>
    </w:p>
    <w:p w14:paraId="359F3086" w14:textId="77777777" w:rsidR="005D7278" w:rsidRDefault="00BE72A9">
      <w:pPr>
        <w:spacing w:after="0" w:line="240" w:lineRule="auto"/>
        <w:rPr>
          <w:color w:val="000000"/>
        </w:rPr>
      </w:pPr>
      <w:r>
        <w:rPr>
          <w:noProof/>
          <w:color w:val="000000"/>
        </w:rPr>
        <w:drawing>
          <wp:inline distT="0" distB="0" distL="0" distR="0" wp14:anchorId="62401E20" wp14:editId="50D090C9">
            <wp:extent cx="5850890" cy="777240"/>
            <wp:effectExtent l="0" t="0" r="0" b="0"/>
            <wp:docPr id="162498930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850890" cy="777240"/>
                    </a:xfrm>
                    <a:prstGeom prst="rect">
                      <a:avLst/>
                    </a:prstGeom>
                    <a:ln/>
                  </pic:spPr>
                </pic:pic>
              </a:graphicData>
            </a:graphic>
          </wp:inline>
        </w:drawing>
      </w:r>
    </w:p>
    <w:p w14:paraId="37155E4B" w14:textId="77777777" w:rsidR="005D7278" w:rsidRDefault="005D7278">
      <w:pPr>
        <w:spacing w:after="0" w:line="360" w:lineRule="auto"/>
        <w:rPr>
          <w:color w:val="000000"/>
        </w:rPr>
      </w:pPr>
    </w:p>
    <w:p w14:paraId="49CF4660" w14:textId="77777777" w:rsidR="005D7278" w:rsidRDefault="00BE72A9">
      <w:pPr>
        <w:spacing w:after="0" w:line="240" w:lineRule="auto"/>
        <w:rPr>
          <w:color w:val="000000"/>
        </w:rPr>
      </w:pPr>
      <w:r>
        <w:rPr>
          <w:noProof/>
          <w:color w:val="000000"/>
        </w:rPr>
        <w:drawing>
          <wp:inline distT="0" distB="0" distL="0" distR="0" wp14:anchorId="6C4F3CB8" wp14:editId="36D9468C">
            <wp:extent cx="5850890" cy="1646555"/>
            <wp:effectExtent l="0" t="0" r="0" b="0"/>
            <wp:docPr id="162498930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850890" cy="1646555"/>
                    </a:xfrm>
                    <a:prstGeom prst="rect">
                      <a:avLst/>
                    </a:prstGeom>
                    <a:ln/>
                  </pic:spPr>
                </pic:pic>
              </a:graphicData>
            </a:graphic>
          </wp:inline>
        </w:drawing>
      </w:r>
    </w:p>
    <w:p w14:paraId="2FCBB6A1" w14:textId="77777777" w:rsidR="005D7278" w:rsidRDefault="00BE72A9">
      <w:pPr>
        <w:spacing w:after="0" w:line="360" w:lineRule="auto"/>
        <w:jc w:val="center"/>
        <w:rPr>
          <w:color w:val="000000"/>
        </w:rPr>
      </w:pPr>
      <w:r>
        <w:rPr>
          <w:noProof/>
          <w:color w:val="000000"/>
        </w:rPr>
        <w:drawing>
          <wp:inline distT="0" distB="0" distL="0" distR="0" wp14:anchorId="48742B52" wp14:editId="2BAEC70D">
            <wp:extent cx="5850890" cy="782955"/>
            <wp:effectExtent l="0" t="0" r="0" b="0"/>
            <wp:docPr id="16249893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850890" cy="782955"/>
                    </a:xfrm>
                    <a:prstGeom prst="rect">
                      <a:avLst/>
                    </a:prstGeom>
                    <a:ln/>
                  </pic:spPr>
                </pic:pic>
              </a:graphicData>
            </a:graphic>
          </wp:inline>
        </w:drawing>
      </w:r>
    </w:p>
    <w:p w14:paraId="352A0B97" w14:textId="77777777" w:rsidR="005D7278" w:rsidRDefault="005D7278">
      <w:pPr>
        <w:spacing w:after="0" w:line="360" w:lineRule="auto"/>
        <w:rPr>
          <w:color w:val="000000"/>
        </w:rPr>
      </w:pPr>
    </w:p>
    <w:p w14:paraId="290B762D" w14:textId="77777777" w:rsidR="005D7278" w:rsidRDefault="00BE72A9">
      <w:pPr>
        <w:spacing w:after="0" w:line="360" w:lineRule="auto"/>
      </w:pPr>
      <w:r>
        <w:rPr>
          <w:color w:val="000000"/>
        </w:rPr>
        <w:t xml:space="preserve">Conforme a lo anterior, se logra vislumbrar que el Sujeto Obligado desde respuesta entregó las trece resoluciones emitidas durante el periodo solicitado, es decir, proporcionó los documentos que daban cuenta de lo peticionado; </w:t>
      </w:r>
      <w:r>
        <w:t xml:space="preserve">dicha determinación, toma sustento en el artículo 12 de la Ley de la materia, los sujetos obligados sólo están constreñidos a proporcionar la información pública que obre en sus archivos, en el estado en que esta se encuentre; por lo que, la entrega no </w:t>
      </w:r>
      <w:r>
        <w:lastRenderedPageBreak/>
        <w:t>comprende el procesamiento de la misma, ni presentarla conforme al interés del solicitante, además, que tampoco deberá generarla, resumirla, efectuar cálculos o practicar investigaciones.</w:t>
      </w:r>
    </w:p>
    <w:p w14:paraId="37C1596A" w14:textId="77777777" w:rsidR="005D7278" w:rsidRDefault="005D7278">
      <w:pPr>
        <w:spacing w:after="0" w:line="360" w:lineRule="auto"/>
      </w:pPr>
    </w:p>
    <w:p w14:paraId="0F9012C6" w14:textId="77777777" w:rsidR="005D7278" w:rsidRDefault="00BE72A9">
      <w:pPr>
        <w:spacing w:after="0" w:line="360" w:lineRule="auto"/>
      </w:pPr>
      <w:r>
        <w:t xml:space="preserve">De esta manera, el derecho de acceso a la información pública se satisface en aquellos casos en que se entregue el soporte documental en el que conste la información solicitada, sin necesidad de elaborar documentos </w:t>
      </w:r>
      <w:r>
        <w:rPr>
          <w:i/>
        </w:rPr>
        <w:t>ad hoc</w:t>
      </w:r>
      <w: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252CF28C" w14:textId="77777777" w:rsidR="005D7278" w:rsidRDefault="005D7278">
      <w:pPr>
        <w:spacing w:after="0" w:line="360" w:lineRule="auto"/>
      </w:pPr>
    </w:p>
    <w:p w14:paraId="4861BCAD" w14:textId="77777777" w:rsidR="005D7278" w:rsidRDefault="00BE72A9">
      <w:pPr>
        <w:spacing w:after="0" w:line="360" w:lineRule="auto"/>
        <w:rPr>
          <w:color w:val="000000"/>
        </w:rPr>
      </w:pPr>
      <w:r>
        <w:t xml:space="preserve">De tales circunstancias, se concluye que los sujetos obligados únicamente se encuentran constreñidos a proporcionar los documentos que den cuenta de la información solicitada, como obren en sus archivos, sin tener que elaborarlos a las necesidades de la persona Recurrente; lo cual aconteció pues entregó las trece resoluciones emitidas por faltas administrativas no graves, ya que durante el periodo peticionado no se han emitido determinaciones por faltas graves, por lo que, proporcionó toda la información que daba cuenta de lo solicitado. </w:t>
      </w:r>
      <w:r>
        <w:rPr>
          <w:color w:val="000000"/>
        </w:rPr>
        <w:t>No obstante, de la revisión de dichas resoluciones se logra vislumbrar que clasificó los siguientes datos:</w:t>
      </w:r>
    </w:p>
    <w:p w14:paraId="68900E30" w14:textId="77777777" w:rsidR="005D7278" w:rsidRDefault="005D7278">
      <w:pPr>
        <w:spacing w:after="0" w:line="360" w:lineRule="auto"/>
        <w:rPr>
          <w:color w:val="000000"/>
        </w:rPr>
      </w:pPr>
    </w:p>
    <w:p w14:paraId="797D435E" w14:textId="77777777" w:rsidR="005D7278" w:rsidRDefault="00BE72A9">
      <w:pPr>
        <w:numPr>
          <w:ilvl w:val="0"/>
          <w:numId w:val="4"/>
        </w:numPr>
        <w:pBdr>
          <w:top w:val="nil"/>
          <w:left w:val="nil"/>
          <w:bottom w:val="nil"/>
          <w:right w:val="nil"/>
          <w:between w:val="nil"/>
        </w:pBdr>
        <w:spacing w:after="0" w:line="360" w:lineRule="auto"/>
        <w:rPr>
          <w:color w:val="000000"/>
        </w:rPr>
      </w:pPr>
      <w:r>
        <w:rPr>
          <w:color w:val="000000"/>
        </w:rPr>
        <w:t>Nombre del servidor público;</w:t>
      </w:r>
    </w:p>
    <w:p w14:paraId="558E579F" w14:textId="77777777" w:rsidR="005D7278" w:rsidRDefault="00BE72A9">
      <w:pPr>
        <w:numPr>
          <w:ilvl w:val="0"/>
          <w:numId w:val="4"/>
        </w:numPr>
        <w:pBdr>
          <w:top w:val="nil"/>
          <w:left w:val="nil"/>
          <w:bottom w:val="nil"/>
          <w:right w:val="nil"/>
          <w:between w:val="nil"/>
        </w:pBdr>
        <w:spacing w:after="0" w:line="360" w:lineRule="auto"/>
        <w:rPr>
          <w:color w:val="000000"/>
        </w:rPr>
      </w:pPr>
      <w:r>
        <w:rPr>
          <w:color w:val="000000"/>
        </w:rPr>
        <w:t>Cargo;</w:t>
      </w:r>
    </w:p>
    <w:p w14:paraId="50C44CF2" w14:textId="77777777" w:rsidR="005D7278" w:rsidRDefault="00BE72A9">
      <w:pPr>
        <w:numPr>
          <w:ilvl w:val="0"/>
          <w:numId w:val="4"/>
        </w:numPr>
        <w:pBdr>
          <w:top w:val="nil"/>
          <w:left w:val="nil"/>
          <w:bottom w:val="nil"/>
          <w:right w:val="nil"/>
          <w:between w:val="nil"/>
        </w:pBdr>
        <w:spacing w:after="0" w:line="360" w:lineRule="auto"/>
        <w:rPr>
          <w:color w:val="000000"/>
        </w:rPr>
      </w:pPr>
      <w:r>
        <w:rPr>
          <w:color w:val="000000"/>
        </w:rPr>
        <w:t>Registro Federal de Contribuyentes;</w:t>
      </w:r>
    </w:p>
    <w:p w14:paraId="15C8C61F" w14:textId="77777777" w:rsidR="005D7278" w:rsidRDefault="00BE72A9">
      <w:pPr>
        <w:numPr>
          <w:ilvl w:val="0"/>
          <w:numId w:val="4"/>
        </w:numPr>
        <w:pBdr>
          <w:top w:val="nil"/>
          <w:left w:val="nil"/>
          <w:bottom w:val="nil"/>
          <w:right w:val="nil"/>
          <w:between w:val="nil"/>
        </w:pBdr>
        <w:spacing w:after="0" w:line="360" w:lineRule="auto"/>
        <w:rPr>
          <w:color w:val="000000"/>
        </w:rPr>
      </w:pPr>
      <w:r>
        <w:rPr>
          <w:color w:val="000000"/>
        </w:rPr>
        <w:t>Número de folio de constancia de presentación de declaración patrimonial;</w:t>
      </w:r>
    </w:p>
    <w:p w14:paraId="52653D72" w14:textId="77777777" w:rsidR="005D7278" w:rsidRDefault="00BE72A9">
      <w:pPr>
        <w:numPr>
          <w:ilvl w:val="0"/>
          <w:numId w:val="4"/>
        </w:numPr>
        <w:pBdr>
          <w:top w:val="nil"/>
          <w:left w:val="nil"/>
          <w:bottom w:val="nil"/>
          <w:right w:val="nil"/>
          <w:between w:val="nil"/>
        </w:pBdr>
        <w:spacing w:after="0" w:line="360" w:lineRule="auto"/>
        <w:rPr>
          <w:color w:val="000000"/>
        </w:rPr>
      </w:pPr>
      <w:r>
        <w:rPr>
          <w:color w:val="000000"/>
        </w:rPr>
        <w:t>Nivel socioeconómico;</w:t>
      </w:r>
    </w:p>
    <w:p w14:paraId="10F3225F" w14:textId="77777777" w:rsidR="005D7278" w:rsidRDefault="00BE72A9">
      <w:pPr>
        <w:numPr>
          <w:ilvl w:val="0"/>
          <w:numId w:val="4"/>
        </w:numPr>
        <w:pBdr>
          <w:top w:val="nil"/>
          <w:left w:val="nil"/>
          <w:bottom w:val="nil"/>
          <w:right w:val="nil"/>
          <w:between w:val="nil"/>
        </w:pBdr>
        <w:spacing w:after="0" w:line="360" w:lineRule="auto"/>
        <w:rPr>
          <w:color w:val="000000"/>
        </w:rPr>
      </w:pPr>
      <w:r>
        <w:rPr>
          <w:color w:val="000000"/>
        </w:rPr>
        <w:t>Grado de instrucción escolar;</w:t>
      </w:r>
    </w:p>
    <w:p w14:paraId="5A7A55D3" w14:textId="77777777" w:rsidR="005D7278" w:rsidRDefault="00BE72A9">
      <w:pPr>
        <w:numPr>
          <w:ilvl w:val="0"/>
          <w:numId w:val="4"/>
        </w:numPr>
        <w:pBdr>
          <w:top w:val="nil"/>
          <w:left w:val="nil"/>
          <w:bottom w:val="nil"/>
          <w:right w:val="nil"/>
          <w:between w:val="nil"/>
        </w:pBdr>
        <w:spacing w:after="0" w:line="360" w:lineRule="auto"/>
        <w:rPr>
          <w:color w:val="000000"/>
        </w:rPr>
      </w:pPr>
      <w:r>
        <w:rPr>
          <w:color w:val="000000"/>
        </w:rPr>
        <w:t>Nivel jerárquico;</w:t>
      </w:r>
    </w:p>
    <w:p w14:paraId="223B6C27" w14:textId="77777777" w:rsidR="005D7278" w:rsidRDefault="00BE72A9">
      <w:pPr>
        <w:numPr>
          <w:ilvl w:val="0"/>
          <w:numId w:val="4"/>
        </w:numPr>
        <w:pBdr>
          <w:top w:val="nil"/>
          <w:left w:val="nil"/>
          <w:bottom w:val="nil"/>
          <w:right w:val="nil"/>
          <w:between w:val="nil"/>
        </w:pBdr>
        <w:spacing w:after="0" w:line="360" w:lineRule="auto"/>
        <w:rPr>
          <w:color w:val="000000"/>
        </w:rPr>
      </w:pPr>
      <w:r>
        <w:rPr>
          <w:color w:val="000000"/>
        </w:rPr>
        <w:t>Leyenda código de entrega de la declaración patrimonial;</w:t>
      </w:r>
    </w:p>
    <w:p w14:paraId="5CB0C83E" w14:textId="77777777" w:rsidR="005D7278" w:rsidRDefault="00BE72A9">
      <w:pPr>
        <w:numPr>
          <w:ilvl w:val="0"/>
          <w:numId w:val="4"/>
        </w:numPr>
        <w:pBdr>
          <w:top w:val="nil"/>
          <w:left w:val="nil"/>
          <w:bottom w:val="nil"/>
          <w:right w:val="nil"/>
          <w:between w:val="nil"/>
        </w:pBdr>
        <w:spacing w:after="0" w:line="360" w:lineRule="auto"/>
        <w:rPr>
          <w:color w:val="000000"/>
        </w:rPr>
      </w:pPr>
      <w:r>
        <w:rPr>
          <w:color w:val="000000"/>
        </w:rPr>
        <w:t>Recibo folio de entrega de la declaración patrimonial;</w:t>
      </w:r>
    </w:p>
    <w:p w14:paraId="04FED595" w14:textId="77777777" w:rsidR="005D7278" w:rsidRDefault="00BE72A9">
      <w:pPr>
        <w:numPr>
          <w:ilvl w:val="0"/>
          <w:numId w:val="4"/>
        </w:numPr>
        <w:pBdr>
          <w:top w:val="nil"/>
          <w:left w:val="nil"/>
          <w:bottom w:val="nil"/>
          <w:right w:val="nil"/>
          <w:between w:val="nil"/>
        </w:pBdr>
        <w:spacing w:after="0" w:line="360" w:lineRule="auto"/>
        <w:rPr>
          <w:color w:val="000000"/>
        </w:rPr>
      </w:pPr>
      <w:r>
        <w:rPr>
          <w:color w:val="000000"/>
        </w:rPr>
        <w:t>Número de expediente de juicio administrativo;</w:t>
      </w:r>
    </w:p>
    <w:p w14:paraId="3F546D8D" w14:textId="77777777" w:rsidR="005D7278" w:rsidRDefault="00BE72A9">
      <w:pPr>
        <w:numPr>
          <w:ilvl w:val="0"/>
          <w:numId w:val="4"/>
        </w:numPr>
        <w:pBdr>
          <w:top w:val="nil"/>
          <w:left w:val="nil"/>
          <w:bottom w:val="nil"/>
          <w:right w:val="nil"/>
          <w:between w:val="nil"/>
        </w:pBdr>
        <w:spacing w:after="0" w:line="360" w:lineRule="auto"/>
        <w:rPr>
          <w:color w:val="000000"/>
        </w:rPr>
      </w:pPr>
      <w:r>
        <w:rPr>
          <w:color w:val="000000"/>
        </w:rPr>
        <w:lastRenderedPageBreak/>
        <w:t>Los datos de identificación de acta de defunción: identificador electrónico, CURP, número de certificado de defunción de la SSA, acta, fechas de registro, número interno de control, número único de causa, número de oficio del Ministerio Público, código de verificación, y</w:t>
      </w:r>
    </w:p>
    <w:p w14:paraId="24FB8B72" w14:textId="77777777" w:rsidR="005D7278" w:rsidRDefault="00BE72A9">
      <w:pPr>
        <w:numPr>
          <w:ilvl w:val="0"/>
          <w:numId w:val="4"/>
        </w:numPr>
        <w:pBdr>
          <w:top w:val="nil"/>
          <w:left w:val="nil"/>
          <w:bottom w:val="nil"/>
          <w:right w:val="nil"/>
          <w:between w:val="nil"/>
        </w:pBdr>
        <w:spacing w:after="0" w:line="360" w:lineRule="auto"/>
        <w:rPr>
          <w:color w:val="000000"/>
        </w:rPr>
      </w:pPr>
      <w:r>
        <w:rPr>
          <w:color w:val="000000"/>
        </w:rPr>
        <w:t>Periodo de la administración en la cual se desempeñó el cargo.</w:t>
      </w:r>
    </w:p>
    <w:p w14:paraId="61216A5B" w14:textId="77777777" w:rsidR="005D7278" w:rsidRDefault="005D7278">
      <w:pPr>
        <w:spacing w:after="0" w:line="360" w:lineRule="auto"/>
        <w:rPr>
          <w:color w:val="000000"/>
        </w:rPr>
      </w:pPr>
    </w:p>
    <w:p w14:paraId="59FA0C02" w14:textId="77777777" w:rsidR="005D7278" w:rsidRDefault="00BE72A9">
      <w:pPr>
        <w:spacing w:after="0" w:line="360" w:lineRule="auto"/>
        <w:rPr>
          <w:color w:val="000000"/>
        </w:rPr>
      </w:pPr>
      <w:r>
        <w:rPr>
          <w:color w:val="000000"/>
        </w:rPr>
        <w:t xml:space="preserve">Así mismo, en uno de los casos se dejó visible el cargo del servidor público. De la misma manera en la resolución de fecha quince de noviembre de dos mil veintidós, se testaron párrafos completos sin que este Instituto pueda identificar  qué información fue testada, como se aprecia a continuación: </w:t>
      </w:r>
    </w:p>
    <w:p w14:paraId="68AB9898" w14:textId="77777777" w:rsidR="005D7278" w:rsidRDefault="005D7278">
      <w:pPr>
        <w:spacing w:after="0" w:line="360" w:lineRule="auto"/>
        <w:rPr>
          <w:color w:val="000000"/>
        </w:rPr>
      </w:pPr>
    </w:p>
    <w:p w14:paraId="1A09E054" w14:textId="77777777" w:rsidR="005D7278" w:rsidRDefault="00BE72A9">
      <w:pPr>
        <w:spacing w:after="0" w:line="360" w:lineRule="auto"/>
        <w:jc w:val="center"/>
        <w:rPr>
          <w:color w:val="000000"/>
        </w:rPr>
      </w:pPr>
      <w:r>
        <w:rPr>
          <w:noProof/>
          <w:color w:val="000000"/>
        </w:rPr>
        <w:drawing>
          <wp:inline distT="0" distB="0" distL="0" distR="0" wp14:anchorId="6B170487" wp14:editId="6D15A1D5">
            <wp:extent cx="4167853" cy="3009724"/>
            <wp:effectExtent l="0" t="0" r="0" b="0"/>
            <wp:docPr id="162498930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t="8370" r="13214"/>
                    <a:stretch>
                      <a:fillRect/>
                    </a:stretch>
                  </pic:blipFill>
                  <pic:spPr>
                    <a:xfrm rot="5400000">
                      <a:off x="0" y="0"/>
                      <a:ext cx="4167853" cy="3009724"/>
                    </a:xfrm>
                    <a:prstGeom prst="rect">
                      <a:avLst/>
                    </a:prstGeom>
                    <a:ln/>
                  </pic:spPr>
                </pic:pic>
              </a:graphicData>
            </a:graphic>
          </wp:inline>
        </w:drawing>
      </w:r>
    </w:p>
    <w:p w14:paraId="07EFB995" w14:textId="77777777" w:rsidR="005D7278" w:rsidRDefault="005D7278">
      <w:pPr>
        <w:spacing w:after="0" w:line="360" w:lineRule="auto"/>
        <w:rPr>
          <w:color w:val="000000"/>
        </w:rPr>
      </w:pPr>
    </w:p>
    <w:p w14:paraId="12AF2C0C" w14:textId="77777777" w:rsidR="005D7278" w:rsidRDefault="00BE72A9">
      <w:pPr>
        <w:spacing w:after="0" w:line="360" w:lineRule="auto"/>
        <w:rPr>
          <w:b/>
          <w:color w:val="0D0D0D"/>
        </w:rPr>
      </w:pPr>
      <w:r>
        <w:rPr>
          <w:color w:val="0D0D0D"/>
        </w:rPr>
        <w:lastRenderedPageBreak/>
        <w:t xml:space="preserve">Sobre dicha situación, el artículo 20 de la Ley de Transparencia y Acceso a la Información Pública del Estado de México y Municipios, precisa que </w:t>
      </w:r>
      <w:r>
        <w:rPr>
          <w:b/>
          <w:color w:val="0D0D0D"/>
        </w:rPr>
        <w:t>ante la negativa de acceso a la información o su inexistencia, el sujeto obligado deberá demostrar que encuentra en alguna de las excepciones establecidas en la normatividad aplicable.</w:t>
      </w:r>
    </w:p>
    <w:p w14:paraId="6539948F" w14:textId="77777777" w:rsidR="005D7278" w:rsidRDefault="005D7278">
      <w:pPr>
        <w:spacing w:after="0" w:line="360" w:lineRule="auto"/>
        <w:rPr>
          <w:color w:val="0D0D0D"/>
        </w:rPr>
      </w:pPr>
    </w:p>
    <w:p w14:paraId="6D0527BC" w14:textId="77777777" w:rsidR="005D7278" w:rsidRDefault="00BE72A9">
      <w:pPr>
        <w:spacing w:after="0" w:line="360" w:lineRule="auto"/>
        <w:rPr>
          <w:color w:val="0D0D0D"/>
        </w:rPr>
      </w:pPr>
      <w:r>
        <w:rPr>
          <w:color w:val="0D0D0D"/>
        </w:rPr>
        <w:t xml:space="preserve">En ese sentido, según Trujillo, Humberto (2019), en el “Diccionario de Transparencia y Acceso a la Información Pública” (p. 201), </w:t>
      </w:r>
      <w:r>
        <w:rPr>
          <w:b/>
          <w:color w:val="0D0D0D"/>
        </w:rPr>
        <w:t xml:space="preserve">la negativa de acceso a la información </w:t>
      </w:r>
      <w:r>
        <w:rPr>
          <w:color w:val="0D0D0D"/>
        </w:rPr>
        <w:t xml:space="preserve">ocurre cuanto de manera fundada y motivada, una autoridad la niega o la limita, por alguna de las siguientes razones: </w:t>
      </w:r>
    </w:p>
    <w:p w14:paraId="79D245D0" w14:textId="77777777" w:rsidR="005D7278" w:rsidRDefault="005D7278">
      <w:pPr>
        <w:spacing w:after="0" w:line="360" w:lineRule="auto"/>
        <w:rPr>
          <w:color w:val="0D0D0D"/>
        </w:rPr>
      </w:pPr>
    </w:p>
    <w:p w14:paraId="12CD39C5" w14:textId="77777777" w:rsidR="005D7278" w:rsidRDefault="00BE72A9">
      <w:pPr>
        <w:numPr>
          <w:ilvl w:val="0"/>
          <w:numId w:val="1"/>
        </w:numPr>
        <w:spacing w:after="0" w:line="360" w:lineRule="auto"/>
        <w:jc w:val="left"/>
        <w:rPr>
          <w:b/>
          <w:color w:val="0D0D0D"/>
        </w:rPr>
      </w:pPr>
      <w:r>
        <w:rPr>
          <w:b/>
          <w:color w:val="0D0D0D"/>
        </w:rPr>
        <w:t xml:space="preserve">La inexistencia de la información (p. 171): </w:t>
      </w:r>
      <w:r>
        <w:rPr>
          <w:color w:val="0D0D0D"/>
        </w:rPr>
        <w:t>Sucede cuando la información solicitada no se encuentra en los archivos públicos o clasificados de los entes sujetos a las Leyes de Transparencia.</w:t>
      </w:r>
    </w:p>
    <w:p w14:paraId="662E021F" w14:textId="77777777" w:rsidR="005D7278" w:rsidRDefault="005D7278">
      <w:pPr>
        <w:spacing w:after="0" w:line="360" w:lineRule="auto"/>
        <w:ind w:left="720"/>
        <w:rPr>
          <w:b/>
          <w:color w:val="0D0D0D"/>
        </w:rPr>
      </w:pPr>
    </w:p>
    <w:p w14:paraId="0E144B03" w14:textId="77777777" w:rsidR="005D7278" w:rsidRDefault="00BE72A9">
      <w:pPr>
        <w:numPr>
          <w:ilvl w:val="0"/>
          <w:numId w:val="1"/>
        </w:numPr>
        <w:spacing w:after="0" w:line="360" w:lineRule="auto"/>
        <w:jc w:val="left"/>
        <w:rPr>
          <w:b/>
          <w:color w:val="0D0D0D"/>
        </w:rPr>
      </w:pPr>
      <w:r>
        <w:rPr>
          <w:b/>
          <w:color w:val="0D0D0D"/>
        </w:rPr>
        <w:t xml:space="preserve">La incompetencia del Sujeto Obligado (p. 171): </w:t>
      </w:r>
      <w:r>
        <w:rPr>
          <w:color w:val="0D0D0D"/>
        </w:rPr>
        <w:t>Ocurre cuando el Sujeto Obligado carece de atribuciones para poseer la información peticionada.</w:t>
      </w:r>
    </w:p>
    <w:p w14:paraId="3B8E6D35" w14:textId="77777777" w:rsidR="005D7278" w:rsidRDefault="005D7278">
      <w:pPr>
        <w:spacing w:after="0" w:line="360" w:lineRule="auto"/>
        <w:ind w:left="720"/>
        <w:jc w:val="left"/>
        <w:rPr>
          <w:b/>
          <w:color w:val="0D0D0D"/>
        </w:rPr>
      </w:pPr>
    </w:p>
    <w:p w14:paraId="62007028" w14:textId="77777777" w:rsidR="005D7278" w:rsidRDefault="00BE72A9">
      <w:pPr>
        <w:numPr>
          <w:ilvl w:val="0"/>
          <w:numId w:val="1"/>
        </w:numPr>
        <w:spacing w:after="0" w:line="360" w:lineRule="auto"/>
        <w:jc w:val="left"/>
        <w:rPr>
          <w:b/>
          <w:color w:val="0D0D0D"/>
        </w:rPr>
      </w:pPr>
      <w:r>
        <w:rPr>
          <w:b/>
          <w:color w:val="0D0D0D"/>
        </w:rPr>
        <w:t xml:space="preserve">La clasificación de la información (p. 70): </w:t>
      </w:r>
      <w:r>
        <w:rPr>
          <w:color w:val="0D0D0D"/>
        </w:rPr>
        <w:t>Es el proceso o conjunto de acciones que realizan los sujetos obligados para establecer que determinada información se encuentra en alguno de los supuestos de reserva o confidencialidad establecidos en la legislación en materia de transparencia.</w:t>
      </w:r>
    </w:p>
    <w:p w14:paraId="45DB8992" w14:textId="77777777" w:rsidR="005D7278" w:rsidRDefault="005D7278">
      <w:pPr>
        <w:spacing w:after="0" w:line="360" w:lineRule="auto"/>
        <w:rPr>
          <w:color w:val="0D0D0D"/>
        </w:rPr>
      </w:pPr>
    </w:p>
    <w:p w14:paraId="1239741E" w14:textId="77777777" w:rsidR="005D7278" w:rsidRDefault="00BE72A9">
      <w:pPr>
        <w:spacing w:after="0" w:line="360" w:lineRule="auto"/>
        <w:rPr>
          <w:b/>
          <w:color w:val="0D0D0D"/>
        </w:rPr>
      </w:pPr>
      <w:r>
        <w:rPr>
          <w:color w:val="0D0D0D"/>
        </w:rPr>
        <w:t xml:space="preserve">En ese orden de ideas y en atención a lo anterior, es de señalar que las excepciones al derecho de acceso a la información, consisten en que la documentación sea inexistente, </w:t>
      </w:r>
      <w:r>
        <w:rPr>
          <w:b/>
          <w:color w:val="0D0D0D"/>
        </w:rPr>
        <w:t>se encuentre clasificada</w:t>
      </w:r>
      <w:r>
        <w:rPr>
          <w:color w:val="0D0D0D"/>
        </w:rPr>
        <w:t xml:space="preserve">, o bien, el Sujeto Obligado sea incompetente para contar con esta; esto es, la negativa de acceso a la información, recae cuando la documentación no se encuentre en los archivos del </w:t>
      </w:r>
      <w:r>
        <w:rPr>
          <w:color w:val="0D0D0D"/>
        </w:rPr>
        <w:lastRenderedPageBreak/>
        <w:t xml:space="preserve">sujeto obligado, o bien exista, pero no pueda proporcionarse por contener datos </w:t>
      </w:r>
      <w:r>
        <w:rPr>
          <w:b/>
          <w:color w:val="0D0D0D"/>
        </w:rPr>
        <w:t>confidenciales o reservados.</w:t>
      </w:r>
    </w:p>
    <w:p w14:paraId="412860B7" w14:textId="77777777" w:rsidR="005D7278" w:rsidRDefault="005D7278">
      <w:pPr>
        <w:spacing w:after="0" w:line="360" w:lineRule="auto"/>
        <w:ind w:right="-28"/>
        <w:rPr>
          <w:color w:val="000000"/>
        </w:rPr>
      </w:pPr>
    </w:p>
    <w:p w14:paraId="451320B3" w14:textId="77777777" w:rsidR="005D7278" w:rsidRDefault="00BE72A9">
      <w:pPr>
        <w:spacing w:after="0" w:line="360" w:lineRule="auto"/>
        <w:ind w:right="-28"/>
        <w:rPr>
          <w:color w:val="000000"/>
        </w:rPr>
      </w:pPr>
      <w:r>
        <w:rPr>
          <w:color w:val="000000"/>
        </w:rPr>
        <w:t>En ese contexto, de la revisión del artículo 120 de la Ley de Responsabilidades Administrativas del Estado de México y Municipios, se logra vislumbrar que únicamente precisa quiénes son las partes dentro del procedimiento de responsabilidad administrativa; sin embargo, no se advierte algún impedimento que prevea que la información no es accesible para la ciudadanía.</w:t>
      </w:r>
    </w:p>
    <w:p w14:paraId="09DA532A" w14:textId="77777777" w:rsidR="005D7278" w:rsidRDefault="005D7278">
      <w:pPr>
        <w:spacing w:after="0" w:line="360" w:lineRule="auto"/>
        <w:ind w:right="-28"/>
        <w:rPr>
          <w:color w:val="000000"/>
        </w:rPr>
      </w:pPr>
    </w:p>
    <w:p w14:paraId="17B52776" w14:textId="77777777" w:rsidR="005D7278" w:rsidRDefault="00BE72A9">
      <w:pPr>
        <w:spacing w:after="0" w:line="360" w:lineRule="auto"/>
        <w:rPr>
          <w:color w:val="000000"/>
        </w:rPr>
      </w:pPr>
      <w:r>
        <w:rPr>
          <w:color w:val="000000"/>
        </w:rPr>
        <w:t>Sobre el tema, el artículo 4° de la Ley de Transparencia y Acceso a la Información Pública del</w:t>
      </w:r>
    </w:p>
    <w:p w14:paraId="1BB78BFF" w14:textId="77777777" w:rsidR="005D7278" w:rsidRDefault="00BE72A9">
      <w:pPr>
        <w:spacing w:after="0" w:line="360" w:lineRule="auto"/>
        <w:rPr>
          <w:color w:val="000000"/>
        </w:rPr>
      </w:pPr>
      <w:r>
        <w:rPr>
          <w:color w:val="000000"/>
        </w:rPr>
        <w:t>Estado de México y Municipios, establece que toda la información que sea generada, obtenida, adquirida, transformada, administrada o se encuentre en posesión de los Sujetos Obligados, reviste el carácter de pública y, por tanto, debe ser accesible a cualquier persona.</w:t>
      </w:r>
    </w:p>
    <w:p w14:paraId="6B827CF7" w14:textId="77777777" w:rsidR="005D7278" w:rsidRDefault="005D7278">
      <w:pPr>
        <w:spacing w:after="0" w:line="360" w:lineRule="auto"/>
        <w:rPr>
          <w:color w:val="000000"/>
        </w:rPr>
      </w:pPr>
    </w:p>
    <w:p w14:paraId="08010CF0" w14:textId="77777777" w:rsidR="005D7278" w:rsidRDefault="00BE72A9">
      <w:pPr>
        <w:spacing w:after="0" w:line="360" w:lineRule="auto"/>
        <w:rPr>
          <w:color w:val="000000"/>
        </w:rPr>
      </w:pPr>
      <w:r>
        <w:rPr>
          <w:color w:val="000000"/>
        </w:rPr>
        <w:t>Da la misma manera, los diversos 12 y 24 de dicho ordenamiento jurídico, prevén que, es deber de los Sujetos Obligados proporcionar la información pública que se les requiera siempre y cuando obre en sus archivos; lo cual no implica que tengan que procesar, generar, resumir, efectuar cálculos o practicar investigaciones a fin de satisfacer la pretensión de los solicitantes.</w:t>
      </w:r>
    </w:p>
    <w:p w14:paraId="2B5A1ABF" w14:textId="77777777" w:rsidR="005D7278" w:rsidRDefault="005D7278">
      <w:pPr>
        <w:spacing w:after="0" w:line="360" w:lineRule="auto"/>
        <w:rPr>
          <w:color w:val="000000"/>
        </w:rPr>
      </w:pPr>
    </w:p>
    <w:p w14:paraId="3AC0D6C5" w14:textId="77777777" w:rsidR="005D7278" w:rsidRDefault="00BE72A9">
      <w:pPr>
        <w:spacing w:after="0" w:line="360" w:lineRule="auto"/>
        <w:rPr>
          <w:color w:val="000000"/>
        </w:rPr>
      </w:pPr>
      <w:r>
        <w:rPr>
          <w:color w:val="000000"/>
        </w:rPr>
        <w:t>Además, el artículo 18 de la Ley de Transparencia y Acceso a la Información Pública del Estado de México y Municipios, contempla que los sujetos obligados deberán documentar todo acto que derive del ejercicio de sus facultades, competencias o funciones.</w:t>
      </w:r>
    </w:p>
    <w:p w14:paraId="12FC250D" w14:textId="77777777" w:rsidR="005D7278" w:rsidRDefault="005D7278">
      <w:pPr>
        <w:spacing w:after="0" w:line="360" w:lineRule="auto"/>
        <w:rPr>
          <w:color w:val="000000"/>
        </w:rPr>
      </w:pPr>
    </w:p>
    <w:p w14:paraId="6E262342" w14:textId="77777777" w:rsidR="005D7278" w:rsidRDefault="00BE72A9">
      <w:pPr>
        <w:spacing w:after="0" w:line="360" w:lineRule="auto"/>
        <w:ind w:right="-28"/>
        <w:rPr>
          <w:color w:val="000000"/>
        </w:rPr>
      </w:pPr>
      <w:r>
        <w:rPr>
          <w:color w:val="000000"/>
        </w:rPr>
        <w:t xml:space="preserve">Conforme a lo anterior, se logra vislumbrar que el Sujeto Obligado clasificó determinada información, al considerar que la misma contenía información confidencial; en ese sentido,  </w:t>
      </w:r>
      <w:r>
        <w:rPr>
          <w:b/>
          <w:color w:val="000000"/>
        </w:rPr>
        <w:t xml:space="preserve">la clasificación </w:t>
      </w:r>
      <w:r>
        <w:rPr>
          <w:color w:val="000000"/>
        </w:rPr>
        <w:t xml:space="preserve">es el proceso mediante el cual los sujetos obligados determinan que la información en su poder, actualiza alguno de los supuestos de reserva o confidencialidad. Además, que </w:t>
      </w:r>
      <w:r>
        <w:rPr>
          <w:color w:val="000000"/>
        </w:rPr>
        <w:lastRenderedPageBreak/>
        <w:t>dichos entes deberán aplicar de manera restrictiva y limitada, las excepciones al derecho de acceso a la información, por lo que, tendrán que acreditar la procedencia.</w:t>
      </w:r>
    </w:p>
    <w:p w14:paraId="48239C61" w14:textId="77777777" w:rsidR="005D7278" w:rsidRDefault="005D7278">
      <w:pPr>
        <w:spacing w:after="0" w:line="360" w:lineRule="auto"/>
        <w:rPr>
          <w:color w:val="000000"/>
        </w:rPr>
      </w:pPr>
    </w:p>
    <w:p w14:paraId="19330364" w14:textId="77777777" w:rsidR="005D7278" w:rsidRDefault="00BE72A9">
      <w:pPr>
        <w:spacing w:after="0" w:line="360" w:lineRule="auto"/>
        <w:rPr>
          <w:color w:val="000000"/>
        </w:rPr>
      </w:pPr>
      <w:r>
        <w:rPr>
          <w:color w:val="000000"/>
        </w:rPr>
        <w:t xml:space="preserve">Por lo cual, en los casos en que se niegue el acceso a la información, por actualizarse alguno de los supuestos de clasificación, </w:t>
      </w:r>
      <w:r>
        <w:rPr>
          <w:b/>
          <w:color w:val="000000"/>
        </w:rPr>
        <w:t xml:space="preserve">el Comité de Transparencia deberá confirmar, modificar o revocar la decisión; </w:t>
      </w:r>
      <w:r>
        <w:rPr>
          <w:color w:val="000000"/>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5515D81D" w14:textId="77777777" w:rsidR="005D7278" w:rsidRDefault="005D7278">
      <w:pPr>
        <w:spacing w:after="0" w:line="360" w:lineRule="auto"/>
        <w:rPr>
          <w:color w:val="000000"/>
        </w:rPr>
      </w:pPr>
    </w:p>
    <w:p w14:paraId="4210A0A2" w14:textId="77777777" w:rsidR="005D7278" w:rsidRDefault="00BE72A9">
      <w:pPr>
        <w:spacing w:after="0" w:line="360" w:lineRule="auto"/>
        <w:rPr>
          <w:b/>
          <w:color w:val="000000"/>
        </w:rPr>
      </w:pPr>
      <w:r>
        <w:rPr>
          <w:color w:val="000000"/>
        </w:rPr>
        <w:t xml:space="preserve">Por su parte, según Bonifaz, Leticia (2016), en la “Ley General de Transparencia y Acceso a la Información Pública Comentada” (p. 342), la </w:t>
      </w:r>
      <w:r>
        <w:rPr>
          <w:b/>
          <w:color w:val="000000"/>
        </w:rPr>
        <w:t>clasificación de la información</w:t>
      </w:r>
      <w:r>
        <w:rPr>
          <w:color w:val="000000"/>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Pr>
          <w:b/>
          <w:color w:val="000000"/>
        </w:rPr>
        <w:t>de manera adecuada la negativa de información.</w:t>
      </w:r>
    </w:p>
    <w:p w14:paraId="12EF475D" w14:textId="77777777" w:rsidR="005D7278" w:rsidRDefault="005D7278">
      <w:pPr>
        <w:spacing w:after="0" w:line="360" w:lineRule="auto"/>
        <w:rPr>
          <w:b/>
          <w:color w:val="000000"/>
        </w:rPr>
      </w:pPr>
    </w:p>
    <w:p w14:paraId="00916C78" w14:textId="77777777" w:rsidR="005D7278" w:rsidRDefault="00BE72A9">
      <w:pPr>
        <w:spacing w:after="0" w:line="360" w:lineRule="auto"/>
        <w:rPr>
          <w:b/>
          <w:color w:val="000000"/>
        </w:rPr>
      </w:pPr>
      <w:r>
        <w:rPr>
          <w:color w:val="000000"/>
        </w:rPr>
        <w:t xml:space="preserve">En ese sentido, conforme al artículo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los sujetos obligados no podrán emitir acuerdos de carácter general que clasifiquen documentos o expedientes; por lo que, la clasificación de información se llevará a cabo mediante un </w:t>
      </w:r>
      <w:r>
        <w:rPr>
          <w:b/>
          <w:color w:val="000000"/>
        </w:rPr>
        <w:t>análisis caso por caso.</w:t>
      </w:r>
    </w:p>
    <w:p w14:paraId="65FAD51D" w14:textId="77777777" w:rsidR="005D7278" w:rsidRDefault="005D7278">
      <w:pPr>
        <w:spacing w:after="0" w:line="360" w:lineRule="auto"/>
        <w:rPr>
          <w:b/>
          <w:color w:val="000000"/>
        </w:rPr>
      </w:pPr>
    </w:p>
    <w:p w14:paraId="62CEA91A" w14:textId="77777777" w:rsidR="005D7278" w:rsidRDefault="00BE72A9">
      <w:pPr>
        <w:spacing w:after="0" w:line="360" w:lineRule="auto"/>
        <w:rPr>
          <w:color w:val="000000"/>
        </w:rPr>
      </w:pPr>
      <w:r>
        <w:rPr>
          <w:color w:val="000000"/>
        </w:rPr>
        <w:t xml:space="preserve">Además, el artículo 131 de la Ley referida, así como el Quinto de los Lineamientos Generales, establecen que los sujetos obligados </w:t>
      </w:r>
      <w:r>
        <w:rPr>
          <w:b/>
          <w:color w:val="000000"/>
        </w:rPr>
        <w:t>deberán fundar y motivar</w:t>
      </w:r>
      <w:r>
        <w:rPr>
          <w:color w:val="000000"/>
        </w:rPr>
        <w:t xml:space="preserve"> debidamente la clasificación de la información.</w:t>
      </w:r>
    </w:p>
    <w:p w14:paraId="2D3A4182" w14:textId="77777777" w:rsidR="005D7278" w:rsidRDefault="005D7278">
      <w:pPr>
        <w:spacing w:after="0" w:line="360" w:lineRule="auto"/>
        <w:rPr>
          <w:b/>
          <w:color w:val="000000"/>
        </w:rPr>
      </w:pPr>
    </w:p>
    <w:p w14:paraId="2EEFE3C1" w14:textId="77777777" w:rsidR="005D7278" w:rsidRDefault="00BE72A9">
      <w:pPr>
        <w:spacing w:after="0" w:line="360" w:lineRule="auto"/>
        <w:rPr>
          <w:color w:val="000000"/>
        </w:rPr>
      </w:pPr>
      <w:r>
        <w:rPr>
          <w:color w:val="000000"/>
        </w:rPr>
        <w:lastRenderedPageBreak/>
        <w:t>Al respecto, el Octavo de los Lineamientos Generales, precisa lo siguiente:</w:t>
      </w:r>
    </w:p>
    <w:p w14:paraId="4401408D" w14:textId="77777777" w:rsidR="005D7278" w:rsidRDefault="005D7278">
      <w:pPr>
        <w:spacing w:after="0" w:line="360" w:lineRule="auto"/>
        <w:rPr>
          <w:color w:val="000000"/>
        </w:rPr>
      </w:pPr>
    </w:p>
    <w:p w14:paraId="7F16281A" w14:textId="77777777" w:rsidR="005D7278" w:rsidRDefault="00BE72A9">
      <w:pPr>
        <w:numPr>
          <w:ilvl w:val="0"/>
          <w:numId w:val="2"/>
        </w:numPr>
        <w:spacing w:after="0" w:line="360" w:lineRule="auto"/>
        <w:rPr>
          <w:color w:val="000000"/>
        </w:rPr>
      </w:pPr>
      <w:r>
        <w:rPr>
          <w:b/>
          <w:color w:val="000000"/>
        </w:rPr>
        <w:t>Para fundar la clasificación</w:t>
      </w:r>
      <w:r>
        <w:rPr>
          <w:color w:val="000000"/>
        </w:rPr>
        <w:t xml:space="preserve"> de la información se deberán señalar el artículo, fracción, inciso, párrafo o numeral de la Ley aplicable.</w:t>
      </w:r>
    </w:p>
    <w:p w14:paraId="100D6735" w14:textId="77777777" w:rsidR="005D7278" w:rsidRDefault="005D7278">
      <w:pPr>
        <w:spacing w:after="0" w:line="360" w:lineRule="auto"/>
        <w:rPr>
          <w:color w:val="000000"/>
        </w:rPr>
      </w:pPr>
    </w:p>
    <w:p w14:paraId="6D3D162C" w14:textId="77777777" w:rsidR="005D7278" w:rsidRDefault="00BE72A9">
      <w:pPr>
        <w:numPr>
          <w:ilvl w:val="0"/>
          <w:numId w:val="2"/>
        </w:numPr>
        <w:spacing w:after="0" w:line="360" w:lineRule="auto"/>
        <w:rPr>
          <w:color w:val="000000"/>
        </w:rPr>
      </w:pPr>
      <w:r>
        <w:rPr>
          <w:b/>
          <w:color w:val="000000"/>
        </w:rPr>
        <w:t>Para motivar la clasificación</w:t>
      </w:r>
      <w:r>
        <w:rPr>
          <w:color w:val="000000"/>
        </w:rP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las circunstancias que justifican el establecimiento de un determinado plazo de reserva.</w:t>
      </w:r>
    </w:p>
    <w:p w14:paraId="5B887F7B" w14:textId="77777777" w:rsidR="005D7278" w:rsidRDefault="005D7278">
      <w:pPr>
        <w:spacing w:after="0" w:line="360" w:lineRule="auto"/>
        <w:rPr>
          <w:color w:val="000000"/>
        </w:rPr>
      </w:pPr>
    </w:p>
    <w:p w14:paraId="1E8F884C" w14:textId="77777777" w:rsidR="005D7278" w:rsidRDefault="00BE72A9">
      <w:pPr>
        <w:spacing w:after="0" w:line="360" w:lineRule="auto"/>
        <w:rPr>
          <w:color w:val="000000"/>
        </w:rPr>
      </w:pPr>
      <w:r>
        <w:rPr>
          <w:color w:val="000000"/>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la Tesis aislada número I. 4o. P. 56 P, Octava Época, publicada en el Semanario Judicial de la Federación, Tomo XIV, noviembre de mil novecientos noventa y cuatro, (p. 450), que establece lo siguiente:</w:t>
      </w:r>
    </w:p>
    <w:p w14:paraId="036C93B2" w14:textId="77777777" w:rsidR="005D7278" w:rsidRDefault="005D7278">
      <w:pPr>
        <w:spacing w:after="0" w:line="360" w:lineRule="auto"/>
        <w:rPr>
          <w:color w:val="000000"/>
          <w:sz w:val="20"/>
          <w:szCs w:val="20"/>
        </w:rPr>
      </w:pPr>
    </w:p>
    <w:p w14:paraId="776ABD19" w14:textId="77777777" w:rsidR="005D7278" w:rsidRDefault="00BE72A9">
      <w:pPr>
        <w:spacing w:after="0" w:line="360" w:lineRule="auto"/>
        <w:ind w:left="567" w:right="567"/>
        <w:rPr>
          <w:i/>
          <w:color w:val="000000"/>
          <w:sz w:val="20"/>
          <w:szCs w:val="20"/>
        </w:rPr>
      </w:pPr>
      <w:r>
        <w:rPr>
          <w:b/>
          <w:i/>
          <w:color w:val="000000"/>
          <w:sz w:val="20"/>
          <w:szCs w:val="20"/>
        </w:rPr>
        <w:t xml:space="preserve">“FUNDAMENTACION Y MOTIVACION, CONCEPTO DE. </w:t>
      </w:r>
      <w:r>
        <w:rPr>
          <w:i/>
          <w:color w:val="000000"/>
          <w:sz w:val="20"/>
          <w:szCs w:val="20"/>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54E55314" w14:textId="77777777" w:rsidR="005D7278" w:rsidRDefault="005D7278">
      <w:pPr>
        <w:spacing w:after="0" w:line="360" w:lineRule="auto"/>
        <w:rPr>
          <w:color w:val="000000"/>
        </w:rPr>
      </w:pPr>
    </w:p>
    <w:p w14:paraId="7CB10ECA" w14:textId="77777777" w:rsidR="005D7278" w:rsidRDefault="00BE72A9">
      <w:pPr>
        <w:spacing w:after="0" w:line="360" w:lineRule="auto"/>
        <w:rPr>
          <w:color w:val="000000"/>
        </w:rPr>
      </w:pPr>
      <w:r>
        <w:rPr>
          <w:color w:val="000000"/>
        </w:rPr>
        <w:t>Conforme a lo anterior, se advierte lo siguiente:</w:t>
      </w:r>
    </w:p>
    <w:p w14:paraId="2F914422" w14:textId="77777777" w:rsidR="005D7278" w:rsidRDefault="005D7278">
      <w:pPr>
        <w:spacing w:after="0" w:line="360" w:lineRule="auto"/>
        <w:rPr>
          <w:color w:val="000000"/>
        </w:rPr>
      </w:pPr>
    </w:p>
    <w:p w14:paraId="72EFA3CA" w14:textId="77777777" w:rsidR="005D7278" w:rsidRDefault="00BE72A9">
      <w:pPr>
        <w:numPr>
          <w:ilvl w:val="0"/>
          <w:numId w:val="5"/>
        </w:numPr>
        <w:spacing w:after="0" w:line="360" w:lineRule="auto"/>
        <w:rPr>
          <w:b/>
          <w:color w:val="000000"/>
        </w:rPr>
      </w:pPr>
      <w:r>
        <w:rPr>
          <w:b/>
          <w:color w:val="000000"/>
        </w:rPr>
        <w:lastRenderedPageBreak/>
        <w:t xml:space="preserve">Fundamentación: </w:t>
      </w:r>
      <w:r>
        <w:rPr>
          <w:color w:val="000000"/>
        </w:rPr>
        <w:t>Obligación de la autoridad que emite un acto, para citar los preceptos legales, sustantivos y adjetivos, en que se apoye para la determinación tomada.</w:t>
      </w:r>
    </w:p>
    <w:p w14:paraId="6E6B7B9C" w14:textId="77777777" w:rsidR="005D7278" w:rsidRDefault="005D7278">
      <w:pPr>
        <w:spacing w:after="0" w:line="360" w:lineRule="auto"/>
        <w:rPr>
          <w:b/>
          <w:color w:val="000000"/>
        </w:rPr>
      </w:pPr>
    </w:p>
    <w:p w14:paraId="2C71F9FF" w14:textId="77777777" w:rsidR="005D7278" w:rsidRDefault="00BE72A9">
      <w:pPr>
        <w:numPr>
          <w:ilvl w:val="0"/>
          <w:numId w:val="5"/>
        </w:numPr>
        <w:spacing w:after="0" w:line="360" w:lineRule="auto"/>
        <w:jc w:val="left"/>
        <w:rPr>
          <w:b/>
          <w:color w:val="000000"/>
        </w:rPr>
      </w:pPr>
      <w:r>
        <w:rPr>
          <w:b/>
          <w:color w:val="000000"/>
        </w:rPr>
        <w:t xml:space="preserve">Motivación: </w:t>
      </w:r>
      <w:r>
        <w:rPr>
          <w:color w:val="000000"/>
        </w:rPr>
        <w:t>Razonamientos lógico-jurídicos sobre porque se consideró en el caso en concreto, que se ajusta a la hipótesis normativa.</w:t>
      </w:r>
    </w:p>
    <w:p w14:paraId="2B907BE3" w14:textId="77777777" w:rsidR="005D7278" w:rsidRDefault="005D7278">
      <w:pPr>
        <w:spacing w:after="0" w:line="360" w:lineRule="auto"/>
        <w:rPr>
          <w:color w:val="000000"/>
        </w:rPr>
      </w:pPr>
    </w:p>
    <w:p w14:paraId="60ED7B8B" w14:textId="77777777" w:rsidR="005D7278" w:rsidRDefault="00BE72A9">
      <w:pPr>
        <w:spacing w:after="0" w:line="360" w:lineRule="auto"/>
      </w:pPr>
      <w:r>
        <w:t>Situación que toma relevancia, pues conforme al artículo 149 de la Ley de Transparencia y Acceso a la Información Pública del Estado de México y Municipios, todo acuerdo que clasifique la información como confidencial, deberá contener un razonamiento lógico en el que se demuestre que la información actualiza alguna de las hipótesis previstas en el artículo 143 del ordenamiento jurídico establecido.</w:t>
      </w:r>
    </w:p>
    <w:p w14:paraId="11A979A9" w14:textId="77777777" w:rsidR="005D7278" w:rsidRDefault="005D7278">
      <w:pPr>
        <w:spacing w:after="0" w:line="360" w:lineRule="auto"/>
      </w:pPr>
    </w:p>
    <w:p w14:paraId="2DAD0D08" w14:textId="77777777" w:rsidR="005D7278" w:rsidRDefault="00BE72A9">
      <w:pPr>
        <w:spacing w:after="0" w:line="360" w:lineRule="auto"/>
      </w:pPr>
      <w:r>
        <w:t>En ese contexto, es de señalar que el Ayuntamiento de Temascalcingo, no precisó de manera fundada y motivada las razones por las cuales, consideraba que todos los datos testados eran clasificados, pues únicamente analizo tres específicos; por lo que, este Instituto procede analizar los datos testados identificados.</w:t>
      </w:r>
    </w:p>
    <w:p w14:paraId="62D9AE11" w14:textId="77777777" w:rsidR="005D7278" w:rsidRDefault="005D7278">
      <w:pPr>
        <w:spacing w:after="0" w:line="360" w:lineRule="auto"/>
      </w:pPr>
    </w:p>
    <w:p w14:paraId="53F7AAED" w14:textId="77777777" w:rsidR="005D7278" w:rsidRDefault="00BE72A9">
      <w:pPr>
        <w:spacing w:after="0" w:line="360" w:lineRule="auto"/>
      </w:pPr>
      <w:r>
        <w:rPr>
          <w:color w:val="000000"/>
        </w:rPr>
        <w:t xml:space="preserve">En principio, cabe mencionar que el artículo </w:t>
      </w:r>
      <w:r>
        <w:t>143, fracción I, de la Ley de Transparencia y Acceso a la Información Pública, establece que los datos personales, concernientes a una persona identificada o identificables, son confidenciales.</w:t>
      </w:r>
    </w:p>
    <w:p w14:paraId="5F651D63" w14:textId="77777777" w:rsidR="005D7278" w:rsidRDefault="005D7278">
      <w:pPr>
        <w:spacing w:after="0" w:line="360" w:lineRule="auto"/>
      </w:pPr>
    </w:p>
    <w:p w14:paraId="45255042" w14:textId="77777777" w:rsidR="005D7278" w:rsidRDefault="00BE72A9">
      <w:pPr>
        <w:spacing w:after="0" w:line="360" w:lineRule="auto"/>
      </w:pPr>
      <w: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w:t>
      </w:r>
      <w:r>
        <w:lastRenderedPageBreak/>
        <w:t>terceros o cuando se transmita entre sujetos obligados en términos de los tratados y los acuerdos interinstitucionales.</w:t>
      </w:r>
    </w:p>
    <w:p w14:paraId="4384C007" w14:textId="77777777" w:rsidR="005D7278" w:rsidRDefault="005D7278">
      <w:pPr>
        <w:spacing w:after="0" w:line="360" w:lineRule="auto"/>
      </w:pPr>
    </w:p>
    <w:p w14:paraId="56C7B464" w14:textId="77777777" w:rsidR="005D7278" w:rsidRDefault="00BE72A9">
      <w:pPr>
        <w:spacing w:after="0" w:line="360" w:lineRule="auto"/>
      </w:pPr>
      <w:r>
        <w:t>En términos de lo expuesto, la documentación y aquellos datos que se consideren confidenciales, serán una limitante del derecho de acceso a la información, siempre y cuando:</w:t>
      </w:r>
    </w:p>
    <w:p w14:paraId="46605717" w14:textId="77777777" w:rsidR="005D7278" w:rsidRDefault="005D7278">
      <w:pPr>
        <w:spacing w:after="0" w:line="360" w:lineRule="auto"/>
      </w:pPr>
    </w:p>
    <w:p w14:paraId="78F9E35F" w14:textId="77777777" w:rsidR="005D7278" w:rsidRDefault="00BE72A9">
      <w:pPr>
        <w:numPr>
          <w:ilvl w:val="0"/>
          <w:numId w:val="6"/>
        </w:numPr>
        <w:spacing w:after="0" w:line="360" w:lineRule="auto"/>
      </w:pPr>
      <w:r>
        <w:t xml:space="preserve">Se trate de datos personales o información privada; esto es, información concerniente a una persona física o jurídico colectiva y que esta sea identificada o identificable. </w:t>
      </w:r>
    </w:p>
    <w:p w14:paraId="2594A16F" w14:textId="77777777" w:rsidR="005D7278" w:rsidRDefault="00BE72A9">
      <w:pPr>
        <w:numPr>
          <w:ilvl w:val="0"/>
          <w:numId w:val="6"/>
        </w:numPr>
        <w:spacing w:after="0" w:line="360" w:lineRule="auto"/>
      </w:pPr>
      <w:r>
        <w:t xml:space="preserve">Para la difusión de los datos, se requiera el consentimiento del titular. </w:t>
      </w:r>
    </w:p>
    <w:p w14:paraId="5201E4C8" w14:textId="77777777" w:rsidR="005D7278" w:rsidRDefault="005D7278">
      <w:pPr>
        <w:spacing w:after="0" w:line="360" w:lineRule="auto"/>
      </w:pPr>
    </w:p>
    <w:p w14:paraId="2DB2B51C" w14:textId="77777777" w:rsidR="005D7278" w:rsidRDefault="00BE72A9">
      <w:pPr>
        <w:spacing w:after="0" w:line="360" w:lineRule="auto"/>
      </w:pPr>
      <w: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3BDAAE97" w14:textId="77777777" w:rsidR="005D7278" w:rsidRDefault="005D7278">
      <w:pPr>
        <w:spacing w:after="0" w:line="360" w:lineRule="auto"/>
      </w:pPr>
    </w:p>
    <w:p w14:paraId="4F68B244" w14:textId="77777777" w:rsidR="005D7278" w:rsidRDefault="00BE72A9">
      <w:pPr>
        <w:spacing w:after="0" w:line="360" w:lineRule="auto"/>
      </w:pPr>
      <w:r>
        <w:t>En este sentido, un dato personal es cualquier información que pueda hacer a una persona física o jurídica colectiva identificada e identificable; por lo que, se analizarán si los datos mencionados, deben ser considerados confidenciales, en términos del artículo 143, fracción I, de la Ley de Transparencia y Acceso a la Información Pública del Estado de México y Municipios, o públicos.</w:t>
      </w:r>
    </w:p>
    <w:p w14:paraId="7E8BCB9E" w14:textId="77777777" w:rsidR="005D7278" w:rsidRDefault="005D7278">
      <w:pPr>
        <w:spacing w:after="0" w:line="360" w:lineRule="auto"/>
      </w:pPr>
    </w:p>
    <w:p w14:paraId="540F6256" w14:textId="77777777" w:rsidR="005D7278" w:rsidRDefault="00BE72A9">
      <w:pPr>
        <w:numPr>
          <w:ilvl w:val="0"/>
          <w:numId w:val="7"/>
        </w:numPr>
        <w:pBdr>
          <w:top w:val="nil"/>
          <w:left w:val="nil"/>
          <w:bottom w:val="nil"/>
          <w:right w:val="nil"/>
          <w:between w:val="nil"/>
        </w:pBdr>
        <w:spacing w:after="0" w:line="360" w:lineRule="auto"/>
        <w:rPr>
          <w:b/>
          <w:color w:val="000000"/>
        </w:rPr>
      </w:pPr>
      <w:r>
        <w:rPr>
          <w:b/>
          <w:color w:val="000000"/>
        </w:rPr>
        <w:t>Nombre y cargo</w:t>
      </w:r>
    </w:p>
    <w:p w14:paraId="6D3C537B" w14:textId="77777777" w:rsidR="005D7278" w:rsidRDefault="00BE72A9">
      <w:pPr>
        <w:spacing w:after="0" w:line="360" w:lineRule="auto"/>
        <w:rPr>
          <w:b/>
          <w:color w:val="000000"/>
        </w:rPr>
      </w:pPr>
      <w:r>
        <w:rPr>
          <w:color w:val="000000"/>
        </w:rPr>
        <w:lastRenderedPageBreak/>
        <w:t xml:space="preserve">Sobre el tema, se considera que en la especie proporcionar el nombre y cargo de los servidores públicos </w:t>
      </w:r>
      <w:r>
        <w:rPr>
          <w:b/>
          <w:color w:val="000000"/>
        </w:rPr>
        <w:t xml:space="preserve">por faltas no graves, los haría identificable, lo </w:t>
      </w:r>
      <w:proofErr w:type="spellStart"/>
      <w:r>
        <w:rPr>
          <w:b/>
          <w:color w:val="000000"/>
        </w:rPr>
        <w:t>cua</w:t>
      </w:r>
      <w:proofErr w:type="spellEnd"/>
      <w:r>
        <w:rPr>
          <w:color w:val="000000"/>
        </w:rPr>
        <w:t xml:space="preserve"> </w:t>
      </w:r>
      <w:r>
        <w:rPr>
          <w:b/>
          <w:color w:val="000000"/>
        </w:rPr>
        <w:t>podría afectar su honor, buen nombre y su imagen.</w:t>
      </w:r>
    </w:p>
    <w:p w14:paraId="3E5B9882" w14:textId="77777777" w:rsidR="005D7278" w:rsidRDefault="005D7278">
      <w:pPr>
        <w:spacing w:after="0" w:line="360" w:lineRule="auto"/>
        <w:rPr>
          <w:b/>
          <w:color w:val="000000"/>
        </w:rPr>
      </w:pPr>
    </w:p>
    <w:p w14:paraId="5AF692C2" w14:textId="77777777" w:rsidR="005D7278" w:rsidRDefault="00BE72A9">
      <w:pPr>
        <w:spacing w:after="0" w:line="360" w:lineRule="auto"/>
        <w:rPr>
          <w:color w:val="000000"/>
        </w:rPr>
      </w:pPr>
      <w:r>
        <w:rPr>
          <w:color w:val="000000"/>
        </w:rPr>
        <w:t>Al respecto, la Suprema Corte de Justicia de la Nación ha reconocido como derechos fundamentales de las personas, el derecho a la intimidad y a la propia imagen, en el siguiente criterio:</w:t>
      </w:r>
    </w:p>
    <w:p w14:paraId="40690D05" w14:textId="77777777" w:rsidR="005D7278" w:rsidRDefault="005D7278">
      <w:pPr>
        <w:spacing w:after="0" w:line="360" w:lineRule="auto"/>
        <w:rPr>
          <w:color w:val="000000"/>
        </w:rPr>
      </w:pPr>
    </w:p>
    <w:p w14:paraId="19254BEA" w14:textId="77777777" w:rsidR="005D7278" w:rsidRDefault="00BE72A9">
      <w:pPr>
        <w:spacing w:after="0" w:line="360" w:lineRule="auto"/>
        <w:ind w:left="567" w:right="567"/>
        <w:rPr>
          <w:b/>
          <w:i/>
          <w:color w:val="000000"/>
          <w:sz w:val="20"/>
          <w:szCs w:val="20"/>
        </w:rPr>
      </w:pPr>
      <w:r>
        <w:rPr>
          <w:i/>
          <w:color w:val="000000"/>
          <w:sz w:val="20"/>
          <w:szCs w:val="20"/>
        </w:rPr>
        <w:t>“</w:t>
      </w:r>
      <w:r>
        <w:rPr>
          <w:b/>
          <w:i/>
          <w:color w:val="000000"/>
          <w:sz w:val="20"/>
          <w:szCs w:val="20"/>
        </w:rPr>
        <w:t xml:space="preserve">DERECHOS A LA INTIMIDAD, PROPIA IMAGEN, IDENTIDAD PERSONAL Y SEXUAL. CONSTITUYEN DERECHOS DE DEFENSA Y GARANTÍA ESENCIAL PARA LA CONDICIÓN HUMANA.  </w:t>
      </w:r>
      <w:r>
        <w:rPr>
          <w:i/>
          <w:color w:val="000000"/>
          <w:sz w:val="20"/>
          <w:szCs w:val="20"/>
        </w:rPr>
        <w:t xml:space="preserve">Dentro de los derechos personalísimos se encuentran necesariamente comprendidos el </w:t>
      </w:r>
      <w:r>
        <w:rPr>
          <w:b/>
          <w:i/>
          <w:color w:val="000000"/>
          <w:sz w:val="20"/>
          <w:szCs w:val="20"/>
        </w:rPr>
        <w:t>derecho a la intimidad y a la propia imagen</w:t>
      </w:r>
      <w:r>
        <w:rPr>
          <w:i/>
          <w:color w:val="000000"/>
          <w:sz w:val="20"/>
          <w:szCs w:val="20"/>
        </w:rPr>
        <w:t xml:space="preserve">, así como a la </w:t>
      </w:r>
      <w:r>
        <w:rPr>
          <w:b/>
          <w:i/>
          <w:color w:val="000000"/>
          <w:sz w:val="20"/>
          <w:szCs w:val="20"/>
        </w:rPr>
        <w:t>identidad personal</w:t>
      </w:r>
      <w:r>
        <w:rPr>
          <w:i/>
          <w:color w:val="000000"/>
          <w:sz w:val="20"/>
          <w:szCs w:val="20"/>
        </w:rPr>
        <w:t xml:space="preserve"> y sexual; entendiéndose por el primero, </w:t>
      </w:r>
      <w:r>
        <w:rPr>
          <w:b/>
          <w:i/>
          <w:color w:val="000000"/>
          <w:sz w:val="20"/>
          <w:szCs w:val="20"/>
        </w:rPr>
        <w:t>el derecho del individuo a no ser conocido por otros en ciertos aspectos de su vida</w:t>
      </w:r>
      <w:r>
        <w:rPr>
          <w:i/>
          <w:color w:val="000000"/>
          <w:sz w:val="20"/>
          <w:szCs w:val="20"/>
        </w:rPr>
        <w:t xml:space="preserve"> y, </w:t>
      </w:r>
      <w:r>
        <w:rPr>
          <w:b/>
          <w:i/>
          <w:color w:val="000000"/>
          <w:sz w:val="20"/>
          <w:szCs w:val="20"/>
        </w:rPr>
        <w:t>por ende, el poder de decisión sobre la publicidad o información de datos relativos a su persona</w:t>
      </w:r>
      <w:r>
        <w:rPr>
          <w:i/>
          <w:color w:val="000000"/>
          <w:sz w:val="20"/>
          <w:szCs w:val="20"/>
        </w:rPr>
        <w:t>, familia, pensamientos o sentimientos;</w:t>
      </w:r>
      <w:r>
        <w:rPr>
          <w:b/>
          <w:i/>
          <w:color w:val="000000"/>
          <w:sz w:val="20"/>
          <w:szCs w:val="20"/>
        </w:rPr>
        <w:t xml:space="preserve"> </w:t>
      </w:r>
      <w:r>
        <w:rPr>
          <w:i/>
          <w:color w:val="000000"/>
          <w:sz w:val="20"/>
          <w:szCs w:val="20"/>
        </w:rPr>
        <w:t xml:space="preserve">a la </w:t>
      </w:r>
      <w:r>
        <w:rPr>
          <w:b/>
          <w:i/>
          <w:color w:val="000000"/>
          <w:sz w:val="20"/>
          <w:szCs w:val="20"/>
        </w:rPr>
        <w:t>propia imagen, como aquel derecho de decidir, en forma libre, sobre la manera en que elige mostrarse frente a los demás</w:t>
      </w:r>
      <w:r>
        <w:rPr>
          <w:i/>
          <w:color w:val="000000"/>
          <w:sz w:val="20"/>
          <w:szCs w:val="20"/>
        </w:rPr>
        <w:t xml:space="preserve">;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w:t>
      </w:r>
      <w:r>
        <w:rPr>
          <w:b/>
          <w:i/>
          <w:color w:val="000000"/>
          <w:sz w:val="20"/>
          <w:szCs w:val="20"/>
        </w:rPr>
        <w:t xml:space="preserve">al constituir derechos inherentes a la persona, fuera de la injerencia de los demás, se configuran como derechos de defensa y </w:t>
      </w:r>
      <w:r>
        <w:rPr>
          <w:b/>
          <w:i/>
          <w:color w:val="000000"/>
          <w:sz w:val="20"/>
          <w:szCs w:val="20"/>
        </w:rPr>
        <w:lastRenderedPageBreak/>
        <w:t>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r>
        <w:rPr>
          <w:i/>
          <w:color w:val="000000"/>
          <w:sz w:val="20"/>
          <w:szCs w:val="20"/>
        </w:rPr>
        <w:t>”</w:t>
      </w:r>
    </w:p>
    <w:p w14:paraId="46DE1458" w14:textId="77777777" w:rsidR="005D7278" w:rsidRDefault="00BE72A9">
      <w:pPr>
        <w:spacing w:after="0" w:line="360" w:lineRule="auto"/>
        <w:rPr>
          <w:color w:val="000000"/>
          <w:highlight w:val="yellow"/>
        </w:rPr>
      </w:pPr>
      <w:r>
        <w:rPr>
          <w:color w:val="000000"/>
          <w:highlight w:val="yellow"/>
        </w:rPr>
        <w:t xml:space="preserve"> </w:t>
      </w:r>
    </w:p>
    <w:p w14:paraId="50BF409F" w14:textId="77777777" w:rsidR="005D7278" w:rsidRDefault="00BE72A9">
      <w:pPr>
        <w:spacing w:after="0" w:line="360" w:lineRule="auto"/>
        <w:rPr>
          <w:color w:val="000000"/>
        </w:rPr>
      </w:pPr>
      <w:r>
        <w:rPr>
          <w:color w:val="000000"/>
        </w:rPr>
        <w:t xml:space="preserve">En ese sentido, es derecho de todo individuo a no ser conocido por otros en ciertos aspectos de su vida y, por ende, el poder de decisión sobre la publicidad o información de datos relativos a su persona </w:t>
      </w:r>
      <w:r>
        <w:rPr>
          <w:b/>
          <w:color w:val="000000"/>
        </w:rPr>
        <w:t>(derecho a la intimidad).</w:t>
      </w:r>
    </w:p>
    <w:p w14:paraId="541EE6A2" w14:textId="77777777" w:rsidR="005D7278" w:rsidRDefault="005D7278">
      <w:pPr>
        <w:spacing w:after="0" w:line="360" w:lineRule="auto"/>
        <w:rPr>
          <w:color w:val="000000"/>
          <w:highlight w:val="yellow"/>
        </w:rPr>
      </w:pPr>
    </w:p>
    <w:p w14:paraId="4082AAA5" w14:textId="77777777" w:rsidR="005D7278" w:rsidRDefault="00BE72A9">
      <w:pPr>
        <w:spacing w:after="0" w:line="360" w:lineRule="auto"/>
        <w:rPr>
          <w:color w:val="000000"/>
        </w:rPr>
      </w:pPr>
      <w:r>
        <w:rPr>
          <w:color w:val="000000"/>
        </w:rPr>
        <w:t xml:space="preserve">Asimismo, el </w:t>
      </w:r>
      <w:r>
        <w:rPr>
          <w:b/>
          <w:color w:val="000000"/>
        </w:rPr>
        <w:t>derecho a la propia imagen</w:t>
      </w:r>
      <w:r>
        <w:rPr>
          <w:color w:val="000000"/>
        </w:rPr>
        <w:t xml:space="preserve"> es el derecho de decidir, de forma libre, sobre la manera en que elige mostrarse frente a los demás.</w:t>
      </w:r>
    </w:p>
    <w:p w14:paraId="6FD954F4" w14:textId="77777777" w:rsidR="005D7278" w:rsidRDefault="005D7278">
      <w:pPr>
        <w:spacing w:after="0" w:line="360" w:lineRule="auto"/>
        <w:rPr>
          <w:color w:val="000000"/>
        </w:rPr>
      </w:pPr>
    </w:p>
    <w:p w14:paraId="7F9D0CBF" w14:textId="77777777" w:rsidR="005D7278" w:rsidRDefault="00BE72A9">
      <w:pPr>
        <w:spacing w:after="0" w:line="360" w:lineRule="auto"/>
        <w:rPr>
          <w:color w:val="000000"/>
        </w:rPr>
      </w:pPr>
      <w:r>
        <w:rPr>
          <w:color w:val="000000"/>
        </w:rPr>
        <w:t xml:space="preserve">Por otro lado, en cuanto al </w:t>
      </w:r>
      <w:r>
        <w:rPr>
          <w:b/>
          <w:color w:val="000000"/>
        </w:rPr>
        <w:t>derecho al honor</w:t>
      </w:r>
      <w:r>
        <w:rPr>
          <w:color w:val="000000"/>
        </w:rPr>
        <w:t xml:space="preserve">, la jurisprudencia número 1a./J. 118/2013 (10a.), emitida por la Primera Sala de la Suprema Corte de Justicia de la Nación, publicada en la Gaceta del Semanario Judicial de la Federación, Tomo I, Libro 3, de febrero de 2014, página 470, de la Décima Época, materia constitucional, dispone: </w:t>
      </w:r>
    </w:p>
    <w:p w14:paraId="46FF022F" w14:textId="77777777" w:rsidR="005D7278" w:rsidRDefault="005D7278">
      <w:pPr>
        <w:spacing w:after="0" w:line="360" w:lineRule="auto"/>
        <w:rPr>
          <w:color w:val="000000"/>
        </w:rPr>
      </w:pPr>
    </w:p>
    <w:p w14:paraId="40039639" w14:textId="77777777" w:rsidR="005D7278" w:rsidRDefault="00BE72A9">
      <w:pPr>
        <w:spacing w:after="0" w:line="360" w:lineRule="auto"/>
        <w:ind w:left="567" w:right="567"/>
        <w:rPr>
          <w:b/>
          <w:i/>
          <w:color w:val="000000"/>
          <w:sz w:val="20"/>
          <w:szCs w:val="20"/>
        </w:rPr>
      </w:pPr>
      <w:r>
        <w:rPr>
          <w:i/>
          <w:color w:val="000000"/>
          <w:sz w:val="20"/>
          <w:szCs w:val="20"/>
        </w:rPr>
        <w:t>“</w:t>
      </w:r>
      <w:r>
        <w:rPr>
          <w:b/>
          <w:i/>
          <w:color w:val="000000"/>
          <w:sz w:val="20"/>
          <w:szCs w:val="20"/>
        </w:rPr>
        <w:t xml:space="preserve">DERECHO FUNDAMENTAL AL HONOR. SU DIMENSIÓN SUBJETIVA Y OBJETIVA. </w:t>
      </w:r>
      <w:r>
        <w:rPr>
          <w:i/>
          <w:color w:val="000000"/>
          <w:sz w:val="20"/>
          <w:szCs w:val="20"/>
        </w:rPr>
        <w:t xml:space="preserve">A juicio de esta Primera Sala de la Suprema Corte de Justicia de la Nación, es posible definir al honor como el </w:t>
      </w:r>
      <w:r>
        <w:rPr>
          <w:b/>
          <w:i/>
          <w:color w:val="000000"/>
          <w:sz w:val="20"/>
          <w:szCs w:val="20"/>
        </w:rPr>
        <w:t>concepto que la persona tiene de sí misma o que los demás se han formado de ella, en virtud de su proceder o de la expresión de su calidad ética y social.</w:t>
      </w:r>
      <w:r>
        <w:rPr>
          <w:i/>
          <w:color w:val="000000"/>
          <w:sz w:val="20"/>
          <w:szCs w:val="20"/>
        </w:rPr>
        <w:t xml:space="preserve">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w:t>
      </w:r>
      <w:r>
        <w:rPr>
          <w:i/>
          <w:color w:val="000000"/>
          <w:sz w:val="20"/>
          <w:szCs w:val="20"/>
        </w:rPr>
        <w:lastRenderedPageBreak/>
        <w:t>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64A6D7AE" w14:textId="77777777" w:rsidR="005D7278" w:rsidRDefault="005D7278">
      <w:pPr>
        <w:spacing w:after="0" w:line="360" w:lineRule="auto"/>
        <w:rPr>
          <w:color w:val="000000"/>
        </w:rPr>
      </w:pPr>
    </w:p>
    <w:p w14:paraId="6FAD1948" w14:textId="77777777" w:rsidR="005D7278" w:rsidRDefault="00BE72A9">
      <w:pPr>
        <w:spacing w:after="0" w:line="360" w:lineRule="auto"/>
        <w:rPr>
          <w:color w:val="000000"/>
        </w:rPr>
      </w:pPr>
      <w:r>
        <w:rPr>
          <w:color w:val="000000"/>
        </w:rPr>
        <w:t xml:space="preserve">De la tesis transcrita se desprende que el honor es el concepto que la persona tiene de sí misma o que los demás se han formado de ella, en virtud de su proceder o de la expresión de su calidad ética y social. </w:t>
      </w:r>
    </w:p>
    <w:p w14:paraId="5EAFCEA6" w14:textId="77777777" w:rsidR="005D7278" w:rsidRDefault="005D7278">
      <w:pPr>
        <w:spacing w:after="0" w:line="360" w:lineRule="auto"/>
        <w:rPr>
          <w:color w:val="000000"/>
        </w:rPr>
      </w:pPr>
    </w:p>
    <w:p w14:paraId="19979AF0" w14:textId="77777777" w:rsidR="005D7278" w:rsidRDefault="00BE72A9">
      <w:pPr>
        <w:spacing w:after="0" w:line="360" w:lineRule="auto"/>
        <w:rPr>
          <w:color w:val="000000"/>
        </w:rPr>
      </w:pPr>
      <w:r>
        <w:rPr>
          <w:color w:val="000000"/>
        </w:rPr>
        <w:t xml:space="preserve">En el campo jurídico, es un derecho humano que involucra la facultad de cada individuo de ser tratado de forma decorosa. 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dignidad. </w:t>
      </w:r>
      <w:r>
        <w:rPr>
          <w:b/>
          <w:color w:val="000000"/>
        </w:rPr>
        <w:t>En el aspecto objetivo, el honor es lesionado por todo aquello que afecta a la reputación que la persona merece.</w:t>
      </w:r>
    </w:p>
    <w:p w14:paraId="681F9A7D" w14:textId="77777777" w:rsidR="005D7278" w:rsidRDefault="005D7278">
      <w:pPr>
        <w:spacing w:after="0" w:line="360" w:lineRule="auto"/>
        <w:rPr>
          <w:color w:val="000000"/>
        </w:rPr>
      </w:pPr>
    </w:p>
    <w:p w14:paraId="1F769B2F" w14:textId="77777777" w:rsidR="005D7278" w:rsidRDefault="00BE72A9">
      <w:pPr>
        <w:spacing w:after="0" w:line="360" w:lineRule="auto"/>
        <w:rPr>
          <w:color w:val="000000"/>
        </w:rPr>
      </w:pPr>
      <w:r>
        <w:rPr>
          <w:color w:val="000000"/>
        </w:rPr>
        <w:t xml:space="preserve">Adicionalmente, en relación a este derecho [al honor], el máximo </w:t>
      </w:r>
      <w:r>
        <w:t>tribunal</w:t>
      </w:r>
      <w:r>
        <w:rPr>
          <w:color w:val="000000"/>
        </w:rPr>
        <w:t xml:space="preserve"> también ha señalado que aunque no esté expresamente contenido en la Carta Magna, ésta obliga su tutela en términos de lo previsto en el artículo 1° Constitucional, como se muestra en la tesis aislada número I.5o.C.4 K (10a.), emitida por Tribunales Colegiados de Circuito, publicada en el Semanario Judicial de la Federación y su Gaceta, Tomo 2, Libro XXI, de junio de 2013, página 1258, de la Décima Época, materia constitucional, de rubro y texto siguiente:</w:t>
      </w:r>
    </w:p>
    <w:p w14:paraId="242C1186" w14:textId="77777777" w:rsidR="005D7278" w:rsidRDefault="005D7278">
      <w:pPr>
        <w:spacing w:after="0" w:line="360" w:lineRule="auto"/>
        <w:rPr>
          <w:color w:val="000000"/>
        </w:rPr>
      </w:pPr>
    </w:p>
    <w:p w14:paraId="49A9050A" w14:textId="77777777" w:rsidR="005D7278" w:rsidRDefault="00BE72A9">
      <w:pPr>
        <w:tabs>
          <w:tab w:val="left" w:pos="8363"/>
        </w:tabs>
        <w:spacing w:after="0" w:line="360" w:lineRule="auto"/>
        <w:ind w:left="567" w:right="616"/>
        <w:rPr>
          <w:b/>
          <w:i/>
          <w:color w:val="000000"/>
          <w:sz w:val="20"/>
          <w:szCs w:val="20"/>
        </w:rPr>
      </w:pPr>
      <w:r>
        <w:rPr>
          <w:i/>
          <w:color w:val="000000"/>
          <w:sz w:val="20"/>
          <w:szCs w:val="20"/>
        </w:rPr>
        <w:t>“</w:t>
      </w:r>
      <w:r>
        <w:rPr>
          <w:b/>
          <w:i/>
          <w:color w:val="000000"/>
          <w:sz w:val="20"/>
          <w:szCs w:val="20"/>
        </w:rPr>
        <w:t xml:space="preserve">DERECHOS AL HONOR, A LA INTIMIDAD Y A LA PROPIA IMAGEN. CONSTITUYEN DERECHOS HUMANOS QUE SE PROTEGEN A TRAVÉS DEL ACTUAL MARCO CONSTITUCIONAL. </w:t>
      </w:r>
      <w:r>
        <w:rPr>
          <w:i/>
          <w:color w:val="000000"/>
          <w:sz w:val="20"/>
          <w:szCs w:val="20"/>
        </w:rPr>
        <w:t xml:space="preserve">Si conforme a las características que conforman a los derechos humanos, éstos no recaen sobre cosas materiales, sino que otorgan acción para lograr que el Estado respete los derechos </w:t>
      </w:r>
      <w:r>
        <w:rPr>
          <w:i/>
          <w:color w:val="000000"/>
          <w:sz w:val="20"/>
          <w:szCs w:val="20"/>
        </w:rPr>
        <w:lastRenderedPageBreak/>
        <w:t xml:space="preserve">garantizados, y se consideran esenciales e inherentes al ser humano y derivados de su propia naturaleza, resulta lógico que los atributos de la personalidad se enlacen directamente con tales derechos, pues los mencionados atributos tienen una coincidencia con las libertades protegidas por los derechos del hombre como son los concernientes al honor, a la intimidad y a la propia imagen que constituyen derechos subjetivos del ser humano, en tanto que son inseparables de su titular, quien nace con ellos, y el Estado debe reconocerlos. Como no recaen sobre bienes materiales, sino sobre la personalidad de los individuos, son generales porque corresponden a todos los seres humanos, y no pueden considerarse renunciables, transmisibles o prescriptibles, porque son inherentes a la persona misma, es decir, son intrínsecos al sujeto quien no puede vivir sin ellos. Ahora, del contenido expreso del artículo 1o. constitucional se advierte que nuestro país actualmente adopta una protección amplia de los derechos humanos, mediante el reconocimiento claro del principio pro </w:t>
      </w:r>
      <w:proofErr w:type="spellStart"/>
      <w:r>
        <w:rPr>
          <w:i/>
          <w:color w:val="000000"/>
          <w:sz w:val="20"/>
          <w:szCs w:val="20"/>
        </w:rPr>
        <w:t>personae</w:t>
      </w:r>
      <w:proofErr w:type="spellEnd"/>
      <w:r>
        <w:rPr>
          <w:i/>
          <w:color w:val="000000"/>
          <w:sz w:val="20"/>
          <w:szCs w:val="20"/>
        </w:rPr>
        <w:t>, como rector de la interpretación y aplicación de las normas jurídicas, en aquellas que favorezcan y brinden mayor protección a las personas, aunado a que también precisa de manera clara la obligación de observar los tratados internacionales firmados por el Estado Mexicano al momento de aplicar e interpretar las normas jurídicas en las que se vea involucrado este tipo de derechos, como son los señalados atributos de la personalidad conforme a la Convención Americana sobre Derechos Humanos y el Pacto Internacional de Derechos Civiles y Políticos, y en casos en los que se involucra la posible afectación por daño moral de un atributo de la personalidad -en su vertiente del derecho al honor- debe aplicarse la tutela y protección consagrada en los principios reconocidos al efecto en nuestra Carta Magna, con independencia de que no exista una referencia expresa en el texto constitucional hacia la salvaguarda concreta del citado atributo, pues la obligación de protección deriva de disposiciones contenidas en dos tipos de ordenamientos superiores -Constitución y tratados internacionales- con los que cuenta el Estado Mexicano.”</w:t>
      </w:r>
    </w:p>
    <w:p w14:paraId="743335C8" w14:textId="77777777" w:rsidR="005D7278" w:rsidRDefault="005D7278">
      <w:pPr>
        <w:spacing w:after="0" w:line="360" w:lineRule="auto"/>
        <w:rPr>
          <w:color w:val="000000"/>
        </w:rPr>
      </w:pPr>
    </w:p>
    <w:p w14:paraId="6BA34219" w14:textId="77777777" w:rsidR="005D7278" w:rsidRDefault="00BE72A9">
      <w:pPr>
        <w:spacing w:after="0" w:line="360" w:lineRule="auto"/>
        <w:rPr>
          <w:color w:val="000000"/>
        </w:rPr>
      </w:pPr>
      <w:r>
        <w:rPr>
          <w:color w:val="000000"/>
        </w:rPr>
        <w:t>Asimismo, el artículo 12 de la Declaración Universal de los Derechos Humanos</w:t>
      </w:r>
      <w:r>
        <w:rPr>
          <w:i/>
          <w:color w:val="000000"/>
        </w:rPr>
        <w:t xml:space="preserve"> </w:t>
      </w:r>
      <w:r>
        <w:rPr>
          <w:color w:val="000000"/>
        </w:rPr>
        <w:t>prevé que nadie será objeto de injerencias arbitrarias en su vida privada, su familia, su domicilio o su correspondencia, ni de ataques a su honra o a su reputación. Toda persona tiene derecho a la protección de la ley contra tales injerencias o ataques.</w:t>
      </w:r>
    </w:p>
    <w:p w14:paraId="712BB071" w14:textId="77777777" w:rsidR="005D7278" w:rsidRDefault="005D7278">
      <w:pPr>
        <w:spacing w:after="0" w:line="360" w:lineRule="auto"/>
        <w:rPr>
          <w:color w:val="000000"/>
        </w:rPr>
      </w:pPr>
    </w:p>
    <w:p w14:paraId="341CC687" w14:textId="77777777" w:rsidR="005D7278" w:rsidRDefault="00BE72A9">
      <w:pPr>
        <w:spacing w:after="0" w:line="360" w:lineRule="auto"/>
        <w:rPr>
          <w:color w:val="000000"/>
        </w:rPr>
      </w:pPr>
      <w:r>
        <w:rPr>
          <w:color w:val="000000"/>
        </w:rPr>
        <w:lastRenderedPageBreak/>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4EF8FD09" w14:textId="77777777" w:rsidR="005D7278" w:rsidRDefault="005D7278">
      <w:pPr>
        <w:spacing w:after="0" w:line="360" w:lineRule="auto"/>
        <w:rPr>
          <w:color w:val="000000"/>
        </w:rPr>
      </w:pPr>
    </w:p>
    <w:p w14:paraId="411033DC" w14:textId="77777777" w:rsidR="005D7278" w:rsidRDefault="00BE72A9">
      <w:pPr>
        <w:spacing w:after="0" w:line="360" w:lineRule="auto"/>
        <w:rPr>
          <w:color w:val="000000"/>
        </w:rPr>
      </w:pPr>
      <w:r>
        <w:rPr>
          <w:color w:val="000000"/>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25A266D9" w14:textId="77777777" w:rsidR="005D7278" w:rsidRDefault="005D7278">
      <w:pPr>
        <w:spacing w:after="0" w:line="360" w:lineRule="auto"/>
        <w:rPr>
          <w:color w:val="000000"/>
        </w:rPr>
      </w:pPr>
    </w:p>
    <w:p w14:paraId="62506A32" w14:textId="77777777" w:rsidR="005D7278" w:rsidRDefault="00BE72A9">
      <w:pPr>
        <w:spacing w:after="0" w:line="360" w:lineRule="auto"/>
        <w:rPr>
          <w:color w:val="000000"/>
        </w:rPr>
      </w:pPr>
      <w:r>
        <w:rPr>
          <w:color w:val="000000"/>
        </w:rPr>
        <w:t>En ese contexto, conforme al artículo 50 de la Ley de Responsabilidades Administrativas del Estado de México y Municipios, establece que incurrirá en una falta administrativa no grave, aquellos servidores públicos cuyos actos y omisiones incumplan o transgredan el cumplimiento de sus funciones, atribuciones o comisiones, la atención de instrucciones, presentar en tiempo y forma las declaraciones de situación patrimonial y de intereses, el cuidado de documentación, la rendición de cuentas sobre el ejercicio de sus funciones, entre otras.</w:t>
      </w:r>
    </w:p>
    <w:p w14:paraId="4206F86D" w14:textId="77777777" w:rsidR="005D7278" w:rsidRDefault="005D7278">
      <w:pPr>
        <w:spacing w:after="0" w:line="360" w:lineRule="auto"/>
        <w:rPr>
          <w:color w:val="000000"/>
        </w:rPr>
      </w:pPr>
    </w:p>
    <w:p w14:paraId="20753588" w14:textId="77777777" w:rsidR="005D7278" w:rsidRDefault="00BE72A9">
      <w:pPr>
        <w:spacing w:after="0" w:line="360" w:lineRule="auto"/>
        <w:rPr>
          <w:color w:val="000000"/>
        </w:rPr>
      </w:pPr>
      <w:r>
        <w:rPr>
          <w:color w:val="000000"/>
        </w:rPr>
        <w:t>Como se logra observar, las faltas no graves, son aquellas que cometen los servidores públicos por incumplimiento a sus funciones, o bien, a sus obligaciones y por lo tanto, las consecuencias recaen directamente en contra, de este, al no haber una afectación a terceros (personas físicas, morales, instituciones públicas u otros trabajadores), ni haber un detrimento en el erario.</w:t>
      </w:r>
    </w:p>
    <w:p w14:paraId="4B936445" w14:textId="77777777" w:rsidR="005D7278" w:rsidRDefault="005D7278">
      <w:pPr>
        <w:spacing w:after="0" w:line="360" w:lineRule="auto"/>
        <w:rPr>
          <w:color w:val="000000"/>
        </w:rPr>
      </w:pPr>
    </w:p>
    <w:p w14:paraId="707A77F1" w14:textId="77777777" w:rsidR="005D7278" w:rsidRDefault="00BE72A9">
      <w:pPr>
        <w:spacing w:after="0" w:line="360" w:lineRule="auto"/>
        <w:rPr>
          <w:color w:val="000000"/>
        </w:rPr>
      </w:pPr>
      <w:r>
        <w:rPr>
          <w:b/>
          <w:color w:val="000000"/>
        </w:rPr>
        <w:t xml:space="preserve">Así, se puede advertir que dichas faltas, no tienen una trascendencia social, </w:t>
      </w:r>
      <w:r>
        <w:rPr>
          <w:color w:val="000000"/>
        </w:rPr>
        <w:t>pues no existe un daño externo, sino que únicamente la atañe al servidor público en cuestión.</w:t>
      </w:r>
    </w:p>
    <w:p w14:paraId="25584054" w14:textId="77777777" w:rsidR="005D7278" w:rsidRDefault="005D7278">
      <w:pPr>
        <w:spacing w:after="0" w:line="360" w:lineRule="auto"/>
        <w:rPr>
          <w:color w:val="000000"/>
        </w:rPr>
      </w:pPr>
    </w:p>
    <w:p w14:paraId="45A8A005" w14:textId="77777777" w:rsidR="005D7278" w:rsidRDefault="00BE72A9">
      <w:pPr>
        <w:spacing w:after="0" w:line="360" w:lineRule="auto"/>
        <w:rPr>
          <w:color w:val="000000"/>
        </w:rPr>
      </w:pPr>
      <w:r>
        <w:rPr>
          <w:color w:val="000000"/>
        </w:rPr>
        <w:lastRenderedPageBreak/>
        <w:t xml:space="preserve">Por lo expuesto, se desprende que dar a conocer el nombre y cargo del servidor público de un expediente de responsabilidades administrativas no grave, constituye información confidencial que afecta su esfera privada, puesto que podría generar una percepción negativa de éste, ocasionando un perjuicio en su </w:t>
      </w:r>
      <w:r>
        <w:rPr>
          <w:b/>
          <w:color w:val="000000"/>
        </w:rPr>
        <w:t>honor, intimidad y buena imagen</w:t>
      </w:r>
      <w:r>
        <w:rPr>
          <w:color w:val="000000"/>
        </w:rPr>
        <w:t>, pues como se precisó la afectación es para el propio servidor público, situación que no afecta a terceros.</w:t>
      </w:r>
    </w:p>
    <w:p w14:paraId="710FC0EC" w14:textId="77777777" w:rsidR="005D7278" w:rsidRDefault="005D7278">
      <w:pPr>
        <w:spacing w:after="0" w:line="360" w:lineRule="auto"/>
        <w:rPr>
          <w:color w:val="000000"/>
        </w:rPr>
      </w:pPr>
    </w:p>
    <w:p w14:paraId="0469072A" w14:textId="77777777" w:rsidR="005D7278" w:rsidRDefault="00BE72A9">
      <w:pPr>
        <w:spacing w:after="0" w:line="360" w:lineRule="auto"/>
        <w:rPr>
          <w:color w:val="000000"/>
        </w:rPr>
      </w:pPr>
      <w:r>
        <w:rPr>
          <w:color w:val="000000"/>
        </w:rPr>
        <w:t xml:space="preserve">Por lo cual, dar a conocer el nombre y cargo del servidor público que haya recibido una falta administrativa no grave, la cual no causa una afectación a otros, pues como se precisó en párrafos anteriores, se trata de incumplimientos a sus funciones u obligaciones, podría generar un juicio </w:t>
      </w:r>
      <w:r>
        <w:rPr>
          <w:i/>
          <w:color w:val="000000"/>
        </w:rPr>
        <w:t>a priori</w:t>
      </w:r>
      <w:r>
        <w:rPr>
          <w:color w:val="000000"/>
        </w:rPr>
        <w:t xml:space="preserve"> por parte de la sociedad, afectando su prestigio y su buen nombre, pues la sociedad podría calificar a dicho servidor público, como ineficiente o corrupto, </w:t>
      </w:r>
      <w:r>
        <w:rPr>
          <w:b/>
          <w:color w:val="000000"/>
        </w:rPr>
        <w:t>lo cual daña su vida privada y profesional,</w:t>
      </w:r>
      <w:r>
        <w:rPr>
          <w:color w:val="000000"/>
        </w:rPr>
        <w:t xml:space="preserve"> mismas que forman parte de su intimidad; por lo que se concluye que dicha información,  tiene el carácter de confidencial.</w:t>
      </w:r>
    </w:p>
    <w:p w14:paraId="4C447940" w14:textId="77777777" w:rsidR="005D7278" w:rsidRDefault="005D7278">
      <w:pPr>
        <w:spacing w:after="0" w:line="360" w:lineRule="auto"/>
        <w:rPr>
          <w:color w:val="000000"/>
        </w:rPr>
      </w:pPr>
    </w:p>
    <w:p w14:paraId="79EC5F6B" w14:textId="77777777" w:rsidR="005D7278" w:rsidRDefault="00BE72A9">
      <w:pPr>
        <w:spacing w:after="0" w:line="360" w:lineRule="auto"/>
        <w:rPr>
          <w:color w:val="000000"/>
        </w:rPr>
      </w:pPr>
      <w:r>
        <w:rPr>
          <w:color w:val="000000"/>
        </w:rPr>
        <w:t>De tal suerte, se considera procedente la clasificación, en términos del artículo 143, fracción I, de la Ley de Transparencia y Acceso a la Información Pública del Estado de México y Municipios, del nombre y cargo de los servidores públicos que hayan recibido alguna sanción por falta administrativa no grave, pues los haría identificables. Lo cual, es acorde al Criterio Reiterado 02/2024, emitido por el Pleno de este Organismo Garante.</w:t>
      </w:r>
    </w:p>
    <w:p w14:paraId="7C157D89" w14:textId="77777777" w:rsidR="005D7278" w:rsidRDefault="005D7278">
      <w:pPr>
        <w:spacing w:after="0" w:line="360" w:lineRule="auto"/>
        <w:rPr>
          <w:color w:val="000000"/>
        </w:rPr>
      </w:pPr>
    </w:p>
    <w:p w14:paraId="5F7DDFBD" w14:textId="77777777" w:rsidR="005D7278" w:rsidRDefault="00BE72A9">
      <w:pPr>
        <w:numPr>
          <w:ilvl w:val="0"/>
          <w:numId w:val="7"/>
        </w:numPr>
        <w:pBdr>
          <w:top w:val="nil"/>
          <w:left w:val="nil"/>
          <w:bottom w:val="nil"/>
          <w:right w:val="nil"/>
          <w:between w:val="nil"/>
        </w:pBdr>
        <w:spacing w:after="0" w:line="360" w:lineRule="auto"/>
        <w:rPr>
          <w:b/>
          <w:color w:val="000000"/>
        </w:rPr>
      </w:pPr>
      <w:r>
        <w:rPr>
          <w:b/>
          <w:color w:val="000000"/>
        </w:rPr>
        <w:t>Área de Adscripción</w:t>
      </w:r>
    </w:p>
    <w:p w14:paraId="7AFD2FF2" w14:textId="77777777" w:rsidR="005D7278" w:rsidRDefault="005D7278">
      <w:pPr>
        <w:spacing w:after="0" w:line="360" w:lineRule="auto"/>
        <w:rPr>
          <w:color w:val="000000"/>
        </w:rPr>
      </w:pPr>
    </w:p>
    <w:p w14:paraId="5E255265" w14:textId="77777777" w:rsidR="005D7278" w:rsidRDefault="00BE72A9">
      <w:pPr>
        <w:spacing w:after="0" w:line="360" w:lineRule="auto"/>
        <w:rPr>
          <w:color w:val="000000"/>
        </w:rPr>
      </w:pPr>
      <w:r>
        <w:rPr>
          <w:color w:val="000000"/>
        </w:rPr>
        <w:t>Al respecto, es necesario señalar que conforme al artículo 92, fracciones VII y VII de la Ley de Transparencia y Acceso a la Información Pública del Estado de México y Municipios, el área de adscripción de los trabajadores gubernamentales, guarda la naturaleza pública, pues permite identificar a la unidad administrativa a la que pertenece y las funciones que realiza la misma.</w:t>
      </w:r>
    </w:p>
    <w:p w14:paraId="58D6D3B7" w14:textId="77777777" w:rsidR="005D7278" w:rsidRDefault="005D7278">
      <w:pPr>
        <w:spacing w:after="0" w:line="360" w:lineRule="auto"/>
        <w:rPr>
          <w:color w:val="000000"/>
        </w:rPr>
      </w:pPr>
    </w:p>
    <w:p w14:paraId="44850A51" w14:textId="77777777" w:rsidR="005D7278" w:rsidRDefault="00BE72A9">
      <w:pPr>
        <w:spacing w:after="0" w:line="360" w:lineRule="auto"/>
        <w:rPr>
          <w:color w:val="000000"/>
        </w:rPr>
      </w:pPr>
      <w:r>
        <w:rPr>
          <w:color w:val="000000"/>
        </w:rPr>
        <w:lastRenderedPageBreak/>
        <w:t>En ese orden de ideas, se debe señalar que el área de adscripción podría hacer identificable en el presente caso, al servidor sancionado, si existen otros datos de vinculación, como sería el caso, que no existiera otra persona adscrita a dicha área, o bien, el cargo; por lo que, en el presente caso, se consideraría que el dato en cuestión guardaría el carácter de público y no actualizaría el artículo 143, fracción I, de la Ley referida.</w:t>
      </w:r>
    </w:p>
    <w:p w14:paraId="3EE9A26A" w14:textId="77777777" w:rsidR="005D7278" w:rsidRDefault="005D7278">
      <w:pPr>
        <w:spacing w:after="0" w:line="360" w:lineRule="auto"/>
        <w:rPr>
          <w:color w:val="000000"/>
        </w:rPr>
      </w:pPr>
    </w:p>
    <w:p w14:paraId="24087FF2" w14:textId="77777777" w:rsidR="005D7278" w:rsidRDefault="00BE72A9">
      <w:pPr>
        <w:spacing w:after="0" w:line="360" w:lineRule="auto"/>
        <w:rPr>
          <w:color w:val="000000"/>
        </w:rPr>
      </w:pPr>
      <w:r>
        <w:rPr>
          <w:color w:val="000000"/>
        </w:rPr>
        <w:t>Sin embargo, para el caso que el área de adscripción se pueda vincular con otros datos públicos de la resolución que permite identificar a la persona sancionada, deberá clasificarlo, en términos del artículo citado.</w:t>
      </w:r>
    </w:p>
    <w:p w14:paraId="75212CAB" w14:textId="77777777" w:rsidR="005D7278" w:rsidRDefault="005D7278">
      <w:pPr>
        <w:spacing w:after="0" w:line="360" w:lineRule="auto"/>
        <w:rPr>
          <w:color w:val="000000"/>
        </w:rPr>
      </w:pPr>
    </w:p>
    <w:p w14:paraId="14BBA073" w14:textId="77777777" w:rsidR="005D7278" w:rsidRDefault="00BE72A9">
      <w:pPr>
        <w:numPr>
          <w:ilvl w:val="0"/>
          <w:numId w:val="3"/>
        </w:numPr>
        <w:pBdr>
          <w:top w:val="nil"/>
          <w:left w:val="nil"/>
          <w:bottom w:val="nil"/>
          <w:right w:val="nil"/>
          <w:between w:val="nil"/>
        </w:pBdr>
        <w:spacing w:after="0" w:line="360" w:lineRule="auto"/>
        <w:rPr>
          <w:color w:val="000000"/>
        </w:rPr>
      </w:pPr>
      <w:r>
        <w:rPr>
          <w:b/>
          <w:color w:val="000000"/>
        </w:rPr>
        <w:t xml:space="preserve">Registro Federal de Contribuyentes (RFC) </w:t>
      </w:r>
    </w:p>
    <w:p w14:paraId="7D0706DC" w14:textId="77777777" w:rsidR="005D7278" w:rsidRDefault="005D7278">
      <w:pPr>
        <w:spacing w:after="0" w:line="360" w:lineRule="auto"/>
        <w:ind w:left="360"/>
      </w:pPr>
    </w:p>
    <w:p w14:paraId="119F10C6" w14:textId="77777777" w:rsidR="005D7278" w:rsidRDefault="00BE72A9">
      <w:pPr>
        <w:spacing w:after="0" w:line="360" w:lineRule="auto"/>
      </w:pPr>
      <w: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1E53304F" w14:textId="77777777" w:rsidR="005D7278" w:rsidRDefault="005D7278">
      <w:pPr>
        <w:spacing w:after="0" w:line="360" w:lineRule="auto"/>
      </w:pPr>
    </w:p>
    <w:p w14:paraId="7870F8E6" w14:textId="77777777" w:rsidR="005D7278" w:rsidRDefault="00BE72A9">
      <w:pPr>
        <w:spacing w:after="0" w:line="360" w:lineRule="auto"/>
      </w:pPr>
      <w:r>
        <w:t xml:space="preserve">De acuerdo a lo establecido en el artículo en comento, esta clave se compone de trece caracteres alfanuméricos, con datos obtenidos de los apellidos, nombre (s), fecha de nacimiento del titular, más una </w:t>
      </w:r>
      <w:proofErr w:type="spellStart"/>
      <w:r>
        <w:t>homoclave</w:t>
      </w:r>
      <w:proofErr w:type="spellEnd"/>
      <w:r>
        <w:t xml:space="preserve"> que establece el sistema automático del Servicio de Administración Tributaria.</w:t>
      </w:r>
    </w:p>
    <w:p w14:paraId="21098438" w14:textId="77777777" w:rsidR="005D7278" w:rsidRDefault="005D7278">
      <w:pPr>
        <w:spacing w:after="0" w:line="360" w:lineRule="auto"/>
      </w:pPr>
    </w:p>
    <w:p w14:paraId="05222B25" w14:textId="77777777" w:rsidR="005D7278" w:rsidRDefault="00BE72A9">
      <w:pPr>
        <w:spacing w:after="0" w:line="360" w:lineRule="auto"/>
      </w:pPr>
      <w:r>
        <w:t xml:space="preserve">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w:t>
      </w:r>
      <w:r>
        <w:lastRenderedPageBreak/>
        <w:t>que los particulares tramitan dicho dato, con el único propósito de realizar mediante esa clave de identificación, operaciones o actividades de naturaleza fiscal.</w:t>
      </w:r>
    </w:p>
    <w:p w14:paraId="0ADDD2E8" w14:textId="77777777" w:rsidR="005D7278" w:rsidRDefault="005D7278">
      <w:pPr>
        <w:spacing w:after="0" w:line="360" w:lineRule="auto"/>
      </w:pPr>
    </w:p>
    <w:p w14:paraId="7AF0C50D" w14:textId="77777777" w:rsidR="005D7278" w:rsidRDefault="00BE72A9">
      <w:pPr>
        <w:spacing w:after="0" w:line="360" w:lineRule="auto"/>
      </w:pPr>
      <w: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01C47B76" w14:textId="77777777" w:rsidR="005D7278" w:rsidRDefault="005D7278">
      <w:pPr>
        <w:spacing w:after="0" w:line="360" w:lineRule="auto"/>
      </w:pPr>
    </w:p>
    <w:p w14:paraId="69C11B88" w14:textId="77777777" w:rsidR="005D7278" w:rsidRDefault="00BE72A9">
      <w:pPr>
        <w:spacing w:after="0" w:line="360" w:lineRule="auto"/>
      </w:pPr>
      <w:r>
        <w:t>Lo anterior, resulta congruente con el Criterio de Interpretación, con clave de control SO/019/2017, emitido por el Instituto Nacional de Transparencia, Acceso a la Información y Protección de Datos Personales, en el cual se señala lo siguiente:</w:t>
      </w:r>
    </w:p>
    <w:p w14:paraId="304A1D0E" w14:textId="77777777" w:rsidR="005D7278" w:rsidRDefault="005D7278">
      <w:pPr>
        <w:spacing w:after="0" w:line="360" w:lineRule="auto"/>
      </w:pPr>
    </w:p>
    <w:p w14:paraId="26497B1A" w14:textId="77777777" w:rsidR="005D7278" w:rsidRDefault="00BE72A9">
      <w:pPr>
        <w:spacing w:after="0" w:line="360" w:lineRule="auto"/>
        <w:ind w:left="567" w:right="539"/>
        <w:rPr>
          <w:i/>
          <w:sz w:val="20"/>
          <w:szCs w:val="20"/>
        </w:rPr>
      </w:pPr>
      <w:r>
        <w:rPr>
          <w:i/>
          <w:sz w:val="20"/>
          <w:szCs w:val="20"/>
        </w:rPr>
        <w:t>“</w:t>
      </w:r>
      <w:r>
        <w:rPr>
          <w:b/>
          <w:i/>
          <w:sz w:val="20"/>
          <w:szCs w:val="20"/>
        </w:rPr>
        <w:t>Registro Federal de Contribuyentes (RFC) de personas físicas</w:t>
      </w:r>
      <w:r>
        <w:rPr>
          <w:i/>
          <w:sz w:val="20"/>
          <w:szCs w:val="20"/>
        </w:rPr>
        <w:t>. El RFC es una clave de carácter fiscal, única e irrepetible, que permite identificar al titular, su edad y fecha de nacimiento, por lo que es un dato personal de carácter confidencial.”</w:t>
      </w:r>
    </w:p>
    <w:p w14:paraId="6C046631" w14:textId="77777777" w:rsidR="005D7278" w:rsidRDefault="005D7278">
      <w:pPr>
        <w:spacing w:after="0" w:line="360" w:lineRule="auto"/>
        <w:rPr>
          <w:i/>
        </w:rPr>
      </w:pPr>
    </w:p>
    <w:p w14:paraId="7FD14628" w14:textId="77777777" w:rsidR="005D7278" w:rsidRDefault="00BE72A9">
      <w:pPr>
        <w:spacing w:after="0" w:line="360" w:lineRule="auto"/>
      </w:pPr>
      <w:r>
        <w:t xml:space="preserve">De tal suerte, el Registro Federal de Contribuyentes de los servidores públicos no guarda relación con la transparencia de los recursos públicos, así como tampoco con el desempeño laboral que pueda tener una persona, </w:t>
      </w:r>
      <w:r>
        <w:rPr>
          <w:b/>
        </w:rPr>
        <w:t>por lo que constituye un dato personal confidencial al actualizar el supuesto normativo del artículo 143, fracción I de la Ley de Transparencia y Acceso a la Información Pública del Estado de México y Municipios.</w:t>
      </w:r>
    </w:p>
    <w:p w14:paraId="1A7D5D27" w14:textId="77777777" w:rsidR="005D7278" w:rsidRDefault="005D7278">
      <w:pPr>
        <w:spacing w:after="0" w:line="360" w:lineRule="auto"/>
      </w:pPr>
    </w:p>
    <w:p w14:paraId="566B54F1" w14:textId="77777777" w:rsidR="005D7278" w:rsidRDefault="00BE72A9">
      <w:pPr>
        <w:numPr>
          <w:ilvl w:val="0"/>
          <w:numId w:val="3"/>
        </w:numPr>
        <w:pBdr>
          <w:top w:val="nil"/>
          <w:left w:val="nil"/>
          <w:bottom w:val="nil"/>
          <w:right w:val="nil"/>
          <w:between w:val="nil"/>
        </w:pBdr>
        <w:spacing w:after="0" w:line="360" w:lineRule="auto"/>
        <w:rPr>
          <w:b/>
          <w:color w:val="000000"/>
        </w:rPr>
      </w:pPr>
      <w:r>
        <w:rPr>
          <w:b/>
          <w:color w:val="000000"/>
        </w:rPr>
        <w:t>Clave Única de Registro de Población (CURP)</w:t>
      </w:r>
    </w:p>
    <w:p w14:paraId="6EA68F18" w14:textId="77777777" w:rsidR="005D7278" w:rsidRDefault="005D7278">
      <w:pPr>
        <w:spacing w:after="0" w:line="360" w:lineRule="auto"/>
      </w:pPr>
    </w:p>
    <w:p w14:paraId="06CC7AFE" w14:textId="77777777" w:rsidR="005D7278" w:rsidRDefault="00BE72A9">
      <w:pPr>
        <w:spacing w:after="0" w:line="360" w:lineRule="auto"/>
      </w:pPr>
      <w:r>
        <w:t xml:space="preserve">El artículo 36 de la Constitución Política de los Estados Unidos Mexicanos, dispone la obligación de los ciudadanos de inscribirse en el Registro Nacional de Ciudadanos. </w:t>
      </w:r>
    </w:p>
    <w:p w14:paraId="6D970BB5" w14:textId="77777777" w:rsidR="005D7278" w:rsidRDefault="005D7278">
      <w:pPr>
        <w:spacing w:after="0" w:line="360" w:lineRule="auto"/>
      </w:pPr>
    </w:p>
    <w:p w14:paraId="56A909C0" w14:textId="77777777" w:rsidR="005D7278" w:rsidRDefault="00BE72A9">
      <w:pPr>
        <w:spacing w:after="0" w:line="360" w:lineRule="auto"/>
      </w:pPr>
      <w:r>
        <w:t>El artículo 85 de la Ley General de Población, prevé que corresponde a la Secretaría de Gobernación el registro y acreditación de la identidad de todas las personas residentes en el país y de los nacionales que residan en el extranjero.</w:t>
      </w:r>
    </w:p>
    <w:p w14:paraId="2DE7F347" w14:textId="77777777" w:rsidR="005D7278" w:rsidRDefault="005D7278">
      <w:pPr>
        <w:spacing w:after="0" w:line="360" w:lineRule="auto"/>
      </w:pPr>
    </w:p>
    <w:p w14:paraId="366CAD2E" w14:textId="77777777" w:rsidR="005D7278" w:rsidRDefault="00BE72A9">
      <w:pPr>
        <w:spacing w:after="0" w:line="360" w:lineRule="auto"/>
      </w:pPr>
      <w: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023C9502" w14:textId="77777777" w:rsidR="005D7278" w:rsidRDefault="00BE72A9">
      <w:pPr>
        <w:spacing w:after="0" w:line="360" w:lineRule="auto"/>
      </w:pPr>
      <w:r>
        <w:t xml:space="preserve">De conformidad con lo precisado por la propia Secretaría de Gobernación en la dirección </w:t>
      </w:r>
      <w:hyperlink r:id="rId13">
        <w:r>
          <w:rPr>
            <w:color w:val="0563C1"/>
            <w:u w:val="single"/>
          </w:rPr>
          <w:t>https://consultas.curp.gob.mx/CurpSP/html/informacionecurpPS.html</w:t>
        </w:r>
      </w:hyperlink>
      <w:r>
        <w:t xml:space="preserve">, 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w:t>
      </w:r>
      <w:r>
        <w:rPr>
          <w:b/>
        </w:rPr>
        <w:t>se generan a partir de los datos contenidos en el documento probatorio de la identidad</w:t>
      </w:r>
      <w:r>
        <w:t xml:space="preserve"> </w:t>
      </w:r>
      <w:r>
        <w:rPr>
          <w:b/>
        </w:rPr>
        <w:t xml:space="preserve">del interesado </w:t>
      </w:r>
      <w:r>
        <w:t>(acta de nacimiento, carta de naturalización o documento migratorio) de la siguiente forma:</w:t>
      </w:r>
    </w:p>
    <w:p w14:paraId="692D124A" w14:textId="77777777" w:rsidR="005D7278" w:rsidRDefault="005D7278">
      <w:pPr>
        <w:spacing w:after="0" w:line="360" w:lineRule="auto"/>
      </w:pPr>
    </w:p>
    <w:p w14:paraId="0123934E" w14:textId="77777777" w:rsidR="005D7278" w:rsidRDefault="00BE72A9">
      <w:pPr>
        <w:numPr>
          <w:ilvl w:val="0"/>
          <w:numId w:val="3"/>
        </w:numPr>
        <w:pBdr>
          <w:top w:val="nil"/>
          <w:left w:val="nil"/>
          <w:bottom w:val="nil"/>
          <w:right w:val="nil"/>
          <w:between w:val="nil"/>
        </w:pBdr>
        <w:spacing w:after="0" w:line="360" w:lineRule="auto"/>
        <w:rPr>
          <w:color w:val="000000"/>
        </w:rPr>
      </w:pPr>
      <w:r>
        <w:rPr>
          <w:color w:val="000000"/>
        </w:rPr>
        <w:t>El primero y segundo apellidos, así como al nombre de pila.</w:t>
      </w:r>
    </w:p>
    <w:p w14:paraId="4CD6C976" w14:textId="77777777" w:rsidR="005D7278" w:rsidRDefault="00BE72A9">
      <w:pPr>
        <w:numPr>
          <w:ilvl w:val="0"/>
          <w:numId w:val="3"/>
        </w:numPr>
        <w:pBdr>
          <w:top w:val="nil"/>
          <w:left w:val="nil"/>
          <w:bottom w:val="nil"/>
          <w:right w:val="nil"/>
          <w:between w:val="nil"/>
        </w:pBdr>
        <w:spacing w:after="0" w:line="360" w:lineRule="auto"/>
        <w:rPr>
          <w:color w:val="000000"/>
        </w:rPr>
      </w:pPr>
      <w:r>
        <w:rPr>
          <w:color w:val="000000"/>
        </w:rPr>
        <w:t>La fecha de nacimiento.</w:t>
      </w:r>
    </w:p>
    <w:p w14:paraId="66FBA190" w14:textId="77777777" w:rsidR="005D7278" w:rsidRDefault="00BE72A9">
      <w:pPr>
        <w:numPr>
          <w:ilvl w:val="0"/>
          <w:numId w:val="3"/>
        </w:numPr>
        <w:pBdr>
          <w:top w:val="nil"/>
          <w:left w:val="nil"/>
          <w:bottom w:val="nil"/>
          <w:right w:val="nil"/>
          <w:between w:val="nil"/>
        </w:pBdr>
        <w:spacing w:after="0" w:line="360" w:lineRule="auto"/>
        <w:rPr>
          <w:color w:val="000000"/>
        </w:rPr>
      </w:pPr>
      <w:r>
        <w:rPr>
          <w:color w:val="000000"/>
        </w:rPr>
        <w:t>El sexo.</w:t>
      </w:r>
    </w:p>
    <w:p w14:paraId="5E71F39E" w14:textId="77777777" w:rsidR="005D7278" w:rsidRDefault="00BE72A9">
      <w:pPr>
        <w:numPr>
          <w:ilvl w:val="0"/>
          <w:numId w:val="3"/>
        </w:numPr>
        <w:pBdr>
          <w:top w:val="nil"/>
          <w:left w:val="nil"/>
          <w:bottom w:val="nil"/>
          <w:right w:val="nil"/>
          <w:between w:val="nil"/>
        </w:pBdr>
        <w:spacing w:after="0" w:line="360" w:lineRule="auto"/>
        <w:rPr>
          <w:color w:val="000000"/>
        </w:rPr>
      </w:pPr>
      <w:r>
        <w:rPr>
          <w:color w:val="000000"/>
        </w:rPr>
        <w:t>La entidad federativa de nacimiento.</w:t>
      </w:r>
    </w:p>
    <w:p w14:paraId="549BDA3A" w14:textId="77777777" w:rsidR="005D7278" w:rsidRDefault="005D7278">
      <w:pPr>
        <w:spacing w:after="0" w:line="360" w:lineRule="auto"/>
      </w:pPr>
    </w:p>
    <w:p w14:paraId="7A0FB723" w14:textId="77777777" w:rsidR="005D7278" w:rsidRDefault="00BE72A9">
      <w:pPr>
        <w:spacing w:after="0" w:line="360" w:lineRule="auto"/>
        <w:rPr>
          <w:color w:val="000000"/>
        </w:rPr>
      </w:pPr>
      <w:r>
        <w:rPr>
          <w:color w:val="000000"/>
        </w:rPr>
        <w:t>Los dos últimos elementos de la Clave Única de Registro de Población evitan la duplicidad de la Clave y garantizan su correcta integración.</w:t>
      </w:r>
    </w:p>
    <w:p w14:paraId="47F1B246" w14:textId="77777777" w:rsidR="005D7278" w:rsidRDefault="005D7278">
      <w:pPr>
        <w:spacing w:after="0" w:line="360" w:lineRule="auto"/>
        <w:rPr>
          <w:color w:val="000000"/>
        </w:rPr>
      </w:pPr>
    </w:p>
    <w:p w14:paraId="1E510B50" w14:textId="77777777" w:rsidR="005D7278" w:rsidRDefault="00BE72A9">
      <w:pPr>
        <w:spacing w:after="0" w:line="360" w:lineRule="auto"/>
        <w:rPr>
          <w:color w:val="000000"/>
        </w:rPr>
      </w:pPr>
      <w:r>
        <w:rPr>
          <w:color w:val="000000"/>
        </w:rPr>
        <w:lastRenderedPageBreak/>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262BB469" w14:textId="77777777" w:rsidR="005D7278" w:rsidRDefault="005D7278">
      <w:pPr>
        <w:spacing w:after="0" w:line="360" w:lineRule="auto"/>
        <w:rPr>
          <w:color w:val="000000"/>
        </w:rPr>
      </w:pPr>
    </w:p>
    <w:p w14:paraId="75B4EA65" w14:textId="77777777" w:rsidR="005D7278" w:rsidRDefault="00BE72A9">
      <w:pPr>
        <w:spacing w:after="0" w:line="360" w:lineRule="auto"/>
        <w:rPr>
          <w:color w:val="000000"/>
        </w:rPr>
      </w:pPr>
      <w:r>
        <w:rPr>
          <w:color w:val="000000"/>
        </w:rPr>
        <w:t>Situación que se robustece, con el Criterio de Interpretación, de la Segunda Época, con número de registro SO/018/2017, emitido por el Instituto Nacional de Transparencia, Acceso a la Información y Protección de Datos Personales, que establece lo siguiente:</w:t>
      </w:r>
    </w:p>
    <w:p w14:paraId="3891251F" w14:textId="77777777" w:rsidR="005D7278" w:rsidRDefault="005D7278">
      <w:pPr>
        <w:spacing w:after="0" w:line="360" w:lineRule="auto"/>
        <w:ind w:left="567" w:right="567"/>
        <w:rPr>
          <w:color w:val="000000"/>
          <w:sz w:val="20"/>
          <w:szCs w:val="20"/>
        </w:rPr>
      </w:pPr>
    </w:p>
    <w:p w14:paraId="3349D6A0" w14:textId="77777777" w:rsidR="005D7278" w:rsidRDefault="00BE72A9">
      <w:pPr>
        <w:spacing w:after="0" w:line="360" w:lineRule="auto"/>
        <w:ind w:left="567" w:right="567"/>
        <w:rPr>
          <w:i/>
          <w:color w:val="000000"/>
          <w:sz w:val="20"/>
          <w:szCs w:val="20"/>
        </w:rPr>
      </w:pPr>
      <w:r>
        <w:rPr>
          <w:b/>
          <w:i/>
          <w:color w:val="000000"/>
          <w:sz w:val="20"/>
          <w:szCs w:val="20"/>
        </w:rPr>
        <w:t xml:space="preserve">“Clave Única de Registro de Población (CURP). </w:t>
      </w:r>
      <w:r>
        <w:rPr>
          <w:i/>
          <w:color w:val="000000"/>
          <w:sz w:val="20"/>
          <w:szCs w:val="2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32BB9317" w14:textId="77777777" w:rsidR="005D7278" w:rsidRDefault="005D7278">
      <w:pPr>
        <w:spacing w:after="0" w:line="360" w:lineRule="auto"/>
        <w:rPr>
          <w:color w:val="000000"/>
        </w:rPr>
      </w:pPr>
    </w:p>
    <w:p w14:paraId="6106A076" w14:textId="77777777" w:rsidR="005D7278" w:rsidRDefault="00BE72A9">
      <w:pPr>
        <w:spacing w:after="0" w:line="360" w:lineRule="auto"/>
        <w:rPr>
          <w:color w:val="000000"/>
        </w:rPr>
      </w:pPr>
      <w:r>
        <w:rPr>
          <w:color w:val="000000"/>
        </w:rPr>
        <w:t xml:space="preserve">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 </w:t>
      </w:r>
    </w:p>
    <w:p w14:paraId="5646B72B" w14:textId="77777777" w:rsidR="005D7278" w:rsidRDefault="005D7278">
      <w:pPr>
        <w:spacing w:after="0" w:line="360" w:lineRule="auto"/>
        <w:rPr>
          <w:b/>
        </w:rPr>
      </w:pPr>
    </w:p>
    <w:p w14:paraId="71EDC077" w14:textId="77777777" w:rsidR="005D7278" w:rsidRDefault="00BE72A9">
      <w:pPr>
        <w:numPr>
          <w:ilvl w:val="0"/>
          <w:numId w:val="3"/>
        </w:numPr>
        <w:pBdr>
          <w:top w:val="nil"/>
          <w:left w:val="nil"/>
          <w:bottom w:val="nil"/>
          <w:right w:val="nil"/>
          <w:between w:val="nil"/>
        </w:pBdr>
        <w:spacing w:after="0" w:line="360" w:lineRule="auto"/>
        <w:rPr>
          <w:b/>
          <w:color w:val="000000"/>
        </w:rPr>
      </w:pPr>
      <w:r>
        <w:rPr>
          <w:b/>
          <w:color w:val="000000"/>
        </w:rPr>
        <w:t xml:space="preserve">Grado de instrucción escolar </w:t>
      </w:r>
    </w:p>
    <w:p w14:paraId="48FD78E3" w14:textId="77777777" w:rsidR="005D7278" w:rsidRDefault="005D7278">
      <w:pPr>
        <w:spacing w:after="0" w:line="360" w:lineRule="auto"/>
        <w:rPr>
          <w:b/>
        </w:rPr>
      </w:pPr>
    </w:p>
    <w:p w14:paraId="3F13666B" w14:textId="77777777" w:rsidR="005D7278" w:rsidRDefault="00BE72A9">
      <w:pPr>
        <w:spacing w:after="0" w:line="360" w:lineRule="auto"/>
        <w:rPr>
          <w:color w:val="222222"/>
        </w:rPr>
      </w:pPr>
      <w:r>
        <w:rPr>
          <w:color w:val="222222"/>
        </w:rPr>
        <w:t xml:space="preserve">En ese contexto, el dato en cuestión da cuenta de la preparación del servidor público, por lo que, se trata de un dato de naturaleza pública; además, que puede dar el grado máximo de estudios de la persona en cuestión, pues al clasificar el nombre y cargo, no se puede identificar a quien pertenece; en razón de lo anterior, no se actualiza la causal de clasificación en términos del </w:t>
      </w:r>
      <w:r>
        <w:rPr>
          <w:color w:val="222222"/>
        </w:rPr>
        <w:lastRenderedPageBreak/>
        <w:t>artículo 143, fracción I de la Ley de Transparencia y Acceso a la Información Pública del Estado de México.</w:t>
      </w:r>
    </w:p>
    <w:p w14:paraId="664CFB6C" w14:textId="77777777" w:rsidR="005D7278" w:rsidRDefault="005D7278">
      <w:pPr>
        <w:spacing w:after="0" w:line="360" w:lineRule="auto"/>
        <w:rPr>
          <w:color w:val="222222"/>
        </w:rPr>
      </w:pPr>
    </w:p>
    <w:p w14:paraId="3256554C" w14:textId="77777777" w:rsidR="005D7278" w:rsidRDefault="00BE72A9">
      <w:pPr>
        <w:numPr>
          <w:ilvl w:val="0"/>
          <w:numId w:val="3"/>
        </w:numPr>
        <w:pBdr>
          <w:top w:val="nil"/>
          <w:left w:val="nil"/>
          <w:bottom w:val="nil"/>
          <w:right w:val="nil"/>
          <w:between w:val="nil"/>
        </w:pBdr>
        <w:spacing w:after="0" w:line="360" w:lineRule="auto"/>
        <w:rPr>
          <w:b/>
          <w:color w:val="222222"/>
        </w:rPr>
      </w:pPr>
      <w:r>
        <w:rPr>
          <w:b/>
          <w:color w:val="222222"/>
        </w:rPr>
        <w:t>Nivel Jerárquico</w:t>
      </w:r>
    </w:p>
    <w:p w14:paraId="35131023" w14:textId="77777777" w:rsidR="005D7278" w:rsidRDefault="005D7278">
      <w:pPr>
        <w:spacing w:after="0" w:line="360" w:lineRule="auto"/>
        <w:rPr>
          <w:b/>
          <w:color w:val="222222"/>
        </w:rPr>
      </w:pPr>
    </w:p>
    <w:p w14:paraId="375EEC27" w14:textId="77777777" w:rsidR="005D7278" w:rsidRDefault="00BE72A9">
      <w:pPr>
        <w:spacing w:after="0" w:line="360" w:lineRule="auto"/>
        <w:rPr>
          <w:color w:val="222222"/>
        </w:rPr>
      </w:pPr>
      <w:r>
        <w:rPr>
          <w:color w:val="222222"/>
        </w:rPr>
        <w:t xml:space="preserve">El dato en cuestión corresponde a la asignación dentro de la estructura orgánica administrativa de un grado que les define el rango o autoridad y responsabilidad, independientemente de la clase de función que se les encomiende realizar, por lo que no se considera un factor diferenciador para determinar su clasificación, así mismo, por sí solo no permite hacer identificable a una persona, por lo que no es procedente su clasificación. </w:t>
      </w:r>
    </w:p>
    <w:p w14:paraId="4F965B0D" w14:textId="77777777" w:rsidR="005D7278" w:rsidRDefault="005D7278">
      <w:pPr>
        <w:spacing w:after="0" w:line="360" w:lineRule="auto"/>
        <w:rPr>
          <w:color w:val="222222"/>
        </w:rPr>
      </w:pPr>
    </w:p>
    <w:p w14:paraId="562FD51E" w14:textId="77777777" w:rsidR="005D7278" w:rsidRDefault="00BE72A9">
      <w:pPr>
        <w:numPr>
          <w:ilvl w:val="0"/>
          <w:numId w:val="3"/>
        </w:numPr>
        <w:pBdr>
          <w:top w:val="nil"/>
          <w:left w:val="nil"/>
          <w:bottom w:val="nil"/>
          <w:right w:val="nil"/>
          <w:between w:val="nil"/>
        </w:pBdr>
        <w:spacing w:after="0" w:line="360" w:lineRule="auto"/>
        <w:rPr>
          <w:b/>
          <w:color w:val="222222"/>
        </w:rPr>
      </w:pPr>
      <w:r>
        <w:rPr>
          <w:b/>
          <w:color w:val="222222"/>
        </w:rPr>
        <w:t>Nivel Socio Económico</w:t>
      </w:r>
    </w:p>
    <w:p w14:paraId="040FC01C" w14:textId="77777777" w:rsidR="005D7278" w:rsidRDefault="005D7278">
      <w:pPr>
        <w:spacing w:after="0" w:line="360" w:lineRule="auto"/>
        <w:rPr>
          <w:b/>
          <w:color w:val="222222"/>
        </w:rPr>
      </w:pPr>
    </w:p>
    <w:p w14:paraId="6B49AE56" w14:textId="77777777" w:rsidR="005D7278" w:rsidRDefault="00BE72A9">
      <w:pPr>
        <w:spacing w:after="0" w:line="360" w:lineRule="auto"/>
        <w:rPr>
          <w:color w:val="222222"/>
        </w:rPr>
      </w:pPr>
      <w:r>
        <w:rPr>
          <w:color w:val="222222"/>
        </w:rPr>
        <w:t>Dicha información está relacionada con la información patrimonial de las personas, esto es, los recursos que posee y su capacidad financiera. En tal sentido, es procedente su clasificación, en términos del artículo 143, fracción I de la Ley de Transparencia y Acceso a la Información Pública del Estado de México.</w:t>
      </w:r>
    </w:p>
    <w:p w14:paraId="04B213FB" w14:textId="77777777" w:rsidR="005D7278" w:rsidRDefault="005D7278">
      <w:pPr>
        <w:spacing w:after="0" w:line="360" w:lineRule="auto"/>
        <w:rPr>
          <w:b/>
        </w:rPr>
      </w:pPr>
    </w:p>
    <w:p w14:paraId="3EB525AD" w14:textId="77777777" w:rsidR="005D7278" w:rsidRDefault="00BE72A9">
      <w:pPr>
        <w:numPr>
          <w:ilvl w:val="0"/>
          <w:numId w:val="3"/>
        </w:numPr>
        <w:pBdr>
          <w:top w:val="nil"/>
          <w:left w:val="nil"/>
          <w:bottom w:val="nil"/>
          <w:right w:val="nil"/>
          <w:between w:val="nil"/>
        </w:pBdr>
        <w:spacing w:after="0" w:line="360" w:lineRule="auto"/>
        <w:rPr>
          <w:b/>
          <w:color w:val="000000"/>
        </w:rPr>
      </w:pPr>
      <w:r>
        <w:rPr>
          <w:b/>
          <w:color w:val="000000"/>
        </w:rPr>
        <w:t>Datos de identificación de presentación de declaración patrimonial</w:t>
      </w:r>
    </w:p>
    <w:p w14:paraId="46733F1B" w14:textId="77777777" w:rsidR="005D7278" w:rsidRDefault="005D7278">
      <w:pPr>
        <w:spacing w:after="0" w:line="360" w:lineRule="auto"/>
        <w:rPr>
          <w:b/>
        </w:rPr>
      </w:pPr>
    </w:p>
    <w:p w14:paraId="4E48BFCE" w14:textId="77777777" w:rsidR="005D7278" w:rsidRDefault="00BE72A9">
      <w:pPr>
        <w:spacing w:after="0" w:line="360" w:lineRule="auto"/>
      </w:pPr>
      <w:r>
        <w:t xml:space="preserve">Dentro de las resoluciones remitidas, se clasificaron diversos datos relacionados con la entrega de las declaraciones patrimoniales  de servidores públicos, tales como el número de folio de constancia de presentación de la declaración patrimonial, código de entrega y  folio de recibo de la declaración; en tal sentido, dichos datos se componen de caracteres numéricos que por sí mismos no reflejan la identidad o datos patrimoniales de los servidores públicos, ni permiten el acceso a las declaraciones presentadas. Así mismo, dan constancia del cumplimiento de una obligación a cargo de los propios servidores, por lo que no es procedente su clasificación; lo </w:t>
      </w:r>
      <w:r>
        <w:lastRenderedPageBreak/>
        <w:t>cual, toma relevancia pues en el presente caso, se clasificaría el nombre y cargo de los trabajadores.</w:t>
      </w:r>
    </w:p>
    <w:p w14:paraId="57F3293C" w14:textId="77777777" w:rsidR="005D7278" w:rsidRDefault="005D7278">
      <w:pPr>
        <w:spacing w:after="0" w:line="360" w:lineRule="auto"/>
        <w:rPr>
          <w:b/>
        </w:rPr>
      </w:pPr>
    </w:p>
    <w:p w14:paraId="2681D61D" w14:textId="77777777" w:rsidR="005D7278" w:rsidRDefault="00BE72A9">
      <w:pPr>
        <w:numPr>
          <w:ilvl w:val="0"/>
          <w:numId w:val="3"/>
        </w:numPr>
        <w:pBdr>
          <w:top w:val="nil"/>
          <w:left w:val="nil"/>
          <w:bottom w:val="nil"/>
          <w:right w:val="nil"/>
          <w:between w:val="nil"/>
        </w:pBdr>
        <w:spacing w:after="0" w:line="360" w:lineRule="auto"/>
        <w:rPr>
          <w:b/>
          <w:color w:val="222222"/>
        </w:rPr>
      </w:pPr>
      <w:r>
        <w:rPr>
          <w:b/>
          <w:color w:val="222222"/>
        </w:rPr>
        <w:t>Periodo de la administración</w:t>
      </w:r>
    </w:p>
    <w:p w14:paraId="5DFFDEEA" w14:textId="77777777" w:rsidR="005D7278" w:rsidRDefault="005D7278">
      <w:pPr>
        <w:spacing w:after="0" w:line="360" w:lineRule="auto"/>
        <w:rPr>
          <w:b/>
        </w:rPr>
      </w:pPr>
    </w:p>
    <w:p w14:paraId="3C17A2AE" w14:textId="77777777" w:rsidR="005D7278" w:rsidRDefault="00BE72A9">
      <w:pPr>
        <w:spacing w:after="0" w:line="360" w:lineRule="auto"/>
      </w:pPr>
      <w:r>
        <w:t>Dentro de los documentos remitidos, se testó el periodo de la administración municipal en la cual los servidores públicos formaron parte. En tal sentido, dicho dato solo refleja los años de inicio y término de un periodo de gobierno municipal, por lo que no contiene datos de carácter personal, ni permite por sí misma identificar a algún servidor público en específico. En tal virtud no es procedente clasificar el dato del periodo de administración.</w:t>
      </w:r>
    </w:p>
    <w:p w14:paraId="71C8C7B9" w14:textId="77777777" w:rsidR="005D7278" w:rsidRDefault="005D7278">
      <w:pPr>
        <w:spacing w:after="0" w:line="360" w:lineRule="auto"/>
        <w:rPr>
          <w:color w:val="000000"/>
        </w:rPr>
      </w:pPr>
    </w:p>
    <w:p w14:paraId="3EA2EE3B" w14:textId="77777777" w:rsidR="005D7278" w:rsidRDefault="00BE72A9">
      <w:pPr>
        <w:numPr>
          <w:ilvl w:val="0"/>
          <w:numId w:val="3"/>
        </w:numPr>
        <w:pBdr>
          <w:top w:val="nil"/>
          <w:left w:val="nil"/>
          <w:bottom w:val="nil"/>
          <w:right w:val="nil"/>
          <w:between w:val="nil"/>
        </w:pBdr>
        <w:spacing w:after="0" w:line="360" w:lineRule="auto"/>
        <w:rPr>
          <w:b/>
          <w:color w:val="222222"/>
        </w:rPr>
      </w:pPr>
      <w:r>
        <w:rPr>
          <w:b/>
          <w:color w:val="222222"/>
        </w:rPr>
        <w:t>Número de expediente de juicio administrativo</w:t>
      </w:r>
    </w:p>
    <w:p w14:paraId="0B9A282D" w14:textId="77777777" w:rsidR="005D7278" w:rsidRDefault="005D7278">
      <w:pPr>
        <w:spacing w:after="0" w:line="360" w:lineRule="auto"/>
        <w:rPr>
          <w:b/>
          <w:color w:val="000000"/>
        </w:rPr>
      </w:pPr>
    </w:p>
    <w:p w14:paraId="3403F88D" w14:textId="77777777" w:rsidR="005D7278" w:rsidRDefault="00BE72A9">
      <w:pPr>
        <w:spacing w:after="0" w:line="360" w:lineRule="auto"/>
      </w:pPr>
      <w:r>
        <w:t xml:space="preserve">El número de expediente de un juicio administrativo permite, por medio de las diversas bases de datos existentes, acceder a su información, como lo son el nombre del actor, demandado y sus datos de identificación, dentro de las que se pueden encontrar diversos datos personales, por lo que en el presente caso se considera que es procedente su clasificación al amparo del artículo 143, fracción I de la ley de transparencia local. </w:t>
      </w:r>
    </w:p>
    <w:p w14:paraId="17630787" w14:textId="77777777" w:rsidR="005D7278" w:rsidRDefault="005D7278">
      <w:pPr>
        <w:spacing w:after="0" w:line="360" w:lineRule="auto"/>
        <w:rPr>
          <w:color w:val="000000"/>
        </w:rPr>
      </w:pPr>
    </w:p>
    <w:p w14:paraId="4D247266" w14:textId="77777777" w:rsidR="005D7278" w:rsidRDefault="00BE72A9">
      <w:pPr>
        <w:numPr>
          <w:ilvl w:val="0"/>
          <w:numId w:val="3"/>
        </w:numPr>
        <w:pBdr>
          <w:top w:val="nil"/>
          <w:left w:val="nil"/>
          <w:bottom w:val="nil"/>
          <w:right w:val="nil"/>
          <w:between w:val="nil"/>
        </w:pBdr>
        <w:spacing w:after="0" w:line="360" w:lineRule="auto"/>
        <w:rPr>
          <w:b/>
          <w:color w:val="222222"/>
        </w:rPr>
      </w:pPr>
      <w:r>
        <w:rPr>
          <w:b/>
          <w:color w:val="222222"/>
        </w:rPr>
        <w:t>Datos de registro de acta de defunción</w:t>
      </w:r>
    </w:p>
    <w:p w14:paraId="0A45A147" w14:textId="77777777" w:rsidR="005D7278" w:rsidRDefault="005D7278">
      <w:pPr>
        <w:spacing w:after="0" w:line="360" w:lineRule="auto"/>
        <w:rPr>
          <w:b/>
          <w:color w:val="222222"/>
        </w:rPr>
      </w:pPr>
    </w:p>
    <w:p w14:paraId="2C48DBB0" w14:textId="77777777" w:rsidR="005D7278" w:rsidRDefault="00BE72A9">
      <w:pPr>
        <w:spacing w:after="0" w:line="360" w:lineRule="auto"/>
        <w:rPr>
          <w:color w:val="000000"/>
        </w:rPr>
      </w:pPr>
      <w:r>
        <w:rPr>
          <w:color w:val="000000"/>
        </w:rPr>
        <w:t xml:space="preserve">Los datos de registro del acta de defunción, permiten su acceso a través del Registro Civil, por lo que es posible conocer los datos consignados en dicho documento.  Dada esta relevancia y que no guarda relación directa con el ejercicio de atribuciones de servidores públicos es que su contenido debe ser analizado en su totalidad, además que parte de los datos que integran hacen identificable a la persona sin tener que ver con el ejercicio de un cargo público, pues  es un tema que tiene que ver con la vida privada, de esta manera, se trata de un documento de naturaleza </w:t>
      </w:r>
      <w:r>
        <w:rPr>
          <w:color w:val="000000"/>
        </w:rPr>
        <w:lastRenderedPageBreak/>
        <w:t>confidencial que tiene que ver únicamente con la vida privada de las personas, motivo por el cual se considera que actualiza la causal de clasificación establecida en el artículo 143, fracción I, de la Ley de Transparencia y Acceso a la Información Pública del Estado de México y Municipios.</w:t>
      </w:r>
    </w:p>
    <w:p w14:paraId="0220BFF0" w14:textId="77777777" w:rsidR="005D7278" w:rsidRDefault="005D7278">
      <w:pPr>
        <w:spacing w:after="0" w:line="360" w:lineRule="auto"/>
        <w:rPr>
          <w:color w:val="000000"/>
        </w:rPr>
      </w:pPr>
    </w:p>
    <w:p w14:paraId="3D701B3A" w14:textId="77777777" w:rsidR="005D7278" w:rsidRDefault="00BE72A9">
      <w:pPr>
        <w:spacing w:after="0" w:line="360" w:lineRule="auto"/>
      </w:pPr>
      <w:r>
        <w:t xml:space="preserve">En razón de lo anterior, este Instituto considera que la versión pública de las resoluciones remitidas en respuesta, no se realizó de forma adecuada, pues se testó información que tiene el carácter de pública; además se testó información no incluida en el acta del Comité de Transparencia, por lo que su omisión no se encuentra fundada y motivada. </w:t>
      </w:r>
    </w:p>
    <w:p w14:paraId="10D14D07" w14:textId="77777777" w:rsidR="005D7278" w:rsidRDefault="005D7278">
      <w:pPr>
        <w:spacing w:after="0" w:line="360" w:lineRule="auto"/>
        <w:rPr>
          <w:b/>
        </w:rPr>
      </w:pPr>
    </w:p>
    <w:p w14:paraId="4884BE90" w14:textId="77777777" w:rsidR="005D7278" w:rsidRDefault="00BE72A9">
      <w:pPr>
        <w:spacing w:after="0" w:line="360" w:lineRule="auto"/>
      </w:pPr>
      <w:r>
        <w:t xml:space="preserve">Conforme a lo anterior, se considera que el agravio es </w:t>
      </w:r>
      <w:r>
        <w:rPr>
          <w:b/>
        </w:rPr>
        <w:t xml:space="preserve">PARCIALMENTE FUNDADO, </w:t>
      </w:r>
      <w:r>
        <w:t>pues si bien proporcionó las resoluciones emitidas durante el periodo solicitado, lo cierto es que clasificó datos de naturaleza pública, por lo que, deberá entregarlas de manera correcta; para tal situación, el Sujeto Obligado deberá seguir el procedimiento establecido en el artículo 168 de dicho ordenamiento jurídico, es decir, que el área competente deberá elaborar la versión pública, así como emitir el Acuerdo, por parte del Comité de Transparencia, donde confirme la clasificación de los datos, fundando y motivando la clasificación.</w:t>
      </w:r>
    </w:p>
    <w:p w14:paraId="278F7CEC" w14:textId="77777777" w:rsidR="005D7278" w:rsidRDefault="005D7278">
      <w:pPr>
        <w:spacing w:after="0" w:line="360" w:lineRule="auto"/>
        <w:rPr>
          <w:b/>
        </w:rPr>
      </w:pPr>
    </w:p>
    <w:p w14:paraId="46B81EB5" w14:textId="77777777" w:rsidR="005D7278" w:rsidRDefault="00BE72A9">
      <w:pPr>
        <w:spacing w:after="0" w:line="360" w:lineRule="auto"/>
        <w:rPr>
          <w:b/>
        </w:rPr>
      </w:pPr>
      <w:r>
        <w:rPr>
          <w:b/>
        </w:rPr>
        <w:t>SEXTO. Vista la Dirección General de Protección de Datos Personales</w:t>
      </w:r>
    </w:p>
    <w:p w14:paraId="207EEFB4" w14:textId="77777777" w:rsidR="005D7278" w:rsidRDefault="005D7278">
      <w:pPr>
        <w:spacing w:after="0" w:line="360" w:lineRule="auto"/>
        <w:rPr>
          <w:b/>
        </w:rPr>
      </w:pPr>
    </w:p>
    <w:p w14:paraId="40BEA016" w14:textId="77777777" w:rsidR="005D7278" w:rsidRDefault="00BE72A9">
      <w:pPr>
        <w:tabs>
          <w:tab w:val="left" w:pos="4962"/>
        </w:tabs>
        <w:spacing w:after="0" w:line="360" w:lineRule="auto"/>
      </w:pPr>
      <w:r>
        <w:t>Ahora bien, toda vez que el Sujeto Obligado remitió documentos donde se aprecian datos personales, a saber, el cargo de un servidor público sancionado, circunstancia que vulnera lo previsto en el artículo 143, fracción I, de la Ley de Transparencia y Acceso a la Información Pública del Estado de México y Municipios. Por lo tanto, el Ente Recurrido, inobservó la Ley de Transparencia y Acceso a la Información Pública del Estado de México y Municipios y la Ley de Protección de Datos Personales en Posesión de Sujetos Obligados del Estado de México y Municipios.</w:t>
      </w:r>
    </w:p>
    <w:p w14:paraId="6C1041B5" w14:textId="77777777" w:rsidR="005D7278" w:rsidRDefault="00BE72A9">
      <w:pPr>
        <w:spacing w:after="0" w:line="360" w:lineRule="auto"/>
      </w:pPr>
      <w:r>
        <w:lastRenderedPageBreak/>
        <w:t> Sobre el particular, si bien, la presente resolución no tiene por objetivo investigar y determinar posibles violaciones al derecho de acceso a la información; toda vez que este Organismo Autónomo, advirtió la posible vulneración de información de datos personales, se considera procedente dar vista a la Dirección General de Protección de Datos Personales de este Instituto con fundamento en el artículo 24, fracciones XI, XII y XIII del Reglamento Interior del Instituto de Transparencia, Acceso a la Información Pública y Protección de Datos Personales del Estado de México y Municipios, a fin de llevar a cabo el procedimiento que conforme a Derecho corresponda.</w:t>
      </w:r>
    </w:p>
    <w:p w14:paraId="46B5B52A" w14:textId="77777777" w:rsidR="005D7278" w:rsidRDefault="005D7278">
      <w:pPr>
        <w:spacing w:after="0" w:line="360" w:lineRule="auto"/>
        <w:rPr>
          <w:b/>
        </w:rPr>
      </w:pPr>
    </w:p>
    <w:p w14:paraId="43F3E233" w14:textId="77777777" w:rsidR="005D7278" w:rsidRDefault="00BE72A9">
      <w:pPr>
        <w:spacing w:after="0" w:line="360" w:lineRule="auto"/>
        <w:rPr>
          <w:b/>
        </w:rPr>
      </w:pPr>
      <w:r>
        <w:rPr>
          <w:b/>
        </w:rPr>
        <w:t>SÉPTIMO. Decisión</w:t>
      </w:r>
    </w:p>
    <w:p w14:paraId="7E39A57A" w14:textId="77777777" w:rsidR="005D7278" w:rsidRDefault="005D7278">
      <w:pPr>
        <w:spacing w:after="0" w:line="360" w:lineRule="auto"/>
        <w:rPr>
          <w:b/>
        </w:rPr>
      </w:pPr>
    </w:p>
    <w:p w14:paraId="048E2931" w14:textId="77777777" w:rsidR="005D7278" w:rsidRDefault="00BE72A9">
      <w:pPr>
        <w:spacing w:after="0" w:line="360" w:lineRule="auto"/>
        <w:ind w:right="-28"/>
        <w:rPr>
          <w:color w:val="000000"/>
        </w:rPr>
      </w:pPr>
      <w:r>
        <w:t xml:space="preserve">Con fundamento en el artículo 186, fracción III, de la Ley de Transparencia y Acceso a la Información </w:t>
      </w:r>
      <w:r>
        <w:rPr>
          <w:b/>
        </w:rPr>
        <w:t>MODIFICAR la</w:t>
      </w:r>
      <w:r>
        <w:t xml:space="preserve"> respuesta otorgada por el Ayuntamiento de Temascalcingo, a efecto de que previa búsqueda exhaustiva y razonable en los archivos de las unidades administrativas competentes, entregue en versión pública, las resoluciones administrativas remitidas en respuesta.</w:t>
      </w:r>
    </w:p>
    <w:p w14:paraId="5CCEF79E" w14:textId="77777777" w:rsidR="005D7278" w:rsidRDefault="005D7278">
      <w:pPr>
        <w:spacing w:after="0" w:line="360" w:lineRule="auto"/>
        <w:ind w:right="-28"/>
        <w:rPr>
          <w:color w:val="000000"/>
        </w:rPr>
      </w:pPr>
    </w:p>
    <w:p w14:paraId="0AFE58CB" w14:textId="77777777" w:rsidR="005D7278" w:rsidRDefault="00BE72A9">
      <w:pPr>
        <w:spacing w:after="0" w:line="360" w:lineRule="auto"/>
        <w:ind w:right="-28"/>
        <w:rPr>
          <w:b/>
          <w:color w:val="000000"/>
        </w:rPr>
      </w:pPr>
      <w:r>
        <w:rPr>
          <w:b/>
          <w:color w:val="000000"/>
        </w:rPr>
        <w:t>Términos de la Resolución para conocimiento del Particular</w:t>
      </w:r>
    </w:p>
    <w:p w14:paraId="5AA128E7" w14:textId="77777777" w:rsidR="005D7278" w:rsidRDefault="005D7278">
      <w:pPr>
        <w:spacing w:after="0" w:line="360" w:lineRule="auto"/>
        <w:ind w:right="-28"/>
        <w:rPr>
          <w:b/>
          <w:color w:val="000000"/>
        </w:rPr>
      </w:pPr>
    </w:p>
    <w:p w14:paraId="73AB18DB" w14:textId="77777777" w:rsidR="005D7278" w:rsidRDefault="00BE72A9">
      <w:pPr>
        <w:spacing w:after="0" w:line="360" w:lineRule="auto"/>
        <w:ind w:right="-28"/>
      </w:pPr>
      <w:r>
        <w:t xml:space="preserve">Se le hace del conocimiento al Particular, que, en el presente caso, se le concede parcialmente la razón, pues el Ayuntamiento de Temascalcingo si bien entregó la información que obraba en sus archivos, testó datos de naturaleza pública, por lo que, resulta procedente ordenar de nueva cuenta su entrega. </w:t>
      </w:r>
    </w:p>
    <w:p w14:paraId="05E57BD4" w14:textId="77777777" w:rsidR="005D7278" w:rsidRDefault="005D7278">
      <w:pPr>
        <w:spacing w:after="0" w:line="360" w:lineRule="auto"/>
        <w:ind w:right="-28"/>
      </w:pPr>
    </w:p>
    <w:p w14:paraId="4FCC27A4" w14:textId="77777777" w:rsidR="005D7278" w:rsidRDefault="00BE72A9">
      <w:pPr>
        <w:spacing w:after="0" w:line="360" w:lineRule="auto"/>
        <w:ind w:right="-28"/>
      </w:pPr>
      <w:r>
        <w:rPr>
          <w:color w:val="000000"/>
        </w:rPr>
        <w:t>Finalmente, la labor del Instituto, es apoyar a la población a acceder a la información pública y garantizar la protección de los datos personales.</w:t>
      </w:r>
    </w:p>
    <w:p w14:paraId="66199E2F" w14:textId="77777777" w:rsidR="005D7278" w:rsidRDefault="005D7278">
      <w:pPr>
        <w:spacing w:after="0" w:line="360" w:lineRule="auto"/>
      </w:pPr>
    </w:p>
    <w:p w14:paraId="7FD66895" w14:textId="77777777" w:rsidR="005D7278" w:rsidRDefault="00BE72A9">
      <w:pPr>
        <w:spacing w:after="0" w:line="360" w:lineRule="auto"/>
        <w:rPr>
          <w:color w:val="000000"/>
        </w:rPr>
      </w:pPr>
      <w:r>
        <w:lastRenderedPageBreak/>
        <w:t>Por</w:t>
      </w:r>
      <w:r>
        <w:rPr>
          <w:color w:val="000000"/>
        </w:rPr>
        <w:t xml:space="preserve"> lo expuesto y fundado, este Pleno:</w:t>
      </w:r>
    </w:p>
    <w:p w14:paraId="5F771177" w14:textId="77777777" w:rsidR="005D7278" w:rsidRDefault="005D7278">
      <w:pPr>
        <w:spacing w:after="0" w:line="360" w:lineRule="auto"/>
        <w:rPr>
          <w:color w:val="000000"/>
        </w:rPr>
      </w:pPr>
    </w:p>
    <w:p w14:paraId="75E5ED73" w14:textId="77777777" w:rsidR="005D7278" w:rsidRDefault="00BE72A9">
      <w:pPr>
        <w:spacing w:after="0" w:line="360" w:lineRule="auto"/>
        <w:jc w:val="center"/>
        <w:rPr>
          <w:b/>
          <w:color w:val="000000"/>
        </w:rPr>
      </w:pPr>
      <w:r>
        <w:rPr>
          <w:b/>
          <w:color w:val="000000"/>
        </w:rPr>
        <w:t>R E S U E L V E</w:t>
      </w:r>
    </w:p>
    <w:p w14:paraId="10D35236" w14:textId="77777777" w:rsidR="005D7278" w:rsidRDefault="005D7278">
      <w:pPr>
        <w:spacing w:after="0" w:line="360" w:lineRule="auto"/>
        <w:rPr>
          <w:b/>
          <w:color w:val="000000"/>
        </w:rPr>
      </w:pPr>
    </w:p>
    <w:p w14:paraId="160597CB" w14:textId="77777777" w:rsidR="005D7278" w:rsidRDefault="00BE72A9">
      <w:pPr>
        <w:spacing w:after="0" w:line="360" w:lineRule="auto"/>
      </w:pPr>
      <w:r>
        <w:rPr>
          <w:b/>
        </w:rPr>
        <w:t xml:space="preserve">PRIMERO. </w:t>
      </w:r>
      <w:r>
        <w:t xml:space="preserve">Se </w:t>
      </w:r>
      <w:r>
        <w:rPr>
          <w:b/>
        </w:rPr>
        <w:t>MODIFICA</w:t>
      </w:r>
      <w:r>
        <w:t xml:space="preserve"> la respuesta entregada por el Ayuntamiento de Temascalcingo a la solicitud de información</w:t>
      </w:r>
      <w:r>
        <w:rPr>
          <w:color w:val="000000"/>
        </w:rPr>
        <w:t xml:space="preserve"> 00037/TMASCALC/IP/2024</w:t>
      </w:r>
      <w:r>
        <w:t xml:space="preserve">, por resultar </w:t>
      </w:r>
      <w:r>
        <w:rPr>
          <w:b/>
        </w:rPr>
        <w:t>FUNDADAS</w:t>
      </w:r>
      <w:r>
        <w:t xml:space="preserve"> las razones o motivos de inconformidad hechos valer por el Particular, en términos de los considerandos QUINTO y SEXTO de la presente Resolución.</w:t>
      </w:r>
    </w:p>
    <w:p w14:paraId="6F9D06BB" w14:textId="77777777" w:rsidR="005D7278" w:rsidRDefault="005D7278">
      <w:pPr>
        <w:spacing w:after="0" w:line="360" w:lineRule="auto"/>
        <w:rPr>
          <w:b/>
        </w:rPr>
      </w:pPr>
    </w:p>
    <w:p w14:paraId="761838C7" w14:textId="77777777" w:rsidR="005D7278" w:rsidRDefault="00BE72A9">
      <w:pPr>
        <w:spacing w:after="0" w:line="360" w:lineRule="auto"/>
        <w:rPr>
          <w:color w:val="000000"/>
        </w:rPr>
      </w:pPr>
      <w:r>
        <w:rPr>
          <w:b/>
        </w:rPr>
        <w:t xml:space="preserve">SEGUNDO. </w:t>
      </w:r>
      <w:r>
        <w:t xml:space="preserve">Se </w:t>
      </w:r>
      <w:r>
        <w:rPr>
          <w:b/>
        </w:rPr>
        <w:t xml:space="preserve">ORDENA </w:t>
      </w:r>
      <w:r>
        <w:t xml:space="preserve">al Ente Recurrido, a efecto de que entregue a través del Sistema de Acceso a la Información Mexiquense (SAIMEX), en versión pública, </w:t>
      </w:r>
      <w:r>
        <w:rPr>
          <w:color w:val="000000"/>
        </w:rPr>
        <w:t>lo siguiente:</w:t>
      </w:r>
    </w:p>
    <w:p w14:paraId="1A472C72" w14:textId="77777777" w:rsidR="005D7278" w:rsidRDefault="005D7278">
      <w:pPr>
        <w:spacing w:after="0" w:line="360" w:lineRule="auto"/>
        <w:rPr>
          <w:color w:val="000000"/>
        </w:rPr>
      </w:pPr>
    </w:p>
    <w:p w14:paraId="3780D886" w14:textId="77777777" w:rsidR="005D7278" w:rsidRDefault="00BE72A9">
      <w:pPr>
        <w:numPr>
          <w:ilvl w:val="0"/>
          <w:numId w:val="3"/>
        </w:numPr>
        <w:pBdr>
          <w:top w:val="nil"/>
          <w:left w:val="nil"/>
          <w:bottom w:val="nil"/>
          <w:right w:val="nil"/>
          <w:between w:val="nil"/>
        </w:pBdr>
        <w:spacing w:after="0" w:line="360" w:lineRule="auto"/>
        <w:rPr>
          <w:color w:val="000000"/>
        </w:rPr>
      </w:pPr>
      <w:r>
        <w:rPr>
          <w:color w:val="000000"/>
        </w:rPr>
        <w:t>Las resoluciones de responsabilidad administrativa remitidas en respuesta.</w:t>
      </w:r>
    </w:p>
    <w:p w14:paraId="64FF4E9D" w14:textId="77777777" w:rsidR="005D7278" w:rsidRDefault="005D7278">
      <w:pPr>
        <w:spacing w:after="0" w:line="360" w:lineRule="auto"/>
        <w:ind w:left="567"/>
        <w:rPr>
          <w:b/>
        </w:rPr>
      </w:pPr>
    </w:p>
    <w:p w14:paraId="3177D73F" w14:textId="77777777" w:rsidR="005D7278" w:rsidRDefault="00BE72A9">
      <w:pPr>
        <w:spacing w:after="0" w:line="360" w:lineRule="auto"/>
      </w:pPr>
      <w:r>
        <w:t>Además, deberá proporcionar el Acuerdo de Clasificación donde el Comité de Transparencia, confirme la eliminación de los datos confidenciales, en las versiones públicas, en términos del Considerando QUINTO, de conformidad con los artículos 49, fracciones II y VIII, 143, fracción I y 149 de la Ley de Transparencia y Acceso a la Información Pública del Estado de México y Municipios.</w:t>
      </w:r>
    </w:p>
    <w:p w14:paraId="5D89492D" w14:textId="77777777" w:rsidR="005D7278" w:rsidRDefault="005D7278">
      <w:pPr>
        <w:spacing w:after="0" w:line="360" w:lineRule="auto"/>
      </w:pPr>
    </w:p>
    <w:p w14:paraId="76C93383" w14:textId="77777777" w:rsidR="005D7278" w:rsidRDefault="00BE72A9">
      <w:pPr>
        <w:spacing w:after="0" w:line="360" w:lineRule="auto"/>
      </w:pPr>
      <w:r>
        <w:rPr>
          <w:b/>
          <w:color w:val="000000"/>
        </w:rPr>
        <w:t xml:space="preserve">TERCERO. NOTIFÍQUESE VÍA SAIMEX </w:t>
      </w:r>
      <w:r>
        <w:rPr>
          <w:color w:val="000000"/>
        </w:rPr>
        <w:t xml:space="preserve">la presente Resolución </w:t>
      </w:r>
      <w:r>
        <w:t xml:space="preserve">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w:t>
      </w:r>
      <w:r>
        <w:lastRenderedPageBreak/>
        <w:t>de manera parcial, se le impondrá una medida de apremio de conformidad con lo previsto en los artículos 198, 200, fracción III, 214, 215 y 216 de la Ley referida.</w:t>
      </w:r>
    </w:p>
    <w:p w14:paraId="1FCA2593" w14:textId="77777777" w:rsidR="005D7278" w:rsidRDefault="005D7278">
      <w:pPr>
        <w:spacing w:after="0" w:line="360" w:lineRule="auto"/>
        <w:ind w:right="-28"/>
        <w:rPr>
          <w:i/>
          <w:color w:val="000000"/>
        </w:rPr>
      </w:pPr>
    </w:p>
    <w:p w14:paraId="29102AFB" w14:textId="77777777" w:rsidR="005D7278" w:rsidRDefault="00BE72A9">
      <w:pPr>
        <w:spacing w:after="0" w:line="360" w:lineRule="auto"/>
        <w:rPr>
          <w:color w:val="000000"/>
        </w:rPr>
      </w:pPr>
      <w:r>
        <w:rPr>
          <w:color w:val="000000"/>
        </w:rPr>
        <w:t>De conformidad con el artículo 198 de la Ley de la materia, de considerarlo procedente, el Sujeto Obligado de manera fundada y motivada, podrá solicitar una ampliación de plazo para el cumplimiento de la presente resolución.</w:t>
      </w:r>
    </w:p>
    <w:p w14:paraId="6C4DA9F6" w14:textId="77777777" w:rsidR="005D7278" w:rsidRDefault="005D7278">
      <w:pPr>
        <w:spacing w:after="0" w:line="360" w:lineRule="auto"/>
        <w:rPr>
          <w:b/>
          <w:i/>
          <w:color w:val="000000"/>
        </w:rPr>
      </w:pPr>
    </w:p>
    <w:p w14:paraId="7A7E26D8" w14:textId="77777777" w:rsidR="005D7278" w:rsidRDefault="00BE72A9">
      <w:pPr>
        <w:spacing w:after="0" w:line="360" w:lineRule="auto"/>
        <w:rPr>
          <w:color w:val="000000"/>
        </w:rPr>
      </w:pPr>
      <w:r>
        <w:rPr>
          <w:b/>
          <w:color w:val="000000"/>
        </w:rPr>
        <w:t xml:space="preserve">CUARTO. NOTIFÍQUESE VÍA SAIMEX </w:t>
      </w:r>
      <w:r>
        <w:rPr>
          <w:color w:val="000000"/>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4A51CA3" w14:textId="77777777" w:rsidR="005D7278" w:rsidRDefault="005D7278">
      <w:pPr>
        <w:spacing w:after="0" w:line="360" w:lineRule="auto"/>
        <w:rPr>
          <w:color w:val="000000"/>
        </w:rPr>
      </w:pPr>
    </w:p>
    <w:p w14:paraId="5D486FE8" w14:textId="77777777" w:rsidR="005D7278" w:rsidRDefault="00BE72A9">
      <w:pPr>
        <w:spacing w:after="0" w:line="360" w:lineRule="auto"/>
        <w:rPr>
          <w:color w:val="000000"/>
        </w:rPr>
      </w:pPr>
      <w:r>
        <w:rPr>
          <w:b/>
          <w:color w:val="000000"/>
        </w:rPr>
        <w:t>QUINTO.</w:t>
      </w:r>
      <w:r>
        <w:rPr>
          <w:color w:val="000000"/>
        </w:rPr>
        <w:t xml:space="preserve"> Con fundamento en lo dispuesto en el artículo 24, fracciones XI, XII y XIII del Reglamento Interior del Instituto de Transparencia, Acceso a la Información Pública y Protección de Datos Personales del Estado de México y Municipios, gírese oficio a la Dirección General de Protección de Datos Personales de este Instituto, en términos de lo dispuesto en el Considerando SÉXTO de la presente Resolución.</w:t>
      </w:r>
    </w:p>
    <w:p w14:paraId="3EF9F731" w14:textId="77777777" w:rsidR="005D7278" w:rsidRDefault="005D7278">
      <w:pPr>
        <w:spacing w:after="0" w:line="360" w:lineRule="auto"/>
        <w:rPr>
          <w:color w:val="000000"/>
        </w:rPr>
      </w:pPr>
    </w:p>
    <w:p w14:paraId="168CD976" w14:textId="77777777" w:rsidR="005D7278" w:rsidRDefault="00BE72A9">
      <w:pPr>
        <w:spacing w:after="0" w:line="360" w:lineRule="auto"/>
      </w:pPr>
      <w:r>
        <w:t xml:space="preserve">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SÉPTIMA SESIÓN ORDINARIA, CELEBRADA EL DIECISÉIS DE OCTUBRE DE DOS MIL VEINTICUATRO, ANTE EL SECRETARIO TÉCNICO DEL PLENO, ALEXIS TAPIA RAMÍREZ.</w:t>
      </w:r>
    </w:p>
    <w:p w14:paraId="347F425C" w14:textId="77777777" w:rsidR="005D7278" w:rsidRDefault="00BE72A9">
      <w:pPr>
        <w:spacing w:after="0" w:line="360" w:lineRule="auto"/>
        <w:jc w:val="left"/>
      </w:pPr>
      <w:r>
        <w:br w:type="page"/>
      </w:r>
    </w:p>
    <w:sectPr w:rsidR="005D7278">
      <w:headerReference w:type="even" r:id="rId14"/>
      <w:headerReference w:type="default" r:id="rId15"/>
      <w:footerReference w:type="even" r:id="rId16"/>
      <w:footerReference w:type="default" r:id="rId17"/>
      <w:headerReference w:type="first" r:id="rId18"/>
      <w:footerReference w:type="first" r:id="rId19"/>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3CF04" w14:textId="77777777" w:rsidR="009E2943" w:rsidRDefault="009E2943">
      <w:pPr>
        <w:spacing w:after="0" w:line="240" w:lineRule="auto"/>
      </w:pPr>
      <w:r>
        <w:separator/>
      </w:r>
    </w:p>
  </w:endnote>
  <w:endnote w:type="continuationSeparator" w:id="0">
    <w:p w14:paraId="5B6F2913" w14:textId="77777777" w:rsidR="009E2943" w:rsidRDefault="009E2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CC7B" w14:textId="77777777" w:rsidR="005D7278" w:rsidRDefault="00BE72A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end"/>
    </w:r>
  </w:p>
  <w:p w14:paraId="38AC61A3" w14:textId="77777777" w:rsidR="005D7278" w:rsidRDefault="005D727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7B42" w14:textId="77777777" w:rsidR="005D7278" w:rsidRDefault="00BE72A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B030C">
      <w:rPr>
        <w:b/>
        <w:noProof/>
        <w:color w:val="000000"/>
        <w:sz w:val="24"/>
        <w:szCs w:val="24"/>
      </w:rPr>
      <w:t>20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B030C">
      <w:rPr>
        <w:b/>
        <w:noProof/>
        <w:color w:val="000000"/>
        <w:sz w:val="24"/>
        <w:szCs w:val="24"/>
      </w:rPr>
      <w:t>40</w:t>
    </w:r>
    <w:r>
      <w:rPr>
        <w:b/>
        <w:color w:val="000000"/>
        <w:sz w:val="24"/>
        <w:szCs w:val="24"/>
      </w:rPr>
      <w:fldChar w:fldCharType="end"/>
    </w:r>
  </w:p>
  <w:p w14:paraId="038A627B" w14:textId="77777777" w:rsidR="005D7278" w:rsidRDefault="005D7278">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78FC" w14:textId="77777777" w:rsidR="005D7278" w:rsidRDefault="00BE72A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B030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B030C">
      <w:rPr>
        <w:b/>
        <w:noProof/>
        <w:color w:val="000000"/>
        <w:sz w:val="24"/>
        <w:szCs w:val="24"/>
      </w:rPr>
      <w:t>40</w:t>
    </w:r>
    <w:r>
      <w:rPr>
        <w:b/>
        <w:color w:val="000000"/>
        <w:sz w:val="24"/>
        <w:szCs w:val="24"/>
      </w:rPr>
      <w:fldChar w:fldCharType="end"/>
    </w:r>
  </w:p>
  <w:p w14:paraId="1B581CE3" w14:textId="77777777" w:rsidR="005D7278" w:rsidRDefault="005D727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1C5C7" w14:textId="77777777" w:rsidR="009E2943" w:rsidRDefault="009E2943">
      <w:pPr>
        <w:spacing w:after="0" w:line="240" w:lineRule="auto"/>
      </w:pPr>
      <w:r>
        <w:separator/>
      </w:r>
    </w:p>
  </w:footnote>
  <w:footnote w:type="continuationSeparator" w:id="0">
    <w:p w14:paraId="34EC9ABA" w14:textId="77777777" w:rsidR="009E2943" w:rsidRDefault="009E2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7128" w14:textId="77777777" w:rsidR="005D7278" w:rsidRDefault="005D7278">
    <w:pPr>
      <w:widowControl w:val="0"/>
      <w:pBdr>
        <w:top w:val="nil"/>
        <w:left w:val="nil"/>
        <w:bottom w:val="nil"/>
        <w:right w:val="nil"/>
        <w:between w:val="nil"/>
      </w:pBdr>
      <w:spacing w:after="0" w:line="276" w:lineRule="auto"/>
      <w:jc w:val="left"/>
      <w:rPr>
        <w:color w:val="000000"/>
      </w:rPr>
    </w:pPr>
  </w:p>
  <w:tbl>
    <w:tblPr>
      <w:tblStyle w:val="a3"/>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5D7278" w14:paraId="46FB0531" w14:textId="77777777">
      <w:trPr>
        <w:trHeight w:val="141"/>
      </w:trPr>
      <w:tc>
        <w:tcPr>
          <w:tcW w:w="2404" w:type="dxa"/>
        </w:tcPr>
        <w:p w14:paraId="519AD51C" w14:textId="77777777" w:rsidR="005D7278" w:rsidRDefault="00BE72A9">
          <w:pPr>
            <w:tabs>
              <w:tab w:val="right" w:pos="8838"/>
            </w:tabs>
            <w:ind w:right="-105"/>
            <w:rPr>
              <w:b/>
            </w:rPr>
          </w:pPr>
          <w:r>
            <w:rPr>
              <w:b/>
            </w:rPr>
            <w:t>Recurso de Revisión:</w:t>
          </w:r>
        </w:p>
      </w:tc>
      <w:tc>
        <w:tcPr>
          <w:tcW w:w="3587" w:type="dxa"/>
        </w:tcPr>
        <w:p w14:paraId="3BEE7B3F" w14:textId="77777777" w:rsidR="005D7278" w:rsidRDefault="00BE72A9">
          <w:pPr>
            <w:tabs>
              <w:tab w:val="right" w:pos="8838"/>
            </w:tabs>
            <w:ind w:left="-28" w:right="683"/>
          </w:pPr>
          <w:r>
            <w:t>04196/INFOEM/IP/RR/2020</w:t>
          </w:r>
        </w:p>
      </w:tc>
    </w:tr>
    <w:tr w:rsidR="005D7278" w14:paraId="51175B41" w14:textId="77777777">
      <w:trPr>
        <w:trHeight w:val="276"/>
      </w:trPr>
      <w:tc>
        <w:tcPr>
          <w:tcW w:w="2404" w:type="dxa"/>
        </w:tcPr>
        <w:p w14:paraId="2702F275" w14:textId="77777777" w:rsidR="005D7278" w:rsidRDefault="00BE72A9">
          <w:pPr>
            <w:tabs>
              <w:tab w:val="right" w:pos="8838"/>
            </w:tabs>
            <w:ind w:right="-105"/>
            <w:rPr>
              <w:b/>
            </w:rPr>
          </w:pPr>
          <w:r>
            <w:rPr>
              <w:b/>
            </w:rPr>
            <w:t>Sujeto Obligado:</w:t>
          </w:r>
        </w:p>
      </w:tc>
      <w:tc>
        <w:tcPr>
          <w:tcW w:w="3587" w:type="dxa"/>
        </w:tcPr>
        <w:p w14:paraId="371C3B2F" w14:textId="77777777" w:rsidR="005D7278" w:rsidRDefault="00BE72A9">
          <w:pPr>
            <w:tabs>
              <w:tab w:val="right" w:pos="8838"/>
            </w:tabs>
            <w:ind w:right="116"/>
          </w:pPr>
          <w:r>
            <w:t>Ayuntamiento de Chapultepec</w:t>
          </w:r>
        </w:p>
      </w:tc>
    </w:tr>
    <w:tr w:rsidR="005D7278" w14:paraId="0A45630C" w14:textId="77777777">
      <w:trPr>
        <w:trHeight w:val="276"/>
      </w:trPr>
      <w:tc>
        <w:tcPr>
          <w:tcW w:w="2404" w:type="dxa"/>
        </w:tcPr>
        <w:p w14:paraId="0814BD02" w14:textId="77777777" w:rsidR="005D7278" w:rsidRDefault="00BE72A9">
          <w:pPr>
            <w:tabs>
              <w:tab w:val="right" w:pos="8838"/>
            </w:tabs>
            <w:ind w:right="-105"/>
            <w:rPr>
              <w:b/>
            </w:rPr>
          </w:pPr>
          <w:r>
            <w:rPr>
              <w:b/>
            </w:rPr>
            <w:t>Comisionado Ponente:</w:t>
          </w:r>
        </w:p>
      </w:tc>
      <w:tc>
        <w:tcPr>
          <w:tcW w:w="3587" w:type="dxa"/>
        </w:tcPr>
        <w:p w14:paraId="1EA3BAE3" w14:textId="77777777" w:rsidR="005D7278" w:rsidRDefault="00BE72A9">
          <w:pPr>
            <w:tabs>
              <w:tab w:val="right" w:pos="8838"/>
            </w:tabs>
            <w:ind w:right="-32"/>
          </w:pPr>
          <w:r>
            <w:t>Luis Gustavo Parra Noriega</w:t>
          </w:r>
        </w:p>
      </w:tc>
    </w:tr>
  </w:tbl>
  <w:p w14:paraId="22F568E7" w14:textId="77777777" w:rsidR="005D7278" w:rsidRDefault="009E2943">
    <w:pPr>
      <w:pBdr>
        <w:top w:val="nil"/>
        <w:left w:val="nil"/>
        <w:bottom w:val="nil"/>
        <w:right w:val="nil"/>
        <w:between w:val="nil"/>
      </w:pBdr>
      <w:tabs>
        <w:tab w:val="center" w:pos="4419"/>
        <w:tab w:val="right" w:pos="8838"/>
      </w:tabs>
      <w:spacing w:after="0" w:line="240" w:lineRule="auto"/>
      <w:rPr>
        <w:color w:val="000000"/>
      </w:rPr>
    </w:pPr>
    <w:r>
      <w:rPr>
        <w:color w:val="000000"/>
      </w:rPr>
      <w:pict w14:anchorId="36BA2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E93C" w14:textId="77777777" w:rsidR="005D7278" w:rsidRDefault="005D7278">
    <w:pPr>
      <w:rPr>
        <w:sz w:val="16"/>
        <w:szCs w:val="16"/>
      </w:rPr>
    </w:pPr>
  </w:p>
  <w:tbl>
    <w:tblPr>
      <w:tblStyle w:val="a4"/>
      <w:tblW w:w="7088"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4684"/>
    </w:tblGrid>
    <w:tr w:rsidR="005D7278" w14:paraId="7F078485" w14:textId="77777777">
      <w:trPr>
        <w:trHeight w:val="141"/>
      </w:trPr>
      <w:tc>
        <w:tcPr>
          <w:tcW w:w="2404" w:type="dxa"/>
        </w:tcPr>
        <w:p w14:paraId="5EBF7810" w14:textId="77777777" w:rsidR="005D7278" w:rsidRDefault="00BE72A9">
          <w:pPr>
            <w:tabs>
              <w:tab w:val="right" w:pos="8838"/>
            </w:tabs>
            <w:ind w:left="-395" w:right="-105" w:firstLine="395"/>
            <w:rPr>
              <w:b/>
            </w:rPr>
          </w:pPr>
          <w:r>
            <w:rPr>
              <w:b/>
            </w:rPr>
            <w:t>Recurso de Revisión:</w:t>
          </w:r>
        </w:p>
      </w:tc>
      <w:tc>
        <w:tcPr>
          <w:tcW w:w="4684" w:type="dxa"/>
        </w:tcPr>
        <w:p w14:paraId="726DF2C6" w14:textId="77777777" w:rsidR="005D7278" w:rsidRDefault="00BE72A9">
          <w:pPr>
            <w:tabs>
              <w:tab w:val="right" w:pos="8838"/>
            </w:tabs>
            <w:ind w:left="-28" w:right="454"/>
          </w:pPr>
          <w:r>
            <w:t>03246/INFOEM/IP/RR/2024</w:t>
          </w:r>
        </w:p>
      </w:tc>
    </w:tr>
    <w:tr w:rsidR="005D7278" w14:paraId="0D98FA7D" w14:textId="77777777">
      <w:trPr>
        <w:trHeight w:val="276"/>
      </w:trPr>
      <w:tc>
        <w:tcPr>
          <w:tcW w:w="2404" w:type="dxa"/>
        </w:tcPr>
        <w:p w14:paraId="5E73E66A" w14:textId="77777777" w:rsidR="005D7278" w:rsidRDefault="00BE72A9">
          <w:pPr>
            <w:tabs>
              <w:tab w:val="right" w:pos="8838"/>
            </w:tabs>
            <w:ind w:right="-105"/>
            <w:rPr>
              <w:b/>
            </w:rPr>
          </w:pPr>
          <w:r>
            <w:rPr>
              <w:b/>
            </w:rPr>
            <w:t>Sujeto Obligado:</w:t>
          </w:r>
        </w:p>
      </w:tc>
      <w:tc>
        <w:tcPr>
          <w:tcW w:w="4684" w:type="dxa"/>
        </w:tcPr>
        <w:p w14:paraId="1F5B5357" w14:textId="77777777" w:rsidR="005D7278" w:rsidRDefault="00BE72A9">
          <w:pPr>
            <w:tabs>
              <w:tab w:val="left" w:pos="3158"/>
              <w:tab w:val="left" w:pos="4292"/>
              <w:tab w:val="right" w:pos="8838"/>
            </w:tabs>
            <w:ind w:right="601"/>
          </w:pPr>
          <w:r>
            <w:t>Ayuntamiento de Temascalcingo</w:t>
          </w:r>
        </w:p>
      </w:tc>
    </w:tr>
    <w:tr w:rsidR="005D7278" w14:paraId="5FCAC4A3" w14:textId="77777777">
      <w:trPr>
        <w:trHeight w:val="276"/>
      </w:trPr>
      <w:tc>
        <w:tcPr>
          <w:tcW w:w="2404" w:type="dxa"/>
        </w:tcPr>
        <w:p w14:paraId="40CE44A2" w14:textId="77777777" w:rsidR="005D7278" w:rsidRDefault="00BE72A9">
          <w:pPr>
            <w:tabs>
              <w:tab w:val="right" w:pos="8838"/>
            </w:tabs>
            <w:ind w:right="-105"/>
            <w:rPr>
              <w:b/>
            </w:rPr>
          </w:pPr>
          <w:r>
            <w:rPr>
              <w:b/>
            </w:rPr>
            <w:t>Comisionado Ponente:</w:t>
          </w:r>
        </w:p>
      </w:tc>
      <w:tc>
        <w:tcPr>
          <w:tcW w:w="4684" w:type="dxa"/>
        </w:tcPr>
        <w:p w14:paraId="442BCFAC" w14:textId="77777777" w:rsidR="005D7278" w:rsidRDefault="00BE72A9">
          <w:pPr>
            <w:tabs>
              <w:tab w:val="right" w:pos="8838"/>
            </w:tabs>
            <w:ind w:right="454"/>
          </w:pPr>
          <w:r>
            <w:t>Luis Gustavo Parra Noriega</w:t>
          </w:r>
        </w:p>
      </w:tc>
    </w:tr>
  </w:tbl>
  <w:p w14:paraId="00E6822D" w14:textId="77777777" w:rsidR="005D7278" w:rsidRDefault="009E2943">
    <w:pPr>
      <w:pBdr>
        <w:top w:val="nil"/>
        <w:left w:val="nil"/>
        <w:bottom w:val="nil"/>
        <w:right w:val="nil"/>
        <w:between w:val="nil"/>
      </w:pBdr>
      <w:tabs>
        <w:tab w:val="center" w:pos="4419"/>
        <w:tab w:val="right" w:pos="8838"/>
      </w:tabs>
      <w:spacing w:after="0" w:line="240" w:lineRule="auto"/>
      <w:rPr>
        <w:color w:val="000000"/>
      </w:rPr>
    </w:pPr>
    <w:r>
      <w:rPr>
        <w:color w:val="000000"/>
      </w:rPr>
      <w:pict w14:anchorId="1F3F9F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6"/>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3510" w14:textId="77777777" w:rsidR="005D7278" w:rsidRDefault="005D7278">
    <w:pPr>
      <w:widowControl w:val="0"/>
      <w:pBdr>
        <w:top w:val="nil"/>
        <w:left w:val="nil"/>
        <w:bottom w:val="nil"/>
        <w:right w:val="nil"/>
        <w:between w:val="nil"/>
      </w:pBdr>
      <w:spacing w:after="0" w:line="276" w:lineRule="auto"/>
      <w:jc w:val="left"/>
      <w:rPr>
        <w:color w:val="000000"/>
      </w:rPr>
    </w:pPr>
  </w:p>
  <w:tbl>
    <w:tblPr>
      <w:tblStyle w:val="a5"/>
      <w:tblW w:w="9214" w:type="dxa"/>
      <w:tblInd w:w="0" w:type="dxa"/>
      <w:tblLayout w:type="fixed"/>
      <w:tblLook w:val="0400" w:firstRow="0" w:lastRow="0" w:firstColumn="0" w:lastColumn="0" w:noHBand="0" w:noVBand="1"/>
    </w:tblPr>
    <w:tblGrid>
      <w:gridCol w:w="2127"/>
      <w:gridCol w:w="7087"/>
    </w:tblGrid>
    <w:tr w:rsidR="005D7278" w14:paraId="06C7548D" w14:textId="77777777">
      <w:trPr>
        <w:trHeight w:val="1546"/>
      </w:trPr>
      <w:tc>
        <w:tcPr>
          <w:tcW w:w="2127" w:type="dxa"/>
          <w:shd w:val="clear" w:color="auto" w:fill="auto"/>
        </w:tcPr>
        <w:p w14:paraId="420467C7" w14:textId="77777777" w:rsidR="005D7278" w:rsidRDefault="005D7278">
          <w:pPr>
            <w:tabs>
              <w:tab w:val="right" w:pos="4273"/>
            </w:tabs>
            <w:rPr>
              <w:rFonts w:ascii="Garamond" w:eastAsia="Garamond" w:hAnsi="Garamond" w:cs="Garamond"/>
              <w:sz w:val="16"/>
              <w:szCs w:val="16"/>
            </w:rPr>
          </w:pPr>
        </w:p>
      </w:tc>
      <w:tc>
        <w:tcPr>
          <w:tcW w:w="7087" w:type="dxa"/>
          <w:shd w:val="clear" w:color="auto" w:fill="auto"/>
        </w:tcPr>
        <w:p w14:paraId="3E0E0347" w14:textId="77777777" w:rsidR="005D7278" w:rsidRDefault="005D7278">
          <w:pPr>
            <w:rPr>
              <w:sz w:val="10"/>
              <w:szCs w:val="10"/>
            </w:rPr>
          </w:pPr>
        </w:p>
        <w:tbl>
          <w:tblPr>
            <w:tblStyle w:val="a6"/>
            <w:tblW w:w="6379" w:type="dxa"/>
            <w:tblInd w:w="1167" w:type="dxa"/>
            <w:tblBorders>
              <w:top w:val="nil"/>
              <w:left w:val="nil"/>
              <w:bottom w:val="nil"/>
              <w:right w:val="nil"/>
              <w:insideH w:val="nil"/>
              <w:insideV w:val="nil"/>
            </w:tblBorders>
            <w:tblLayout w:type="fixed"/>
            <w:tblLook w:val="0400" w:firstRow="0" w:lastRow="0" w:firstColumn="0" w:lastColumn="0" w:noHBand="0" w:noVBand="1"/>
          </w:tblPr>
          <w:tblGrid>
            <w:gridCol w:w="2404"/>
            <w:gridCol w:w="3975"/>
          </w:tblGrid>
          <w:tr w:rsidR="005D7278" w14:paraId="4D8D3988" w14:textId="77777777">
            <w:trPr>
              <w:trHeight w:val="141"/>
            </w:trPr>
            <w:tc>
              <w:tcPr>
                <w:tcW w:w="2404" w:type="dxa"/>
                <w:vAlign w:val="bottom"/>
              </w:tcPr>
              <w:p w14:paraId="3AA0874C" w14:textId="77777777" w:rsidR="005D7278" w:rsidRDefault="00BE72A9">
                <w:pPr>
                  <w:tabs>
                    <w:tab w:val="right" w:pos="8838"/>
                  </w:tabs>
                  <w:ind w:right="-105"/>
                  <w:rPr>
                    <w:b/>
                  </w:rPr>
                </w:pPr>
                <w:r>
                  <w:rPr>
                    <w:b/>
                  </w:rPr>
                  <w:t>Recurso de Revisión:</w:t>
                </w:r>
              </w:p>
            </w:tc>
            <w:tc>
              <w:tcPr>
                <w:tcW w:w="3975" w:type="dxa"/>
              </w:tcPr>
              <w:p w14:paraId="3B73338B" w14:textId="77777777" w:rsidR="005D7278" w:rsidRDefault="00BE72A9">
                <w:pPr>
                  <w:tabs>
                    <w:tab w:val="right" w:pos="8838"/>
                  </w:tabs>
                  <w:ind w:left="-28" w:right="-107"/>
                </w:pPr>
                <w:r>
                  <w:t>03246/INFOEM/IP/RR/2024</w:t>
                </w:r>
              </w:p>
            </w:tc>
          </w:tr>
          <w:tr w:rsidR="005D7278" w14:paraId="622E01A2" w14:textId="77777777">
            <w:trPr>
              <w:trHeight w:val="141"/>
            </w:trPr>
            <w:tc>
              <w:tcPr>
                <w:tcW w:w="2404" w:type="dxa"/>
              </w:tcPr>
              <w:p w14:paraId="3DE4EEAC" w14:textId="77777777" w:rsidR="005D7278" w:rsidRDefault="00BE72A9">
                <w:pPr>
                  <w:tabs>
                    <w:tab w:val="right" w:pos="8838"/>
                  </w:tabs>
                  <w:ind w:right="-105"/>
                  <w:rPr>
                    <w:b/>
                  </w:rPr>
                </w:pPr>
                <w:r>
                  <w:rPr>
                    <w:b/>
                  </w:rPr>
                  <w:t>Recurrente:</w:t>
                </w:r>
              </w:p>
            </w:tc>
            <w:tc>
              <w:tcPr>
                <w:tcW w:w="3975" w:type="dxa"/>
              </w:tcPr>
              <w:p w14:paraId="12A51547" w14:textId="77777777" w:rsidR="005D7278" w:rsidRPr="007B7F6A" w:rsidRDefault="00F0502C">
                <w:pPr>
                  <w:tabs>
                    <w:tab w:val="right" w:pos="8838"/>
                  </w:tabs>
                  <w:ind w:right="-107"/>
                  <w:rPr>
                    <w:b/>
                  </w:rPr>
                </w:pPr>
                <w:r w:rsidRPr="007B7F6A">
                  <w:rPr>
                    <w:b/>
                    <w:highlight w:val="black"/>
                  </w:rPr>
                  <w:t>XXXXXXXXX</w:t>
                </w:r>
                <w:r w:rsidR="00BB030C" w:rsidRPr="007B7F6A">
                  <w:rPr>
                    <w:b/>
                    <w:highlight w:val="black"/>
                  </w:rPr>
                  <w:t>XXXXXXXX</w:t>
                </w:r>
              </w:p>
            </w:tc>
          </w:tr>
          <w:tr w:rsidR="005D7278" w14:paraId="242B264C" w14:textId="77777777">
            <w:trPr>
              <w:trHeight w:val="276"/>
            </w:trPr>
            <w:tc>
              <w:tcPr>
                <w:tcW w:w="2404" w:type="dxa"/>
              </w:tcPr>
              <w:p w14:paraId="1A019093" w14:textId="77777777" w:rsidR="005D7278" w:rsidRDefault="00BE72A9">
                <w:pPr>
                  <w:tabs>
                    <w:tab w:val="right" w:pos="8838"/>
                  </w:tabs>
                  <w:ind w:right="-105"/>
                  <w:rPr>
                    <w:b/>
                  </w:rPr>
                </w:pPr>
                <w:r>
                  <w:rPr>
                    <w:b/>
                  </w:rPr>
                  <w:t>Sujeto Obligado:</w:t>
                </w:r>
              </w:p>
            </w:tc>
            <w:tc>
              <w:tcPr>
                <w:tcW w:w="3975" w:type="dxa"/>
              </w:tcPr>
              <w:p w14:paraId="49142062" w14:textId="77777777" w:rsidR="005D7278" w:rsidRDefault="00BE72A9">
                <w:pPr>
                  <w:tabs>
                    <w:tab w:val="right" w:pos="8838"/>
                  </w:tabs>
                  <w:ind w:right="33"/>
                </w:pPr>
                <w:r>
                  <w:t>Ayuntamiento de Temascalcingo</w:t>
                </w:r>
              </w:p>
            </w:tc>
          </w:tr>
          <w:tr w:rsidR="005D7278" w14:paraId="2D032A4B" w14:textId="77777777">
            <w:trPr>
              <w:trHeight w:val="276"/>
            </w:trPr>
            <w:tc>
              <w:tcPr>
                <w:tcW w:w="2404" w:type="dxa"/>
              </w:tcPr>
              <w:p w14:paraId="2668EB28" w14:textId="77777777" w:rsidR="005D7278" w:rsidRDefault="00BE72A9">
                <w:pPr>
                  <w:tabs>
                    <w:tab w:val="right" w:pos="8838"/>
                  </w:tabs>
                  <w:ind w:right="-105"/>
                  <w:rPr>
                    <w:b/>
                  </w:rPr>
                </w:pPr>
                <w:r>
                  <w:rPr>
                    <w:b/>
                  </w:rPr>
                  <w:t>Comisionado Ponente:</w:t>
                </w:r>
              </w:p>
            </w:tc>
            <w:tc>
              <w:tcPr>
                <w:tcW w:w="3975" w:type="dxa"/>
              </w:tcPr>
              <w:p w14:paraId="22122431" w14:textId="77777777" w:rsidR="005D7278" w:rsidRDefault="00BE72A9">
                <w:pPr>
                  <w:tabs>
                    <w:tab w:val="right" w:pos="8838"/>
                  </w:tabs>
                  <w:ind w:right="-107"/>
                </w:pPr>
                <w:r>
                  <w:t>Luis Gustavo Parra Noriega</w:t>
                </w:r>
              </w:p>
            </w:tc>
          </w:tr>
        </w:tbl>
        <w:p w14:paraId="6D7A4574" w14:textId="77777777" w:rsidR="005D7278" w:rsidRDefault="005D7278">
          <w:pPr>
            <w:tabs>
              <w:tab w:val="right" w:pos="8838"/>
            </w:tabs>
            <w:ind w:left="-28"/>
            <w:rPr>
              <w:rFonts w:ascii="Arial" w:eastAsia="Arial" w:hAnsi="Arial" w:cs="Arial"/>
              <w:b/>
            </w:rPr>
          </w:pPr>
        </w:p>
      </w:tc>
    </w:tr>
  </w:tbl>
  <w:p w14:paraId="28035DCC" w14:textId="77777777" w:rsidR="005D7278" w:rsidRDefault="009E2943">
    <w:pPr>
      <w:pBdr>
        <w:top w:val="nil"/>
        <w:left w:val="nil"/>
        <w:bottom w:val="nil"/>
        <w:right w:val="nil"/>
        <w:between w:val="nil"/>
      </w:pBdr>
      <w:tabs>
        <w:tab w:val="center" w:pos="4419"/>
        <w:tab w:val="right" w:pos="8838"/>
      </w:tabs>
      <w:spacing w:after="0" w:line="240" w:lineRule="auto"/>
      <w:rPr>
        <w:color w:val="000000"/>
      </w:rPr>
    </w:pPr>
    <w:r>
      <w:rPr>
        <w:color w:val="000000"/>
      </w:rPr>
      <w:pict w14:anchorId="66E49F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E33"/>
    <w:multiLevelType w:val="multilevel"/>
    <w:tmpl w:val="707A81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7F1D06"/>
    <w:multiLevelType w:val="multilevel"/>
    <w:tmpl w:val="33D49D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FC56FF"/>
    <w:multiLevelType w:val="multilevel"/>
    <w:tmpl w:val="5DF644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0510377"/>
    <w:multiLevelType w:val="multilevel"/>
    <w:tmpl w:val="515229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9A4A1A"/>
    <w:multiLevelType w:val="multilevel"/>
    <w:tmpl w:val="F848A4A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1B3A26"/>
    <w:multiLevelType w:val="multilevel"/>
    <w:tmpl w:val="1EE0C7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0DA4AB7"/>
    <w:multiLevelType w:val="multilevel"/>
    <w:tmpl w:val="3DE83BB4"/>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150755C"/>
    <w:multiLevelType w:val="multilevel"/>
    <w:tmpl w:val="30D8461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6C3F26"/>
    <w:multiLevelType w:val="multilevel"/>
    <w:tmpl w:val="A5982F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4C91D61"/>
    <w:multiLevelType w:val="multilevel"/>
    <w:tmpl w:val="7378600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DB55F4B"/>
    <w:multiLevelType w:val="multilevel"/>
    <w:tmpl w:val="2CC849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2"/>
  </w:num>
  <w:num w:numId="3">
    <w:abstractNumId w:val="0"/>
  </w:num>
  <w:num w:numId="4">
    <w:abstractNumId w:val="1"/>
  </w:num>
  <w:num w:numId="5">
    <w:abstractNumId w:val="10"/>
  </w:num>
  <w:num w:numId="6">
    <w:abstractNumId w:val="4"/>
  </w:num>
  <w:num w:numId="7">
    <w:abstractNumId w:val="3"/>
  </w:num>
  <w:num w:numId="8">
    <w:abstractNumId w:val="7"/>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278"/>
    <w:rsid w:val="005D7278"/>
    <w:rsid w:val="007B7F6A"/>
    <w:rsid w:val="009E2943"/>
    <w:rsid w:val="009E66DF"/>
    <w:rsid w:val="00AD63F3"/>
    <w:rsid w:val="00BB030C"/>
    <w:rsid w:val="00BE72A9"/>
    <w:rsid w:val="00C112A0"/>
    <w:rsid w:val="00DA09EF"/>
    <w:rsid w:val="00F0502C"/>
    <w:rsid w:val="00FC3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2039AB"/>
  <w15:docId w15:val="{490284B5-90AF-476C-B6A2-7BAE6A13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sultas.curp.gob.mx/CurpSP/html/informacionecurpPS.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coqNhP3/Lu1tsurWtbx/OoNTwg==">CgMxLjA4AHIhMTJpcXpacDhWdVNzV0t2bTFQbzdCM3BIc2pvb0Z4OVRE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10432</Words>
  <Characters>57377</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roxheart97@gmail.com</cp:lastModifiedBy>
  <cp:revision>8</cp:revision>
  <dcterms:created xsi:type="dcterms:W3CDTF">2024-10-18T20:50:00Z</dcterms:created>
  <dcterms:modified xsi:type="dcterms:W3CDTF">2024-10-25T03:39:00Z</dcterms:modified>
</cp:coreProperties>
</file>