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A0D1" w14:textId="5FE08CF4" w:rsidR="00430390"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6B6AC8" w:rsidRPr="00E13C00">
        <w:rPr>
          <w:rFonts w:ascii="Palatino Linotype" w:eastAsia="Palatino Linotype" w:hAnsi="Palatino Linotype" w:cs="Palatino Linotype"/>
        </w:rPr>
        <w:t>dieciséis</w:t>
      </w:r>
      <w:r w:rsidR="00956333" w:rsidRPr="00E13C00">
        <w:rPr>
          <w:rFonts w:ascii="Palatino Linotype" w:eastAsia="Palatino Linotype" w:hAnsi="Palatino Linotype" w:cs="Palatino Linotype"/>
        </w:rPr>
        <w:t xml:space="preserve"> de </w:t>
      </w:r>
      <w:r w:rsidR="006B6AC8" w:rsidRPr="00E13C00">
        <w:rPr>
          <w:rFonts w:ascii="Palatino Linotype" w:eastAsia="Palatino Linotype" w:hAnsi="Palatino Linotype" w:cs="Palatino Linotype"/>
        </w:rPr>
        <w:t>octubre</w:t>
      </w:r>
      <w:r w:rsidR="00004712"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rPr>
        <w:t xml:space="preserve">de dos mil veinticuatro. </w:t>
      </w:r>
    </w:p>
    <w:p w14:paraId="45D03A15" w14:textId="77777777" w:rsidR="00430390" w:rsidRPr="00E13C00" w:rsidRDefault="00430390">
      <w:pPr>
        <w:spacing w:after="0" w:line="360" w:lineRule="auto"/>
        <w:ind w:right="49"/>
        <w:jc w:val="center"/>
        <w:rPr>
          <w:rFonts w:ascii="Palatino Linotype" w:eastAsia="Palatino Linotype" w:hAnsi="Palatino Linotype" w:cs="Palatino Linotype"/>
        </w:rPr>
      </w:pPr>
    </w:p>
    <w:p w14:paraId="60510E65" w14:textId="3AFA4CA1" w:rsidR="00430390"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Visto el expediente relativo al recurso de revisión </w:t>
      </w:r>
      <w:r w:rsidR="006B6AC8" w:rsidRPr="00E13C00">
        <w:rPr>
          <w:rFonts w:ascii="Palatino Linotype" w:eastAsia="Palatino Linotype" w:hAnsi="Palatino Linotype" w:cs="Palatino Linotype"/>
          <w:b/>
        </w:rPr>
        <w:t>04604/INFOEM/IP/RR/2024</w:t>
      </w:r>
      <w:r w:rsidRPr="00E13C00">
        <w:rPr>
          <w:rFonts w:ascii="Palatino Linotype" w:eastAsia="Palatino Linotype" w:hAnsi="Palatino Linotype" w:cs="Palatino Linotype"/>
        </w:rPr>
        <w:t xml:space="preserve">, interpuesto por </w:t>
      </w:r>
      <w:r w:rsidR="00F8027E">
        <w:rPr>
          <w:rFonts w:ascii="Palatino Linotype" w:eastAsia="Palatino Linotype" w:hAnsi="Palatino Linotype" w:cs="Palatino Linotype"/>
          <w:b/>
          <w:color w:val="000000"/>
        </w:rPr>
        <w:t>XXXXXXXXX XXXX XXXXX</w:t>
      </w:r>
      <w:r w:rsidRPr="00E13C00">
        <w:rPr>
          <w:rFonts w:ascii="Palatino Linotype" w:eastAsia="Palatino Linotype" w:hAnsi="Palatino Linotype" w:cs="Palatino Linotype"/>
        </w:rPr>
        <w:t xml:space="preserve">, al cual en lo sucesivo se le denominará la parte </w:t>
      </w:r>
      <w:r w:rsidRPr="00E13C00">
        <w:rPr>
          <w:rFonts w:ascii="Palatino Linotype" w:eastAsia="Palatino Linotype" w:hAnsi="Palatino Linotype" w:cs="Palatino Linotype"/>
          <w:b/>
        </w:rPr>
        <w:t>RECURRENTE</w:t>
      </w:r>
      <w:r w:rsidRPr="00E13C00">
        <w:rPr>
          <w:rFonts w:ascii="Palatino Linotype" w:eastAsia="Palatino Linotype" w:hAnsi="Palatino Linotype" w:cs="Palatino Linotype"/>
        </w:rPr>
        <w:t xml:space="preserve">, en contra de la respuesta a su solicitud de información identificada con número de folio </w:t>
      </w:r>
      <w:r w:rsidR="005C4241" w:rsidRPr="00E13C00">
        <w:rPr>
          <w:rFonts w:ascii="Palatino Linotype" w:eastAsia="Palatino Linotype" w:hAnsi="Palatino Linotype" w:cs="Palatino Linotype"/>
          <w:b/>
        </w:rPr>
        <w:t>00</w:t>
      </w:r>
      <w:r w:rsidR="006B6AC8" w:rsidRPr="00E13C00">
        <w:rPr>
          <w:rFonts w:ascii="Palatino Linotype" w:eastAsia="Palatino Linotype" w:hAnsi="Palatino Linotype" w:cs="Palatino Linotype"/>
          <w:b/>
        </w:rPr>
        <w:t>916</w:t>
      </w:r>
      <w:r w:rsidRPr="00E13C00">
        <w:rPr>
          <w:rFonts w:ascii="Palatino Linotype" w:eastAsia="Palatino Linotype" w:hAnsi="Palatino Linotype" w:cs="Palatino Linotype"/>
          <w:b/>
        </w:rPr>
        <w:t>/</w:t>
      </w:r>
      <w:r w:rsidR="006B6AC8" w:rsidRPr="00E13C00">
        <w:rPr>
          <w:rFonts w:ascii="Palatino Linotype" w:eastAsia="Palatino Linotype" w:hAnsi="Palatino Linotype" w:cs="Palatino Linotype"/>
          <w:b/>
        </w:rPr>
        <w:t>SESEA</w:t>
      </w:r>
      <w:r w:rsidRPr="00E13C00">
        <w:rPr>
          <w:rFonts w:ascii="Palatino Linotype" w:eastAsia="Palatino Linotype" w:hAnsi="Palatino Linotype" w:cs="Palatino Linotype"/>
          <w:b/>
        </w:rPr>
        <w:t>/IP/202</w:t>
      </w:r>
      <w:r w:rsidR="00820365" w:rsidRPr="00E13C00">
        <w:rPr>
          <w:rFonts w:ascii="Palatino Linotype" w:eastAsia="Palatino Linotype" w:hAnsi="Palatino Linotype" w:cs="Palatino Linotype"/>
          <w:b/>
        </w:rPr>
        <w:t>4</w:t>
      </w:r>
      <w:r w:rsidR="005C4241" w:rsidRPr="00E13C00">
        <w:rPr>
          <w:rFonts w:ascii="Palatino Linotype" w:eastAsia="Palatino Linotype" w:hAnsi="Palatino Linotype" w:cs="Palatino Linotype"/>
        </w:rPr>
        <w:t xml:space="preserve"> proporcionada por parte de</w:t>
      </w:r>
      <w:r w:rsidR="006B6AC8" w:rsidRPr="00E13C00">
        <w:rPr>
          <w:rFonts w:ascii="Palatino Linotype" w:eastAsia="Palatino Linotype" w:hAnsi="Palatino Linotype" w:cs="Palatino Linotype"/>
        </w:rPr>
        <w:t xml:space="preserve"> </w:t>
      </w:r>
      <w:r w:rsidR="00FE4DA3" w:rsidRPr="00E13C00">
        <w:rPr>
          <w:rFonts w:ascii="Palatino Linotype" w:eastAsia="Palatino Linotype" w:hAnsi="Palatino Linotype" w:cs="Palatino Linotype"/>
        </w:rPr>
        <w:t>l</w:t>
      </w:r>
      <w:r w:rsidR="006B6AC8" w:rsidRPr="00E13C00">
        <w:rPr>
          <w:rFonts w:ascii="Palatino Linotype" w:eastAsia="Palatino Linotype" w:hAnsi="Palatino Linotype" w:cs="Palatino Linotype"/>
        </w:rPr>
        <w:t>a</w:t>
      </w:r>
      <w:r w:rsidR="00FE4DA3" w:rsidRPr="00E13C00">
        <w:rPr>
          <w:rFonts w:ascii="Palatino Linotype" w:eastAsia="Palatino Linotype" w:hAnsi="Palatino Linotype" w:cs="Palatino Linotype"/>
        </w:rPr>
        <w:t xml:space="preserve"> </w:t>
      </w:r>
      <w:r w:rsidR="006B6AC8" w:rsidRPr="00E13C00">
        <w:rPr>
          <w:rFonts w:ascii="Palatino Linotype" w:eastAsia="Palatino Linotype" w:hAnsi="Palatino Linotype" w:cs="Palatino Linotype"/>
          <w:b/>
        </w:rPr>
        <w:t>Secretaría Ejecutiva del Sistema Estatal Anticorrupción</w:t>
      </w:r>
      <w:r w:rsidR="0077312D"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rPr>
        <w:t xml:space="preserve">en lo sucesivo el </w:t>
      </w:r>
      <w:r w:rsidRPr="00E13C00">
        <w:rPr>
          <w:rFonts w:ascii="Palatino Linotype" w:eastAsia="Palatino Linotype" w:hAnsi="Palatino Linotype" w:cs="Palatino Linotype"/>
          <w:b/>
        </w:rPr>
        <w:t>SUJETO OBLIGADO</w:t>
      </w:r>
      <w:r w:rsidRPr="00E13C00">
        <w:rPr>
          <w:rFonts w:ascii="Palatino Linotype" w:eastAsia="Palatino Linotype" w:hAnsi="Palatino Linotype" w:cs="Palatino Linotype"/>
        </w:rPr>
        <w:t>; se procede a dictar la presente resolución, con base en los siguientes:</w:t>
      </w:r>
    </w:p>
    <w:p w14:paraId="20A21F92" w14:textId="77777777" w:rsidR="00430390" w:rsidRPr="00E13C00" w:rsidRDefault="00430390">
      <w:pPr>
        <w:spacing w:after="0" w:line="360" w:lineRule="auto"/>
        <w:ind w:right="49"/>
        <w:jc w:val="both"/>
        <w:rPr>
          <w:rFonts w:ascii="Palatino Linotype" w:eastAsia="Palatino Linotype" w:hAnsi="Palatino Linotype" w:cs="Palatino Linotype"/>
        </w:rPr>
      </w:pPr>
    </w:p>
    <w:p w14:paraId="06A1E694" w14:textId="77777777" w:rsidR="00430390" w:rsidRPr="00E13C00" w:rsidRDefault="00E75862">
      <w:pPr>
        <w:spacing w:after="0" w:line="360" w:lineRule="auto"/>
        <w:ind w:right="49"/>
        <w:jc w:val="center"/>
        <w:rPr>
          <w:rFonts w:ascii="Palatino Linotype" w:eastAsia="Palatino Linotype" w:hAnsi="Palatino Linotype" w:cs="Palatino Linotype"/>
          <w:b/>
        </w:rPr>
      </w:pPr>
      <w:r w:rsidRPr="00E13C00">
        <w:rPr>
          <w:rFonts w:ascii="Palatino Linotype" w:eastAsia="Palatino Linotype" w:hAnsi="Palatino Linotype" w:cs="Palatino Linotype"/>
          <w:b/>
        </w:rPr>
        <w:t>I.</w:t>
      </w:r>
      <w:r w:rsidRPr="00E13C00">
        <w:rPr>
          <w:rFonts w:ascii="Palatino Linotype" w:eastAsia="Palatino Linotype" w:hAnsi="Palatino Linotype" w:cs="Palatino Linotype"/>
          <w:b/>
        </w:rPr>
        <w:tab/>
        <w:t>A N T E C E D E N T E S</w:t>
      </w:r>
    </w:p>
    <w:p w14:paraId="0C177AA2" w14:textId="77777777" w:rsidR="00430390" w:rsidRPr="00E13C00" w:rsidRDefault="00430390">
      <w:pPr>
        <w:spacing w:after="0" w:line="360" w:lineRule="auto"/>
        <w:ind w:right="49"/>
        <w:jc w:val="both"/>
        <w:rPr>
          <w:rFonts w:ascii="Palatino Linotype" w:eastAsia="Palatino Linotype" w:hAnsi="Palatino Linotype" w:cs="Palatino Linotype"/>
        </w:rPr>
      </w:pPr>
      <w:bookmarkStart w:id="0" w:name="_Hlk166748913"/>
    </w:p>
    <w:p w14:paraId="7BC85B89" w14:textId="15BE2863" w:rsidR="00430390" w:rsidRPr="00E13C00"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13C00">
        <w:rPr>
          <w:rFonts w:ascii="Palatino Linotype" w:eastAsia="Palatino Linotype" w:hAnsi="Palatino Linotype" w:cs="Palatino Linotype"/>
          <w:b/>
        </w:rPr>
        <w:t>Solicitud de acceso a la información.</w:t>
      </w:r>
      <w:r w:rsidRPr="00E13C00">
        <w:rPr>
          <w:rFonts w:ascii="Palatino Linotype" w:eastAsia="Palatino Linotype" w:hAnsi="Palatino Linotype" w:cs="Palatino Linotype"/>
        </w:rPr>
        <w:t xml:space="preserve"> Con fecha </w:t>
      </w:r>
      <w:r w:rsidR="0077312D" w:rsidRPr="00E13C00">
        <w:rPr>
          <w:rFonts w:ascii="Palatino Linotype" w:eastAsia="Palatino Linotype" w:hAnsi="Palatino Linotype" w:cs="Palatino Linotype"/>
          <w:b/>
        </w:rPr>
        <w:t xml:space="preserve">veintisiete de </w:t>
      </w:r>
      <w:r w:rsidR="006B6AC8" w:rsidRPr="00E13C00">
        <w:rPr>
          <w:rFonts w:ascii="Palatino Linotype" w:eastAsia="Palatino Linotype" w:hAnsi="Palatino Linotype" w:cs="Palatino Linotype"/>
          <w:b/>
        </w:rPr>
        <w:t>junio</w:t>
      </w:r>
      <w:r w:rsidR="0077312D" w:rsidRPr="00E13C00">
        <w:rPr>
          <w:rFonts w:ascii="Palatino Linotype" w:eastAsia="Palatino Linotype" w:hAnsi="Palatino Linotype" w:cs="Palatino Linotype"/>
          <w:b/>
        </w:rPr>
        <w:t xml:space="preserve"> </w:t>
      </w:r>
      <w:r w:rsidR="00820365" w:rsidRPr="00E13C00">
        <w:rPr>
          <w:rFonts w:ascii="Palatino Linotype" w:eastAsia="Palatino Linotype" w:hAnsi="Palatino Linotype" w:cs="Palatino Linotype"/>
          <w:b/>
        </w:rPr>
        <w:t>de dos mil veinticuatro</w:t>
      </w:r>
      <w:r w:rsidRPr="00E13C00">
        <w:rPr>
          <w:rFonts w:ascii="Palatino Linotype" w:eastAsia="Palatino Linotype" w:hAnsi="Palatino Linotype" w:cs="Palatino Linotype"/>
        </w:rPr>
        <w:t xml:space="preserve">, la parte </w:t>
      </w:r>
      <w:r w:rsidRPr="00E13C00">
        <w:rPr>
          <w:rFonts w:ascii="Palatino Linotype" w:eastAsia="Palatino Linotype" w:hAnsi="Palatino Linotype" w:cs="Palatino Linotype"/>
          <w:b/>
        </w:rPr>
        <w:t>RECURRENTE</w:t>
      </w:r>
      <w:r w:rsidRPr="00E13C00">
        <w:rPr>
          <w:rFonts w:ascii="Palatino Linotype" w:eastAsia="Palatino Linotype" w:hAnsi="Palatino Linotype" w:cs="Palatino Linotype"/>
        </w:rPr>
        <w:t xml:space="preserve"> formuló solicitud de acceso a información pública al</w:t>
      </w:r>
      <w:r w:rsidRPr="00E13C00">
        <w:rPr>
          <w:rFonts w:ascii="Palatino Linotype" w:eastAsia="Palatino Linotype" w:hAnsi="Palatino Linotype" w:cs="Palatino Linotype"/>
          <w:b/>
        </w:rPr>
        <w:t xml:space="preserve"> SUJETO OBLIGADO</w:t>
      </w:r>
      <w:r w:rsidR="0077312D" w:rsidRPr="00E13C00">
        <w:rPr>
          <w:rFonts w:ascii="Palatino Linotype" w:eastAsia="Palatino Linotype" w:hAnsi="Palatino Linotype" w:cs="Palatino Linotype"/>
        </w:rPr>
        <w:t xml:space="preserve"> a través </w:t>
      </w:r>
      <w:r w:rsidR="00D01B01" w:rsidRPr="00E13C00">
        <w:rPr>
          <w:rFonts w:ascii="Palatino Linotype" w:eastAsia="Palatino Linotype" w:hAnsi="Palatino Linotype" w:cs="Palatino Linotype"/>
        </w:rPr>
        <w:t xml:space="preserve">del </w:t>
      </w:r>
      <w:r w:rsidRPr="00E13C00">
        <w:rPr>
          <w:rFonts w:ascii="Palatino Linotype" w:eastAsia="Palatino Linotype" w:hAnsi="Palatino Linotype" w:cs="Palatino Linotype"/>
        </w:rPr>
        <w:t xml:space="preserve">Sistema de Acceso a la Información Mexiquense, en adelante SAIMEX, en la que requirió lo siguiente: </w:t>
      </w:r>
    </w:p>
    <w:p w14:paraId="506C89EF" w14:textId="620E3967" w:rsidR="00430390" w:rsidRPr="00E13C00" w:rsidRDefault="00E75862" w:rsidP="009F5C9E">
      <w:pPr>
        <w:tabs>
          <w:tab w:val="left" w:pos="1530"/>
          <w:tab w:val="left" w:pos="5295"/>
        </w:tabs>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ab/>
      </w:r>
      <w:r w:rsidR="009F5C9E" w:rsidRPr="00E13C00">
        <w:rPr>
          <w:rFonts w:ascii="Palatino Linotype" w:eastAsia="Palatino Linotype" w:hAnsi="Palatino Linotype" w:cs="Palatino Linotype"/>
        </w:rPr>
        <w:tab/>
      </w:r>
    </w:p>
    <w:p w14:paraId="1B746E84" w14:textId="16ADCA5F" w:rsidR="00D01B01" w:rsidRPr="00E13C00" w:rsidRDefault="00E75862" w:rsidP="00D01B01">
      <w:pPr>
        <w:ind w:left="567" w:right="560"/>
        <w:jc w:val="both"/>
        <w:rPr>
          <w:rFonts w:ascii="Palatino Linotype" w:eastAsia="Palatino Linotype" w:hAnsi="Palatino Linotype" w:cs="Palatino Linotype"/>
          <w:i/>
        </w:rPr>
      </w:pPr>
      <w:bookmarkStart w:id="1" w:name="_heading=h.30j0zll" w:colFirst="0" w:colLast="0"/>
      <w:bookmarkEnd w:id="1"/>
      <w:r w:rsidRPr="00E13C00">
        <w:rPr>
          <w:rFonts w:ascii="Palatino Linotype" w:eastAsia="Palatino Linotype" w:hAnsi="Palatino Linotype" w:cs="Palatino Linotype"/>
          <w:i/>
        </w:rPr>
        <w:t>“</w:t>
      </w:r>
      <w:r w:rsidR="006B6AC8" w:rsidRPr="00E13C00">
        <w:rPr>
          <w:rFonts w:ascii="Palatino Linotype" w:eastAsia="Palatino Linotype" w:hAnsi="Palatino Linotype" w:cs="Palatino Linotype"/>
          <w:i/>
        </w:rPr>
        <w:t>Costo de la comida con los periodistas del día de hoy, copia de la factura o facturas en caso de que se haya pagado las copas de vino aparte</w:t>
      </w:r>
      <w:r w:rsidR="00D01B01" w:rsidRPr="00E13C00">
        <w:rPr>
          <w:rFonts w:ascii="Palatino Linotype" w:eastAsia="Palatino Linotype" w:hAnsi="Palatino Linotype" w:cs="Palatino Linotype"/>
          <w:i/>
        </w:rPr>
        <w:t>”</w:t>
      </w:r>
    </w:p>
    <w:p w14:paraId="337AD246" w14:textId="2E01F082" w:rsidR="00430390" w:rsidRPr="00E13C00" w:rsidRDefault="00E75862" w:rsidP="00D01B01">
      <w:pPr>
        <w:ind w:left="567" w:right="560"/>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 </w:t>
      </w:r>
    </w:p>
    <w:p w14:paraId="44056B20" w14:textId="254AE7AA" w:rsidR="008D024D" w:rsidRPr="00E13C00" w:rsidRDefault="00E75862" w:rsidP="0077312D">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b/>
        </w:rPr>
        <w:t>Modalidad elegida para la entrega de la información:</w:t>
      </w:r>
      <w:r w:rsidRPr="00E13C00">
        <w:rPr>
          <w:rFonts w:ascii="Palatino Linotype" w:eastAsia="Palatino Linotype" w:hAnsi="Palatino Linotype" w:cs="Palatino Linotype"/>
        </w:rPr>
        <w:t xml:space="preserve"> a través del Sistema de Acceso a la Información Mexiquense (SAIMEX)</w:t>
      </w:r>
      <w:r w:rsidR="00437AAA" w:rsidRPr="00E13C00">
        <w:rPr>
          <w:rFonts w:ascii="Palatino Linotype" w:eastAsia="Palatino Linotype" w:hAnsi="Palatino Linotype" w:cs="Palatino Linotype"/>
        </w:rPr>
        <w:t>.</w:t>
      </w:r>
    </w:p>
    <w:p w14:paraId="7B1EF4A5" w14:textId="77777777" w:rsidR="006B6AC8" w:rsidRPr="00E13C00" w:rsidRDefault="006B6AC8" w:rsidP="0077312D">
      <w:pPr>
        <w:spacing w:after="0" w:line="360" w:lineRule="auto"/>
        <w:ind w:right="49"/>
        <w:jc w:val="both"/>
        <w:rPr>
          <w:rFonts w:ascii="Palatino Linotype" w:eastAsia="Palatino Linotype" w:hAnsi="Palatino Linotype" w:cs="Palatino Linotype"/>
        </w:rPr>
      </w:pPr>
    </w:p>
    <w:p w14:paraId="3B2024B3" w14:textId="4D8AED11" w:rsidR="006B6AC8" w:rsidRPr="00E13C00" w:rsidRDefault="006B6AC8" w:rsidP="009F3E01">
      <w:pPr>
        <w:numPr>
          <w:ilvl w:val="0"/>
          <w:numId w:val="10"/>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E13C00">
        <w:rPr>
          <w:rFonts w:ascii="Palatino Linotype" w:eastAsia="Palatino Linotype" w:hAnsi="Palatino Linotype" w:cs="Palatino Linotype"/>
          <w:b/>
        </w:rPr>
        <w:lastRenderedPageBreak/>
        <w:t>Solicitud de aclaración. El veintiocho de junio de dos mil veinticuatro, el Sujeto Obligado solicitó al Recurrente que aclare su solicitud en los siguientes términos:</w:t>
      </w:r>
    </w:p>
    <w:p w14:paraId="65B57A84" w14:textId="77777777" w:rsidR="006B6AC8" w:rsidRPr="00E13C00" w:rsidRDefault="006B6AC8" w:rsidP="006B6AC8">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066A1E9B" w14:textId="77777777" w:rsidR="006B6AC8" w:rsidRPr="00E13C00" w:rsidRDefault="006B6AC8" w:rsidP="00F92549">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Con fundamento en el </w:t>
      </w:r>
      <w:proofErr w:type="spellStart"/>
      <w:r w:rsidRPr="00E13C00">
        <w:rPr>
          <w:rFonts w:ascii="Palatino Linotype" w:eastAsia="Palatino Linotype" w:hAnsi="Palatino Linotype" w:cs="Palatino Linotype"/>
          <w:i/>
        </w:rPr>
        <w:t>articulo</w:t>
      </w:r>
      <w:proofErr w:type="spellEnd"/>
      <w:r w:rsidRPr="00E13C00">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3024DA4E" w14:textId="1AFDDE02" w:rsidR="006B6AC8" w:rsidRPr="00E13C00" w:rsidRDefault="006B6AC8" w:rsidP="00F92549">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Toluca de Lerdo, México, 28 de junio, 2024. Solicitud: 00916/SESEA/IP/2024. Oficio: Oficio: 41100100030000S/0694/2024 Asunto: se solicita aclaración. </w:t>
      </w:r>
      <w:r w:rsidR="00F8027E">
        <w:rPr>
          <w:rFonts w:ascii="Palatino Linotype" w:eastAsia="Palatino Linotype" w:hAnsi="Palatino Linotype" w:cs="Palatino Linotype"/>
          <w:i/>
        </w:rPr>
        <w:t xml:space="preserve">XXXXXXXXXXXX XX XXXXXXXX </w:t>
      </w:r>
      <w:r w:rsidRPr="00E13C00">
        <w:rPr>
          <w:rFonts w:ascii="Palatino Linotype" w:eastAsia="Palatino Linotype" w:hAnsi="Palatino Linotype" w:cs="Palatino Linotype"/>
          <w:i/>
        </w:rPr>
        <w:t xml:space="preserve">Presente. Con fundamento en los artículos 53 fracción II y 159 de la Ley de Transparencia y Acceso a la Información Pública del Estado de México y Municipios, y derivado de su solicitud al rubro listada que señala: DESCRIPCIÓN CLARA Y PRECISA DE LA INFORMACIÓN SOLICITADA. “Costo de la comida con los periodistas del día de hoy, copia de la factura o facturas en caso de que se haya pagado las copas de vino aparte [sic]”. Al respecto, me permito informarle, que los detalles proporcionados, para localizar la información resultan insuficientes e incompletos, por lo que se requiere, en términos del artículo 159 de la Ley de la materia, la aclaración y/o complementación de la solicitud planteada, con la finalidad de aportar mayores elementos que permitan la búsqueda y localización de la información. Para tal efecto se solicita lo siguiente: 1. Indique algún indicio de que la información que solicita corresponde a la que genera, posee o administra este Sujeto Obligado en el ejercicio de sus atribuciones. 2. Cualquier otro dato o elemento, que permitan la búsqueda de su información. Cabe señalar que este sujeto obligado, sólo puede entregar la información que genera o que posee y que sea considerada como pública, esto de acuerdo con lo establecido en el artículo 12 de la Ley de Transparencia y Acceso a la Información Pública del Estado de México y Municipios, que establece: Artículo 12.- Quienes generen, recopilen, administren, manejen, procesen, archiven o conserven información pública serán responsables de la misma en los términos de las disposiciones jurídicas aplicables. Los sujetos obligados solo proporcionarán la información pública que se les requiera y que obre en sus archivos y en el estado que ésta se encuentre. La obligación de proporcionar información no comprende el procesamiento de la misma, ni el presentarla conforme al interés del solicitante; no estarán obligados a generarla, resumirla, efectuar cálculos o practicar investigaciones. Por lo que se le insta </w:t>
      </w:r>
      <w:r w:rsidRPr="00E13C00">
        <w:rPr>
          <w:rFonts w:ascii="Palatino Linotype" w:eastAsia="Palatino Linotype" w:hAnsi="Palatino Linotype" w:cs="Palatino Linotype"/>
          <w:i/>
        </w:rPr>
        <w:lastRenderedPageBreak/>
        <w:t xml:space="preserve">al solicitante, para que, en un plazo de 10 días hábiles, contados a partir de la notificación del presente, aclare la solicitud en los términos requeridos, apercibiéndolo que, de no hacerlo en el plazo señalado, se tendrá por no presentada su solicitud, quedando a salvo sus derechos para presentarla con posterioridad con la aclaración respectiva. Por último, le informo que nos ponemos a sus órdenes en la Unidad de Planeación y Transparencia, ubicada en Avenida José María Morelos y Pavón, </w:t>
      </w:r>
      <w:proofErr w:type="spellStart"/>
      <w:r w:rsidRPr="00E13C00">
        <w:rPr>
          <w:rFonts w:ascii="Palatino Linotype" w:eastAsia="Palatino Linotype" w:hAnsi="Palatino Linotype" w:cs="Palatino Linotype"/>
          <w:i/>
        </w:rPr>
        <w:t>Ote</w:t>
      </w:r>
      <w:proofErr w:type="spellEnd"/>
      <w:r w:rsidRPr="00E13C00">
        <w:rPr>
          <w:rFonts w:ascii="Palatino Linotype" w:eastAsia="Palatino Linotype" w:hAnsi="Palatino Linotype" w:cs="Palatino Linotype"/>
          <w:i/>
        </w:rPr>
        <w:t>. 312 Col. 5 de mayo, en esta Ciudad de Toluca, México, para cualquier solicitud, aclaración, duda, sugerencia o asesoría, así como el número telefónico (722) 9146034 ext. 7001, en horario de 09:00 a 18:00 horas en días hábiles. Sin otro particular, reciba un cordial saludo.</w:t>
      </w:r>
    </w:p>
    <w:p w14:paraId="10D7AC71" w14:textId="77777777" w:rsidR="006B6AC8" w:rsidRPr="00E13C00" w:rsidRDefault="006B6AC8" w:rsidP="00F92549">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E13C00">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CFF372E" w14:textId="77777777" w:rsidR="006B6AC8" w:rsidRPr="00E13C00" w:rsidRDefault="006B6AC8" w:rsidP="00F92549">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E13C00">
        <w:rPr>
          <w:rFonts w:ascii="Palatino Linotype" w:eastAsia="Palatino Linotype" w:hAnsi="Palatino Linotype" w:cs="Palatino Linotype"/>
          <w:i/>
        </w:rPr>
        <w:t>ATENTAMENTE</w:t>
      </w:r>
    </w:p>
    <w:p w14:paraId="7E2A15E2" w14:textId="25F4A82B" w:rsidR="006B6AC8" w:rsidRPr="00E13C00" w:rsidRDefault="006B6AC8" w:rsidP="00F92549">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E13C00">
        <w:rPr>
          <w:rFonts w:ascii="Palatino Linotype" w:eastAsia="Palatino Linotype" w:hAnsi="Palatino Linotype" w:cs="Palatino Linotype"/>
          <w:i/>
        </w:rPr>
        <w:t>C. Unidad de Planeación y Transparencia</w:t>
      </w:r>
    </w:p>
    <w:p w14:paraId="15C6A2A6" w14:textId="77777777" w:rsidR="006B6AC8" w:rsidRPr="00E13C00" w:rsidRDefault="006B6AC8" w:rsidP="006B6AC8">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rPr>
      </w:pPr>
    </w:p>
    <w:p w14:paraId="005A8191" w14:textId="6919368D" w:rsidR="006B6AC8" w:rsidRPr="00E13C00" w:rsidRDefault="006B6AC8" w:rsidP="006B6AC8">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rPr>
      </w:pPr>
      <w:r w:rsidRPr="00E13C00">
        <w:rPr>
          <w:rFonts w:ascii="Palatino Linotype" w:eastAsia="Palatino Linotype" w:hAnsi="Palatino Linotype" w:cs="Palatino Linotype"/>
        </w:rPr>
        <w:t>El Sujeto Obligado adjuntó el documento electrónico denominado</w:t>
      </w:r>
      <w:r w:rsidRPr="00E13C00">
        <w:rPr>
          <w:rFonts w:ascii="Palatino Linotype" w:eastAsia="Palatino Linotype" w:hAnsi="Palatino Linotype" w:cs="Palatino Linotype"/>
          <w:i/>
        </w:rPr>
        <w:t xml:space="preserve"> </w:t>
      </w:r>
      <w:r w:rsidRPr="00E13C00">
        <w:rPr>
          <w:rFonts w:ascii="Palatino Linotype" w:eastAsia="Palatino Linotype" w:hAnsi="Palatino Linotype" w:cs="Palatino Linotype"/>
          <w:b/>
        </w:rPr>
        <w:t xml:space="preserve">aclaración 916-2024.pdf, </w:t>
      </w:r>
      <w:r w:rsidRPr="00E13C00">
        <w:rPr>
          <w:rFonts w:ascii="Palatino Linotype" w:eastAsia="Palatino Linotype" w:hAnsi="Palatino Linotype" w:cs="Palatino Linotype"/>
        </w:rPr>
        <w:t>cuyo contenido se precisa en que debe indicar cualquier indicio de la información requerida y datos que permitan la búsqueda de la información.</w:t>
      </w:r>
      <w:r w:rsidRPr="00E13C00">
        <w:rPr>
          <w:rFonts w:ascii="Palatino Linotype" w:eastAsia="Palatino Linotype" w:hAnsi="Palatino Linotype" w:cs="Palatino Linotype"/>
          <w:i/>
        </w:rPr>
        <w:t xml:space="preserve"> </w:t>
      </w:r>
    </w:p>
    <w:p w14:paraId="64D37BA0" w14:textId="77777777" w:rsidR="006B6AC8" w:rsidRPr="00E13C00" w:rsidRDefault="006B6AC8" w:rsidP="006B6AC8">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6D9C535A" w14:textId="4498C300" w:rsidR="006B6AC8" w:rsidRPr="00E13C00" w:rsidRDefault="006B6AC8" w:rsidP="009F3E01">
      <w:pPr>
        <w:numPr>
          <w:ilvl w:val="0"/>
          <w:numId w:val="10"/>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E13C00">
        <w:rPr>
          <w:rFonts w:ascii="Palatino Linotype" w:eastAsia="Palatino Linotype" w:hAnsi="Palatino Linotype" w:cs="Palatino Linotype"/>
          <w:b/>
        </w:rPr>
        <w:t xml:space="preserve">Respuesta a la aclaración. </w:t>
      </w:r>
      <w:r w:rsidRPr="00E13C00">
        <w:rPr>
          <w:rFonts w:ascii="Palatino Linotype" w:eastAsia="Palatino Linotype" w:hAnsi="Palatino Linotype" w:cs="Palatino Linotype"/>
        </w:rPr>
        <w:t>El veintiocho de junio de dos mil veinticuatro, el Recurrente contestó la aclaración manifestando:</w:t>
      </w:r>
    </w:p>
    <w:p w14:paraId="337DBA35" w14:textId="77777777" w:rsidR="006B6AC8" w:rsidRPr="00E13C00" w:rsidRDefault="006B6AC8" w:rsidP="006B6AC8">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795D499C" w14:textId="4E2A0AE4" w:rsidR="006B6AC8" w:rsidRPr="00E13C00" w:rsidRDefault="006B6AC8" w:rsidP="00F92549">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El día 27 de junio se celebró una comida entre la persona que es titular de ese sujeto obligado con diversos periodistas en un conocido restaurante de Toluca, no se hagan que no saben, ahora si la institución no pago, díganlo, pero si pago entreguen la factura, queremos saber en </w:t>
      </w:r>
      <w:proofErr w:type="spellStart"/>
      <w:r w:rsidRPr="00E13C00">
        <w:rPr>
          <w:rFonts w:ascii="Palatino Linotype" w:eastAsia="Palatino Linotype" w:hAnsi="Palatino Linotype" w:cs="Palatino Linotype"/>
          <w:i/>
        </w:rPr>
        <w:t>que</w:t>
      </w:r>
      <w:proofErr w:type="spellEnd"/>
      <w:r w:rsidRPr="00E13C00">
        <w:rPr>
          <w:rFonts w:ascii="Palatino Linotype" w:eastAsia="Palatino Linotype" w:hAnsi="Palatino Linotype" w:cs="Palatino Linotype"/>
          <w:i/>
        </w:rPr>
        <w:t xml:space="preserve"> se gasta el dinero público, manden la solicitud a su dirección o coordinación administrativa y que busque, no dilaten el procedimiento</w:t>
      </w:r>
    </w:p>
    <w:p w14:paraId="237F46FF" w14:textId="77777777" w:rsidR="006B6AC8" w:rsidRPr="00E13C00" w:rsidRDefault="006B6AC8" w:rsidP="006B6AC8">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0F8413D8" w14:textId="58B55F74" w:rsidR="00430390" w:rsidRPr="00E13C00" w:rsidRDefault="00E75862" w:rsidP="009F3E01">
      <w:pPr>
        <w:numPr>
          <w:ilvl w:val="0"/>
          <w:numId w:val="10"/>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E13C00">
        <w:rPr>
          <w:rFonts w:ascii="Palatino Linotype" w:eastAsia="Palatino Linotype" w:hAnsi="Palatino Linotype" w:cs="Palatino Linotype"/>
          <w:b/>
        </w:rPr>
        <w:t xml:space="preserve">Respuesta. </w:t>
      </w:r>
      <w:r w:rsidRPr="00E13C00">
        <w:rPr>
          <w:rFonts w:ascii="Palatino Linotype" w:eastAsia="Palatino Linotype" w:hAnsi="Palatino Linotype" w:cs="Palatino Linotype"/>
        </w:rPr>
        <w:t xml:space="preserve">En fecha </w:t>
      </w:r>
      <w:r w:rsidR="006B6AC8" w:rsidRPr="00E13C00">
        <w:rPr>
          <w:rFonts w:ascii="Palatino Linotype" w:eastAsia="Palatino Linotype" w:hAnsi="Palatino Linotype" w:cs="Palatino Linotype"/>
          <w:b/>
        </w:rPr>
        <w:t>dieciocho</w:t>
      </w:r>
      <w:r w:rsidR="0077312D" w:rsidRPr="00E13C00">
        <w:rPr>
          <w:rFonts w:ascii="Palatino Linotype" w:eastAsia="Palatino Linotype" w:hAnsi="Palatino Linotype" w:cs="Palatino Linotype"/>
          <w:b/>
        </w:rPr>
        <w:t xml:space="preserve"> </w:t>
      </w:r>
      <w:r w:rsidR="00FE4DA3" w:rsidRPr="00E13C00">
        <w:rPr>
          <w:rFonts w:ascii="Palatino Linotype" w:eastAsia="Palatino Linotype" w:hAnsi="Palatino Linotype" w:cs="Palatino Linotype"/>
          <w:b/>
        </w:rPr>
        <w:t>de ju</w:t>
      </w:r>
      <w:r w:rsidR="006B6AC8" w:rsidRPr="00E13C00">
        <w:rPr>
          <w:rFonts w:ascii="Palatino Linotype" w:eastAsia="Palatino Linotype" w:hAnsi="Palatino Linotype" w:cs="Palatino Linotype"/>
          <w:b/>
        </w:rPr>
        <w:t>lio</w:t>
      </w:r>
      <w:r w:rsidRPr="00E13C00">
        <w:rPr>
          <w:rFonts w:ascii="Palatino Linotype" w:eastAsia="Palatino Linotype" w:hAnsi="Palatino Linotype" w:cs="Palatino Linotype"/>
          <w:b/>
        </w:rPr>
        <w:t xml:space="preserve"> de dos mil veinti</w:t>
      </w:r>
      <w:r w:rsidR="00820365" w:rsidRPr="00E13C00">
        <w:rPr>
          <w:rFonts w:ascii="Palatino Linotype" w:eastAsia="Palatino Linotype" w:hAnsi="Palatino Linotype" w:cs="Palatino Linotype"/>
          <w:b/>
        </w:rPr>
        <w:t>cuatro</w:t>
      </w:r>
      <w:r w:rsidRPr="00E13C00">
        <w:rPr>
          <w:rFonts w:ascii="Palatino Linotype" w:eastAsia="Palatino Linotype" w:hAnsi="Palatino Linotype" w:cs="Palatino Linotype"/>
        </w:rPr>
        <w:t xml:space="preserve">, el </w:t>
      </w:r>
      <w:r w:rsidRPr="00E13C00">
        <w:rPr>
          <w:rFonts w:ascii="Palatino Linotype" w:eastAsia="Palatino Linotype" w:hAnsi="Palatino Linotype" w:cs="Palatino Linotype"/>
          <w:b/>
        </w:rPr>
        <w:t xml:space="preserve">SUJETO OBLIGADO </w:t>
      </w:r>
      <w:r w:rsidRPr="00E13C00">
        <w:rPr>
          <w:rFonts w:ascii="Palatino Linotype" w:eastAsia="Palatino Linotype" w:hAnsi="Palatino Linotype" w:cs="Palatino Linotype"/>
        </w:rPr>
        <w:t xml:space="preserve">emitió respuesta a la solicitud de información, al tenor de lo siguiente: </w:t>
      </w:r>
    </w:p>
    <w:p w14:paraId="091073E4" w14:textId="77777777" w:rsidR="00DD7FD0" w:rsidRPr="00E13C00" w:rsidRDefault="00DD7FD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EA64857" w14:textId="77777777" w:rsidR="006B6AC8" w:rsidRPr="00E13C00" w:rsidRDefault="006B6AC8" w:rsidP="00F92549">
      <w:pPr>
        <w:pBdr>
          <w:top w:val="nil"/>
          <w:left w:val="nil"/>
          <w:bottom w:val="nil"/>
          <w:right w:val="nil"/>
          <w:between w:val="nil"/>
        </w:pBdr>
        <w:spacing w:after="0"/>
        <w:ind w:right="49"/>
        <w:jc w:val="both"/>
        <w:rPr>
          <w:rFonts w:ascii="Palatino Linotype" w:eastAsia="Palatino Linotype" w:hAnsi="Palatino Linotype" w:cs="Palatino Linotype"/>
          <w:i/>
        </w:rPr>
      </w:pPr>
      <w:r w:rsidRPr="00E13C00">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ED021A" w14:textId="206B8432" w:rsidR="0077312D" w:rsidRPr="00E13C00" w:rsidRDefault="006B6AC8" w:rsidP="00F92549">
      <w:pPr>
        <w:pBdr>
          <w:top w:val="nil"/>
          <w:left w:val="nil"/>
          <w:bottom w:val="nil"/>
          <w:right w:val="nil"/>
          <w:between w:val="nil"/>
        </w:pBdr>
        <w:spacing w:after="0"/>
        <w:ind w:right="49"/>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Toluca, Estado de México; a 18 de julio del 2024 </w:t>
      </w:r>
      <w:r w:rsidR="00F8027E">
        <w:rPr>
          <w:rFonts w:ascii="Palatino Linotype" w:eastAsia="Palatino Linotype" w:hAnsi="Palatino Linotype" w:cs="Palatino Linotype"/>
          <w:i/>
        </w:rPr>
        <w:t>XXXXXXXXXXXX XX XXXXXXXX XXXXXX</w:t>
      </w:r>
      <w:r w:rsidRPr="00E13C00">
        <w:rPr>
          <w:rFonts w:ascii="Palatino Linotype" w:eastAsia="Palatino Linotype" w:hAnsi="Palatino Linotype" w:cs="Palatino Linotype"/>
          <w:i/>
        </w:rPr>
        <w:t xml:space="preserve"> Presente. Con fundamento en los artículos 50, 51, 52, 53 fracciones II, IV, V, VI y XIV, 156, 160, 161, 163, 164, 166 y 168 de la Ley de Transparencia y Acceso a la Información Pública del Estado de México y Municipios, se otorga respuesta a la solicitud de información pública 00916/SESEA/IP/2024. Atentamente Mtra. Montserrat Aguilera Vargas </w:t>
      </w:r>
      <w:proofErr w:type="gramStart"/>
      <w:r w:rsidRPr="00E13C00">
        <w:rPr>
          <w:rFonts w:ascii="Palatino Linotype" w:eastAsia="Palatino Linotype" w:hAnsi="Palatino Linotype" w:cs="Palatino Linotype"/>
          <w:i/>
        </w:rPr>
        <w:t>Jefa</w:t>
      </w:r>
      <w:proofErr w:type="gramEnd"/>
      <w:r w:rsidRPr="00E13C00">
        <w:rPr>
          <w:rFonts w:ascii="Palatino Linotype" w:eastAsia="Palatino Linotype" w:hAnsi="Palatino Linotype" w:cs="Palatino Linotype"/>
          <w:i/>
        </w:rPr>
        <w:t xml:space="preserve"> de la Unidad de Planeación y Transparencia de la Secretaría Ejecutiva del Sistema Estatal Anticorrupción</w:t>
      </w:r>
    </w:p>
    <w:p w14:paraId="73D1A9E8" w14:textId="77777777" w:rsidR="006B6AC8" w:rsidRPr="00E13C00" w:rsidRDefault="006B6AC8" w:rsidP="006B6AC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4F2A1BA" w14:textId="77777777" w:rsidR="00430390" w:rsidRPr="00E13C00" w:rsidRDefault="00E75862" w:rsidP="0077312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Asimismo, adjuntó a su respuesta los archivos que se describen a continuación: </w:t>
      </w:r>
    </w:p>
    <w:p w14:paraId="22648A57" w14:textId="004936D6" w:rsidR="00DD7FD0" w:rsidRPr="00E13C00" w:rsidRDefault="00DD7FD0" w:rsidP="0077312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8BE48D9" w14:textId="04D0055D" w:rsidR="006B6AC8" w:rsidRPr="00E13C00" w:rsidRDefault="006B6AC8" w:rsidP="006B6AC8">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
          <w:bCs/>
        </w:rPr>
      </w:pPr>
      <w:proofErr w:type="spellStart"/>
      <w:r w:rsidRPr="00E13C00">
        <w:rPr>
          <w:rFonts w:ascii="Palatino Linotype" w:eastAsia="Palatino Linotype" w:hAnsi="Palatino Linotype" w:cs="Palatino Linotype"/>
          <w:b/>
          <w:bCs/>
        </w:rPr>
        <w:t>resp</w:t>
      </w:r>
      <w:proofErr w:type="spellEnd"/>
      <w:r w:rsidRPr="00E13C00">
        <w:rPr>
          <w:rFonts w:ascii="Palatino Linotype" w:eastAsia="Palatino Linotype" w:hAnsi="Palatino Linotype" w:cs="Palatino Linotype"/>
          <w:b/>
          <w:bCs/>
        </w:rPr>
        <w:t xml:space="preserve"> sol 9160001.pdf: </w:t>
      </w:r>
      <w:r w:rsidRPr="00E13C00">
        <w:rPr>
          <w:rFonts w:ascii="Palatino Linotype" w:eastAsia="Palatino Linotype" w:hAnsi="Palatino Linotype" w:cs="Palatino Linotype"/>
          <w:bCs/>
        </w:rPr>
        <w:t xml:space="preserve">Oficio signado por la </w:t>
      </w:r>
      <w:proofErr w:type="gramStart"/>
      <w:r w:rsidRPr="00E13C00">
        <w:rPr>
          <w:rFonts w:ascii="Palatino Linotype" w:eastAsia="Palatino Linotype" w:hAnsi="Palatino Linotype" w:cs="Palatino Linotype"/>
          <w:bCs/>
        </w:rPr>
        <w:t>Jefa</w:t>
      </w:r>
      <w:proofErr w:type="gramEnd"/>
      <w:r w:rsidRPr="00E13C00">
        <w:rPr>
          <w:rFonts w:ascii="Palatino Linotype" w:eastAsia="Palatino Linotype" w:hAnsi="Palatino Linotype" w:cs="Palatino Linotype"/>
          <w:bCs/>
        </w:rPr>
        <w:t xml:space="preserve"> de la Unidad de Planeación </w:t>
      </w:r>
      <w:r w:rsidR="000B50DC" w:rsidRPr="00E13C00">
        <w:rPr>
          <w:rFonts w:ascii="Palatino Linotype" w:eastAsia="Palatino Linotype" w:hAnsi="Palatino Linotype" w:cs="Palatino Linotype"/>
          <w:bCs/>
        </w:rPr>
        <w:t>en el que refiere que se da por atendida la solicitud con el oficio 41100100040000S/477/2024 de la Coordinación de Administración y Finanzas, señalando diversas direcciones electrónicas que dirigen a la página oficial del Sujeto Obligado.</w:t>
      </w:r>
    </w:p>
    <w:p w14:paraId="26FD78F6" w14:textId="3CAE02AC" w:rsidR="006B6AC8" w:rsidRPr="00E13C00" w:rsidRDefault="006B6AC8" w:rsidP="006B6AC8">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
          <w:bCs/>
        </w:rPr>
      </w:pPr>
      <w:proofErr w:type="spellStart"/>
      <w:r w:rsidRPr="00E13C00">
        <w:rPr>
          <w:rFonts w:ascii="Palatino Linotype" w:eastAsia="Palatino Linotype" w:hAnsi="Palatino Linotype" w:cs="Palatino Linotype"/>
          <w:b/>
          <w:bCs/>
        </w:rPr>
        <w:t>resp</w:t>
      </w:r>
      <w:proofErr w:type="spellEnd"/>
      <w:r w:rsidRPr="00E13C00">
        <w:rPr>
          <w:rFonts w:ascii="Palatino Linotype" w:eastAsia="Palatino Linotype" w:hAnsi="Palatino Linotype" w:cs="Palatino Linotype"/>
          <w:b/>
          <w:bCs/>
        </w:rPr>
        <w:t xml:space="preserve"> sol </w:t>
      </w:r>
      <w:proofErr w:type="spellStart"/>
      <w:r w:rsidRPr="00E13C00">
        <w:rPr>
          <w:rFonts w:ascii="Palatino Linotype" w:eastAsia="Palatino Linotype" w:hAnsi="Palatino Linotype" w:cs="Palatino Linotype"/>
          <w:b/>
          <w:bCs/>
        </w:rPr>
        <w:t>uni</w:t>
      </w:r>
      <w:proofErr w:type="spellEnd"/>
      <w:r w:rsidRPr="00E13C00">
        <w:rPr>
          <w:rFonts w:ascii="Palatino Linotype" w:eastAsia="Palatino Linotype" w:hAnsi="Palatino Linotype" w:cs="Palatino Linotype"/>
          <w:b/>
          <w:bCs/>
        </w:rPr>
        <w:t xml:space="preserve"> 916.pdf</w:t>
      </w:r>
      <w:r w:rsidR="000B50DC" w:rsidRPr="00E13C00">
        <w:rPr>
          <w:rFonts w:ascii="Palatino Linotype" w:eastAsia="Palatino Linotype" w:hAnsi="Palatino Linotype" w:cs="Palatino Linotype"/>
          <w:b/>
          <w:bCs/>
        </w:rPr>
        <w:t xml:space="preserve">: Oficio </w:t>
      </w:r>
      <w:r w:rsidR="000B50DC" w:rsidRPr="00E13C00">
        <w:rPr>
          <w:rFonts w:ascii="Palatino Linotype" w:eastAsia="Palatino Linotype" w:hAnsi="Palatino Linotype" w:cs="Palatino Linotype"/>
          <w:bCs/>
        </w:rPr>
        <w:t>41100100040000S/477/2024 signado por la Coordinación de Administración y Finanzas en el que refiere que después de una búsqueda exhaustiva no se localizó información alguna con relación a la existencia de la factura sufragada por el Sujeto Obligado bajo los conceptos que señala el Recurrente.</w:t>
      </w:r>
    </w:p>
    <w:p w14:paraId="65163DD2" w14:textId="740A95D6" w:rsidR="006B6AC8" w:rsidRPr="00E13C00" w:rsidRDefault="006B6AC8" w:rsidP="006B6AC8">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
          <w:bCs/>
        </w:rPr>
      </w:pPr>
      <w:r w:rsidRPr="00E13C00">
        <w:rPr>
          <w:rFonts w:ascii="Palatino Linotype" w:eastAsia="Palatino Linotype" w:hAnsi="Palatino Linotype" w:cs="Palatino Linotype"/>
          <w:b/>
          <w:bCs/>
        </w:rPr>
        <w:t>RESP SOL 916.docx</w:t>
      </w:r>
      <w:r w:rsidR="00B21504" w:rsidRPr="00E13C00">
        <w:rPr>
          <w:rFonts w:ascii="Palatino Linotype" w:eastAsia="Palatino Linotype" w:hAnsi="Palatino Linotype" w:cs="Palatino Linotype"/>
          <w:b/>
          <w:bCs/>
        </w:rPr>
        <w:t xml:space="preserve">: </w:t>
      </w:r>
      <w:r w:rsidR="00B21504" w:rsidRPr="00E13C00">
        <w:rPr>
          <w:rFonts w:ascii="Palatino Linotype" w:eastAsia="Palatino Linotype" w:hAnsi="Palatino Linotype" w:cs="Palatino Linotype"/>
          <w:bCs/>
        </w:rPr>
        <w:t xml:space="preserve">Se integra del mismo contenido que el documento identificado con el nombre </w:t>
      </w:r>
      <w:proofErr w:type="spellStart"/>
      <w:r w:rsidR="00B21504" w:rsidRPr="00E13C00">
        <w:rPr>
          <w:rFonts w:ascii="Palatino Linotype" w:eastAsia="Palatino Linotype" w:hAnsi="Palatino Linotype" w:cs="Palatino Linotype"/>
          <w:bCs/>
        </w:rPr>
        <w:t>resp</w:t>
      </w:r>
      <w:proofErr w:type="spellEnd"/>
      <w:r w:rsidR="00B21504" w:rsidRPr="00E13C00">
        <w:rPr>
          <w:rFonts w:ascii="Palatino Linotype" w:eastAsia="Palatino Linotype" w:hAnsi="Palatino Linotype" w:cs="Palatino Linotype"/>
          <w:bCs/>
        </w:rPr>
        <w:t xml:space="preserve"> sol 9160001.pdf, con la diferencia de formato de PDF a docx.</w:t>
      </w:r>
    </w:p>
    <w:p w14:paraId="214E93EE" w14:textId="6913244E" w:rsidR="006B6AC8" w:rsidRPr="00E13C00" w:rsidRDefault="006B6AC8" w:rsidP="006B6AC8">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E13C00">
        <w:rPr>
          <w:rFonts w:ascii="Palatino Linotype" w:eastAsia="Palatino Linotype" w:hAnsi="Palatino Linotype" w:cs="Palatino Linotype"/>
          <w:b/>
          <w:bCs/>
        </w:rPr>
        <w:t>LSAEMYM.pdf</w:t>
      </w:r>
      <w:r w:rsidR="00B21504" w:rsidRPr="00E13C00">
        <w:rPr>
          <w:rFonts w:ascii="Palatino Linotype" w:eastAsia="Palatino Linotype" w:hAnsi="Palatino Linotype" w:cs="Palatino Linotype"/>
          <w:b/>
          <w:bCs/>
        </w:rPr>
        <w:t xml:space="preserve">: </w:t>
      </w:r>
      <w:r w:rsidR="00B21504" w:rsidRPr="00E13C00">
        <w:rPr>
          <w:rFonts w:ascii="Palatino Linotype" w:eastAsia="Palatino Linotype" w:hAnsi="Palatino Linotype" w:cs="Palatino Linotype"/>
          <w:bCs/>
        </w:rPr>
        <w:t>Ley del Sistema Anticorrupción del Estado de México.</w:t>
      </w:r>
    </w:p>
    <w:p w14:paraId="05048099" w14:textId="7B32CBA6" w:rsidR="006B6AC8" w:rsidRPr="00E13C00" w:rsidRDefault="006B6AC8" w:rsidP="006B6AC8">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
          <w:bCs/>
        </w:rPr>
      </w:pPr>
      <w:r w:rsidRPr="00E13C00">
        <w:rPr>
          <w:rFonts w:ascii="Palatino Linotype" w:eastAsia="Palatino Linotype" w:hAnsi="Palatino Linotype" w:cs="Palatino Linotype"/>
          <w:b/>
          <w:bCs/>
        </w:rPr>
        <w:lastRenderedPageBreak/>
        <w:t>LTAIPEMYM.pdf</w:t>
      </w:r>
      <w:r w:rsidR="00B21504" w:rsidRPr="00E13C00">
        <w:rPr>
          <w:rFonts w:ascii="Palatino Linotype" w:eastAsia="Palatino Linotype" w:hAnsi="Palatino Linotype" w:cs="Palatino Linotype"/>
          <w:b/>
          <w:bCs/>
        </w:rPr>
        <w:t xml:space="preserve">: </w:t>
      </w:r>
      <w:r w:rsidR="00B21504" w:rsidRPr="00E13C00">
        <w:rPr>
          <w:rFonts w:ascii="Palatino Linotype" w:eastAsia="Palatino Linotype" w:hAnsi="Palatino Linotype" w:cs="Palatino Linotype"/>
          <w:bCs/>
        </w:rPr>
        <w:t>Ley de Transparencia y Acceso a la Información Pública del Estado de México y Municipios.</w:t>
      </w:r>
    </w:p>
    <w:p w14:paraId="7222D249" w14:textId="77777777" w:rsidR="00437AAA" w:rsidRPr="00E13C00" w:rsidRDefault="00437AAA" w:rsidP="00437AAA">
      <w:pPr>
        <w:pStyle w:val="Prrafodelista"/>
        <w:pBdr>
          <w:top w:val="nil"/>
          <w:left w:val="nil"/>
          <w:bottom w:val="nil"/>
          <w:right w:val="nil"/>
          <w:between w:val="nil"/>
        </w:pBdr>
        <w:tabs>
          <w:tab w:val="left" w:pos="284"/>
        </w:tabs>
        <w:spacing w:after="0" w:line="360" w:lineRule="auto"/>
        <w:ind w:left="0" w:right="49"/>
        <w:jc w:val="both"/>
        <w:rPr>
          <w:rFonts w:ascii="Palatino Linotype" w:eastAsia="Palatino Linotype" w:hAnsi="Palatino Linotype" w:cs="Palatino Linotype"/>
        </w:rPr>
      </w:pPr>
    </w:p>
    <w:p w14:paraId="1B879C3F" w14:textId="3E6C80A0" w:rsidR="00430390" w:rsidRPr="00E13C00" w:rsidRDefault="00E75862" w:rsidP="002D584D">
      <w:pPr>
        <w:pStyle w:val="Prrafodelista"/>
        <w:numPr>
          <w:ilvl w:val="0"/>
          <w:numId w:val="10"/>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E13C00">
        <w:rPr>
          <w:rFonts w:ascii="Palatino Linotype" w:eastAsia="Palatino Linotype" w:hAnsi="Palatino Linotype" w:cs="Palatino Linotype"/>
          <w:b/>
        </w:rPr>
        <w:t xml:space="preserve">Recurso de Revisión. </w:t>
      </w:r>
      <w:r w:rsidRPr="00E13C00">
        <w:rPr>
          <w:rFonts w:ascii="Palatino Linotype" w:eastAsia="Palatino Linotype" w:hAnsi="Palatino Linotype" w:cs="Palatino Linotype"/>
        </w:rPr>
        <w:t xml:space="preserve">En fecha </w:t>
      </w:r>
      <w:r w:rsidR="001D0D88" w:rsidRPr="00E13C00">
        <w:rPr>
          <w:rFonts w:ascii="Palatino Linotype" w:eastAsia="Palatino Linotype" w:hAnsi="Palatino Linotype" w:cs="Palatino Linotype"/>
          <w:b/>
        </w:rPr>
        <w:t>diecinueve</w:t>
      </w:r>
      <w:r w:rsidR="00DA4E76" w:rsidRPr="00E13C00">
        <w:rPr>
          <w:rFonts w:ascii="Palatino Linotype" w:eastAsia="Palatino Linotype" w:hAnsi="Palatino Linotype" w:cs="Palatino Linotype"/>
          <w:b/>
        </w:rPr>
        <w:t xml:space="preserve"> de julio</w:t>
      </w:r>
      <w:r w:rsidR="004150C7" w:rsidRPr="00E13C00">
        <w:rPr>
          <w:rFonts w:ascii="Palatino Linotype" w:eastAsia="Palatino Linotype" w:hAnsi="Palatino Linotype" w:cs="Palatino Linotype"/>
          <w:b/>
        </w:rPr>
        <w:t xml:space="preserve"> </w:t>
      </w:r>
      <w:r w:rsidRPr="00E13C00">
        <w:rPr>
          <w:rFonts w:ascii="Palatino Linotype" w:eastAsia="Palatino Linotype" w:hAnsi="Palatino Linotype" w:cs="Palatino Linotype"/>
          <w:b/>
        </w:rPr>
        <w:t>de dos mil veinti</w:t>
      </w:r>
      <w:r w:rsidR="00A576C8" w:rsidRPr="00E13C00">
        <w:rPr>
          <w:rFonts w:ascii="Palatino Linotype" w:eastAsia="Palatino Linotype" w:hAnsi="Palatino Linotype" w:cs="Palatino Linotype"/>
          <w:b/>
        </w:rPr>
        <w:t>cuatro</w:t>
      </w:r>
      <w:r w:rsidRPr="00E13C00">
        <w:rPr>
          <w:rFonts w:ascii="Palatino Linotype" w:eastAsia="Palatino Linotype" w:hAnsi="Palatino Linotype" w:cs="Palatino Linotype"/>
        </w:rPr>
        <w:t xml:space="preserve"> la persona Solicitante interpuso Recurso de Revisión a través del </w:t>
      </w:r>
      <w:r w:rsidRPr="00E13C00">
        <w:rPr>
          <w:rFonts w:ascii="Palatino Linotype" w:eastAsia="Palatino Linotype" w:hAnsi="Palatino Linotype" w:cs="Palatino Linotype"/>
          <w:b/>
        </w:rPr>
        <w:t>SAIMEX</w:t>
      </w:r>
      <w:r w:rsidRPr="00E13C00">
        <w:rPr>
          <w:rFonts w:ascii="Palatino Linotype" w:eastAsia="Palatino Linotype" w:hAnsi="Palatino Linotype" w:cs="Palatino Linotype"/>
        </w:rPr>
        <w:t>, a través del cual expresó lo siguiente:</w:t>
      </w:r>
    </w:p>
    <w:p w14:paraId="2BDBF425" w14:textId="77777777" w:rsidR="00240A8A" w:rsidRPr="00E13C00" w:rsidRDefault="00240A8A" w:rsidP="00240A8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C81D442" w14:textId="48BD993B" w:rsidR="00430390" w:rsidRPr="00E13C00"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E13C00">
        <w:rPr>
          <w:rFonts w:ascii="Palatino Linotype" w:eastAsia="Palatino Linotype" w:hAnsi="Palatino Linotype" w:cs="Palatino Linotype"/>
          <w:b/>
        </w:rPr>
        <w:t>Acto impugnado</w:t>
      </w:r>
      <w:r w:rsidRPr="00E13C00">
        <w:rPr>
          <w:rFonts w:ascii="Palatino Linotype" w:eastAsia="Palatino Linotype" w:hAnsi="Palatino Linotype" w:cs="Palatino Linotype"/>
          <w:b/>
          <w:i/>
        </w:rPr>
        <w:t xml:space="preserve">. </w:t>
      </w:r>
      <w:r w:rsidR="00936358" w:rsidRPr="00E13C00">
        <w:rPr>
          <w:rFonts w:ascii="Palatino Linotype" w:eastAsia="Palatino Linotype" w:hAnsi="Palatino Linotype" w:cs="Palatino Linotype"/>
          <w:i/>
        </w:rPr>
        <w:t>“</w:t>
      </w:r>
      <w:r w:rsidR="001D0D88" w:rsidRPr="00E13C00">
        <w:rPr>
          <w:rFonts w:ascii="Palatino Linotype" w:eastAsia="Palatino Linotype" w:hAnsi="Palatino Linotype" w:cs="Palatino Linotype"/>
          <w:i/>
        </w:rPr>
        <w:t xml:space="preserve">No entrega la información solicitada </w:t>
      </w:r>
      <w:r w:rsidR="00CE312A" w:rsidRPr="00E13C00">
        <w:rPr>
          <w:rFonts w:ascii="Palatino Linotype" w:eastAsia="Palatino Linotype" w:hAnsi="Palatino Linotype" w:cs="Palatino Linotype"/>
          <w:i/>
        </w:rPr>
        <w:t>"</w:t>
      </w:r>
    </w:p>
    <w:p w14:paraId="5BB8CABB" w14:textId="77777777" w:rsidR="00430390" w:rsidRPr="00E13C00" w:rsidRDefault="00430390">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5B465135" w14:textId="3703A5FF" w:rsidR="00430390" w:rsidRPr="00E13C00"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Cs/>
          <w:i/>
          <w:iCs/>
        </w:rPr>
      </w:pPr>
      <w:r w:rsidRPr="00E13C00">
        <w:rPr>
          <w:rFonts w:ascii="Palatino Linotype" w:eastAsia="Palatino Linotype" w:hAnsi="Palatino Linotype" w:cs="Palatino Linotype"/>
          <w:b/>
        </w:rPr>
        <w:t xml:space="preserve">Razones o motivos de la inconformidad: </w:t>
      </w:r>
      <w:r w:rsidR="009A5B6C" w:rsidRPr="00E13C00">
        <w:rPr>
          <w:rFonts w:ascii="Palatino Linotype" w:eastAsia="Palatino Linotype" w:hAnsi="Palatino Linotype" w:cs="Palatino Linotype"/>
          <w:b/>
        </w:rPr>
        <w:t>“</w:t>
      </w:r>
      <w:r w:rsidR="001D0D88" w:rsidRPr="00E13C00">
        <w:rPr>
          <w:rFonts w:ascii="Palatino Linotype" w:eastAsia="Palatino Linotype" w:hAnsi="Palatino Linotype" w:cs="Palatino Linotype"/>
          <w:bCs/>
          <w:i/>
          <w:iCs/>
        </w:rPr>
        <w:t>No entrega la información solicitada</w:t>
      </w:r>
      <w:r w:rsidR="009A5B6C" w:rsidRPr="00E13C00">
        <w:rPr>
          <w:rFonts w:ascii="Palatino Linotype" w:eastAsia="Palatino Linotype" w:hAnsi="Palatino Linotype" w:cs="Palatino Linotype"/>
          <w:bCs/>
          <w:i/>
          <w:iCs/>
        </w:rPr>
        <w:t xml:space="preserve">”. </w:t>
      </w:r>
    </w:p>
    <w:p w14:paraId="33A63FF6" w14:textId="77777777" w:rsidR="00430390" w:rsidRPr="00E13C00" w:rsidRDefault="00430390">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BF094D1" w14:textId="6DEC7917" w:rsidR="00430390" w:rsidRPr="00E13C00"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13C00">
        <w:rPr>
          <w:rFonts w:ascii="Palatino Linotype" w:eastAsia="Palatino Linotype" w:hAnsi="Palatino Linotype" w:cs="Palatino Linotype"/>
          <w:b/>
        </w:rPr>
        <w:t>Turno.</w:t>
      </w:r>
      <w:r w:rsidRPr="00E13C00">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6B6AC8" w:rsidRPr="00E13C00">
        <w:rPr>
          <w:rFonts w:ascii="Palatino Linotype" w:eastAsia="Palatino Linotype" w:hAnsi="Palatino Linotype" w:cs="Palatino Linotype"/>
          <w:b/>
        </w:rPr>
        <w:t>04604/INFOEM/IP/RR/2024</w:t>
      </w:r>
      <w:r w:rsidRPr="00E13C00">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789BE3D" w14:textId="77777777" w:rsidR="00430390" w:rsidRPr="00E13C00"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92180A" w14:textId="171B2275" w:rsidR="00430390" w:rsidRPr="00E13C00" w:rsidRDefault="00E75862" w:rsidP="00240A8A">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13C00">
        <w:rPr>
          <w:rFonts w:ascii="Palatino Linotype" w:eastAsia="Palatino Linotype" w:hAnsi="Palatino Linotype" w:cs="Palatino Linotype"/>
          <w:b/>
        </w:rPr>
        <w:t>Admisión del recurso de revisión</w:t>
      </w:r>
      <w:r w:rsidRPr="00E13C00">
        <w:rPr>
          <w:rFonts w:ascii="Palatino Linotype" w:eastAsia="Palatino Linotype" w:hAnsi="Palatino Linotype" w:cs="Palatino Linotype"/>
        </w:rPr>
        <w:t xml:space="preserve">: En fecha </w:t>
      </w:r>
      <w:r w:rsidR="001D0D88" w:rsidRPr="00E13C00">
        <w:rPr>
          <w:rFonts w:ascii="Palatino Linotype" w:eastAsia="Palatino Linotype" w:hAnsi="Palatino Linotype" w:cs="Palatino Linotype"/>
          <w:b/>
        </w:rPr>
        <w:t>siete</w:t>
      </w:r>
      <w:r w:rsidR="00DA4E76" w:rsidRPr="00E13C00">
        <w:rPr>
          <w:rFonts w:ascii="Palatino Linotype" w:eastAsia="Palatino Linotype" w:hAnsi="Palatino Linotype" w:cs="Palatino Linotype"/>
          <w:b/>
        </w:rPr>
        <w:t xml:space="preserve"> de </w:t>
      </w:r>
      <w:r w:rsidR="001D0D88" w:rsidRPr="00E13C00">
        <w:rPr>
          <w:rFonts w:ascii="Palatino Linotype" w:eastAsia="Palatino Linotype" w:hAnsi="Palatino Linotype" w:cs="Palatino Linotype"/>
          <w:b/>
        </w:rPr>
        <w:t>agosto</w:t>
      </w:r>
      <w:r w:rsidR="00A576C8" w:rsidRPr="00E13C00">
        <w:rPr>
          <w:rFonts w:ascii="Palatino Linotype" w:eastAsia="Palatino Linotype" w:hAnsi="Palatino Linotype" w:cs="Palatino Linotype"/>
          <w:b/>
        </w:rPr>
        <w:t xml:space="preserve"> de dos mil veinticuatro</w:t>
      </w:r>
      <w:r w:rsidRPr="00E13C00">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AED764D" w14:textId="77777777" w:rsidR="008830D6" w:rsidRPr="00E13C00" w:rsidRDefault="008830D6" w:rsidP="008830D6">
      <w:pPr>
        <w:pStyle w:val="Prrafodelista"/>
        <w:rPr>
          <w:rFonts w:ascii="Palatino Linotype" w:eastAsia="Palatino Linotype" w:hAnsi="Palatino Linotype" w:cs="Palatino Linotype"/>
        </w:rPr>
      </w:pPr>
    </w:p>
    <w:p w14:paraId="6B4E86FB" w14:textId="728D9397" w:rsidR="00882FA5" w:rsidRPr="00E13C00" w:rsidRDefault="00D01B01" w:rsidP="00DA4E76">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13C00">
        <w:rPr>
          <w:rFonts w:ascii="Palatino Linotype" w:eastAsia="Palatino Linotype" w:hAnsi="Palatino Linotype" w:cs="Palatino Linotype"/>
          <w:b/>
        </w:rPr>
        <w:t xml:space="preserve">Manifestaciones. </w:t>
      </w:r>
      <w:bookmarkEnd w:id="0"/>
      <w:r w:rsidR="009A5B6C" w:rsidRPr="00E13C00">
        <w:rPr>
          <w:rFonts w:ascii="Palatino Linotype" w:eastAsia="Palatino Linotype" w:hAnsi="Palatino Linotype" w:cs="Palatino Linotype"/>
          <w:bCs/>
        </w:rPr>
        <w:t xml:space="preserve">En fecha </w:t>
      </w:r>
      <w:r w:rsidR="00F74721" w:rsidRPr="00E13C00">
        <w:rPr>
          <w:rFonts w:ascii="Palatino Linotype" w:eastAsia="Palatino Linotype" w:hAnsi="Palatino Linotype" w:cs="Palatino Linotype"/>
          <w:b/>
          <w:bCs/>
        </w:rPr>
        <w:t>catorce</w:t>
      </w:r>
      <w:r w:rsidR="00DA4E76" w:rsidRPr="00E13C00">
        <w:rPr>
          <w:rFonts w:ascii="Palatino Linotype" w:eastAsia="Palatino Linotype" w:hAnsi="Palatino Linotype" w:cs="Palatino Linotype"/>
          <w:b/>
        </w:rPr>
        <w:t xml:space="preserve"> </w:t>
      </w:r>
      <w:r w:rsidR="009A5B6C" w:rsidRPr="00E13C00">
        <w:rPr>
          <w:rFonts w:ascii="Palatino Linotype" w:eastAsia="Palatino Linotype" w:hAnsi="Palatino Linotype" w:cs="Palatino Linotype"/>
          <w:b/>
        </w:rPr>
        <w:t xml:space="preserve">de </w:t>
      </w:r>
      <w:r w:rsidR="00F74721" w:rsidRPr="00E13C00">
        <w:rPr>
          <w:rFonts w:ascii="Palatino Linotype" w:eastAsia="Palatino Linotype" w:hAnsi="Palatino Linotype" w:cs="Palatino Linotype"/>
          <w:b/>
        </w:rPr>
        <w:t>agosto y siete de octubre de dos mil veinticuatro</w:t>
      </w:r>
      <w:r w:rsidR="009A5B6C" w:rsidRPr="00E13C00">
        <w:rPr>
          <w:rFonts w:ascii="Palatino Linotype" w:eastAsia="Palatino Linotype" w:hAnsi="Palatino Linotype" w:cs="Palatino Linotype"/>
          <w:bCs/>
        </w:rPr>
        <w:t>, el Sujeto Obligado rindió su informe justificado al tenor de lo siguiente:</w:t>
      </w:r>
    </w:p>
    <w:p w14:paraId="2F2DFB40" w14:textId="064A27DB" w:rsidR="00C11B37" w:rsidRPr="00E13C00" w:rsidRDefault="00C11B37" w:rsidP="00C11B37">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9FB8CAA" w14:textId="1574C269" w:rsidR="00F74721" w:rsidRPr="00E13C00" w:rsidRDefault="00F74721" w:rsidP="00F74721">
      <w:pPr>
        <w:pStyle w:val="Prrafodelista"/>
        <w:numPr>
          <w:ilvl w:val="0"/>
          <w:numId w:val="33"/>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roofErr w:type="spellStart"/>
      <w:r w:rsidRPr="00E13C00">
        <w:rPr>
          <w:rFonts w:ascii="Palatino Linotype" w:eastAsia="Palatino Linotype" w:hAnsi="Palatino Linotype" w:cs="Palatino Linotype"/>
          <w:b/>
        </w:rPr>
        <w:t>resp</w:t>
      </w:r>
      <w:proofErr w:type="spellEnd"/>
      <w:r w:rsidRPr="00E13C00">
        <w:rPr>
          <w:rFonts w:ascii="Palatino Linotype" w:eastAsia="Palatino Linotype" w:hAnsi="Palatino Linotype" w:cs="Palatino Linotype"/>
          <w:b/>
        </w:rPr>
        <w:t xml:space="preserve"> a </w:t>
      </w:r>
      <w:proofErr w:type="spellStart"/>
      <w:r w:rsidRPr="00E13C00">
        <w:rPr>
          <w:rFonts w:ascii="Palatino Linotype" w:eastAsia="Palatino Linotype" w:hAnsi="Palatino Linotype" w:cs="Palatino Linotype"/>
          <w:b/>
        </w:rPr>
        <w:t>rr</w:t>
      </w:r>
      <w:proofErr w:type="spellEnd"/>
      <w:r w:rsidRPr="00E13C00">
        <w:rPr>
          <w:rFonts w:ascii="Palatino Linotype" w:eastAsia="Palatino Linotype" w:hAnsi="Palatino Linotype" w:cs="Palatino Linotype"/>
          <w:b/>
        </w:rPr>
        <w:t xml:space="preserve"> </w:t>
      </w:r>
      <w:proofErr w:type="spellStart"/>
      <w:r w:rsidRPr="00E13C00">
        <w:rPr>
          <w:rFonts w:ascii="Palatino Linotype" w:eastAsia="Palatino Linotype" w:hAnsi="Palatino Linotype" w:cs="Palatino Linotype"/>
          <w:b/>
        </w:rPr>
        <w:t>uni</w:t>
      </w:r>
      <w:proofErr w:type="spellEnd"/>
      <w:r w:rsidRPr="00E13C00">
        <w:rPr>
          <w:rFonts w:ascii="Palatino Linotype" w:eastAsia="Palatino Linotype" w:hAnsi="Palatino Linotype" w:cs="Palatino Linotype"/>
          <w:b/>
        </w:rPr>
        <w:t xml:space="preserve"> 04604.pdf: </w:t>
      </w:r>
      <w:r w:rsidRPr="00E13C00">
        <w:rPr>
          <w:rFonts w:ascii="Palatino Linotype" w:eastAsia="Palatino Linotype" w:hAnsi="Palatino Linotype" w:cs="Palatino Linotype"/>
        </w:rPr>
        <w:t>Oficio signado por la Coordinadora de Administración y Finanzas mediante el cual ratifica su respuesta inicial, añadiendo que no encontró información relacionada con los requerimientos.</w:t>
      </w:r>
      <w:r w:rsidRPr="00E13C00">
        <w:rPr>
          <w:rFonts w:ascii="Palatino Linotype" w:eastAsia="Palatino Linotype" w:hAnsi="Palatino Linotype" w:cs="Palatino Linotype"/>
          <w:b/>
        </w:rPr>
        <w:tab/>
      </w:r>
    </w:p>
    <w:p w14:paraId="3250264F" w14:textId="41025898" w:rsidR="00F74721" w:rsidRPr="00E13C00" w:rsidRDefault="00F74721" w:rsidP="00F74721">
      <w:pPr>
        <w:pStyle w:val="Prrafodelista"/>
        <w:numPr>
          <w:ilvl w:val="0"/>
          <w:numId w:val="3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b/>
        </w:rPr>
        <w:t xml:space="preserve">INFORME JUSTIFICADO RR 4604.pdf: </w:t>
      </w:r>
      <w:r w:rsidRPr="00E13C00">
        <w:rPr>
          <w:rFonts w:ascii="Palatino Linotype" w:eastAsia="Palatino Linotype" w:hAnsi="Palatino Linotype" w:cs="Palatino Linotype"/>
        </w:rPr>
        <w:t xml:space="preserve">Oficio suscrito por la </w:t>
      </w:r>
      <w:proofErr w:type="gramStart"/>
      <w:r w:rsidRPr="00E13C00">
        <w:rPr>
          <w:rFonts w:ascii="Palatino Linotype" w:eastAsia="Palatino Linotype" w:hAnsi="Palatino Linotype" w:cs="Palatino Linotype"/>
        </w:rPr>
        <w:t>Jefa</w:t>
      </w:r>
      <w:proofErr w:type="gramEnd"/>
      <w:r w:rsidRPr="00E13C00">
        <w:rPr>
          <w:rFonts w:ascii="Palatino Linotype" w:eastAsia="Palatino Linotype" w:hAnsi="Palatino Linotype" w:cs="Palatino Linotype"/>
        </w:rPr>
        <w:t xml:space="preserve"> de la Unidad de Planeación y Transparencia mediante el cual ratifica la respuesta emitida y </w:t>
      </w:r>
      <w:r w:rsidR="007A57F3" w:rsidRPr="00E13C00">
        <w:rPr>
          <w:rFonts w:ascii="Palatino Linotype" w:eastAsia="Palatino Linotype" w:hAnsi="Palatino Linotype" w:cs="Palatino Linotype"/>
        </w:rPr>
        <w:t>solicita se deseche por improcedente el recurso de revisión.</w:t>
      </w:r>
    </w:p>
    <w:p w14:paraId="084881C3" w14:textId="0AF6EA19" w:rsidR="00FD2118" w:rsidRPr="00E13C00" w:rsidRDefault="00F74721" w:rsidP="00F74721">
      <w:pPr>
        <w:pStyle w:val="Prrafodelista"/>
        <w:numPr>
          <w:ilvl w:val="0"/>
          <w:numId w:val="33"/>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E13C00">
        <w:rPr>
          <w:rFonts w:ascii="Palatino Linotype" w:eastAsia="Palatino Linotype" w:hAnsi="Palatino Linotype" w:cs="Palatino Linotype"/>
          <w:b/>
        </w:rPr>
        <w:t xml:space="preserve">Información adicional RR 04604-INFOEM-IP-RR-2024.pdf </w:t>
      </w:r>
      <w:r w:rsidR="007A57F3" w:rsidRPr="00E13C00">
        <w:rPr>
          <w:rFonts w:ascii="Palatino Linotype" w:eastAsia="Palatino Linotype" w:hAnsi="Palatino Linotype" w:cs="Palatino Linotype"/>
        </w:rPr>
        <w:t>Oficio firmado por la Coordinadora de Administración y Finanzas en que refiere que nuevamente se confirma que no se encontró información relativa a la solicitud, ni factura o cargo alguno erogado por el Sujeto Obligado.</w:t>
      </w:r>
    </w:p>
    <w:p w14:paraId="7CC96C33" w14:textId="77777777" w:rsidR="00F74721" w:rsidRPr="00E13C00" w:rsidRDefault="00F74721" w:rsidP="007A57F3">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18BB79B3" w14:textId="11E4DC59" w:rsidR="00DF3AB4" w:rsidRPr="00E13C00" w:rsidRDefault="00C11B37">
      <w:pPr>
        <w:spacing w:after="0" w:line="360" w:lineRule="auto"/>
        <w:jc w:val="both"/>
        <w:rPr>
          <w:rFonts w:ascii="Palatino Linotype" w:eastAsia="Palatino Linotype" w:hAnsi="Palatino Linotype" w:cs="Palatino Linotype"/>
          <w:b/>
          <w:bCs/>
        </w:rPr>
      </w:pPr>
      <w:r w:rsidRPr="00E13C00">
        <w:rPr>
          <w:rFonts w:ascii="Palatino Linotype" w:eastAsia="Palatino Linotype" w:hAnsi="Palatino Linotype" w:cs="Palatino Linotype"/>
        </w:rPr>
        <w:t>Documento</w:t>
      </w:r>
      <w:r w:rsidR="00F74721" w:rsidRPr="00E13C00">
        <w:rPr>
          <w:rFonts w:ascii="Palatino Linotype" w:eastAsia="Palatino Linotype" w:hAnsi="Palatino Linotype" w:cs="Palatino Linotype"/>
        </w:rPr>
        <w:t xml:space="preserve">s </w:t>
      </w:r>
      <w:r w:rsidRPr="00E13C00">
        <w:rPr>
          <w:rFonts w:ascii="Palatino Linotype" w:eastAsia="Palatino Linotype" w:hAnsi="Palatino Linotype" w:cs="Palatino Linotype"/>
        </w:rPr>
        <w:t>que se hi</w:t>
      </w:r>
      <w:r w:rsidR="00F74721" w:rsidRPr="00E13C00">
        <w:rPr>
          <w:rFonts w:ascii="Palatino Linotype" w:eastAsia="Palatino Linotype" w:hAnsi="Palatino Linotype" w:cs="Palatino Linotype"/>
        </w:rPr>
        <w:t xml:space="preserve">cieron </w:t>
      </w:r>
      <w:r w:rsidR="00882FA5" w:rsidRPr="00E13C00">
        <w:rPr>
          <w:rFonts w:ascii="Palatino Linotype" w:eastAsia="Palatino Linotype" w:hAnsi="Palatino Linotype" w:cs="Palatino Linotype"/>
        </w:rPr>
        <w:t xml:space="preserve">del conocimiento de la parte recurrente en fecha </w:t>
      </w:r>
      <w:r w:rsidRPr="00E13C00">
        <w:rPr>
          <w:rFonts w:ascii="Palatino Linotype" w:eastAsia="Palatino Linotype" w:hAnsi="Palatino Linotype" w:cs="Palatino Linotype"/>
          <w:b/>
          <w:bCs/>
        </w:rPr>
        <w:t>d</w:t>
      </w:r>
      <w:r w:rsidR="00F74721" w:rsidRPr="00E13C00">
        <w:rPr>
          <w:rFonts w:ascii="Palatino Linotype" w:eastAsia="Palatino Linotype" w:hAnsi="Palatino Linotype" w:cs="Palatino Linotype"/>
          <w:b/>
          <w:bCs/>
        </w:rPr>
        <w:t>os y nueve</w:t>
      </w:r>
      <w:r w:rsidRPr="00E13C00">
        <w:rPr>
          <w:rFonts w:ascii="Palatino Linotype" w:eastAsia="Palatino Linotype" w:hAnsi="Palatino Linotype" w:cs="Palatino Linotype"/>
          <w:b/>
          <w:bCs/>
        </w:rPr>
        <w:t xml:space="preserve"> de </w:t>
      </w:r>
      <w:r w:rsidR="00F74721" w:rsidRPr="00E13C00">
        <w:rPr>
          <w:rFonts w:ascii="Palatino Linotype" w:eastAsia="Palatino Linotype" w:hAnsi="Palatino Linotype" w:cs="Palatino Linotype"/>
          <w:b/>
          <w:bCs/>
        </w:rPr>
        <w:t>octubre</w:t>
      </w:r>
      <w:r w:rsidR="00882FA5" w:rsidRPr="00E13C00">
        <w:rPr>
          <w:rFonts w:ascii="Palatino Linotype" w:eastAsia="Palatino Linotype" w:hAnsi="Palatino Linotype" w:cs="Palatino Linotype"/>
          <w:b/>
          <w:bCs/>
        </w:rPr>
        <w:t xml:space="preserve"> de dos mil veinticuatro.</w:t>
      </w:r>
    </w:p>
    <w:p w14:paraId="4B9690D4" w14:textId="77777777" w:rsidR="00882FA5" w:rsidRPr="00E13C00" w:rsidRDefault="00882FA5">
      <w:pPr>
        <w:spacing w:after="0" w:line="360" w:lineRule="auto"/>
        <w:jc w:val="both"/>
        <w:rPr>
          <w:rFonts w:ascii="Palatino Linotype" w:eastAsia="Palatino Linotype" w:hAnsi="Palatino Linotype" w:cs="Palatino Linotype"/>
        </w:rPr>
      </w:pPr>
    </w:p>
    <w:p w14:paraId="0DC53D8F" w14:textId="6411ED6C" w:rsidR="00882FA5" w:rsidRPr="00E13C00" w:rsidRDefault="00882FA5">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La parte Recurrente fue omisa en rendir manifestaciones.</w:t>
      </w:r>
    </w:p>
    <w:p w14:paraId="685F3DA5" w14:textId="77777777" w:rsidR="00882FA5" w:rsidRPr="00E13C00" w:rsidRDefault="00882FA5">
      <w:pPr>
        <w:spacing w:after="0" w:line="360" w:lineRule="auto"/>
        <w:jc w:val="both"/>
        <w:rPr>
          <w:rFonts w:ascii="Palatino Linotype" w:eastAsia="Palatino Linotype" w:hAnsi="Palatino Linotype" w:cs="Palatino Linotype"/>
        </w:rPr>
      </w:pPr>
    </w:p>
    <w:p w14:paraId="5FD60F0F" w14:textId="099E8F23" w:rsidR="00956333" w:rsidRPr="00E13C00" w:rsidRDefault="00956333" w:rsidP="00956333">
      <w:pPr>
        <w:numPr>
          <w:ilvl w:val="0"/>
          <w:numId w:val="35"/>
        </w:numPr>
        <w:pBdr>
          <w:top w:val="nil"/>
          <w:left w:val="nil"/>
          <w:bottom w:val="nil"/>
          <w:right w:val="nil"/>
          <w:between w:val="nil"/>
        </w:pBdr>
        <w:tabs>
          <w:tab w:val="left" w:pos="426"/>
        </w:tabs>
        <w:spacing w:after="0" w:line="360" w:lineRule="auto"/>
        <w:ind w:left="0" w:firstLine="0"/>
        <w:jc w:val="both"/>
        <w:rPr>
          <w:rFonts w:ascii="Palatino Linotype" w:eastAsia="Palatino Linotype" w:hAnsi="Palatino Linotype" w:cs="Palatino Linotype"/>
        </w:rPr>
      </w:pPr>
      <w:r w:rsidRPr="00E13C00">
        <w:rPr>
          <w:rFonts w:ascii="Palatino Linotype" w:eastAsia="Palatino Linotype" w:hAnsi="Palatino Linotype" w:cs="Palatino Linotype"/>
          <w:b/>
        </w:rPr>
        <w:t>Ampliación del plazo.</w:t>
      </w:r>
      <w:r w:rsidRPr="00E13C00">
        <w:rPr>
          <w:rFonts w:ascii="Palatino Linotype" w:eastAsia="Palatino Linotype" w:hAnsi="Palatino Linotype" w:cs="Palatino Linotype"/>
        </w:rPr>
        <w:t xml:space="preserve"> En fecha </w:t>
      </w:r>
      <w:r w:rsidR="004F2E51" w:rsidRPr="00E13C00">
        <w:rPr>
          <w:rFonts w:ascii="Palatino Linotype" w:eastAsia="Palatino Linotype" w:hAnsi="Palatino Linotype" w:cs="Palatino Linotype"/>
          <w:b/>
        </w:rPr>
        <w:t>diecisiete</w:t>
      </w:r>
      <w:r w:rsidRPr="00E13C00">
        <w:rPr>
          <w:rFonts w:ascii="Palatino Linotype" w:eastAsia="Palatino Linotype" w:hAnsi="Palatino Linotype" w:cs="Palatino Linotype"/>
          <w:b/>
        </w:rPr>
        <w:t xml:space="preserve"> de </w:t>
      </w:r>
      <w:r w:rsidR="00E72B49" w:rsidRPr="00E13C00">
        <w:rPr>
          <w:rFonts w:ascii="Palatino Linotype" w:eastAsia="Palatino Linotype" w:hAnsi="Palatino Linotype" w:cs="Palatino Linotype"/>
          <w:b/>
        </w:rPr>
        <w:t>octubre</w:t>
      </w:r>
      <w:r w:rsidRPr="00E13C00">
        <w:rPr>
          <w:rFonts w:ascii="Palatino Linotype" w:eastAsia="Palatino Linotype" w:hAnsi="Palatino Linotype" w:cs="Palatino Linotype"/>
          <w:b/>
        </w:rPr>
        <w:t xml:space="preserve"> de dos mil veinticuatro</w:t>
      </w:r>
      <w:r w:rsidRPr="00E13C00">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320C9BBA" w14:textId="77777777" w:rsidR="00956333" w:rsidRPr="00E13C00" w:rsidRDefault="00956333" w:rsidP="00956333">
      <w:pPr>
        <w:widowControl w:val="0"/>
        <w:spacing w:after="0" w:line="360" w:lineRule="auto"/>
        <w:jc w:val="both"/>
        <w:rPr>
          <w:rFonts w:ascii="Palatino Linotype" w:eastAsia="Palatino Linotype" w:hAnsi="Palatino Linotype" w:cs="Palatino Linotype"/>
        </w:rPr>
      </w:pPr>
    </w:p>
    <w:p w14:paraId="28BEE9EA"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w:t>
      </w:r>
      <w:r w:rsidRPr="00E13C00">
        <w:rPr>
          <w:rFonts w:ascii="Palatino Linotype" w:eastAsia="Palatino Linotype" w:hAnsi="Palatino Linotype" w:cs="Palatino Linotype"/>
        </w:rPr>
        <w:lastRenderedPageBreak/>
        <w:t>circunstancia atípica que ha rebasado las capacidades técnicas y humanas del personal encargado de la proyección de las resoluciones a dichos medios de impugnación.</w:t>
      </w:r>
    </w:p>
    <w:p w14:paraId="3F208A74"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5E6C52D0"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CB1EB1F"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5096043D"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2D7B4B"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39DFABA3"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C85951"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25174EBF" w14:textId="77777777" w:rsidR="00956333" w:rsidRPr="00E13C00" w:rsidRDefault="00956333" w:rsidP="00956333">
      <w:pPr>
        <w:spacing w:after="0" w:line="360" w:lineRule="auto"/>
        <w:jc w:val="both"/>
        <w:rPr>
          <w:rFonts w:ascii="Palatino Linotype" w:eastAsia="Palatino Linotype" w:hAnsi="Palatino Linotype" w:cs="Palatino Linotype"/>
          <w:strike/>
        </w:rPr>
      </w:pPr>
      <w:r w:rsidRPr="00E13C0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A34B275"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22AEE768" w14:textId="77777777" w:rsidR="00956333" w:rsidRPr="00E13C00" w:rsidRDefault="00956333" w:rsidP="00956333">
      <w:pPr>
        <w:numPr>
          <w:ilvl w:val="0"/>
          <w:numId w:val="36"/>
        </w:num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Complejidad del Asunto:</w:t>
      </w:r>
      <w:r w:rsidRPr="00E13C00">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2AF03D66" w14:textId="77777777" w:rsidR="00956333" w:rsidRPr="00E13C00" w:rsidRDefault="00956333" w:rsidP="00956333">
      <w:pPr>
        <w:spacing w:after="0" w:line="360" w:lineRule="auto"/>
        <w:ind w:left="927"/>
        <w:jc w:val="both"/>
        <w:rPr>
          <w:rFonts w:ascii="Palatino Linotype" w:eastAsia="Palatino Linotype" w:hAnsi="Palatino Linotype" w:cs="Palatino Linotype"/>
        </w:rPr>
      </w:pPr>
    </w:p>
    <w:p w14:paraId="5D7049DF" w14:textId="77777777" w:rsidR="00956333" w:rsidRPr="00E13C00" w:rsidRDefault="00956333" w:rsidP="00956333">
      <w:pPr>
        <w:numPr>
          <w:ilvl w:val="0"/>
          <w:numId w:val="36"/>
        </w:num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lastRenderedPageBreak/>
        <w:t>Actividad Procesal del interesado.</w:t>
      </w:r>
      <w:r w:rsidRPr="00E13C00">
        <w:rPr>
          <w:rFonts w:ascii="Palatino Linotype" w:eastAsia="Palatino Linotype" w:hAnsi="Palatino Linotype" w:cs="Palatino Linotype"/>
        </w:rPr>
        <w:t xml:space="preserve"> Acciones u omisiones del interesado.</w:t>
      </w:r>
    </w:p>
    <w:p w14:paraId="37CEC55B" w14:textId="77777777" w:rsidR="00956333" w:rsidRPr="00E13C00" w:rsidRDefault="00956333" w:rsidP="00956333">
      <w:pPr>
        <w:spacing w:after="0" w:line="360" w:lineRule="auto"/>
        <w:ind w:left="927"/>
        <w:jc w:val="both"/>
        <w:rPr>
          <w:rFonts w:ascii="Palatino Linotype" w:eastAsia="Palatino Linotype" w:hAnsi="Palatino Linotype" w:cs="Palatino Linotype"/>
        </w:rPr>
      </w:pPr>
    </w:p>
    <w:p w14:paraId="127609A1" w14:textId="77777777" w:rsidR="00956333" w:rsidRPr="00E13C00" w:rsidRDefault="00956333" w:rsidP="00956333">
      <w:pPr>
        <w:numPr>
          <w:ilvl w:val="0"/>
          <w:numId w:val="36"/>
        </w:num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 xml:space="preserve">Conducta de la Autoridad: </w:t>
      </w:r>
      <w:r w:rsidRPr="00E13C00">
        <w:rPr>
          <w:rFonts w:ascii="Palatino Linotype" w:eastAsia="Palatino Linotype" w:hAnsi="Palatino Linotype" w:cs="Palatino Linotype"/>
        </w:rPr>
        <w:t>Las Acciones u omisiones realizadas en el procedimiento. Así como si la autoridad actuó con la debida diligencia.</w:t>
      </w:r>
    </w:p>
    <w:p w14:paraId="555C2999" w14:textId="77777777" w:rsidR="00956333" w:rsidRPr="00E13C00" w:rsidRDefault="00956333" w:rsidP="00956333">
      <w:pPr>
        <w:spacing w:after="0" w:line="360" w:lineRule="auto"/>
        <w:ind w:left="927"/>
        <w:jc w:val="both"/>
        <w:rPr>
          <w:rFonts w:ascii="Palatino Linotype" w:eastAsia="Palatino Linotype" w:hAnsi="Palatino Linotype" w:cs="Palatino Linotype"/>
        </w:rPr>
      </w:pPr>
    </w:p>
    <w:p w14:paraId="4BB4B0B1" w14:textId="77777777" w:rsidR="00956333" w:rsidRPr="00E13C00" w:rsidRDefault="00956333" w:rsidP="00956333">
      <w:pPr>
        <w:numPr>
          <w:ilvl w:val="0"/>
          <w:numId w:val="36"/>
        </w:num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b/>
        </w:rPr>
        <w:t>La afectación generada en la situación jurídica de la persona involucrada en el proceso:</w:t>
      </w:r>
      <w:r w:rsidRPr="00E13C00">
        <w:rPr>
          <w:rFonts w:ascii="Palatino Linotype" w:eastAsia="Palatino Linotype" w:hAnsi="Palatino Linotype" w:cs="Palatino Linotype"/>
        </w:rPr>
        <w:t xml:space="preserve"> Violación a sus derechos humanos.</w:t>
      </w:r>
    </w:p>
    <w:p w14:paraId="6DEB5588"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783D3D6F"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6AD56A"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7D8A3AB7" w14:textId="77777777" w:rsidR="00956333" w:rsidRPr="00E13C00" w:rsidRDefault="00956333" w:rsidP="00956333">
      <w:pPr>
        <w:spacing w:after="0" w:line="360" w:lineRule="auto"/>
        <w:jc w:val="both"/>
        <w:rPr>
          <w:rFonts w:ascii="Palatino Linotype" w:eastAsia="Palatino Linotype" w:hAnsi="Palatino Linotype" w:cs="Palatino Linotype"/>
          <w:b/>
        </w:rPr>
      </w:pPr>
      <w:r w:rsidRPr="00E13C00">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E13C00">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13C00">
        <w:rPr>
          <w:rFonts w:ascii="Palatino Linotype" w:eastAsia="Palatino Linotype" w:hAnsi="Palatino Linotype" w:cs="Palatino Linotype"/>
        </w:rPr>
        <w:t>, visible en la Gaceta del Seminario Judicial de la Federación con el registro digital 205635.</w:t>
      </w:r>
    </w:p>
    <w:p w14:paraId="3AFB7E4F"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5D29720B"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sidRPr="00E13C00">
        <w:rPr>
          <w:rFonts w:ascii="Palatino Linotype" w:eastAsia="Palatino Linotype" w:hAnsi="Palatino Linotype" w:cs="Palatino Linotype"/>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A08E591"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625BAFC9"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2739020" w14:textId="77777777" w:rsidR="00956333" w:rsidRPr="00E13C00" w:rsidRDefault="00956333" w:rsidP="00956333">
      <w:pPr>
        <w:spacing w:after="0" w:line="360" w:lineRule="auto"/>
        <w:jc w:val="both"/>
        <w:rPr>
          <w:rFonts w:ascii="Palatino Linotype" w:eastAsia="Palatino Linotype" w:hAnsi="Palatino Linotype" w:cs="Palatino Linotype"/>
        </w:rPr>
      </w:pPr>
    </w:p>
    <w:p w14:paraId="566D2139" w14:textId="77777777" w:rsidR="00956333" w:rsidRPr="00E13C00" w:rsidRDefault="00956333" w:rsidP="00956333">
      <w:pPr>
        <w:spacing w:after="0" w:line="360" w:lineRule="auto"/>
        <w:ind w:left="567" w:right="616"/>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i/>
        </w:rPr>
        <w:t>“PLAZO RAZONABLE PARA RESOLVER. DIMENSIÓN Y EFECTOS DE ESTE CONCEPTO CUANDO SE ADUCE EXCESIVA CARGA DE TRABAJO.”</w:t>
      </w:r>
      <w:r w:rsidRPr="00E13C00">
        <w:rPr>
          <w:rFonts w:ascii="Palatino Linotype" w:eastAsia="Palatino Linotype" w:hAnsi="Palatino Linotype" w:cs="Palatino Linotype"/>
        </w:rPr>
        <w:t xml:space="preserve"> consultable en el Seminario Judicial de la Federación y su gaceta, con el registro digital 2002351.</w:t>
      </w:r>
    </w:p>
    <w:p w14:paraId="33A05C74" w14:textId="77777777" w:rsidR="00956333" w:rsidRPr="00E13C00" w:rsidRDefault="00956333" w:rsidP="00956333">
      <w:pPr>
        <w:spacing w:after="0" w:line="360" w:lineRule="auto"/>
        <w:ind w:left="567" w:right="616"/>
        <w:jc w:val="both"/>
        <w:rPr>
          <w:rFonts w:ascii="Palatino Linotype" w:eastAsia="Palatino Linotype" w:hAnsi="Palatino Linotype" w:cs="Palatino Linotype"/>
          <w:b/>
        </w:rPr>
      </w:pPr>
    </w:p>
    <w:p w14:paraId="2A079254" w14:textId="77777777" w:rsidR="00956333" w:rsidRPr="00E13C00" w:rsidRDefault="00956333" w:rsidP="00956333">
      <w:pPr>
        <w:spacing w:after="0" w:line="360" w:lineRule="auto"/>
        <w:ind w:left="567" w:right="616"/>
        <w:jc w:val="both"/>
        <w:rPr>
          <w:rFonts w:ascii="Palatino Linotype" w:eastAsia="Palatino Linotype" w:hAnsi="Palatino Linotype" w:cs="Palatino Linotype"/>
        </w:rPr>
      </w:pPr>
      <w:r w:rsidRPr="00E13C00">
        <w:rPr>
          <w:rFonts w:ascii="Palatino Linotype" w:eastAsia="Palatino Linotype" w:hAnsi="Palatino Linotype" w:cs="Palatino Linotype"/>
          <w:i/>
        </w:rPr>
        <w:t>“PLAZO RAZONABLE PARA RESOLVER. CONCEPTO Y ELEMENTOS QUE LO INTEGRAN A LA LUZ DEL DERECHO INTERNACIONAL DE LOS DERECHOS HUMANOS.”</w:t>
      </w:r>
      <w:r w:rsidRPr="00E13C00">
        <w:rPr>
          <w:rFonts w:ascii="Palatino Linotype" w:eastAsia="Palatino Linotype" w:hAnsi="Palatino Linotype" w:cs="Palatino Linotype"/>
        </w:rPr>
        <w:t>, visible en el Seminario Judicial de la Federación y su gaceta, con el registro digital 2002350.</w:t>
      </w:r>
    </w:p>
    <w:p w14:paraId="7F855F3A" w14:textId="77777777" w:rsidR="00956333" w:rsidRPr="00E13C00" w:rsidRDefault="00956333" w:rsidP="00956333">
      <w:pPr>
        <w:spacing w:after="0" w:line="360" w:lineRule="auto"/>
        <w:ind w:left="567" w:right="616"/>
        <w:jc w:val="both"/>
        <w:rPr>
          <w:rFonts w:ascii="Palatino Linotype" w:eastAsia="Palatino Linotype" w:hAnsi="Palatino Linotype" w:cs="Palatino Linotype"/>
        </w:rPr>
      </w:pPr>
    </w:p>
    <w:p w14:paraId="3AA3358C" w14:textId="77777777" w:rsidR="00956333" w:rsidRPr="00E13C00" w:rsidRDefault="00956333" w:rsidP="0095633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FEFDBF4" w14:textId="77777777" w:rsidR="00956333" w:rsidRPr="00E13C00" w:rsidRDefault="00956333" w:rsidP="0095633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8A59E5" w14:textId="03DFA8F9" w:rsidR="00430390" w:rsidRPr="00E13C00"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13C00">
        <w:rPr>
          <w:rFonts w:ascii="Palatino Linotype" w:eastAsia="Palatino Linotype" w:hAnsi="Palatino Linotype" w:cs="Palatino Linotype"/>
          <w:b/>
        </w:rPr>
        <w:lastRenderedPageBreak/>
        <w:t>Cierre de instrucción</w:t>
      </w:r>
      <w:r w:rsidRPr="00E13C00">
        <w:rPr>
          <w:rFonts w:ascii="Palatino Linotype" w:eastAsia="Palatino Linotype" w:hAnsi="Palatino Linotype" w:cs="Palatino Linotype"/>
        </w:rPr>
        <w:t xml:space="preserve">. En fecha </w:t>
      </w:r>
      <w:r w:rsidR="004F2E51" w:rsidRPr="00E13C00">
        <w:rPr>
          <w:rFonts w:ascii="Palatino Linotype" w:eastAsia="Palatino Linotype" w:hAnsi="Palatino Linotype" w:cs="Palatino Linotype"/>
          <w:b/>
        </w:rPr>
        <w:t>dieciséis</w:t>
      </w:r>
      <w:r w:rsidR="00C11B37" w:rsidRPr="00E13C00">
        <w:rPr>
          <w:rFonts w:ascii="Palatino Linotype" w:eastAsia="Palatino Linotype" w:hAnsi="Palatino Linotype" w:cs="Palatino Linotype"/>
          <w:b/>
        </w:rPr>
        <w:t xml:space="preserve"> de </w:t>
      </w:r>
      <w:r w:rsidR="00F92549" w:rsidRPr="00E13C00">
        <w:rPr>
          <w:rFonts w:ascii="Palatino Linotype" w:eastAsia="Palatino Linotype" w:hAnsi="Palatino Linotype" w:cs="Palatino Linotype"/>
          <w:b/>
        </w:rPr>
        <w:t>octubre</w:t>
      </w:r>
      <w:r w:rsidRPr="00E13C00">
        <w:rPr>
          <w:rFonts w:ascii="Palatino Linotype" w:eastAsia="Palatino Linotype" w:hAnsi="Palatino Linotype" w:cs="Palatino Linotype"/>
          <w:b/>
        </w:rPr>
        <w:t xml:space="preserve"> dos mil veinticuatro</w:t>
      </w:r>
      <w:r w:rsidRPr="00E13C0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0A77FCE" w14:textId="77777777" w:rsidR="00430390" w:rsidRPr="00E13C00"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02BD7C" w14:textId="5E53FD27" w:rsidR="00430390"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6AEED4A" w14:textId="77777777" w:rsidR="004F646A" w:rsidRPr="00E13C00" w:rsidRDefault="004F646A">
      <w:pPr>
        <w:spacing w:after="0" w:line="360" w:lineRule="auto"/>
        <w:ind w:right="49"/>
        <w:jc w:val="both"/>
        <w:rPr>
          <w:rFonts w:ascii="Palatino Linotype" w:eastAsia="Palatino Linotype" w:hAnsi="Palatino Linotype" w:cs="Palatino Linotype"/>
        </w:rPr>
      </w:pPr>
    </w:p>
    <w:p w14:paraId="222C0B26" w14:textId="77777777" w:rsidR="00430390" w:rsidRPr="00E13C00" w:rsidRDefault="00E75862">
      <w:pPr>
        <w:spacing w:after="0" w:line="360" w:lineRule="auto"/>
        <w:ind w:right="49"/>
        <w:jc w:val="center"/>
        <w:rPr>
          <w:rFonts w:ascii="Palatino Linotype" w:eastAsia="Palatino Linotype" w:hAnsi="Palatino Linotype" w:cs="Palatino Linotype"/>
          <w:b/>
        </w:rPr>
      </w:pPr>
      <w:r w:rsidRPr="00E13C00">
        <w:rPr>
          <w:rFonts w:ascii="Palatino Linotype" w:eastAsia="Palatino Linotype" w:hAnsi="Palatino Linotype" w:cs="Palatino Linotype"/>
          <w:b/>
        </w:rPr>
        <w:t>II.</w:t>
      </w:r>
      <w:r w:rsidRPr="00E13C00">
        <w:rPr>
          <w:rFonts w:ascii="Palatino Linotype" w:eastAsia="Palatino Linotype" w:hAnsi="Palatino Linotype" w:cs="Palatino Linotype"/>
          <w:b/>
        </w:rPr>
        <w:tab/>
        <w:t>C O N S I D E R A N D O:</w:t>
      </w:r>
    </w:p>
    <w:p w14:paraId="0EB48720" w14:textId="77777777" w:rsidR="00430390" w:rsidRPr="00E13C00" w:rsidRDefault="00430390">
      <w:pPr>
        <w:spacing w:after="0" w:line="360" w:lineRule="auto"/>
        <w:ind w:right="49"/>
        <w:jc w:val="both"/>
        <w:rPr>
          <w:rFonts w:ascii="Palatino Linotype" w:eastAsia="Palatino Linotype" w:hAnsi="Palatino Linotype" w:cs="Palatino Linotype"/>
        </w:rPr>
      </w:pPr>
    </w:p>
    <w:p w14:paraId="171EC891" w14:textId="20F10136" w:rsidR="00430390" w:rsidRPr="00E13C00" w:rsidRDefault="00E75862" w:rsidP="00D01B01">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 xml:space="preserve">Primero. Competencia. </w:t>
      </w:r>
      <w:r w:rsidRPr="00E13C00">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723A858" w14:textId="77777777" w:rsidR="004F646A" w:rsidRPr="00E13C00" w:rsidRDefault="004F646A" w:rsidP="00D01B01">
      <w:pPr>
        <w:spacing w:after="0" w:line="360" w:lineRule="auto"/>
        <w:jc w:val="both"/>
        <w:rPr>
          <w:rFonts w:ascii="Palatino Linotype" w:eastAsia="Palatino Linotype" w:hAnsi="Palatino Linotype" w:cs="Palatino Linotype"/>
        </w:rPr>
      </w:pPr>
    </w:p>
    <w:p w14:paraId="2D1A5810" w14:textId="7D255704" w:rsidR="00430390" w:rsidRPr="00E13C00" w:rsidRDefault="00E75862">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Segundo. Oportunidad y Procedibilidad del Recurso de Revisión</w:t>
      </w:r>
      <w:r w:rsidRPr="00E13C00">
        <w:rPr>
          <w:rFonts w:ascii="Palatino Linotype" w:eastAsia="Palatino Linotype" w:hAnsi="Palatino Linotype" w:cs="Palatino Linotype"/>
        </w:rPr>
        <w:t xml:space="preserve">. Previo al estudio del fondo del asunto, se procede a analizar los requisitos de oportunidad y procedibilidad que </w:t>
      </w:r>
      <w:r w:rsidRPr="00E13C00">
        <w:rPr>
          <w:rFonts w:ascii="Palatino Linotype" w:eastAsia="Palatino Linotype" w:hAnsi="Palatino Linotype" w:cs="Palatino Linotype"/>
        </w:rPr>
        <w:lastRenderedPageBreak/>
        <w:t>debe reunir el recurso de revisión interpuesto, previstos en los artículos 178 y 180 de la Ley de Transparencia y Acceso a la Información Pública del Estado de México y Municipios.</w:t>
      </w:r>
    </w:p>
    <w:p w14:paraId="35310320" w14:textId="77777777" w:rsidR="00DF3AB4" w:rsidRPr="00E13C00" w:rsidRDefault="00DF3AB4">
      <w:pPr>
        <w:spacing w:after="0" w:line="360" w:lineRule="auto"/>
        <w:jc w:val="both"/>
        <w:rPr>
          <w:rFonts w:ascii="Palatino Linotype" w:eastAsia="Palatino Linotype" w:hAnsi="Palatino Linotype" w:cs="Palatino Linotype"/>
        </w:rPr>
      </w:pPr>
    </w:p>
    <w:p w14:paraId="7CCB7ED7" w14:textId="648DBDB9" w:rsidR="00F7535D"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E13C00">
        <w:rPr>
          <w:rFonts w:ascii="Palatino Linotype" w:eastAsia="Palatino Linotype" w:hAnsi="Palatino Linotype" w:cs="Palatino Linotype"/>
          <w:b/>
        </w:rPr>
        <w:t>SUJETO OBLIGADO</w:t>
      </w:r>
      <w:r w:rsidRPr="00E13C00">
        <w:rPr>
          <w:rFonts w:ascii="Palatino Linotype" w:eastAsia="Palatino Linotype" w:hAnsi="Palatino Linotype" w:cs="Palatino Linotype"/>
        </w:rPr>
        <w:t xml:space="preserve"> proporcionó su respuesta a la solicitud de información el </w:t>
      </w:r>
      <w:r w:rsidR="00C11B37" w:rsidRPr="00E13C00">
        <w:rPr>
          <w:rFonts w:ascii="Palatino Linotype" w:eastAsia="Palatino Linotype" w:hAnsi="Palatino Linotype" w:cs="Palatino Linotype"/>
          <w:b/>
        </w:rPr>
        <w:t>dieci</w:t>
      </w:r>
      <w:r w:rsidR="001865E8" w:rsidRPr="00E13C00">
        <w:rPr>
          <w:rFonts w:ascii="Palatino Linotype" w:eastAsia="Palatino Linotype" w:hAnsi="Palatino Linotype" w:cs="Palatino Linotype"/>
          <w:b/>
        </w:rPr>
        <w:t>ocho</w:t>
      </w:r>
      <w:r w:rsidR="0084390F" w:rsidRPr="00E13C00">
        <w:rPr>
          <w:rFonts w:ascii="Palatino Linotype" w:eastAsia="Palatino Linotype" w:hAnsi="Palatino Linotype" w:cs="Palatino Linotype"/>
          <w:b/>
        </w:rPr>
        <w:t xml:space="preserve"> de ju</w:t>
      </w:r>
      <w:r w:rsidR="001865E8" w:rsidRPr="00E13C00">
        <w:rPr>
          <w:rFonts w:ascii="Palatino Linotype" w:eastAsia="Palatino Linotype" w:hAnsi="Palatino Linotype" w:cs="Palatino Linotype"/>
          <w:b/>
        </w:rPr>
        <w:t>lio</w:t>
      </w:r>
      <w:r w:rsidR="0084390F" w:rsidRPr="00E13C00">
        <w:rPr>
          <w:rFonts w:ascii="Palatino Linotype" w:eastAsia="Palatino Linotype" w:hAnsi="Palatino Linotype" w:cs="Palatino Linotype"/>
          <w:b/>
        </w:rPr>
        <w:t xml:space="preserve"> </w:t>
      </w:r>
      <w:r w:rsidR="00002725" w:rsidRPr="00E13C00">
        <w:rPr>
          <w:rFonts w:ascii="Palatino Linotype" w:eastAsia="Palatino Linotype" w:hAnsi="Palatino Linotype" w:cs="Palatino Linotype"/>
          <w:b/>
        </w:rPr>
        <w:t>de dos mil veinticuatro</w:t>
      </w:r>
      <w:r w:rsidRPr="00E13C00">
        <w:rPr>
          <w:rFonts w:ascii="Palatino Linotype" w:eastAsia="Palatino Linotype" w:hAnsi="Palatino Linotype" w:cs="Palatino Linotype"/>
        </w:rPr>
        <w:t xml:space="preserve">, y la parte </w:t>
      </w:r>
      <w:r w:rsidRPr="00E13C00">
        <w:rPr>
          <w:rFonts w:ascii="Palatino Linotype" w:eastAsia="Palatino Linotype" w:hAnsi="Palatino Linotype" w:cs="Palatino Linotype"/>
          <w:b/>
        </w:rPr>
        <w:t>RECURRENTE</w:t>
      </w:r>
      <w:r w:rsidRPr="00E13C00">
        <w:rPr>
          <w:rFonts w:ascii="Palatino Linotype" w:eastAsia="Palatino Linotype" w:hAnsi="Palatino Linotype" w:cs="Palatino Linotype"/>
        </w:rPr>
        <w:t xml:space="preserve"> presentó su recurso de revisión el </w:t>
      </w:r>
      <w:r w:rsidR="001865E8" w:rsidRPr="00E13C00">
        <w:rPr>
          <w:rFonts w:ascii="Palatino Linotype" w:eastAsia="Palatino Linotype" w:hAnsi="Palatino Linotype" w:cs="Palatino Linotype"/>
          <w:b/>
        </w:rPr>
        <w:t>diecinueve</w:t>
      </w:r>
      <w:r w:rsidR="00C11B37" w:rsidRPr="00E13C00">
        <w:rPr>
          <w:rFonts w:ascii="Palatino Linotype" w:eastAsia="Palatino Linotype" w:hAnsi="Palatino Linotype" w:cs="Palatino Linotype"/>
          <w:b/>
        </w:rPr>
        <w:t xml:space="preserve"> de julio</w:t>
      </w:r>
      <w:r w:rsidR="00AC33C1" w:rsidRPr="00E13C00">
        <w:rPr>
          <w:rFonts w:ascii="Palatino Linotype" w:eastAsia="Palatino Linotype" w:hAnsi="Palatino Linotype" w:cs="Palatino Linotype"/>
          <w:b/>
        </w:rPr>
        <w:t xml:space="preserve"> </w:t>
      </w:r>
      <w:r w:rsidR="008636E5" w:rsidRPr="00E13C00">
        <w:rPr>
          <w:rFonts w:ascii="Palatino Linotype" w:eastAsia="Palatino Linotype" w:hAnsi="Palatino Linotype" w:cs="Palatino Linotype"/>
          <w:b/>
        </w:rPr>
        <w:t>de dos mil veinti</w:t>
      </w:r>
      <w:r w:rsidR="00F7535D" w:rsidRPr="00E13C00">
        <w:rPr>
          <w:rFonts w:ascii="Palatino Linotype" w:eastAsia="Palatino Linotype" w:hAnsi="Palatino Linotype" w:cs="Palatino Linotype"/>
          <w:b/>
        </w:rPr>
        <w:t>cuatro</w:t>
      </w:r>
      <w:r w:rsidR="008636E5" w:rsidRPr="00E13C00">
        <w:rPr>
          <w:rFonts w:ascii="Palatino Linotype" w:eastAsia="Palatino Linotype" w:hAnsi="Palatino Linotype" w:cs="Palatino Linotype"/>
        </w:rPr>
        <w:t xml:space="preserve">, esto es </w:t>
      </w:r>
      <w:r w:rsidR="001865E8" w:rsidRPr="00E13C00">
        <w:rPr>
          <w:rFonts w:ascii="Palatino Linotype" w:eastAsia="Palatino Linotype" w:hAnsi="Palatino Linotype" w:cs="Palatino Linotype"/>
        </w:rPr>
        <w:t xml:space="preserve">siguiente </w:t>
      </w:r>
      <w:r w:rsidR="00D01B01" w:rsidRPr="00E13C00">
        <w:rPr>
          <w:rFonts w:ascii="Palatino Linotype" w:eastAsia="Palatino Linotype" w:hAnsi="Palatino Linotype" w:cs="Palatino Linotype"/>
        </w:rPr>
        <w:t>d</w:t>
      </w:r>
      <w:r w:rsidR="008636E5" w:rsidRPr="00E13C00">
        <w:rPr>
          <w:rFonts w:ascii="Palatino Linotype" w:eastAsia="Palatino Linotype" w:hAnsi="Palatino Linotype" w:cs="Palatino Linotype"/>
        </w:rPr>
        <w:t xml:space="preserve">ía </w:t>
      </w:r>
      <w:r w:rsidR="00F7535D" w:rsidRPr="00E13C00">
        <w:rPr>
          <w:rFonts w:ascii="Palatino Linotype" w:eastAsia="Palatino Linotype" w:hAnsi="Palatino Linotype" w:cs="Palatino Linotype"/>
        </w:rPr>
        <w:t xml:space="preserve">hábil </w:t>
      </w:r>
      <w:r w:rsidR="008636E5" w:rsidRPr="00E13C00">
        <w:rPr>
          <w:rFonts w:ascii="Palatino Linotype" w:eastAsia="Palatino Linotype" w:hAnsi="Palatino Linotype" w:cs="Palatino Linotype"/>
        </w:rPr>
        <w:t xml:space="preserve">en que tuvo conocimiento de la respuesta. </w:t>
      </w:r>
    </w:p>
    <w:p w14:paraId="4E7E551A" w14:textId="77777777" w:rsidR="00FD2118" w:rsidRPr="00E13C00" w:rsidRDefault="00FD2118">
      <w:pPr>
        <w:spacing w:after="0" w:line="360" w:lineRule="auto"/>
        <w:ind w:right="49"/>
        <w:jc w:val="both"/>
        <w:rPr>
          <w:rFonts w:ascii="Palatino Linotype" w:eastAsia="Palatino Linotype" w:hAnsi="Palatino Linotype" w:cs="Palatino Linotype"/>
        </w:rPr>
      </w:pPr>
    </w:p>
    <w:p w14:paraId="5C4DE8EF" w14:textId="00043D3B" w:rsidR="004F646A" w:rsidRPr="00E13C00" w:rsidRDefault="00E75862" w:rsidP="00D4468F">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1CCEB80" w14:textId="0B661EFC" w:rsidR="004F646A" w:rsidRPr="00E13C00" w:rsidRDefault="004F646A" w:rsidP="004F646A">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Al mismo tiempo, tras la revisión del formato de interposición de los recursos, es de suma importancia señalar que la Parte Recurrente no proporcionó un nombre o seudónimo</w:t>
      </w:r>
      <w:r w:rsidRPr="00E13C00">
        <w:rPr>
          <w:rFonts w:ascii="Palatino Linotype" w:eastAsia="Palatino Linotype" w:hAnsi="Palatino Linotype" w:cs="Palatino Linotype"/>
          <w:b/>
        </w:rPr>
        <w:t xml:space="preserve">, </w:t>
      </w:r>
      <w:r w:rsidRPr="00E13C00">
        <w:rPr>
          <w:rFonts w:ascii="Palatino Linotype" w:eastAsia="Palatino Linotype" w:hAnsi="Palatino Linotype" w:cs="Palatino Linotype"/>
        </w:rPr>
        <w:t>como se advierte en el detalle de seguimiento del SAIMEX, lo anterior</w:t>
      </w:r>
      <w:r w:rsidR="00381F39"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A2A799F" w14:textId="77777777" w:rsidR="004F646A" w:rsidRPr="00E13C00" w:rsidRDefault="004F646A" w:rsidP="004F646A">
      <w:pPr>
        <w:spacing w:after="0" w:line="360" w:lineRule="auto"/>
        <w:jc w:val="both"/>
        <w:rPr>
          <w:rFonts w:ascii="Palatino Linotype" w:eastAsia="Palatino Linotype" w:hAnsi="Palatino Linotype" w:cs="Palatino Linotype"/>
        </w:rPr>
      </w:pPr>
    </w:p>
    <w:p w14:paraId="4D735342" w14:textId="77777777" w:rsidR="004F646A" w:rsidRPr="00E13C00" w:rsidRDefault="004F646A" w:rsidP="004F646A">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C406201" w14:textId="77777777" w:rsidR="00F541FC" w:rsidRPr="00E13C00" w:rsidRDefault="00F541FC" w:rsidP="00D4468F">
      <w:pPr>
        <w:spacing w:after="0" w:line="360" w:lineRule="auto"/>
        <w:jc w:val="both"/>
        <w:rPr>
          <w:rFonts w:ascii="Palatino Linotype" w:eastAsia="Palatino Linotype" w:hAnsi="Palatino Linotype" w:cs="Palatino Linotype"/>
        </w:rPr>
      </w:pPr>
    </w:p>
    <w:p w14:paraId="029A6BEB" w14:textId="09B9AFD1" w:rsidR="00430390" w:rsidRPr="00E13C00" w:rsidRDefault="00E75862">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lastRenderedPageBreak/>
        <w:t>Asimismo, resulta procedente la interposición del recurso de revisión al rubro anotado, toda vez que se actualiza</w:t>
      </w:r>
      <w:r w:rsidR="00D4468F" w:rsidRPr="00E13C00">
        <w:rPr>
          <w:rFonts w:ascii="Palatino Linotype" w:eastAsia="Palatino Linotype" w:hAnsi="Palatino Linotype" w:cs="Palatino Linotype"/>
        </w:rPr>
        <w:t xml:space="preserve"> la hipótesis prevista en el artículo 179, fracción</w:t>
      </w:r>
      <w:r w:rsidR="009F5C9E" w:rsidRPr="00E13C00">
        <w:rPr>
          <w:rFonts w:ascii="Palatino Linotype" w:eastAsia="Palatino Linotype" w:hAnsi="Palatino Linotype" w:cs="Palatino Linotype"/>
        </w:rPr>
        <w:t xml:space="preserve"> </w:t>
      </w:r>
      <w:r w:rsidR="00C11B37" w:rsidRPr="00E13C00">
        <w:rPr>
          <w:rFonts w:ascii="Palatino Linotype" w:eastAsia="Palatino Linotype" w:hAnsi="Palatino Linotype" w:cs="Palatino Linotype"/>
        </w:rPr>
        <w:t>I d</w:t>
      </w:r>
      <w:r w:rsidRPr="00E13C00">
        <w:rPr>
          <w:rFonts w:ascii="Palatino Linotype" w:eastAsia="Palatino Linotype" w:hAnsi="Palatino Linotype" w:cs="Palatino Linotype"/>
        </w:rPr>
        <w:t>e la ley de la materia, que a la letra dice:</w:t>
      </w:r>
    </w:p>
    <w:p w14:paraId="32653C9A" w14:textId="77777777" w:rsidR="00094748" w:rsidRPr="00E13C00" w:rsidRDefault="00094748">
      <w:pPr>
        <w:spacing w:after="0" w:line="360" w:lineRule="auto"/>
        <w:jc w:val="both"/>
        <w:rPr>
          <w:rFonts w:ascii="Palatino Linotype" w:eastAsia="Palatino Linotype" w:hAnsi="Palatino Linotype" w:cs="Palatino Linotype"/>
        </w:rPr>
      </w:pPr>
    </w:p>
    <w:p w14:paraId="792ACF64" w14:textId="77777777" w:rsidR="00430390" w:rsidRPr="00E13C00" w:rsidRDefault="00E75862">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w:t>
      </w:r>
      <w:r w:rsidRPr="00E13C00">
        <w:rPr>
          <w:rFonts w:ascii="Palatino Linotype" w:eastAsia="Palatino Linotype" w:hAnsi="Palatino Linotype" w:cs="Palatino Linotype"/>
          <w:b/>
          <w:i/>
        </w:rPr>
        <w:t xml:space="preserve">Artículo 179. </w:t>
      </w:r>
      <w:r w:rsidRPr="00E13C00">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7C1CB96F" w14:textId="5DA6A968" w:rsidR="00094748" w:rsidRPr="00E13C00" w:rsidRDefault="00094748" w:rsidP="00FD2118">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w:t>
      </w:r>
    </w:p>
    <w:p w14:paraId="56FC9BA7" w14:textId="32D054EB" w:rsidR="00FD2118" w:rsidRPr="00E13C00" w:rsidRDefault="00C11B37" w:rsidP="00FD2118">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I. La negativa de entrega de la información</w:t>
      </w:r>
      <w:r w:rsidR="00F71B69" w:rsidRPr="00E13C00">
        <w:rPr>
          <w:rFonts w:ascii="Palatino Linotype" w:eastAsia="Palatino Linotype" w:hAnsi="Palatino Linotype" w:cs="Palatino Linotype"/>
          <w:i/>
        </w:rPr>
        <w:t>;</w:t>
      </w:r>
    </w:p>
    <w:p w14:paraId="7C929808" w14:textId="631B4C48" w:rsidR="00E15D7F" w:rsidRPr="00E13C00" w:rsidRDefault="00E75862" w:rsidP="00D01B01">
      <w:pPr>
        <w:spacing w:after="0" w:line="360" w:lineRule="auto"/>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 </w:t>
      </w:r>
    </w:p>
    <w:p w14:paraId="1988034F" w14:textId="77777777" w:rsidR="00F71B69" w:rsidRPr="00E13C00" w:rsidRDefault="00F71B69" w:rsidP="00D01B01">
      <w:pPr>
        <w:spacing w:after="0" w:line="360" w:lineRule="auto"/>
        <w:ind w:left="567" w:right="616"/>
        <w:jc w:val="both"/>
        <w:rPr>
          <w:rFonts w:ascii="Palatino Linotype" w:eastAsia="Palatino Linotype" w:hAnsi="Palatino Linotype" w:cs="Palatino Linotype"/>
          <w:i/>
        </w:rPr>
      </w:pPr>
    </w:p>
    <w:p w14:paraId="485EC224" w14:textId="08F13EBA" w:rsidR="00430390" w:rsidRPr="00E13C00" w:rsidRDefault="00E75862">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Tercero. Materia de Revisión</w:t>
      </w:r>
      <w:r w:rsidRPr="00E13C00">
        <w:rPr>
          <w:rFonts w:ascii="Palatino Linotype" w:eastAsia="Palatino Linotype" w:hAnsi="Palatino Linotype" w:cs="Palatino Linotype"/>
        </w:rPr>
        <w:t>: De las constancias que integran el expediente electrónico se advierte que el tema sobre el que este Instituto se pronunciará será en determinar s</w:t>
      </w:r>
      <w:r w:rsidR="00432AA1" w:rsidRPr="00E13C00">
        <w:rPr>
          <w:rFonts w:ascii="Palatino Linotype" w:eastAsia="Palatino Linotype" w:hAnsi="Palatino Linotype" w:cs="Palatino Linotype"/>
        </w:rPr>
        <w:t xml:space="preserve">i se actualiza la fracción </w:t>
      </w:r>
      <w:r w:rsidR="00C11B37" w:rsidRPr="00E13C00">
        <w:rPr>
          <w:rFonts w:ascii="Palatino Linotype" w:eastAsia="Palatino Linotype" w:hAnsi="Palatino Linotype" w:cs="Palatino Linotype"/>
        </w:rPr>
        <w:t>I</w:t>
      </w:r>
      <w:r w:rsidR="009F5C9E"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rPr>
        <w:t xml:space="preserve">del artículo 179 de la Ley de Transparencia y Acceso a la Información Pública del Estado de México y Municipios.  </w:t>
      </w:r>
    </w:p>
    <w:p w14:paraId="2CB8D4A1" w14:textId="7A565671" w:rsidR="00430390" w:rsidRPr="00E13C00" w:rsidRDefault="00E75862" w:rsidP="00432AA1">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b/>
        </w:rPr>
        <w:t>Cuarto.</w:t>
      </w:r>
      <w:r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b/>
        </w:rPr>
        <w:t>Estudio de fondo del asunto.</w:t>
      </w:r>
      <w:r w:rsidRPr="00E13C00">
        <w:rPr>
          <w:rFonts w:ascii="Palatino Linotype" w:eastAsia="Palatino Linotype" w:hAnsi="Palatino Linotype" w:cs="Palatino Linotype"/>
        </w:rPr>
        <w:t xml:space="preserve">  Es conveniente analizar si la respuesta del Sujeto Obligado</w:t>
      </w:r>
      <w:r w:rsidRPr="00E13C00">
        <w:rPr>
          <w:rFonts w:ascii="Palatino Linotype" w:eastAsia="Palatino Linotype" w:hAnsi="Palatino Linotype" w:cs="Palatino Linotype"/>
          <w:b/>
        </w:rPr>
        <w:t xml:space="preserve"> </w:t>
      </w:r>
      <w:r w:rsidRPr="00E13C00">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D3F198C" w14:textId="77777777" w:rsidR="00F7535D" w:rsidRPr="00E13C00" w:rsidRDefault="00F7535D" w:rsidP="00432AA1">
      <w:pPr>
        <w:spacing w:after="0" w:line="360" w:lineRule="auto"/>
        <w:ind w:right="49"/>
        <w:jc w:val="both"/>
        <w:rPr>
          <w:rFonts w:ascii="Palatino Linotype" w:eastAsia="Palatino Linotype" w:hAnsi="Palatino Linotype" w:cs="Palatino Linotype"/>
        </w:rPr>
      </w:pPr>
    </w:p>
    <w:p w14:paraId="49C1F20A" w14:textId="77777777" w:rsidR="00430390" w:rsidRPr="00E13C00" w:rsidRDefault="00E75862" w:rsidP="008636E5">
      <w:pPr>
        <w:tabs>
          <w:tab w:val="left" w:pos="851"/>
        </w:tabs>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w:t>
      </w:r>
      <w:r w:rsidRPr="00E13C00">
        <w:rPr>
          <w:rFonts w:ascii="Palatino Linotype" w:eastAsia="Palatino Linotype" w:hAnsi="Palatino Linotype" w:cs="Palatino Linotype"/>
          <w:b/>
          <w:i/>
        </w:rPr>
        <w:t>Artículo 4</w:t>
      </w:r>
      <w:r w:rsidRPr="00E13C0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6F4366" w14:textId="77777777" w:rsidR="00430390" w:rsidRPr="00E13C00" w:rsidRDefault="00E75862">
      <w:pPr>
        <w:tabs>
          <w:tab w:val="left" w:pos="851"/>
        </w:tabs>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E13C00">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80171FD" w14:textId="24A7BBB8" w:rsidR="00430390" w:rsidRPr="00E13C00" w:rsidRDefault="00E75862" w:rsidP="00D01B01">
      <w:pPr>
        <w:tabs>
          <w:tab w:val="left" w:pos="851"/>
        </w:tabs>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E13C00">
        <w:rPr>
          <w:rFonts w:ascii="Palatino Linotype" w:eastAsia="Palatino Linotype" w:hAnsi="Palatino Linotype" w:cs="Palatino Linotype"/>
          <w:i/>
        </w:rPr>
        <w:t>.”</w:t>
      </w:r>
    </w:p>
    <w:p w14:paraId="33A132F1" w14:textId="77777777" w:rsidR="003564C3" w:rsidRPr="00E13C00" w:rsidRDefault="003564C3" w:rsidP="00D01B01">
      <w:pPr>
        <w:tabs>
          <w:tab w:val="left" w:pos="851"/>
        </w:tabs>
        <w:spacing w:after="0"/>
        <w:ind w:left="567" w:right="616"/>
        <w:jc w:val="both"/>
        <w:rPr>
          <w:rFonts w:ascii="Palatino Linotype" w:eastAsia="Palatino Linotype" w:hAnsi="Palatino Linotype" w:cs="Palatino Linotype"/>
          <w:i/>
        </w:rPr>
      </w:pPr>
    </w:p>
    <w:p w14:paraId="6C4F3C1D" w14:textId="7B646FDD" w:rsidR="00430390" w:rsidRPr="00E13C00" w:rsidRDefault="00E75862" w:rsidP="003564C3">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8155A8D" w14:textId="77777777" w:rsidR="00F71B69" w:rsidRPr="00E13C00" w:rsidRDefault="00F71B69" w:rsidP="003564C3">
      <w:pPr>
        <w:spacing w:after="0" w:line="360" w:lineRule="auto"/>
        <w:jc w:val="both"/>
        <w:rPr>
          <w:rFonts w:ascii="Palatino Linotype" w:eastAsia="Palatino Linotype" w:hAnsi="Palatino Linotype" w:cs="Palatino Linotype"/>
        </w:rPr>
      </w:pPr>
    </w:p>
    <w:p w14:paraId="36C20545" w14:textId="77777777" w:rsidR="00430390" w:rsidRPr="00E13C00" w:rsidRDefault="00E75862">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w:t>
      </w:r>
      <w:r w:rsidRPr="00E13C00">
        <w:rPr>
          <w:rFonts w:ascii="Palatino Linotype" w:eastAsia="Palatino Linotype" w:hAnsi="Palatino Linotype" w:cs="Palatino Linotype"/>
          <w:b/>
          <w:i/>
        </w:rPr>
        <w:t>Artículo 12.-</w:t>
      </w:r>
      <w:r w:rsidRPr="00E13C0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C50EEB9" w14:textId="77777777" w:rsidR="00430390" w:rsidRPr="00E13C00" w:rsidRDefault="00430390">
      <w:pPr>
        <w:spacing w:after="0"/>
        <w:ind w:left="567" w:right="616"/>
        <w:jc w:val="both"/>
        <w:rPr>
          <w:rFonts w:ascii="Palatino Linotype" w:eastAsia="Palatino Linotype" w:hAnsi="Palatino Linotype" w:cs="Palatino Linotype"/>
          <w:i/>
        </w:rPr>
      </w:pPr>
    </w:p>
    <w:p w14:paraId="57E3140F" w14:textId="77777777" w:rsidR="00430390" w:rsidRPr="00E13C00" w:rsidRDefault="00E75862">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13C00">
        <w:rPr>
          <w:rFonts w:ascii="Palatino Linotype" w:eastAsia="Palatino Linotype" w:hAnsi="Palatino Linotype" w:cs="Palatino Linotype"/>
          <w:i/>
        </w:rPr>
        <w:t xml:space="preserve">. </w:t>
      </w:r>
      <w:r w:rsidRPr="00E13C00">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E13C00">
        <w:rPr>
          <w:rFonts w:ascii="Palatino Linotype" w:eastAsia="Palatino Linotype" w:hAnsi="Palatino Linotype" w:cs="Palatino Linotype"/>
          <w:i/>
        </w:rPr>
        <w:t xml:space="preserve">.” </w:t>
      </w:r>
    </w:p>
    <w:p w14:paraId="3D857005" w14:textId="77777777" w:rsidR="00430390" w:rsidRPr="00E13C00" w:rsidRDefault="00430390">
      <w:pPr>
        <w:spacing w:after="0"/>
        <w:ind w:left="567" w:right="616"/>
        <w:jc w:val="both"/>
        <w:rPr>
          <w:rFonts w:ascii="Palatino Linotype" w:eastAsia="Palatino Linotype" w:hAnsi="Palatino Linotype" w:cs="Palatino Linotype"/>
          <w:i/>
        </w:rPr>
      </w:pPr>
    </w:p>
    <w:p w14:paraId="5663D6A4" w14:textId="43377334" w:rsidR="00430390" w:rsidRPr="00E13C00" w:rsidRDefault="00E75862">
      <w:pPr>
        <w:spacing w:after="0" w:line="360" w:lineRule="auto"/>
        <w:ind w:right="-93"/>
        <w:jc w:val="both"/>
        <w:rPr>
          <w:rFonts w:ascii="Palatino Linotype" w:eastAsia="Palatino Linotype" w:hAnsi="Palatino Linotype" w:cs="Palatino Linotype"/>
        </w:rPr>
      </w:pPr>
      <w:r w:rsidRPr="00E13C00">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2F542F6" w14:textId="77777777" w:rsidR="00652E50" w:rsidRPr="00E13C00" w:rsidRDefault="00652E50">
      <w:pPr>
        <w:spacing w:after="0" w:line="360" w:lineRule="auto"/>
        <w:ind w:right="-93"/>
        <w:jc w:val="both"/>
        <w:rPr>
          <w:rFonts w:ascii="Palatino Linotype" w:eastAsia="Palatino Linotype" w:hAnsi="Palatino Linotype" w:cs="Palatino Linotype"/>
        </w:rPr>
      </w:pPr>
    </w:p>
    <w:p w14:paraId="4F2E30BD" w14:textId="77777777" w:rsidR="00430390" w:rsidRPr="00E13C00" w:rsidRDefault="00E75862">
      <w:pPr>
        <w:spacing w:after="0" w:line="360" w:lineRule="auto"/>
        <w:jc w:val="both"/>
        <w:rPr>
          <w:rFonts w:ascii="Palatino Linotype" w:eastAsia="Palatino Linotype" w:hAnsi="Palatino Linotype" w:cs="Palatino Linotype"/>
          <w:b/>
        </w:rPr>
      </w:pPr>
      <w:r w:rsidRPr="00E13C00">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E13C00">
        <w:rPr>
          <w:rFonts w:ascii="Palatino Linotype" w:eastAsia="Palatino Linotype" w:hAnsi="Palatino Linotype" w:cs="Palatino Linotype"/>
          <w:b/>
        </w:rPr>
        <w:t xml:space="preserve"> </w:t>
      </w:r>
    </w:p>
    <w:p w14:paraId="3A10905D" w14:textId="77777777" w:rsidR="00430390" w:rsidRPr="00E13C00" w:rsidRDefault="00430390">
      <w:pPr>
        <w:spacing w:after="0"/>
        <w:ind w:left="851" w:right="850"/>
        <w:jc w:val="both"/>
        <w:rPr>
          <w:rFonts w:ascii="Palatino Linotype" w:eastAsia="Palatino Linotype" w:hAnsi="Palatino Linotype" w:cs="Palatino Linotype"/>
        </w:rPr>
      </w:pPr>
    </w:p>
    <w:p w14:paraId="287F0120" w14:textId="77777777" w:rsidR="00430390" w:rsidRPr="00E13C00" w:rsidRDefault="00E75862">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w:t>
      </w:r>
      <w:r w:rsidRPr="00E13C00">
        <w:rPr>
          <w:rFonts w:ascii="Palatino Linotype" w:eastAsia="Palatino Linotype" w:hAnsi="Palatino Linotype" w:cs="Palatino Linotype"/>
          <w:b/>
          <w:i/>
        </w:rPr>
        <w:t>No existe obligación de elaborar documentos ad hoc para atender las solicitudes de acceso a la información.</w:t>
      </w:r>
      <w:r w:rsidRPr="00E13C00">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B5AEB17" w14:textId="77777777" w:rsidR="00430390" w:rsidRPr="00E13C00" w:rsidRDefault="00430390">
      <w:pPr>
        <w:spacing w:after="0"/>
        <w:ind w:left="567" w:right="616"/>
        <w:jc w:val="both"/>
        <w:rPr>
          <w:rFonts w:ascii="Palatino Linotype" w:eastAsia="Palatino Linotype" w:hAnsi="Palatino Linotype" w:cs="Palatino Linotype"/>
          <w:i/>
        </w:rPr>
      </w:pPr>
    </w:p>
    <w:p w14:paraId="52801521" w14:textId="063F96BD" w:rsidR="00094748" w:rsidRPr="00E13C00" w:rsidRDefault="00E75862">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132AD4" w14:textId="77777777" w:rsidR="004F646A" w:rsidRPr="00E13C00" w:rsidRDefault="004F646A">
      <w:pPr>
        <w:spacing w:after="0" w:line="360" w:lineRule="auto"/>
        <w:jc w:val="both"/>
        <w:rPr>
          <w:rFonts w:ascii="Palatino Linotype" w:eastAsia="Palatino Linotype" w:hAnsi="Palatino Linotype" w:cs="Palatino Linotype"/>
        </w:rPr>
      </w:pPr>
    </w:p>
    <w:p w14:paraId="300ECB2A" w14:textId="31FF6FD8" w:rsidR="00F7535D"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B779CB" w14:textId="77777777" w:rsidR="00094748" w:rsidRPr="00E13C00" w:rsidRDefault="00094748">
      <w:pPr>
        <w:spacing w:after="0" w:line="360" w:lineRule="auto"/>
        <w:ind w:right="49"/>
        <w:jc w:val="both"/>
        <w:rPr>
          <w:rFonts w:ascii="Palatino Linotype" w:eastAsia="Palatino Linotype" w:hAnsi="Palatino Linotype" w:cs="Palatino Linotype"/>
        </w:rPr>
      </w:pPr>
    </w:p>
    <w:p w14:paraId="743FC5AC" w14:textId="0B1FF832" w:rsidR="00430390" w:rsidRPr="00E13C00" w:rsidRDefault="00E75862">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D8F5A3C" w14:textId="77777777" w:rsidR="00430390" w:rsidRPr="00E13C00" w:rsidRDefault="00E75862">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w:t>
      </w:r>
      <w:r w:rsidRPr="00E13C00">
        <w:rPr>
          <w:rFonts w:ascii="Palatino Linotype" w:eastAsia="Palatino Linotype" w:hAnsi="Palatino Linotype" w:cs="Palatino Linotype"/>
          <w:b/>
          <w:i/>
        </w:rPr>
        <w:t xml:space="preserve">Artículo 3. </w:t>
      </w:r>
      <w:r w:rsidRPr="00E13C00">
        <w:rPr>
          <w:rFonts w:ascii="Palatino Linotype" w:eastAsia="Palatino Linotype" w:hAnsi="Palatino Linotype" w:cs="Palatino Linotype"/>
          <w:i/>
        </w:rPr>
        <w:t>Para los efectos de la presente Ley se entenderá por:</w:t>
      </w:r>
    </w:p>
    <w:p w14:paraId="0F85884A" w14:textId="77777777" w:rsidR="00430390" w:rsidRPr="00E13C00" w:rsidRDefault="00E75862">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w:t>
      </w:r>
    </w:p>
    <w:p w14:paraId="10CA4638" w14:textId="77777777" w:rsidR="00430390" w:rsidRPr="00E13C00" w:rsidRDefault="00E75862">
      <w:pPr>
        <w:spacing w:after="0"/>
        <w:ind w:left="567" w:right="616"/>
        <w:jc w:val="both"/>
        <w:rPr>
          <w:rFonts w:ascii="Palatino Linotype" w:eastAsia="Palatino Linotype" w:hAnsi="Palatino Linotype" w:cs="Palatino Linotype"/>
          <w:i/>
        </w:rPr>
      </w:pPr>
      <w:r w:rsidRPr="00E13C00">
        <w:rPr>
          <w:rFonts w:ascii="Palatino Linotype" w:eastAsia="Palatino Linotype" w:hAnsi="Palatino Linotype" w:cs="Palatino Linotype"/>
          <w:b/>
          <w:i/>
        </w:rPr>
        <w:t>XI. Documento:</w:t>
      </w:r>
      <w:r w:rsidRPr="00E13C00">
        <w:rPr>
          <w:rFonts w:ascii="Palatino Linotype" w:eastAsia="Palatino Linotype" w:hAnsi="Palatino Linotype" w:cs="Palatino Linotype"/>
          <w:i/>
        </w:rPr>
        <w:t xml:space="preserve"> Los expedientes, reportes, estudios, actas</w:t>
      </w:r>
      <w:r w:rsidRPr="00E13C00">
        <w:rPr>
          <w:rFonts w:ascii="Palatino Linotype" w:eastAsia="Palatino Linotype" w:hAnsi="Palatino Linotype" w:cs="Palatino Linotype"/>
          <w:b/>
          <w:i/>
        </w:rPr>
        <w:t>,</w:t>
      </w:r>
      <w:r w:rsidRPr="00E13C0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AF482D3" w14:textId="77777777" w:rsidR="00430390" w:rsidRPr="00E13C00" w:rsidRDefault="00430390">
      <w:pPr>
        <w:spacing w:after="0" w:line="360" w:lineRule="auto"/>
        <w:ind w:left="851" w:right="899"/>
        <w:jc w:val="both"/>
        <w:rPr>
          <w:rFonts w:ascii="Palatino Linotype" w:eastAsia="Palatino Linotype" w:hAnsi="Palatino Linotype" w:cs="Palatino Linotype"/>
        </w:rPr>
      </w:pPr>
    </w:p>
    <w:p w14:paraId="514BA022" w14:textId="77777777" w:rsidR="00430390" w:rsidRPr="00E13C00" w:rsidRDefault="00E75862">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w:t>
      </w:r>
      <w:r w:rsidRPr="00E13C00">
        <w:rPr>
          <w:rFonts w:ascii="Palatino Linotype" w:eastAsia="Palatino Linotype" w:hAnsi="Palatino Linotype" w:cs="Palatino Linotype"/>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5D4B1D21" w14:textId="77777777" w:rsidR="00430390" w:rsidRPr="00E13C00" w:rsidRDefault="00430390">
      <w:pPr>
        <w:spacing w:after="0" w:line="360" w:lineRule="auto"/>
        <w:ind w:left="851" w:right="899"/>
        <w:jc w:val="both"/>
        <w:rPr>
          <w:rFonts w:ascii="Palatino Linotype" w:eastAsia="Palatino Linotype" w:hAnsi="Palatino Linotype" w:cs="Palatino Linotype"/>
        </w:rPr>
      </w:pPr>
    </w:p>
    <w:p w14:paraId="25A96098" w14:textId="77777777" w:rsidR="00430390" w:rsidRPr="00E13C00" w:rsidRDefault="00E75862">
      <w:pPr>
        <w:tabs>
          <w:tab w:val="left" w:pos="7797"/>
        </w:tabs>
        <w:spacing w:after="0"/>
        <w:ind w:left="709" w:right="616"/>
        <w:jc w:val="both"/>
        <w:rPr>
          <w:rFonts w:ascii="Palatino Linotype" w:eastAsia="Palatino Linotype" w:hAnsi="Palatino Linotype" w:cs="Palatino Linotype"/>
          <w:b/>
          <w:i/>
        </w:rPr>
      </w:pPr>
      <w:r w:rsidRPr="00E13C00">
        <w:rPr>
          <w:rFonts w:ascii="Palatino Linotype" w:eastAsia="Palatino Linotype" w:hAnsi="Palatino Linotype" w:cs="Palatino Linotype"/>
          <w:b/>
        </w:rPr>
        <w:t>“</w:t>
      </w:r>
      <w:r w:rsidRPr="00E13C00">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E13C0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EB6661" w14:textId="77777777" w:rsidR="00430390" w:rsidRPr="00E13C00" w:rsidRDefault="00E75862">
      <w:pPr>
        <w:tabs>
          <w:tab w:val="left" w:pos="7797"/>
        </w:tabs>
        <w:spacing w:after="0"/>
        <w:ind w:left="709"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En </w:t>
      </w:r>
      <w:proofErr w:type="gramStart"/>
      <w:r w:rsidRPr="00E13C00">
        <w:rPr>
          <w:rFonts w:ascii="Palatino Linotype" w:eastAsia="Palatino Linotype" w:hAnsi="Palatino Linotype" w:cs="Palatino Linotype"/>
          <w:i/>
        </w:rPr>
        <w:t>consecuencia</w:t>
      </w:r>
      <w:proofErr w:type="gramEnd"/>
      <w:r w:rsidRPr="00E13C00">
        <w:rPr>
          <w:rFonts w:ascii="Palatino Linotype" w:eastAsia="Palatino Linotype" w:hAnsi="Palatino Linotype" w:cs="Palatino Linotype"/>
          <w:i/>
        </w:rPr>
        <w:t xml:space="preserve"> el acceso a la información se refiere a que se cumplan cualquiera de los siguientes tres supuestos:</w:t>
      </w:r>
    </w:p>
    <w:p w14:paraId="7AC39C28" w14:textId="77777777" w:rsidR="00430390" w:rsidRPr="00E13C00" w:rsidRDefault="00E75862">
      <w:pPr>
        <w:tabs>
          <w:tab w:val="left" w:pos="7797"/>
        </w:tabs>
        <w:spacing w:after="0"/>
        <w:ind w:left="709" w:right="616"/>
        <w:jc w:val="both"/>
        <w:rPr>
          <w:rFonts w:ascii="Palatino Linotype" w:eastAsia="Palatino Linotype" w:hAnsi="Palatino Linotype" w:cs="Palatino Linotype"/>
          <w:i/>
        </w:rPr>
      </w:pPr>
      <w:r w:rsidRPr="00E13C00">
        <w:rPr>
          <w:rFonts w:ascii="Palatino Linotype" w:eastAsia="Palatino Linotype" w:hAnsi="Palatino Linotype" w:cs="Palatino Linotype"/>
          <w:i/>
        </w:rPr>
        <w:t xml:space="preserve">1) Que se trate de información registrada en cualquier soporte documental, </w:t>
      </w:r>
      <w:proofErr w:type="gramStart"/>
      <w:r w:rsidRPr="00E13C00">
        <w:rPr>
          <w:rFonts w:ascii="Palatino Linotype" w:eastAsia="Palatino Linotype" w:hAnsi="Palatino Linotype" w:cs="Palatino Linotype"/>
          <w:i/>
        </w:rPr>
        <w:t>que</w:t>
      </w:r>
      <w:proofErr w:type="gramEnd"/>
      <w:r w:rsidRPr="00E13C00">
        <w:rPr>
          <w:rFonts w:ascii="Palatino Linotype" w:eastAsia="Palatino Linotype" w:hAnsi="Palatino Linotype" w:cs="Palatino Linotype"/>
          <w:i/>
        </w:rPr>
        <w:t xml:space="preserve"> en ejercicio de las atribuciones conferidas, sea generada por los Sujetos Obligados;</w:t>
      </w:r>
    </w:p>
    <w:p w14:paraId="3D4AB3BA" w14:textId="77777777" w:rsidR="00430390" w:rsidRPr="00E13C00" w:rsidRDefault="00E75862">
      <w:pPr>
        <w:tabs>
          <w:tab w:val="left" w:pos="7797"/>
        </w:tabs>
        <w:spacing w:after="0"/>
        <w:ind w:left="709" w:right="616"/>
        <w:jc w:val="both"/>
        <w:rPr>
          <w:rFonts w:ascii="Palatino Linotype" w:eastAsia="Palatino Linotype" w:hAnsi="Palatino Linotype" w:cs="Palatino Linotype"/>
          <w:b/>
          <w:i/>
        </w:rPr>
      </w:pPr>
      <w:r w:rsidRPr="00E13C00">
        <w:rPr>
          <w:rFonts w:ascii="Palatino Linotype" w:eastAsia="Palatino Linotype" w:hAnsi="Palatino Linotype" w:cs="Palatino Linotype"/>
          <w:b/>
          <w:i/>
        </w:rPr>
        <w:t xml:space="preserve">2) Que se trate de información registrada en cualquier soporte documental, </w:t>
      </w:r>
      <w:proofErr w:type="gramStart"/>
      <w:r w:rsidRPr="00E13C00">
        <w:rPr>
          <w:rFonts w:ascii="Palatino Linotype" w:eastAsia="Palatino Linotype" w:hAnsi="Palatino Linotype" w:cs="Palatino Linotype"/>
          <w:b/>
          <w:i/>
        </w:rPr>
        <w:t>que</w:t>
      </w:r>
      <w:proofErr w:type="gramEnd"/>
      <w:r w:rsidRPr="00E13C00">
        <w:rPr>
          <w:rFonts w:ascii="Palatino Linotype" w:eastAsia="Palatino Linotype" w:hAnsi="Palatino Linotype" w:cs="Palatino Linotype"/>
          <w:b/>
          <w:i/>
        </w:rPr>
        <w:t xml:space="preserve"> en ejercicio de las atribuciones conferidas, sea administrada por los Sujetos Obligados, y</w:t>
      </w:r>
    </w:p>
    <w:p w14:paraId="75DDB086" w14:textId="77777777" w:rsidR="00430390" w:rsidRPr="00E13C00" w:rsidRDefault="00E75862">
      <w:pPr>
        <w:tabs>
          <w:tab w:val="left" w:pos="7797"/>
        </w:tabs>
        <w:spacing w:after="0"/>
        <w:ind w:left="709" w:right="616"/>
        <w:jc w:val="both"/>
        <w:rPr>
          <w:rFonts w:ascii="Palatino Linotype" w:eastAsia="Palatino Linotype" w:hAnsi="Palatino Linotype" w:cs="Palatino Linotype"/>
          <w:b/>
          <w:i/>
        </w:rPr>
      </w:pPr>
      <w:r w:rsidRPr="00E13C00">
        <w:rPr>
          <w:rFonts w:ascii="Palatino Linotype" w:eastAsia="Palatino Linotype" w:hAnsi="Palatino Linotype" w:cs="Palatino Linotype"/>
          <w:b/>
          <w:i/>
        </w:rPr>
        <w:t xml:space="preserve">3) Que se trate de información registrada en cualquier soporte documental, </w:t>
      </w:r>
      <w:proofErr w:type="gramStart"/>
      <w:r w:rsidRPr="00E13C00">
        <w:rPr>
          <w:rFonts w:ascii="Palatino Linotype" w:eastAsia="Palatino Linotype" w:hAnsi="Palatino Linotype" w:cs="Palatino Linotype"/>
          <w:b/>
          <w:i/>
        </w:rPr>
        <w:t>que</w:t>
      </w:r>
      <w:proofErr w:type="gramEnd"/>
      <w:r w:rsidRPr="00E13C00">
        <w:rPr>
          <w:rFonts w:ascii="Palatino Linotype" w:eastAsia="Palatino Linotype" w:hAnsi="Palatino Linotype" w:cs="Palatino Linotype"/>
          <w:b/>
          <w:i/>
        </w:rPr>
        <w:t xml:space="preserve"> en ejercicio de las atribuciones conferidas, se encuentre en posesión de los Sujetos Obligados.” </w:t>
      </w:r>
    </w:p>
    <w:p w14:paraId="54C9E93C" w14:textId="77777777" w:rsidR="00430390" w:rsidRPr="00E13C00" w:rsidRDefault="00430390">
      <w:pPr>
        <w:spacing w:after="0" w:line="360" w:lineRule="auto"/>
        <w:jc w:val="both"/>
        <w:rPr>
          <w:rFonts w:ascii="Palatino Linotype" w:eastAsia="Palatino Linotype" w:hAnsi="Palatino Linotype" w:cs="Palatino Linotype"/>
        </w:rPr>
      </w:pPr>
    </w:p>
    <w:p w14:paraId="09FC2A8B" w14:textId="5E128821" w:rsidR="00614E8A" w:rsidRPr="00E13C00" w:rsidRDefault="00E75862" w:rsidP="00E50E07">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Dicho lo anterior, es de recordar que la parte Solicitante requirió se le proporci</w:t>
      </w:r>
      <w:r w:rsidR="009F5C9E" w:rsidRPr="00E13C00">
        <w:rPr>
          <w:rFonts w:ascii="Palatino Linotype" w:eastAsia="Palatino Linotype" w:hAnsi="Palatino Linotype" w:cs="Palatino Linotype"/>
        </w:rPr>
        <w:t xml:space="preserve">onara </w:t>
      </w:r>
      <w:r w:rsidR="00614E8A" w:rsidRPr="00E13C00">
        <w:rPr>
          <w:rFonts w:ascii="Palatino Linotype" w:eastAsia="Palatino Linotype" w:hAnsi="Palatino Linotype" w:cs="Palatino Linotype"/>
        </w:rPr>
        <w:t>la información respecto a facturas de una comida que tuvo lugar el veintisiete de junio con personal del Sujeto Obligado y Medios de Comunicación.</w:t>
      </w:r>
    </w:p>
    <w:p w14:paraId="30FF95E0" w14:textId="77777777" w:rsidR="00E50E07" w:rsidRPr="00E13C00" w:rsidRDefault="00E50E07" w:rsidP="00E50E07">
      <w:pPr>
        <w:spacing w:after="0" w:line="360" w:lineRule="auto"/>
        <w:jc w:val="both"/>
        <w:rPr>
          <w:rFonts w:ascii="Palatino Linotype" w:eastAsia="Palatino Linotype" w:hAnsi="Palatino Linotype" w:cs="Palatino Linotype"/>
        </w:rPr>
      </w:pPr>
    </w:p>
    <w:p w14:paraId="34E8556B" w14:textId="77777777" w:rsidR="006E01D9" w:rsidRPr="00E13C00" w:rsidRDefault="00614E8A" w:rsidP="006E01D9">
      <w:pPr>
        <w:pStyle w:val="Prrafodelista"/>
        <w:tabs>
          <w:tab w:val="left" w:pos="567"/>
        </w:tabs>
        <w:spacing w:after="0" w:line="360" w:lineRule="auto"/>
        <w:ind w:left="0"/>
        <w:jc w:val="both"/>
        <w:rPr>
          <w:rFonts w:ascii="Palatino Linotype" w:eastAsia="Calibri" w:hAnsi="Palatino Linotype" w:cs="Arial"/>
        </w:rPr>
      </w:pPr>
      <w:r w:rsidRPr="00E13C00">
        <w:rPr>
          <w:rFonts w:ascii="Palatino Linotype" w:eastAsia="Palatino Linotype" w:hAnsi="Palatino Linotype" w:cs="Palatino Linotype"/>
        </w:rPr>
        <w:t>Derivado de la naturaleza de la información</w:t>
      </w:r>
      <w:r w:rsidR="00345649" w:rsidRPr="00E13C00">
        <w:rPr>
          <w:rFonts w:ascii="Palatino Linotype" w:eastAsia="Palatino Linotype" w:hAnsi="Palatino Linotype" w:cs="Palatino Linotype"/>
        </w:rPr>
        <w:t xml:space="preserve"> </w:t>
      </w:r>
      <w:proofErr w:type="gramStart"/>
      <w:r w:rsidR="00345649" w:rsidRPr="00E13C00">
        <w:rPr>
          <w:rFonts w:ascii="Palatino Linotype" w:eastAsia="Palatino Linotype" w:hAnsi="Palatino Linotype" w:cs="Palatino Linotype"/>
        </w:rPr>
        <w:t xml:space="preserve">requerida, </w:t>
      </w:r>
      <w:r w:rsidR="0091389A" w:rsidRPr="00E13C00">
        <w:rPr>
          <w:rFonts w:ascii="Palatino Linotype" w:eastAsia="Palatino Linotype" w:hAnsi="Palatino Linotype" w:cs="Palatino Linotype"/>
        </w:rPr>
        <w:t xml:space="preserve"> </w:t>
      </w:r>
      <w:r w:rsidR="007A2A9F" w:rsidRPr="00E13C00">
        <w:rPr>
          <w:rFonts w:ascii="Palatino Linotype" w:eastAsia="Palatino Linotype" w:hAnsi="Palatino Linotype" w:cs="Palatino Linotype"/>
        </w:rPr>
        <w:t xml:space="preserve"> </w:t>
      </w:r>
      <w:proofErr w:type="gramEnd"/>
      <w:r w:rsidR="006E01D9" w:rsidRPr="00E13C00">
        <w:rPr>
          <w:rFonts w:ascii="Palatino Linotype" w:eastAsia="Calibri" w:hAnsi="Palatino Linotype" w:cs="Arial"/>
        </w:rPr>
        <w:t xml:space="preserve">es necesario precisar que las erogaciones que realizan los Sujetos Obligados, deben estar soportados en documentos que </w:t>
      </w:r>
      <w:r w:rsidR="006E01D9" w:rsidRPr="00E13C00">
        <w:rPr>
          <w:rFonts w:ascii="Palatino Linotype" w:eastAsia="Calibri" w:hAnsi="Palatino Linotype" w:cs="Arial"/>
        </w:rPr>
        <w:lastRenderedPageBreak/>
        <w:t xml:space="preserve">amparen dicha erogación como lo es factura o póliza. </w:t>
      </w:r>
      <w:proofErr w:type="gramStart"/>
      <w:r w:rsidR="006E01D9" w:rsidRPr="00E13C00">
        <w:rPr>
          <w:rFonts w:ascii="Palatino Linotype" w:eastAsia="Calibri" w:hAnsi="Palatino Linotype" w:cs="Arial"/>
        </w:rPr>
        <w:t>P</w:t>
      </w:r>
      <w:r w:rsidR="006E01D9" w:rsidRPr="00E13C00">
        <w:rPr>
          <w:rFonts w:ascii="Palatino Linotype" w:hAnsi="Palatino Linotype" w:cs="Tahoma"/>
          <w:bCs/>
          <w:iCs/>
        </w:rPr>
        <w:t>rimeramente</w:t>
      </w:r>
      <w:proofErr w:type="gramEnd"/>
      <w:r w:rsidR="006E01D9" w:rsidRPr="00E13C00">
        <w:rPr>
          <w:rFonts w:ascii="Palatino Linotype" w:hAnsi="Palatino Linotype" w:cs="Tahoma"/>
          <w:bCs/>
          <w:iCs/>
        </w:rPr>
        <w:t xml:space="preserve"> conocer a que nos referimos por “</w:t>
      </w:r>
      <w:r w:rsidR="006E01D9" w:rsidRPr="00E13C00">
        <w:rPr>
          <w:rFonts w:ascii="Palatino Linotype" w:hAnsi="Palatino Linotype" w:cs="Tahoma"/>
          <w:bCs/>
          <w:i/>
          <w:iCs/>
        </w:rPr>
        <w:t>factura</w:t>
      </w:r>
      <w:r w:rsidR="006E01D9" w:rsidRPr="00E13C00">
        <w:rPr>
          <w:rFonts w:ascii="Palatino Linotype" w:hAnsi="Palatino Linotype" w:cs="Tahoma"/>
          <w:bCs/>
          <w:iCs/>
        </w:rPr>
        <w:t>”; al respecto, nos referiremos a éste concepto aunque sea sucintamente de acuerdo a lo que dispone el Glosario de Términos Hacendarios que emite el Instituto Hacendario del Estado de México, mismo que expresa lo siguiente:</w:t>
      </w:r>
    </w:p>
    <w:p w14:paraId="5021B2C7" w14:textId="77777777" w:rsidR="006E01D9" w:rsidRPr="00E13C00" w:rsidRDefault="006E01D9" w:rsidP="006E01D9">
      <w:pPr>
        <w:pStyle w:val="Prrafodelista"/>
        <w:tabs>
          <w:tab w:val="left" w:pos="426"/>
        </w:tabs>
        <w:spacing w:before="240" w:after="240" w:line="360" w:lineRule="auto"/>
        <w:ind w:left="0" w:right="51"/>
        <w:jc w:val="both"/>
        <w:rPr>
          <w:rFonts w:ascii="Palatino Linotype" w:hAnsi="Palatino Linotype" w:cs="Tahoma"/>
          <w:bCs/>
          <w:iCs/>
        </w:rPr>
      </w:pPr>
    </w:p>
    <w:p w14:paraId="37D44C04" w14:textId="77777777" w:rsidR="006E01D9" w:rsidRPr="00E13C00" w:rsidRDefault="006E01D9" w:rsidP="006E01D9">
      <w:pPr>
        <w:pStyle w:val="Prrafodelista"/>
        <w:tabs>
          <w:tab w:val="left" w:pos="426"/>
        </w:tabs>
        <w:spacing w:before="240" w:after="240"/>
        <w:ind w:left="567" w:right="567"/>
        <w:jc w:val="both"/>
        <w:rPr>
          <w:rFonts w:ascii="Palatino Linotype" w:hAnsi="Palatino Linotype" w:cs="Tahoma"/>
          <w:b/>
          <w:bCs/>
          <w:i/>
          <w:iCs/>
        </w:rPr>
      </w:pPr>
      <w:r w:rsidRPr="00E13C00">
        <w:rPr>
          <w:rFonts w:ascii="Palatino Linotype" w:hAnsi="Palatino Linotype" w:cs="Tahoma"/>
          <w:bCs/>
          <w:i/>
          <w:iCs/>
        </w:rPr>
        <w:t>“</w:t>
      </w:r>
      <w:r w:rsidRPr="00E13C00">
        <w:rPr>
          <w:rFonts w:ascii="Palatino Linotype" w:hAnsi="Palatino Linotype" w:cs="Tahoma"/>
          <w:b/>
          <w:bCs/>
          <w:i/>
          <w:iCs/>
        </w:rPr>
        <w:t>FACTURA:</w:t>
      </w:r>
    </w:p>
    <w:p w14:paraId="6675197B" w14:textId="77777777" w:rsidR="006E01D9" w:rsidRPr="00E13C00" w:rsidRDefault="006E01D9" w:rsidP="006E01D9">
      <w:pPr>
        <w:pStyle w:val="Prrafodelista"/>
        <w:tabs>
          <w:tab w:val="left" w:pos="426"/>
        </w:tabs>
        <w:spacing w:before="240" w:after="240"/>
        <w:ind w:left="567" w:right="567"/>
        <w:jc w:val="both"/>
        <w:rPr>
          <w:rFonts w:ascii="Palatino Linotype" w:hAnsi="Palatino Linotype" w:cs="Tahoma"/>
          <w:bCs/>
          <w:i/>
          <w:iCs/>
        </w:rPr>
      </w:pPr>
      <w:r w:rsidRPr="00E13C00">
        <w:rPr>
          <w:rFonts w:ascii="Palatino Linotype" w:hAnsi="Palatino Linotype" w:cs="Tahoma"/>
          <w:bCs/>
          <w:i/>
          <w:iCs/>
        </w:rPr>
        <w:t>Es el documento fiscal que emite la persona física o moral para comprobar la venta o adquisición de un bien y/o servicio.”</w:t>
      </w:r>
    </w:p>
    <w:p w14:paraId="355F7055" w14:textId="77777777" w:rsidR="006E01D9" w:rsidRPr="00E13C00" w:rsidRDefault="006E01D9" w:rsidP="006E01D9">
      <w:pPr>
        <w:pStyle w:val="Prrafodelista"/>
        <w:tabs>
          <w:tab w:val="left" w:pos="426"/>
        </w:tabs>
        <w:spacing w:before="240" w:after="240" w:line="360" w:lineRule="auto"/>
        <w:ind w:left="0" w:right="51"/>
        <w:jc w:val="both"/>
        <w:rPr>
          <w:rFonts w:ascii="Palatino Linotype" w:hAnsi="Palatino Linotype" w:cs="Tahoma"/>
          <w:bCs/>
          <w:iCs/>
        </w:rPr>
      </w:pPr>
    </w:p>
    <w:p w14:paraId="29652EE4" w14:textId="77777777" w:rsidR="006E01D9" w:rsidRPr="00E13C00" w:rsidRDefault="006E01D9" w:rsidP="006E01D9">
      <w:pPr>
        <w:pStyle w:val="Prrafodelista"/>
        <w:tabs>
          <w:tab w:val="left" w:pos="426"/>
        </w:tabs>
        <w:spacing w:before="240" w:after="240" w:line="360" w:lineRule="auto"/>
        <w:ind w:left="0" w:right="51"/>
        <w:jc w:val="both"/>
        <w:rPr>
          <w:rFonts w:ascii="Palatino Linotype" w:hAnsi="Palatino Linotype" w:cs="Tahoma"/>
          <w:bCs/>
          <w:iCs/>
        </w:rPr>
      </w:pPr>
      <w:r w:rsidRPr="00E13C00">
        <w:rPr>
          <w:rFonts w:ascii="Palatino Linotype" w:hAnsi="Palatino Linotype"/>
        </w:rPr>
        <w:t xml:space="preserve">Una </w:t>
      </w:r>
      <w:r w:rsidRPr="00E13C00">
        <w:rPr>
          <w:rFonts w:ascii="Palatino Linotype" w:eastAsia="Calibri" w:hAnsi="Palatino Linotype" w:cs="Arial"/>
          <w:bCs/>
        </w:rPr>
        <w:t xml:space="preserve">vez precisado lo anterior, se procede a analizar si las facturas solicitadas son de acceso público; por lo que es de señalarse que </w:t>
      </w:r>
      <w:r w:rsidRPr="00E13C00">
        <w:rPr>
          <w:rFonts w:ascii="Palatino Linotype" w:eastAsia="Calibri" w:hAnsi="Palatino Linotype" w:cs="Arial"/>
          <w:b/>
          <w:bCs/>
        </w:rPr>
        <w:t xml:space="preserve">las facturas </w:t>
      </w:r>
      <w:r w:rsidRPr="00E13C00">
        <w:rPr>
          <w:rFonts w:ascii="Palatino Linotype" w:eastAsia="Calibri" w:hAnsi="Palatino Linotype" w:cs="Arial"/>
          <w:bCs/>
        </w:rPr>
        <w:t xml:space="preserve">o comprobantes que amparan las erogaciones que se realizan con erario público tienen naturaleza análoga, pues </w:t>
      </w:r>
      <w:r w:rsidRPr="00E13C00">
        <w:rPr>
          <w:rFonts w:ascii="Palatino Linotype" w:eastAsia="Calibri" w:hAnsi="Palatino Linotype" w:cs="Arial"/>
          <w:b/>
          <w:bCs/>
        </w:rPr>
        <w:t>constituyen los medios idóneos de evidencia del gasto realizado con recursos públicos</w:t>
      </w:r>
      <w:r w:rsidRPr="00E13C00">
        <w:rPr>
          <w:rFonts w:ascii="Palatino Linotype" w:eastAsia="Calibri" w:hAnsi="Palatino Linotype" w:cs="Arial"/>
          <w:bCs/>
        </w:rPr>
        <w:t>.</w:t>
      </w:r>
    </w:p>
    <w:p w14:paraId="29C4BBA5" w14:textId="77777777" w:rsidR="006E01D9" w:rsidRPr="00E13C00" w:rsidRDefault="006E01D9" w:rsidP="006E01D9">
      <w:pPr>
        <w:pStyle w:val="Prrafodelista"/>
        <w:tabs>
          <w:tab w:val="left" w:pos="426"/>
        </w:tabs>
        <w:spacing w:before="240" w:after="240" w:line="360" w:lineRule="auto"/>
        <w:ind w:left="0" w:right="51"/>
        <w:jc w:val="both"/>
        <w:rPr>
          <w:rFonts w:ascii="Palatino Linotype" w:hAnsi="Palatino Linotype" w:cs="Tahoma"/>
          <w:bCs/>
          <w:iCs/>
        </w:rPr>
      </w:pPr>
    </w:p>
    <w:p w14:paraId="7B5F621C" w14:textId="77777777" w:rsidR="006E01D9" w:rsidRPr="00E13C00" w:rsidRDefault="006E01D9" w:rsidP="006E01D9">
      <w:pPr>
        <w:pStyle w:val="Prrafodelista"/>
        <w:tabs>
          <w:tab w:val="left" w:pos="426"/>
        </w:tabs>
        <w:spacing w:before="240" w:after="240" w:line="360" w:lineRule="auto"/>
        <w:ind w:left="0" w:right="51"/>
        <w:jc w:val="both"/>
        <w:rPr>
          <w:rFonts w:ascii="Palatino Linotype" w:eastAsia="Calibri" w:hAnsi="Palatino Linotype" w:cs="Arial"/>
          <w:bCs/>
        </w:rPr>
      </w:pPr>
      <w:r w:rsidRPr="00E13C00">
        <w:rPr>
          <w:rFonts w:ascii="Palatino Linotype" w:hAnsi="Palatino Linotype"/>
        </w:rPr>
        <w:t xml:space="preserve">Al </w:t>
      </w:r>
      <w:r w:rsidRPr="00E13C00">
        <w:rPr>
          <w:rFonts w:ascii="Palatino Linotype" w:eastAsia="Calibri" w:hAnsi="Palatino Linotype" w:cs="Arial"/>
          <w:bC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14:paraId="1543BCB8" w14:textId="77777777" w:rsidR="006E01D9" w:rsidRPr="00E13C00" w:rsidRDefault="006E01D9" w:rsidP="006E01D9">
      <w:pPr>
        <w:pStyle w:val="Prrafodelista"/>
        <w:tabs>
          <w:tab w:val="left" w:pos="426"/>
        </w:tabs>
        <w:spacing w:before="240" w:after="240" w:line="360" w:lineRule="auto"/>
        <w:ind w:left="0" w:right="51"/>
        <w:jc w:val="both"/>
        <w:rPr>
          <w:rFonts w:ascii="Palatino Linotype" w:eastAsia="Calibri" w:hAnsi="Palatino Linotype" w:cs="Arial"/>
          <w:bCs/>
        </w:rPr>
      </w:pPr>
    </w:p>
    <w:p w14:paraId="3DEE9A3D" w14:textId="0DA73568" w:rsidR="00E87D5A" w:rsidRPr="00E13C00" w:rsidRDefault="00E87D5A" w:rsidP="006E01D9">
      <w:pPr>
        <w:pStyle w:val="Prrafodelista"/>
        <w:tabs>
          <w:tab w:val="left" w:pos="426"/>
        </w:tabs>
        <w:spacing w:before="240" w:after="240" w:line="360" w:lineRule="auto"/>
        <w:ind w:left="0" w:right="51"/>
        <w:jc w:val="both"/>
        <w:rPr>
          <w:rFonts w:ascii="Palatino Linotype" w:eastAsia="Calibri" w:hAnsi="Palatino Linotype" w:cs="Arial"/>
          <w:bCs/>
        </w:rPr>
      </w:pPr>
      <w:r w:rsidRPr="00E13C00">
        <w:rPr>
          <w:rFonts w:ascii="Palatino Linotype" w:eastAsia="Calibri" w:hAnsi="Palatino Linotype" w:cs="Arial"/>
          <w:bCs/>
        </w:rPr>
        <w:t>Una vez establecido lo anterior, es conveniente traer a contexto el Manual General de Organización de la Secretaría Ejecutiva del Sistema Anticorrupción el cual establece que la estructura orgánica se integra, entre otras, por la Coordinación de Administración y Finanzas, la cual a su vez se integra de las siguientes áreas:</w:t>
      </w:r>
    </w:p>
    <w:p w14:paraId="62B89160" w14:textId="77777777" w:rsidR="00E87D5A" w:rsidRPr="00E13C00" w:rsidRDefault="00E87D5A" w:rsidP="006E01D9">
      <w:pPr>
        <w:pStyle w:val="Prrafodelista"/>
        <w:tabs>
          <w:tab w:val="left" w:pos="426"/>
        </w:tabs>
        <w:spacing w:before="240" w:after="240" w:line="360" w:lineRule="auto"/>
        <w:ind w:left="0" w:right="51"/>
        <w:jc w:val="both"/>
        <w:rPr>
          <w:rFonts w:ascii="Palatino Linotype" w:eastAsia="Calibri" w:hAnsi="Palatino Linotype" w:cs="Arial"/>
          <w:bCs/>
        </w:rPr>
      </w:pPr>
    </w:p>
    <w:p w14:paraId="5DADEB5C" w14:textId="58CD8618" w:rsidR="00E87D5A" w:rsidRPr="00E13C00" w:rsidRDefault="00E87D5A" w:rsidP="006E01D9">
      <w:pPr>
        <w:pStyle w:val="Prrafodelista"/>
        <w:tabs>
          <w:tab w:val="left" w:pos="426"/>
        </w:tabs>
        <w:spacing w:before="240" w:after="240" w:line="360" w:lineRule="auto"/>
        <w:ind w:left="0" w:right="51"/>
        <w:jc w:val="both"/>
        <w:rPr>
          <w:rFonts w:ascii="Palatino Linotype" w:eastAsia="Calibri" w:hAnsi="Palatino Linotype" w:cs="Arial"/>
          <w:bCs/>
        </w:rPr>
      </w:pPr>
      <w:r w:rsidRPr="00E13C00">
        <w:rPr>
          <w:rFonts w:ascii="Palatino Linotype" w:eastAsia="Calibri" w:hAnsi="Palatino Linotype" w:cs="Arial"/>
          <w:bCs/>
          <w:noProof/>
          <w:lang w:eastAsia="es-MX"/>
        </w:rPr>
        <w:drawing>
          <wp:inline distT="0" distB="0" distL="0" distR="0" wp14:anchorId="5F9E2B0C" wp14:editId="30DC341B">
            <wp:extent cx="5756275" cy="3188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3188970"/>
                    </a:xfrm>
                    <a:prstGeom prst="rect">
                      <a:avLst/>
                    </a:prstGeom>
                  </pic:spPr>
                </pic:pic>
              </a:graphicData>
            </a:graphic>
          </wp:inline>
        </w:drawing>
      </w:r>
    </w:p>
    <w:p w14:paraId="62AB8BB9" w14:textId="2A5C7BD6" w:rsidR="006E01D9" w:rsidRPr="00E13C00" w:rsidRDefault="006E01D9" w:rsidP="00E87D5A">
      <w:pPr>
        <w:pStyle w:val="Prrafodelista"/>
        <w:tabs>
          <w:tab w:val="left" w:pos="1560"/>
        </w:tabs>
        <w:spacing w:before="240" w:after="240" w:line="360" w:lineRule="auto"/>
        <w:ind w:left="0" w:right="51"/>
        <w:jc w:val="both"/>
        <w:rPr>
          <w:rFonts w:ascii="Palatino Linotype" w:hAnsi="Palatino Linotype" w:cs="Tahoma"/>
          <w:bCs/>
          <w:iCs/>
        </w:rPr>
      </w:pPr>
    </w:p>
    <w:p w14:paraId="6FB97463" w14:textId="3E65FB5C" w:rsidR="00E87D5A" w:rsidRPr="00E13C00" w:rsidRDefault="00E87D5A" w:rsidP="00E50E07">
      <w:pPr>
        <w:spacing w:after="0" w:line="360" w:lineRule="auto"/>
        <w:jc w:val="both"/>
        <w:rPr>
          <w:rFonts w:ascii="Palatino Linotype" w:hAnsi="Palatino Linotype"/>
          <w:i/>
        </w:rPr>
      </w:pPr>
      <w:r w:rsidRPr="00E13C00">
        <w:rPr>
          <w:rFonts w:ascii="Palatino Linotype" w:eastAsia="Palatino Linotype" w:hAnsi="Palatino Linotype" w:cs="Palatino Linotype"/>
        </w:rPr>
        <w:t xml:space="preserve">La Coordinación de Administración y Finanzas tiene como objetivo </w:t>
      </w:r>
      <w:r w:rsidRPr="00E13C00">
        <w:rPr>
          <w:rFonts w:ascii="Palatino Linotype" w:hAnsi="Palatino Linotype"/>
          <w:i/>
        </w:rPr>
        <w:t xml:space="preserve">Programar, planear, organizar, gestionar y </w:t>
      </w:r>
      <w:r w:rsidRPr="00E13C00">
        <w:rPr>
          <w:rFonts w:ascii="Palatino Linotype" w:hAnsi="Palatino Linotype"/>
          <w:b/>
          <w:i/>
        </w:rPr>
        <w:t>controlar el aprovechamiento de los recursos</w:t>
      </w:r>
      <w:r w:rsidRPr="00E13C00">
        <w:rPr>
          <w:rFonts w:ascii="Palatino Linotype" w:hAnsi="Palatino Linotype"/>
          <w:i/>
        </w:rPr>
        <w:t xml:space="preserve"> humanos, materiales, </w:t>
      </w:r>
      <w:r w:rsidRPr="00E13C00">
        <w:rPr>
          <w:rFonts w:ascii="Palatino Linotype" w:hAnsi="Palatino Linotype"/>
          <w:b/>
          <w:i/>
        </w:rPr>
        <w:t xml:space="preserve">financieros </w:t>
      </w:r>
      <w:r w:rsidRPr="00E13C00">
        <w:rPr>
          <w:rFonts w:ascii="Palatino Linotype" w:hAnsi="Palatino Linotype"/>
          <w:i/>
        </w:rPr>
        <w:t xml:space="preserve">y de servicios generales, coadyuvando al logro de los objetivos institucionales de las unidades administrativas de la Secretaría Ejecutiva, de acuerdo con sus planes y proyectos y con base en el presupuesto autorizado en apego a la normatividad vigente y a las políticas de racionalidad, austeridad y disciplina presupuestal. </w:t>
      </w:r>
      <w:r w:rsidRPr="00E13C00">
        <w:rPr>
          <w:rFonts w:ascii="Palatino Linotype" w:hAnsi="Palatino Linotype"/>
        </w:rPr>
        <w:t>Entre sus funciones destacan las siguientes:</w:t>
      </w:r>
    </w:p>
    <w:p w14:paraId="6968D867" w14:textId="77777777" w:rsidR="00E87D5A" w:rsidRPr="00E13C00" w:rsidRDefault="00E87D5A" w:rsidP="00E50E07">
      <w:pPr>
        <w:spacing w:after="0" w:line="360" w:lineRule="auto"/>
        <w:jc w:val="both"/>
        <w:rPr>
          <w:rFonts w:ascii="Palatino Linotype" w:eastAsia="Palatino Linotype" w:hAnsi="Palatino Linotype" w:cs="Palatino Linotype"/>
        </w:rPr>
      </w:pPr>
    </w:p>
    <w:p w14:paraId="0641F510" w14:textId="779CEC5B" w:rsidR="00E87D5A" w:rsidRPr="00E13C00" w:rsidRDefault="00E87D5A" w:rsidP="00E87D5A">
      <w:pPr>
        <w:spacing w:after="0" w:line="360" w:lineRule="auto"/>
        <w:ind w:left="567" w:right="843"/>
        <w:jc w:val="both"/>
        <w:rPr>
          <w:rFonts w:ascii="Palatino Linotype" w:hAnsi="Palatino Linotype"/>
          <w:i/>
        </w:rPr>
      </w:pPr>
      <w:r w:rsidRPr="00E13C00">
        <w:rPr>
          <w:rFonts w:ascii="Palatino Linotype" w:hAnsi="Palatino Linotype"/>
          <w:i/>
        </w:rPr>
        <w:t>FUNCIONES:</w:t>
      </w:r>
    </w:p>
    <w:p w14:paraId="5A2457C4" w14:textId="5612A6A5" w:rsidR="00E87D5A" w:rsidRPr="00E13C00" w:rsidRDefault="00E87D5A" w:rsidP="00E87D5A">
      <w:pPr>
        <w:spacing w:after="0" w:line="360" w:lineRule="auto"/>
        <w:ind w:left="567" w:right="843"/>
        <w:jc w:val="both"/>
        <w:rPr>
          <w:rFonts w:ascii="Palatino Linotype" w:hAnsi="Palatino Linotype"/>
          <w:i/>
        </w:rPr>
      </w:pPr>
      <w:r w:rsidRPr="00E13C00">
        <w:rPr>
          <w:rFonts w:ascii="Palatino Linotype" w:hAnsi="Palatino Linotype"/>
          <w:i/>
        </w:rPr>
        <w:t>Proponer al titular de la Secretaría Técnica para su aprobación, las políticas, normas, sistemas y procedimientos para la administración de los recursos humanos, financieros y materiales del órgano, así como para la prestación de servicios generales de apoyo.</w:t>
      </w:r>
    </w:p>
    <w:p w14:paraId="248FFE2E" w14:textId="4DB3E8B4" w:rsidR="00E87D5A" w:rsidRPr="00E13C00" w:rsidRDefault="00E87D5A" w:rsidP="00E87D5A">
      <w:pPr>
        <w:spacing w:after="0" w:line="360" w:lineRule="auto"/>
        <w:ind w:left="567" w:right="843"/>
        <w:jc w:val="both"/>
        <w:rPr>
          <w:rFonts w:ascii="Palatino Linotype" w:hAnsi="Palatino Linotype"/>
          <w:i/>
        </w:rPr>
      </w:pPr>
      <w:r w:rsidRPr="00E13C00">
        <w:rPr>
          <w:rFonts w:ascii="Palatino Linotype" w:hAnsi="Palatino Linotype"/>
          <w:i/>
        </w:rPr>
        <w:lastRenderedPageBreak/>
        <w:t>…</w:t>
      </w:r>
    </w:p>
    <w:p w14:paraId="09F30F52" w14:textId="220F1758" w:rsidR="00E87D5A" w:rsidRPr="00E13C00" w:rsidRDefault="00E87D5A" w:rsidP="00E87D5A">
      <w:pPr>
        <w:spacing w:after="0" w:line="360" w:lineRule="auto"/>
        <w:ind w:left="567" w:right="843"/>
        <w:jc w:val="both"/>
        <w:rPr>
          <w:rFonts w:ascii="Palatino Linotype" w:hAnsi="Palatino Linotype"/>
          <w:i/>
        </w:rPr>
      </w:pPr>
      <w:r w:rsidRPr="00E13C00">
        <w:rPr>
          <w:rFonts w:ascii="Palatino Linotype" w:hAnsi="Palatino Linotype"/>
          <w:i/>
        </w:rPr>
        <w:t>Verificar que los registros contables, financieros y presupuestales, se realicen de acuerdo con la normatividad establecida, a efecto de emitir los estados financieros correspondientes.</w:t>
      </w:r>
    </w:p>
    <w:p w14:paraId="37FF5C91" w14:textId="18E783CD" w:rsidR="00E87D5A" w:rsidRPr="00E13C00" w:rsidRDefault="00E87D5A" w:rsidP="00E87D5A">
      <w:pPr>
        <w:spacing w:after="0" w:line="360" w:lineRule="auto"/>
        <w:ind w:left="567" w:right="843"/>
        <w:jc w:val="both"/>
        <w:rPr>
          <w:rFonts w:ascii="Palatino Linotype" w:hAnsi="Palatino Linotype"/>
          <w:i/>
        </w:rPr>
      </w:pPr>
      <w:r w:rsidRPr="00E13C00">
        <w:rPr>
          <w:rFonts w:ascii="Palatino Linotype" w:hAnsi="Palatino Linotype"/>
          <w:i/>
        </w:rPr>
        <w:t>Comunicar a las unidades ejecutoras del gasto de la Secretaría Ejecutiva, la normatividad vigente y los cambios que se efectúen en materia contable y financiera.</w:t>
      </w:r>
    </w:p>
    <w:p w14:paraId="164C7F79" w14:textId="34E4D6BC" w:rsidR="00E87D5A" w:rsidRPr="00E13C00" w:rsidRDefault="00E87D5A" w:rsidP="00E87D5A">
      <w:pPr>
        <w:spacing w:after="0" w:line="360" w:lineRule="auto"/>
        <w:ind w:left="567" w:right="843"/>
        <w:jc w:val="both"/>
        <w:rPr>
          <w:rFonts w:ascii="Palatino Linotype" w:hAnsi="Palatino Linotype"/>
          <w:i/>
        </w:rPr>
      </w:pPr>
      <w:r w:rsidRPr="00E13C00">
        <w:rPr>
          <w:rFonts w:ascii="Palatino Linotype" w:hAnsi="Palatino Linotype"/>
          <w:i/>
        </w:rPr>
        <w:t>Supervisar la liberación de los recursos financieros y las modificaciones presupuestales que se requieran.</w:t>
      </w:r>
    </w:p>
    <w:p w14:paraId="04B81C34" w14:textId="77777777" w:rsidR="00E87D5A" w:rsidRPr="00E13C00" w:rsidRDefault="00E87D5A" w:rsidP="00E50E07">
      <w:pPr>
        <w:spacing w:after="0" w:line="360" w:lineRule="auto"/>
        <w:jc w:val="both"/>
      </w:pPr>
    </w:p>
    <w:p w14:paraId="3F47EC05" w14:textId="77777777" w:rsidR="00E87D5A" w:rsidRPr="00E13C00" w:rsidRDefault="00E87D5A" w:rsidP="00E50E07">
      <w:pPr>
        <w:spacing w:after="0" w:line="360" w:lineRule="auto"/>
        <w:jc w:val="both"/>
      </w:pPr>
    </w:p>
    <w:p w14:paraId="19F34A8C" w14:textId="622B29B3" w:rsidR="00E87D5A" w:rsidRPr="00E13C00" w:rsidRDefault="00E87D5A" w:rsidP="00E50E07">
      <w:pPr>
        <w:spacing w:after="0" w:line="360" w:lineRule="auto"/>
        <w:jc w:val="both"/>
        <w:rPr>
          <w:rFonts w:ascii="Palatino Linotype" w:hAnsi="Palatino Linotype"/>
          <w:i/>
        </w:rPr>
      </w:pPr>
      <w:r w:rsidRPr="00E13C00">
        <w:rPr>
          <w:rFonts w:ascii="Palatino Linotype" w:eastAsia="Palatino Linotype" w:hAnsi="Palatino Linotype" w:cs="Palatino Linotype"/>
        </w:rPr>
        <w:t xml:space="preserve">A su vez, la Subdirección de Contabilidad y Finanzas adscrita a esta Coordinación tiene el objetivo de </w:t>
      </w:r>
      <w:r w:rsidRPr="00E13C00">
        <w:rPr>
          <w:rFonts w:ascii="Palatino Linotype" w:hAnsi="Palatino Linotype"/>
          <w:i/>
        </w:rPr>
        <w:t xml:space="preserve">Coadyuvar en la planeación, supervisión y control del manejo de los recursos financieros de la Secretaría Ejecutiva para el cumplimiento de sus funciones; así como llevar el registro y control de las operaciones contables conforme a la normatividad establecida y orientar al organismo al cumplimiento de los objetivos y metas propuestos. </w:t>
      </w:r>
      <w:r w:rsidRPr="00E13C00">
        <w:rPr>
          <w:rFonts w:ascii="Palatino Linotype" w:hAnsi="Palatino Linotype"/>
        </w:rPr>
        <w:t>A dicha subdirección destacan las siguientes funciones:</w:t>
      </w:r>
    </w:p>
    <w:p w14:paraId="23B17BBE" w14:textId="6FB3695C" w:rsidR="00E87D5A" w:rsidRPr="00E13C00" w:rsidRDefault="00E87D5A" w:rsidP="00DD6CCC">
      <w:pPr>
        <w:spacing w:after="0" w:line="360" w:lineRule="auto"/>
        <w:ind w:left="567" w:right="843"/>
        <w:jc w:val="both"/>
        <w:rPr>
          <w:rFonts w:ascii="Palatino Linotype" w:hAnsi="Palatino Linotype"/>
          <w:i/>
        </w:rPr>
      </w:pPr>
      <w:r w:rsidRPr="00E13C00">
        <w:rPr>
          <w:rFonts w:ascii="Palatino Linotype" w:hAnsi="Palatino Linotype"/>
          <w:i/>
        </w:rPr>
        <w:t>…</w:t>
      </w:r>
    </w:p>
    <w:p w14:paraId="2CEBA2A7" w14:textId="7F75BA43" w:rsidR="00E87D5A" w:rsidRPr="00E13C00" w:rsidRDefault="00E87D5A" w:rsidP="00DD6CCC">
      <w:pPr>
        <w:spacing w:after="0" w:line="360" w:lineRule="auto"/>
        <w:ind w:left="567" w:right="843"/>
        <w:jc w:val="both"/>
        <w:rPr>
          <w:rFonts w:ascii="Palatino Linotype" w:hAnsi="Palatino Linotype"/>
          <w:i/>
        </w:rPr>
      </w:pPr>
      <w:r w:rsidRPr="00E13C00">
        <w:rPr>
          <w:rFonts w:ascii="Palatino Linotype" w:hAnsi="Palatino Linotype"/>
          <w:i/>
        </w:rPr>
        <w:t>Coordinar, controlar y supervisar la elaboración y ejercicio del presupuesto anual de la Secretaría Ejecutiva, con base en las disposiciones legales aplicables en la materia.</w:t>
      </w:r>
    </w:p>
    <w:p w14:paraId="237D2737" w14:textId="40614A71"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w:t>
      </w:r>
    </w:p>
    <w:p w14:paraId="6F71A425" w14:textId="2E69EA9A"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Organizar, elaborar y supervisar el trámite de las comprobaciones de aquellos recursos que por concepto de anticipo o gastos a comprobar requiera la Secretaría Ejecutiva.</w:t>
      </w:r>
    </w:p>
    <w:p w14:paraId="621809A8" w14:textId="77777777"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Asesorar a las unidades administrativas de la Secretaría Ejecutiva, en el manejo y operación de los recursos financieros.</w:t>
      </w:r>
    </w:p>
    <w:p w14:paraId="3059EE49" w14:textId="298901DF"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lastRenderedPageBreak/>
        <w:t>Suministrar y controlar los recursos del fondo revolvente asignado a la Coordinación de Administración y Finanzas y, en su caso, el de las demás unidades administrativas que integran la Secretaría Ejecutiva.</w:t>
      </w:r>
    </w:p>
    <w:p w14:paraId="08198D06" w14:textId="40F6F1BE"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Supervisar el funcionamiento del sistema de registro contable implantado por la Contaduría General Gubernamental, de las operaciones financieras de la Secretaría Ejecutiva, proponiendo en su caso, las adecuaciones de acuerdo con las normas establecidas en la materia.</w:t>
      </w:r>
    </w:p>
    <w:p w14:paraId="259509FF" w14:textId="48C2E783"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w:t>
      </w:r>
    </w:p>
    <w:p w14:paraId="5CA4D2AC" w14:textId="0D44DB12"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Registrar los movimientos contables para la elaboración de los estados financieros</w:t>
      </w:r>
    </w:p>
    <w:p w14:paraId="78386108" w14:textId="4B6B1FB9"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w:t>
      </w:r>
    </w:p>
    <w:p w14:paraId="3EFDA4FA" w14:textId="77777777"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 xml:space="preserve">Verificar que la documentación comprobatoria de los gastos de operación de los programas de gasto corriente, se apeguen a los lineamientos establecidos. </w:t>
      </w:r>
    </w:p>
    <w:p w14:paraId="67ACE062" w14:textId="09922188" w:rsidR="00DD6CCC" w:rsidRPr="00E13C00" w:rsidRDefault="00DD6CCC" w:rsidP="00DD6CCC">
      <w:pPr>
        <w:spacing w:after="0" w:line="360" w:lineRule="auto"/>
        <w:ind w:left="567" w:right="843"/>
        <w:jc w:val="both"/>
        <w:rPr>
          <w:rFonts w:ascii="Palatino Linotype" w:hAnsi="Palatino Linotype"/>
          <w:i/>
        </w:rPr>
      </w:pPr>
      <w:r w:rsidRPr="00E13C00">
        <w:rPr>
          <w:rFonts w:ascii="Palatino Linotype" w:hAnsi="Palatino Linotype"/>
          <w:i/>
        </w:rPr>
        <w:t>Aplicar los procedimientos que permitan llevar el control y registro de las operaciones financieras. de acuerdo con la normatividad vigente.</w:t>
      </w:r>
    </w:p>
    <w:p w14:paraId="6277A994" w14:textId="77777777" w:rsidR="00E87D5A" w:rsidRPr="00E13C00" w:rsidRDefault="00E87D5A" w:rsidP="00E50E07">
      <w:pPr>
        <w:spacing w:after="0" w:line="360" w:lineRule="auto"/>
        <w:jc w:val="both"/>
        <w:rPr>
          <w:rFonts w:ascii="Palatino Linotype" w:eastAsia="Palatino Linotype" w:hAnsi="Palatino Linotype" w:cs="Palatino Linotype"/>
        </w:rPr>
      </w:pPr>
    </w:p>
    <w:p w14:paraId="66CBA659" w14:textId="77777777" w:rsidR="00E87D5A" w:rsidRPr="00E13C00" w:rsidRDefault="00E87D5A" w:rsidP="00E50E07">
      <w:pPr>
        <w:spacing w:after="0" w:line="360" w:lineRule="auto"/>
        <w:jc w:val="both"/>
        <w:rPr>
          <w:rFonts w:ascii="Palatino Linotype" w:eastAsia="Palatino Linotype" w:hAnsi="Palatino Linotype" w:cs="Palatino Linotype"/>
        </w:rPr>
      </w:pPr>
    </w:p>
    <w:p w14:paraId="2DB9A1B0" w14:textId="77777777" w:rsidR="00E87D5A" w:rsidRPr="00E13C00" w:rsidRDefault="00E87D5A" w:rsidP="00E50E07">
      <w:pPr>
        <w:spacing w:after="0" w:line="360" w:lineRule="auto"/>
        <w:jc w:val="both"/>
        <w:rPr>
          <w:rFonts w:ascii="Palatino Linotype" w:eastAsia="Palatino Linotype" w:hAnsi="Palatino Linotype" w:cs="Palatino Linotype"/>
        </w:rPr>
      </w:pPr>
    </w:p>
    <w:p w14:paraId="57AA21E7" w14:textId="3F6C7067" w:rsidR="00E50E07" w:rsidRPr="00E13C00" w:rsidRDefault="002B7861" w:rsidP="002B7861">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Es así que, el área que cuenta con atribuciones de generar, administrar y poseer la información relativa a las erogaciones que realiza la Secretaría Ejecutiva del Sistema Estatal Anticorrupción es la Coordinación de Administración y Finanzas, a través de la Subdirección de Contabilidad y Finanzas, </w:t>
      </w:r>
      <w:r w:rsidR="00E50E07" w:rsidRPr="00E13C00">
        <w:rPr>
          <w:rFonts w:ascii="Palatino Linotype" w:hAnsi="Palatino Linotype"/>
        </w:rPr>
        <w:t xml:space="preserve">por lo que, resulta necesario referir que </w:t>
      </w:r>
      <w:r w:rsidR="00E50E07" w:rsidRPr="00E13C00">
        <w:rPr>
          <w:rFonts w:ascii="Palatino Linotype" w:eastAsia="Palatino Linotype" w:hAnsi="Palatino Linotype" w:cs="Palatino Linotype"/>
        </w:rPr>
        <w:t xml:space="preserve">para la atención de las solicitudes de acceso a la información, debe privilegiarse el </w:t>
      </w:r>
      <w:r w:rsidR="00E50E07" w:rsidRPr="00E13C00">
        <w:rPr>
          <w:rFonts w:ascii="Palatino Linotype" w:eastAsia="Palatino Linotype" w:hAnsi="Palatino Linotype" w:cs="Palatino Linotype"/>
          <w:b/>
        </w:rPr>
        <w:t>principio de máxima publicidad</w:t>
      </w:r>
      <w:r w:rsidR="00E50E07" w:rsidRPr="00E13C00">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4E36EFD" w14:textId="77777777" w:rsidR="00E50E07" w:rsidRPr="00E13C00" w:rsidRDefault="00E50E07" w:rsidP="00E50E07">
      <w:pPr>
        <w:spacing w:after="0" w:line="360" w:lineRule="auto"/>
        <w:jc w:val="both"/>
        <w:rPr>
          <w:rFonts w:ascii="Palatino Linotype" w:hAnsi="Palatino Linotype"/>
        </w:rPr>
      </w:pPr>
    </w:p>
    <w:p w14:paraId="1425B21C" w14:textId="77777777" w:rsidR="00E50E07" w:rsidRPr="00E13C00" w:rsidRDefault="00E50E07" w:rsidP="00E50E07">
      <w:pPr>
        <w:spacing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52E999E" w14:textId="77777777" w:rsidR="00E50E07" w:rsidRPr="00E13C00" w:rsidRDefault="00E50E07" w:rsidP="00E50E07">
      <w:pPr>
        <w:spacing w:after="0" w:line="360" w:lineRule="auto"/>
        <w:jc w:val="both"/>
        <w:rPr>
          <w:rFonts w:ascii="Palatino Linotype" w:eastAsia="Palatino Linotype" w:hAnsi="Palatino Linotype" w:cs="Palatino Linotype"/>
        </w:rPr>
      </w:pPr>
    </w:p>
    <w:p w14:paraId="67C7F3C6" w14:textId="77777777" w:rsidR="00E50E07" w:rsidRPr="00E13C00" w:rsidRDefault="00E50E07" w:rsidP="00E50E07">
      <w:pPr>
        <w:numPr>
          <w:ilvl w:val="0"/>
          <w:numId w:val="24"/>
        </w:num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CDFE7AA" w14:textId="77777777" w:rsidR="00E50E07" w:rsidRPr="00E13C00" w:rsidRDefault="00E50E07" w:rsidP="00E50E07">
      <w:pPr>
        <w:numPr>
          <w:ilvl w:val="0"/>
          <w:numId w:val="24"/>
        </w:num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4C764D0" w14:textId="77777777" w:rsidR="00E50E07" w:rsidRPr="00E13C00" w:rsidRDefault="00E50E07" w:rsidP="00E50E07">
      <w:pPr>
        <w:numPr>
          <w:ilvl w:val="0"/>
          <w:numId w:val="24"/>
        </w:num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E13C00">
        <w:rPr>
          <w:rFonts w:ascii="Palatino Linotype" w:eastAsia="Palatino Linotype" w:hAnsi="Palatino Linotype" w:cs="Palatino Linotype"/>
          <w:b/>
        </w:rPr>
        <w:t>quince días, contados a partir del día siguiente a la presentación de ésta.</w:t>
      </w:r>
      <w:r w:rsidRPr="00E13C00">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073435F" w14:textId="77777777" w:rsidR="00E50E07" w:rsidRPr="00E13C00" w:rsidRDefault="00E50E07" w:rsidP="00E50E07">
      <w:pPr>
        <w:numPr>
          <w:ilvl w:val="0"/>
          <w:numId w:val="24"/>
        </w:numPr>
        <w:spacing w:after="0" w:line="360" w:lineRule="auto"/>
        <w:jc w:val="both"/>
        <w:rPr>
          <w:rFonts w:ascii="Palatino Linotype" w:eastAsia="Palatino Linotype" w:hAnsi="Palatino Linotype" w:cs="Palatino Linotype"/>
          <w:b/>
          <w:u w:val="single"/>
        </w:rPr>
      </w:pPr>
      <w:r w:rsidRPr="00E13C00">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w:t>
      </w:r>
      <w:r w:rsidRPr="00E13C00">
        <w:rPr>
          <w:rFonts w:ascii="Palatino Linotype" w:eastAsia="Palatino Linotype" w:hAnsi="Palatino Linotype" w:cs="Palatino Linotype"/>
          <w:b/>
          <w:u w:val="single"/>
        </w:rPr>
        <w:lastRenderedPageBreak/>
        <w:t>expresiones documentales que se encuentren en sus archivos o que estén constreñidos a elaborar;</w:t>
      </w:r>
    </w:p>
    <w:p w14:paraId="40EC7C1D" w14:textId="77777777" w:rsidR="00E50E07" w:rsidRPr="00E13C00" w:rsidRDefault="00E50E07" w:rsidP="00E50E07">
      <w:pPr>
        <w:numPr>
          <w:ilvl w:val="0"/>
          <w:numId w:val="24"/>
        </w:numPr>
        <w:spacing w:after="0" w:line="360" w:lineRule="auto"/>
        <w:jc w:val="both"/>
        <w:rPr>
          <w:rFonts w:ascii="Palatino Linotype" w:eastAsia="Palatino Linotype" w:hAnsi="Palatino Linotype" w:cs="Palatino Linotype"/>
          <w:b/>
        </w:rPr>
      </w:pPr>
      <w:r w:rsidRPr="00E13C00">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B622DE4" w14:textId="77777777" w:rsidR="00E50E07" w:rsidRPr="00E13C00" w:rsidRDefault="00E50E07" w:rsidP="00E50E07">
      <w:pPr>
        <w:numPr>
          <w:ilvl w:val="0"/>
          <w:numId w:val="24"/>
        </w:numPr>
        <w:spacing w:after="0" w:line="360" w:lineRule="auto"/>
        <w:jc w:val="both"/>
        <w:rPr>
          <w:rFonts w:ascii="Palatino Linotype" w:eastAsia="Palatino Linotype" w:hAnsi="Palatino Linotype" w:cs="Palatino Linotype"/>
          <w:b/>
        </w:rPr>
      </w:pPr>
      <w:r w:rsidRPr="00E13C00">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875700" w14:textId="77777777" w:rsidR="00E50E07" w:rsidRPr="00E13C00" w:rsidRDefault="00E50E07" w:rsidP="00E50E07">
      <w:pPr>
        <w:spacing w:after="0" w:line="360" w:lineRule="auto"/>
        <w:ind w:right="49"/>
        <w:jc w:val="both"/>
        <w:rPr>
          <w:rFonts w:ascii="Palatino Linotype" w:eastAsia="Palatino Linotype" w:hAnsi="Palatino Linotype" w:cs="Palatino Linotype"/>
        </w:rPr>
      </w:pPr>
    </w:p>
    <w:p w14:paraId="12C49172" w14:textId="7AD755B2" w:rsidR="00E50E07" w:rsidRPr="00E13C00" w:rsidRDefault="00E50E07" w:rsidP="00E50E07">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Por ello, se colige que la Unidad de Transparencia, debe seguir un procedimiento de búsqueda exhaustiva y razonable en las unidades administrativas, que de conformidad con sus atribuciones, facultades y competencia contarán con la información solicitada, situación que en presente caso </w:t>
      </w:r>
      <w:r w:rsidRPr="00E13C00">
        <w:rPr>
          <w:rFonts w:ascii="Palatino Linotype" w:eastAsia="Palatino Linotype" w:hAnsi="Palatino Linotype" w:cs="Palatino Linotype"/>
          <w:b/>
        </w:rPr>
        <w:t>aconteció</w:t>
      </w:r>
      <w:r w:rsidRPr="00E13C00">
        <w:rPr>
          <w:rFonts w:ascii="Palatino Linotype" w:eastAsia="Palatino Linotype" w:hAnsi="Palatino Linotype" w:cs="Palatino Linotype"/>
        </w:rPr>
        <w:t>, por lo que se colige que, el Sujeto Obligado siguió el procedimiento esta</w:t>
      </w:r>
      <w:r w:rsidR="002B7861" w:rsidRPr="00E13C00">
        <w:rPr>
          <w:rFonts w:ascii="Palatino Linotype" w:eastAsia="Palatino Linotype" w:hAnsi="Palatino Linotype" w:cs="Palatino Linotype"/>
        </w:rPr>
        <w:t>blecido en la Ley en la materia, conforme a lo que dispone el Manual General de Organización del Sujeto Obligado.</w:t>
      </w:r>
    </w:p>
    <w:p w14:paraId="4C8AEE20" w14:textId="77777777" w:rsidR="00E50E07" w:rsidRPr="00E13C00" w:rsidRDefault="00E50E07" w:rsidP="00E50E07">
      <w:pPr>
        <w:spacing w:after="0" w:line="360" w:lineRule="auto"/>
        <w:ind w:right="49"/>
        <w:jc w:val="both"/>
        <w:rPr>
          <w:rFonts w:ascii="Palatino Linotype" w:eastAsia="Palatino Linotype" w:hAnsi="Palatino Linotype" w:cs="Palatino Linotype"/>
        </w:rPr>
      </w:pPr>
    </w:p>
    <w:p w14:paraId="2A1E6327" w14:textId="0D8FDDBD" w:rsidR="00956333" w:rsidRPr="00E13C00" w:rsidRDefault="002B7861" w:rsidP="00956333">
      <w:pPr>
        <w:spacing w:after="0" w:line="360" w:lineRule="auto"/>
        <w:ind w:right="-7"/>
        <w:jc w:val="both"/>
        <w:rPr>
          <w:rFonts w:ascii="Palatino Linotype" w:hAnsi="Palatino Linotype"/>
        </w:rPr>
      </w:pPr>
      <w:r w:rsidRPr="00E13C00">
        <w:rPr>
          <w:rFonts w:ascii="Palatino Linotype" w:hAnsi="Palatino Linotype"/>
        </w:rPr>
        <w:t xml:space="preserve">De lo anterior, se advierte que al haber emitido respuesta el Servidor Público Habilitado refiriendo que no se cuenta con la información requerida porque no se localizó ni factura ni cargo alguno erogado por la Secretaría Ejecutiva del Sistema Anticorrupción por los conceptos que refiere el particular, </w:t>
      </w:r>
      <w:r w:rsidR="00956333" w:rsidRPr="00E13C00">
        <w:rPr>
          <w:rFonts w:ascii="Palatino Linotype" w:hAnsi="Palatino Linotype"/>
        </w:rPr>
        <w:t xml:space="preserve">se colige que se está en </w:t>
      </w:r>
      <w:r w:rsidR="007F0DE5" w:rsidRPr="00E13C00">
        <w:rPr>
          <w:rFonts w:ascii="Palatino Linotype" w:hAnsi="Palatino Linotype"/>
        </w:rPr>
        <w:t>presencia de un hecho negativo.</w:t>
      </w:r>
    </w:p>
    <w:p w14:paraId="6BECF2E2" w14:textId="77777777" w:rsidR="007F0DE5" w:rsidRPr="00E13C00" w:rsidRDefault="007F0DE5" w:rsidP="00956333">
      <w:pPr>
        <w:spacing w:after="0" w:line="360" w:lineRule="auto"/>
        <w:ind w:right="-7"/>
        <w:jc w:val="both"/>
        <w:rPr>
          <w:rFonts w:ascii="Palatino Linotype" w:hAnsi="Palatino Linotype"/>
        </w:rPr>
      </w:pPr>
    </w:p>
    <w:p w14:paraId="25941A74" w14:textId="77777777" w:rsidR="007F0DE5" w:rsidRPr="00E13C00" w:rsidRDefault="007F0DE5" w:rsidP="007F0DE5">
      <w:pPr>
        <w:pStyle w:val="Prrafodelista"/>
        <w:spacing w:line="360" w:lineRule="auto"/>
        <w:ind w:left="0"/>
        <w:jc w:val="both"/>
        <w:rPr>
          <w:rFonts w:ascii="Palatino Linotype" w:hAnsi="Palatino Linotype" w:cs="Arial"/>
        </w:rPr>
      </w:pPr>
      <w:r w:rsidRPr="00E13C00">
        <w:rPr>
          <w:rFonts w:ascii="Palatino Linotype" w:hAnsi="Palatino Linotype" w:cs="Arial"/>
        </w:rPr>
        <w:lastRenderedPageBreak/>
        <w:t>Lo anterior encuentra sustento con la Jurisprudencia 267,287 y el Criterio 10/2004 emitidos por el Máximo Juzgador del país, Tesis que determinan lo siguiente:</w:t>
      </w:r>
    </w:p>
    <w:p w14:paraId="3DC794F4" w14:textId="77777777" w:rsidR="007F0DE5" w:rsidRPr="00E13C00" w:rsidRDefault="007F0DE5" w:rsidP="007F0DE5">
      <w:pPr>
        <w:pStyle w:val="Prrafodelista"/>
        <w:rPr>
          <w:rFonts w:ascii="Palatino Linotype" w:hAnsi="Palatino Linotype"/>
          <w:i/>
          <w:iCs/>
        </w:rPr>
      </w:pPr>
    </w:p>
    <w:p w14:paraId="2CAA330D" w14:textId="77777777" w:rsidR="007F0DE5" w:rsidRPr="00E13C00" w:rsidRDefault="007F0DE5" w:rsidP="0020495D">
      <w:pPr>
        <w:pStyle w:val="Prrafodelista"/>
        <w:tabs>
          <w:tab w:val="left" w:pos="426"/>
        </w:tabs>
        <w:spacing w:before="240" w:after="240"/>
        <w:ind w:left="567" w:right="567"/>
        <w:jc w:val="both"/>
        <w:rPr>
          <w:rFonts w:ascii="Palatino Linotype" w:hAnsi="Palatino Linotype" w:cs="Arial"/>
          <w:i/>
        </w:rPr>
      </w:pPr>
      <w:r w:rsidRPr="00E13C00">
        <w:rPr>
          <w:rFonts w:ascii="Palatino Linotype" w:hAnsi="Palatino Linotype" w:cs="Arial"/>
          <w:i/>
        </w:rPr>
        <w:t>“</w:t>
      </w:r>
      <w:r w:rsidRPr="00E13C00">
        <w:rPr>
          <w:rFonts w:ascii="Palatino Linotype" w:hAnsi="Palatino Linotype" w:cs="Arial"/>
          <w:b/>
          <w:i/>
        </w:rPr>
        <w:t>HECHOS NEGATIVOS, NO SON SUSCEPTIBLES DE DEMOSTRACION.</w:t>
      </w:r>
      <w:r w:rsidRPr="00E13C00">
        <w:rPr>
          <w:rFonts w:ascii="Palatino Linotype" w:hAnsi="Palatino Linotype" w:cs="Arial"/>
          <w:i/>
        </w:rPr>
        <w:t xml:space="preserve"> </w:t>
      </w:r>
      <w:r w:rsidRPr="00E13C00">
        <w:rPr>
          <w:rFonts w:ascii="Palatino Linotype" w:hAnsi="Palatino Linotype" w:cs="Arial"/>
          <w:b/>
          <w:i/>
        </w:rPr>
        <w:t xml:space="preserve">Tratándose de un hecho negativo, el Juez no tiene </w:t>
      </w:r>
      <w:proofErr w:type="spellStart"/>
      <w:r w:rsidRPr="00E13C00">
        <w:rPr>
          <w:rFonts w:ascii="Palatino Linotype" w:hAnsi="Palatino Linotype" w:cs="Arial"/>
          <w:b/>
          <w:i/>
        </w:rPr>
        <w:t>por que</w:t>
      </w:r>
      <w:proofErr w:type="spellEnd"/>
      <w:r w:rsidRPr="00E13C00">
        <w:rPr>
          <w:rFonts w:ascii="Palatino Linotype" w:hAnsi="Palatino Linotype" w:cs="Arial"/>
          <w:b/>
          <w:i/>
        </w:rPr>
        <w:t xml:space="preserve"> invocar prueba alguna de la que se desprenda</w:t>
      </w:r>
      <w:r w:rsidRPr="00E13C00">
        <w:rPr>
          <w:rFonts w:ascii="Palatino Linotype" w:hAnsi="Palatino Linotype" w:cs="Arial"/>
          <w:i/>
        </w:rPr>
        <w:t>, ya que es bien sabido que esta clase de hechos no son susceptibles de demostración.”</w:t>
      </w:r>
    </w:p>
    <w:p w14:paraId="18754E78" w14:textId="77777777" w:rsidR="007F0DE5" w:rsidRPr="00E13C00" w:rsidRDefault="007F0DE5" w:rsidP="0020495D">
      <w:pPr>
        <w:pStyle w:val="Prrafodelista"/>
        <w:tabs>
          <w:tab w:val="left" w:pos="426"/>
        </w:tabs>
        <w:spacing w:before="240" w:after="240"/>
        <w:ind w:left="567" w:right="567"/>
        <w:jc w:val="both"/>
        <w:rPr>
          <w:rFonts w:ascii="Palatino Linotype" w:hAnsi="Palatino Linotype" w:cs="Arial"/>
          <w:i/>
        </w:rPr>
      </w:pPr>
      <w:r w:rsidRPr="00E13C00">
        <w:rPr>
          <w:rFonts w:ascii="Palatino Linotype" w:hAnsi="Palatino Linotype" w:cs="Arial"/>
          <w:i/>
        </w:rPr>
        <w:t>“</w:t>
      </w:r>
      <w:r w:rsidRPr="00E13C00">
        <w:rPr>
          <w:rFonts w:ascii="Palatino Linotype" w:hAnsi="Palatino Linotype" w:cs="Arial"/>
          <w:b/>
          <w:i/>
        </w:rPr>
        <w:t>INEXISTENCIA DE LA INFORMACIÓN. EL COMITÉ DE ACCESO A LA INFORMACIÓN PUEDE DECLARARLA ANTE SU EVIDENCIA, SIN NECESIDAD DE DICTAR MEDIDAS PARA SU LOCALIZACIÓN.</w:t>
      </w:r>
      <w:r w:rsidRPr="00E13C00">
        <w:rPr>
          <w:rFonts w:ascii="Palatino Linotype" w:hAnsi="Palatino Linotype" w:cs="Arial"/>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E13C00">
        <w:rPr>
          <w:rFonts w:ascii="Palatino Linotype" w:hAnsi="Palatino Linotype" w:cs="Arial"/>
          <w:b/>
          <w:i/>
        </w:rPr>
        <w:t>ndo la referida Unidad señala, o</w:t>
      </w:r>
      <w:r w:rsidRPr="00E13C00">
        <w:rPr>
          <w:rFonts w:ascii="Palatino Linotype" w:hAnsi="Palatino Linotype" w:cs="Arial"/>
          <w:i/>
        </w:rPr>
        <w:t xml:space="preserve"> el mencionado Comité </w:t>
      </w:r>
      <w:r w:rsidRPr="00E13C00">
        <w:rPr>
          <w:rFonts w:ascii="Palatino Linotype" w:hAnsi="Palatino Linotype" w:cs="Arial"/>
          <w:b/>
          <w:i/>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E13C00">
        <w:rPr>
          <w:rFonts w:ascii="Palatino Linotype" w:hAnsi="Palatino Linotype" w:cs="Arial"/>
          <w:i/>
        </w:rPr>
        <w:t>”</w:t>
      </w:r>
    </w:p>
    <w:p w14:paraId="675015C7" w14:textId="4B4E8C98" w:rsidR="007F0DE5" w:rsidRPr="00E13C00" w:rsidRDefault="007F0DE5" w:rsidP="0020495D">
      <w:pPr>
        <w:pStyle w:val="Prrafodelista"/>
        <w:tabs>
          <w:tab w:val="left" w:pos="426"/>
        </w:tabs>
        <w:ind w:left="567" w:right="567"/>
        <w:jc w:val="both"/>
        <w:rPr>
          <w:rFonts w:ascii="Palatino Linotype" w:hAnsi="Palatino Linotype" w:cs="Arial"/>
          <w:iCs/>
        </w:rPr>
      </w:pPr>
      <w:r w:rsidRPr="00E13C00">
        <w:rPr>
          <w:rFonts w:ascii="Palatino Linotype" w:hAnsi="Palatino Linotype" w:cs="Arial"/>
          <w:iCs/>
        </w:rPr>
        <w:t>(Énfasis añadido)</w:t>
      </w:r>
    </w:p>
    <w:p w14:paraId="1F746DB3" w14:textId="77777777" w:rsidR="0020495D" w:rsidRPr="00E13C00" w:rsidRDefault="0020495D" w:rsidP="007F0DE5">
      <w:pPr>
        <w:pStyle w:val="Prrafodelista"/>
        <w:tabs>
          <w:tab w:val="left" w:pos="426"/>
        </w:tabs>
        <w:spacing w:line="360" w:lineRule="auto"/>
        <w:ind w:left="567" w:right="567"/>
        <w:jc w:val="both"/>
        <w:rPr>
          <w:rFonts w:ascii="Palatino Linotype" w:hAnsi="Palatino Linotype" w:cs="Arial"/>
          <w:iCs/>
        </w:rPr>
      </w:pPr>
    </w:p>
    <w:p w14:paraId="392B0FA0" w14:textId="77777777" w:rsidR="007F0DE5" w:rsidRPr="00E13C00" w:rsidRDefault="007F0DE5" w:rsidP="007F0DE5">
      <w:pPr>
        <w:pStyle w:val="Prrafodelista"/>
        <w:tabs>
          <w:tab w:val="left" w:pos="426"/>
        </w:tabs>
        <w:autoSpaceDE w:val="0"/>
        <w:autoSpaceDN w:val="0"/>
        <w:adjustRightInd w:val="0"/>
        <w:spacing w:line="360" w:lineRule="auto"/>
        <w:ind w:left="0" w:right="-28"/>
        <w:jc w:val="both"/>
        <w:rPr>
          <w:rFonts w:ascii="Palatino Linotype" w:hAnsi="Palatino Linotype" w:cs="Arial"/>
        </w:rPr>
      </w:pPr>
      <w:r w:rsidRPr="00E13C00">
        <w:rPr>
          <w:rFonts w:ascii="Palatino Linotype" w:hAnsi="Palatino Linotype" w:cs="Arial"/>
          <w:b/>
        </w:rPr>
        <w:t>Razones por las que no ha lugar a ordenar un Acuerdo de Inexistencia</w:t>
      </w:r>
      <w:r w:rsidRPr="00E13C00">
        <w:rPr>
          <w:rFonts w:ascii="Palatino Linotype" w:hAnsi="Palatino Linotype" w:cs="Arial"/>
        </w:rPr>
        <w:t>, ya que como lo señaló el Sujeto Obligado, no se cuenta con la información requerida por el particular por el hecho de no haberse generado.</w:t>
      </w:r>
    </w:p>
    <w:p w14:paraId="633A45C5" w14:textId="77777777" w:rsidR="007F0DE5" w:rsidRPr="00E13C00" w:rsidRDefault="007F0DE5" w:rsidP="007F0DE5">
      <w:pPr>
        <w:pStyle w:val="Prrafodelista"/>
        <w:tabs>
          <w:tab w:val="left" w:pos="426"/>
        </w:tabs>
        <w:autoSpaceDE w:val="0"/>
        <w:autoSpaceDN w:val="0"/>
        <w:adjustRightInd w:val="0"/>
        <w:spacing w:line="360" w:lineRule="auto"/>
        <w:ind w:left="0" w:right="-28"/>
        <w:jc w:val="both"/>
        <w:rPr>
          <w:rFonts w:ascii="Palatino Linotype" w:eastAsia="Calibri" w:hAnsi="Palatino Linotype" w:cs="Arial"/>
        </w:rPr>
      </w:pPr>
    </w:p>
    <w:p w14:paraId="4C0E4BAE" w14:textId="77777777" w:rsidR="007F0DE5" w:rsidRPr="00E13C00" w:rsidRDefault="007F0DE5" w:rsidP="007F0DE5">
      <w:pPr>
        <w:pStyle w:val="Prrafodelista"/>
        <w:spacing w:line="360" w:lineRule="auto"/>
        <w:ind w:left="0"/>
        <w:jc w:val="both"/>
        <w:rPr>
          <w:rFonts w:ascii="Palatino Linotype" w:eastAsia="Calibri" w:hAnsi="Palatino Linotype" w:cs="Arial"/>
        </w:rPr>
      </w:pPr>
      <w:r w:rsidRPr="00E13C00">
        <w:rPr>
          <w:rFonts w:ascii="Palatino Linotype" w:eastAsia="Calibri" w:hAnsi="Palatino Linotype" w:cs="Arial"/>
        </w:rPr>
        <w:lastRenderedPageBreak/>
        <w:t xml:space="preserve">En consecuencia, al haber existido un pronunciamiento por el Sujeto Obligado, es que no se puede dudar de la veracidad. </w:t>
      </w:r>
      <w:r w:rsidRPr="00E13C00">
        <w:rPr>
          <w:rFonts w:ascii="Palatino Linotype" w:hAnsi="Palatino Linotype"/>
        </w:rPr>
        <w:t xml:space="preserve">Sirve de apoyo a lo anterior por analogía </w:t>
      </w:r>
      <w:r w:rsidRPr="00E13C00">
        <w:rPr>
          <w:rFonts w:ascii="Palatino Linotype" w:hAnsi="Palatino Linotype"/>
          <w:b/>
        </w:rPr>
        <w:t xml:space="preserve">el criterio histórico 31-10 </w:t>
      </w:r>
      <w:r w:rsidRPr="00E13C00">
        <w:rPr>
          <w:rFonts w:ascii="Palatino Linotype" w:hAnsi="Palatino Linotype"/>
        </w:rPr>
        <w:t xml:space="preserve">emitido por el entonces Instituto Federal de Acceso a la Información y Protección de Datos, que a la letra dice: </w:t>
      </w:r>
    </w:p>
    <w:p w14:paraId="5B7A26CE" w14:textId="77777777" w:rsidR="007F0DE5" w:rsidRPr="00E13C00" w:rsidRDefault="007F0DE5" w:rsidP="007F0DE5">
      <w:pPr>
        <w:pStyle w:val="Prrafodelista"/>
        <w:tabs>
          <w:tab w:val="left" w:pos="1740"/>
        </w:tabs>
        <w:rPr>
          <w:rFonts w:ascii="Palatino Linotype" w:hAnsi="Palatino Linotype"/>
        </w:rPr>
      </w:pPr>
      <w:r w:rsidRPr="00E13C00">
        <w:rPr>
          <w:rFonts w:ascii="Palatino Linotype" w:hAnsi="Palatino Linotype"/>
        </w:rPr>
        <w:tab/>
      </w:r>
    </w:p>
    <w:p w14:paraId="782F8972" w14:textId="77777777" w:rsidR="007F0DE5" w:rsidRPr="00E13C00" w:rsidRDefault="007F0DE5" w:rsidP="0020495D">
      <w:pPr>
        <w:autoSpaceDE w:val="0"/>
        <w:autoSpaceDN w:val="0"/>
        <w:adjustRightInd w:val="0"/>
        <w:ind w:left="567" w:right="567"/>
        <w:jc w:val="both"/>
        <w:rPr>
          <w:rFonts w:ascii="Palatino Linotype" w:hAnsi="Palatino Linotype"/>
          <w:i/>
          <w:iCs/>
        </w:rPr>
      </w:pPr>
      <w:r w:rsidRPr="00E13C00">
        <w:rPr>
          <w:rFonts w:ascii="Palatino Linotype" w:hAnsi="Palatino Linotype"/>
          <w:b/>
          <w:i/>
          <w:iCs/>
        </w:rPr>
        <w:t>El Instituto Federal de Acceso a la Información y Protección de Datos </w:t>
      </w:r>
      <w:r w:rsidRPr="00E13C00">
        <w:rPr>
          <w:rFonts w:ascii="Palatino Linotype" w:hAnsi="Palatino Linotype"/>
          <w:b/>
          <w:bCs/>
          <w:i/>
          <w:iCs/>
        </w:rPr>
        <w:t>no cuenta con facultades para pronunciarse respecto de la veracidad de los documentos proporcionados por los sujetos obligados.</w:t>
      </w:r>
      <w:r w:rsidRPr="00E13C00">
        <w:rPr>
          <w:rFonts w:ascii="Palatino Linotype" w:hAnsi="Palatino Linotype"/>
          <w:i/>
          <w:iC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2B8C7BC" w14:textId="77777777" w:rsidR="007F0DE5" w:rsidRPr="00E13C00" w:rsidRDefault="007F0DE5" w:rsidP="007F0DE5">
      <w:pPr>
        <w:pStyle w:val="Prrafodelista"/>
        <w:tabs>
          <w:tab w:val="left" w:pos="284"/>
        </w:tabs>
        <w:spacing w:before="240" w:after="240" w:line="360" w:lineRule="auto"/>
        <w:ind w:left="0" w:right="49"/>
        <w:jc w:val="both"/>
        <w:rPr>
          <w:rFonts w:ascii="Palatino Linotype" w:hAnsi="Palatino Linotype" w:cs="Arial"/>
          <w:lang w:val="es-ES_tradnl"/>
        </w:rPr>
      </w:pPr>
      <w:r w:rsidRPr="00E13C00">
        <w:rPr>
          <w:rFonts w:ascii="Palatino Linotype" w:hAnsi="Palatino Linotype" w:cs="Arial"/>
        </w:rPr>
        <w:t>Este Órgano Garante carece de facultades para dudar de la veracidad sobre la información proporcionada por el Sujeto Obligado, en consecuencia, debe declararse atendido dicho requerimiento.</w:t>
      </w:r>
    </w:p>
    <w:p w14:paraId="573A2FB9" w14:textId="34AF2761" w:rsidR="00430390"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 xml:space="preserve">Es así como, en mérito de lo expuesto en líneas anteriores, resultan </w:t>
      </w:r>
      <w:r w:rsidR="00165A49" w:rsidRPr="00E13C00">
        <w:rPr>
          <w:rFonts w:ascii="Palatino Linotype" w:eastAsia="Palatino Linotype" w:hAnsi="Palatino Linotype" w:cs="Palatino Linotype"/>
        </w:rPr>
        <w:t>in</w:t>
      </w:r>
      <w:r w:rsidRPr="00E13C00">
        <w:rPr>
          <w:rFonts w:ascii="Palatino Linotype" w:eastAsia="Palatino Linotype" w:hAnsi="Palatino Linotype" w:cs="Palatino Linotype"/>
        </w:rPr>
        <w:t xml:space="preserve">fundadas las razones o motivos de inconformidad hechos valer por la parte </w:t>
      </w:r>
      <w:r w:rsidRPr="00E13C00">
        <w:rPr>
          <w:rFonts w:ascii="Palatino Linotype" w:eastAsia="Palatino Linotype" w:hAnsi="Palatino Linotype" w:cs="Palatino Linotype"/>
          <w:b/>
        </w:rPr>
        <w:t>RECURRENTE</w:t>
      </w:r>
      <w:r w:rsidRPr="00E13C00">
        <w:rPr>
          <w:rFonts w:ascii="Palatino Linotype" w:eastAsia="Palatino Linotype" w:hAnsi="Palatino Linotype" w:cs="Palatino Linotype"/>
        </w:rPr>
        <w:t xml:space="preserve"> dentro del recurso de revisión </w:t>
      </w:r>
      <w:r w:rsidR="006B6AC8" w:rsidRPr="00E13C00">
        <w:rPr>
          <w:rFonts w:ascii="Palatino Linotype" w:eastAsia="Palatino Linotype" w:hAnsi="Palatino Linotype" w:cs="Palatino Linotype"/>
          <w:b/>
        </w:rPr>
        <w:t>04604/INFOEM/IP/RR/2024</w:t>
      </w:r>
      <w:r w:rsidRPr="00E13C00">
        <w:rPr>
          <w:rFonts w:ascii="Palatino Linotype" w:eastAsia="Palatino Linotype" w:hAnsi="Palatino Linotype" w:cs="Palatino Linotype"/>
        </w:rPr>
        <w:t xml:space="preserve">; por ello, y </w:t>
      </w:r>
      <w:r w:rsidR="00E43535" w:rsidRPr="00E13C00">
        <w:rPr>
          <w:rFonts w:ascii="Palatino Linotype" w:eastAsia="Palatino Linotype" w:hAnsi="Palatino Linotype" w:cs="Palatino Linotype"/>
        </w:rPr>
        <w:t>con fundamento en la fracción II</w:t>
      </w:r>
      <w:r w:rsidRPr="00E13C00">
        <w:rPr>
          <w:rFonts w:ascii="Palatino Linotype" w:eastAsia="Palatino Linotype" w:hAnsi="Palatino Linotype" w:cs="Palatino Linotype"/>
        </w:rPr>
        <w:t xml:space="preserve"> del numeral 186 de la Ley de Transparencia y Acceso a la Información Pública del Estado de México y Municipios, por lo que se </w:t>
      </w:r>
      <w:r w:rsidR="00165A49" w:rsidRPr="00E13C00">
        <w:rPr>
          <w:rFonts w:ascii="Palatino Linotype" w:eastAsia="Palatino Linotype" w:hAnsi="Palatino Linotype" w:cs="Palatino Linotype"/>
          <w:b/>
        </w:rPr>
        <w:t xml:space="preserve">CONFIRMA </w:t>
      </w:r>
      <w:r w:rsidRPr="00E13C00">
        <w:rPr>
          <w:rFonts w:ascii="Palatino Linotype" w:eastAsia="Palatino Linotype" w:hAnsi="Palatino Linotype" w:cs="Palatino Linotype"/>
        </w:rPr>
        <w:t xml:space="preserve">la respuesta del </w:t>
      </w:r>
      <w:r w:rsidRPr="00E13C00">
        <w:rPr>
          <w:rFonts w:ascii="Palatino Linotype" w:eastAsia="Palatino Linotype" w:hAnsi="Palatino Linotype" w:cs="Palatino Linotype"/>
          <w:b/>
        </w:rPr>
        <w:t xml:space="preserve">SUJETO OBLIGADO </w:t>
      </w:r>
      <w:r w:rsidRPr="00E13C00">
        <w:rPr>
          <w:rFonts w:ascii="Palatino Linotype" w:eastAsia="Palatino Linotype" w:hAnsi="Palatino Linotype" w:cs="Palatino Linotype"/>
        </w:rPr>
        <w:t xml:space="preserve">a la solicitud de información </w:t>
      </w:r>
      <w:r w:rsidR="006B6AC8" w:rsidRPr="00E13C00">
        <w:rPr>
          <w:rFonts w:ascii="Palatino Linotype" w:eastAsia="Palatino Linotype" w:hAnsi="Palatino Linotype" w:cs="Palatino Linotype"/>
          <w:b/>
        </w:rPr>
        <w:t>00916/SESEA/IP/2024</w:t>
      </w:r>
      <w:r w:rsidRPr="00E13C00">
        <w:rPr>
          <w:rFonts w:ascii="Palatino Linotype" w:eastAsia="Palatino Linotype" w:hAnsi="Palatino Linotype" w:cs="Palatino Linotype"/>
          <w:b/>
        </w:rPr>
        <w:t>.</w:t>
      </w:r>
      <w:r w:rsidRPr="00E13C00">
        <w:rPr>
          <w:rFonts w:ascii="Palatino Linotype" w:eastAsia="Palatino Linotype" w:hAnsi="Palatino Linotype" w:cs="Palatino Linotype"/>
        </w:rPr>
        <w:t xml:space="preserve">  </w:t>
      </w:r>
    </w:p>
    <w:p w14:paraId="6E459E8D" w14:textId="77777777" w:rsidR="00430390"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b/>
        </w:rPr>
        <w:lastRenderedPageBreak/>
        <w:t xml:space="preserve"> </w:t>
      </w:r>
    </w:p>
    <w:p w14:paraId="2AAEE462" w14:textId="38EC18AA" w:rsidR="00EE6ACE"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95D4561" w14:textId="77777777" w:rsidR="00430390" w:rsidRPr="00E13C00" w:rsidRDefault="00E75862">
      <w:pPr>
        <w:spacing w:after="0" w:line="360" w:lineRule="auto"/>
        <w:ind w:right="49"/>
        <w:jc w:val="center"/>
        <w:rPr>
          <w:rFonts w:ascii="Palatino Linotype" w:eastAsia="Palatino Linotype" w:hAnsi="Palatino Linotype" w:cs="Palatino Linotype"/>
          <w:b/>
        </w:rPr>
      </w:pPr>
      <w:r w:rsidRPr="00E13C00">
        <w:rPr>
          <w:rFonts w:ascii="Palatino Linotype" w:eastAsia="Palatino Linotype" w:hAnsi="Palatino Linotype" w:cs="Palatino Linotype"/>
          <w:b/>
        </w:rPr>
        <w:t>III.</w:t>
      </w:r>
      <w:r w:rsidRPr="00E13C00">
        <w:rPr>
          <w:rFonts w:ascii="Palatino Linotype" w:eastAsia="Palatino Linotype" w:hAnsi="Palatino Linotype" w:cs="Palatino Linotype"/>
          <w:b/>
        </w:rPr>
        <w:tab/>
        <w:t>R E S U E L V E:</w:t>
      </w:r>
    </w:p>
    <w:p w14:paraId="5A3B453F" w14:textId="77777777" w:rsidR="00430390" w:rsidRPr="00E13C00" w:rsidRDefault="00430390">
      <w:pPr>
        <w:spacing w:after="0" w:line="360" w:lineRule="auto"/>
        <w:ind w:right="49"/>
        <w:jc w:val="both"/>
        <w:rPr>
          <w:rFonts w:ascii="Palatino Linotype" w:eastAsia="Palatino Linotype" w:hAnsi="Palatino Linotype" w:cs="Palatino Linotype"/>
        </w:rPr>
      </w:pPr>
    </w:p>
    <w:p w14:paraId="5D8B7C01" w14:textId="109EEB22" w:rsidR="00165A49" w:rsidRPr="00E13C00" w:rsidRDefault="00165A49" w:rsidP="00165A49">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 xml:space="preserve">Primero. </w:t>
      </w:r>
      <w:r w:rsidRPr="00E13C00">
        <w:rPr>
          <w:rFonts w:ascii="Palatino Linotype" w:eastAsia="Palatino Linotype" w:hAnsi="Palatino Linotype" w:cs="Palatino Linotype"/>
        </w:rPr>
        <w:t xml:space="preserve">Resultan </w:t>
      </w:r>
      <w:r w:rsidRPr="00E13C00">
        <w:rPr>
          <w:rFonts w:ascii="Palatino Linotype" w:eastAsia="Palatino Linotype" w:hAnsi="Palatino Linotype" w:cs="Palatino Linotype"/>
          <w:b/>
        </w:rPr>
        <w:t>INFUNDADOS</w:t>
      </w:r>
      <w:r w:rsidRPr="00E13C00">
        <w:rPr>
          <w:rFonts w:ascii="Palatino Linotype" w:eastAsia="Palatino Linotype" w:hAnsi="Palatino Linotype" w:cs="Palatino Linotype"/>
        </w:rPr>
        <w:t xml:space="preserve"> los motivos de inconformidad hechos valer por la parte </w:t>
      </w:r>
      <w:r w:rsidRPr="00E13C00">
        <w:rPr>
          <w:rFonts w:ascii="Palatino Linotype" w:eastAsia="Palatino Linotype" w:hAnsi="Palatino Linotype" w:cs="Palatino Linotype"/>
          <w:b/>
        </w:rPr>
        <w:t>RECURRENTE</w:t>
      </w:r>
      <w:r w:rsidRPr="00E13C00">
        <w:rPr>
          <w:rFonts w:ascii="Palatino Linotype" w:eastAsia="Palatino Linotype" w:hAnsi="Palatino Linotype" w:cs="Palatino Linotype"/>
        </w:rPr>
        <w:t xml:space="preserve"> en el Recurso de Revisión </w:t>
      </w:r>
      <w:r w:rsidR="006B6AC8" w:rsidRPr="00E13C00">
        <w:rPr>
          <w:rFonts w:ascii="Palatino Linotype" w:eastAsia="Palatino Linotype" w:hAnsi="Palatino Linotype" w:cs="Palatino Linotype"/>
          <w:b/>
        </w:rPr>
        <w:t>04604/INFOEM/IP/RR/2024</w:t>
      </w:r>
      <w:r w:rsidRPr="00E13C00">
        <w:rPr>
          <w:rFonts w:ascii="Palatino Linotype" w:eastAsia="Palatino Linotype" w:hAnsi="Palatino Linotype" w:cs="Palatino Linotype"/>
        </w:rPr>
        <w:t xml:space="preserve"> por lo que, en términos del</w:t>
      </w:r>
      <w:r w:rsidRPr="00E13C00">
        <w:rPr>
          <w:rFonts w:ascii="Palatino Linotype" w:eastAsia="Palatino Linotype" w:hAnsi="Palatino Linotype" w:cs="Palatino Linotype"/>
          <w:b/>
        </w:rPr>
        <w:t xml:space="preserve"> Considerando Cuarto </w:t>
      </w:r>
      <w:r w:rsidRPr="00E13C00">
        <w:rPr>
          <w:rFonts w:ascii="Palatino Linotype" w:eastAsia="Palatino Linotype" w:hAnsi="Palatino Linotype" w:cs="Palatino Linotype"/>
        </w:rPr>
        <w:t xml:space="preserve">de esta resolución, se </w:t>
      </w:r>
      <w:r w:rsidRPr="00E13C00">
        <w:rPr>
          <w:rFonts w:ascii="Palatino Linotype" w:eastAsia="Palatino Linotype" w:hAnsi="Palatino Linotype" w:cs="Palatino Linotype"/>
          <w:b/>
        </w:rPr>
        <w:t xml:space="preserve">CONFIRMA </w:t>
      </w:r>
      <w:r w:rsidRPr="00E13C00">
        <w:rPr>
          <w:rFonts w:ascii="Palatino Linotype" w:eastAsia="Palatino Linotype" w:hAnsi="Palatino Linotype" w:cs="Palatino Linotype"/>
        </w:rPr>
        <w:t xml:space="preserve">la respuesta emitida por el </w:t>
      </w:r>
      <w:r w:rsidRPr="00E13C00">
        <w:rPr>
          <w:rFonts w:ascii="Palatino Linotype" w:eastAsia="Palatino Linotype" w:hAnsi="Palatino Linotype" w:cs="Palatino Linotype"/>
          <w:b/>
        </w:rPr>
        <w:t>SUJETO OBLIGADO</w:t>
      </w:r>
      <w:r w:rsidRPr="00E13C00">
        <w:rPr>
          <w:rFonts w:ascii="Palatino Linotype" w:eastAsia="Palatino Linotype" w:hAnsi="Palatino Linotype" w:cs="Palatino Linotype"/>
        </w:rPr>
        <w:t>.</w:t>
      </w:r>
    </w:p>
    <w:p w14:paraId="4B211A83" w14:textId="77777777" w:rsidR="00165A49" w:rsidRPr="00E13C00" w:rsidRDefault="00165A49" w:rsidP="00165A49">
      <w:pPr>
        <w:spacing w:after="0" w:line="360" w:lineRule="auto"/>
        <w:jc w:val="both"/>
        <w:rPr>
          <w:rFonts w:ascii="Palatino Linotype" w:eastAsia="Palatino Linotype" w:hAnsi="Palatino Linotype" w:cs="Palatino Linotype"/>
        </w:rPr>
      </w:pPr>
    </w:p>
    <w:p w14:paraId="1E1E86D2" w14:textId="4FA42D1C" w:rsidR="00165A49" w:rsidRPr="00E13C00" w:rsidRDefault="00165A49" w:rsidP="00165A49">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Segundo. Notifíquese vía Sistema de Acceso a la Información Mexiquense (SAIMEX)</w:t>
      </w:r>
      <w:r w:rsidRPr="00E13C00">
        <w:rPr>
          <w:rFonts w:ascii="Palatino Linotype" w:eastAsia="Palatino Linotype" w:hAnsi="Palatino Linotype" w:cs="Palatino Linotype"/>
        </w:rPr>
        <w:t>, al Titular de la Unidad de Transparencia del Sujeto Obligado, para su conocimiento.</w:t>
      </w:r>
    </w:p>
    <w:p w14:paraId="4B6D42A6" w14:textId="77777777" w:rsidR="009A4919" w:rsidRPr="00E13C00" w:rsidRDefault="009A4919" w:rsidP="00165A49">
      <w:pPr>
        <w:spacing w:after="0" w:line="360" w:lineRule="auto"/>
        <w:jc w:val="both"/>
        <w:rPr>
          <w:rFonts w:ascii="Palatino Linotype" w:eastAsia="Palatino Linotype" w:hAnsi="Palatino Linotype" w:cs="Palatino Linotype"/>
        </w:rPr>
      </w:pPr>
    </w:p>
    <w:p w14:paraId="05862332" w14:textId="3B910FA3" w:rsidR="00E15D7F" w:rsidRPr="00E13C00" w:rsidRDefault="00165A49" w:rsidP="00165A49">
      <w:pPr>
        <w:spacing w:after="0" w:line="360" w:lineRule="auto"/>
        <w:jc w:val="both"/>
        <w:rPr>
          <w:rFonts w:ascii="Palatino Linotype" w:eastAsia="Palatino Linotype" w:hAnsi="Palatino Linotype" w:cs="Palatino Linotype"/>
        </w:rPr>
      </w:pPr>
      <w:r w:rsidRPr="00E13C00">
        <w:rPr>
          <w:rFonts w:ascii="Palatino Linotype" w:eastAsia="Palatino Linotype" w:hAnsi="Palatino Linotype" w:cs="Palatino Linotype"/>
          <w:b/>
        </w:rPr>
        <w:t>Tercero. Notifíquese vía Sistema de Acceso a la Información Mexiquense (SAIMEX)</w:t>
      </w:r>
      <w:r w:rsidR="00BA58B6" w:rsidRPr="00E13C00">
        <w:rPr>
          <w:rFonts w:ascii="Palatino Linotype" w:eastAsia="Palatino Linotype" w:hAnsi="Palatino Linotype" w:cs="Palatino Linotype"/>
          <w:b/>
        </w:rPr>
        <w:t xml:space="preserve"> </w:t>
      </w:r>
      <w:r w:rsidRPr="00E13C00">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3DAE84F" w14:textId="5CB46D2F" w:rsidR="00AC33C1" w:rsidRDefault="00AC33C1" w:rsidP="00165A49">
      <w:pPr>
        <w:spacing w:after="0" w:line="360" w:lineRule="auto"/>
        <w:jc w:val="both"/>
        <w:rPr>
          <w:rFonts w:ascii="Palatino Linotype" w:eastAsia="Palatino Linotype" w:hAnsi="Palatino Linotype" w:cs="Palatino Linotype"/>
        </w:rPr>
      </w:pPr>
    </w:p>
    <w:p w14:paraId="10CD7A2C" w14:textId="35D49226" w:rsidR="00E13C00" w:rsidRDefault="00E13C00" w:rsidP="00165A49">
      <w:pPr>
        <w:spacing w:after="0" w:line="360" w:lineRule="auto"/>
        <w:jc w:val="both"/>
        <w:rPr>
          <w:rFonts w:ascii="Palatino Linotype" w:eastAsia="Palatino Linotype" w:hAnsi="Palatino Linotype" w:cs="Palatino Linotype"/>
        </w:rPr>
      </w:pPr>
    </w:p>
    <w:p w14:paraId="36F77D11" w14:textId="77777777" w:rsidR="00E13C00" w:rsidRPr="00E13C00" w:rsidRDefault="00E13C00" w:rsidP="00165A49">
      <w:pPr>
        <w:spacing w:after="0" w:line="360" w:lineRule="auto"/>
        <w:jc w:val="both"/>
        <w:rPr>
          <w:rFonts w:ascii="Palatino Linotype" w:eastAsia="Palatino Linotype" w:hAnsi="Palatino Linotype" w:cs="Palatino Linotype"/>
        </w:rPr>
      </w:pPr>
    </w:p>
    <w:p w14:paraId="5E337ACA" w14:textId="327C8984" w:rsidR="00430390" w:rsidRPr="00E13C00" w:rsidRDefault="00E75862">
      <w:pPr>
        <w:spacing w:after="0" w:line="360" w:lineRule="auto"/>
        <w:ind w:right="49"/>
        <w:jc w:val="both"/>
        <w:rPr>
          <w:rFonts w:ascii="Palatino Linotype" w:eastAsia="Palatino Linotype" w:hAnsi="Palatino Linotype" w:cs="Palatino Linotype"/>
        </w:rPr>
      </w:pPr>
      <w:r w:rsidRPr="00E13C00">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63702" w:rsidRPr="00E13C00">
        <w:rPr>
          <w:rFonts w:ascii="Palatino Linotype" w:eastAsia="Palatino Linotype" w:hAnsi="Palatino Linotype" w:cs="Palatino Linotype"/>
        </w:rPr>
        <w:t>TRIGÉSIMA</w:t>
      </w:r>
      <w:r w:rsidR="00AC33C1" w:rsidRPr="00E13C00">
        <w:rPr>
          <w:rFonts w:ascii="Palatino Linotype" w:eastAsia="Palatino Linotype" w:hAnsi="Palatino Linotype" w:cs="Palatino Linotype"/>
        </w:rPr>
        <w:t xml:space="preserve"> </w:t>
      </w:r>
      <w:r w:rsidR="006B6AC8" w:rsidRPr="00E13C00">
        <w:rPr>
          <w:rFonts w:ascii="Palatino Linotype" w:eastAsia="Palatino Linotype" w:hAnsi="Palatino Linotype" w:cs="Palatino Linotype"/>
        </w:rPr>
        <w:t>SÉPTIMA</w:t>
      </w:r>
      <w:r w:rsidR="007F7876" w:rsidRPr="00E13C00">
        <w:rPr>
          <w:rFonts w:ascii="Palatino Linotype" w:eastAsia="Palatino Linotype" w:hAnsi="Palatino Linotype" w:cs="Palatino Linotype"/>
        </w:rPr>
        <w:t xml:space="preserve"> </w:t>
      </w:r>
      <w:r w:rsidRPr="00E13C00">
        <w:rPr>
          <w:rFonts w:ascii="Palatino Linotype" w:eastAsia="Palatino Linotype" w:hAnsi="Palatino Linotype" w:cs="Palatino Linotype"/>
        </w:rPr>
        <w:t>SESIÓN ORDINARIA CELEBRADA EL</w:t>
      </w:r>
      <w:r w:rsidR="00FA20AB" w:rsidRPr="00E13C00">
        <w:rPr>
          <w:rFonts w:ascii="Palatino Linotype" w:eastAsia="Palatino Linotype" w:hAnsi="Palatino Linotype" w:cs="Palatino Linotype"/>
        </w:rPr>
        <w:t xml:space="preserve"> </w:t>
      </w:r>
      <w:r w:rsidR="006B6AC8" w:rsidRPr="00E13C00">
        <w:rPr>
          <w:rFonts w:ascii="Palatino Linotype" w:eastAsia="Palatino Linotype" w:hAnsi="Palatino Linotype" w:cs="Palatino Linotype"/>
        </w:rPr>
        <w:t xml:space="preserve">DIECISÉIS </w:t>
      </w:r>
      <w:r w:rsidR="007F7876" w:rsidRPr="00E13C00">
        <w:rPr>
          <w:rFonts w:ascii="Palatino Linotype" w:eastAsia="Palatino Linotype" w:hAnsi="Palatino Linotype" w:cs="Palatino Linotype"/>
        </w:rPr>
        <w:t xml:space="preserve">DE </w:t>
      </w:r>
      <w:r w:rsidR="006B6AC8" w:rsidRPr="00E13C00">
        <w:rPr>
          <w:rFonts w:ascii="Palatino Linotype" w:eastAsia="Palatino Linotype" w:hAnsi="Palatino Linotype" w:cs="Palatino Linotype"/>
        </w:rPr>
        <w:t>OCTUBRE</w:t>
      </w:r>
      <w:r w:rsidR="00FA20AB" w:rsidRPr="00E13C00">
        <w:rPr>
          <w:rFonts w:ascii="Palatino Linotype" w:eastAsia="Palatino Linotype" w:hAnsi="Palatino Linotype" w:cs="Palatino Linotype"/>
        </w:rPr>
        <w:t xml:space="preserve"> DE</w:t>
      </w:r>
      <w:r w:rsidRPr="00E13C00">
        <w:rPr>
          <w:rFonts w:ascii="Palatino Linotype" w:eastAsia="Palatino Linotype" w:hAnsi="Palatino Linotype" w:cs="Palatino Linotype"/>
        </w:rPr>
        <w:t xml:space="preserve"> DOS MIL VEINTICUATRO, ANTE EL SECRETARIO TÉCNICO DEL PLENO ALEXIS TAPIA RAMÍREZ. </w:t>
      </w:r>
    </w:p>
    <w:p w14:paraId="77FA8872" w14:textId="77777777" w:rsidR="00430390" w:rsidRPr="00E13C00" w:rsidRDefault="00430390">
      <w:pPr>
        <w:spacing w:after="0" w:line="360" w:lineRule="auto"/>
        <w:ind w:right="49"/>
        <w:jc w:val="both"/>
        <w:rPr>
          <w:rFonts w:ascii="Palatino Linotype" w:eastAsia="Palatino Linotype" w:hAnsi="Palatino Linotype" w:cs="Palatino Linotype"/>
        </w:rPr>
      </w:pPr>
    </w:p>
    <w:p w14:paraId="0ED9C1BD" w14:textId="475A437A" w:rsidR="00430390" w:rsidRPr="00E13C00" w:rsidRDefault="00430390">
      <w:pPr>
        <w:spacing w:after="0" w:line="360" w:lineRule="auto"/>
        <w:ind w:right="49"/>
        <w:jc w:val="both"/>
        <w:rPr>
          <w:rFonts w:ascii="Palatino Linotype" w:eastAsia="Palatino Linotype" w:hAnsi="Palatino Linotype" w:cs="Palatino Linotype"/>
        </w:rPr>
      </w:pPr>
    </w:p>
    <w:p w14:paraId="6CDB7BC8" w14:textId="54E4A464" w:rsidR="0020495D" w:rsidRPr="00E13C00" w:rsidRDefault="0020495D">
      <w:pPr>
        <w:spacing w:after="0" w:line="360" w:lineRule="auto"/>
        <w:ind w:right="49"/>
        <w:jc w:val="both"/>
        <w:rPr>
          <w:rFonts w:ascii="Palatino Linotype" w:eastAsia="Palatino Linotype" w:hAnsi="Palatino Linotype" w:cs="Palatino Linotype"/>
        </w:rPr>
      </w:pPr>
    </w:p>
    <w:p w14:paraId="628371F5" w14:textId="67B7B7D7" w:rsidR="00E13C00" w:rsidRPr="00E13C00" w:rsidRDefault="00E13C00">
      <w:pPr>
        <w:spacing w:after="0" w:line="360" w:lineRule="auto"/>
        <w:ind w:right="49"/>
        <w:jc w:val="both"/>
        <w:rPr>
          <w:rFonts w:ascii="Palatino Linotype" w:eastAsia="Palatino Linotype" w:hAnsi="Palatino Linotype" w:cs="Palatino Linotype"/>
        </w:rPr>
      </w:pPr>
    </w:p>
    <w:p w14:paraId="0E14AC45" w14:textId="4A217B87" w:rsidR="00E13C00" w:rsidRPr="00E13C00" w:rsidRDefault="00E13C00">
      <w:pPr>
        <w:spacing w:after="0" w:line="360" w:lineRule="auto"/>
        <w:ind w:right="49"/>
        <w:jc w:val="both"/>
        <w:rPr>
          <w:rFonts w:ascii="Palatino Linotype" w:eastAsia="Palatino Linotype" w:hAnsi="Palatino Linotype" w:cs="Palatino Linotype"/>
        </w:rPr>
      </w:pPr>
    </w:p>
    <w:p w14:paraId="018CC72F" w14:textId="10C20116" w:rsidR="00E13C00" w:rsidRPr="00E13C00" w:rsidRDefault="00E13C00">
      <w:pPr>
        <w:spacing w:after="0" w:line="360" w:lineRule="auto"/>
        <w:ind w:right="49"/>
        <w:jc w:val="both"/>
        <w:rPr>
          <w:rFonts w:ascii="Palatino Linotype" w:eastAsia="Palatino Linotype" w:hAnsi="Palatino Linotype" w:cs="Palatino Linotype"/>
        </w:rPr>
      </w:pPr>
    </w:p>
    <w:p w14:paraId="7DB06682" w14:textId="7359736F" w:rsidR="00E13C00" w:rsidRPr="00E13C00" w:rsidRDefault="00E13C00">
      <w:pPr>
        <w:spacing w:after="0" w:line="360" w:lineRule="auto"/>
        <w:ind w:right="49"/>
        <w:jc w:val="both"/>
        <w:rPr>
          <w:rFonts w:ascii="Palatino Linotype" w:eastAsia="Palatino Linotype" w:hAnsi="Palatino Linotype" w:cs="Palatino Linotype"/>
        </w:rPr>
      </w:pPr>
    </w:p>
    <w:p w14:paraId="49AE68A1" w14:textId="42F0B357" w:rsidR="00E13C00" w:rsidRPr="00E13C00" w:rsidRDefault="00E13C00">
      <w:pPr>
        <w:spacing w:after="0" w:line="360" w:lineRule="auto"/>
        <w:ind w:right="49"/>
        <w:jc w:val="both"/>
        <w:rPr>
          <w:rFonts w:ascii="Palatino Linotype" w:eastAsia="Palatino Linotype" w:hAnsi="Palatino Linotype" w:cs="Palatino Linotype"/>
        </w:rPr>
      </w:pPr>
    </w:p>
    <w:p w14:paraId="271CFC0E" w14:textId="1DFE6AB2" w:rsidR="00E13C00" w:rsidRPr="00E13C00" w:rsidRDefault="00E13C00">
      <w:pPr>
        <w:spacing w:after="0" w:line="360" w:lineRule="auto"/>
        <w:ind w:right="49"/>
        <w:jc w:val="both"/>
        <w:rPr>
          <w:rFonts w:ascii="Palatino Linotype" w:eastAsia="Palatino Linotype" w:hAnsi="Palatino Linotype" w:cs="Palatino Linotype"/>
        </w:rPr>
      </w:pPr>
    </w:p>
    <w:p w14:paraId="444FFEB0" w14:textId="4BEA7F7A" w:rsidR="00E13C00" w:rsidRPr="00E13C00" w:rsidRDefault="00E13C00">
      <w:pPr>
        <w:spacing w:after="0" w:line="360" w:lineRule="auto"/>
        <w:ind w:right="49"/>
        <w:jc w:val="both"/>
        <w:rPr>
          <w:rFonts w:ascii="Palatino Linotype" w:eastAsia="Palatino Linotype" w:hAnsi="Palatino Linotype" w:cs="Palatino Linotype"/>
        </w:rPr>
      </w:pPr>
    </w:p>
    <w:p w14:paraId="7E29477B" w14:textId="10A8238F" w:rsidR="00E13C00" w:rsidRPr="00E13C00" w:rsidRDefault="00E13C00">
      <w:pPr>
        <w:spacing w:after="0" w:line="360" w:lineRule="auto"/>
        <w:ind w:right="49"/>
        <w:jc w:val="both"/>
        <w:rPr>
          <w:rFonts w:ascii="Palatino Linotype" w:eastAsia="Palatino Linotype" w:hAnsi="Palatino Linotype" w:cs="Palatino Linotype"/>
        </w:rPr>
      </w:pPr>
    </w:p>
    <w:p w14:paraId="1D68F1C1" w14:textId="5E0F338E" w:rsidR="00E13C00" w:rsidRPr="00E13C00" w:rsidRDefault="00E13C00">
      <w:pPr>
        <w:spacing w:after="0" w:line="360" w:lineRule="auto"/>
        <w:ind w:right="49"/>
        <w:jc w:val="both"/>
        <w:rPr>
          <w:rFonts w:ascii="Palatino Linotype" w:eastAsia="Palatino Linotype" w:hAnsi="Palatino Linotype" w:cs="Palatino Linotype"/>
        </w:rPr>
      </w:pPr>
    </w:p>
    <w:p w14:paraId="0839C281" w14:textId="2AE78244" w:rsidR="00E13C00" w:rsidRPr="00E13C00" w:rsidRDefault="00E13C00">
      <w:pPr>
        <w:spacing w:after="0" w:line="360" w:lineRule="auto"/>
        <w:ind w:right="49"/>
        <w:jc w:val="both"/>
        <w:rPr>
          <w:rFonts w:ascii="Palatino Linotype" w:eastAsia="Palatino Linotype" w:hAnsi="Palatino Linotype" w:cs="Palatino Linotype"/>
        </w:rPr>
      </w:pPr>
    </w:p>
    <w:p w14:paraId="0E7D3569" w14:textId="7476B44A" w:rsidR="00E13C00" w:rsidRPr="00E13C00" w:rsidRDefault="00E13C00">
      <w:pPr>
        <w:spacing w:after="0" w:line="360" w:lineRule="auto"/>
        <w:ind w:right="49"/>
        <w:jc w:val="both"/>
        <w:rPr>
          <w:rFonts w:ascii="Palatino Linotype" w:eastAsia="Palatino Linotype" w:hAnsi="Palatino Linotype" w:cs="Palatino Linotype"/>
        </w:rPr>
      </w:pPr>
    </w:p>
    <w:p w14:paraId="08EF6F1A" w14:textId="6485E16E" w:rsidR="00E13C00" w:rsidRPr="00E13C00" w:rsidRDefault="00E13C00">
      <w:pPr>
        <w:spacing w:after="0" w:line="360" w:lineRule="auto"/>
        <w:ind w:right="49"/>
        <w:jc w:val="both"/>
        <w:rPr>
          <w:rFonts w:ascii="Palatino Linotype" w:eastAsia="Palatino Linotype" w:hAnsi="Palatino Linotype" w:cs="Palatino Linotype"/>
        </w:rPr>
      </w:pPr>
    </w:p>
    <w:p w14:paraId="7F262082" w14:textId="74BA1C7A" w:rsidR="00E13C00" w:rsidRPr="00E13C00" w:rsidRDefault="00E13C00">
      <w:pPr>
        <w:spacing w:after="0" w:line="360" w:lineRule="auto"/>
        <w:ind w:right="49"/>
        <w:jc w:val="both"/>
        <w:rPr>
          <w:rFonts w:ascii="Palatino Linotype" w:eastAsia="Palatino Linotype" w:hAnsi="Palatino Linotype" w:cs="Palatino Linotype"/>
        </w:rPr>
      </w:pPr>
    </w:p>
    <w:p w14:paraId="22E35AE6" w14:textId="0722F6A9" w:rsidR="00E13C00" w:rsidRPr="00E13C00" w:rsidRDefault="00E13C00">
      <w:pPr>
        <w:spacing w:after="0" w:line="360" w:lineRule="auto"/>
        <w:ind w:right="49"/>
        <w:jc w:val="both"/>
        <w:rPr>
          <w:rFonts w:ascii="Palatino Linotype" w:eastAsia="Palatino Linotype" w:hAnsi="Palatino Linotype" w:cs="Palatino Linotype"/>
        </w:rPr>
      </w:pPr>
    </w:p>
    <w:p w14:paraId="635D6159" w14:textId="106C76C4" w:rsidR="00E13C00" w:rsidRPr="00E13C00" w:rsidRDefault="00E13C00">
      <w:pPr>
        <w:spacing w:after="0" w:line="360" w:lineRule="auto"/>
        <w:ind w:right="49"/>
        <w:jc w:val="both"/>
        <w:rPr>
          <w:rFonts w:ascii="Palatino Linotype" w:eastAsia="Palatino Linotype" w:hAnsi="Palatino Linotype" w:cs="Palatino Linotype"/>
        </w:rPr>
      </w:pPr>
    </w:p>
    <w:p w14:paraId="2C14F21B" w14:textId="3A98B26D" w:rsidR="00E13C00" w:rsidRPr="00E13C00" w:rsidRDefault="00E13C00">
      <w:pPr>
        <w:spacing w:after="0" w:line="360" w:lineRule="auto"/>
        <w:ind w:right="49"/>
        <w:jc w:val="both"/>
        <w:rPr>
          <w:rFonts w:ascii="Palatino Linotype" w:eastAsia="Palatino Linotype" w:hAnsi="Palatino Linotype" w:cs="Palatino Linotype"/>
        </w:rPr>
      </w:pPr>
    </w:p>
    <w:p w14:paraId="0F01D76B" w14:textId="54B1D2DA" w:rsidR="00E13C00" w:rsidRPr="00E13C00" w:rsidRDefault="00E13C00">
      <w:pPr>
        <w:spacing w:after="0" w:line="360" w:lineRule="auto"/>
        <w:ind w:right="49"/>
        <w:jc w:val="both"/>
        <w:rPr>
          <w:rFonts w:ascii="Palatino Linotype" w:eastAsia="Palatino Linotype" w:hAnsi="Palatino Linotype" w:cs="Palatino Linotype"/>
        </w:rPr>
      </w:pPr>
    </w:p>
    <w:p w14:paraId="44F2CAC3" w14:textId="31598550" w:rsidR="00E13C00" w:rsidRPr="00E13C00" w:rsidRDefault="00E13C00">
      <w:pPr>
        <w:spacing w:after="0" w:line="360" w:lineRule="auto"/>
        <w:ind w:right="49"/>
        <w:jc w:val="both"/>
        <w:rPr>
          <w:rFonts w:ascii="Palatino Linotype" w:eastAsia="Palatino Linotype" w:hAnsi="Palatino Linotype" w:cs="Palatino Linotype"/>
        </w:rPr>
      </w:pPr>
    </w:p>
    <w:p w14:paraId="525C2C2C" w14:textId="35177338" w:rsidR="00E13C00" w:rsidRPr="00E13C00" w:rsidRDefault="00E13C00">
      <w:pPr>
        <w:spacing w:after="0" w:line="360" w:lineRule="auto"/>
        <w:ind w:right="49"/>
        <w:jc w:val="both"/>
        <w:rPr>
          <w:rFonts w:ascii="Palatino Linotype" w:eastAsia="Palatino Linotype" w:hAnsi="Palatino Linotype" w:cs="Palatino Linotype"/>
        </w:rPr>
      </w:pPr>
    </w:p>
    <w:p w14:paraId="5FAC0003" w14:textId="648956AB" w:rsidR="00E13C00" w:rsidRPr="00E13C00" w:rsidRDefault="00E13C00">
      <w:pPr>
        <w:spacing w:after="0" w:line="360" w:lineRule="auto"/>
        <w:ind w:right="49"/>
        <w:jc w:val="both"/>
        <w:rPr>
          <w:rFonts w:ascii="Palatino Linotype" w:eastAsia="Palatino Linotype" w:hAnsi="Palatino Linotype" w:cs="Palatino Linotype"/>
        </w:rPr>
      </w:pPr>
    </w:p>
    <w:p w14:paraId="03CEC753" w14:textId="2EC16F87" w:rsidR="00E13C00" w:rsidRPr="00E13C00" w:rsidRDefault="00E13C00">
      <w:pPr>
        <w:spacing w:after="0" w:line="360" w:lineRule="auto"/>
        <w:ind w:right="49"/>
        <w:jc w:val="both"/>
        <w:rPr>
          <w:rFonts w:ascii="Palatino Linotype" w:eastAsia="Palatino Linotype" w:hAnsi="Palatino Linotype" w:cs="Palatino Linotype"/>
        </w:rPr>
      </w:pPr>
    </w:p>
    <w:p w14:paraId="4DE0669C" w14:textId="34CD3CF9" w:rsidR="00E13C00" w:rsidRPr="00E13C00" w:rsidRDefault="00E13C00">
      <w:pPr>
        <w:spacing w:after="0" w:line="360" w:lineRule="auto"/>
        <w:ind w:right="49"/>
        <w:jc w:val="both"/>
        <w:rPr>
          <w:rFonts w:ascii="Palatino Linotype" w:eastAsia="Palatino Linotype" w:hAnsi="Palatino Linotype" w:cs="Palatino Linotype"/>
        </w:rPr>
      </w:pPr>
    </w:p>
    <w:p w14:paraId="40A8EF2E" w14:textId="2BEC7F92" w:rsidR="00E13C00" w:rsidRPr="00E13C00" w:rsidRDefault="00E13C00">
      <w:pPr>
        <w:spacing w:after="0" w:line="360" w:lineRule="auto"/>
        <w:ind w:right="49"/>
        <w:jc w:val="both"/>
        <w:rPr>
          <w:rFonts w:ascii="Palatino Linotype" w:eastAsia="Palatino Linotype" w:hAnsi="Palatino Linotype" w:cs="Palatino Linotype"/>
        </w:rPr>
      </w:pPr>
    </w:p>
    <w:p w14:paraId="2AE6BEEF" w14:textId="7137A7D2" w:rsidR="00E13C00" w:rsidRPr="00E13C00" w:rsidRDefault="00E13C00">
      <w:pPr>
        <w:spacing w:after="0" w:line="360" w:lineRule="auto"/>
        <w:ind w:right="49"/>
        <w:jc w:val="both"/>
        <w:rPr>
          <w:rFonts w:ascii="Palatino Linotype" w:eastAsia="Palatino Linotype" w:hAnsi="Palatino Linotype" w:cs="Palatino Linotype"/>
        </w:rPr>
      </w:pPr>
    </w:p>
    <w:p w14:paraId="7F2E0AB0" w14:textId="245CF541" w:rsidR="00E13C00" w:rsidRPr="00E13C00" w:rsidRDefault="00E13C00">
      <w:pPr>
        <w:spacing w:after="0" w:line="360" w:lineRule="auto"/>
        <w:ind w:right="49"/>
        <w:jc w:val="both"/>
        <w:rPr>
          <w:rFonts w:ascii="Palatino Linotype" w:eastAsia="Palatino Linotype" w:hAnsi="Palatino Linotype" w:cs="Palatino Linotype"/>
        </w:rPr>
      </w:pPr>
    </w:p>
    <w:p w14:paraId="1D398712" w14:textId="42FF89D1" w:rsidR="00E13C00" w:rsidRPr="00E13C00" w:rsidRDefault="00E13C00">
      <w:pPr>
        <w:spacing w:after="0" w:line="360" w:lineRule="auto"/>
        <w:ind w:right="49"/>
        <w:jc w:val="both"/>
        <w:rPr>
          <w:rFonts w:ascii="Palatino Linotype" w:eastAsia="Palatino Linotype" w:hAnsi="Palatino Linotype" w:cs="Palatino Linotype"/>
        </w:rPr>
      </w:pPr>
    </w:p>
    <w:p w14:paraId="6056ED51" w14:textId="01DB26D4" w:rsidR="00E13C00" w:rsidRPr="00E13C00" w:rsidRDefault="00E13C00">
      <w:pPr>
        <w:spacing w:after="0" w:line="360" w:lineRule="auto"/>
        <w:ind w:right="49"/>
        <w:jc w:val="both"/>
        <w:rPr>
          <w:rFonts w:ascii="Palatino Linotype" w:eastAsia="Palatino Linotype" w:hAnsi="Palatino Linotype" w:cs="Palatino Linotype"/>
        </w:rPr>
      </w:pPr>
    </w:p>
    <w:p w14:paraId="4F6D43CB" w14:textId="77777777" w:rsidR="00E13C00" w:rsidRPr="00E13C00" w:rsidRDefault="00E13C00">
      <w:pPr>
        <w:spacing w:after="0" w:line="360" w:lineRule="auto"/>
        <w:ind w:right="49"/>
        <w:jc w:val="both"/>
        <w:rPr>
          <w:rFonts w:ascii="Palatino Linotype" w:eastAsia="Palatino Linotype" w:hAnsi="Palatino Linotype" w:cs="Palatino Linotype"/>
        </w:rPr>
      </w:pPr>
    </w:p>
    <w:sectPr w:rsidR="00E13C00" w:rsidRPr="00E13C00">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E197" w14:textId="77777777" w:rsidR="00CC3109" w:rsidRDefault="00CC3109">
      <w:pPr>
        <w:spacing w:after="0" w:line="240" w:lineRule="auto"/>
      </w:pPr>
      <w:r>
        <w:separator/>
      </w:r>
    </w:p>
  </w:endnote>
  <w:endnote w:type="continuationSeparator" w:id="0">
    <w:p w14:paraId="70A69F9D" w14:textId="77777777" w:rsidR="00CC3109" w:rsidRDefault="00CC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9408" w14:textId="77777777" w:rsidR="00E87D5A" w:rsidRDefault="00E87D5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26CD2">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26CD2">
      <w:rPr>
        <w:b/>
        <w:noProof/>
        <w:color w:val="000000"/>
        <w:sz w:val="24"/>
        <w:szCs w:val="24"/>
      </w:rPr>
      <w:t>27</w:t>
    </w:r>
    <w:r>
      <w:rPr>
        <w:b/>
        <w:color w:val="000000"/>
        <w:sz w:val="24"/>
        <w:szCs w:val="24"/>
      </w:rPr>
      <w:fldChar w:fldCharType="end"/>
    </w:r>
  </w:p>
  <w:p w14:paraId="4F7FCA13" w14:textId="77777777" w:rsidR="00E87D5A" w:rsidRDefault="00E87D5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13EB" w14:textId="77777777" w:rsidR="00E87D5A" w:rsidRDefault="00E87D5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26CD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26CD2">
      <w:rPr>
        <w:b/>
        <w:noProof/>
        <w:color w:val="000000"/>
        <w:sz w:val="24"/>
        <w:szCs w:val="24"/>
      </w:rPr>
      <w:t>27</w:t>
    </w:r>
    <w:r>
      <w:rPr>
        <w:b/>
        <w:color w:val="000000"/>
        <w:sz w:val="24"/>
        <w:szCs w:val="24"/>
      </w:rPr>
      <w:fldChar w:fldCharType="end"/>
    </w:r>
  </w:p>
  <w:p w14:paraId="06F8ED59" w14:textId="77777777" w:rsidR="00E87D5A" w:rsidRDefault="00E87D5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0989" w14:textId="77777777" w:rsidR="00CC3109" w:rsidRDefault="00CC3109">
      <w:pPr>
        <w:spacing w:after="0" w:line="240" w:lineRule="auto"/>
      </w:pPr>
      <w:r>
        <w:separator/>
      </w:r>
    </w:p>
  </w:footnote>
  <w:footnote w:type="continuationSeparator" w:id="0">
    <w:p w14:paraId="12C2D460" w14:textId="77777777" w:rsidR="00CC3109" w:rsidRDefault="00CC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B2F" w14:textId="77777777" w:rsidR="00E87D5A" w:rsidRDefault="00E87D5A">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93CD741" wp14:editId="649033CC">
          <wp:simplePos x="0" y="0"/>
          <wp:positionH relativeFrom="column">
            <wp:posOffset>-716208</wp:posOffset>
          </wp:positionH>
          <wp:positionV relativeFrom="paragraph">
            <wp:posOffset>-59055</wp:posOffset>
          </wp:positionV>
          <wp:extent cx="7809876" cy="10165823"/>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E87D5A" w14:paraId="45B8CAF7" w14:textId="77777777">
      <w:tc>
        <w:tcPr>
          <w:tcW w:w="2551" w:type="dxa"/>
          <w:vAlign w:val="center"/>
        </w:tcPr>
        <w:p w14:paraId="4DAC5288"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6E6F7AE" w14:textId="75B882C8"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04604/INFOEM/IP/RR/2024</w:t>
          </w:r>
        </w:p>
      </w:tc>
    </w:tr>
    <w:tr w:rsidR="00E87D5A" w14:paraId="289AC644" w14:textId="77777777">
      <w:trPr>
        <w:trHeight w:val="217"/>
      </w:trPr>
      <w:tc>
        <w:tcPr>
          <w:tcW w:w="2551" w:type="dxa"/>
          <w:vAlign w:val="center"/>
        </w:tcPr>
        <w:p w14:paraId="0F40CD30"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E1F7085"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6C1D921" w14:textId="73383BA5"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5B3AA59" w14:textId="7B2A2C80" w:rsidR="00E87D5A" w:rsidRDefault="00E87D5A" w:rsidP="006B6AC8">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Ejecutiva del Sistema Estatal Anticorrupción</w:t>
          </w:r>
        </w:p>
      </w:tc>
    </w:tr>
    <w:tr w:rsidR="00E87D5A" w14:paraId="4BFABFA3" w14:textId="77777777">
      <w:tc>
        <w:tcPr>
          <w:tcW w:w="2551" w:type="dxa"/>
          <w:vAlign w:val="center"/>
        </w:tcPr>
        <w:p w14:paraId="54B4DF71"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9ECC97E"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96BA63" w14:textId="77D1225C" w:rsidR="00E87D5A" w:rsidRDefault="00E87D5A" w:rsidP="00DE2EB6">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A592" w14:textId="77777777" w:rsidR="00E87D5A" w:rsidRDefault="00E87D5A">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0E98191" wp14:editId="2B254EA8">
          <wp:simplePos x="0" y="0"/>
          <wp:positionH relativeFrom="column">
            <wp:posOffset>-673735</wp:posOffset>
          </wp:positionH>
          <wp:positionV relativeFrom="paragraph">
            <wp:posOffset>-353695</wp:posOffset>
          </wp:positionV>
          <wp:extent cx="7809865" cy="101657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E87D5A" w14:paraId="09413729" w14:textId="77777777">
      <w:tc>
        <w:tcPr>
          <w:tcW w:w="2551" w:type="dxa"/>
          <w:vAlign w:val="center"/>
        </w:tcPr>
        <w:p w14:paraId="1AA6A549"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61FB3CB" w14:textId="1523C371" w:rsidR="00E87D5A" w:rsidRDefault="00E87D5A" w:rsidP="006B6AC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04604/INFOEM/IP/RR/2024</w:t>
          </w:r>
        </w:p>
      </w:tc>
    </w:tr>
    <w:tr w:rsidR="00E87D5A" w14:paraId="00A9508B" w14:textId="77777777">
      <w:tc>
        <w:tcPr>
          <w:tcW w:w="2551" w:type="dxa"/>
          <w:vAlign w:val="center"/>
        </w:tcPr>
        <w:p w14:paraId="25EDCD27" w14:textId="71BFDB7D"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2EE41FEB" w14:textId="5EC9BAFB" w:rsidR="00E87D5A" w:rsidRDefault="00F8027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XXXXXXXXX XXXX XXXXX </w:t>
          </w:r>
        </w:p>
      </w:tc>
    </w:tr>
    <w:tr w:rsidR="00E87D5A" w14:paraId="3A253BCA" w14:textId="77777777">
      <w:trPr>
        <w:trHeight w:val="152"/>
      </w:trPr>
      <w:tc>
        <w:tcPr>
          <w:tcW w:w="2551" w:type="dxa"/>
          <w:vAlign w:val="center"/>
        </w:tcPr>
        <w:p w14:paraId="24ABF77F" w14:textId="77777777" w:rsidR="00E87D5A" w:rsidRDefault="00E87D5A">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74744F2" w14:textId="77777777" w:rsidR="00E87D5A" w:rsidRDefault="00E87D5A">
          <w:pPr>
            <w:tabs>
              <w:tab w:val="center" w:pos="4419"/>
              <w:tab w:val="right" w:pos="8838"/>
            </w:tabs>
            <w:spacing w:after="0" w:line="240" w:lineRule="auto"/>
            <w:rPr>
              <w:rFonts w:ascii="Palatino Linotype" w:eastAsia="Palatino Linotype" w:hAnsi="Palatino Linotype" w:cs="Palatino Linotype"/>
              <w:b/>
              <w:color w:val="000000"/>
            </w:rPr>
          </w:pPr>
        </w:p>
        <w:p w14:paraId="24C344A2" w14:textId="445FCFC9" w:rsidR="00E87D5A" w:rsidRDefault="00E87D5A">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22CC241" w14:textId="28B1775C" w:rsidR="00E87D5A" w:rsidRDefault="00E87D5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Ejecutiva del Sistema Estatal Anticorrupción</w:t>
          </w:r>
        </w:p>
      </w:tc>
    </w:tr>
    <w:tr w:rsidR="00E87D5A" w14:paraId="0892356F" w14:textId="77777777">
      <w:tc>
        <w:tcPr>
          <w:tcW w:w="2551" w:type="dxa"/>
          <w:vAlign w:val="center"/>
        </w:tcPr>
        <w:p w14:paraId="417377BE"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5C5992E" w14:textId="77777777" w:rsidR="00E87D5A" w:rsidRDefault="00E87D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C188DE2" w14:textId="77777777" w:rsidR="00E87D5A" w:rsidRDefault="00E87D5A">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C9"/>
    <w:multiLevelType w:val="multilevel"/>
    <w:tmpl w:val="82C2A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E1E5C"/>
    <w:multiLevelType w:val="hybridMultilevel"/>
    <w:tmpl w:val="67CEB886"/>
    <w:lvl w:ilvl="0" w:tplc="B96CE62A">
      <w:start w:val="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0405C"/>
    <w:multiLevelType w:val="hybridMultilevel"/>
    <w:tmpl w:val="276CD766"/>
    <w:lvl w:ilvl="0" w:tplc="8D822420">
      <w:start w:val="1"/>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4491D"/>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943229"/>
    <w:multiLevelType w:val="multilevel"/>
    <w:tmpl w:val="3CBEBC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BA56B74"/>
    <w:multiLevelType w:val="multilevel"/>
    <w:tmpl w:val="1F4C1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C73FA3"/>
    <w:multiLevelType w:val="multilevel"/>
    <w:tmpl w:val="3154D3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00D6FA2"/>
    <w:multiLevelType w:val="hybridMultilevel"/>
    <w:tmpl w:val="C1267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65029"/>
    <w:multiLevelType w:val="hybridMultilevel"/>
    <w:tmpl w:val="62EC5E78"/>
    <w:lvl w:ilvl="0" w:tplc="6674041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41C"/>
    <w:multiLevelType w:val="hybridMultilevel"/>
    <w:tmpl w:val="672EB306"/>
    <w:lvl w:ilvl="0" w:tplc="B0E038E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E9325A5"/>
    <w:multiLevelType w:val="multilevel"/>
    <w:tmpl w:val="A6A82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B05AF"/>
    <w:multiLevelType w:val="hybridMultilevel"/>
    <w:tmpl w:val="0A7EF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3B4236"/>
    <w:multiLevelType w:val="multilevel"/>
    <w:tmpl w:val="C760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0082E"/>
    <w:multiLevelType w:val="hybridMultilevel"/>
    <w:tmpl w:val="DB608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EA71BE"/>
    <w:multiLevelType w:val="multilevel"/>
    <w:tmpl w:val="9080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4A7539"/>
    <w:multiLevelType w:val="multilevel"/>
    <w:tmpl w:val="9ED86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DC4EDD"/>
    <w:multiLevelType w:val="multilevel"/>
    <w:tmpl w:val="8492723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4317490"/>
    <w:multiLevelType w:val="hybridMultilevel"/>
    <w:tmpl w:val="C008920E"/>
    <w:lvl w:ilvl="0" w:tplc="269A6166">
      <w:start w:val="1"/>
      <w:numFmt w:val="decimal"/>
      <w:lvlText w:val="%1."/>
      <w:lvlJc w:val="left"/>
      <w:pPr>
        <w:ind w:left="433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2A4DCD"/>
    <w:multiLevelType w:val="multilevel"/>
    <w:tmpl w:val="D3144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D404ED"/>
    <w:multiLevelType w:val="multilevel"/>
    <w:tmpl w:val="2B305E90"/>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9407BA"/>
    <w:multiLevelType w:val="hybridMultilevel"/>
    <w:tmpl w:val="44F4A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B381B"/>
    <w:multiLevelType w:val="hybridMultilevel"/>
    <w:tmpl w:val="24F89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307C71"/>
    <w:multiLevelType w:val="multilevel"/>
    <w:tmpl w:val="AAE2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75062F"/>
    <w:multiLevelType w:val="hybridMultilevel"/>
    <w:tmpl w:val="F780707A"/>
    <w:lvl w:ilvl="0" w:tplc="49FCBA4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BB64737"/>
    <w:multiLevelType w:val="multilevel"/>
    <w:tmpl w:val="B038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A34616"/>
    <w:multiLevelType w:val="hybridMultilevel"/>
    <w:tmpl w:val="FA32D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C60D5B"/>
    <w:multiLevelType w:val="hybridMultilevel"/>
    <w:tmpl w:val="F1EED49C"/>
    <w:lvl w:ilvl="0" w:tplc="DD083D7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FE7AE2"/>
    <w:multiLevelType w:val="multilevel"/>
    <w:tmpl w:val="EC808BF0"/>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2B190D"/>
    <w:multiLevelType w:val="hybridMultilevel"/>
    <w:tmpl w:val="C358839A"/>
    <w:lvl w:ilvl="0" w:tplc="FFFFFFFF">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42E1795"/>
    <w:multiLevelType w:val="multilevel"/>
    <w:tmpl w:val="ECA8A6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66D958C7"/>
    <w:multiLevelType w:val="hybridMultilevel"/>
    <w:tmpl w:val="4CE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D70418"/>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764EE4"/>
    <w:multiLevelType w:val="hybridMultilevel"/>
    <w:tmpl w:val="97C875D2"/>
    <w:lvl w:ilvl="0" w:tplc="FC3086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DD78D1"/>
    <w:multiLevelType w:val="hybridMultilevel"/>
    <w:tmpl w:val="0E82F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3F4C9D"/>
    <w:multiLevelType w:val="multilevel"/>
    <w:tmpl w:val="D0BC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0"/>
  </w:num>
  <w:num w:numId="3">
    <w:abstractNumId w:val="14"/>
  </w:num>
  <w:num w:numId="4">
    <w:abstractNumId w:val="5"/>
  </w:num>
  <w:num w:numId="5">
    <w:abstractNumId w:val="16"/>
  </w:num>
  <w:num w:numId="6">
    <w:abstractNumId w:val="3"/>
  </w:num>
  <w:num w:numId="7">
    <w:abstractNumId w:val="29"/>
  </w:num>
  <w:num w:numId="8">
    <w:abstractNumId w:val="15"/>
  </w:num>
  <w:num w:numId="9">
    <w:abstractNumId w:val="24"/>
  </w:num>
  <w:num w:numId="10">
    <w:abstractNumId w:val="19"/>
  </w:num>
  <w:num w:numId="11">
    <w:abstractNumId w:val="4"/>
  </w:num>
  <w:num w:numId="12">
    <w:abstractNumId w:val="18"/>
  </w:num>
  <w:num w:numId="13">
    <w:abstractNumId w:val="28"/>
  </w:num>
  <w:num w:numId="14">
    <w:abstractNumId w:val="21"/>
  </w:num>
  <w:num w:numId="15">
    <w:abstractNumId w:val="11"/>
  </w:num>
  <w:num w:numId="16">
    <w:abstractNumId w:val="20"/>
  </w:num>
  <w:num w:numId="17">
    <w:abstractNumId w:val="34"/>
  </w:num>
  <w:num w:numId="18">
    <w:abstractNumId w:val="1"/>
  </w:num>
  <w:num w:numId="19">
    <w:abstractNumId w:val="12"/>
  </w:num>
  <w:num w:numId="20">
    <w:abstractNumId w:val="22"/>
  </w:num>
  <w:num w:numId="21">
    <w:abstractNumId w:val="10"/>
  </w:num>
  <w:num w:numId="22">
    <w:abstractNumId w:val="9"/>
  </w:num>
  <w:num w:numId="23">
    <w:abstractNumId w:val="13"/>
  </w:num>
  <w:num w:numId="24">
    <w:abstractNumId w:val="31"/>
  </w:num>
  <w:num w:numId="25">
    <w:abstractNumId w:val="8"/>
  </w:num>
  <w:num w:numId="26">
    <w:abstractNumId w:val="32"/>
  </w:num>
  <w:num w:numId="27">
    <w:abstractNumId w:val="30"/>
  </w:num>
  <w:num w:numId="28">
    <w:abstractNumId w:val="25"/>
  </w:num>
  <w:num w:numId="29">
    <w:abstractNumId w:val="7"/>
  </w:num>
  <w:num w:numId="30">
    <w:abstractNumId w:val="26"/>
  </w:num>
  <w:num w:numId="31">
    <w:abstractNumId w:val="23"/>
  </w:num>
  <w:num w:numId="32">
    <w:abstractNumId w:val="33"/>
  </w:num>
  <w:num w:numId="33">
    <w:abstractNumId w:val="2"/>
  </w:num>
  <w:num w:numId="34">
    <w:abstractNumId w:val="17"/>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90"/>
    <w:rsid w:val="00001243"/>
    <w:rsid w:val="00002725"/>
    <w:rsid w:val="00004712"/>
    <w:rsid w:val="00020C61"/>
    <w:rsid w:val="00031F61"/>
    <w:rsid w:val="000547A6"/>
    <w:rsid w:val="00055762"/>
    <w:rsid w:val="00067697"/>
    <w:rsid w:val="00077CB3"/>
    <w:rsid w:val="00094748"/>
    <w:rsid w:val="000A24F4"/>
    <w:rsid w:val="000A47B1"/>
    <w:rsid w:val="000B50DC"/>
    <w:rsid w:val="001012B6"/>
    <w:rsid w:val="00102BFF"/>
    <w:rsid w:val="00104234"/>
    <w:rsid w:val="00125C1D"/>
    <w:rsid w:val="001607AE"/>
    <w:rsid w:val="00165A49"/>
    <w:rsid w:val="001832C4"/>
    <w:rsid w:val="001865E8"/>
    <w:rsid w:val="0019520C"/>
    <w:rsid w:val="001D0D88"/>
    <w:rsid w:val="001F646E"/>
    <w:rsid w:val="002040DC"/>
    <w:rsid w:val="0020495D"/>
    <w:rsid w:val="00216601"/>
    <w:rsid w:val="00216D7A"/>
    <w:rsid w:val="00227666"/>
    <w:rsid w:val="00240A8A"/>
    <w:rsid w:val="002446E7"/>
    <w:rsid w:val="00281AD4"/>
    <w:rsid w:val="002B6D29"/>
    <w:rsid w:val="002B7861"/>
    <w:rsid w:val="002D3702"/>
    <w:rsid w:val="002D584D"/>
    <w:rsid w:val="002D7F78"/>
    <w:rsid w:val="00314308"/>
    <w:rsid w:val="00345649"/>
    <w:rsid w:val="00353D50"/>
    <w:rsid w:val="003564C3"/>
    <w:rsid w:val="00377B04"/>
    <w:rsid w:val="00381F39"/>
    <w:rsid w:val="00382A27"/>
    <w:rsid w:val="0038574D"/>
    <w:rsid w:val="003B56EB"/>
    <w:rsid w:val="003E256E"/>
    <w:rsid w:val="003F672F"/>
    <w:rsid w:val="0040521E"/>
    <w:rsid w:val="004150C7"/>
    <w:rsid w:val="004167A6"/>
    <w:rsid w:val="00423847"/>
    <w:rsid w:val="00430390"/>
    <w:rsid w:val="00432AA1"/>
    <w:rsid w:val="00433D17"/>
    <w:rsid w:val="00437AAA"/>
    <w:rsid w:val="00444C62"/>
    <w:rsid w:val="00451969"/>
    <w:rsid w:val="00473F64"/>
    <w:rsid w:val="004D7E18"/>
    <w:rsid w:val="004F2E51"/>
    <w:rsid w:val="004F646A"/>
    <w:rsid w:val="005011B2"/>
    <w:rsid w:val="00516D46"/>
    <w:rsid w:val="00517103"/>
    <w:rsid w:val="00521E8E"/>
    <w:rsid w:val="0054337B"/>
    <w:rsid w:val="00560CF1"/>
    <w:rsid w:val="005B3347"/>
    <w:rsid w:val="005B72BC"/>
    <w:rsid w:val="005C4241"/>
    <w:rsid w:val="005F77D3"/>
    <w:rsid w:val="0060576C"/>
    <w:rsid w:val="00614E8A"/>
    <w:rsid w:val="00622787"/>
    <w:rsid w:val="0063269B"/>
    <w:rsid w:val="00636EFE"/>
    <w:rsid w:val="00643A52"/>
    <w:rsid w:val="00646A87"/>
    <w:rsid w:val="00652E50"/>
    <w:rsid w:val="00680A3C"/>
    <w:rsid w:val="006B1DAB"/>
    <w:rsid w:val="006B6AC8"/>
    <w:rsid w:val="006C75D3"/>
    <w:rsid w:val="006D2E40"/>
    <w:rsid w:val="006E01D9"/>
    <w:rsid w:val="006F0015"/>
    <w:rsid w:val="006F50FD"/>
    <w:rsid w:val="00722129"/>
    <w:rsid w:val="00735507"/>
    <w:rsid w:val="0077081B"/>
    <w:rsid w:val="0077312D"/>
    <w:rsid w:val="00782EA1"/>
    <w:rsid w:val="00796300"/>
    <w:rsid w:val="007A2A9F"/>
    <w:rsid w:val="007A53AB"/>
    <w:rsid w:val="007A57F3"/>
    <w:rsid w:val="007A7870"/>
    <w:rsid w:val="007F0DE5"/>
    <w:rsid w:val="007F228C"/>
    <w:rsid w:val="007F5A88"/>
    <w:rsid w:val="007F7876"/>
    <w:rsid w:val="00820365"/>
    <w:rsid w:val="00823CC8"/>
    <w:rsid w:val="0082747F"/>
    <w:rsid w:val="00837C0D"/>
    <w:rsid w:val="0084390F"/>
    <w:rsid w:val="008636E5"/>
    <w:rsid w:val="00882FA5"/>
    <w:rsid w:val="008830D6"/>
    <w:rsid w:val="008B2262"/>
    <w:rsid w:val="008D024D"/>
    <w:rsid w:val="008F7C26"/>
    <w:rsid w:val="009022BF"/>
    <w:rsid w:val="009043C5"/>
    <w:rsid w:val="00905442"/>
    <w:rsid w:val="0091389A"/>
    <w:rsid w:val="00927060"/>
    <w:rsid w:val="0093254E"/>
    <w:rsid w:val="00936358"/>
    <w:rsid w:val="00956333"/>
    <w:rsid w:val="009613F3"/>
    <w:rsid w:val="00963702"/>
    <w:rsid w:val="009A08BA"/>
    <w:rsid w:val="009A4919"/>
    <w:rsid w:val="009A5B6C"/>
    <w:rsid w:val="009B0747"/>
    <w:rsid w:val="009B07C1"/>
    <w:rsid w:val="009B38F2"/>
    <w:rsid w:val="009C43AD"/>
    <w:rsid w:val="009F3E01"/>
    <w:rsid w:val="009F5C9E"/>
    <w:rsid w:val="00A55FBC"/>
    <w:rsid w:val="00A576C8"/>
    <w:rsid w:val="00A954D8"/>
    <w:rsid w:val="00AB2A18"/>
    <w:rsid w:val="00AB4073"/>
    <w:rsid w:val="00AB46CC"/>
    <w:rsid w:val="00AB78F1"/>
    <w:rsid w:val="00AC33C1"/>
    <w:rsid w:val="00AE253D"/>
    <w:rsid w:val="00B21504"/>
    <w:rsid w:val="00B632F0"/>
    <w:rsid w:val="00B723F4"/>
    <w:rsid w:val="00BA58B6"/>
    <w:rsid w:val="00BE1CD3"/>
    <w:rsid w:val="00C03EF6"/>
    <w:rsid w:val="00C11B37"/>
    <w:rsid w:val="00C22FC9"/>
    <w:rsid w:val="00C371BB"/>
    <w:rsid w:val="00C40FE1"/>
    <w:rsid w:val="00C615D1"/>
    <w:rsid w:val="00C94B9F"/>
    <w:rsid w:val="00C96AFA"/>
    <w:rsid w:val="00CB49FF"/>
    <w:rsid w:val="00CC3109"/>
    <w:rsid w:val="00CE312A"/>
    <w:rsid w:val="00CE66BC"/>
    <w:rsid w:val="00CF0C66"/>
    <w:rsid w:val="00D01B01"/>
    <w:rsid w:val="00D039F4"/>
    <w:rsid w:val="00D131F1"/>
    <w:rsid w:val="00D22C7F"/>
    <w:rsid w:val="00D3133F"/>
    <w:rsid w:val="00D4468F"/>
    <w:rsid w:val="00D51BA4"/>
    <w:rsid w:val="00D6128E"/>
    <w:rsid w:val="00D63409"/>
    <w:rsid w:val="00D81A6C"/>
    <w:rsid w:val="00D91896"/>
    <w:rsid w:val="00D95F2F"/>
    <w:rsid w:val="00D969B0"/>
    <w:rsid w:val="00DA4E76"/>
    <w:rsid w:val="00DB669F"/>
    <w:rsid w:val="00DC36BC"/>
    <w:rsid w:val="00DC393E"/>
    <w:rsid w:val="00DD6CCC"/>
    <w:rsid w:val="00DD7FD0"/>
    <w:rsid w:val="00DE2EB6"/>
    <w:rsid w:val="00DF3AB4"/>
    <w:rsid w:val="00E13C00"/>
    <w:rsid w:val="00E15699"/>
    <w:rsid w:val="00E15D7F"/>
    <w:rsid w:val="00E26CD2"/>
    <w:rsid w:val="00E32C93"/>
    <w:rsid w:val="00E34467"/>
    <w:rsid w:val="00E43535"/>
    <w:rsid w:val="00E50E07"/>
    <w:rsid w:val="00E72B49"/>
    <w:rsid w:val="00E75862"/>
    <w:rsid w:val="00E87D5A"/>
    <w:rsid w:val="00E96046"/>
    <w:rsid w:val="00EA4158"/>
    <w:rsid w:val="00EE6ACE"/>
    <w:rsid w:val="00F26F84"/>
    <w:rsid w:val="00F541FC"/>
    <w:rsid w:val="00F55065"/>
    <w:rsid w:val="00F71B69"/>
    <w:rsid w:val="00F74721"/>
    <w:rsid w:val="00F7535D"/>
    <w:rsid w:val="00F8027E"/>
    <w:rsid w:val="00F82AF7"/>
    <w:rsid w:val="00F92549"/>
    <w:rsid w:val="00FA20AB"/>
    <w:rsid w:val="00FC6968"/>
    <w:rsid w:val="00FD2118"/>
    <w:rsid w:val="00FD6E36"/>
    <w:rsid w:val="00FE4DA3"/>
    <w:rsid w:val="00FE4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AAF97"/>
  <w15:docId w15:val="{A5C7821E-9BAC-42D6-BB5A-93E9A2D0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27">
      <w:bodyDiv w:val="1"/>
      <w:marLeft w:val="0"/>
      <w:marRight w:val="0"/>
      <w:marTop w:val="0"/>
      <w:marBottom w:val="0"/>
      <w:divBdr>
        <w:top w:val="none" w:sz="0" w:space="0" w:color="auto"/>
        <w:left w:val="none" w:sz="0" w:space="0" w:color="auto"/>
        <w:bottom w:val="none" w:sz="0" w:space="0" w:color="auto"/>
        <w:right w:val="none" w:sz="0" w:space="0" w:color="auto"/>
      </w:divBdr>
    </w:div>
    <w:div w:id="32506921">
      <w:bodyDiv w:val="1"/>
      <w:marLeft w:val="0"/>
      <w:marRight w:val="0"/>
      <w:marTop w:val="0"/>
      <w:marBottom w:val="0"/>
      <w:divBdr>
        <w:top w:val="none" w:sz="0" w:space="0" w:color="auto"/>
        <w:left w:val="none" w:sz="0" w:space="0" w:color="auto"/>
        <w:bottom w:val="none" w:sz="0" w:space="0" w:color="auto"/>
        <w:right w:val="none" w:sz="0" w:space="0" w:color="auto"/>
      </w:divBdr>
    </w:div>
    <w:div w:id="73362548">
      <w:bodyDiv w:val="1"/>
      <w:marLeft w:val="0"/>
      <w:marRight w:val="0"/>
      <w:marTop w:val="0"/>
      <w:marBottom w:val="0"/>
      <w:divBdr>
        <w:top w:val="none" w:sz="0" w:space="0" w:color="auto"/>
        <w:left w:val="none" w:sz="0" w:space="0" w:color="auto"/>
        <w:bottom w:val="none" w:sz="0" w:space="0" w:color="auto"/>
        <w:right w:val="none" w:sz="0" w:space="0" w:color="auto"/>
      </w:divBdr>
    </w:div>
    <w:div w:id="89474914">
      <w:bodyDiv w:val="1"/>
      <w:marLeft w:val="0"/>
      <w:marRight w:val="0"/>
      <w:marTop w:val="0"/>
      <w:marBottom w:val="0"/>
      <w:divBdr>
        <w:top w:val="none" w:sz="0" w:space="0" w:color="auto"/>
        <w:left w:val="none" w:sz="0" w:space="0" w:color="auto"/>
        <w:bottom w:val="none" w:sz="0" w:space="0" w:color="auto"/>
        <w:right w:val="none" w:sz="0" w:space="0" w:color="auto"/>
      </w:divBdr>
    </w:div>
    <w:div w:id="102116610">
      <w:bodyDiv w:val="1"/>
      <w:marLeft w:val="0"/>
      <w:marRight w:val="0"/>
      <w:marTop w:val="0"/>
      <w:marBottom w:val="0"/>
      <w:divBdr>
        <w:top w:val="none" w:sz="0" w:space="0" w:color="auto"/>
        <w:left w:val="none" w:sz="0" w:space="0" w:color="auto"/>
        <w:bottom w:val="none" w:sz="0" w:space="0" w:color="auto"/>
        <w:right w:val="none" w:sz="0" w:space="0" w:color="auto"/>
      </w:divBdr>
    </w:div>
    <w:div w:id="190997138">
      <w:bodyDiv w:val="1"/>
      <w:marLeft w:val="0"/>
      <w:marRight w:val="0"/>
      <w:marTop w:val="0"/>
      <w:marBottom w:val="0"/>
      <w:divBdr>
        <w:top w:val="none" w:sz="0" w:space="0" w:color="auto"/>
        <w:left w:val="none" w:sz="0" w:space="0" w:color="auto"/>
        <w:bottom w:val="none" w:sz="0" w:space="0" w:color="auto"/>
        <w:right w:val="none" w:sz="0" w:space="0" w:color="auto"/>
      </w:divBdr>
    </w:div>
    <w:div w:id="202793489">
      <w:bodyDiv w:val="1"/>
      <w:marLeft w:val="0"/>
      <w:marRight w:val="0"/>
      <w:marTop w:val="0"/>
      <w:marBottom w:val="0"/>
      <w:divBdr>
        <w:top w:val="none" w:sz="0" w:space="0" w:color="auto"/>
        <w:left w:val="none" w:sz="0" w:space="0" w:color="auto"/>
        <w:bottom w:val="none" w:sz="0" w:space="0" w:color="auto"/>
        <w:right w:val="none" w:sz="0" w:space="0" w:color="auto"/>
      </w:divBdr>
    </w:div>
    <w:div w:id="231935453">
      <w:bodyDiv w:val="1"/>
      <w:marLeft w:val="0"/>
      <w:marRight w:val="0"/>
      <w:marTop w:val="0"/>
      <w:marBottom w:val="0"/>
      <w:divBdr>
        <w:top w:val="none" w:sz="0" w:space="0" w:color="auto"/>
        <w:left w:val="none" w:sz="0" w:space="0" w:color="auto"/>
        <w:bottom w:val="none" w:sz="0" w:space="0" w:color="auto"/>
        <w:right w:val="none" w:sz="0" w:space="0" w:color="auto"/>
      </w:divBdr>
    </w:div>
    <w:div w:id="275716316">
      <w:bodyDiv w:val="1"/>
      <w:marLeft w:val="0"/>
      <w:marRight w:val="0"/>
      <w:marTop w:val="0"/>
      <w:marBottom w:val="0"/>
      <w:divBdr>
        <w:top w:val="none" w:sz="0" w:space="0" w:color="auto"/>
        <w:left w:val="none" w:sz="0" w:space="0" w:color="auto"/>
        <w:bottom w:val="none" w:sz="0" w:space="0" w:color="auto"/>
        <w:right w:val="none" w:sz="0" w:space="0" w:color="auto"/>
      </w:divBdr>
    </w:div>
    <w:div w:id="308555599">
      <w:bodyDiv w:val="1"/>
      <w:marLeft w:val="0"/>
      <w:marRight w:val="0"/>
      <w:marTop w:val="0"/>
      <w:marBottom w:val="0"/>
      <w:divBdr>
        <w:top w:val="none" w:sz="0" w:space="0" w:color="auto"/>
        <w:left w:val="none" w:sz="0" w:space="0" w:color="auto"/>
        <w:bottom w:val="none" w:sz="0" w:space="0" w:color="auto"/>
        <w:right w:val="none" w:sz="0" w:space="0" w:color="auto"/>
      </w:divBdr>
    </w:div>
    <w:div w:id="315497408">
      <w:bodyDiv w:val="1"/>
      <w:marLeft w:val="0"/>
      <w:marRight w:val="0"/>
      <w:marTop w:val="0"/>
      <w:marBottom w:val="0"/>
      <w:divBdr>
        <w:top w:val="none" w:sz="0" w:space="0" w:color="auto"/>
        <w:left w:val="none" w:sz="0" w:space="0" w:color="auto"/>
        <w:bottom w:val="none" w:sz="0" w:space="0" w:color="auto"/>
        <w:right w:val="none" w:sz="0" w:space="0" w:color="auto"/>
      </w:divBdr>
    </w:div>
    <w:div w:id="398670622">
      <w:bodyDiv w:val="1"/>
      <w:marLeft w:val="0"/>
      <w:marRight w:val="0"/>
      <w:marTop w:val="0"/>
      <w:marBottom w:val="0"/>
      <w:divBdr>
        <w:top w:val="none" w:sz="0" w:space="0" w:color="auto"/>
        <w:left w:val="none" w:sz="0" w:space="0" w:color="auto"/>
        <w:bottom w:val="none" w:sz="0" w:space="0" w:color="auto"/>
        <w:right w:val="none" w:sz="0" w:space="0" w:color="auto"/>
      </w:divBdr>
    </w:div>
    <w:div w:id="418644759">
      <w:bodyDiv w:val="1"/>
      <w:marLeft w:val="0"/>
      <w:marRight w:val="0"/>
      <w:marTop w:val="0"/>
      <w:marBottom w:val="0"/>
      <w:divBdr>
        <w:top w:val="none" w:sz="0" w:space="0" w:color="auto"/>
        <w:left w:val="none" w:sz="0" w:space="0" w:color="auto"/>
        <w:bottom w:val="none" w:sz="0" w:space="0" w:color="auto"/>
        <w:right w:val="none" w:sz="0" w:space="0" w:color="auto"/>
      </w:divBdr>
    </w:div>
    <w:div w:id="475416092">
      <w:bodyDiv w:val="1"/>
      <w:marLeft w:val="0"/>
      <w:marRight w:val="0"/>
      <w:marTop w:val="0"/>
      <w:marBottom w:val="0"/>
      <w:divBdr>
        <w:top w:val="none" w:sz="0" w:space="0" w:color="auto"/>
        <w:left w:val="none" w:sz="0" w:space="0" w:color="auto"/>
        <w:bottom w:val="none" w:sz="0" w:space="0" w:color="auto"/>
        <w:right w:val="none" w:sz="0" w:space="0" w:color="auto"/>
      </w:divBdr>
    </w:div>
    <w:div w:id="494607811">
      <w:bodyDiv w:val="1"/>
      <w:marLeft w:val="0"/>
      <w:marRight w:val="0"/>
      <w:marTop w:val="0"/>
      <w:marBottom w:val="0"/>
      <w:divBdr>
        <w:top w:val="none" w:sz="0" w:space="0" w:color="auto"/>
        <w:left w:val="none" w:sz="0" w:space="0" w:color="auto"/>
        <w:bottom w:val="none" w:sz="0" w:space="0" w:color="auto"/>
        <w:right w:val="none" w:sz="0" w:space="0" w:color="auto"/>
      </w:divBdr>
    </w:div>
    <w:div w:id="530069309">
      <w:bodyDiv w:val="1"/>
      <w:marLeft w:val="0"/>
      <w:marRight w:val="0"/>
      <w:marTop w:val="0"/>
      <w:marBottom w:val="0"/>
      <w:divBdr>
        <w:top w:val="none" w:sz="0" w:space="0" w:color="auto"/>
        <w:left w:val="none" w:sz="0" w:space="0" w:color="auto"/>
        <w:bottom w:val="none" w:sz="0" w:space="0" w:color="auto"/>
        <w:right w:val="none" w:sz="0" w:space="0" w:color="auto"/>
      </w:divBdr>
    </w:div>
    <w:div w:id="565803852">
      <w:bodyDiv w:val="1"/>
      <w:marLeft w:val="0"/>
      <w:marRight w:val="0"/>
      <w:marTop w:val="0"/>
      <w:marBottom w:val="0"/>
      <w:divBdr>
        <w:top w:val="none" w:sz="0" w:space="0" w:color="auto"/>
        <w:left w:val="none" w:sz="0" w:space="0" w:color="auto"/>
        <w:bottom w:val="none" w:sz="0" w:space="0" w:color="auto"/>
        <w:right w:val="none" w:sz="0" w:space="0" w:color="auto"/>
      </w:divBdr>
    </w:div>
    <w:div w:id="581066030">
      <w:bodyDiv w:val="1"/>
      <w:marLeft w:val="0"/>
      <w:marRight w:val="0"/>
      <w:marTop w:val="0"/>
      <w:marBottom w:val="0"/>
      <w:divBdr>
        <w:top w:val="none" w:sz="0" w:space="0" w:color="auto"/>
        <w:left w:val="none" w:sz="0" w:space="0" w:color="auto"/>
        <w:bottom w:val="none" w:sz="0" w:space="0" w:color="auto"/>
        <w:right w:val="none" w:sz="0" w:space="0" w:color="auto"/>
      </w:divBdr>
    </w:div>
    <w:div w:id="641353672">
      <w:bodyDiv w:val="1"/>
      <w:marLeft w:val="0"/>
      <w:marRight w:val="0"/>
      <w:marTop w:val="0"/>
      <w:marBottom w:val="0"/>
      <w:divBdr>
        <w:top w:val="none" w:sz="0" w:space="0" w:color="auto"/>
        <w:left w:val="none" w:sz="0" w:space="0" w:color="auto"/>
        <w:bottom w:val="none" w:sz="0" w:space="0" w:color="auto"/>
        <w:right w:val="none" w:sz="0" w:space="0" w:color="auto"/>
      </w:divBdr>
    </w:div>
    <w:div w:id="658660343">
      <w:bodyDiv w:val="1"/>
      <w:marLeft w:val="0"/>
      <w:marRight w:val="0"/>
      <w:marTop w:val="0"/>
      <w:marBottom w:val="0"/>
      <w:divBdr>
        <w:top w:val="none" w:sz="0" w:space="0" w:color="auto"/>
        <w:left w:val="none" w:sz="0" w:space="0" w:color="auto"/>
        <w:bottom w:val="none" w:sz="0" w:space="0" w:color="auto"/>
        <w:right w:val="none" w:sz="0" w:space="0" w:color="auto"/>
      </w:divBdr>
    </w:div>
    <w:div w:id="732853177">
      <w:bodyDiv w:val="1"/>
      <w:marLeft w:val="0"/>
      <w:marRight w:val="0"/>
      <w:marTop w:val="0"/>
      <w:marBottom w:val="0"/>
      <w:divBdr>
        <w:top w:val="none" w:sz="0" w:space="0" w:color="auto"/>
        <w:left w:val="none" w:sz="0" w:space="0" w:color="auto"/>
        <w:bottom w:val="none" w:sz="0" w:space="0" w:color="auto"/>
        <w:right w:val="none" w:sz="0" w:space="0" w:color="auto"/>
      </w:divBdr>
    </w:div>
    <w:div w:id="773789692">
      <w:bodyDiv w:val="1"/>
      <w:marLeft w:val="0"/>
      <w:marRight w:val="0"/>
      <w:marTop w:val="0"/>
      <w:marBottom w:val="0"/>
      <w:divBdr>
        <w:top w:val="none" w:sz="0" w:space="0" w:color="auto"/>
        <w:left w:val="none" w:sz="0" w:space="0" w:color="auto"/>
        <w:bottom w:val="none" w:sz="0" w:space="0" w:color="auto"/>
        <w:right w:val="none" w:sz="0" w:space="0" w:color="auto"/>
      </w:divBdr>
    </w:div>
    <w:div w:id="808014158">
      <w:bodyDiv w:val="1"/>
      <w:marLeft w:val="0"/>
      <w:marRight w:val="0"/>
      <w:marTop w:val="0"/>
      <w:marBottom w:val="0"/>
      <w:divBdr>
        <w:top w:val="none" w:sz="0" w:space="0" w:color="auto"/>
        <w:left w:val="none" w:sz="0" w:space="0" w:color="auto"/>
        <w:bottom w:val="none" w:sz="0" w:space="0" w:color="auto"/>
        <w:right w:val="none" w:sz="0" w:space="0" w:color="auto"/>
      </w:divBdr>
    </w:div>
    <w:div w:id="850148795">
      <w:bodyDiv w:val="1"/>
      <w:marLeft w:val="0"/>
      <w:marRight w:val="0"/>
      <w:marTop w:val="0"/>
      <w:marBottom w:val="0"/>
      <w:divBdr>
        <w:top w:val="none" w:sz="0" w:space="0" w:color="auto"/>
        <w:left w:val="none" w:sz="0" w:space="0" w:color="auto"/>
        <w:bottom w:val="none" w:sz="0" w:space="0" w:color="auto"/>
        <w:right w:val="none" w:sz="0" w:space="0" w:color="auto"/>
      </w:divBdr>
    </w:div>
    <w:div w:id="884952556">
      <w:bodyDiv w:val="1"/>
      <w:marLeft w:val="0"/>
      <w:marRight w:val="0"/>
      <w:marTop w:val="0"/>
      <w:marBottom w:val="0"/>
      <w:divBdr>
        <w:top w:val="none" w:sz="0" w:space="0" w:color="auto"/>
        <w:left w:val="none" w:sz="0" w:space="0" w:color="auto"/>
        <w:bottom w:val="none" w:sz="0" w:space="0" w:color="auto"/>
        <w:right w:val="none" w:sz="0" w:space="0" w:color="auto"/>
      </w:divBdr>
    </w:div>
    <w:div w:id="912201997">
      <w:bodyDiv w:val="1"/>
      <w:marLeft w:val="0"/>
      <w:marRight w:val="0"/>
      <w:marTop w:val="0"/>
      <w:marBottom w:val="0"/>
      <w:divBdr>
        <w:top w:val="none" w:sz="0" w:space="0" w:color="auto"/>
        <w:left w:val="none" w:sz="0" w:space="0" w:color="auto"/>
        <w:bottom w:val="none" w:sz="0" w:space="0" w:color="auto"/>
        <w:right w:val="none" w:sz="0" w:space="0" w:color="auto"/>
      </w:divBdr>
    </w:div>
    <w:div w:id="942105081">
      <w:bodyDiv w:val="1"/>
      <w:marLeft w:val="0"/>
      <w:marRight w:val="0"/>
      <w:marTop w:val="0"/>
      <w:marBottom w:val="0"/>
      <w:divBdr>
        <w:top w:val="none" w:sz="0" w:space="0" w:color="auto"/>
        <w:left w:val="none" w:sz="0" w:space="0" w:color="auto"/>
        <w:bottom w:val="none" w:sz="0" w:space="0" w:color="auto"/>
        <w:right w:val="none" w:sz="0" w:space="0" w:color="auto"/>
      </w:divBdr>
    </w:div>
    <w:div w:id="985163393">
      <w:bodyDiv w:val="1"/>
      <w:marLeft w:val="0"/>
      <w:marRight w:val="0"/>
      <w:marTop w:val="0"/>
      <w:marBottom w:val="0"/>
      <w:divBdr>
        <w:top w:val="none" w:sz="0" w:space="0" w:color="auto"/>
        <w:left w:val="none" w:sz="0" w:space="0" w:color="auto"/>
        <w:bottom w:val="none" w:sz="0" w:space="0" w:color="auto"/>
        <w:right w:val="none" w:sz="0" w:space="0" w:color="auto"/>
      </w:divBdr>
    </w:div>
    <w:div w:id="1018459237">
      <w:bodyDiv w:val="1"/>
      <w:marLeft w:val="0"/>
      <w:marRight w:val="0"/>
      <w:marTop w:val="0"/>
      <w:marBottom w:val="0"/>
      <w:divBdr>
        <w:top w:val="none" w:sz="0" w:space="0" w:color="auto"/>
        <w:left w:val="none" w:sz="0" w:space="0" w:color="auto"/>
        <w:bottom w:val="none" w:sz="0" w:space="0" w:color="auto"/>
        <w:right w:val="none" w:sz="0" w:space="0" w:color="auto"/>
      </w:divBdr>
    </w:div>
    <w:div w:id="1043745728">
      <w:bodyDiv w:val="1"/>
      <w:marLeft w:val="0"/>
      <w:marRight w:val="0"/>
      <w:marTop w:val="0"/>
      <w:marBottom w:val="0"/>
      <w:divBdr>
        <w:top w:val="none" w:sz="0" w:space="0" w:color="auto"/>
        <w:left w:val="none" w:sz="0" w:space="0" w:color="auto"/>
        <w:bottom w:val="none" w:sz="0" w:space="0" w:color="auto"/>
        <w:right w:val="none" w:sz="0" w:space="0" w:color="auto"/>
      </w:divBdr>
    </w:div>
    <w:div w:id="1051342220">
      <w:bodyDiv w:val="1"/>
      <w:marLeft w:val="0"/>
      <w:marRight w:val="0"/>
      <w:marTop w:val="0"/>
      <w:marBottom w:val="0"/>
      <w:divBdr>
        <w:top w:val="none" w:sz="0" w:space="0" w:color="auto"/>
        <w:left w:val="none" w:sz="0" w:space="0" w:color="auto"/>
        <w:bottom w:val="none" w:sz="0" w:space="0" w:color="auto"/>
        <w:right w:val="none" w:sz="0" w:space="0" w:color="auto"/>
      </w:divBdr>
    </w:div>
    <w:div w:id="1146820660">
      <w:bodyDiv w:val="1"/>
      <w:marLeft w:val="0"/>
      <w:marRight w:val="0"/>
      <w:marTop w:val="0"/>
      <w:marBottom w:val="0"/>
      <w:divBdr>
        <w:top w:val="none" w:sz="0" w:space="0" w:color="auto"/>
        <w:left w:val="none" w:sz="0" w:space="0" w:color="auto"/>
        <w:bottom w:val="none" w:sz="0" w:space="0" w:color="auto"/>
        <w:right w:val="none" w:sz="0" w:space="0" w:color="auto"/>
      </w:divBdr>
    </w:div>
    <w:div w:id="1147012833">
      <w:bodyDiv w:val="1"/>
      <w:marLeft w:val="0"/>
      <w:marRight w:val="0"/>
      <w:marTop w:val="0"/>
      <w:marBottom w:val="0"/>
      <w:divBdr>
        <w:top w:val="none" w:sz="0" w:space="0" w:color="auto"/>
        <w:left w:val="none" w:sz="0" w:space="0" w:color="auto"/>
        <w:bottom w:val="none" w:sz="0" w:space="0" w:color="auto"/>
        <w:right w:val="none" w:sz="0" w:space="0" w:color="auto"/>
      </w:divBdr>
    </w:div>
    <w:div w:id="1176967728">
      <w:bodyDiv w:val="1"/>
      <w:marLeft w:val="0"/>
      <w:marRight w:val="0"/>
      <w:marTop w:val="0"/>
      <w:marBottom w:val="0"/>
      <w:divBdr>
        <w:top w:val="none" w:sz="0" w:space="0" w:color="auto"/>
        <w:left w:val="none" w:sz="0" w:space="0" w:color="auto"/>
        <w:bottom w:val="none" w:sz="0" w:space="0" w:color="auto"/>
        <w:right w:val="none" w:sz="0" w:space="0" w:color="auto"/>
      </w:divBdr>
    </w:div>
    <w:div w:id="1272056823">
      <w:bodyDiv w:val="1"/>
      <w:marLeft w:val="0"/>
      <w:marRight w:val="0"/>
      <w:marTop w:val="0"/>
      <w:marBottom w:val="0"/>
      <w:divBdr>
        <w:top w:val="none" w:sz="0" w:space="0" w:color="auto"/>
        <w:left w:val="none" w:sz="0" w:space="0" w:color="auto"/>
        <w:bottom w:val="none" w:sz="0" w:space="0" w:color="auto"/>
        <w:right w:val="none" w:sz="0" w:space="0" w:color="auto"/>
      </w:divBdr>
    </w:div>
    <w:div w:id="1296988506">
      <w:bodyDiv w:val="1"/>
      <w:marLeft w:val="0"/>
      <w:marRight w:val="0"/>
      <w:marTop w:val="0"/>
      <w:marBottom w:val="0"/>
      <w:divBdr>
        <w:top w:val="none" w:sz="0" w:space="0" w:color="auto"/>
        <w:left w:val="none" w:sz="0" w:space="0" w:color="auto"/>
        <w:bottom w:val="none" w:sz="0" w:space="0" w:color="auto"/>
        <w:right w:val="none" w:sz="0" w:space="0" w:color="auto"/>
      </w:divBdr>
    </w:div>
    <w:div w:id="1379352454">
      <w:bodyDiv w:val="1"/>
      <w:marLeft w:val="0"/>
      <w:marRight w:val="0"/>
      <w:marTop w:val="0"/>
      <w:marBottom w:val="0"/>
      <w:divBdr>
        <w:top w:val="none" w:sz="0" w:space="0" w:color="auto"/>
        <w:left w:val="none" w:sz="0" w:space="0" w:color="auto"/>
        <w:bottom w:val="none" w:sz="0" w:space="0" w:color="auto"/>
        <w:right w:val="none" w:sz="0" w:space="0" w:color="auto"/>
      </w:divBdr>
    </w:div>
    <w:div w:id="1422024115">
      <w:bodyDiv w:val="1"/>
      <w:marLeft w:val="0"/>
      <w:marRight w:val="0"/>
      <w:marTop w:val="0"/>
      <w:marBottom w:val="0"/>
      <w:divBdr>
        <w:top w:val="none" w:sz="0" w:space="0" w:color="auto"/>
        <w:left w:val="none" w:sz="0" w:space="0" w:color="auto"/>
        <w:bottom w:val="none" w:sz="0" w:space="0" w:color="auto"/>
        <w:right w:val="none" w:sz="0" w:space="0" w:color="auto"/>
      </w:divBdr>
    </w:div>
    <w:div w:id="1425300644">
      <w:bodyDiv w:val="1"/>
      <w:marLeft w:val="0"/>
      <w:marRight w:val="0"/>
      <w:marTop w:val="0"/>
      <w:marBottom w:val="0"/>
      <w:divBdr>
        <w:top w:val="none" w:sz="0" w:space="0" w:color="auto"/>
        <w:left w:val="none" w:sz="0" w:space="0" w:color="auto"/>
        <w:bottom w:val="none" w:sz="0" w:space="0" w:color="auto"/>
        <w:right w:val="none" w:sz="0" w:space="0" w:color="auto"/>
      </w:divBdr>
    </w:div>
    <w:div w:id="1495532844">
      <w:bodyDiv w:val="1"/>
      <w:marLeft w:val="0"/>
      <w:marRight w:val="0"/>
      <w:marTop w:val="0"/>
      <w:marBottom w:val="0"/>
      <w:divBdr>
        <w:top w:val="none" w:sz="0" w:space="0" w:color="auto"/>
        <w:left w:val="none" w:sz="0" w:space="0" w:color="auto"/>
        <w:bottom w:val="none" w:sz="0" w:space="0" w:color="auto"/>
        <w:right w:val="none" w:sz="0" w:space="0" w:color="auto"/>
      </w:divBdr>
    </w:div>
    <w:div w:id="1533305219">
      <w:bodyDiv w:val="1"/>
      <w:marLeft w:val="0"/>
      <w:marRight w:val="0"/>
      <w:marTop w:val="0"/>
      <w:marBottom w:val="0"/>
      <w:divBdr>
        <w:top w:val="none" w:sz="0" w:space="0" w:color="auto"/>
        <w:left w:val="none" w:sz="0" w:space="0" w:color="auto"/>
        <w:bottom w:val="none" w:sz="0" w:space="0" w:color="auto"/>
        <w:right w:val="none" w:sz="0" w:space="0" w:color="auto"/>
      </w:divBdr>
    </w:div>
    <w:div w:id="1572350171">
      <w:bodyDiv w:val="1"/>
      <w:marLeft w:val="0"/>
      <w:marRight w:val="0"/>
      <w:marTop w:val="0"/>
      <w:marBottom w:val="0"/>
      <w:divBdr>
        <w:top w:val="none" w:sz="0" w:space="0" w:color="auto"/>
        <w:left w:val="none" w:sz="0" w:space="0" w:color="auto"/>
        <w:bottom w:val="none" w:sz="0" w:space="0" w:color="auto"/>
        <w:right w:val="none" w:sz="0" w:space="0" w:color="auto"/>
      </w:divBdr>
    </w:div>
    <w:div w:id="1589582690">
      <w:bodyDiv w:val="1"/>
      <w:marLeft w:val="0"/>
      <w:marRight w:val="0"/>
      <w:marTop w:val="0"/>
      <w:marBottom w:val="0"/>
      <w:divBdr>
        <w:top w:val="none" w:sz="0" w:space="0" w:color="auto"/>
        <w:left w:val="none" w:sz="0" w:space="0" w:color="auto"/>
        <w:bottom w:val="none" w:sz="0" w:space="0" w:color="auto"/>
        <w:right w:val="none" w:sz="0" w:space="0" w:color="auto"/>
      </w:divBdr>
    </w:div>
    <w:div w:id="1600337129">
      <w:bodyDiv w:val="1"/>
      <w:marLeft w:val="0"/>
      <w:marRight w:val="0"/>
      <w:marTop w:val="0"/>
      <w:marBottom w:val="0"/>
      <w:divBdr>
        <w:top w:val="none" w:sz="0" w:space="0" w:color="auto"/>
        <w:left w:val="none" w:sz="0" w:space="0" w:color="auto"/>
        <w:bottom w:val="none" w:sz="0" w:space="0" w:color="auto"/>
        <w:right w:val="none" w:sz="0" w:space="0" w:color="auto"/>
      </w:divBdr>
    </w:div>
    <w:div w:id="1639992343">
      <w:bodyDiv w:val="1"/>
      <w:marLeft w:val="0"/>
      <w:marRight w:val="0"/>
      <w:marTop w:val="0"/>
      <w:marBottom w:val="0"/>
      <w:divBdr>
        <w:top w:val="none" w:sz="0" w:space="0" w:color="auto"/>
        <w:left w:val="none" w:sz="0" w:space="0" w:color="auto"/>
        <w:bottom w:val="none" w:sz="0" w:space="0" w:color="auto"/>
        <w:right w:val="none" w:sz="0" w:space="0" w:color="auto"/>
      </w:divBdr>
    </w:div>
    <w:div w:id="1673607357">
      <w:bodyDiv w:val="1"/>
      <w:marLeft w:val="0"/>
      <w:marRight w:val="0"/>
      <w:marTop w:val="0"/>
      <w:marBottom w:val="0"/>
      <w:divBdr>
        <w:top w:val="none" w:sz="0" w:space="0" w:color="auto"/>
        <w:left w:val="none" w:sz="0" w:space="0" w:color="auto"/>
        <w:bottom w:val="none" w:sz="0" w:space="0" w:color="auto"/>
        <w:right w:val="none" w:sz="0" w:space="0" w:color="auto"/>
      </w:divBdr>
    </w:div>
    <w:div w:id="1771655865">
      <w:bodyDiv w:val="1"/>
      <w:marLeft w:val="0"/>
      <w:marRight w:val="0"/>
      <w:marTop w:val="0"/>
      <w:marBottom w:val="0"/>
      <w:divBdr>
        <w:top w:val="none" w:sz="0" w:space="0" w:color="auto"/>
        <w:left w:val="none" w:sz="0" w:space="0" w:color="auto"/>
        <w:bottom w:val="none" w:sz="0" w:space="0" w:color="auto"/>
        <w:right w:val="none" w:sz="0" w:space="0" w:color="auto"/>
      </w:divBdr>
    </w:div>
    <w:div w:id="1853716119">
      <w:bodyDiv w:val="1"/>
      <w:marLeft w:val="0"/>
      <w:marRight w:val="0"/>
      <w:marTop w:val="0"/>
      <w:marBottom w:val="0"/>
      <w:divBdr>
        <w:top w:val="none" w:sz="0" w:space="0" w:color="auto"/>
        <w:left w:val="none" w:sz="0" w:space="0" w:color="auto"/>
        <w:bottom w:val="none" w:sz="0" w:space="0" w:color="auto"/>
        <w:right w:val="none" w:sz="0" w:space="0" w:color="auto"/>
      </w:divBdr>
    </w:div>
    <w:div w:id="1857117456">
      <w:bodyDiv w:val="1"/>
      <w:marLeft w:val="0"/>
      <w:marRight w:val="0"/>
      <w:marTop w:val="0"/>
      <w:marBottom w:val="0"/>
      <w:divBdr>
        <w:top w:val="none" w:sz="0" w:space="0" w:color="auto"/>
        <w:left w:val="none" w:sz="0" w:space="0" w:color="auto"/>
        <w:bottom w:val="none" w:sz="0" w:space="0" w:color="auto"/>
        <w:right w:val="none" w:sz="0" w:space="0" w:color="auto"/>
      </w:divBdr>
    </w:div>
    <w:div w:id="1888486898">
      <w:bodyDiv w:val="1"/>
      <w:marLeft w:val="0"/>
      <w:marRight w:val="0"/>
      <w:marTop w:val="0"/>
      <w:marBottom w:val="0"/>
      <w:divBdr>
        <w:top w:val="none" w:sz="0" w:space="0" w:color="auto"/>
        <w:left w:val="none" w:sz="0" w:space="0" w:color="auto"/>
        <w:bottom w:val="none" w:sz="0" w:space="0" w:color="auto"/>
        <w:right w:val="none" w:sz="0" w:space="0" w:color="auto"/>
      </w:divBdr>
    </w:div>
    <w:div w:id="1899705072">
      <w:bodyDiv w:val="1"/>
      <w:marLeft w:val="0"/>
      <w:marRight w:val="0"/>
      <w:marTop w:val="0"/>
      <w:marBottom w:val="0"/>
      <w:divBdr>
        <w:top w:val="none" w:sz="0" w:space="0" w:color="auto"/>
        <w:left w:val="none" w:sz="0" w:space="0" w:color="auto"/>
        <w:bottom w:val="none" w:sz="0" w:space="0" w:color="auto"/>
        <w:right w:val="none" w:sz="0" w:space="0" w:color="auto"/>
      </w:divBdr>
    </w:div>
    <w:div w:id="1912156069">
      <w:bodyDiv w:val="1"/>
      <w:marLeft w:val="0"/>
      <w:marRight w:val="0"/>
      <w:marTop w:val="0"/>
      <w:marBottom w:val="0"/>
      <w:divBdr>
        <w:top w:val="none" w:sz="0" w:space="0" w:color="auto"/>
        <w:left w:val="none" w:sz="0" w:space="0" w:color="auto"/>
        <w:bottom w:val="none" w:sz="0" w:space="0" w:color="auto"/>
        <w:right w:val="none" w:sz="0" w:space="0" w:color="auto"/>
      </w:divBdr>
    </w:div>
    <w:div w:id="1922063446">
      <w:bodyDiv w:val="1"/>
      <w:marLeft w:val="0"/>
      <w:marRight w:val="0"/>
      <w:marTop w:val="0"/>
      <w:marBottom w:val="0"/>
      <w:divBdr>
        <w:top w:val="none" w:sz="0" w:space="0" w:color="auto"/>
        <w:left w:val="none" w:sz="0" w:space="0" w:color="auto"/>
        <w:bottom w:val="none" w:sz="0" w:space="0" w:color="auto"/>
        <w:right w:val="none" w:sz="0" w:space="0" w:color="auto"/>
      </w:divBdr>
    </w:div>
    <w:div w:id="1949727618">
      <w:bodyDiv w:val="1"/>
      <w:marLeft w:val="0"/>
      <w:marRight w:val="0"/>
      <w:marTop w:val="0"/>
      <w:marBottom w:val="0"/>
      <w:divBdr>
        <w:top w:val="none" w:sz="0" w:space="0" w:color="auto"/>
        <w:left w:val="none" w:sz="0" w:space="0" w:color="auto"/>
        <w:bottom w:val="none" w:sz="0" w:space="0" w:color="auto"/>
        <w:right w:val="none" w:sz="0" w:space="0" w:color="auto"/>
      </w:divBdr>
    </w:div>
    <w:div w:id="2002076085">
      <w:bodyDiv w:val="1"/>
      <w:marLeft w:val="0"/>
      <w:marRight w:val="0"/>
      <w:marTop w:val="0"/>
      <w:marBottom w:val="0"/>
      <w:divBdr>
        <w:top w:val="none" w:sz="0" w:space="0" w:color="auto"/>
        <w:left w:val="none" w:sz="0" w:space="0" w:color="auto"/>
        <w:bottom w:val="none" w:sz="0" w:space="0" w:color="auto"/>
        <w:right w:val="none" w:sz="0" w:space="0" w:color="auto"/>
      </w:divBdr>
    </w:div>
    <w:div w:id="2013603588">
      <w:bodyDiv w:val="1"/>
      <w:marLeft w:val="0"/>
      <w:marRight w:val="0"/>
      <w:marTop w:val="0"/>
      <w:marBottom w:val="0"/>
      <w:divBdr>
        <w:top w:val="none" w:sz="0" w:space="0" w:color="auto"/>
        <w:left w:val="none" w:sz="0" w:space="0" w:color="auto"/>
        <w:bottom w:val="none" w:sz="0" w:space="0" w:color="auto"/>
        <w:right w:val="none" w:sz="0" w:space="0" w:color="auto"/>
      </w:divBdr>
    </w:div>
    <w:div w:id="2045785496">
      <w:bodyDiv w:val="1"/>
      <w:marLeft w:val="0"/>
      <w:marRight w:val="0"/>
      <w:marTop w:val="0"/>
      <w:marBottom w:val="0"/>
      <w:divBdr>
        <w:top w:val="none" w:sz="0" w:space="0" w:color="auto"/>
        <w:left w:val="none" w:sz="0" w:space="0" w:color="auto"/>
        <w:bottom w:val="none" w:sz="0" w:space="0" w:color="auto"/>
        <w:right w:val="none" w:sz="0" w:space="0" w:color="auto"/>
      </w:divBdr>
    </w:div>
    <w:div w:id="2082827690">
      <w:bodyDiv w:val="1"/>
      <w:marLeft w:val="0"/>
      <w:marRight w:val="0"/>
      <w:marTop w:val="0"/>
      <w:marBottom w:val="0"/>
      <w:divBdr>
        <w:top w:val="none" w:sz="0" w:space="0" w:color="auto"/>
        <w:left w:val="none" w:sz="0" w:space="0" w:color="auto"/>
        <w:bottom w:val="none" w:sz="0" w:space="0" w:color="auto"/>
        <w:right w:val="none" w:sz="0" w:space="0" w:color="auto"/>
      </w:divBdr>
    </w:div>
    <w:div w:id="2101102367">
      <w:bodyDiv w:val="1"/>
      <w:marLeft w:val="0"/>
      <w:marRight w:val="0"/>
      <w:marTop w:val="0"/>
      <w:marBottom w:val="0"/>
      <w:divBdr>
        <w:top w:val="none" w:sz="0" w:space="0" w:color="auto"/>
        <w:left w:val="none" w:sz="0" w:space="0" w:color="auto"/>
        <w:bottom w:val="none" w:sz="0" w:space="0" w:color="auto"/>
        <w:right w:val="none" w:sz="0" w:space="0" w:color="auto"/>
      </w:divBdr>
    </w:div>
    <w:div w:id="2131242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wAlHAdklBgC3JaUFcn4jzr+A==">CgMxLjAyCWguMzBqMHpsbDIIaC5namRneHMyCWguMWZvYjl0ZTgAciExV1E5X1A4RE9sdnhiVktMTzZ1WXB3TVhRTURMRlhMbXY=</go:docsCustomData>
</go:gDocsCustomXmlDataStorage>
</file>

<file path=customXml/itemProps1.xml><?xml version="1.0" encoding="utf-8"?>
<ds:datastoreItem xmlns:ds="http://schemas.openxmlformats.org/officeDocument/2006/customXml" ds:itemID="{D6D19D46-4693-4C6D-B717-FCF1326F31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6558</Words>
  <Characters>36070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2024-10-18T20:09:00Z</cp:lastPrinted>
  <dcterms:created xsi:type="dcterms:W3CDTF">2024-10-25T17:54:00Z</dcterms:created>
  <dcterms:modified xsi:type="dcterms:W3CDTF">2024-10-25T17:54:00Z</dcterms:modified>
</cp:coreProperties>
</file>