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D9A" w:rsidRDefault="00E00D9A">
      <w:pPr>
        <w:widowControl w:val="0"/>
        <w:pBdr>
          <w:top w:val="nil"/>
          <w:left w:val="nil"/>
          <w:bottom w:val="nil"/>
          <w:right w:val="nil"/>
          <w:between w:val="nil"/>
        </w:pBdr>
        <w:spacing w:line="276" w:lineRule="auto"/>
      </w:pPr>
    </w:p>
    <w:p w:rsidR="00E00D9A" w:rsidRDefault="00957322">
      <w:pPr>
        <w:tabs>
          <w:tab w:val="left" w:pos="0"/>
        </w:tabs>
        <w:spacing w:line="360" w:lineRule="auto"/>
        <w:ind w:right="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dieciséis </w:t>
      </w:r>
      <w:r w:rsidR="00B31CFB">
        <w:rPr>
          <w:rFonts w:ascii="Palatino Linotype" w:eastAsia="Palatino Linotype" w:hAnsi="Palatino Linotype" w:cs="Palatino Linotype"/>
          <w:sz w:val="22"/>
          <w:szCs w:val="22"/>
        </w:rPr>
        <w:t xml:space="preserve">(16) </w:t>
      </w:r>
      <w:r>
        <w:rPr>
          <w:rFonts w:ascii="Palatino Linotype" w:eastAsia="Palatino Linotype" w:hAnsi="Palatino Linotype" w:cs="Palatino Linotype"/>
          <w:sz w:val="22"/>
          <w:szCs w:val="22"/>
        </w:rPr>
        <w:t xml:space="preserve">de octubre de dos mil veinticuatro. </w:t>
      </w:r>
    </w:p>
    <w:p w:rsidR="00E00D9A" w:rsidRDefault="00E00D9A">
      <w:pPr>
        <w:tabs>
          <w:tab w:val="left" w:pos="0"/>
        </w:tabs>
        <w:spacing w:line="360" w:lineRule="auto"/>
        <w:ind w:right="1"/>
        <w:jc w:val="both"/>
        <w:rPr>
          <w:rFonts w:ascii="Palatino Linotype" w:eastAsia="Palatino Linotype" w:hAnsi="Palatino Linotype" w:cs="Palatino Linotype"/>
          <w:sz w:val="22"/>
          <w:szCs w:val="22"/>
        </w:rPr>
      </w:pPr>
    </w:p>
    <w:p w:rsidR="00E00D9A" w:rsidRDefault="00957322">
      <w:pPr>
        <w:tabs>
          <w:tab w:val="left" w:pos="0"/>
        </w:tabs>
        <w:spacing w:line="360" w:lineRule="auto"/>
        <w:ind w:right="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VISTO</w:t>
      </w:r>
      <w:r>
        <w:rPr>
          <w:rFonts w:ascii="Palatino Linotype" w:eastAsia="Palatino Linotype" w:hAnsi="Palatino Linotype" w:cs="Palatino Linotype"/>
          <w:sz w:val="22"/>
          <w:szCs w:val="22"/>
        </w:rPr>
        <w:t xml:space="preserve"> el expediente electrónico formado con motivo del recurso de revisión </w:t>
      </w:r>
      <w:r>
        <w:rPr>
          <w:rFonts w:ascii="Palatino Linotype" w:eastAsia="Palatino Linotype" w:hAnsi="Palatino Linotype" w:cs="Palatino Linotype"/>
          <w:b/>
          <w:sz w:val="22"/>
          <w:szCs w:val="22"/>
        </w:rPr>
        <w:t>05313/INFOEM/IP/RR/2024</w:t>
      </w:r>
      <w:r>
        <w:rPr>
          <w:rFonts w:ascii="Palatino Linotype" w:eastAsia="Palatino Linotype" w:hAnsi="Palatino Linotype" w:cs="Palatino Linotype"/>
          <w:sz w:val="22"/>
          <w:szCs w:val="22"/>
        </w:rPr>
        <w:t>,</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promovido por una persona que se hizo llamar </w:t>
      </w:r>
      <w:r w:rsidR="00CB36A5">
        <w:rPr>
          <w:rFonts w:ascii="Palatino Linotype" w:eastAsia="Palatino Linotype" w:hAnsi="Palatino Linotype" w:cs="Palatino Linotype"/>
          <w:sz w:val="22"/>
          <w:szCs w:val="22"/>
        </w:rPr>
        <w:t>XXXX XXXX XXXXX</w:t>
      </w:r>
      <w:bookmarkStart w:id="0" w:name="_GoBack"/>
      <w:bookmarkEnd w:id="0"/>
      <w:r>
        <w:rPr>
          <w:rFonts w:ascii="Palatino Linotype" w:eastAsia="Palatino Linotype" w:hAnsi="Palatino Linotype" w:cs="Palatino Linotype"/>
          <w:sz w:val="22"/>
          <w:szCs w:val="22"/>
        </w:rPr>
        <w:t xml:space="preserve">, a quien en lo sucesivo denominaremos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en contra de la respuesta del </w:t>
      </w:r>
      <w:r>
        <w:rPr>
          <w:rFonts w:ascii="Palatino Linotype" w:eastAsia="Palatino Linotype" w:hAnsi="Palatino Linotype" w:cs="Palatino Linotype"/>
          <w:b/>
          <w:sz w:val="22"/>
          <w:szCs w:val="22"/>
        </w:rPr>
        <w:t xml:space="preserve">Ayuntamiento de San Mateo Atenco, Estado de México, </w:t>
      </w:r>
      <w:r>
        <w:rPr>
          <w:rFonts w:ascii="Palatino Linotype" w:eastAsia="Palatino Linotype" w:hAnsi="Palatino Linotype" w:cs="Palatino Linotype"/>
          <w:sz w:val="22"/>
          <w:szCs w:val="22"/>
        </w:rPr>
        <w:t>en adelante el</w:t>
      </w:r>
      <w:r>
        <w:rPr>
          <w:rFonts w:ascii="Palatino Linotype" w:eastAsia="Palatino Linotype" w:hAnsi="Palatino Linotype" w:cs="Palatino Linotype"/>
          <w:b/>
          <w:sz w:val="22"/>
          <w:szCs w:val="22"/>
        </w:rPr>
        <w:t xml:space="preserve"> SUJETO OBLIGADO, </w:t>
      </w:r>
      <w:r>
        <w:rPr>
          <w:rFonts w:ascii="Palatino Linotype" w:eastAsia="Palatino Linotype" w:hAnsi="Palatino Linotype" w:cs="Palatino Linotype"/>
          <w:sz w:val="22"/>
          <w:szCs w:val="22"/>
        </w:rPr>
        <w:t>se procede a dictar la presente resolución, con base en los siguientes:</w:t>
      </w:r>
    </w:p>
    <w:p w:rsidR="00E00D9A" w:rsidRDefault="00E00D9A">
      <w:pPr>
        <w:spacing w:line="360" w:lineRule="auto"/>
        <w:ind w:right="1"/>
        <w:jc w:val="both"/>
        <w:rPr>
          <w:rFonts w:ascii="Palatino Linotype" w:eastAsia="Palatino Linotype" w:hAnsi="Palatino Linotype" w:cs="Palatino Linotype"/>
          <w:sz w:val="22"/>
          <w:szCs w:val="22"/>
        </w:rPr>
      </w:pPr>
    </w:p>
    <w:p w:rsidR="00E00D9A" w:rsidRDefault="00957322">
      <w:pPr>
        <w:keepNext/>
        <w:keepLines/>
        <w:tabs>
          <w:tab w:val="left" w:pos="0"/>
        </w:tabs>
        <w:spacing w:before="240" w:after="240" w:line="360" w:lineRule="auto"/>
        <w:ind w:right="1"/>
        <w:jc w:val="center"/>
        <w:rPr>
          <w:rFonts w:ascii="Palatino Linotype" w:eastAsia="Palatino Linotype" w:hAnsi="Palatino Linotype" w:cs="Palatino Linotype"/>
          <w:b/>
          <w:sz w:val="22"/>
          <w:szCs w:val="22"/>
        </w:rPr>
      </w:pPr>
      <w:bookmarkStart w:id="1" w:name="_heading=h.gjdgxs" w:colFirst="0" w:colLast="0"/>
      <w:bookmarkEnd w:id="1"/>
      <w:r>
        <w:rPr>
          <w:rFonts w:ascii="Palatino Linotype" w:eastAsia="Palatino Linotype" w:hAnsi="Palatino Linotype" w:cs="Palatino Linotype"/>
          <w:b/>
          <w:sz w:val="22"/>
          <w:szCs w:val="22"/>
        </w:rPr>
        <w:t>A N T E C E D E N T E S</w:t>
      </w:r>
    </w:p>
    <w:p w:rsidR="00E00D9A" w:rsidRDefault="00957322">
      <w:pPr>
        <w:numPr>
          <w:ilvl w:val="0"/>
          <w:numId w:val="3"/>
        </w:numPr>
        <w:tabs>
          <w:tab w:val="left" w:pos="0"/>
        </w:tabs>
        <w:spacing w:line="360" w:lineRule="auto"/>
        <w:ind w:left="0" w:right="1"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sz w:val="22"/>
          <w:szCs w:val="22"/>
        </w:rPr>
        <w:t>cinco de agosto</w:t>
      </w:r>
      <w:r>
        <w:rPr>
          <w:rFonts w:ascii="Palatino Linotype" w:eastAsia="Palatino Linotype" w:hAnsi="Palatino Linotype" w:cs="Palatino Linotype"/>
          <w:sz w:val="22"/>
          <w:szCs w:val="22"/>
        </w:rPr>
        <w:t xml:space="preserve"> de dos mil veinticuatro, el</w:t>
      </w:r>
      <w:r>
        <w:rPr>
          <w:rFonts w:ascii="Palatino Linotype" w:eastAsia="Palatino Linotype" w:hAnsi="Palatino Linotype" w:cs="Palatino Linotype"/>
          <w:b/>
          <w:sz w:val="22"/>
          <w:szCs w:val="22"/>
        </w:rPr>
        <w:t xml:space="preserve"> RECURRENTE </w:t>
      </w:r>
      <w:r>
        <w:rPr>
          <w:rFonts w:ascii="Palatino Linotype" w:eastAsia="Palatino Linotype" w:hAnsi="Palatino Linotype" w:cs="Palatino Linotype"/>
          <w:sz w:val="22"/>
          <w:szCs w:val="22"/>
        </w:rPr>
        <w:t>presentó</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ante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a través de la Plataforma digital Sistema de Acceso a la Información Mexiquense (SAIMEX), la solicitud de información pública registrada con el número </w:t>
      </w:r>
      <w:r>
        <w:rPr>
          <w:rFonts w:ascii="Palatino Linotype" w:eastAsia="Palatino Linotype" w:hAnsi="Palatino Linotype" w:cs="Palatino Linotype"/>
          <w:b/>
          <w:sz w:val="22"/>
          <w:szCs w:val="22"/>
        </w:rPr>
        <w:t>00135/MATEOATE/IP/2024,</w:t>
      </w:r>
      <w:r>
        <w:rPr>
          <w:rFonts w:ascii="Palatino Linotype" w:eastAsia="Palatino Linotype" w:hAnsi="Palatino Linotype" w:cs="Palatino Linotype"/>
          <w:sz w:val="22"/>
          <w:szCs w:val="22"/>
        </w:rPr>
        <w:t xml:space="preserve"> mediante la cual se solicitó:</w:t>
      </w:r>
    </w:p>
    <w:p w:rsidR="00E00D9A" w:rsidRDefault="00E00D9A">
      <w:pPr>
        <w:spacing w:line="360" w:lineRule="auto"/>
        <w:ind w:right="568"/>
        <w:jc w:val="both"/>
        <w:rPr>
          <w:rFonts w:ascii="Palatino Linotype" w:eastAsia="Palatino Linotype" w:hAnsi="Palatino Linotype" w:cs="Palatino Linotype"/>
          <w:sz w:val="22"/>
          <w:szCs w:val="22"/>
        </w:rPr>
      </w:pPr>
    </w:p>
    <w:p w:rsidR="00E00D9A" w:rsidRDefault="00957322">
      <w:pPr>
        <w:spacing w:line="360" w:lineRule="auto"/>
        <w:ind w:left="567" w:right="56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“REQUIERO LA NOMINA DE TODOS LOS TRABAJADORES DEL AYUNTAMIENTO DE 2022 a la fecha, en donde se observa el nombre, pago y puesto no mandar liga de ipomex TODA VEZ QUE ESTA DESACTUALIZADA LA INFORMACIÓN.” (Sic)</w:t>
      </w:r>
    </w:p>
    <w:p w:rsidR="00E00D9A" w:rsidRDefault="00E00D9A">
      <w:pPr>
        <w:spacing w:line="360" w:lineRule="auto"/>
        <w:ind w:left="567" w:right="568"/>
        <w:jc w:val="both"/>
        <w:rPr>
          <w:rFonts w:ascii="Palatino Linotype" w:eastAsia="Palatino Linotype" w:hAnsi="Palatino Linotype" w:cs="Palatino Linotype"/>
          <w:i/>
          <w:color w:val="000000"/>
          <w:sz w:val="22"/>
          <w:szCs w:val="22"/>
        </w:rPr>
      </w:pPr>
    </w:p>
    <w:p w:rsidR="00E00D9A" w:rsidRDefault="00957322">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 hace constar que se señaló como modalidad de entrega de la información a través del Sistema de Acceso a la Información Mexiquense </w:t>
      </w:r>
      <w:r>
        <w:rPr>
          <w:rFonts w:ascii="Palatino Linotype" w:eastAsia="Palatino Linotype" w:hAnsi="Palatino Linotype" w:cs="Palatino Linotype"/>
          <w:b/>
          <w:color w:val="000000"/>
          <w:sz w:val="22"/>
          <w:szCs w:val="22"/>
        </w:rPr>
        <w:t>(SAIMEX).</w:t>
      </w:r>
    </w:p>
    <w:p w:rsidR="00E00D9A" w:rsidRDefault="00E00D9A">
      <w:pPr>
        <w:pBdr>
          <w:top w:val="nil"/>
          <w:left w:val="nil"/>
          <w:bottom w:val="nil"/>
          <w:right w:val="nil"/>
          <w:between w:val="nil"/>
        </w:pBdr>
        <w:spacing w:line="360" w:lineRule="auto"/>
        <w:ind w:right="1"/>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El </w:t>
      </w:r>
      <w:r>
        <w:rPr>
          <w:rFonts w:ascii="Palatino Linotype" w:eastAsia="Palatino Linotype" w:hAnsi="Palatino Linotype" w:cs="Palatino Linotype"/>
          <w:b/>
          <w:color w:val="000000"/>
          <w:sz w:val="22"/>
          <w:szCs w:val="22"/>
        </w:rPr>
        <w:t>cinco de agosto</w:t>
      </w:r>
      <w:r>
        <w:rPr>
          <w:rFonts w:ascii="Palatino Linotype" w:eastAsia="Palatino Linotype" w:hAnsi="Palatino Linotype" w:cs="Palatino Linotype"/>
          <w:color w:val="000000"/>
          <w:sz w:val="22"/>
          <w:szCs w:val="22"/>
        </w:rPr>
        <w:t xml:space="preserve"> de dos mil veinticuatro,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realizó un requerimiento. </w:t>
      </w:r>
    </w:p>
    <w:p w:rsidR="00E00D9A" w:rsidRDefault="00E00D9A">
      <w:pPr>
        <w:pBdr>
          <w:top w:val="nil"/>
          <w:left w:val="nil"/>
          <w:bottom w:val="nil"/>
          <w:right w:val="nil"/>
          <w:between w:val="nil"/>
        </w:pBdr>
        <w:spacing w:line="360" w:lineRule="auto"/>
        <w:ind w:right="1"/>
        <w:jc w:val="both"/>
        <w:rPr>
          <w:rFonts w:ascii="Palatino Linotype" w:eastAsia="Palatino Linotype" w:hAnsi="Palatino Linotype" w:cs="Palatino Linotype"/>
          <w:color w:val="000000"/>
          <w:sz w:val="22"/>
          <w:szCs w:val="22"/>
        </w:rPr>
      </w:pPr>
    </w:p>
    <w:p w:rsidR="00E00D9A" w:rsidRDefault="00957322">
      <w:pPr>
        <w:numPr>
          <w:ilvl w:val="0"/>
          <w:numId w:val="3"/>
        </w:numPr>
        <w:tabs>
          <w:tab w:val="left" w:pos="0"/>
        </w:tabs>
        <w:spacing w:line="360" w:lineRule="auto"/>
        <w:ind w:left="0" w:right="1" w:firstLine="0"/>
        <w:jc w:val="both"/>
        <w:rPr>
          <w:rFonts w:ascii="Palatino Linotype" w:eastAsia="Palatino Linotype" w:hAnsi="Palatino Linotype" w:cs="Palatino Linotype"/>
          <w:b/>
          <w:sz w:val="22"/>
          <w:szCs w:val="22"/>
        </w:rPr>
      </w:pPr>
      <w:bookmarkStart w:id="2" w:name="_heading=h.30j0zll" w:colFirst="0" w:colLast="0"/>
      <w:bookmarkEnd w:id="2"/>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sz w:val="22"/>
          <w:szCs w:val="22"/>
        </w:rPr>
        <w:t>veintiséis de agosto</w:t>
      </w:r>
      <w:r>
        <w:rPr>
          <w:rFonts w:ascii="Palatino Linotype" w:eastAsia="Palatino Linotype" w:hAnsi="Palatino Linotype" w:cs="Palatino Linotype"/>
          <w:sz w:val="22"/>
          <w:szCs w:val="22"/>
        </w:rPr>
        <w:t xml:space="preserve"> de dos mil veinticuatro,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dio respuesta a la solicitud, adjuntando dos archivos electrónicos en pdf.:</w:t>
      </w:r>
    </w:p>
    <w:p w:rsidR="00E00D9A" w:rsidRDefault="00E00D9A">
      <w:pPr>
        <w:pBdr>
          <w:top w:val="nil"/>
          <w:left w:val="nil"/>
          <w:bottom w:val="nil"/>
          <w:right w:val="nil"/>
          <w:between w:val="nil"/>
        </w:pBdr>
        <w:spacing w:line="360" w:lineRule="auto"/>
        <w:ind w:left="720"/>
        <w:rPr>
          <w:rFonts w:ascii="Palatino Linotype" w:eastAsia="Palatino Linotype" w:hAnsi="Palatino Linotype" w:cs="Palatino Linotype"/>
          <w:b/>
          <w:color w:val="000000"/>
          <w:sz w:val="22"/>
          <w:szCs w:val="22"/>
        </w:rPr>
      </w:pPr>
    </w:p>
    <w:p w:rsidR="00E00D9A" w:rsidRDefault="00957322">
      <w:pPr>
        <w:numPr>
          <w:ilvl w:val="0"/>
          <w:numId w:val="6"/>
        </w:numPr>
        <w:pBdr>
          <w:top w:val="nil"/>
          <w:left w:val="nil"/>
          <w:bottom w:val="nil"/>
          <w:right w:val="nil"/>
          <w:between w:val="nil"/>
        </w:pBdr>
        <w:tabs>
          <w:tab w:val="left" w:pos="0"/>
        </w:tabs>
        <w:spacing w:line="360" w:lineRule="auto"/>
        <w:ind w:right="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Solicitud 135.pdf: </w:t>
      </w:r>
      <w:r>
        <w:rPr>
          <w:rFonts w:ascii="Palatino Linotype" w:eastAsia="Palatino Linotype" w:hAnsi="Palatino Linotype" w:cs="Palatino Linotype"/>
          <w:color w:val="000000"/>
          <w:sz w:val="22"/>
          <w:szCs w:val="22"/>
        </w:rPr>
        <w:t xml:space="preserve">Oficio número SMA/RH/427/2024, de fecha veintiséis de agosto de dos mil veinticuatro, firmado por el Jefe de Departamento de Recursos Humanos del Ayuntamiento de San Mateo Atenco, Estado de México, del cual en lo que interesa se observa: </w:t>
      </w: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RESPUESTA: </w:t>
      </w:r>
      <w:r>
        <w:rPr>
          <w:rFonts w:ascii="Palatino Linotype" w:eastAsia="Palatino Linotype" w:hAnsi="Palatino Linotype" w:cs="Palatino Linotype"/>
          <w:i/>
          <w:color w:val="000000"/>
          <w:sz w:val="22"/>
          <w:szCs w:val="22"/>
        </w:rPr>
        <w:t xml:space="preserve">En apego a lo requerido en su solicitud, me permito hacer de su conocimiento que, respecto a las nóminas de todos los trabajadores, con fundamento a lo establecido en el artículo 77 de la Ley de Transparencia y Acceso a la Información Pública del Estado de México y Municipios, la información correspondiente a las obligaciones de transparencia se actualiza por lo menos cada tres meses, por lo tanto, la información se encuentra actualizada al mes de junio, y podrá consultarla en el artículo 92 fracción VIII A del siguiente apartado; </w:t>
      </w:r>
      <w:r>
        <w:rPr>
          <w:rFonts w:ascii="Palatino Linotype" w:eastAsia="Palatino Linotype" w:hAnsi="Palatino Linotype" w:cs="Palatino Linotype"/>
          <w:b/>
          <w:i/>
          <w:color w:val="000000"/>
          <w:sz w:val="22"/>
          <w:szCs w:val="22"/>
        </w:rPr>
        <w:t xml:space="preserve">Link: </w:t>
      </w:r>
      <w:r>
        <w:rPr>
          <w:rFonts w:ascii="Palatino Linotype" w:eastAsia="Palatino Linotype" w:hAnsi="Palatino Linotype" w:cs="Palatino Linotype"/>
          <w:i/>
          <w:color w:val="000000"/>
          <w:sz w:val="22"/>
          <w:szCs w:val="22"/>
          <w:u w:val="single"/>
        </w:rPr>
        <w:t>Ipomex</w:t>
      </w:r>
      <w:r>
        <w:rPr>
          <w:rFonts w:ascii="Palatino Linotype" w:eastAsia="Palatino Linotype" w:hAnsi="Palatino Linotype" w:cs="Palatino Linotype"/>
          <w:i/>
          <w:color w:val="000000"/>
          <w:sz w:val="22"/>
          <w:szCs w:val="22"/>
        </w:rPr>
        <w:t xml:space="preserve">, Ejemplos para consulta: </w:t>
      </w:r>
      <w:r>
        <w:rPr>
          <w:rFonts w:ascii="Palatino Linotype" w:eastAsia="Palatino Linotype" w:hAnsi="Palatino Linotype" w:cs="Palatino Linotype"/>
          <w:color w:val="000000"/>
          <w:sz w:val="22"/>
          <w:szCs w:val="22"/>
        </w:rPr>
        <w:t>(obra en este apartado una captura de pantalla del ingreso a la página Ipomex)</w:t>
      </w:r>
      <w:r>
        <w:rPr>
          <w:rFonts w:ascii="Palatino Linotype" w:eastAsia="Palatino Linotype" w:hAnsi="Palatino Linotype" w:cs="Palatino Linotype"/>
          <w:i/>
          <w:color w:val="000000"/>
          <w:sz w:val="22"/>
          <w:szCs w:val="22"/>
        </w:rPr>
        <w:t>…</w:t>
      </w:r>
    </w:p>
    <w:p w:rsidR="00E00D9A" w:rsidRDefault="00957322">
      <w:pPr>
        <w:pBdr>
          <w:top w:val="nil"/>
          <w:left w:val="nil"/>
          <w:bottom w:val="nil"/>
          <w:right w:val="nil"/>
          <w:between w:val="nil"/>
        </w:pBdr>
        <w:tabs>
          <w:tab w:val="left" w:pos="0"/>
        </w:tabs>
        <w:spacing w:line="360" w:lineRule="auto"/>
        <w:ind w:left="720" w:right="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12 (…) Los sujetos obligados sólo proporcionarán la información pública que se les requiera y que obre en sus archivos y en el estado en que esta se encuentre. La obligación de proporcionar información no comprende el procesamiento de esta, ni el presentarla conforme al interés del solicitante; no estarán obligados a generarla, resumirla, efectuar cálculos o practicar investigaciones…” </w:t>
      </w:r>
      <w:r>
        <w:rPr>
          <w:rFonts w:ascii="Palatino Linotype" w:eastAsia="Palatino Linotype" w:hAnsi="Palatino Linotype" w:cs="Palatino Linotype"/>
          <w:color w:val="000000"/>
          <w:sz w:val="22"/>
          <w:szCs w:val="22"/>
        </w:rPr>
        <w:t>(Sic.)</w:t>
      </w:r>
      <w:r>
        <w:rPr>
          <w:rFonts w:ascii="Palatino Linotype" w:eastAsia="Palatino Linotype" w:hAnsi="Palatino Linotype" w:cs="Palatino Linotype"/>
          <w:i/>
          <w:color w:val="000000"/>
          <w:sz w:val="22"/>
          <w:szCs w:val="22"/>
        </w:rPr>
        <w:t xml:space="preserve"> </w:t>
      </w:r>
    </w:p>
    <w:p w:rsidR="00E00D9A" w:rsidRDefault="00E00D9A">
      <w:pPr>
        <w:pBdr>
          <w:top w:val="nil"/>
          <w:left w:val="nil"/>
          <w:bottom w:val="nil"/>
          <w:right w:val="nil"/>
          <w:between w:val="nil"/>
        </w:pBdr>
        <w:tabs>
          <w:tab w:val="left" w:pos="0"/>
        </w:tabs>
        <w:spacing w:line="360" w:lineRule="auto"/>
        <w:ind w:left="720" w:right="1"/>
        <w:jc w:val="center"/>
        <w:rPr>
          <w:rFonts w:ascii="Palatino Linotype" w:eastAsia="Palatino Linotype" w:hAnsi="Palatino Linotype" w:cs="Palatino Linotype"/>
          <w:i/>
          <w:color w:val="000000"/>
          <w:sz w:val="22"/>
          <w:szCs w:val="22"/>
        </w:rPr>
      </w:pPr>
    </w:p>
    <w:p w:rsidR="00E00D9A" w:rsidRDefault="00957322">
      <w:pPr>
        <w:numPr>
          <w:ilvl w:val="0"/>
          <w:numId w:val="6"/>
        </w:numPr>
        <w:pBdr>
          <w:top w:val="nil"/>
          <w:left w:val="nil"/>
          <w:bottom w:val="nil"/>
          <w:right w:val="nil"/>
          <w:between w:val="nil"/>
        </w:pBdr>
        <w:tabs>
          <w:tab w:val="left" w:pos="0"/>
        </w:tabs>
        <w:spacing w:line="360" w:lineRule="auto"/>
        <w:ind w:right="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00135.pdf: </w:t>
      </w:r>
      <w:r>
        <w:rPr>
          <w:rFonts w:ascii="Palatino Linotype" w:eastAsia="Palatino Linotype" w:hAnsi="Palatino Linotype" w:cs="Palatino Linotype"/>
          <w:color w:val="000000"/>
          <w:sz w:val="22"/>
          <w:szCs w:val="22"/>
        </w:rPr>
        <w:t xml:space="preserve">Oficio número SMA/UIPPET/UT/0487/2024, de fecha veintiséis de agosto de dos mil veinticuatro, firmado por la Titular de la Unidad de Transparencia del Ayuntamiento de San Mateo Atenco, Estado de México, del cual en lo que interesa se </w:t>
      </w:r>
      <w:r>
        <w:rPr>
          <w:rFonts w:ascii="Palatino Linotype" w:eastAsia="Palatino Linotype" w:hAnsi="Palatino Linotype" w:cs="Palatino Linotype"/>
          <w:color w:val="000000"/>
          <w:sz w:val="22"/>
          <w:szCs w:val="22"/>
        </w:rPr>
        <w:lastRenderedPageBreak/>
        <w:t xml:space="preserve">observa: </w:t>
      </w:r>
      <w:r>
        <w:rPr>
          <w:rFonts w:ascii="Palatino Linotype" w:eastAsia="Palatino Linotype" w:hAnsi="Palatino Linotype" w:cs="Palatino Linotype"/>
          <w:i/>
          <w:color w:val="000000"/>
          <w:sz w:val="22"/>
          <w:szCs w:val="22"/>
        </w:rPr>
        <w:t>“…En apego a lo establecido su solicitud fue analizada y turnada al área correspondiente, a continuación, remito anexa al presente, la respuesta otorgada por el área competente…”</w:t>
      </w:r>
      <w:r>
        <w:rPr>
          <w:rFonts w:ascii="Palatino Linotype" w:eastAsia="Palatino Linotype" w:hAnsi="Palatino Linotype" w:cs="Palatino Linotype"/>
          <w:color w:val="000000"/>
          <w:sz w:val="22"/>
          <w:szCs w:val="22"/>
        </w:rPr>
        <w:t xml:space="preserve"> (Sic.); al oficio de referencia se adjuntó el oficio SMA/RH/427/2024, de fecha veintiséis de agosto del año en curso, oficio descrito en el párrafo anterior siguiente.</w:t>
      </w:r>
    </w:p>
    <w:p w:rsidR="00E00D9A" w:rsidRDefault="00E00D9A">
      <w:pPr>
        <w:spacing w:line="360" w:lineRule="auto"/>
        <w:ind w:right="568"/>
        <w:jc w:val="both"/>
        <w:rPr>
          <w:rFonts w:ascii="Palatino Linotype" w:eastAsia="Palatino Linotype" w:hAnsi="Palatino Linotype" w:cs="Palatino Linotype"/>
          <w:sz w:val="22"/>
          <w:szCs w:val="22"/>
        </w:rPr>
      </w:pPr>
    </w:p>
    <w:p w:rsidR="00E00D9A" w:rsidRDefault="00957322">
      <w:pPr>
        <w:numPr>
          <w:ilvl w:val="0"/>
          <w:numId w:val="3"/>
        </w:numPr>
        <w:pBdr>
          <w:top w:val="nil"/>
          <w:left w:val="nil"/>
          <w:bottom w:val="nil"/>
          <w:right w:val="nil"/>
          <w:between w:val="nil"/>
        </w:pBdr>
        <w:tabs>
          <w:tab w:val="left" w:pos="0"/>
        </w:tabs>
        <w:spacing w:line="360" w:lineRule="auto"/>
        <w:ind w:left="0" w:right="1" w:firstLine="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 xml:space="preserve">treinta de septiembre </w:t>
      </w:r>
      <w:r>
        <w:rPr>
          <w:rFonts w:ascii="Palatino Linotype" w:eastAsia="Palatino Linotype" w:hAnsi="Palatino Linotype" w:cs="Palatino Linotype"/>
          <w:color w:val="000000"/>
          <w:sz w:val="22"/>
          <w:szCs w:val="22"/>
        </w:rPr>
        <w:t>de dos mil veinticuatro</w:t>
      </w: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color w:val="000000"/>
          <w:sz w:val="22"/>
          <w:szCs w:val="22"/>
        </w:rPr>
        <w:t xml:space="preserve"> el </w:t>
      </w:r>
      <w:r>
        <w:rPr>
          <w:rFonts w:ascii="Palatino Linotype" w:eastAsia="Palatino Linotype" w:hAnsi="Palatino Linotype" w:cs="Palatino Linotype"/>
          <w:b/>
          <w:color w:val="000000"/>
          <w:sz w:val="22"/>
          <w:szCs w:val="22"/>
        </w:rPr>
        <w:t xml:space="preserve">RECURRENTE </w:t>
      </w:r>
      <w:r>
        <w:rPr>
          <w:rFonts w:ascii="Palatino Linotype" w:eastAsia="Palatino Linotype" w:hAnsi="Palatino Linotype" w:cs="Palatino Linotype"/>
          <w:color w:val="000000"/>
          <w:sz w:val="22"/>
          <w:szCs w:val="22"/>
        </w:rPr>
        <w:t>interpuso el recurso de revisión, señalando como:</w:t>
      </w:r>
    </w:p>
    <w:p w:rsidR="00E00D9A" w:rsidRDefault="00E00D9A">
      <w:pPr>
        <w:pBdr>
          <w:top w:val="nil"/>
          <w:left w:val="nil"/>
          <w:bottom w:val="nil"/>
          <w:right w:val="nil"/>
          <w:between w:val="nil"/>
        </w:pBdr>
        <w:tabs>
          <w:tab w:val="left" w:pos="0"/>
        </w:tabs>
        <w:spacing w:line="360" w:lineRule="auto"/>
        <w:ind w:right="1"/>
        <w:jc w:val="both"/>
        <w:rPr>
          <w:rFonts w:ascii="Palatino Linotype" w:eastAsia="Palatino Linotype" w:hAnsi="Palatino Linotype" w:cs="Palatino Linotype"/>
          <w:b/>
          <w:color w:val="000000"/>
          <w:sz w:val="22"/>
          <w:szCs w:val="22"/>
        </w:rPr>
      </w:pPr>
    </w:p>
    <w:p w:rsidR="00E00D9A" w:rsidRDefault="00957322">
      <w:pPr>
        <w:spacing w:line="360" w:lineRule="auto"/>
        <w:ind w:firstLine="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sz w:val="22"/>
          <w:szCs w:val="22"/>
        </w:rPr>
        <w:t>ACTO IMPUGNADO:</w:t>
      </w:r>
      <w:r>
        <w:rPr>
          <w:rFonts w:ascii="Palatino Linotype" w:eastAsia="Palatino Linotype" w:hAnsi="Palatino Linotype" w:cs="Palatino Linotype"/>
          <w:i/>
          <w:sz w:val="22"/>
          <w:szCs w:val="22"/>
        </w:rPr>
        <w:t xml:space="preserve"> “a contestación recibida del sujeto obligado</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color w:val="000000"/>
          <w:sz w:val="22"/>
          <w:szCs w:val="22"/>
        </w:rPr>
        <w:t>(Sic)</w:t>
      </w:r>
    </w:p>
    <w:p w:rsidR="00E00D9A" w:rsidRDefault="00E00D9A">
      <w:pPr>
        <w:spacing w:line="360" w:lineRule="auto"/>
        <w:ind w:left="567" w:right="568"/>
        <w:jc w:val="both"/>
        <w:rPr>
          <w:rFonts w:ascii="Palatino Linotype" w:eastAsia="Palatino Linotype" w:hAnsi="Palatino Linotype" w:cs="Palatino Linotype"/>
          <w:sz w:val="22"/>
          <w:szCs w:val="22"/>
        </w:rPr>
      </w:pPr>
    </w:p>
    <w:p w:rsidR="00E00D9A" w:rsidRDefault="00957322">
      <w:pPr>
        <w:spacing w:line="360" w:lineRule="auto"/>
        <w:ind w:left="567" w:right="568"/>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RAZONES O MOTIVOS DE INCONFORMIDAD</w:t>
      </w:r>
      <w:r>
        <w:rPr>
          <w:rFonts w:ascii="Palatino Linotype" w:eastAsia="Palatino Linotype" w:hAnsi="Palatino Linotype" w:cs="Palatino Linotype"/>
          <w:i/>
          <w:sz w:val="22"/>
          <w:szCs w:val="22"/>
        </w:rPr>
        <w:t>: “</w:t>
      </w:r>
      <w:r>
        <w:rPr>
          <w:rFonts w:ascii="Palatino Linotype" w:eastAsia="Palatino Linotype" w:hAnsi="Palatino Linotype" w:cs="Palatino Linotype"/>
          <w:i/>
          <w:color w:val="000000"/>
          <w:sz w:val="22"/>
          <w:szCs w:val="22"/>
        </w:rPr>
        <w:t>No se me proporciona la información solicitada, reitero requiero cada una de las nominas de los servidores públicos, es decir el documento que registra el pago de los salarios de los empleados, así como las deducciones y percepciones que se les realizan. ad” (Sic)</w:t>
      </w:r>
    </w:p>
    <w:p w:rsidR="00E00D9A" w:rsidRDefault="00E00D9A">
      <w:pPr>
        <w:spacing w:line="360" w:lineRule="auto"/>
        <w:ind w:right="1"/>
        <w:jc w:val="both"/>
        <w:rPr>
          <w:rFonts w:ascii="Palatino Linotype" w:eastAsia="Palatino Linotype" w:hAnsi="Palatino Linotype" w:cs="Palatino Linotype"/>
          <w:color w:val="000000"/>
          <w:sz w:val="22"/>
          <w:szCs w:val="22"/>
        </w:rPr>
      </w:pPr>
    </w:p>
    <w:p w:rsidR="00E00D9A" w:rsidRDefault="00957322">
      <w:pPr>
        <w:numPr>
          <w:ilvl w:val="0"/>
          <w:numId w:val="3"/>
        </w:numPr>
        <w:spacing w:line="360" w:lineRule="auto"/>
        <w:ind w:left="0" w:right="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w:t>
      </w:r>
      <w:r>
        <w:rPr>
          <w:rFonts w:ascii="Palatino Linotype" w:eastAsia="Palatino Linotype" w:hAnsi="Palatino Linotype" w:cs="Palatino Linotype"/>
          <w:sz w:val="22"/>
          <w:szCs w:val="22"/>
        </w:rPr>
        <w:t xml:space="preserve">Comisionada Ponente, con fundamento en lo dispuesto por el artículo 185 fracción II de la ley de la materia, a través del acuerdo de admisión del </w:t>
      </w:r>
      <w:r>
        <w:rPr>
          <w:rFonts w:ascii="Palatino Linotype" w:eastAsia="Palatino Linotype" w:hAnsi="Palatino Linotype" w:cs="Palatino Linotype"/>
          <w:b/>
          <w:sz w:val="22"/>
          <w:szCs w:val="22"/>
        </w:rPr>
        <w:t>nueve de septiembre</w:t>
      </w:r>
      <w:r>
        <w:rPr>
          <w:rFonts w:ascii="Palatino Linotype" w:eastAsia="Palatino Linotype" w:hAnsi="Palatino Linotype" w:cs="Palatino Linotype"/>
          <w:sz w:val="22"/>
          <w:szCs w:val="22"/>
        </w:rPr>
        <w:t xml:space="preserve"> de dos mil veinticuatro, puso a disposición de las partes el  expediente electrónicos vía Sistema de Acceso a la Información Mexiquense </w:t>
      </w:r>
      <w:r>
        <w:rPr>
          <w:rFonts w:ascii="Palatino Linotype" w:eastAsia="Palatino Linotype" w:hAnsi="Palatino Linotype" w:cs="Palatino Linotype"/>
          <w:b/>
          <w:sz w:val="22"/>
          <w:szCs w:val="22"/>
        </w:rPr>
        <w:t xml:space="preserve">SAIMEX </w:t>
      </w:r>
      <w:r>
        <w:rPr>
          <w:rFonts w:ascii="Palatino Linotype" w:eastAsia="Palatino Linotype" w:hAnsi="Palatino Linotype" w:cs="Palatino Linotype"/>
          <w:sz w:val="22"/>
          <w:szCs w:val="22"/>
        </w:rPr>
        <w:t xml:space="preserve">a efecto de que en un plazo máximo de siete días manifestara lo que a su derecho conviniera, ofreciera pruebas y alegatos según correspondiera a los casos concretos, de esta forma para que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presentará el Informe Justificado procedente.</w:t>
      </w:r>
    </w:p>
    <w:p w:rsidR="00E00D9A" w:rsidRDefault="00E00D9A">
      <w:pPr>
        <w:spacing w:line="360" w:lineRule="auto"/>
        <w:ind w:right="1"/>
        <w:jc w:val="both"/>
        <w:rPr>
          <w:rFonts w:ascii="Palatino Linotype" w:eastAsia="Palatino Linotype" w:hAnsi="Palatino Linotype" w:cs="Palatino Linotype"/>
          <w:color w:val="000000"/>
          <w:sz w:val="22"/>
          <w:szCs w:val="22"/>
        </w:rPr>
      </w:pPr>
    </w:p>
    <w:p w:rsidR="00E00D9A" w:rsidRDefault="00957322">
      <w:pPr>
        <w:numPr>
          <w:ilvl w:val="0"/>
          <w:numId w:val="3"/>
        </w:numPr>
        <w:spacing w:line="360" w:lineRule="auto"/>
        <w:ind w:left="0" w:right="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lo anterior, el </w:t>
      </w:r>
      <w:r>
        <w:rPr>
          <w:rFonts w:ascii="Palatino Linotype" w:eastAsia="Palatino Linotype" w:hAnsi="Palatino Linotype" w:cs="Palatino Linotype"/>
          <w:b/>
          <w:color w:val="000000"/>
          <w:sz w:val="22"/>
          <w:szCs w:val="22"/>
        </w:rPr>
        <w:t>RECURRENTE</w:t>
      </w:r>
      <w:r>
        <w:rPr>
          <w:rFonts w:ascii="Palatino Linotype" w:eastAsia="Palatino Linotype" w:hAnsi="Palatino Linotype" w:cs="Palatino Linotype"/>
          <w:color w:val="000000"/>
          <w:sz w:val="22"/>
          <w:szCs w:val="22"/>
        </w:rPr>
        <w:t xml:space="preserve"> y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respectivamente, dejaron de realizar manifestaciones que a su derecho conviniera y asistiera.</w:t>
      </w:r>
    </w:p>
    <w:p w:rsidR="00E00D9A" w:rsidRDefault="00E00D9A">
      <w:pPr>
        <w:spacing w:line="360" w:lineRule="auto"/>
        <w:ind w:right="1"/>
        <w:jc w:val="both"/>
        <w:rPr>
          <w:rFonts w:ascii="Palatino Linotype" w:eastAsia="Palatino Linotype" w:hAnsi="Palatino Linotype" w:cs="Palatino Linotype"/>
          <w:i/>
          <w:sz w:val="22"/>
          <w:szCs w:val="22"/>
        </w:rPr>
      </w:pPr>
    </w:p>
    <w:p w:rsidR="00E00D9A" w:rsidRDefault="00957322">
      <w:pPr>
        <w:numPr>
          <w:ilvl w:val="0"/>
          <w:numId w:val="3"/>
        </w:numPr>
        <w:spacing w:line="360" w:lineRule="auto"/>
        <w:ind w:left="0" w:right="1" w:firstLine="0"/>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La Comisionada Ponente decretó el cierre de instrucción mediante acuerdo del ocho de octubre de dos mil veinticuatro, por lo que, ordenó turnar el expediente a resolución, misma que a continuación se pronuncia.--------------------------------------------------------------------------------</w:t>
      </w:r>
    </w:p>
    <w:p w:rsidR="00E00D9A" w:rsidRDefault="00E00D9A">
      <w:pPr>
        <w:spacing w:line="360" w:lineRule="auto"/>
        <w:ind w:right="1"/>
        <w:rPr>
          <w:rFonts w:ascii="Palatino Linotype" w:eastAsia="Palatino Linotype" w:hAnsi="Palatino Linotype" w:cs="Palatino Linotype"/>
          <w:sz w:val="22"/>
          <w:szCs w:val="22"/>
        </w:rPr>
      </w:pPr>
    </w:p>
    <w:p w:rsidR="00E00D9A" w:rsidRDefault="00957322">
      <w:pPr>
        <w:keepNext/>
        <w:keepLines/>
        <w:spacing w:before="240" w:after="240" w:line="360" w:lineRule="auto"/>
        <w:ind w:right="1"/>
        <w:jc w:val="center"/>
        <w:rPr>
          <w:rFonts w:ascii="Palatino Linotype" w:eastAsia="Palatino Linotype" w:hAnsi="Palatino Linotype" w:cs="Palatino Linotype"/>
          <w:b/>
        </w:rPr>
      </w:pPr>
      <w:bookmarkStart w:id="3" w:name="_heading=h.1fob9te" w:colFirst="0" w:colLast="0"/>
      <w:bookmarkEnd w:id="3"/>
      <w:r>
        <w:rPr>
          <w:rFonts w:ascii="Palatino Linotype" w:eastAsia="Palatino Linotype" w:hAnsi="Palatino Linotype" w:cs="Palatino Linotype"/>
          <w:b/>
        </w:rPr>
        <w:t>C O N S I D E R A N D O</w:t>
      </w:r>
    </w:p>
    <w:p w:rsidR="00E00D9A" w:rsidRDefault="00957322">
      <w:pPr>
        <w:keepNext/>
        <w:keepLines/>
        <w:spacing w:line="360" w:lineRule="auto"/>
        <w:ind w:right="1"/>
        <w:rPr>
          <w:rFonts w:ascii="Palatino Linotype" w:eastAsia="Palatino Linotype" w:hAnsi="Palatino Linotype" w:cs="Palatino Linotype"/>
          <w:b/>
        </w:rPr>
      </w:pPr>
      <w:bookmarkStart w:id="4" w:name="_heading=h.3znysh7" w:colFirst="0" w:colLast="0"/>
      <w:bookmarkEnd w:id="4"/>
      <w:r>
        <w:rPr>
          <w:rFonts w:ascii="Palatino Linotype" w:eastAsia="Palatino Linotype" w:hAnsi="Palatino Linotype" w:cs="Palatino Linotype"/>
          <w:b/>
        </w:rPr>
        <w:t>PRIMERO. De la competencia.</w:t>
      </w:r>
    </w:p>
    <w:p w:rsidR="00E00D9A" w:rsidRDefault="00E00D9A">
      <w:pPr>
        <w:keepNext/>
        <w:keepLines/>
        <w:spacing w:line="360" w:lineRule="auto"/>
        <w:ind w:right="1"/>
        <w:rPr>
          <w:rFonts w:ascii="Palatino Linotype" w:eastAsia="Palatino Linotype" w:hAnsi="Palatino Linotype" w:cs="Palatino Linotype"/>
          <w:b/>
          <w:sz w:val="22"/>
          <w:szCs w:val="22"/>
        </w:rPr>
      </w:pPr>
    </w:p>
    <w:p w:rsidR="00E00D9A" w:rsidRDefault="00957322">
      <w:pPr>
        <w:numPr>
          <w:ilvl w:val="0"/>
          <w:numId w:val="3"/>
        </w:numPr>
        <w:spacing w:line="360" w:lineRule="auto"/>
        <w:ind w:left="0" w:right="1" w:firstLine="0"/>
        <w:jc w:val="both"/>
        <w:rPr>
          <w:rFonts w:ascii="Palatino Linotype" w:eastAsia="Palatino Linotype" w:hAnsi="Palatino Linotype" w:cs="Palatino Linotype"/>
          <w:b/>
          <w:sz w:val="22"/>
          <w:szCs w:val="22"/>
        </w:rPr>
      </w:pPr>
      <w:bookmarkStart w:id="5" w:name="_heading=h.2et92p0" w:colFirst="0" w:colLast="0"/>
      <w:bookmarkEnd w:id="5"/>
      <w:r>
        <w:rPr>
          <w:rFonts w:ascii="Palatino Linotype" w:eastAsia="Palatino Linotype" w:hAnsi="Palatino Linotype" w:cs="Palatino Linotype"/>
          <w:sz w:val="22"/>
          <w:szCs w:val="22"/>
        </w:rPr>
        <w:t xml:space="preserve">Este </w:t>
      </w:r>
      <w:r>
        <w:rPr>
          <w:rFonts w:ascii="Palatino Linotype" w:eastAsia="Palatino Linotype" w:hAnsi="Palatino Linotype" w:cs="Palatino Linotype"/>
          <w:color w:val="222222"/>
          <w:sz w:val="22"/>
          <w:szCs w:val="22"/>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E00D9A" w:rsidRDefault="00E00D9A">
      <w:pPr>
        <w:spacing w:line="360" w:lineRule="auto"/>
        <w:ind w:right="1"/>
        <w:jc w:val="both"/>
        <w:rPr>
          <w:rFonts w:ascii="Palatino Linotype" w:eastAsia="Palatino Linotype" w:hAnsi="Palatino Linotype" w:cs="Palatino Linotype"/>
          <w:b/>
          <w:sz w:val="22"/>
          <w:szCs w:val="22"/>
        </w:rPr>
      </w:pPr>
    </w:p>
    <w:p w:rsidR="00E00D9A" w:rsidRDefault="00E00D9A">
      <w:pPr>
        <w:spacing w:line="360" w:lineRule="auto"/>
        <w:ind w:right="1"/>
        <w:jc w:val="both"/>
        <w:rPr>
          <w:rFonts w:ascii="Palatino Linotype" w:eastAsia="Palatino Linotype" w:hAnsi="Palatino Linotype" w:cs="Palatino Linotype"/>
          <w:b/>
          <w:sz w:val="22"/>
          <w:szCs w:val="22"/>
        </w:rPr>
      </w:pPr>
    </w:p>
    <w:p w:rsidR="00E00D9A" w:rsidRDefault="00957322">
      <w:pPr>
        <w:keepNext/>
        <w:keepLines/>
        <w:spacing w:line="360" w:lineRule="auto"/>
        <w:ind w:right="1"/>
        <w:jc w:val="both"/>
        <w:rPr>
          <w:rFonts w:ascii="Palatino Linotype" w:eastAsia="Palatino Linotype" w:hAnsi="Palatino Linotype" w:cs="Palatino Linotype"/>
          <w:b/>
        </w:rPr>
      </w:pPr>
      <w:r>
        <w:rPr>
          <w:rFonts w:ascii="Palatino Linotype" w:eastAsia="Palatino Linotype" w:hAnsi="Palatino Linotype" w:cs="Palatino Linotype"/>
          <w:b/>
        </w:rPr>
        <w:t>SEGUNDO. De la oportunidad y procedencia.</w:t>
      </w:r>
    </w:p>
    <w:p w:rsidR="00E00D9A" w:rsidRDefault="00E00D9A">
      <w:pPr>
        <w:keepNext/>
        <w:keepLines/>
        <w:spacing w:line="360" w:lineRule="auto"/>
        <w:ind w:right="1"/>
        <w:jc w:val="both"/>
        <w:rPr>
          <w:rFonts w:ascii="Palatino Linotype" w:eastAsia="Palatino Linotype" w:hAnsi="Palatino Linotype" w:cs="Palatino Linotype"/>
          <w:b/>
          <w:sz w:val="22"/>
          <w:szCs w:val="22"/>
        </w:rPr>
      </w:pPr>
    </w:p>
    <w:p w:rsidR="00E00D9A" w:rsidRDefault="00957322">
      <w:pPr>
        <w:numPr>
          <w:ilvl w:val="0"/>
          <w:numId w:val="3"/>
        </w:numPr>
        <w:spacing w:line="360" w:lineRule="auto"/>
        <w:ind w:left="0" w:right="1"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medio de impugnación fue presentado a través del </w:t>
      </w:r>
      <w:r>
        <w:rPr>
          <w:rFonts w:ascii="Palatino Linotype" w:eastAsia="Palatino Linotype" w:hAnsi="Palatino Linotype" w:cs="Palatino Linotype"/>
          <w:b/>
          <w:sz w:val="22"/>
          <w:szCs w:val="22"/>
        </w:rPr>
        <w:t>SAIMEX,</w:t>
      </w:r>
      <w:r>
        <w:rPr>
          <w:rFonts w:ascii="Palatino Linotype" w:eastAsia="Palatino Linotype" w:hAnsi="Palatino Linotype" w:cs="Palatino Linotype"/>
          <w:sz w:val="22"/>
          <w:szCs w:val="22"/>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entregó </w:t>
      </w:r>
      <w:r>
        <w:rPr>
          <w:rFonts w:ascii="Palatino Linotype" w:eastAsia="Palatino Linotype" w:hAnsi="Palatino Linotype" w:cs="Palatino Linotype"/>
          <w:sz w:val="22"/>
          <w:szCs w:val="22"/>
        </w:rPr>
        <w:lastRenderedPageBreak/>
        <w:t xml:space="preserve">respuestas el </w:t>
      </w:r>
      <w:r>
        <w:rPr>
          <w:rFonts w:ascii="Palatino Linotype" w:eastAsia="Palatino Linotype" w:hAnsi="Palatino Linotype" w:cs="Palatino Linotype"/>
          <w:b/>
          <w:sz w:val="22"/>
          <w:szCs w:val="22"/>
        </w:rPr>
        <w:t>veintiséis de agosto</w:t>
      </w:r>
      <w:r>
        <w:rPr>
          <w:rFonts w:ascii="Palatino Linotype" w:eastAsia="Palatino Linotype" w:hAnsi="Palatino Linotype" w:cs="Palatino Linotype"/>
          <w:sz w:val="22"/>
          <w:szCs w:val="22"/>
        </w:rPr>
        <w:t xml:space="preserve"> de dos mil veinticuatro, de tal forma que el plazo para interponer el recurso transcurrió del </w:t>
      </w:r>
      <w:r>
        <w:rPr>
          <w:rFonts w:ascii="Palatino Linotype" w:eastAsia="Palatino Linotype" w:hAnsi="Palatino Linotype" w:cs="Palatino Linotype"/>
          <w:b/>
          <w:sz w:val="22"/>
          <w:szCs w:val="22"/>
        </w:rPr>
        <w:t>veintisiete de agosto al diecisiete de septiembre</w:t>
      </w:r>
      <w:r>
        <w:rPr>
          <w:rFonts w:ascii="Palatino Linotype" w:eastAsia="Palatino Linotype" w:hAnsi="Palatino Linotype" w:cs="Palatino Linotype"/>
          <w:sz w:val="22"/>
          <w:szCs w:val="22"/>
        </w:rPr>
        <w:t xml:space="preserve"> de dos mil veinticuatro; en consecuencia, si el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presentó su inconformidad el </w:t>
      </w:r>
      <w:r>
        <w:rPr>
          <w:rFonts w:ascii="Palatino Linotype" w:eastAsia="Palatino Linotype" w:hAnsi="Palatino Linotype" w:cs="Palatino Linotype"/>
          <w:b/>
          <w:sz w:val="22"/>
          <w:szCs w:val="22"/>
        </w:rPr>
        <w:t>tres se septiembre</w:t>
      </w:r>
      <w:r>
        <w:rPr>
          <w:rFonts w:ascii="Palatino Linotype" w:eastAsia="Palatino Linotype" w:hAnsi="Palatino Linotype" w:cs="Palatino Linotype"/>
          <w:sz w:val="22"/>
          <w:szCs w:val="22"/>
        </w:rPr>
        <w:t xml:space="preserve"> de dos mil veinticuatro, se encuentra dentro de los márgenes temporales previstos en el artículo 178 de la </w:t>
      </w:r>
      <w:r>
        <w:rPr>
          <w:rFonts w:ascii="Palatino Linotype" w:eastAsia="Palatino Linotype" w:hAnsi="Palatino Linotype" w:cs="Palatino Linotype"/>
          <w:b/>
          <w:sz w:val="22"/>
          <w:szCs w:val="22"/>
        </w:rPr>
        <w:t xml:space="preserve">Ley de Transparencia y Acceso a la Información Pública del Estado de México y Municipios </w:t>
      </w:r>
      <w:r>
        <w:rPr>
          <w:rFonts w:ascii="Palatino Linotype" w:eastAsia="Palatino Linotype" w:hAnsi="Palatino Linotype" w:cs="Palatino Linotype"/>
          <w:sz w:val="22"/>
          <w:szCs w:val="22"/>
        </w:rPr>
        <w:t>vigente.</w:t>
      </w:r>
    </w:p>
    <w:p w:rsidR="00E00D9A" w:rsidRDefault="00E00D9A">
      <w:pPr>
        <w:spacing w:line="360" w:lineRule="auto"/>
        <w:ind w:right="1"/>
        <w:jc w:val="both"/>
        <w:rPr>
          <w:rFonts w:ascii="Palatino Linotype" w:eastAsia="Palatino Linotype" w:hAnsi="Palatino Linotype" w:cs="Palatino Linotype"/>
          <w:sz w:val="22"/>
          <w:szCs w:val="22"/>
        </w:rPr>
      </w:pPr>
    </w:p>
    <w:p w:rsidR="00E00D9A" w:rsidRDefault="00957322">
      <w:pPr>
        <w:numPr>
          <w:ilvl w:val="0"/>
          <w:numId w:val="3"/>
        </w:numPr>
        <w:spacing w:line="360" w:lineRule="auto"/>
        <w:ind w:left="0" w:right="1" w:firstLine="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sz w:val="22"/>
          <w:szCs w:val="22"/>
        </w:rPr>
        <w:t xml:space="preserve">Consecuentemente, el escrito contiene las formalidades previstas por el artículo 180 último párrafo de la Ley de la materia actual, por </w:t>
      </w:r>
      <w:r>
        <w:rPr>
          <w:rFonts w:ascii="Palatino Linotype" w:eastAsia="Palatino Linotype" w:hAnsi="Palatino Linotype" w:cs="Palatino Linotype"/>
          <w:color w:val="000000"/>
          <w:sz w:val="22"/>
          <w:szCs w:val="22"/>
        </w:rPr>
        <w:t>lo que es procedente que este Instituto de Transparencia, Acceso a la Información Pública y Protección de Datos Personales del Estado de México y Municipios, conozca y resuelva el presente recurso.</w:t>
      </w:r>
    </w:p>
    <w:p w:rsidR="00E00D9A" w:rsidRDefault="00E00D9A">
      <w:pPr>
        <w:spacing w:line="360" w:lineRule="auto"/>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00D9A" w:rsidRDefault="00E00D9A">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sz w:val="20"/>
          <w:szCs w:val="20"/>
        </w:rPr>
      </w:pP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b/>
          <w:i/>
          <w:color w:val="000000"/>
          <w:sz w:val="20"/>
          <w:szCs w:val="20"/>
        </w:rPr>
        <w:t>Las solicitudes anónimas</w:t>
      </w:r>
      <w:r>
        <w:rPr>
          <w:rFonts w:ascii="Palatino Linotype" w:eastAsia="Palatino Linotype" w:hAnsi="Palatino Linotype" w:cs="Palatino Linotype"/>
          <w:i/>
          <w:color w:val="000000"/>
          <w:sz w:val="20"/>
          <w:szCs w:val="20"/>
        </w:rPr>
        <w:t xml:space="preserve">, con nombre incompleto o seudónimo </w:t>
      </w:r>
      <w:r>
        <w:rPr>
          <w:rFonts w:ascii="Palatino Linotype" w:eastAsia="Palatino Linotype" w:hAnsi="Palatino Linotype" w:cs="Palatino Linotype"/>
          <w:b/>
          <w:i/>
          <w:color w:val="000000"/>
          <w:sz w:val="20"/>
          <w:szCs w:val="20"/>
        </w:rPr>
        <w:t>serán procedentes para su trámite por parte del sujeto obligado ante quien se presente</w:t>
      </w:r>
      <w:r>
        <w:rPr>
          <w:rFonts w:ascii="Palatino Linotype" w:eastAsia="Palatino Linotype" w:hAnsi="Palatino Linotype" w:cs="Palatino Linotype"/>
          <w:i/>
          <w:color w:val="000000"/>
          <w:sz w:val="20"/>
          <w:szCs w:val="20"/>
        </w:rPr>
        <w:t xml:space="preserve">. No podrá requerirse información adicional con motivo del nombre proporcionado por el solicitante.” </w:t>
      </w:r>
      <w:r>
        <w:rPr>
          <w:rFonts w:ascii="Palatino Linotype" w:eastAsia="Palatino Linotype" w:hAnsi="Palatino Linotype" w:cs="Palatino Linotype"/>
          <w:color w:val="000000"/>
          <w:sz w:val="20"/>
          <w:szCs w:val="20"/>
        </w:rPr>
        <w:t>(Sic)</w:t>
      </w:r>
    </w:p>
    <w:p w:rsidR="00E00D9A" w:rsidRDefault="00E00D9A">
      <w:pPr>
        <w:pBdr>
          <w:top w:val="nil"/>
          <w:left w:val="nil"/>
          <w:bottom w:val="nil"/>
          <w:right w:val="nil"/>
          <w:between w:val="nil"/>
        </w:pBdr>
        <w:spacing w:line="360" w:lineRule="auto"/>
        <w:ind w:left="360" w:right="758"/>
        <w:rPr>
          <w:rFonts w:ascii="Palatino Linotype" w:eastAsia="Palatino Linotype" w:hAnsi="Palatino Linotype" w:cs="Palatino Linotype"/>
          <w:i/>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Robusteciendo lo anterior se encuentra lo dispuesto en el artículo 6, Apartado A, fracciones III de la Constitución Política de los Estados Unidos Mexicanos que establece:</w:t>
      </w:r>
    </w:p>
    <w:p w:rsidR="00E00D9A" w:rsidRDefault="00E00D9A">
      <w:pPr>
        <w:pBdr>
          <w:top w:val="nil"/>
          <w:left w:val="nil"/>
          <w:bottom w:val="nil"/>
          <w:right w:val="nil"/>
          <w:between w:val="nil"/>
        </w:pBdr>
        <w:spacing w:line="360" w:lineRule="auto"/>
        <w:ind w:left="360" w:right="474"/>
        <w:jc w:val="both"/>
        <w:rPr>
          <w:rFonts w:ascii="Palatino Linotype" w:eastAsia="Palatino Linotype" w:hAnsi="Palatino Linotype" w:cs="Palatino Linotype"/>
          <w:i/>
          <w:color w:val="000000"/>
          <w:sz w:val="20"/>
          <w:szCs w:val="20"/>
        </w:rPr>
      </w:pP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lastRenderedPageBreak/>
        <w:t>“</w:t>
      </w:r>
      <w:r>
        <w:rPr>
          <w:rFonts w:ascii="Palatino Linotype" w:eastAsia="Palatino Linotype" w:hAnsi="Palatino Linotype" w:cs="Palatino Linotype"/>
          <w:b/>
          <w:i/>
          <w:color w:val="000000"/>
          <w:sz w:val="20"/>
          <w:szCs w:val="20"/>
        </w:rPr>
        <w:t>Artículo 6.-</w:t>
      </w:r>
      <w:r>
        <w:rPr>
          <w:rFonts w:ascii="Palatino Linotype" w:eastAsia="Palatino Linotype" w:hAnsi="Palatino Linotype" w:cs="Palatino Linotype"/>
          <w:i/>
          <w:color w:val="000000"/>
          <w:sz w:val="20"/>
          <w:szCs w:val="2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Para efectos de lo dispuesto en el presente artículo se observará lo siguiente:</w:t>
      </w: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A. Para el ejercicio del derecho de acceso a la información, la Federación, los Estados y el Distrito Federal, en el ámbito de sus respectivas competencias, se regirán por los siguientes principios y bases:</w:t>
      </w: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III. Toda persona, sin necesidad de acreditar interés alguno o justificar su utilización, tendrá acceso gratuito a la información pública, a sus datos personales o a la rectificación de éstos.”</w:t>
      </w:r>
      <w:r>
        <w:rPr>
          <w:rFonts w:ascii="Palatino Linotype" w:eastAsia="Palatino Linotype" w:hAnsi="Palatino Linotype" w:cs="Palatino Linotype"/>
          <w:color w:val="000000"/>
          <w:sz w:val="20"/>
          <w:szCs w:val="20"/>
        </w:rPr>
        <w:t>(Sic)</w:t>
      </w:r>
    </w:p>
    <w:p w:rsidR="00E00D9A" w:rsidRDefault="00E00D9A">
      <w:pPr>
        <w:pBdr>
          <w:top w:val="nil"/>
          <w:left w:val="nil"/>
          <w:bottom w:val="nil"/>
          <w:right w:val="nil"/>
          <w:between w:val="nil"/>
        </w:pBdr>
        <w:spacing w:line="360" w:lineRule="auto"/>
        <w:ind w:left="360"/>
        <w:rPr>
          <w:rFonts w:ascii="Palatino Linotype" w:eastAsia="Palatino Linotype" w:hAnsi="Palatino Linotype" w:cs="Palatino Linotype"/>
          <w:i/>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como el artículo 5 fracción III, párrafo vigésimo noveno, trigésimo y trigésimo primero, de la Constitución Política del Estado Libre y Soberano de México, que determina lo siguiente:</w:t>
      </w: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b/>
          <w:i/>
          <w:color w:val="000000"/>
          <w:sz w:val="20"/>
          <w:szCs w:val="20"/>
        </w:rPr>
        <w:t>Artículo 5.-</w:t>
      </w:r>
      <w:r>
        <w:rPr>
          <w:rFonts w:ascii="Palatino Linotype" w:eastAsia="Palatino Linotype" w:hAnsi="Palatino Linotype" w:cs="Palatino Linotype"/>
          <w:i/>
          <w:color w:val="000000"/>
          <w:sz w:val="20"/>
          <w:szCs w:val="2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Toda persona en el Estado de México, tiene derecho al libre acceso a la información plural y oportuna, así como a buscar recibir y difundir información e ideas de toda índole por cualquier medio de expresión.</w:t>
      </w: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lastRenderedPageBreak/>
        <w:t>El derecho a la información será garantizado por el Estado. La ley establecerá las previsiones que permitan asegurar la protección, el respeto y la difusión de este derecho.</w:t>
      </w:r>
    </w:p>
    <w:p w:rsidR="00E00D9A" w:rsidRDefault="00E00D9A">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III. Toda persona, sin necesidad de acreditar interés alguno o justificar su utilización, tendrá acceso gratuito a la información pública, a sus datos personales o a la rectificación de éstos;</w:t>
      </w: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E00D9A" w:rsidRDefault="00E00D9A">
      <w:pPr>
        <w:pBdr>
          <w:top w:val="nil"/>
          <w:left w:val="nil"/>
          <w:bottom w:val="nil"/>
          <w:right w:val="nil"/>
          <w:between w:val="nil"/>
        </w:pBdr>
        <w:spacing w:line="360" w:lineRule="auto"/>
        <w:ind w:left="360"/>
        <w:rPr>
          <w:rFonts w:ascii="Palatino Linotype" w:eastAsia="Palatino Linotype" w:hAnsi="Palatino Linotype" w:cs="Palatino Linotype"/>
          <w:i/>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otra parte, del contenido del artículo 1 de la Constitución Política de los Estados Unidos mexicanos, se destaca lo siguiente:</w:t>
      </w: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b/>
          <w:i/>
          <w:color w:val="000000"/>
          <w:sz w:val="20"/>
          <w:szCs w:val="20"/>
        </w:rPr>
        <w:t>Artículo 1</w:t>
      </w:r>
      <w:r>
        <w:rPr>
          <w:rFonts w:ascii="Palatino Linotype" w:eastAsia="Palatino Linotype" w:hAnsi="Palatino Linotype" w:cs="Palatino Linotype"/>
          <w:i/>
          <w:color w:val="000000"/>
          <w:sz w:val="20"/>
          <w:szCs w:val="2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Las normas relativas a los derechos humanos se interpretarán de conformidad con esta Constitución y con los tratados internacionales de la materia favoreciendo en todo tiempo a las personas la protección más amplia.</w:t>
      </w: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E00D9A" w:rsidRDefault="00E00D9A">
      <w:pPr>
        <w:pBdr>
          <w:top w:val="nil"/>
          <w:left w:val="nil"/>
          <w:bottom w:val="nil"/>
          <w:right w:val="nil"/>
          <w:between w:val="nil"/>
        </w:pBdr>
        <w:spacing w:line="360" w:lineRule="auto"/>
        <w:ind w:left="360"/>
        <w:rPr>
          <w:rFonts w:ascii="Palatino Linotype" w:eastAsia="Palatino Linotype" w:hAnsi="Palatino Linotype" w:cs="Palatino Linotype"/>
          <w:i/>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color w:val="000000"/>
          <w:sz w:val="22"/>
          <w:szCs w:val="22"/>
        </w:rPr>
        <w:t>derecho fundamental exime a quien lo ejerce</w:t>
      </w:r>
      <w:r>
        <w:rPr>
          <w:rFonts w:ascii="Palatino Linotype" w:eastAsia="Palatino Linotype" w:hAnsi="Palatino Linotype" w:cs="Palatino Linotype"/>
          <w:color w:val="000000"/>
          <w:sz w:val="22"/>
          <w:szCs w:val="22"/>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E00D9A" w:rsidRDefault="00E00D9A">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E00D9A" w:rsidRDefault="00E00D9A">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sz w:val="20"/>
          <w:szCs w:val="20"/>
        </w:rPr>
      </w:pPr>
    </w:p>
    <w:p w:rsidR="00E00D9A" w:rsidRDefault="00957322">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E00D9A" w:rsidRDefault="00E00D9A">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00D9A" w:rsidRDefault="00E00D9A">
      <w:pPr>
        <w:spacing w:line="360" w:lineRule="auto"/>
        <w:ind w:right="1"/>
        <w:jc w:val="both"/>
        <w:rPr>
          <w:rFonts w:ascii="Palatino Linotype" w:eastAsia="Palatino Linotype" w:hAnsi="Palatino Linotype" w:cs="Palatino Linotype"/>
          <w:b/>
          <w:sz w:val="22"/>
          <w:szCs w:val="22"/>
        </w:rPr>
      </w:pPr>
    </w:p>
    <w:p w:rsidR="00E00D9A" w:rsidRDefault="00957322">
      <w:pPr>
        <w:keepNext/>
        <w:keepLines/>
        <w:spacing w:line="360" w:lineRule="auto"/>
        <w:ind w:right="1"/>
        <w:rPr>
          <w:rFonts w:ascii="Palatino Linotype" w:eastAsia="Palatino Linotype" w:hAnsi="Palatino Linotype" w:cs="Palatino Linotype"/>
          <w:b/>
        </w:rPr>
      </w:pPr>
      <w:bookmarkStart w:id="6" w:name="_heading=h.tyjcwt" w:colFirst="0" w:colLast="0"/>
      <w:bookmarkEnd w:id="6"/>
      <w:r>
        <w:rPr>
          <w:rFonts w:ascii="Palatino Linotype" w:eastAsia="Palatino Linotype" w:hAnsi="Palatino Linotype" w:cs="Palatino Linotype"/>
          <w:b/>
        </w:rPr>
        <w:t>TERCERO. Planteamiento de la Litis.</w:t>
      </w:r>
    </w:p>
    <w:p w:rsidR="00E00D9A" w:rsidRDefault="00957322">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RECURRENTE</w:t>
      </w:r>
      <w:r>
        <w:rPr>
          <w:rFonts w:ascii="Palatino Linotype" w:eastAsia="Palatino Linotype" w:hAnsi="Palatino Linotype" w:cs="Palatino Linotype"/>
          <w:color w:val="000000"/>
          <w:sz w:val="22"/>
          <w:szCs w:val="22"/>
        </w:rPr>
        <w:t xml:space="preserve"> solicitó: “</w:t>
      </w:r>
      <w:r>
        <w:rPr>
          <w:rFonts w:ascii="Palatino Linotype" w:eastAsia="Palatino Linotype" w:hAnsi="Palatino Linotype" w:cs="Palatino Linotype"/>
          <w:i/>
          <w:color w:val="000000"/>
          <w:sz w:val="22"/>
          <w:szCs w:val="22"/>
        </w:rPr>
        <w:t>REQUIERO LA NOMINA DE TODOS LOS TRABAJADORES DEL AYUNTAMIENTO DE 2022 a la fecha, en donde se observa el nombre, pago y puesto no mandar liga de ipomex TODA VEZ QUE ESTA DESACTUALIZADA LA INFORMACIÓN”</w:t>
      </w:r>
      <w:r>
        <w:rPr>
          <w:rFonts w:ascii="Palatino Linotype" w:eastAsia="Palatino Linotype" w:hAnsi="Palatino Linotype" w:cs="Palatino Linotype"/>
          <w:color w:val="000000"/>
          <w:sz w:val="22"/>
          <w:szCs w:val="22"/>
        </w:rPr>
        <w:t xml:space="preserve"> (Sic)</w:t>
      </w:r>
    </w:p>
    <w:p w:rsidR="00E00D9A" w:rsidRDefault="00E00D9A">
      <w:pPr>
        <w:pBdr>
          <w:top w:val="nil"/>
          <w:left w:val="nil"/>
          <w:bottom w:val="nil"/>
          <w:right w:val="nil"/>
          <w:between w:val="nil"/>
        </w:pBdr>
        <w:spacing w:line="360" w:lineRule="auto"/>
        <w:ind w:right="1"/>
        <w:jc w:val="both"/>
        <w:rPr>
          <w:rFonts w:ascii="Palatino Linotype" w:eastAsia="Palatino Linotype" w:hAnsi="Palatino Linotype" w:cs="Palatino Linotype"/>
          <w:color w:val="000000"/>
          <w:sz w:val="22"/>
          <w:szCs w:val="22"/>
        </w:rPr>
      </w:pPr>
    </w:p>
    <w:p w:rsidR="00E00D9A" w:rsidRDefault="00957322">
      <w:pPr>
        <w:numPr>
          <w:ilvl w:val="0"/>
          <w:numId w:val="6"/>
        </w:numPr>
        <w:pBdr>
          <w:top w:val="nil"/>
          <w:left w:val="nil"/>
          <w:bottom w:val="nil"/>
          <w:right w:val="nil"/>
          <w:between w:val="nil"/>
        </w:pBdr>
        <w:tabs>
          <w:tab w:val="left" w:pos="0"/>
        </w:tabs>
        <w:spacing w:line="360" w:lineRule="auto"/>
        <w:ind w:right="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 xml:space="preserve">En respuesta,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adjuntó el oficio firmado por el Jefe de Departamento de Recursos Humanos, del cual en lo que interesa se observó: </w:t>
      </w:r>
      <w:r>
        <w:rPr>
          <w:rFonts w:ascii="Palatino Linotype" w:eastAsia="Palatino Linotype" w:hAnsi="Palatino Linotype" w:cs="Palatino Linotype"/>
          <w:i/>
          <w:color w:val="000000"/>
          <w:sz w:val="22"/>
          <w:szCs w:val="22"/>
        </w:rPr>
        <w:t xml:space="preserve">“…En apego a lo requerido en su solicitud, me permito hacer de su conocimiento que, respecto a las nóminas de todos los trabajadores, con fundamento a lo establecido en el artículo 77 de la Ley de Transparencia y Acceso a la Información Pública del Estado de México y Municipios, la información correspondiente a las obligaciones de transparencia se actualiza por lo menos cada tres meses, por tanto, la información se encuentra actualizada al mes de junio, y podrá consultarla en el artículo 92 fracción VIII del siguiente apartado; </w:t>
      </w:r>
      <w:r>
        <w:rPr>
          <w:rFonts w:ascii="Palatino Linotype" w:eastAsia="Palatino Linotype" w:hAnsi="Palatino Linotype" w:cs="Palatino Linotype"/>
          <w:b/>
          <w:i/>
          <w:color w:val="000000"/>
          <w:sz w:val="22"/>
          <w:szCs w:val="22"/>
        </w:rPr>
        <w:t xml:space="preserve">Link: </w:t>
      </w:r>
      <w:r>
        <w:rPr>
          <w:rFonts w:ascii="Palatino Linotype" w:eastAsia="Palatino Linotype" w:hAnsi="Palatino Linotype" w:cs="Palatino Linotype"/>
          <w:i/>
          <w:color w:val="000000"/>
          <w:sz w:val="22"/>
          <w:szCs w:val="22"/>
          <w:u w:val="single"/>
        </w:rPr>
        <w:t>Ipomex</w:t>
      </w:r>
      <w:r>
        <w:rPr>
          <w:rFonts w:ascii="Palatino Linotype" w:eastAsia="Palatino Linotype" w:hAnsi="Palatino Linotype" w:cs="Palatino Linotype"/>
          <w:i/>
          <w:color w:val="000000"/>
          <w:sz w:val="22"/>
          <w:szCs w:val="22"/>
        </w:rPr>
        <w:t xml:space="preserve">, Ejemplos para consulta: </w:t>
      </w:r>
      <w:r>
        <w:rPr>
          <w:rFonts w:ascii="Palatino Linotype" w:eastAsia="Palatino Linotype" w:hAnsi="Palatino Linotype" w:cs="Palatino Linotype"/>
          <w:color w:val="000000"/>
          <w:sz w:val="22"/>
          <w:szCs w:val="22"/>
        </w:rPr>
        <w:t>(obra en este apartado una captura de pantalla del ingreso a la página Ipomex)</w:t>
      </w:r>
      <w:r>
        <w:rPr>
          <w:rFonts w:ascii="Palatino Linotype" w:eastAsia="Palatino Linotype" w:hAnsi="Palatino Linotype" w:cs="Palatino Linotype"/>
          <w:i/>
          <w:color w:val="000000"/>
          <w:sz w:val="22"/>
          <w:szCs w:val="22"/>
        </w:rPr>
        <w:t>…</w:t>
      </w:r>
    </w:p>
    <w:p w:rsidR="00E00D9A" w:rsidRDefault="00957322">
      <w:pPr>
        <w:pBdr>
          <w:top w:val="nil"/>
          <w:left w:val="nil"/>
          <w:bottom w:val="nil"/>
          <w:right w:val="nil"/>
          <w:between w:val="nil"/>
        </w:pBdr>
        <w:tabs>
          <w:tab w:val="left" w:pos="0"/>
        </w:tabs>
        <w:spacing w:line="360" w:lineRule="auto"/>
        <w:ind w:left="720" w:right="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12 (…) Los sujetos obligados sólo proporcionarán la información pública que se les requiera y que obre en sus archivos y en el estado en que esta se encuentre. La obligación de proporcionar información no comprende el procesamiento de esta, ni el presentarla conforme al </w:t>
      </w:r>
      <w:r>
        <w:rPr>
          <w:rFonts w:ascii="Palatino Linotype" w:eastAsia="Palatino Linotype" w:hAnsi="Palatino Linotype" w:cs="Palatino Linotype"/>
          <w:i/>
          <w:color w:val="000000"/>
          <w:sz w:val="22"/>
          <w:szCs w:val="22"/>
        </w:rPr>
        <w:lastRenderedPageBreak/>
        <w:t xml:space="preserve">interés del solicitante; no estarán obligados a generarla, resumirla, efectuar cálculos o practicar investigaciones…” </w:t>
      </w:r>
      <w:r>
        <w:rPr>
          <w:rFonts w:ascii="Palatino Linotype" w:eastAsia="Palatino Linotype" w:hAnsi="Palatino Linotype" w:cs="Palatino Linotype"/>
          <w:color w:val="000000"/>
          <w:sz w:val="22"/>
          <w:szCs w:val="22"/>
        </w:rPr>
        <w:t>(Sic.)</w:t>
      </w:r>
      <w:r>
        <w:rPr>
          <w:rFonts w:ascii="Palatino Linotype" w:eastAsia="Palatino Linotype" w:hAnsi="Palatino Linotype" w:cs="Palatino Linotype"/>
          <w:i/>
          <w:color w:val="000000"/>
          <w:sz w:val="22"/>
          <w:szCs w:val="22"/>
        </w:rPr>
        <w:t xml:space="preserve"> </w:t>
      </w:r>
    </w:p>
    <w:p w:rsidR="00E00D9A" w:rsidRDefault="00E00D9A">
      <w:pPr>
        <w:pBdr>
          <w:top w:val="nil"/>
          <w:left w:val="nil"/>
          <w:bottom w:val="nil"/>
          <w:right w:val="nil"/>
          <w:between w:val="nil"/>
        </w:pBdr>
        <w:spacing w:line="360" w:lineRule="auto"/>
        <w:ind w:right="1"/>
        <w:jc w:val="center"/>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No obstante, el </w:t>
      </w:r>
      <w:r>
        <w:rPr>
          <w:rFonts w:ascii="Palatino Linotype" w:eastAsia="Palatino Linotype" w:hAnsi="Palatino Linotype" w:cs="Palatino Linotype"/>
          <w:b/>
          <w:color w:val="000000"/>
          <w:sz w:val="22"/>
          <w:szCs w:val="22"/>
        </w:rPr>
        <w:t xml:space="preserve">RECURRENTE </w:t>
      </w:r>
      <w:r>
        <w:rPr>
          <w:rFonts w:ascii="Palatino Linotype" w:eastAsia="Palatino Linotype" w:hAnsi="Palatino Linotype" w:cs="Palatino Linotype"/>
          <w:color w:val="000000"/>
          <w:sz w:val="22"/>
          <w:szCs w:val="22"/>
        </w:rPr>
        <w:t>interpuso recurso de revisión, mediante el cual, refirió que: “</w:t>
      </w:r>
      <w:r>
        <w:rPr>
          <w:rFonts w:ascii="Palatino Linotype" w:eastAsia="Palatino Linotype" w:hAnsi="Palatino Linotype" w:cs="Palatino Linotype"/>
          <w:i/>
          <w:color w:val="000000"/>
          <w:sz w:val="22"/>
          <w:szCs w:val="22"/>
        </w:rPr>
        <w:t>No se me proporciona la información solicitada, reitero requiero cada una de las nominas de los servidores públicos, es decir el documento que registra el pago de los salarios de los empleados, así como las deducciones y percepciones que se les realizan. Ad”</w:t>
      </w:r>
      <w:r>
        <w:rPr>
          <w:rFonts w:ascii="Palatino Linotype" w:eastAsia="Palatino Linotype" w:hAnsi="Palatino Linotype" w:cs="Palatino Linotype"/>
          <w:color w:val="000000"/>
          <w:sz w:val="22"/>
          <w:szCs w:val="22"/>
        </w:rPr>
        <w:t xml:space="preserve"> (Sic.)</w:t>
      </w:r>
      <w:r>
        <w:rPr>
          <w:rFonts w:ascii="Palatino Linotype" w:eastAsia="Palatino Linotype" w:hAnsi="Palatino Linotype" w:cs="Palatino Linotype"/>
          <w:b/>
          <w:color w:val="000000"/>
          <w:sz w:val="22"/>
          <w:szCs w:val="22"/>
        </w:rPr>
        <w:t>.</w:t>
      </w:r>
    </w:p>
    <w:p w:rsidR="00E00D9A" w:rsidRDefault="00E00D9A">
      <w:pPr>
        <w:pBdr>
          <w:top w:val="nil"/>
          <w:left w:val="nil"/>
          <w:bottom w:val="nil"/>
          <w:right w:val="nil"/>
          <w:between w:val="nil"/>
        </w:pBdr>
        <w:spacing w:line="360" w:lineRule="auto"/>
        <w:ind w:right="1"/>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consecuencia, la Litis a resolver en este recurso, se circunscribe a determinar si la respuesta colma con lo solicitado o si se actualizan las causales de procedencia previstas en el artículo 179, fracción I de la Ley de Transparencia y Acceso a la Información Pública del Estado de México y Municipios; que establece </w:t>
      </w:r>
      <w:r>
        <w:rPr>
          <w:rFonts w:ascii="Palatino Linotype" w:eastAsia="Palatino Linotype" w:hAnsi="Palatino Linotype" w:cs="Palatino Linotype"/>
          <w:b/>
          <w:color w:val="000000"/>
          <w:sz w:val="22"/>
          <w:szCs w:val="22"/>
        </w:rPr>
        <w:t>la negativa a la información solicitada.</w:t>
      </w:r>
    </w:p>
    <w:p w:rsidR="00E00D9A" w:rsidRDefault="00E00D9A">
      <w:pPr>
        <w:pBdr>
          <w:top w:val="nil"/>
          <w:left w:val="nil"/>
          <w:bottom w:val="nil"/>
          <w:right w:val="nil"/>
          <w:between w:val="nil"/>
        </w:pBdr>
        <w:spacing w:line="360" w:lineRule="auto"/>
        <w:ind w:right="1"/>
        <w:jc w:val="both"/>
        <w:rPr>
          <w:rFonts w:ascii="Palatino Linotype" w:eastAsia="Palatino Linotype" w:hAnsi="Palatino Linotype" w:cs="Palatino Linotype"/>
          <w:color w:val="000000"/>
          <w:sz w:val="22"/>
          <w:szCs w:val="22"/>
        </w:rPr>
      </w:pPr>
    </w:p>
    <w:p w:rsidR="00E00D9A" w:rsidRDefault="00957322">
      <w:pPr>
        <w:pStyle w:val="Ttulo1"/>
        <w:spacing w:before="0" w:line="360" w:lineRule="auto"/>
        <w:ind w:right="1"/>
        <w:rPr>
          <w:rFonts w:ascii="Palatino Linotype" w:eastAsia="Palatino Linotype" w:hAnsi="Palatino Linotype" w:cs="Palatino Linotype"/>
          <w:b/>
          <w:color w:val="000000"/>
          <w:sz w:val="24"/>
          <w:szCs w:val="24"/>
        </w:rPr>
      </w:pPr>
      <w:bookmarkStart w:id="7" w:name="_heading=h.3dy6vkm" w:colFirst="0" w:colLast="0"/>
      <w:bookmarkEnd w:id="7"/>
      <w:r>
        <w:rPr>
          <w:rFonts w:ascii="Palatino Linotype" w:eastAsia="Palatino Linotype" w:hAnsi="Palatino Linotype" w:cs="Palatino Linotype"/>
          <w:b/>
          <w:color w:val="000000"/>
          <w:sz w:val="24"/>
          <w:szCs w:val="24"/>
        </w:rPr>
        <w:t>CUARTO. Del estudio y resolución del recurso de revisión.</w:t>
      </w:r>
    </w:p>
    <w:p w:rsidR="00E00D9A" w:rsidRDefault="00E00D9A"/>
    <w:p w:rsidR="00E00D9A" w:rsidRDefault="00957322">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E00D9A" w:rsidRDefault="00E00D9A">
      <w:pPr>
        <w:pBdr>
          <w:top w:val="nil"/>
          <w:left w:val="nil"/>
          <w:bottom w:val="nil"/>
          <w:right w:val="nil"/>
          <w:between w:val="nil"/>
        </w:pBdr>
        <w:spacing w:line="360" w:lineRule="auto"/>
        <w:ind w:right="1"/>
        <w:jc w:val="both"/>
        <w:rPr>
          <w:rFonts w:ascii="Palatino Linotype" w:eastAsia="Palatino Linotype" w:hAnsi="Palatino Linotype" w:cs="Palatino Linotype"/>
          <w:color w:val="000000"/>
          <w:sz w:val="22"/>
          <w:szCs w:val="22"/>
        </w:rPr>
      </w:pPr>
    </w:p>
    <w:p w:rsidR="00E00D9A" w:rsidRDefault="00957322">
      <w:pPr>
        <w:numPr>
          <w:ilvl w:val="0"/>
          <w:numId w:val="3"/>
        </w:numPr>
        <w:spacing w:line="360" w:lineRule="auto"/>
        <w:ind w:left="0" w:right="1"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Definiendo el Derecho de Acceso a la Información Pública como: </w:t>
      </w:r>
      <w:r>
        <w:rPr>
          <w:rFonts w:ascii="Palatino Linotype" w:eastAsia="Palatino Linotype" w:hAnsi="Palatino Linotype" w:cs="Palatino Linotype"/>
          <w:i/>
          <w:color w:val="000000"/>
          <w:sz w:val="22"/>
          <w:szCs w:val="22"/>
        </w:rPr>
        <w:t>La igualdad de oportunidades para recibir, buscar e impartir información</w:t>
      </w:r>
      <w:r>
        <w:rPr>
          <w:rFonts w:ascii="Palatino Linotype" w:eastAsia="Palatino Linotype" w:hAnsi="Palatino Linotype" w:cs="Palatino Linotype"/>
          <w:i/>
          <w:sz w:val="22"/>
          <w:szCs w:val="22"/>
          <w:vertAlign w:val="superscript"/>
        </w:rPr>
        <w:footnoteReference w:id="1"/>
      </w:r>
      <w:r>
        <w:rPr>
          <w:rFonts w:ascii="Palatino Linotype" w:eastAsia="Palatino Linotype" w:hAnsi="Palatino Linotype" w:cs="Palatino Linotype"/>
          <w:i/>
          <w:color w:val="000000"/>
          <w:sz w:val="22"/>
          <w:szCs w:val="22"/>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i/>
          <w:color w:val="000000"/>
          <w:sz w:val="22"/>
          <w:szCs w:val="22"/>
        </w:rPr>
        <w:lastRenderedPageBreak/>
        <w:t>municipal,</w:t>
      </w:r>
      <w:r>
        <w:rPr>
          <w:rFonts w:ascii="Palatino Linotype" w:eastAsia="Palatino Linotype" w:hAnsi="Palatino Linotype" w:cs="Palatino Linotype"/>
          <w:i/>
          <w:sz w:val="22"/>
          <w:szCs w:val="22"/>
          <w:vertAlign w:val="superscript"/>
        </w:rPr>
        <w:footnoteReference w:id="2"/>
      </w:r>
      <w:r>
        <w:rPr>
          <w:rFonts w:ascii="Palatino Linotype" w:eastAsia="Palatino Linotype" w:hAnsi="Palatino Linotype" w:cs="Palatino Linotype"/>
          <w:color w:val="000000"/>
          <w:sz w:val="22"/>
          <w:szCs w:val="22"/>
        </w:rPr>
        <w:t>que se constituye como una herramienta fundamental para ejercer</w:t>
      </w:r>
      <w:r>
        <w:rPr>
          <w:rFonts w:ascii="Palatino Linotype" w:eastAsia="Palatino Linotype" w:hAnsi="Palatino Linotype" w:cs="Palatino Linotype"/>
          <w:i/>
          <w:color w:val="000000"/>
          <w:sz w:val="22"/>
          <w:szCs w:val="22"/>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sz w:val="22"/>
          <w:szCs w:val="22"/>
          <w:vertAlign w:val="superscript"/>
        </w:rPr>
        <w:footnoteReference w:id="3"/>
      </w:r>
      <w:r>
        <w:rPr>
          <w:rFonts w:ascii="Palatino Linotype" w:eastAsia="Palatino Linotype" w:hAnsi="Palatino Linotype" w:cs="Palatino Linotype"/>
          <w:color w:val="000000"/>
          <w:sz w:val="22"/>
          <w:szCs w:val="22"/>
        </w:rPr>
        <w:t>fomentando</w:t>
      </w:r>
      <w:r>
        <w:rPr>
          <w:rFonts w:ascii="Palatino Linotype" w:eastAsia="Palatino Linotype" w:hAnsi="Palatino Linotype" w:cs="Palatino Linotype"/>
          <w:i/>
          <w:color w:val="000000"/>
          <w:sz w:val="22"/>
          <w:szCs w:val="22"/>
        </w:rPr>
        <w:t xml:space="preserve"> la transparencia de las actividades estatales y </w:t>
      </w:r>
      <w:r>
        <w:rPr>
          <w:rFonts w:ascii="Palatino Linotype" w:eastAsia="Palatino Linotype" w:hAnsi="Palatino Linotype" w:cs="Palatino Linotype"/>
          <w:color w:val="000000"/>
          <w:sz w:val="22"/>
          <w:szCs w:val="22"/>
        </w:rPr>
        <w:t>promoviendo</w:t>
      </w:r>
      <w:r>
        <w:rPr>
          <w:rFonts w:ascii="Palatino Linotype" w:eastAsia="Palatino Linotype" w:hAnsi="Palatino Linotype" w:cs="Palatino Linotype"/>
          <w:i/>
          <w:color w:val="000000"/>
          <w:sz w:val="22"/>
          <w:szCs w:val="22"/>
        </w:rPr>
        <w:t xml:space="preserve"> la responsabilidad de los funcionarios sobre su gestión pública,</w:t>
      </w:r>
      <w:r>
        <w:rPr>
          <w:rFonts w:ascii="Palatino Linotype" w:eastAsia="Palatino Linotype" w:hAnsi="Palatino Linotype" w:cs="Palatino Linotype"/>
          <w:i/>
          <w:sz w:val="22"/>
          <w:szCs w:val="22"/>
          <w:vertAlign w:val="superscript"/>
        </w:rPr>
        <w:footnoteReference w:id="4"/>
      </w:r>
      <w:r>
        <w:rPr>
          <w:rFonts w:ascii="Palatino Linotype" w:eastAsia="Palatino Linotype" w:hAnsi="Palatino Linotype" w:cs="Palatino Linotype"/>
          <w:color w:val="000000"/>
          <w:sz w:val="22"/>
          <w:szCs w:val="22"/>
        </w:rPr>
        <w:t>que permite</w:t>
      </w:r>
      <w:r>
        <w:rPr>
          <w:rFonts w:ascii="Palatino Linotype" w:eastAsia="Palatino Linotype" w:hAnsi="Palatino Linotype" w:cs="Palatino Linotype"/>
          <w:i/>
          <w:color w:val="000000"/>
          <w:sz w:val="22"/>
          <w:szCs w:val="22"/>
        </w:rPr>
        <w:t xml:space="preserve"> saber qué están haciendo los gobiernos por sus pueblos, sin lo cual la verdad languidecería y la participación en el gobierno permanecería fragmentada.</w:t>
      </w:r>
    </w:p>
    <w:p w:rsidR="00E00D9A" w:rsidRDefault="00E00D9A">
      <w:pPr>
        <w:spacing w:line="360" w:lineRule="auto"/>
        <w:ind w:right="1"/>
        <w:jc w:val="both"/>
        <w:rPr>
          <w:rFonts w:ascii="Palatino Linotype" w:eastAsia="Palatino Linotype" w:hAnsi="Palatino Linotype" w:cs="Palatino Linotype"/>
          <w:sz w:val="22"/>
          <w:szCs w:val="22"/>
        </w:rPr>
      </w:pPr>
    </w:p>
    <w:p w:rsidR="00E00D9A" w:rsidRDefault="00957322">
      <w:pPr>
        <w:numPr>
          <w:ilvl w:val="0"/>
          <w:numId w:val="3"/>
        </w:numPr>
        <w:spacing w:line="360" w:lineRule="auto"/>
        <w:ind w:left="0" w:right="1"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México, además de los derechos, están reconocidas las garantías para su protección, en ese sentido el párrafo tercero de artículo primero de la Constitución Política de los Estados Unidos Mexicanos dispone lo siguiente:</w:t>
      </w:r>
    </w:p>
    <w:p w:rsidR="00E00D9A" w:rsidRDefault="00E00D9A">
      <w:pPr>
        <w:spacing w:line="360" w:lineRule="auto"/>
        <w:ind w:left="851" w:right="851"/>
        <w:jc w:val="both"/>
        <w:rPr>
          <w:rFonts w:ascii="Palatino Linotype" w:eastAsia="Palatino Linotype" w:hAnsi="Palatino Linotype" w:cs="Palatino Linotype"/>
          <w:i/>
          <w:sz w:val="20"/>
          <w:szCs w:val="20"/>
        </w:rPr>
      </w:pPr>
    </w:p>
    <w:p w:rsidR="00E00D9A" w:rsidRDefault="00957322">
      <w:pPr>
        <w:spacing w:line="360" w:lineRule="auto"/>
        <w:ind w:left="851"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Artículo 1.-</w:t>
      </w:r>
      <w:r>
        <w:rPr>
          <w:rFonts w:ascii="Palatino Linotype" w:eastAsia="Palatino Linotype" w:hAnsi="Palatino Linotype" w:cs="Palatino Linotype"/>
          <w:i/>
          <w:sz w:val="20"/>
          <w:szCs w:val="20"/>
        </w:rPr>
        <w:t xml:space="preserve"> </w:t>
      </w:r>
    </w:p>
    <w:p w:rsidR="00E00D9A" w:rsidRDefault="00957322">
      <w:pPr>
        <w:spacing w:line="360" w:lineRule="auto"/>
        <w:ind w:left="851"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E00D9A" w:rsidRDefault="00957322">
      <w:pPr>
        <w:spacing w:line="360" w:lineRule="auto"/>
        <w:ind w:left="851"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Todas las</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00D9A" w:rsidRDefault="00957322">
      <w:pPr>
        <w:spacing w:line="360" w:lineRule="auto"/>
        <w:ind w:left="851" w:right="851"/>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sz w:val="20"/>
          <w:szCs w:val="20"/>
        </w:rPr>
        <w:t>”.</w:t>
      </w:r>
    </w:p>
    <w:p w:rsidR="00E00D9A" w:rsidRDefault="00E00D9A">
      <w:pPr>
        <w:spacing w:line="360" w:lineRule="auto"/>
        <w:ind w:right="1"/>
        <w:jc w:val="both"/>
        <w:rPr>
          <w:rFonts w:ascii="Palatino Linotype" w:eastAsia="Palatino Linotype" w:hAnsi="Palatino Linotype" w:cs="Palatino Linotype"/>
          <w:b/>
          <w:sz w:val="20"/>
          <w:szCs w:val="20"/>
        </w:rPr>
      </w:pPr>
    </w:p>
    <w:p w:rsidR="00E00D9A" w:rsidRDefault="00957322">
      <w:pPr>
        <w:numPr>
          <w:ilvl w:val="0"/>
          <w:numId w:val="3"/>
        </w:numPr>
        <w:spacing w:line="360" w:lineRule="auto"/>
        <w:ind w:left="0" w:right="1"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E00D9A" w:rsidRDefault="00E00D9A">
      <w:pPr>
        <w:spacing w:line="360" w:lineRule="auto"/>
        <w:ind w:right="1"/>
        <w:jc w:val="both"/>
        <w:rPr>
          <w:rFonts w:ascii="Palatino Linotype" w:eastAsia="Palatino Linotype" w:hAnsi="Palatino Linotype" w:cs="Palatino Linotype"/>
          <w:sz w:val="22"/>
          <w:szCs w:val="22"/>
        </w:rPr>
      </w:pPr>
    </w:p>
    <w:p w:rsidR="00E00D9A" w:rsidRDefault="00957322">
      <w:pPr>
        <w:numPr>
          <w:ilvl w:val="0"/>
          <w:numId w:val="3"/>
        </w:numPr>
        <w:spacing w:line="360" w:lineRule="auto"/>
        <w:ind w:left="0" w:right="1"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E00D9A" w:rsidRDefault="00E00D9A">
      <w:pPr>
        <w:spacing w:line="360" w:lineRule="auto"/>
        <w:ind w:right="1"/>
        <w:jc w:val="both"/>
        <w:rPr>
          <w:rFonts w:ascii="Palatino Linotype" w:eastAsia="Palatino Linotype" w:hAnsi="Palatino Linotype" w:cs="Palatino Linotype"/>
          <w:sz w:val="20"/>
          <w:szCs w:val="20"/>
        </w:rPr>
      </w:pPr>
    </w:p>
    <w:p w:rsidR="00E00D9A" w:rsidRDefault="00957322">
      <w:pPr>
        <w:spacing w:line="360" w:lineRule="auto"/>
        <w:ind w:left="851" w:right="568"/>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Constitución Política de los Estados Unidos Mexicanos</w:t>
      </w:r>
    </w:p>
    <w:p w:rsidR="00E00D9A" w:rsidRDefault="00957322">
      <w:pPr>
        <w:spacing w:line="360" w:lineRule="auto"/>
        <w:ind w:left="851" w:right="568"/>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“Artículo 6.</w:t>
      </w:r>
    </w:p>
    <w:p w:rsidR="00E00D9A" w:rsidRDefault="00957322">
      <w:pPr>
        <w:spacing w:line="360" w:lineRule="auto"/>
        <w:ind w:left="851" w:right="568"/>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E00D9A" w:rsidRDefault="00957322">
      <w:pPr>
        <w:spacing w:line="360" w:lineRule="auto"/>
        <w:ind w:left="851" w:right="568"/>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Para efectos de lo dispuesto en el presente artículo se observará lo siguiente:</w:t>
      </w:r>
    </w:p>
    <w:p w:rsidR="00E00D9A" w:rsidRDefault="00957322">
      <w:pPr>
        <w:spacing w:line="360" w:lineRule="auto"/>
        <w:ind w:left="851" w:right="568"/>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A</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b/>
          <w:i/>
          <w:sz w:val="20"/>
          <w:szCs w:val="20"/>
        </w:rPr>
        <w:t>Para el ejercicio del derecho de acceso a la información</w:t>
      </w:r>
      <w:r>
        <w:rPr>
          <w:rFonts w:ascii="Palatino Linotype" w:eastAsia="Palatino Linotype" w:hAnsi="Palatino Linotype" w:cs="Palatino Linotype"/>
          <w:i/>
          <w:sz w:val="20"/>
          <w:szCs w:val="20"/>
        </w:rPr>
        <w:t xml:space="preserve">, la Federación y </w:t>
      </w:r>
      <w:r>
        <w:rPr>
          <w:rFonts w:ascii="Palatino Linotype" w:eastAsia="Palatino Linotype" w:hAnsi="Palatino Linotype" w:cs="Palatino Linotype"/>
          <w:b/>
          <w:i/>
          <w:sz w:val="20"/>
          <w:szCs w:val="20"/>
        </w:rPr>
        <w:t>las entidades federativas, en el ámbito de sus respectivas competencias, se regirán por los siguientes principios y bases:</w:t>
      </w:r>
    </w:p>
    <w:p w:rsidR="00E00D9A" w:rsidRDefault="00E00D9A">
      <w:pPr>
        <w:spacing w:line="360" w:lineRule="auto"/>
        <w:ind w:left="851" w:right="568"/>
        <w:jc w:val="both"/>
        <w:rPr>
          <w:rFonts w:ascii="Palatino Linotype" w:eastAsia="Palatino Linotype" w:hAnsi="Palatino Linotype" w:cs="Palatino Linotype"/>
          <w:b/>
          <w:i/>
          <w:sz w:val="20"/>
          <w:szCs w:val="20"/>
        </w:rPr>
      </w:pPr>
    </w:p>
    <w:p w:rsidR="00E00D9A" w:rsidRDefault="00957322">
      <w:pPr>
        <w:spacing w:line="360" w:lineRule="auto"/>
        <w:ind w:left="851" w:right="568"/>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I. </w:t>
      </w:r>
      <w:r>
        <w:rPr>
          <w:rFonts w:ascii="Palatino Linotype" w:eastAsia="Palatino Linotype" w:hAnsi="Palatino Linotype" w:cs="Palatino Linotype"/>
          <w:b/>
          <w:i/>
          <w:sz w:val="20"/>
          <w:szCs w:val="20"/>
        </w:rPr>
        <w:tab/>
        <w:t>Toda la información en posesión de cualquier</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b/>
          <w:i/>
          <w:sz w:val="20"/>
          <w:szCs w:val="20"/>
        </w:rPr>
        <w:t>autoridad</w:t>
      </w:r>
      <w:r>
        <w:rPr>
          <w:rFonts w:ascii="Palatino Linotype" w:eastAsia="Palatino Linotype" w:hAnsi="Palatino Linotype" w:cs="Palatino Linotype"/>
          <w:i/>
          <w:sz w:val="20"/>
          <w:szCs w:val="20"/>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0"/>
          <w:szCs w:val="20"/>
        </w:rPr>
        <w:t>municipal</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b/>
          <w:i/>
          <w:sz w:val="20"/>
          <w:szCs w:val="20"/>
        </w:rPr>
        <w:t>es pública</w:t>
      </w:r>
      <w:r>
        <w:rPr>
          <w:rFonts w:ascii="Palatino Linotype" w:eastAsia="Palatino Linotype" w:hAnsi="Palatino Linotype" w:cs="Palatino Linotype"/>
          <w:i/>
          <w:sz w:val="20"/>
          <w:szCs w:val="20"/>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sz w:val="20"/>
          <w:szCs w:val="20"/>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0"/>
          <w:szCs w:val="20"/>
        </w:rPr>
        <w:t>, la ley determinará los supuestos específicos bajo los cuales procederá la declaración de inexistencia de la información.”</w:t>
      </w:r>
    </w:p>
    <w:p w:rsidR="00E00D9A" w:rsidRDefault="00957322">
      <w:pPr>
        <w:spacing w:line="360" w:lineRule="auto"/>
        <w:ind w:left="851" w:right="568"/>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Constitución Política del Estado Libre y Soberano de México</w:t>
      </w:r>
    </w:p>
    <w:p w:rsidR="00E00D9A" w:rsidRDefault="00957322">
      <w:pPr>
        <w:spacing w:line="360" w:lineRule="auto"/>
        <w:ind w:left="851" w:right="568"/>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5</w:t>
      </w:r>
      <w:r>
        <w:rPr>
          <w:rFonts w:ascii="Palatino Linotype" w:eastAsia="Palatino Linotype" w:hAnsi="Palatino Linotype" w:cs="Palatino Linotype"/>
          <w:i/>
          <w:sz w:val="20"/>
          <w:szCs w:val="20"/>
        </w:rPr>
        <w:t xml:space="preserve">.- </w:t>
      </w:r>
    </w:p>
    <w:p w:rsidR="00E00D9A" w:rsidRDefault="00957322">
      <w:pPr>
        <w:spacing w:line="360" w:lineRule="auto"/>
        <w:ind w:left="851" w:right="568"/>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E00D9A" w:rsidRDefault="00957322">
      <w:pPr>
        <w:spacing w:line="360" w:lineRule="auto"/>
        <w:ind w:left="851" w:right="568"/>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lastRenderedPageBreak/>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0"/>
          <w:szCs w:val="20"/>
        </w:rPr>
        <w:t>.</w:t>
      </w:r>
    </w:p>
    <w:p w:rsidR="00E00D9A" w:rsidRDefault="00957322">
      <w:pPr>
        <w:spacing w:line="360" w:lineRule="auto"/>
        <w:ind w:left="851" w:right="568"/>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00D9A" w:rsidRDefault="00E00D9A">
      <w:pPr>
        <w:spacing w:line="360" w:lineRule="auto"/>
        <w:ind w:left="851" w:right="568"/>
        <w:jc w:val="both"/>
        <w:rPr>
          <w:rFonts w:ascii="Palatino Linotype" w:eastAsia="Palatino Linotype" w:hAnsi="Palatino Linotype" w:cs="Palatino Linotype"/>
          <w:i/>
          <w:sz w:val="20"/>
          <w:szCs w:val="20"/>
        </w:rPr>
      </w:pPr>
    </w:p>
    <w:p w:rsidR="00E00D9A" w:rsidRDefault="00957322">
      <w:pPr>
        <w:spacing w:line="360" w:lineRule="auto"/>
        <w:ind w:left="851" w:right="568"/>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Este derecho se regirá por los principios y bases siguientes</w:t>
      </w:r>
      <w:r>
        <w:rPr>
          <w:rFonts w:ascii="Palatino Linotype" w:eastAsia="Palatino Linotype" w:hAnsi="Palatino Linotype" w:cs="Palatino Linotype"/>
          <w:i/>
          <w:sz w:val="20"/>
          <w:szCs w:val="20"/>
        </w:rPr>
        <w:t>:</w:t>
      </w:r>
    </w:p>
    <w:p w:rsidR="00E00D9A" w:rsidRDefault="00E00D9A">
      <w:pPr>
        <w:spacing w:line="360" w:lineRule="auto"/>
        <w:ind w:left="851" w:right="568"/>
        <w:jc w:val="both"/>
        <w:rPr>
          <w:rFonts w:ascii="Palatino Linotype" w:eastAsia="Palatino Linotype" w:hAnsi="Palatino Linotype" w:cs="Palatino Linotype"/>
          <w:i/>
          <w:sz w:val="20"/>
          <w:szCs w:val="20"/>
        </w:rPr>
      </w:pPr>
    </w:p>
    <w:p w:rsidR="00E00D9A" w:rsidRDefault="00957322">
      <w:pPr>
        <w:spacing w:line="360" w:lineRule="auto"/>
        <w:ind w:left="851" w:right="568"/>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 Toda la información en posesión de cualquier autoridad, entidad, órgano y organismos de los</w:t>
      </w:r>
      <w:r>
        <w:rPr>
          <w:rFonts w:ascii="Palatino Linotype" w:eastAsia="Palatino Linotype" w:hAnsi="Palatino Linotype" w:cs="Palatino Linotype"/>
          <w:i/>
          <w:sz w:val="20"/>
          <w:szCs w:val="20"/>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0"/>
          <w:szCs w:val="20"/>
        </w:rPr>
        <w:t>municipales</w:t>
      </w:r>
      <w:r>
        <w:rPr>
          <w:rFonts w:ascii="Palatino Linotype" w:eastAsia="Palatino Linotype" w:hAnsi="Palatino Linotype" w:cs="Palatino Linotype"/>
          <w:i/>
          <w:sz w:val="20"/>
          <w:szCs w:val="20"/>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0"/>
          <w:szCs w:val="20"/>
        </w:rPr>
        <w:t>es pública</w:t>
      </w:r>
      <w:r>
        <w:rPr>
          <w:rFonts w:ascii="Palatino Linotype" w:eastAsia="Palatino Linotype" w:hAnsi="Palatino Linotype" w:cs="Palatino Linotype"/>
          <w:i/>
          <w:sz w:val="20"/>
          <w:szCs w:val="20"/>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0"/>
          <w:szCs w:val="20"/>
        </w:rPr>
        <w:t>En la interpretación de este derecho deberá prevalecer el principio de máxima publicidad</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b/>
          <w:i/>
          <w:sz w:val="20"/>
          <w:szCs w:val="20"/>
        </w:rPr>
        <w:t>Los sujetos obligados deberán documentar todo acto que derive del ejercicio de sus facultades, competencias o funciones</w:t>
      </w:r>
      <w:r>
        <w:rPr>
          <w:rFonts w:ascii="Palatino Linotype" w:eastAsia="Palatino Linotype" w:hAnsi="Palatino Linotype" w:cs="Palatino Linotype"/>
          <w:i/>
          <w:sz w:val="20"/>
          <w:szCs w:val="20"/>
        </w:rPr>
        <w:t>, la ley determinará los supuestos específicos bajo los cuales procederá la declaración de inexistencia de la información.”</w:t>
      </w:r>
    </w:p>
    <w:p w:rsidR="00E00D9A" w:rsidRDefault="00E00D9A">
      <w:pPr>
        <w:spacing w:line="360" w:lineRule="auto"/>
        <w:ind w:left="1134" w:right="568"/>
        <w:jc w:val="both"/>
        <w:rPr>
          <w:rFonts w:ascii="Palatino Linotype" w:eastAsia="Palatino Linotype" w:hAnsi="Palatino Linotype" w:cs="Palatino Linotype"/>
          <w:i/>
          <w:sz w:val="20"/>
          <w:szCs w:val="20"/>
        </w:rPr>
      </w:pPr>
    </w:p>
    <w:p w:rsidR="00E00D9A" w:rsidRDefault="00957322">
      <w:pPr>
        <w:numPr>
          <w:ilvl w:val="0"/>
          <w:numId w:val="3"/>
        </w:numPr>
        <w:spacing w:line="360" w:lineRule="auto"/>
        <w:ind w:left="0" w:right="1"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sz w:val="22"/>
          <w:szCs w:val="22"/>
        </w:rPr>
        <w:t>por los principios de simplicidad, rapidez gratuidad del procedimiento, auxilio y orientación a los particulares</w:t>
      </w:r>
      <w:r>
        <w:rPr>
          <w:rFonts w:ascii="Palatino Linotype" w:eastAsia="Palatino Linotype" w:hAnsi="Palatino Linotype" w:cs="Palatino Linotype"/>
          <w:sz w:val="22"/>
          <w:szCs w:val="22"/>
        </w:rPr>
        <w:t>, contemplando el derecho de las personas con discapacidad y hablantes de lengua indígena.</w:t>
      </w:r>
    </w:p>
    <w:p w:rsidR="00E00D9A" w:rsidRDefault="00E00D9A">
      <w:pPr>
        <w:spacing w:line="360" w:lineRule="auto"/>
        <w:ind w:right="1"/>
        <w:jc w:val="both"/>
        <w:rPr>
          <w:rFonts w:ascii="Palatino Linotype" w:eastAsia="Palatino Linotype" w:hAnsi="Palatino Linotype" w:cs="Palatino Linotype"/>
          <w:sz w:val="22"/>
          <w:szCs w:val="22"/>
        </w:rPr>
      </w:pPr>
    </w:p>
    <w:p w:rsidR="00E00D9A" w:rsidRDefault="00957322">
      <w:pPr>
        <w:numPr>
          <w:ilvl w:val="0"/>
          <w:numId w:val="3"/>
        </w:numPr>
        <w:spacing w:line="360" w:lineRule="auto"/>
        <w:ind w:left="0" w:right="1"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El Derecho de Acceso a la Información se garantiza y respeta oportunamente, y según lo que dispone la Ley, las </w:t>
      </w:r>
      <w:r>
        <w:rPr>
          <w:rFonts w:ascii="Palatino Linotype" w:eastAsia="Palatino Linotype" w:hAnsi="Palatino Linotype" w:cs="Palatino Linotype"/>
          <w:i/>
          <w:sz w:val="22"/>
          <w:szCs w:val="22"/>
        </w:rPr>
        <w:t>solicitudes de acceso a la información</w:t>
      </w:r>
      <w:r>
        <w:rPr>
          <w:rFonts w:ascii="Palatino Linotype" w:eastAsia="Palatino Linotype" w:hAnsi="Palatino Linotype" w:cs="Palatino Linotype"/>
          <w:sz w:val="22"/>
          <w:szCs w:val="22"/>
        </w:rPr>
        <w:t>.</w:t>
      </w:r>
    </w:p>
    <w:p w:rsidR="00E00D9A" w:rsidRDefault="00E00D9A">
      <w:pPr>
        <w:spacing w:line="360" w:lineRule="auto"/>
        <w:ind w:right="1"/>
        <w:jc w:val="both"/>
        <w:rPr>
          <w:rFonts w:ascii="Palatino Linotype" w:eastAsia="Palatino Linotype" w:hAnsi="Palatino Linotype" w:cs="Palatino Linotype"/>
          <w:sz w:val="22"/>
          <w:szCs w:val="22"/>
        </w:rPr>
      </w:pPr>
    </w:p>
    <w:p w:rsidR="00E00D9A" w:rsidRDefault="00957322">
      <w:pPr>
        <w:numPr>
          <w:ilvl w:val="0"/>
          <w:numId w:val="3"/>
        </w:numPr>
        <w:spacing w:line="360" w:lineRule="auto"/>
        <w:ind w:left="0" w:right="1" w:firstLine="0"/>
        <w:jc w:val="both"/>
        <w:rPr>
          <w:rFonts w:ascii="Palatino Linotype" w:eastAsia="Palatino Linotype" w:hAnsi="Palatino Linotype" w:cs="Palatino Linotype"/>
          <w:sz w:val="22"/>
          <w:szCs w:val="22"/>
        </w:rPr>
      </w:pPr>
      <w:bookmarkStart w:id="8" w:name="_heading=h.4d34og8" w:colFirst="0" w:colLast="0"/>
      <w:bookmarkEnd w:id="8"/>
      <w:r>
        <w:rPr>
          <w:rFonts w:ascii="Palatino Linotype" w:eastAsia="Palatino Linotype" w:hAnsi="Palatino Linotype" w:cs="Palatino Linotype"/>
          <w:sz w:val="22"/>
          <w:szCs w:val="22"/>
        </w:rPr>
        <w:t xml:space="preserve">Así entonces, se procede analizar, en primer lugar, si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E00D9A" w:rsidRDefault="00E00D9A">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E00D9A" w:rsidRDefault="00957322">
      <w:pPr>
        <w:pStyle w:val="Ttulo1"/>
        <w:spacing w:before="0" w:line="360" w:lineRule="auto"/>
        <w:ind w:right="1"/>
        <w:rPr>
          <w:rFonts w:ascii="Palatino Linotype" w:eastAsia="Palatino Linotype" w:hAnsi="Palatino Linotype" w:cs="Palatino Linotype"/>
          <w:b/>
          <w:color w:val="000000"/>
          <w:sz w:val="22"/>
          <w:szCs w:val="22"/>
        </w:rPr>
      </w:pPr>
      <w:bookmarkStart w:id="9" w:name="_heading=h.2s8eyo1" w:colFirst="0" w:colLast="0"/>
      <w:bookmarkEnd w:id="9"/>
      <w:r>
        <w:rPr>
          <w:rFonts w:ascii="Palatino Linotype" w:eastAsia="Palatino Linotype" w:hAnsi="Palatino Linotype" w:cs="Palatino Linotype"/>
          <w:b/>
          <w:color w:val="000000"/>
          <w:sz w:val="22"/>
          <w:szCs w:val="22"/>
        </w:rPr>
        <w:t>II. De la información solicitada y la respuesta del SUJETO OBLIGADO</w:t>
      </w:r>
    </w:p>
    <w:p w:rsidR="00E00D9A" w:rsidRDefault="00E00D9A">
      <w:pPr>
        <w:spacing w:line="360" w:lineRule="auto"/>
        <w:rPr>
          <w:rFonts w:ascii="Palatino Linotype" w:eastAsia="Palatino Linotype" w:hAnsi="Palatino Linotype" w:cs="Palatino Linotype"/>
          <w:sz w:val="10"/>
          <w:szCs w:val="10"/>
        </w:rPr>
      </w:pPr>
      <w:bookmarkStart w:id="10" w:name="_heading=h.lnxbz9" w:colFirst="0" w:colLast="0"/>
      <w:bookmarkEnd w:id="10"/>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bookmarkStart w:id="11" w:name="_heading=h.1t3h5sf" w:colFirst="0" w:colLast="0"/>
      <w:bookmarkEnd w:id="11"/>
      <w:r>
        <w:rPr>
          <w:rFonts w:ascii="Palatino Linotype" w:eastAsia="Palatino Linotype" w:hAnsi="Palatino Linotype" w:cs="Palatino Linotype"/>
          <w:color w:val="000000"/>
          <w:sz w:val="22"/>
          <w:szCs w:val="22"/>
        </w:rPr>
        <w:t>Es conveniente analizar si la respuesta del SUJETO OBLIGADO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E00D9A" w:rsidRDefault="00957322">
      <w:pPr>
        <w:spacing w:line="360" w:lineRule="auto"/>
        <w:ind w:left="851" w:right="76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b/>
          <w:i/>
          <w:color w:val="000000"/>
          <w:sz w:val="20"/>
          <w:szCs w:val="20"/>
        </w:rPr>
        <w:t>Artículo 4</w:t>
      </w:r>
      <w:r>
        <w:rPr>
          <w:rFonts w:ascii="Palatino Linotype" w:eastAsia="Palatino Linotype" w:hAnsi="Palatino Linotype" w:cs="Palatino Linotype"/>
          <w:i/>
          <w:color w:val="000000"/>
          <w:sz w:val="20"/>
          <w:szCs w:val="2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00D9A" w:rsidRDefault="00957322">
      <w:pPr>
        <w:spacing w:line="360" w:lineRule="auto"/>
        <w:ind w:left="851" w:right="76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color w:val="000000"/>
          <w:sz w:val="20"/>
          <w:szCs w:val="20"/>
        </w:rPr>
        <w:t xml:space="preserve">, en los términos y condiciones que se establezcan en los tratados internacionales de los que el Estado mexicano sea parte, en la Ley General, la presente Ley y demás disposiciones de la materia, privilegiando el principio de máxima publicidad de la </w:t>
      </w:r>
      <w:r>
        <w:rPr>
          <w:rFonts w:ascii="Palatino Linotype" w:eastAsia="Palatino Linotype" w:hAnsi="Palatino Linotype" w:cs="Palatino Linotype"/>
          <w:i/>
          <w:color w:val="000000"/>
          <w:sz w:val="20"/>
          <w:szCs w:val="20"/>
        </w:rPr>
        <w:lastRenderedPageBreak/>
        <w:t>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00D9A" w:rsidRDefault="00957322">
      <w:pPr>
        <w:spacing w:line="360" w:lineRule="auto"/>
        <w:ind w:left="851" w:right="76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color w:val="000000"/>
          <w:sz w:val="20"/>
          <w:szCs w:val="20"/>
        </w:rPr>
        <w:t>.”(Sic)</w:t>
      </w:r>
    </w:p>
    <w:p w:rsidR="00E00D9A" w:rsidRDefault="00E00D9A">
      <w:pPr>
        <w:spacing w:line="360" w:lineRule="auto"/>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E00D9A" w:rsidRDefault="00E00D9A">
      <w:pPr>
        <w:spacing w:line="360" w:lineRule="auto"/>
        <w:jc w:val="both"/>
        <w:rPr>
          <w:rFonts w:ascii="Palatino Linotype" w:eastAsia="Palatino Linotype" w:hAnsi="Palatino Linotype" w:cs="Palatino Linotype"/>
          <w:color w:val="000000"/>
          <w:sz w:val="22"/>
          <w:szCs w:val="22"/>
        </w:rPr>
      </w:pPr>
    </w:p>
    <w:p w:rsidR="00E00D9A" w:rsidRDefault="00957322">
      <w:pPr>
        <w:spacing w:line="360" w:lineRule="auto"/>
        <w:ind w:left="567" w:right="758"/>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“Artículo 12.-</w:t>
      </w:r>
      <w:r>
        <w:rPr>
          <w:rFonts w:ascii="Palatino Linotype" w:eastAsia="Palatino Linotype" w:hAnsi="Palatino Linotype" w:cs="Palatino Linotype"/>
          <w:i/>
          <w:color w:val="000000"/>
          <w:sz w:val="20"/>
          <w:szCs w:val="20"/>
        </w:rPr>
        <w:t xml:space="preserve"> Quienes generen, recopilen, administren, manejen, procesen, archiven o conserven información pública serán responsables de la misma en los términos de las disposiciones jurídicas aplicables. </w:t>
      </w:r>
    </w:p>
    <w:p w:rsidR="00E00D9A" w:rsidRDefault="00E00D9A">
      <w:pPr>
        <w:spacing w:line="360" w:lineRule="auto"/>
        <w:ind w:left="567" w:right="758"/>
        <w:jc w:val="both"/>
        <w:rPr>
          <w:rFonts w:ascii="Palatino Linotype" w:eastAsia="Palatino Linotype" w:hAnsi="Palatino Linotype" w:cs="Palatino Linotype"/>
          <w:i/>
          <w:color w:val="000000"/>
          <w:sz w:val="20"/>
          <w:szCs w:val="20"/>
        </w:rPr>
      </w:pPr>
    </w:p>
    <w:p w:rsidR="00E00D9A" w:rsidRDefault="00957322">
      <w:pPr>
        <w:spacing w:line="360" w:lineRule="auto"/>
        <w:ind w:left="567" w:right="758"/>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La obligación de proporcionar información no comprende el procesamiento de la misma, ni el presentarla conforme al interés del solicitante; no estarán obligados a generarla, resumirla, efectuar cálculos o practicar investigaciones.” (Sic)</w:t>
      </w:r>
    </w:p>
    <w:p w:rsidR="00E00D9A" w:rsidRDefault="00E00D9A">
      <w:pPr>
        <w:spacing w:line="360" w:lineRule="auto"/>
        <w:ind w:right="-93"/>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w:t>
      </w:r>
      <w:r>
        <w:rPr>
          <w:rFonts w:ascii="Palatino Linotype" w:eastAsia="Palatino Linotype" w:hAnsi="Palatino Linotype" w:cs="Palatino Linotype"/>
          <w:color w:val="000000"/>
          <w:sz w:val="22"/>
          <w:szCs w:val="22"/>
        </w:rPr>
        <w:lastRenderedPageBreak/>
        <w:t>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E00D9A" w:rsidRDefault="00E00D9A">
      <w:pPr>
        <w:spacing w:line="360" w:lineRule="auto"/>
        <w:ind w:right="-93"/>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sz w:val="22"/>
          <w:szCs w:val="22"/>
        </w:rPr>
        <w:t xml:space="preserve"> </w:t>
      </w:r>
    </w:p>
    <w:p w:rsidR="00E00D9A" w:rsidRDefault="00E00D9A">
      <w:pPr>
        <w:spacing w:line="360" w:lineRule="auto"/>
        <w:ind w:left="851" w:right="850"/>
        <w:jc w:val="both"/>
        <w:rPr>
          <w:rFonts w:ascii="Palatino Linotype" w:eastAsia="Palatino Linotype" w:hAnsi="Palatino Linotype" w:cs="Palatino Linotype"/>
          <w:color w:val="000000"/>
          <w:sz w:val="22"/>
          <w:szCs w:val="22"/>
        </w:rPr>
      </w:pPr>
    </w:p>
    <w:p w:rsidR="00E00D9A" w:rsidRDefault="00957322">
      <w:pPr>
        <w:spacing w:line="360" w:lineRule="auto"/>
        <w:ind w:left="851" w:right="90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b/>
          <w:i/>
          <w:color w:val="000000"/>
          <w:sz w:val="20"/>
          <w:szCs w:val="20"/>
        </w:rPr>
        <w:t>No existe obligación de elaborar documentos ad hoc para atender las solicitudes de acceso a la información.</w:t>
      </w:r>
      <w:r>
        <w:rPr>
          <w:rFonts w:ascii="Palatino Linotype" w:eastAsia="Palatino Linotype" w:hAnsi="Palatino Linotype" w:cs="Palatino Linotype"/>
          <w:i/>
          <w:color w:val="000000"/>
          <w:sz w:val="20"/>
          <w:szCs w:val="2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00D9A" w:rsidRDefault="00957322">
      <w:pPr>
        <w:spacing w:line="360" w:lineRule="auto"/>
        <w:ind w:left="851" w:right="90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Resoluciones: </w:t>
      </w:r>
    </w:p>
    <w:p w:rsidR="00E00D9A" w:rsidRDefault="00957322">
      <w:pPr>
        <w:spacing w:line="360" w:lineRule="auto"/>
        <w:ind w:left="851" w:right="90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RRA 0050/16. Instituto Nacional para la Evaluación de la Educación. 13 julio de 2016. Por unanimidad. Comisionado Ponente: Francisco Javier Acuña Llamas.</w:t>
      </w:r>
    </w:p>
    <w:p w:rsidR="00E00D9A" w:rsidRDefault="00957322">
      <w:pPr>
        <w:spacing w:line="360" w:lineRule="auto"/>
        <w:ind w:left="851" w:right="90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 RRA 0310/16. Instituto Nacional de Transparencia, Acceso a la Información y Protección de Datos Personales. 10 de agosto de 2016. Por unanimidad. Comisionada Ponente. Areli Cano Guadiana. </w:t>
      </w:r>
    </w:p>
    <w:p w:rsidR="00E00D9A" w:rsidRDefault="00957322">
      <w:pPr>
        <w:spacing w:line="360" w:lineRule="auto"/>
        <w:ind w:left="851" w:right="90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RRA 1889/16. Secretaría de Hacienda y Crédito Público. 05 de octubre de 2016. Por unanimidad. Comisionada Ponente. Ximena Puente de la Mora.”(Sic)</w:t>
      </w:r>
    </w:p>
    <w:p w:rsidR="00E00D9A" w:rsidRDefault="00E00D9A">
      <w:pPr>
        <w:spacing w:line="360" w:lineRule="auto"/>
        <w:ind w:right="-93"/>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00D9A" w:rsidRDefault="00E00D9A">
      <w:pPr>
        <w:spacing w:line="360" w:lineRule="auto"/>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00D9A" w:rsidRDefault="00E00D9A">
      <w:pPr>
        <w:spacing w:line="360" w:lineRule="auto"/>
        <w:ind w:right="49"/>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00D9A" w:rsidRDefault="00E00D9A">
      <w:pPr>
        <w:spacing w:line="360" w:lineRule="auto"/>
        <w:ind w:left="851" w:right="899"/>
        <w:jc w:val="both"/>
        <w:rPr>
          <w:rFonts w:ascii="Palatino Linotype" w:eastAsia="Palatino Linotype" w:hAnsi="Palatino Linotype" w:cs="Palatino Linotype"/>
          <w:i/>
          <w:color w:val="000000"/>
          <w:sz w:val="10"/>
          <w:szCs w:val="10"/>
        </w:rPr>
      </w:pPr>
    </w:p>
    <w:p w:rsidR="00E00D9A" w:rsidRDefault="00957322">
      <w:pPr>
        <w:spacing w:line="360" w:lineRule="auto"/>
        <w:ind w:left="851" w:right="899"/>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b/>
          <w:i/>
          <w:color w:val="000000"/>
          <w:sz w:val="20"/>
          <w:szCs w:val="20"/>
        </w:rPr>
        <w:t xml:space="preserve">Artículo 3. </w:t>
      </w:r>
      <w:r>
        <w:rPr>
          <w:rFonts w:ascii="Palatino Linotype" w:eastAsia="Palatino Linotype" w:hAnsi="Palatino Linotype" w:cs="Palatino Linotype"/>
          <w:i/>
          <w:color w:val="000000"/>
          <w:sz w:val="20"/>
          <w:szCs w:val="20"/>
        </w:rPr>
        <w:t>Para los efectos de la presente Ley se entenderá por:</w:t>
      </w:r>
    </w:p>
    <w:p w:rsidR="00E00D9A" w:rsidRDefault="00957322">
      <w:pPr>
        <w:spacing w:line="360" w:lineRule="auto"/>
        <w:ind w:left="851" w:right="899"/>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E00D9A" w:rsidRDefault="00957322">
      <w:pPr>
        <w:spacing w:line="360" w:lineRule="auto"/>
        <w:ind w:left="851" w:right="899"/>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XI. Documento:</w:t>
      </w:r>
      <w:r>
        <w:rPr>
          <w:rFonts w:ascii="Palatino Linotype" w:eastAsia="Palatino Linotype" w:hAnsi="Palatino Linotype" w:cs="Palatino Linotype"/>
          <w:i/>
          <w:color w:val="000000"/>
          <w:sz w:val="20"/>
          <w:szCs w:val="20"/>
        </w:rPr>
        <w:t xml:space="preserve"> Los expedientes, reportes, estudios, actas</w:t>
      </w:r>
      <w:r>
        <w:rPr>
          <w:rFonts w:ascii="Palatino Linotype" w:eastAsia="Palatino Linotype" w:hAnsi="Palatino Linotype" w:cs="Palatino Linotype"/>
          <w:b/>
          <w:i/>
          <w:color w:val="000000"/>
          <w:sz w:val="20"/>
          <w:szCs w:val="20"/>
        </w:rPr>
        <w:t>,</w:t>
      </w:r>
      <w:r>
        <w:rPr>
          <w:rFonts w:ascii="Palatino Linotype" w:eastAsia="Palatino Linotype" w:hAnsi="Palatino Linotype" w:cs="Palatino Linotype"/>
          <w:i/>
          <w:color w:val="000000"/>
          <w:sz w:val="20"/>
          <w:szCs w:val="20"/>
        </w:rPr>
        <w:t xml:space="preserve"> resoluciones, oficios, correspondencia, acuerdos, directivas, directrices, circulares, contratos, convenios, instructivos, notas, memorandos, estadísticas o bien, cualquier otro registro que documente </w:t>
      </w:r>
      <w:r>
        <w:rPr>
          <w:rFonts w:ascii="Palatino Linotype" w:eastAsia="Palatino Linotype" w:hAnsi="Palatino Linotype" w:cs="Palatino Linotype"/>
          <w:i/>
          <w:color w:val="000000"/>
          <w:sz w:val="20"/>
          <w:szCs w:val="20"/>
        </w:rPr>
        <w:lastRenderedPageBreak/>
        <w:t>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E00D9A" w:rsidRDefault="00E00D9A">
      <w:pPr>
        <w:spacing w:line="360" w:lineRule="auto"/>
        <w:ind w:left="851" w:right="899"/>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00D9A" w:rsidRDefault="00E00D9A">
      <w:pPr>
        <w:spacing w:line="360" w:lineRule="auto"/>
        <w:ind w:left="851" w:right="899"/>
        <w:jc w:val="both"/>
        <w:rPr>
          <w:rFonts w:ascii="Palatino Linotype" w:eastAsia="Palatino Linotype" w:hAnsi="Palatino Linotype" w:cs="Palatino Linotype"/>
          <w:color w:val="000000"/>
          <w:sz w:val="10"/>
          <w:szCs w:val="10"/>
        </w:rPr>
      </w:pPr>
    </w:p>
    <w:p w:rsidR="00E00D9A" w:rsidRDefault="00957322">
      <w:pPr>
        <w:spacing w:line="360" w:lineRule="auto"/>
        <w:ind w:left="851" w:right="899"/>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color w:val="000000"/>
          <w:sz w:val="20"/>
          <w:szCs w:val="20"/>
        </w:rPr>
        <w:t>“</w:t>
      </w:r>
      <w:r>
        <w:rPr>
          <w:rFonts w:ascii="Palatino Linotype" w:eastAsia="Palatino Linotype" w:hAnsi="Palatino Linotype" w:cs="Palatino Linotype"/>
          <w:b/>
          <w:i/>
          <w:color w:val="000000"/>
          <w:sz w:val="20"/>
          <w:szCs w:val="20"/>
        </w:rPr>
        <w:t>CRITERIO 0002-11</w:t>
      </w:r>
    </w:p>
    <w:p w:rsidR="00E00D9A" w:rsidRDefault="00957322">
      <w:pPr>
        <w:spacing w:line="360" w:lineRule="auto"/>
        <w:ind w:left="851" w:right="899"/>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0"/>
          <w:szCs w:val="2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00D9A" w:rsidRDefault="00957322">
      <w:pPr>
        <w:spacing w:line="360" w:lineRule="auto"/>
        <w:ind w:left="851" w:right="899"/>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En consecuencia el acceso a la información se refiere a que se cumplan cualquiera de los siguientes tres supuestos:</w:t>
      </w:r>
    </w:p>
    <w:p w:rsidR="00E00D9A" w:rsidRDefault="00957322">
      <w:pPr>
        <w:spacing w:line="360" w:lineRule="auto"/>
        <w:ind w:left="851" w:right="899"/>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1) Que se trate de información registrada en cualquier soporte documental, que en ejercicio de las atribuciones conferidas, sea generada por los Sujetos Obligados;</w:t>
      </w:r>
    </w:p>
    <w:p w:rsidR="00E00D9A" w:rsidRDefault="00957322">
      <w:pPr>
        <w:spacing w:line="360" w:lineRule="auto"/>
        <w:ind w:left="851" w:right="899"/>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2) Que se trate de información registrada en cualquier soporte documental, que en ejercicio de las atribuciones conferidas, sea administrada por los Sujetos Obligados, y</w:t>
      </w:r>
    </w:p>
    <w:p w:rsidR="00E00D9A" w:rsidRDefault="00957322">
      <w:pPr>
        <w:spacing w:line="360" w:lineRule="auto"/>
        <w:ind w:left="851" w:right="899"/>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3) Que se trate de información registrada en cualquier soporte documental, que en ejercicio de las atribuciones conferidas, se encuentre en posesión de los Sujetos Obligados.” (Sic)</w:t>
      </w:r>
    </w:p>
    <w:p w:rsidR="00E00D9A" w:rsidRDefault="00957322">
      <w:pPr>
        <w:numPr>
          <w:ilvl w:val="0"/>
          <w:numId w:val="3"/>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Ahora bien, del análisis de la solicitud de información motivo del recurso de revisión que ahora se resuelve, se advierte que el particular requirió al Ayuntamiento de San Mateo Atenco, lo siguiente:</w:t>
      </w:r>
    </w:p>
    <w:p w:rsidR="00E00D9A" w:rsidRDefault="00E00D9A">
      <w:pPr>
        <w:pBdr>
          <w:top w:val="nil"/>
          <w:left w:val="nil"/>
          <w:bottom w:val="nil"/>
          <w:right w:val="nil"/>
          <w:between w:val="nil"/>
        </w:pBdr>
        <w:spacing w:line="360" w:lineRule="auto"/>
        <w:jc w:val="both"/>
        <w:rPr>
          <w:rFonts w:ascii="Palatino Linotype" w:eastAsia="Palatino Linotype" w:hAnsi="Palatino Linotype" w:cs="Palatino Linotype"/>
          <w:color w:val="000000"/>
          <w:sz w:val="20"/>
          <w:szCs w:val="20"/>
        </w:rPr>
      </w:pPr>
    </w:p>
    <w:p w:rsidR="00E00D9A" w:rsidRDefault="00957322">
      <w:pPr>
        <w:numPr>
          <w:ilvl w:val="0"/>
          <w:numId w:val="6"/>
        </w:numPr>
        <w:pBdr>
          <w:top w:val="nil"/>
          <w:left w:val="nil"/>
          <w:bottom w:val="nil"/>
          <w:right w:val="nil"/>
          <w:between w:val="nil"/>
        </w:pBdr>
        <w:spacing w:line="360" w:lineRule="auto"/>
        <w:ind w:right="56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“REQUIERO LA NOMINA DE TODOS LOS TRABAJADORES DEL AYUNTAMIENTO DE 2022 a la fecha, en donde se observa el nombre, pago y puesto no mandar liga de ipomex TODA VEZ QUE ESTA DESACTUALIZADA LA INFORMACIÓN.” (Sic)</w:t>
      </w:r>
    </w:p>
    <w:p w:rsidR="00E00D9A" w:rsidRDefault="00E00D9A">
      <w:pPr>
        <w:pBdr>
          <w:top w:val="nil"/>
          <w:left w:val="nil"/>
          <w:bottom w:val="nil"/>
          <w:right w:val="nil"/>
          <w:between w:val="nil"/>
        </w:pBdr>
        <w:spacing w:line="360" w:lineRule="auto"/>
        <w:ind w:left="720" w:right="568"/>
        <w:jc w:val="both"/>
        <w:rPr>
          <w:rFonts w:ascii="Palatino Linotype" w:eastAsia="Palatino Linotype" w:hAnsi="Palatino Linotype" w:cs="Palatino Linotype"/>
          <w:i/>
          <w:color w:val="000000"/>
          <w:sz w:val="22"/>
          <w:szCs w:val="22"/>
        </w:rPr>
      </w:pPr>
    </w:p>
    <w:p w:rsidR="00E00D9A" w:rsidRDefault="00957322">
      <w:pPr>
        <w:numPr>
          <w:ilvl w:val="0"/>
          <w:numId w:val="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 xml:space="preserve">En respuesta la Titular de la Unidad de Transparencia del Ayuntamiento de San Mateo Atenco, Estado de México, mediante oficio SMA/UIPPET/UT/0487/2024, de fecha veintiséis de agosto de dos mil veinticuatro, dio respuesta a la solicitud, en la que entre otras cosas refirió: </w:t>
      </w:r>
      <w:r>
        <w:rPr>
          <w:rFonts w:ascii="Palatino Linotype" w:eastAsia="Palatino Linotype" w:hAnsi="Palatino Linotype" w:cs="Palatino Linotype"/>
          <w:i/>
          <w:color w:val="000000"/>
          <w:sz w:val="22"/>
          <w:szCs w:val="22"/>
        </w:rPr>
        <w:t>“…En apego a lo establecido su solicitud fue analizada y turnada al área correspondiente, a continuación, remito anexa al presente, la respuesta otorgada por el área competente…”</w:t>
      </w:r>
      <w:r>
        <w:rPr>
          <w:rFonts w:ascii="Palatino Linotype" w:eastAsia="Palatino Linotype" w:hAnsi="Palatino Linotype" w:cs="Palatino Linotype"/>
          <w:color w:val="000000"/>
          <w:sz w:val="22"/>
          <w:szCs w:val="22"/>
        </w:rPr>
        <w:t xml:space="preserve"> (Sic.); al oficio de referencia se adjuntó el oficio SMA/RH/427/2024, de fecha veintiséis de agosto del año en curso, en el cual el Jefe de Departamento de Recursos Humanos del Ayuntamiento de San Mateo Atenco, entre otras cosas argumentó: </w:t>
      </w:r>
      <w:r>
        <w:rPr>
          <w:rFonts w:ascii="Palatino Linotype" w:eastAsia="Palatino Linotype" w:hAnsi="Palatino Linotype" w:cs="Palatino Linotype"/>
          <w:i/>
          <w:color w:val="000000"/>
          <w:sz w:val="22"/>
          <w:szCs w:val="22"/>
        </w:rPr>
        <w:t>“…En apego a lo requerido en su solicitud, me permito hacer de su conocimiento que, respecto a las nóminas de todos los trabajadores, con fundamento a lo establecido en el artículo 77 de la Ley de Transparencia y Acceso a la Información Pública del Estado de México y Municipios, la información correspondiente a las obligaciones de transparencia se actualiza por lo menos cada tres meses, por lo tanto, la información se encuentra actualizada al mes de junio, y podrá consultarla en el artículo 92 fracción VIII A del siguiente apartado:…“</w:t>
      </w:r>
      <w:r>
        <w:rPr>
          <w:rFonts w:ascii="Palatino Linotype" w:eastAsia="Palatino Linotype" w:hAnsi="Palatino Linotype" w:cs="Palatino Linotype"/>
          <w:color w:val="000000"/>
          <w:sz w:val="22"/>
          <w:szCs w:val="22"/>
        </w:rPr>
        <w:t xml:space="preserve"> (Sic) observando en el oficio de referencia una captura de pantalla de ejemplo para consulta de la información solicitada en la página del Ipomex.</w:t>
      </w:r>
      <w:r>
        <w:rPr>
          <w:rFonts w:ascii="Palatino Linotype" w:eastAsia="Palatino Linotype" w:hAnsi="Palatino Linotype" w:cs="Palatino Linotype"/>
          <w:i/>
          <w:color w:val="000000"/>
          <w:sz w:val="22"/>
          <w:szCs w:val="22"/>
        </w:rPr>
        <w:t xml:space="preserve">  </w:t>
      </w:r>
    </w:p>
    <w:p w:rsidR="00E00D9A" w:rsidRDefault="00E00D9A">
      <w:pPr>
        <w:spacing w:line="360" w:lineRule="auto"/>
        <w:ind w:right="49"/>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Sin embargo, el particular, de sus motivos de inconformidad se advierte que se quejó porque no se le entregó la información. </w:t>
      </w:r>
    </w:p>
    <w:p w:rsidR="00E00D9A" w:rsidRDefault="00E00D9A">
      <w:pPr>
        <w:spacing w:line="360" w:lineRule="auto"/>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Una vez notificado el recurso de revisión al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este fue omiso en rendir su informe justificado. </w:t>
      </w:r>
    </w:p>
    <w:p w:rsidR="00E00D9A" w:rsidRDefault="00E00D9A">
      <w:pPr>
        <w:spacing w:line="360" w:lineRule="auto"/>
        <w:jc w:val="both"/>
        <w:rPr>
          <w:rFonts w:ascii="Palatino Linotype" w:eastAsia="Palatino Linotype" w:hAnsi="Palatino Linotype" w:cs="Palatino Linotype"/>
          <w:color w:val="FF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virtud de lo anterior, se determina que la información emitida por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en su respuesta, no cumple con lo establecido por los artículos 4, 12 y 24 último párrafo de la Ley de Transparencia y Acceso a la Información Pública del Estado de México y Municipios; de ahí que, los motivos de inconformidad acontecen fundados para modificar la respuesta del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en razón de las consideraciones de derecho que a continuación se exponen:</w:t>
      </w:r>
    </w:p>
    <w:p w:rsidR="00E00D9A" w:rsidRDefault="00E00D9A">
      <w:pPr>
        <w:spacing w:line="360" w:lineRule="auto"/>
        <w:jc w:val="both"/>
        <w:rPr>
          <w:rFonts w:ascii="Palatino Linotype" w:eastAsia="Palatino Linotype" w:hAnsi="Palatino Linotype" w:cs="Palatino Linotype"/>
          <w:color w:val="FF0000"/>
          <w:sz w:val="22"/>
          <w:szCs w:val="22"/>
        </w:rPr>
      </w:pPr>
    </w:p>
    <w:p w:rsidR="00E00D9A" w:rsidRDefault="00957322">
      <w:pPr>
        <w:numPr>
          <w:ilvl w:val="0"/>
          <w:numId w:val="3"/>
        </w:numPr>
        <w:pBdr>
          <w:top w:val="nil"/>
          <w:left w:val="nil"/>
          <w:bottom w:val="nil"/>
          <w:right w:val="nil"/>
          <w:between w:val="nil"/>
        </w:pBdr>
        <w:spacing w:after="240" w:line="360" w:lineRule="auto"/>
        <w:ind w:left="0" w:right="-15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E00D9A" w:rsidRDefault="00957322">
      <w:pPr>
        <w:spacing w:before="240" w:line="360"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“NÓMINA </w:t>
      </w:r>
      <w:r>
        <w:rPr>
          <w:rFonts w:ascii="Palatino Linotype" w:eastAsia="Palatino Linotype" w:hAnsi="Palatino Linotype" w:cs="Palatino Linotype"/>
          <w:i/>
          <w:color w:val="000000"/>
          <w:sz w:val="22"/>
          <w:szCs w:val="22"/>
        </w:rPr>
        <w:t>Listado general de los trabajadores de una institución, en</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el cual se asientan las percepciones brutas, deducciones y</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alcance neto de las mismas; la </w:t>
      </w:r>
      <w:r>
        <w:rPr>
          <w:rFonts w:ascii="Palatino Linotype" w:eastAsia="Palatino Linotype" w:hAnsi="Palatino Linotype" w:cs="Palatino Linotype"/>
          <w:i/>
          <w:color w:val="000000"/>
          <w:sz w:val="22"/>
          <w:szCs w:val="22"/>
        </w:rPr>
        <w:lastRenderedPageBreak/>
        <w:t>nómina es utilizada para</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efectuar los pagos periódicos (semanales, quincenales o</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mensuales) a los trabajadores por concepto de sueldos y</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salarios.”(Sic)</w:t>
      </w:r>
    </w:p>
    <w:p w:rsidR="00E00D9A" w:rsidRDefault="00E00D9A">
      <w:pPr>
        <w:spacing w:line="360" w:lineRule="auto"/>
        <w:ind w:right="-93"/>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base a lo anterior, conviene a traer lo establecido por el artículo 804, fracción II, de la Ley Federal de Trabajo, el cual a la letra establece: </w:t>
      </w:r>
    </w:p>
    <w:p w:rsidR="00E00D9A" w:rsidRDefault="00E00D9A">
      <w:pPr>
        <w:spacing w:line="360" w:lineRule="auto"/>
        <w:ind w:left="851" w:right="851"/>
        <w:jc w:val="both"/>
        <w:rPr>
          <w:rFonts w:ascii="Palatino Linotype" w:eastAsia="Palatino Linotype" w:hAnsi="Palatino Linotype" w:cs="Palatino Linotype"/>
          <w:i/>
          <w:color w:val="FF0000"/>
          <w:sz w:val="10"/>
          <w:szCs w:val="10"/>
        </w:rPr>
      </w:pP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b/>
          <w:i/>
          <w:color w:val="000000"/>
          <w:sz w:val="20"/>
          <w:szCs w:val="20"/>
        </w:rPr>
        <w:t>Artículo 804.-</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El patrón tiene obligación de conservar y exhibir en juicio los documentos que a continuación se precisan</w:t>
      </w:r>
      <w:r>
        <w:rPr>
          <w:rFonts w:ascii="Palatino Linotype" w:eastAsia="Palatino Linotype" w:hAnsi="Palatino Linotype" w:cs="Palatino Linotype"/>
          <w:i/>
          <w:color w:val="000000"/>
          <w:sz w:val="20"/>
          <w:szCs w:val="20"/>
        </w:rPr>
        <w:t>:</w:t>
      </w:r>
    </w:p>
    <w:p w:rsidR="00E00D9A" w:rsidRDefault="00E00D9A">
      <w:pPr>
        <w:spacing w:line="360" w:lineRule="auto"/>
        <w:ind w:left="851" w:right="851"/>
        <w:jc w:val="both"/>
        <w:rPr>
          <w:rFonts w:ascii="Palatino Linotype" w:eastAsia="Palatino Linotype" w:hAnsi="Palatino Linotype" w:cs="Palatino Linotype"/>
          <w:i/>
          <w:color w:val="000000"/>
          <w:sz w:val="20"/>
          <w:szCs w:val="20"/>
        </w:rPr>
      </w:pP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II.</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Listas de raya o nómina de personal</w:t>
      </w:r>
      <w:r>
        <w:rPr>
          <w:rFonts w:ascii="Palatino Linotype" w:eastAsia="Palatino Linotype" w:hAnsi="Palatino Linotype" w:cs="Palatino Linotype"/>
          <w:i/>
          <w:color w:val="000000"/>
          <w:sz w:val="20"/>
          <w:szCs w:val="20"/>
        </w:rPr>
        <w:t xml:space="preserve">, cuando se lleven en el centro de trabajo; o recibos de pagos de salarios; </w:t>
      </w: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Los documentos señalados en la fracción I deberán conservarse mientras dure la relación laboral y hasta un año después; </w:t>
      </w:r>
      <w:r>
        <w:rPr>
          <w:rFonts w:ascii="Palatino Linotype" w:eastAsia="Palatino Linotype" w:hAnsi="Palatino Linotype" w:cs="Palatino Linotype"/>
          <w:b/>
          <w:i/>
          <w:color w:val="000000"/>
          <w:sz w:val="20"/>
          <w:szCs w:val="20"/>
        </w:rPr>
        <w:t>los señalados en las fracciones II, III y IV, durante el último año y un año después de que se extinga la relación laboral</w:t>
      </w:r>
      <w:r>
        <w:rPr>
          <w:rFonts w:ascii="Palatino Linotype" w:eastAsia="Palatino Linotype" w:hAnsi="Palatino Linotype" w:cs="Palatino Linotype"/>
          <w:i/>
          <w:color w:val="000000"/>
          <w:sz w:val="20"/>
          <w:szCs w:val="20"/>
        </w:rPr>
        <w:t>; y los mencionados en la fracción V, conforme lo señalen las Leyes que los rijan.” (Sic)</w:t>
      </w:r>
    </w:p>
    <w:p w:rsidR="00E00D9A" w:rsidRDefault="00E00D9A">
      <w:pPr>
        <w:spacing w:line="360" w:lineRule="auto"/>
        <w:ind w:left="851" w:right="851"/>
        <w:jc w:val="both"/>
        <w:rPr>
          <w:rFonts w:ascii="Palatino Linotype" w:eastAsia="Palatino Linotype" w:hAnsi="Palatino Linotype" w:cs="Palatino Linotype"/>
          <w:i/>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E00D9A" w:rsidRDefault="00E00D9A">
      <w:pPr>
        <w:spacing w:line="360" w:lineRule="auto"/>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contexto, tratándose de servidores públicos de los Municipios la Ley del Trabajo de los Servidores Públicos del Estado y Municipios, en su artículo 220-K, establece lo siguiente:</w:t>
      </w:r>
    </w:p>
    <w:p w:rsidR="00E00D9A" w:rsidRDefault="00E00D9A">
      <w:pPr>
        <w:spacing w:line="360" w:lineRule="auto"/>
        <w:ind w:right="49"/>
        <w:jc w:val="both"/>
        <w:rPr>
          <w:rFonts w:ascii="Palatino Linotype" w:eastAsia="Palatino Linotype" w:hAnsi="Palatino Linotype" w:cs="Palatino Linotype"/>
          <w:color w:val="000000"/>
          <w:sz w:val="22"/>
          <w:szCs w:val="22"/>
        </w:rPr>
      </w:pPr>
    </w:p>
    <w:p w:rsidR="00E00D9A" w:rsidRDefault="00957322">
      <w:pPr>
        <w:tabs>
          <w:tab w:val="left" w:pos="9072"/>
        </w:tabs>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“ARTÍCULO 220 K.-</w:t>
      </w:r>
      <w:r>
        <w:rPr>
          <w:rFonts w:ascii="Palatino Linotype" w:eastAsia="Palatino Linotype" w:hAnsi="Palatino Linotype" w:cs="Palatino Linotype"/>
          <w:i/>
          <w:color w:val="000000"/>
          <w:sz w:val="20"/>
          <w:szCs w:val="20"/>
        </w:rPr>
        <w:t xml:space="preserve"> La </w:t>
      </w:r>
      <w:r>
        <w:rPr>
          <w:rFonts w:ascii="Palatino Linotype" w:eastAsia="Palatino Linotype" w:hAnsi="Palatino Linotype" w:cs="Palatino Linotype"/>
          <w:b/>
          <w:i/>
          <w:color w:val="000000"/>
          <w:sz w:val="20"/>
          <w:szCs w:val="20"/>
        </w:rPr>
        <w:t>institución o dependencia pública tiene la obligación de conservar y exhibir en el proceso los documentos que a continuación</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se precisan</w:t>
      </w:r>
      <w:r>
        <w:rPr>
          <w:rFonts w:ascii="Palatino Linotype" w:eastAsia="Palatino Linotype" w:hAnsi="Palatino Linotype" w:cs="Palatino Linotype"/>
          <w:i/>
          <w:color w:val="000000"/>
          <w:sz w:val="20"/>
          <w:szCs w:val="20"/>
        </w:rPr>
        <w:t>:</w:t>
      </w:r>
    </w:p>
    <w:p w:rsidR="00E00D9A" w:rsidRDefault="00957322">
      <w:pPr>
        <w:tabs>
          <w:tab w:val="left" w:pos="9072"/>
        </w:tabs>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lastRenderedPageBreak/>
        <w:t>…</w:t>
      </w:r>
    </w:p>
    <w:p w:rsidR="00E00D9A" w:rsidRDefault="00957322">
      <w:pPr>
        <w:tabs>
          <w:tab w:val="left" w:pos="9072"/>
        </w:tabs>
        <w:spacing w:line="360" w:lineRule="auto"/>
        <w:ind w:left="851" w:right="851"/>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i/>
          <w:color w:val="000000"/>
          <w:sz w:val="20"/>
          <w:szCs w:val="20"/>
        </w:rPr>
        <w:t xml:space="preserve">II. </w:t>
      </w:r>
      <w:r>
        <w:rPr>
          <w:rFonts w:ascii="Palatino Linotype" w:eastAsia="Palatino Linotype" w:hAnsi="Palatino Linotype" w:cs="Palatino Linotype"/>
          <w:b/>
          <w:i/>
          <w:color w:val="000000"/>
          <w:sz w:val="20"/>
          <w:szCs w:val="20"/>
        </w:rPr>
        <w:t>Recibos de pagos de salarios o</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las constancias documentales del pago de salario</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 xml:space="preserve">cuando </w:t>
      </w:r>
      <w:r>
        <w:rPr>
          <w:rFonts w:ascii="Palatino Linotype" w:eastAsia="Palatino Linotype" w:hAnsi="Palatino Linotype" w:cs="Palatino Linotype"/>
          <w:b/>
          <w:i/>
          <w:color w:val="000000"/>
          <w:sz w:val="20"/>
          <w:szCs w:val="20"/>
          <w:u w:val="single"/>
        </w:rPr>
        <w:t>sea por depósito o mediante información electrónica</w:t>
      </w:r>
      <w:r>
        <w:rPr>
          <w:rFonts w:ascii="Palatino Linotype" w:eastAsia="Palatino Linotype" w:hAnsi="Palatino Linotype" w:cs="Palatino Linotype"/>
          <w:b/>
          <w:i/>
          <w:color w:val="000000"/>
          <w:sz w:val="20"/>
          <w:szCs w:val="20"/>
        </w:rPr>
        <w:t>;</w:t>
      </w:r>
    </w:p>
    <w:p w:rsidR="00E00D9A" w:rsidRDefault="00957322">
      <w:pPr>
        <w:tabs>
          <w:tab w:val="left" w:pos="9072"/>
        </w:tabs>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E00D9A" w:rsidRDefault="00957322">
      <w:pPr>
        <w:tabs>
          <w:tab w:val="left" w:pos="9072"/>
        </w:tabs>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E00D9A" w:rsidRDefault="00957322">
      <w:pPr>
        <w:tabs>
          <w:tab w:val="left" w:pos="9072"/>
        </w:tabs>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E00D9A" w:rsidRDefault="00E00D9A">
      <w:pPr>
        <w:tabs>
          <w:tab w:val="left" w:pos="9072"/>
        </w:tabs>
        <w:spacing w:line="360" w:lineRule="auto"/>
        <w:ind w:left="851" w:right="851"/>
        <w:jc w:val="both"/>
        <w:rPr>
          <w:rFonts w:ascii="Palatino Linotype" w:eastAsia="Palatino Linotype" w:hAnsi="Palatino Linotype" w:cs="Palatino Linotype"/>
          <w:i/>
          <w:color w:val="FF0000"/>
          <w:sz w:val="22"/>
          <w:szCs w:val="22"/>
        </w:rPr>
      </w:pPr>
    </w:p>
    <w:p w:rsidR="00E00D9A" w:rsidRDefault="00957322">
      <w:pPr>
        <w:numPr>
          <w:ilvl w:val="0"/>
          <w:numId w:val="3"/>
        </w:numPr>
        <w:pBdr>
          <w:top w:val="nil"/>
          <w:left w:val="nil"/>
          <w:bottom w:val="nil"/>
          <w:right w:val="nil"/>
          <w:between w:val="nil"/>
        </w:pBdr>
        <w:spacing w:line="360" w:lineRule="auto"/>
        <w:ind w:left="0" w:right="5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E00D9A" w:rsidRDefault="00E00D9A">
      <w:pPr>
        <w:spacing w:line="360" w:lineRule="auto"/>
        <w:ind w:right="51"/>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Una vez precisado lo que antecede, es necesario analizar la Ley de Fiscalización Superior del Estado de México, toda vez que señala que los municipios que conforman el Estado de México, entre ellos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es considerado como ente fiscalizable, como así lo señala el artículo 4 fracción II de la Ley de Fiscalización Superior del Estado de México, el cual señala:</w:t>
      </w:r>
    </w:p>
    <w:p w:rsidR="00E00D9A" w:rsidRDefault="00E00D9A">
      <w:pPr>
        <w:spacing w:line="360" w:lineRule="auto"/>
        <w:ind w:left="851" w:right="851"/>
        <w:jc w:val="both"/>
        <w:rPr>
          <w:rFonts w:ascii="Palatino Linotype" w:eastAsia="Palatino Linotype" w:hAnsi="Palatino Linotype" w:cs="Palatino Linotype"/>
          <w:b/>
          <w:i/>
          <w:color w:val="000000"/>
          <w:sz w:val="10"/>
          <w:szCs w:val="10"/>
        </w:rPr>
      </w:pP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 xml:space="preserve">“Artículo 4. </w:t>
      </w:r>
      <w:r>
        <w:rPr>
          <w:rFonts w:ascii="Palatino Linotype" w:eastAsia="Palatino Linotype" w:hAnsi="Palatino Linotype" w:cs="Palatino Linotype"/>
          <w:i/>
          <w:color w:val="000000"/>
          <w:sz w:val="20"/>
          <w:szCs w:val="20"/>
        </w:rPr>
        <w:t>Son sujetos de fiscalización:</w:t>
      </w: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E00D9A" w:rsidRDefault="00957322">
      <w:pPr>
        <w:numPr>
          <w:ilvl w:val="0"/>
          <w:numId w:val="8"/>
        </w:numPr>
        <w:pBdr>
          <w:top w:val="nil"/>
          <w:left w:val="nil"/>
          <w:bottom w:val="nil"/>
          <w:right w:val="nil"/>
          <w:between w:val="nil"/>
        </w:pBdr>
        <w:spacing w:line="360" w:lineRule="auto"/>
        <w:ind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Los municipios del Estado de México…” (Sic)</w:t>
      </w:r>
    </w:p>
    <w:p w:rsidR="00E00D9A" w:rsidRDefault="00E00D9A">
      <w:pPr>
        <w:spacing w:before="240" w:line="360" w:lineRule="auto"/>
        <w:ind w:left="851" w:right="851"/>
        <w:jc w:val="both"/>
        <w:rPr>
          <w:rFonts w:ascii="Palatino Linotype" w:eastAsia="Palatino Linotype" w:hAnsi="Palatino Linotype" w:cs="Palatino Linotype"/>
          <w:b/>
          <w:color w:val="000000"/>
          <w:sz w:val="22"/>
          <w:szCs w:val="22"/>
        </w:rPr>
      </w:pPr>
    </w:p>
    <w:p w:rsidR="00E00D9A" w:rsidRDefault="00957322">
      <w:pPr>
        <w:numPr>
          <w:ilvl w:val="0"/>
          <w:numId w:val="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como así se advierte a continuación:</w:t>
      </w:r>
    </w:p>
    <w:p w:rsidR="00E00D9A" w:rsidRDefault="00E00D9A">
      <w:pPr>
        <w:spacing w:line="360" w:lineRule="auto"/>
        <w:ind w:right="49"/>
        <w:jc w:val="both"/>
        <w:rPr>
          <w:rFonts w:ascii="Palatino Linotype" w:eastAsia="Palatino Linotype" w:hAnsi="Palatino Linotype" w:cs="Palatino Linotype"/>
          <w:color w:val="000000"/>
          <w:sz w:val="10"/>
          <w:szCs w:val="10"/>
        </w:rPr>
      </w:pP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 xml:space="preserve">“Artículo 8. </w:t>
      </w:r>
      <w:r>
        <w:rPr>
          <w:rFonts w:ascii="Palatino Linotype" w:eastAsia="Palatino Linotype" w:hAnsi="Palatino Linotype" w:cs="Palatino Linotype"/>
          <w:i/>
          <w:color w:val="000000"/>
          <w:sz w:val="20"/>
          <w:szCs w:val="20"/>
        </w:rPr>
        <w:t>El Órgano Superior tendrá las siguientes atribuciones:</w:t>
      </w: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E00D9A" w:rsidRDefault="00957322">
      <w:pPr>
        <w:spacing w:line="360" w:lineRule="auto"/>
        <w:ind w:left="851" w:right="851"/>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XI. Establecer los lineamientos</w:t>
      </w:r>
      <w:r>
        <w:rPr>
          <w:rFonts w:ascii="Palatino Linotype" w:eastAsia="Palatino Linotype" w:hAnsi="Palatino Linotype" w:cs="Palatino Linotype"/>
          <w:i/>
          <w:color w:val="000000"/>
          <w:sz w:val="20"/>
          <w:szCs w:val="20"/>
        </w:rPr>
        <w:t xml:space="preserve">, criterios, procedimientos, métodos y sistemas </w:t>
      </w:r>
      <w:r>
        <w:rPr>
          <w:rFonts w:ascii="Palatino Linotype" w:eastAsia="Palatino Linotype" w:hAnsi="Palatino Linotype" w:cs="Palatino Linotype"/>
          <w:b/>
          <w:i/>
          <w:color w:val="000000"/>
          <w:sz w:val="20"/>
          <w:szCs w:val="20"/>
        </w:rPr>
        <w:t>para las acciones de control y evaluación, necesarios para la fiscalización de las cuentas públicas y los informes trimestrales</w:t>
      </w: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color w:val="000000"/>
          <w:sz w:val="20"/>
          <w:szCs w:val="20"/>
        </w:rPr>
        <w:t>” (</w:t>
      </w:r>
      <w:r>
        <w:rPr>
          <w:rFonts w:ascii="Palatino Linotype" w:eastAsia="Palatino Linotype" w:hAnsi="Palatino Linotype" w:cs="Palatino Linotype"/>
          <w:i/>
          <w:color w:val="000000"/>
          <w:sz w:val="20"/>
          <w:szCs w:val="20"/>
        </w:rPr>
        <w:t>Sic)</w:t>
      </w:r>
    </w:p>
    <w:p w:rsidR="00E00D9A" w:rsidRDefault="00E00D9A">
      <w:pPr>
        <w:spacing w:line="360" w:lineRule="auto"/>
        <w:ind w:left="851" w:right="851"/>
        <w:jc w:val="both"/>
        <w:rPr>
          <w:rFonts w:ascii="Palatino Linotype" w:eastAsia="Palatino Linotype" w:hAnsi="Palatino Linotype" w:cs="Palatino Linotype"/>
          <w:b/>
          <w:i/>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Dentro de los cuales ubicamos en su módulo cuatro la información de la conciliación de nómina, como se advierte en las siguientes imágenes sustraídas de dichos lineamientos:</w:t>
      </w:r>
    </w:p>
    <w:p w:rsidR="00E00D9A" w:rsidRDefault="00957322">
      <w:pPr>
        <w:spacing w:line="360" w:lineRule="auto"/>
        <w:jc w:val="center"/>
        <w:rPr>
          <w:rFonts w:ascii="Palatino Linotype" w:eastAsia="Palatino Linotype" w:hAnsi="Palatino Linotype" w:cs="Palatino Linotype"/>
          <w:color w:val="FF0000"/>
          <w:sz w:val="22"/>
          <w:szCs w:val="22"/>
        </w:rPr>
      </w:pPr>
      <w:r>
        <w:rPr>
          <w:rFonts w:ascii="Palatino Linotype" w:eastAsia="Palatino Linotype" w:hAnsi="Palatino Linotype" w:cs="Palatino Linotype"/>
          <w:noProof/>
          <w:color w:val="FF0000"/>
          <w:sz w:val="22"/>
          <w:szCs w:val="22"/>
        </w:rPr>
        <w:drawing>
          <wp:inline distT="0" distB="0" distL="0" distR="0">
            <wp:extent cx="1911905" cy="1920171"/>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43339" t="13688" r="27296" b="25803"/>
                    <a:stretch>
                      <a:fillRect/>
                    </a:stretch>
                  </pic:blipFill>
                  <pic:spPr>
                    <a:xfrm>
                      <a:off x="0" y="0"/>
                      <a:ext cx="1911905" cy="1920171"/>
                    </a:xfrm>
                    <a:prstGeom prst="rect">
                      <a:avLst/>
                    </a:prstGeom>
                    <a:ln/>
                  </pic:spPr>
                </pic:pic>
              </a:graphicData>
            </a:graphic>
          </wp:inline>
        </w:drawing>
      </w:r>
    </w:p>
    <w:p w:rsidR="00E00D9A" w:rsidRDefault="00957322">
      <w:pPr>
        <w:spacing w:line="360" w:lineRule="auto"/>
        <w:jc w:val="center"/>
        <w:rPr>
          <w:rFonts w:ascii="Palatino Linotype" w:eastAsia="Palatino Linotype" w:hAnsi="Palatino Linotype" w:cs="Palatino Linotype"/>
          <w:color w:val="FF0000"/>
          <w:sz w:val="22"/>
          <w:szCs w:val="22"/>
          <w:highlight w:val="yellow"/>
        </w:rPr>
      </w:pPr>
      <w:r>
        <w:rPr>
          <w:rFonts w:ascii="Palatino Linotype" w:eastAsia="Palatino Linotype" w:hAnsi="Palatino Linotype" w:cs="Palatino Linotype"/>
          <w:noProof/>
          <w:color w:val="FF0000"/>
          <w:sz w:val="22"/>
          <w:szCs w:val="22"/>
          <w:highlight w:val="yellow"/>
        </w:rPr>
        <w:lastRenderedPageBreak/>
        <w:drawing>
          <wp:inline distT="0" distB="0" distL="0" distR="0">
            <wp:extent cx="2944153" cy="3596727"/>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40111" t="20373" r="25064" b="7024"/>
                    <a:stretch>
                      <a:fillRect/>
                    </a:stretch>
                  </pic:blipFill>
                  <pic:spPr>
                    <a:xfrm>
                      <a:off x="0" y="0"/>
                      <a:ext cx="2944153" cy="3596727"/>
                    </a:xfrm>
                    <a:prstGeom prst="rect">
                      <a:avLst/>
                    </a:prstGeom>
                    <a:ln/>
                  </pic:spPr>
                </pic:pic>
              </a:graphicData>
            </a:graphic>
          </wp:inline>
        </w:drawing>
      </w:r>
    </w:p>
    <w:p w:rsidR="00E00D9A" w:rsidRDefault="00957322">
      <w:pPr>
        <w:spacing w:line="360" w:lineRule="auto"/>
        <w:jc w:val="center"/>
        <w:rPr>
          <w:rFonts w:ascii="Palatino Linotype" w:eastAsia="Palatino Linotype" w:hAnsi="Palatino Linotype" w:cs="Palatino Linotype"/>
          <w:color w:val="FF0000"/>
          <w:sz w:val="22"/>
          <w:szCs w:val="22"/>
          <w:highlight w:val="yellow"/>
        </w:rPr>
      </w:pPr>
      <w:r>
        <w:rPr>
          <w:rFonts w:ascii="Palatino Linotype" w:eastAsia="Palatino Linotype" w:hAnsi="Palatino Linotype" w:cs="Palatino Linotype"/>
          <w:noProof/>
          <w:color w:val="FF0000"/>
          <w:sz w:val="22"/>
          <w:szCs w:val="22"/>
          <w:highlight w:val="yellow"/>
        </w:rPr>
        <w:lastRenderedPageBreak/>
        <w:drawing>
          <wp:inline distT="0" distB="0" distL="0" distR="0">
            <wp:extent cx="3384694" cy="464611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9844" t="11619" r="25062" b="12434"/>
                    <a:stretch>
                      <a:fillRect/>
                    </a:stretch>
                  </pic:blipFill>
                  <pic:spPr>
                    <a:xfrm>
                      <a:off x="0" y="0"/>
                      <a:ext cx="3384694" cy="4646110"/>
                    </a:xfrm>
                    <a:prstGeom prst="rect">
                      <a:avLst/>
                    </a:prstGeom>
                    <a:ln/>
                  </pic:spPr>
                </pic:pic>
              </a:graphicData>
            </a:graphic>
          </wp:inline>
        </w:drawing>
      </w:r>
    </w:p>
    <w:p w:rsidR="00E00D9A" w:rsidRDefault="00957322">
      <w:pPr>
        <w:spacing w:line="360" w:lineRule="auto"/>
        <w:jc w:val="center"/>
        <w:rPr>
          <w:rFonts w:ascii="Palatino Linotype" w:eastAsia="Palatino Linotype" w:hAnsi="Palatino Linotype" w:cs="Palatino Linotype"/>
          <w:color w:val="FF0000"/>
          <w:sz w:val="22"/>
          <w:szCs w:val="22"/>
          <w:highlight w:val="yellow"/>
        </w:rPr>
      </w:pPr>
      <w:r>
        <w:rPr>
          <w:rFonts w:ascii="Palatino Linotype" w:eastAsia="Palatino Linotype" w:hAnsi="Palatino Linotype" w:cs="Palatino Linotype"/>
          <w:noProof/>
          <w:color w:val="FF0000"/>
          <w:sz w:val="22"/>
          <w:szCs w:val="22"/>
          <w:highlight w:val="yellow"/>
        </w:rPr>
        <w:drawing>
          <wp:inline distT="0" distB="0" distL="0" distR="0">
            <wp:extent cx="3443719" cy="2218318"/>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39931" t="27217" r="25246" b="28681"/>
                    <a:stretch>
                      <a:fillRect/>
                    </a:stretch>
                  </pic:blipFill>
                  <pic:spPr>
                    <a:xfrm>
                      <a:off x="0" y="0"/>
                      <a:ext cx="3443719" cy="2218318"/>
                    </a:xfrm>
                    <a:prstGeom prst="rect">
                      <a:avLst/>
                    </a:prstGeom>
                    <a:ln/>
                  </pic:spPr>
                </pic:pic>
              </a:graphicData>
            </a:graphic>
          </wp:inline>
        </w:drawing>
      </w:r>
    </w:p>
    <w:p w:rsidR="00E00D9A" w:rsidRDefault="00E00D9A">
      <w:pPr>
        <w:spacing w:line="360" w:lineRule="auto"/>
        <w:jc w:val="center"/>
        <w:rPr>
          <w:rFonts w:ascii="Palatino Linotype" w:eastAsia="Palatino Linotype" w:hAnsi="Palatino Linotype" w:cs="Palatino Linotype"/>
          <w:color w:val="FF0000"/>
          <w:sz w:val="22"/>
          <w:szCs w:val="22"/>
          <w:highlight w:val="yellow"/>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FF0000"/>
          <w:sz w:val="22"/>
          <w:szCs w:val="22"/>
        </w:rPr>
      </w:pPr>
      <w:r>
        <w:rPr>
          <w:rFonts w:ascii="Palatino Linotype" w:eastAsia="Palatino Linotype" w:hAnsi="Palatino Linotype" w:cs="Palatino Linotype"/>
          <w:color w:val="000000"/>
          <w:sz w:val="22"/>
          <w:szCs w:val="22"/>
        </w:rPr>
        <w:lastRenderedPageBreak/>
        <w:t xml:space="preserve">En observancia a las imágenes anteriores, se acredita que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debió generar la información relativa a la conciliación de nómina de manera quincenal y remitirla de manera trimestral al Órgano Superior de Fiscalización del Estado de México, para su respectiva revisión y fiscalización</w:t>
      </w:r>
      <w:r>
        <w:rPr>
          <w:rFonts w:ascii="Palatino Linotype" w:eastAsia="Palatino Linotype" w:hAnsi="Palatino Linotype" w:cs="Palatino Linotype"/>
          <w:color w:val="FF0000"/>
          <w:sz w:val="22"/>
          <w:szCs w:val="22"/>
        </w:rPr>
        <w:t>.</w:t>
      </w:r>
    </w:p>
    <w:p w:rsidR="00E00D9A" w:rsidRDefault="00E00D9A">
      <w:pPr>
        <w:spacing w:line="360" w:lineRule="auto"/>
        <w:jc w:val="both"/>
        <w:rPr>
          <w:rFonts w:ascii="Palatino Linotype" w:eastAsia="Palatino Linotype" w:hAnsi="Palatino Linotype" w:cs="Palatino Linotype"/>
          <w:color w:val="FF0000"/>
          <w:sz w:val="22"/>
          <w:szCs w:val="22"/>
        </w:rPr>
      </w:pPr>
    </w:p>
    <w:p w:rsidR="00E00D9A" w:rsidRDefault="00957322">
      <w:pPr>
        <w:numPr>
          <w:ilvl w:val="0"/>
          <w:numId w:val="3"/>
        </w:numPr>
        <w:pBdr>
          <w:top w:val="nil"/>
          <w:left w:val="nil"/>
          <w:bottom w:val="nil"/>
          <w:right w:val="nil"/>
          <w:between w:val="nil"/>
        </w:pBdr>
        <w:spacing w:line="360" w:lineRule="auto"/>
        <w:ind w:left="0" w:right="51" w:firstLine="0"/>
        <w:jc w:val="both"/>
        <w:rPr>
          <w:rFonts w:ascii="Palatino Linotype" w:eastAsia="Palatino Linotype" w:hAnsi="Palatino Linotype" w:cs="Palatino Linotype"/>
          <w:color w:val="FF0000"/>
          <w:sz w:val="22"/>
          <w:szCs w:val="22"/>
        </w:rPr>
      </w:pPr>
      <w:r>
        <w:rPr>
          <w:rFonts w:ascii="Palatino Linotype" w:eastAsia="Palatino Linotype" w:hAnsi="Palatino Linotype" w:cs="Palatino Linotype"/>
          <w:color w:val="000000"/>
          <w:sz w:val="22"/>
          <w:szCs w:val="22"/>
        </w:rPr>
        <w:t xml:space="preserve">En resumen, la conciliación de nómina, es el documento que contiene los sueldos, salarios y deducciones de todos de los Servidores Públicos del Ayuntamiento de San Mateo Atenco, y que es información que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debió haber</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 xml:space="preserve">generado, administrado o poseído de acuerdo a lo establecido en el presente considerando; por lo que resulta procedente ordenar al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su entrega salvaguardando los datos personales que contenga, de conformidad con lo establecido en la presente.</w:t>
      </w:r>
    </w:p>
    <w:p w:rsidR="00E00D9A" w:rsidRDefault="00E00D9A">
      <w:pPr>
        <w:spacing w:line="360" w:lineRule="auto"/>
        <w:ind w:right="51"/>
        <w:jc w:val="both"/>
        <w:rPr>
          <w:rFonts w:ascii="Palatino Linotype" w:eastAsia="Palatino Linotype" w:hAnsi="Palatino Linotype" w:cs="Palatino Linotype"/>
          <w:color w:val="FF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E00D9A" w:rsidRDefault="00E00D9A">
      <w:pPr>
        <w:spacing w:line="360" w:lineRule="auto"/>
        <w:jc w:val="both"/>
        <w:rPr>
          <w:rFonts w:ascii="Palatino Linotype" w:eastAsia="Palatino Linotype" w:hAnsi="Palatino Linotype" w:cs="Palatino Linotype"/>
          <w:color w:val="FF0000"/>
          <w:sz w:val="10"/>
          <w:szCs w:val="10"/>
        </w:rPr>
      </w:pPr>
    </w:p>
    <w:p w:rsidR="00E00D9A" w:rsidRDefault="00957322">
      <w:pPr>
        <w:spacing w:line="360" w:lineRule="auto"/>
        <w:ind w:left="851" w:right="851"/>
        <w:jc w:val="both"/>
        <w:rPr>
          <w:rFonts w:ascii="Palatino Linotype" w:eastAsia="Palatino Linotype" w:hAnsi="Palatino Linotype" w:cs="Palatino Linotype"/>
          <w:i/>
          <w:color w:val="000000"/>
          <w:sz w:val="20"/>
          <w:szCs w:val="20"/>
          <w:u w:val="single"/>
        </w:rPr>
      </w:pPr>
      <w:r>
        <w:rPr>
          <w:rFonts w:ascii="Palatino Linotype" w:eastAsia="Palatino Linotype" w:hAnsi="Palatino Linotype" w:cs="Palatino Linotype"/>
          <w:b/>
          <w:i/>
          <w:sz w:val="20"/>
          <w:szCs w:val="20"/>
          <w:u w:val="single"/>
        </w:rPr>
        <w:t>“A</w:t>
      </w:r>
      <w:r>
        <w:rPr>
          <w:rFonts w:ascii="Palatino Linotype" w:eastAsia="Palatino Linotype" w:hAnsi="Palatino Linotype" w:cs="Palatino Linotype"/>
          <w:b/>
          <w:i/>
          <w:color w:val="000000"/>
          <w:sz w:val="20"/>
          <w:szCs w:val="20"/>
          <w:u w:val="single"/>
        </w:rPr>
        <w:t>rtículo 7. El Estado de México garantizará el efectivo acceso de toda persona a la información en posesión de cualquier entidad,</w:t>
      </w:r>
      <w:r>
        <w:rPr>
          <w:rFonts w:ascii="Palatino Linotype" w:eastAsia="Palatino Linotype" w:hAnsi="Palatino Linotype" w:cs="Palatino Linotype"/>
          <w:i/>
          <w:color w:val="000000"/>
          <w:sz w:val="20"/>
          <w:szCs w:val="20"/>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color w:val="000000"/>
          <w:sz w:val="20"/>
          <w:szCs w:val="20"/>
          <w:u w:val="single"/>
        </w:rPr>
        <w:t xml:space="preserve">que </w:t>
      </w:r>
      <w:r>
        <w:rPr>
          <w:rFonts w:ascii="Palatino Linotype" w:eastAsia="Palatino Linotype" w:hAnsi="Palatino Linotype" w:cs="Palatino Linotype"/>
          <w:b/>
          <w:i/>
          <w:color w:val="000000"/>
          <w:sz w:val="20"/>
          <w:szCs w:val="20"/>
          <w:u w:val="single"/>
        </w:rPr>
        <w:lastRenderedPageBreak/>
        <w:t>reciba y ejerza recursos públicos</w:t>
      </w:r>
      <w:r>
        <w:rPr>
          <w:rFonts w:ascii="Palatino Linotype" w:eastAsia="Palatino Linotype" w:hAnsi="Palatino Linotype" w:cs="Palatino Linotype"/>
          <w:i/>
          <w:color w:val="000000"/>
          <w:sz w:val="20"/>
          <w:szCs w:val="20"/>
        </w:rPr>
        <w:t xml:space="preserve"> o realice actos de autoridad </w:t>
      </w:r>
      <w:r>
        <w:rPr>
          <w:rFonts w:ascii="Palatino Linotype" w:eastAsia="Palatino Linotype" w:hAnsi="Palatino Linotype" w:cs="Palatino Linotype"/>
          <w:b/>
          <w:i/>
          <w:color w:val="000000"/>
          <w:sz w:val="20"/>
          <w:szCs w:val="20"/>
          <w:u w:val="single"/>
        </w:rPr>
        <w:t>en el ámbito de competencia del Estado de México y sus municipios</w:t>
      </w:r>
      <w:r>
        <w:rPr>
          <w:rFonts w:ascii="Palatino Linotype" w:eastAsia="Palatino Linotype" w:hAnsi="Palatino Linotype" w:cs="Palatino Linotype"/>
          <w:i/>
          <w:color w:val="000000"/>
          <w:sz w:val="20"/>
          <w:szCs w:val="20"/>
          <w:u w:val="single"/>
        </w:rPr>
        <w:t>.</w:t>
      </w: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Artículo 23. Son sujetos obligados a transparentar y permitir el acceso a su información y proteger los datos personales que obren en su poder:</w:t>
      </w: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E00D9A" w:rsidRDefault="00957322">
      <w:pPr>
        <w:spacing w:line="360" w:lineRule="auto"/>
        <w:ind w:left="851" w:right="851"/>
        <w:jc w:val="both"/>
        <w:rPr>
          <w:rFonts w:ascii="Palatino Linotype" w:eastAsia="Palatino Linotype" w:hAnsi="Palatino Linotype" w:cs="Palatino Linotype"/>
          <w:b/>
          <w:i/>
          <w:color w:val="000000"/>
          <w:sz w:val="20"/>
          <w:szCs w:val="20"/>
          <w:u w:val="single"/>
        </w:rPr>
      </w:pPr>
      <w:r>
        <w:rPr>
          <w:rFonts w:ascii="Palatino Linotype" w:eastAsia="Palatino Linotype" w:hAnsi="Palatino Linotype" w:cs="Palatino Linotype"/>
          <w:b/>
          <w:i/>
          <w:color w:val="000000"/>
          <w:sz w:val="20"/>
          <w:szCs w:val="20"/>
          <w:u w:val="single"/>
        </w:rPr>
        <w:t>IV. Los ayuntamientos y las dependencias, organismos, órganos y entidades de la administración municipal;</w:t>
      </w: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E00D9A" w:rsidRDefault="00957322">
      <w:pPr>
        <w:spacing w:line="360" w:lineRule="auto"/>
        <w:ind w:left="851" w:right="851"/>
        <w:jc w:val="both"/>
        <w:rPr>
          <w:rFonts w:ascii="Palatino Linotype" w:eastAsia="Palatino Linotype" w:hAnsi="Palatino Linotype" w:cs="Palatino Linotype"/>
          <w:b/>
          <w:i/>
          <w:color w:val="000000"/>
          <w:sz w:val="20"/>
          <w:szCs w:val="20"/>
          <w:u w:val="single"/>
        </w:rPr>
      </w:pPr>
      <w:r>
        <w:rPr>
          <w:rFonts w:ascii="Palatino Linotype" w:eastAsia="Palatino Linotype" w:hAnsi="Palatino Linotype" w:cs="Palatino Linotype"/>
          <w:b/>
          <w:i/>
          <w:color w:val="000000"/>
          <w:sz w:val="20"/>
          <w:szCs w:val="20"/>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00D9A" w:rsidRDefault="00957322">
      <w:pPr>
        <w:spacing w:line="360" w:lineRule="auto"/>
        <w:ind w:left="851" w:right="851"/>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i/>
          <w:color w:val="000000"/>
          <w:sz w:val="20"/>
          <w:szCs w:val="20"/>
        </w:rPr>
        <w:t>Los servidores públicos deberán transparentar sus acciones así como garantizar y respetar el derecho de acceso a la información pública.”</w:t>
      </w:r>
      <w:r>
        <w:rPr>
          <w:rFonts w:ascii="Palatino Linotype" w:eastAsia="Palatino Linotype" w:hAnsi="Palatino Linotype" w:cs="Palatino Linotype"/>
          <w:b/>
          <w:i/>
          <w:color w:val="000000"/>
          <w:sz w:val="20"/>
          <w:szCs w:val="20"/>
        </w:rPr>
        <w:t xml:space="preserve"> [Sic]</w:t>
      </w:r>
    </w:p>
    <w:p w:rsidR="00E00D9A" w:rsidRDefault="00E00D9A">
      <w:pPr>
        <w:spacing w:line="360" w:lineRule="auto"/>
        <w:jc w:val="both"/>
        <w:rPr>
          <w:rFonts w:ascii="Palatino Linotype" w:eastAsia="Palatino Linotype" w:hAnsi="Palatino Linotype" w:cs="Palatino Linotype"/>
          <w:color w:val="FF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color w:val="000000"/>
          <w:sz w:val="22"/>
          <w:szCs w:val="22"/>
        </w:rPr>
        <w:t>01/2003</w:t>
      </w:r>
      <w:r>
        <w:rPr>
          <w:rFonts w:ascii="Palatino Linotype" w:eastAsia="Palatino Linotype" w:hAnsi="Palatino Linotype" w:cs="Palatino Linotype"/>
          <w:color w:val="000000"/>
          <w:sz w:val="22"/>
          <w:szCs w:val="22"/>
        </w:rPr>
        <w:t xml:space="preserve"> y </w:t>
      </w:r>
      <w:r>
        <w:rPr>
          <w:rFonts w:ascii="Palatino Linotype" w:eastAsia="Palatino Linotype" w:hAnsi="Palatino Linotype" w:cs="Palatino Linotype"/>
          <w:b/>
          <w:color w:val="000000"/>
          <w:sz w:val="22"/>
          <w:szCs w:val="22"/>
        </w:rPr>
        <w:t>02/2003</w:t>
      </w:r>
      <w:r>
        <w:rPr>
          <w:rFonts w:ascii="Palatino Linotype" w:eastAsia="Palatino Linotype" w:hAnsi="Palatino Linotype" w:cs="Palatino Linotype"/>
          <w:color w:val="000000"/>
          <w:sz w:val="22"/>
          <w:szCs w:val="22"/>
        </w:rPr>
        <w:t xml:space="preserve"> emitidos por el Comité de Acceso a la Información Pública y Protección de Datos Personales de la Suprema Corte de Justicia de la Nación que a continuación se citan: </w:t>
      </w:r>
    </w:p>
    <w:p w:rsidR="00E00D9A" w:rsidRDefault="00E00D9A">
      <w:pPr>
        <w:spacing w:line="360" w:lineRule="auto"/>
        <w:jc w:val="both"/>
        <w:rPr>
          <w:rFonts w:ascii="Palatino Linotype" w:eastAsia="Palatino Linotype" w:hAnsi="Palatino Linotype" w:cs="Palatino Linotype"/>
          <w:color w:val="FF0000"/>
          <w:sz w:val="20"/>
          <w:szCs w:val="20"/>
        </w:rPr>
      </w:pPr>
    </w:p>
    <w:p w:rsidR="00E00D9A" w:rsidRDefault="00957322">
      <w:pPr>
        <w:spacing w:line="360" w:lineRule="auto"/>
        <w:ind w:left="851" w:right="851"/>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“Criterio 01/2003.</w:t>
      </w: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INGRESOS DE LOS SERVIDORES PÚBLICOS. CONSTITUYEN INFORMACIÓN PÚBLICA AÚN Y CUANDO SU DIFUSIÓN PUEDE AFECTAR LA VIDA O LA SEGURIDAD DE AQUELLOS.</w:t>
      </w:r>
      <w:r>
        <w:rPr>
          <w:rFonts w:ascii="Palatino Linotype" w:eastAsia="Palatino Linotype" w:hAnsi="Palatino Linotype" w:cs="Palatino Linotype"/>
          <w:i/>
          <w:color w:val="000000"/>
          <w:sz w:val="20"/>
          <w:szCs w:val="20"/>
        </w:rPr>
        <w:t xml:space="preserve"> </w:t>
      </w:r>
    </w:p>
    <w:p w:rsidR="00E00D9A" w:rsidRDefault="00957322">
      <w:pPr>
        <w:spacing w:line="360" w:lineRule="auto"/>
        <w:ind w:left="851" w:right="851"/>
        <w:jc w:val="both"/>
        <w:rPr>
          <w:rFonts w:ascii="Palatino Linotype" w:eastAsia="Palatino Linotype" w:hAnsi="Palatino Linotype" w:cs="Palatino Linotype"/>
          <w:i/>
          <w:color w:val="000000"/>
          <w:sz w:val="20"/>
          <w:szCs w:val="20"/>
          <w:u w:val="single"/>
        </w:rPr>
      </w:pPr>
      <w:r>
        <w:rPr>
          <w:rFonts w:ascii="Palatino Linotype" w:eastAsia="Palatino Linotype" w:hAnsi="Palatino Linotype" w:cs="Palatino Linotype"/>
          <w:i/>
          <w:color w:val="000000"/>
          <w:sz w:val="20"/>
          <w:szCs w:val="20"/>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w:t>
      </w:r>
      <w:r>
        <w:rPr>
          <w:rFonts w:ascii="Palatino Linotype" w:eastAsia="Palatino Linotype" w:hAnsi="Palatino Linotype" w:cs="Palatino Linotype"/>
          <w:i/>
          <w:color w:val="000000"/>
          <w:sz w:val="20"/>
          <w:szCs w:val="20"/>
        </w:rPr>
        <w:lastRenderedPageBreak/>
        <w:t xml:space="preserve">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color w:val="000000"/>
          <w:sz w:val="20"/>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color w:val="000000"/>
          <w:sz w:val="20"/>
          <w:szCs w:val="20"/>
          <w:u w:val="single"/>
        </w:rPr>
        <w:t>…”</w:t>
      </w:r>
    </w:p>
    <w:p w:rsidR="00E00D9A" w:rsidRDefault="00E00D9A">
      <w:pPr>
        <w:spacing w:line="360" w:lineRule="auto"/>
        <w:ind w:left="851" w:right="851"/>
        <w:jc w:val="both"/>
        <w:rPr>
          <w:rFonts w:ascii="Palatino Linotype" w:eastAsia="Palatino Linotype" w:hAnsi="Palatino Linotype" w:cs="Palatino Linotype"/>
          <w:i/>
          <w:color w:val="000000"/>
          <w:sz w:val="20"/>
          <w:szCs w:val="20"/>
        </w:rPr>
      </w:pPr>
    </w:p>
    <w:p w:rsidR="00E00D9A" w:rsidRDefault="00957322">
      <w:pPr>
        <w:spacing w:line="360" w:lineRule="auto"/>
        <w:ind w:left="851" w:right="851"/>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“Criterio 02/2003.</w:t>
      </w: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INGRESOS DE LOS SERVIDORES PÚBLICOS, SON INFORMACIÓN PÚBLICA AÚN Y CUANDO CONSTITUYEN DATOS PERSONALES QUE SE REFIEREN AL PATRIMONIO DE AQUÉLLOS.</w:t>
      </w:r>
      <w:r>
        <w:rPr>
          <w:rFonts w:ascii="Palatino Linotype" w:eastAsia="Palatino Linotype" w:hAnsi="Palatino Linotype" w:cs="Palatino Linotype"/>
          <w:i/>
          <w:color w:val="000000"/>
          <w:sz w:val="20"/>
          <w:szCs w:val="20"/>
        </w:rPr>
        <w:t xml:space="preserve"> </w:t>
      </w:r>
    </w:p>
    <w:p w:rsidR="00E00D9A" w:rsidRDefault="00957322">
      <w:pPr>
        <w:spacing w:line="360" w:lineRule="auto"/>
        <w:ind w:left="851" w:right="851"/>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i/>
          <w:color w:val="000000"/>
          <w:sz w:val="20"/>
          <w:szCs w:val="20"/>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color w:val="000000"/>
          <w:sz w:val="20"/>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color w:val="000000"/>
          <w:sz w:val="20"/>
          <w:szCs w:val="20"/>
        </w:rPr>
        <w:t xml:space="preserve"> el sistema de compensación…” </w:t>
      </w:r>
      <w:r>
        <w:rPr>
          <w:rFonts w:ascii="Palatino Linotype" w:eastAsia="Palatino Linotype" w:hAnsi="Palatino Linotype" w:cs="Palatino Linotype"/>
          <w:b/>
          <w:i/>
          <w:color w:val="000000"/>
          <w:sz w:val="20"/>
          <w:szCs w:val="20"/>
        </w:rPr>
        <w:t>[Sic]</w:t>
      </w:r>
    </w:p>
    <w:p w:rsidR="00E00D9A" w:rsidRDefault="00E00D9A">
      <w:pPr>
        <w:spacing w:line="360" w:lineRule="auto"/>
        <w:ind w:right="-93"/>
        <w:jc w:val="both"/>
        <w:rPr>
          <w:rFonts w:ascii="Palatino Linotype" w:eastAsia="Palatino Linotype" w:hAnsi="Palatino Linotype" w:cs="Palatino Linotype"/>
          <w:color w:val="FF0000"/>
          <w:sz w:val="22"/>
          <w:szCs w:val="22"/>
        </w:rPr>
      </w:pPr>
    </w:p>
    <w:p w:rsidR="00E00D9A" w:rsidRDefault="00957322">
      <w:pPr>
        <w:numPr>
          <w:ilvl w:val="0"/>
          <w:numId w:val="3"/>
        </w:numPr>
        <w:pBdr>
          <w:top w:val="nil"/>
          <w:left w:val="nil"/>
          <w:bottom w:val="nil"/>
          <w:right w:val="nil"/>
          <w:between w:val="nil"/>
        </w:pBdr>
        <w:tabs>
          <w:tab w:val="left" w:pos="709"/>
        </w:tabs>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Máxime, que se trata de una obligación de transparencia en términos de lo señalado por el artículo 92 fracción VIII, de la Ley de Transparencia y Acceso a la Información Pública del Estado de México y Municipios vigente, que señala:</w:t>
      </w:r>
    </w:p>
    <w:p w:rsidR="00E00D9A" w:rsidRDefault="00E00D9A">
      <w:pPr>
        <w:tabs>
          <w:tab w:val="left" w:pos="709"/>
        </w:tabs>
        <w:spacing w:line="360" w:lineRule="auto"/>
        <w:jc w:val="both"/>
        <w:rPr>
          <w:rFonts w:ascii="Palatino Linotype" w:eastAsia="Palatino Linotype" w:hAnsi="Palatino Linotype" w:cs="Palatino Linotype"/>
          <w:color w:val="000000"/>
          <w:sz w:val="10"/>
          <w:szCs w:val="10"/>
        </w:rPr>
      </w:pP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lastRenderedPageBreak/>
        <w:t>“</w:t>
      </w:r>
      <w:r>
        <w:rPr>
          <w:rFonts w:ascii="Palatino Linotype" w:eastAsia="Palatino Linotype" w:hAnsi="Palatino Linotype" w:cs="Palatino Linotype"/>
          <w:b/>
          <w:i/>
          <w:color w:val="000000"/>
          <w:sz w:val="20"/>
          <w:szCs w:val="20"/>
        </w:rPr>
        <w:t>Artículo 92</w:t>
      </w:r>
      <w:r>
        <w:rPr>
          <w:rFonts w:ascii="Palatino Linotype" w:eastAsia="Palatino Linotype" w:hAnsi="Palatino Linotype" w:cs="Palatino Linotype"/>
          <w:i/>
          <w:color w:val="000000"/>
          <w:sz w:val="20"/>
          <w:szCs w:val="20"/>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VIII.</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i/>
          <w:color w:val="000000"/>
          <w:sz w:val="20"/>
          <w:szCs w:val="20"/>
          <w:u w:val="single"/>
        </w:rPr>
        <w:t>La remuneración bruta y neta de todos los servidores públicos de base o de confianza, de todas las percepciones, incluyendo sueldos, prestaciones, gratificaciones, primas, comisiones, dietas, bonos, estímulos, ingresos y sistemas de compensación</w:t>
      </w:r>
      <w:r>
        <w:rPr>
          <w:rFonts w:ascii="Palatino Linotype" w:eastAsia="Palatino Linotype" w:hAnsi="Palatino Linotype" w:cs="Palatino Linotype"/>
          <w:i/>
          <w:color w:val="000000"/>
          <w:sz w:val="20"/>
          <w:szCs w:val="20"/>
        </w:rPr>
        <w:t>, señalando la periodicidad de dicha remuneración;</w:t>
      </w:r>
    </w:p>
    <w:p w:rsidR="00E00D9A" w:rsidRDefault="00E00D9A">
      <w:pPr>
        <w:spacing w:line="360" w:lineRule="auto"/>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Razones por las cuales lo procedente es ordenar la conciliación de nómina del Sujeto Obligado.</w:t>
      </w:r>
    </w:p>
    <w:p w:rsidR="00E00D9A" w:rsidRDefault="00E00D9A">
      <w:pPr>
        <w:spacing w:line="360" w:lineRule="auto"/>
        <w:jc w:val="both"/>
        <w:rPr>
          <w:rFonts w:ascii="Palatino Linotype" w:eastAsia="Palatino Linotype" w:hAnsi="Palatino Linotype" w:cs="Palatino Linotype"/>
          <w:b/>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Ahora bien, es de recordar que el recurrente, requirió la información de todos los servidores públicos que laboraban para el Ayuntamiento, de enero de dos mil veintidós al treinta y uno de julio de dos mil veinticuatro, es decir, su pretensión es obtener la información de la presente administración, lo cual se traduce la nómina pagada de la primera quincena de enero de dos mil veintidós a la segunda de julio de la presente anualidad.</w:t>
      </w:r>
    </w:p>
    <w:p w:rsidR="00E00D9A" w:rsidRDefault="00E00D9A">
      <w:pPr>
        <w:spacing w:line="360" w:lineRule="auto"/>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Conforme a lo anterior, se logra vislumbrar que la pretensión del ahora Recurrente es obtener la Conciliación de Nómina del Ayuntamiento de San Mateo Atenco, de la primera quincena de enero (primera pagada en la presente administración) a la segunda de julio (última pagada a la fecha de la solicitud), de la presente anualidad.</w:t>
      </w:r>
    </w:p>
    <w:p w:rsidR="00E00D9A" w:rsidRDefault="00E00D9A">
      <w:pPr>
        <w:spacing w:line="360" w:lineRule="auto"/>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de las constancias que obran en el expediente en el que se actúa, se logra advertir que el Ente Recurrido turno la solicitud de información al Jefe de Departamento de </w:t>
      </w:r>
      <w:r>
        <w:rPr>
          <w:rFonts w:ascii="Palatino Linotype" w:eastAsia="Palatino Linotype" w:hAnsi="Palatino Linotype" w:cs="Palatino Linotype"/>
          <w:color w:val="000000"/>
          <w:sz w:val="22"/>
          <w:szCs w:val="22"/>
        </w:rPr>
        <w:lastRenderedPageBreak/>
        <w:t>Recursos Humanos</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razón por la cual es necesario hacer referencia al procedimiento de búsqueda que debió seguir los Sujetos Obligados para localizar la información, el cual se encuentra previsto en los artículos 160 y 162 de la Ley de Transparencia y Acceso a la Información Pública del Estado de México y Municipios, mismo que es el siguiente:</w:t>
      </w:r>
    </w:p>
    <w:p w:rsidR="00E00D9A" w:rsidRDefault="00E00D9A">
      <w:pPr>
        <w:spacing w:line="360" w:lineRule="auto"/>
        <w:jc w:val="both"/>
        <w:rPr>
          <w:rFonts w:ascii="Palatino Linotype" w:eastAsia="Palatino Linotype" w:hAnsi="Palatino Linotype" w:cs="Palatino Linotype"/>
          <w:color w:val="000000"/>
          <w:sz w:val="10"/>
          <w:szCs w:val="10"/>
        </w:rPr>
      </w:pP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Artículo 160</w:t>
      </w:r>
      <w:r>
        <w:rPr>
          <w:rFonts w:ascii="Palatino Linotype" w:eastAsia="Palatino Linotype" w:hAnsi="Palatino Linotype" w:cs="Palatino Linotype"/>
          <w:i/>
          <w:color w:val="000000"/>
          <w:sz w:val="20"/>
          <w:szCs w:val="20"/>
        </w:rPr>
        <w:t>. Los sujetos obligados deberán otorgar acceso a los documentos que se encuentren en sus archivos o que estén obligados a documentar de acuerdo a sus facultades, competencias o funciones en el formato que el solicitante manifiesta, de entre aquellos formatos existentes, conforme a las características físicas de la información o del lugar donde se encuentren así lo permita.</w:t>
      </w: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En caso que la información solicitada consista en bases de datos se deberá privilegiar la entrega de la misma en formatos abiertos.</w:t>
      </w:r>
    </w:p>
    <w:p w:rsidR="00E00D9A" w:rsidRDefault="00E00D9A">
      <w:pPr>
        <w:spacing w:line="360" w:lineRule="auto"/>
        <w:ind w:left="851" w:right="851"/>
        <w:jc w:val="both"/>
        <w:rPr>
          <w:rFonts w:ascii="Palatino Linotype" w:eastAsia="Palatino Linotype" w:hAnsi="Palatino Linotype" w:cs="Palatino Linotype"/>
          <w:i/>
          <w:color w:val="000000"/>
          <w:sz w:val="20"/>
          <w:szCs w:val="20"/>
        </w:rPr>
      </w:pPr>
    </w:p>
    <w:p w:rsidR="00E00D9A" w:rsidRDefault="00957322">
      <w:pPr>
        <w:spacing w:line="360" w:lineRule="auto"/>
        <w:ind w:left="851"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Artículo 162</w:t>
      </w:r>
      <w:r>
        <w:rPr>
          <w:rFonts w:ascii="Palatino Linotype" w:eastAsia="Palatino Linotype" w:hAnsi="Palatino Linotype" w:cs="Palatino Linotype"/>
          <w:i/>
          <w:color w:val="000000"/>
          <w:sz w:val="20"/>
          <w:szCs w:val="20"/>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E00D9A" w:rsidRDefault="00E00D9A">
      <w:pPr>
        <w:tabs>
          <w:tab w:val="left" w:pos="5055"/>
        </w:tabs>
        <w:spacing w:line="360" w:lineRule="auto"/>
        <w:jc w:val="both"/>
        <w:rPr>
          <w:rFonts w:ascii="Palatino Linotype" w:eastAsia="Palatino Linotype" w:hAnsi="Palatino Linotype" w:cs="Palatino Linotype"/>
          <w:color w:val="FF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Atendiendo a lo dispuesto en los preceptos legales de referencia, es necesario traer al estudio los artículos 1, párrafo segundo; 53, 54, 65, 66 apartado A fracción X, del Bando Municipal, publicado el cinco de febrero de dos mil veinticuatro, en la Gaceta Municipal, Periódico Oficial del Gobierno Municipal de San Mateo Atenco, así como lo previsto en los artículos 2.14 apartado A fracción IX, 2.71, 2.72 fracción XXVIII, 2.73 del Libro Segundo de las Atribuciones de las Dependencias de la Administración Pública Municipal, publicado el veinticuatro de diciembre de dos mil veintidós; artículos 3.111, 3.112, 3.113 fracción I y 3.115 fracciones III y XVIII del Libro Tercero de las Funciones de las Dependencias de la Administración Pública Municipal, publicado el veintiocho de diciembre de dos mil veintidós, los que disponen que el Sujeto Obligado para el desarrollo de sus funciones se auxiliará de </w:t>
      </w:r>
      <w:r>
        <w:rPr>
          <w:rFonts w:ascii="Palatino Linotype" w:eastAsia="Palatino Linotype" w:hAnsi="Palatino Linotype" w:cs="Palatino Linotype"/>
          <w:color w:val="000000"/>
          <w:sz w:val="22"/>
          <w:szCs w:val="22"/>
        </w:rPr>
        <w:lastRenderedPageBreak/>
        <w:t>diversas dependencias y unidades administrativas, entre las cuales se encuentra la Dirección de Administración, encargada de integrar la nómina del Ayuntamiento, así como, calcular los sueldos o salarios ordinarios, extraordinarios y tiempo extra para pagar las remuneraciones, conforme a lo establecido en el Manual de Organización de la Coordinación de Administración y Recursos Materiales.</w:t>
      </w:r>
    </w:p>
    <w:p w:rsidR="00E00D9A" w:rsidRDefault="00E00D9A">
      <w:pPr>
        <w:spacing w:line="360" w:lineRule="auto"/>
        <w:jc w:val="both"/>
        <w:rPr>
          <w:rFonts w:ascii="Palatino Linotype" w:eastAsia="Palatino Linotype" w:hAnsi="Palatino Linotype" w:cs="Palatino Linotype"/>
          <w:color w:val="FF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Conforme a lo anterior, se logra colegir que el Sujeto Obligado cuenta con un área competente para conocer de la información peticionada, a saber, la Dirección de Administración, que ve todas las cuestiones relacionadas el pago de nómina; por lo que, es posible advertir que el Sujeto Obligado cumplió con parte de lo establecido en el artículo 162 de la Ley de Transparencia y Acceso a la Información Pública del Estado de México y Municipios.</w:t>
      </w:r>
    </w:p>
    <w:p w:rsidR="00E00D9A" w:rsidRDefault="00E00D9A">
      <w:pPr>
        <w:spacing w:line="360" w:lineRule="auto"/>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tal manera, el sujeto obligado en la respuesta emitida, señaló que la información solicitada podía ser consultada en la página de Ipomex; así también en el oficio de referencia, insertó una captura de pantalla con el ejemplo de cómo ingresar a la página de Ipomex, para consultar los datos requeridos en la solicitud. Lo cual resulta incongruente, pues como se advirtió en párrafos anteriores, el recurrente expresamente solicitó la nómina de todos los trabajadores del Ayuntamiento de San Mateo Atenco, de la primera quincena de enero de dos mil veintidós a la segunda quincena de julio del año en curso, solicitud de información que como ha quedado establecido en párrafos precedentes no fue atendida.</w:t>
      </w:r>
    </w:p>
    <w:p w:rsidR="00E00D9A" w:rsidRDefault="00E00D9A">
      <w:pPr>
        <w:pBdr>
          <w:top w:val="nil"/>
          <w:left w:val="nil"/>
          <w:bottom w:val="nil"/>
          <w:right w:val="nil"/>
          <w:between w:val="nil"/>
        </w:pBdr>
        <w:spacing w:line="360" w:lineRule="auto"/>
        <w:ind w:left="720"/>
        <w:rPr>
          <w:rFonts w:ascii="Palatino Linotype" w:eastAsia="Palatino Linotype" w:hAnsi="Palatino Linotype" w:cs="Palatino Linotype"/>
          <w:color w:val="FF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Sobre dicha situación, el artículo 159 de la Ley de Transparencia y Acceso a la Información Pública del Estado de México y Municipios, precisa que cuando los detalles proporcionados para localizar los documentos resulten insuficientes, incompletos o sean erróneos, la Unidad de Transparencia podrá requerir al solicitante que indique otros elementos </w:t>
      </w:r>
      <w:r>
        <w:rPr>
          <w:rFonts w:ascii="Palatino Linotype" w:eastAsia="Palatino Linotype" w:hAnsi="Palatino Linotype" w:cs="Palatino Linotype"/>
          <w:color w:val="000000"/>
          <w:sz w:val="22"/>
          <w:szCs w:val="22"/>
        </w:rPr>
        <w:lastRenderedPageBreak/>
        <w:t>que complementen, corrijan o amplíen los datos proporcionados o bien, precise uno o varios requerimientos de información; lo cual no aconteció, pues el Ayuntamiento no requirió ninguna aclaración.</w:t>
      </w:r>
    </w:p>
    <w:p w:rsidR="00E00D9A" w:rsidRDefault="00E00D9A">
      <w:pPr>
        <w:spacing w:line="360" w:lineRule="auto"/>
        <w:jc w:val="both"/>
        <w:rPr>
          <w:rFonts w:ascii="Palatino Linotype" w:eastAsia="Palatino Linotype" w:hAnsi="Palatino Linotype" w:cs="Palatino Linotype"/>
          <w:color w:val="FF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el artículo 1.8, fracción IX, del Código Administrativo del Estado de México, establece que para que un acto administrativo tenga validez, deberá guardar congruencia con lo solicitado; asimismo, resulta necesario traer por analogía, el Criterio 02/17, emitido por el Instituto Nacional de Transparencia, Acceso a la Información y Protección de Datos Personales, que señala lo siguiente:</w:t>
      </w:r>
    </w:p>
    <w:p w:rsidR="00E00D9A" w:rsidRDefault="00E00D9A">
      <w:pPr>
        <w:spacing w:line="360" w:lineRule="auto"/>
        <w:ind w:left="567" w:right="567"/>
        <w:jc w:val="both"/>
        <w:rPr>
          <w:rFonts w:ascii="Palatino Linotype" w:eastAsia="Palatino Linotype" w:hAnsi="Palatino Linotype" w:cs="Palatino Linotype"/>
          <w:b/>
          <w:i/>
          <w:color w:val="000000"/>
          <w:sz w:val="22"/>
          <w:szCs w:val="22"/>
        </w:rPr>
      </w:pPr>
    </w:p>
    <w:p w:rsidR="00E00D9A" w:rsidRDefault="00957322">
      <w:pPr>
        <w:spacing w:line="360" w:lineRule="auto"/>
        <w:ind w:left="851" w:right="56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 xml:space="preserve">“Congruencia y exhaustividad. Sus alcances para garantizar el derecho de acceso a la información. </w:t>
      </w:r>
      <w:r>
        <w:rPr>
          <w:rFonts w:ascii="Palatino Linotype" w:eastAsia="Palatino Linotype" w:hAnsi="Palatino Linotype" w:cs="Palatino Linotype"/>
          <w:i/>
          <w:color w:val="000000"/>
          <w:sz w:val="20"/>
          <w:szCs w:val="20"/>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w:t>
      </w:r>
      <w:r>
        <w:rPr>
          <w:rFonts w:ascii="Palatino Linotype" w:eastAsia="Palatino Linotype" w:hAnsi="Palatino Linotype" w:cs="Palatino Linotype"/>
          <w:i/>
          <w:color w:val="000000"/>
          <w:sz w:val="20"/>
          <w:szCs w:val="20"/>
          <w:u w:val="single"/>
        </w:rPr>
        <w:t>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0"/>
          <w:szCs w:val="20"/>
        </w:rPr>
        <w:t>;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E00D9A" w:rsidRDefault="00E00D9A">
      <w:pPr>
        <w:spacing w:line="360" w:lineRule="auto"/>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Del citado criterio, se desprende que todo acto administrativo debe apegarse al </w:t>
      </w:r>
      <w:r>
        <w:rPr>
          <w:rFonts w:ascii="Palatino Linotype" w:eastAsia="Palatino Linotype" w:hAnsi="Palatino Linotype" w:cs="Palatino Linotype"/>
          <w:b/>
          <w:color w:val="000000"/>
          <w:sz w:val="22"/>
          <w:szCs w:val="22"/>
        </w:rPr>
        <w:t xml:space="preserve">Principio de Congruencia, </w:t>
      </w:r>
      <w:r>
        <w:rPr>
          <w:rFonts w:ascii="Palatino Linotype" w:eastAsia="Palatino Linotype" w:hAnsi="Palatino Linotype" w:cs="Palatino Linotype"/>
          <w:color w:val="000000"/>
          <w:sz w:val="22"/>
          <w:szCs w:val="22"/>
        </w:rPr>
        <w:t>el cual</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implica que exista concordancia entre el requerimiento formulado y la respuesta entregada por el área.</w:t>
      </w:r>
    </w:p>
    <w:p w:rsidR="00E00D9A" w:rsidRDefault="00E00D9A">
      <w:pPr>
        <w:spacing w:line="360" w:lineRule="auto"/>
        <w:jc w:val="both"/>
        <w:rPr>
          <w:rFonts w:ascii="Palatino Linotype" w:eastAsia="Palatino Linotype" w:hAnsi="Palatino Linotype" w:cs="Palatino Linotype"/>
          <w:color w:val="FF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lastRenderedPageBreak/>
        <w:t xml:space="preserve">Conforme a lo anterior, se considera que toda vez que la respuesta fue incongruente, pues el Sujeto Obligado no proporcionó la información que le fue solicitada, pues el simple hecho de manifestar que ésta se encontraba contenida en la página digital Ipomex, y señalar las indicaciones de cómo acceder a la misma, no satisface lo solicitado y conlleva a establecer que el agravio es </w:t>
      </w:r>
      <w:r>
        <w:rPr>
          <w:rFonts w:ascii="Palatino Linotype" w:eastAsia="Palatino Linotype" w:hAnsi="Palatino Linotype" w:cs="Palatino Linotype"/>
          <w:b/>
          <w:color w:val="000000"/>
          <w:sz w:val="22"/>
          <w:szCs w:val="22"/>
        </w:rPr>
        <w:t xml:space="preserve">FUNDADO. </w:t>
      </w:r>
    </w:p>
    <w:p w:rsidR="00E00D9A" w:rsidRDefault="00E00D9A">
      <w:pPr>
        <w:spacing w:line="360" w:lineRule="auto"/>
        <w:jc w:val="both"/>
        <w:rPr>
          <w:rFonts w:ascii="Palatino Linotype" w:eastAsia="Palatino Linotype" w:hAnsi="Palatino Linotype" w:cs="Palatino Linotype"/>
          <w:b/>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Finalmente no pasa desapercibido que el recurrente al solicitar la nómina, en la cual se observe el nombre, pago y puesto de todo el personal del Ayuntamiento de San Mateo Atenco, en ese ámbito se encuentran los elementos de seguridad pública de dicho Ayuntamiento, razón por la cual es preciso mencionar que respecto a los policías o cuerpos de seguridad pública hemos de decir que si bien es cierto la información relacionada con el uso de recursos públicos es información pública de acuerdo al artículo 23, 24 fracción XVIII, 92 fracción VIII de la Ley de Transparencia y Acceso a la Información Pública del Estado de México y Municipios, en donde señala que los sujeto obligados deberán hacer pública toda aquella información relativa a los montos y a las personas a quienes se les entregue por cualquier motivo recursos públicos, aunado a que el artículo, 92 establece que las remuneraciones brutas y netas de todos los servidores públicos de los sujetos obligados deberán ponerse a disposición de manera permanente y actualizada en medios electrónicos, en este caso en particular cuando se solicita información relacionada con los sueldos y/o nóminas y/o recibos de pago del personal que se encuentra adscrito a seguridad pública, esta ponencia tiene el criterio de entregar la información de manera disociada, ya que aplicaría el artículo 52 del mismo ordenamiento legal en donde menciona que la información será publica siempre y cuando se protejan los datos personales, así como, de ser el caso se someta al procedimiento de disociación, es decir, deberá entregarse la información de manera que no se relacione la persona adscrita a ese puesto, el monto que percibe como sueldo, así como el área a la que se encuentra adscrito, se debe hacer una versión en donde la información no pueda relacionarse ni permitir por su estructura, </w:t>
      </w:r>
      <w:r>
        <w:rPr>
          <w:rFonts w:ascii="Palatino Linotype" w:eastAsia="Palatino Linotype" w:hAnsi="Palatino Linotype" w:cs="Palatino Linotype"/>
          <w:color w:val="000000"/>
          <w:sz w:val="22"/>
          <w:szCs w:val="22"/>
        </w:rPr>
        <w:lastRenderedPageBreak/>
        <w:t>contenido o grado de desagregación, la identificación individual de los mismos, tal y como lo establece el artículo 4 fracción VII de la Ley en la materia, será de manera disociada siendo este el procedimiento mediante el cual los datos personales no pueden asociarse al titular, ni permitir por su estructura, contenido o grado de desagregación, la identificación individual del mismo.</w:t>
      </w:r>
    </w:p>
    <w:p w:rsidR="00E00D9A" w:rsidRDefault="00E00D9A">
      <w:pPr>
        <w:spacing w:line="360" w:lineRule="auto"/>
        <w:ind w:right="51"/>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right="5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cuanto hace a la entrega de la información de la Dirección de Seguridad Humana y Orden Vial del Ayuntamiento o su equivalente, se considera que deberá hacerse de forma disociada y testando el nombre de dichos servidores públicos de tal suerte que no sea posible identificarlos o hacerlos identificables, ya sea por rango, nivel o puesto.</w:t>
      </w:r>
    </w:p>
    <w:p w:rsidR="00E00D9A" w:rsidRDefault="00E00D9A">
      <w:pPr>
        <w:spacing w:line="360" w:lineRule="auto"/>
        <w:ind w:right="51"/>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 anterior es así pues atendiendo a la realidad y lo objetivamente visible y palpable que ocurre en la vida cotidiana y derivado de los altos niveles de criminalidad existentes en la sociedad, se considera que revelar el estado de fuerza puede incidir directamente en la seguridad pública, cuando lo que es materia de transparencia es la erogación de recursos públicos por lo cual siempre se ha velado al entregar la nómina, lo que no tiene relación es el estado de fuerza de un municipio o del propio estado, datos que en todo caso serían de utilidad para fines distintos a la rendición de cuentas.</w:t>
      </w:r>
    </w:p>
    <w:p w:rsidR="00E00D9A" w:rsidRDefault="00957322">
      <w:pPr>
        <w:numPr>
          <w:ilvl w:val="0"/>
          <w:numId w:val="3"/>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ende, lo que procede cuando se presente el caso, es ordenar la entrega de la información de las corporaciones de seguridad pública de tal forma que no se advierta el estado de fuerza lo que en su caso es de forma disociada.</w:t>
      </w:r>
    </w:p>
    <w:p w:rsidR="00E00D9A" w:rsidRDefault="00E00D9A">
      <w:pPr>
        <w:tabs>
          <w:tab w:val="left" w:pos="7938"/>
        </w:tabs>
        <w:spacing w:line="360" w:lineRule="auto"/>
        <w:jc w:val="both"/>
        <w:rPr>
          <w:rFonts w:ascii="Palatino Linotype" w:eastAsia="Palatino Linotype" w:hAnsi="Palatino Linotype" w:cs="Palatino Linotype"/>
          <w:b/>
          <w:color w:val="000000"/>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Correlativo a ello, en la versión pública se deben testar aquellos elementos señalados en la presente resolución, en el entendido de que debe ser pública toda la demás información relacionada que no encuadre en los conceptos anteriores.</w:t>
      </w:r>
    </w:p>
    <w:p w:rsidR="00E00D9A" w:rsidRDefault="00E00D9A">
      <w:pPr>
        <w:shd w:val="clear" w:color="auto" w:fill="FFFFFF"/>
        <w:spacing w:line="360" w:lineRule="auto"/>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En consecuencia, la fundamentación y motivación implica que, en el acto de autoridad, además de contenerse los supuestos jurídicos aplicables se expliquen claramente por qué a través de la utilización de la norma se emitió el acto.</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Asimismo,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no proporcionó la información requerida por el recurrente, </w:t>
      </w:r>
      <w:r>
        <w:rPr>
          <w:rFonts w:ascii="Palatino Linotype" w:eastAsia="Palatino Linotype" w:hAnsi="Palatino Linotype" w:cs="Palatino Linotype"/>
          <w:sz w:val="22"/>
          <w:szCs w:val="22"/>
        </w:rPr>
        <w:t xml:space="preserve">por lo tanto, </w:t>
      </w:r>
      <w:r>
        <w:rPr>
          <w:rFonts w:ascii="Palatino Linotype" w:eastAsia="Palatino Linotype" w:hAnsi="Palatino Linotype" w:cs="Palatino Linotype"/>
          <w:b/>
          <w:sz w:val="22"/>
          <w:szCs w:val="22"/>
        </w:rPr>
        <w:t xml:space="preserve">no se cumple el requisito de forma establecido por la Ley en la materia. </w:t>
      </w:r>
      <w:r>
        <w:rPr>
          <w:rFonts w:ascii="Palatino Linotype" w:eastAsia="Palatino Linotype" w:hAnsi="Palatino Linotype" w:cs="Palatino Linotype"/>
          <w:sz w:val="22"/>
          <w:szCs w:val="22"/>
        </w:rPr>
        <w:t xml:space="preserve">Por tal motivo, las razones y motivos de inconformidad vertidos por el </w:t>
      </w:r>
      <w:r>
        <w:rPr>
          <w:rFonts w:ascii="Palatino Linotype" w:eastAsia="Palatino Linotype" w:hAnsi="Palatino Linotype" w:cs="Palatino Linotype"/>
          <w:b/>
          <w:sz w:val="22"/>
          <w:szCs w:val="22"/>
        </w:rPr>
        <w:t xml:space="preserve">RECURRENTE </w:t>
      </w:r>
      <w:r>
        <w:rPr>
          <w:rFonts w:ascii="Palatino Linotype" w:eastAsia="Palatino Linotype" w:hAnsi="Palatino Linotype" w:cs="Palatino Linotype"/>
          <w:sz w:val="22"/>
          <w:szCs w:val="22"/>
        </w:rPr>
        <w:t xml:space="preserve">en el presente recurso de revisión resultan fundados. </w:t>
      </w:r>
    </w:p>
    <w:p w:rsidR="00E00D9A" w:rsidRDefault="00E00D9A">
      <w:pPr>
        <w:pBdr>
          <w:top w:val="nil"/>
          <w:left w:val="nil"/>
          <w:bottom w:val="nil"/>
          <w:right w:val="nil"/>
          <w:between w:val="nil"/>
        </w:pBdr>
        <w:spacing w:line="360" w:lineRule="auto"/>
        <w:ind w:right="1"/>
        <w:jc w:val="both"/>
        <w:rPr>
          <w:rFonts w:ascii="Palatino Linotype" w:eastAsia="Palatino Linotype" w:hAnsi="Palatino Linotype" w:cs="Palatino Linotype"/>
          <w:color w:val="000000"/>
          <w:sz w:val="22"/>
          <w:szCs w:val="22"/>
        </w:rPr>
      </w:pPr>
    </w:p>
    <w:p w:rsidR="00E00D9A" w:rsidRDefault="00957322">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En consecuencia, no es posible tener por atendido el requerimiento, con la simple manifestación de dónde se encuentra la información solicitada y la forma de cómo acceder a ella; razón por la cual, será necesario que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entregue el o los documentos donde conste </w:t>
      </w:r>
      <w:r>
        <w:rPr>
          <w:rFonts w:ascii="Palatino Linotype" w:eastAsia="Palatino Linotype" w:hAnsi="Palatino Linotype" w:cs="Palatino Linotype"/>
          <w:b/>
          <w:color w:val="000000"/>
          <w:sz w:val="22"/>
          <w:szCs w:val="22"/>
        </w:rPr>
        <w:t>el nombre, pago y puesto de la nómina de trabajadores dependientes del Ayuntamiento de San Mateo Atenco correspondiente de enero de dos mil veintidós a la segunda quincena (31 de julio de 2024) del año en curso.</w:t>
      </w:r>
    </w:p>
    <w:p w:rsidR="00E00D9A" w:rsidRDefault="00E00D9A">
      <w:pPr>
        <w:pBdr>
          <w:top w:val="nil"/>
          <w:left w:val="nil"/>
          <w:bottom w:val="nil"/>
          <w:right w:val="nil"/>
          <w:between w:val="nil"/>
        </w:pBdr>
        <w:spacing w:line="360" w:lineRule="auto"/>
        <w:ind w:right="1"/>
        <w:jc w:val="both"/>
        <w:rPr>
          <w:rFonts w:ascii="Palatino Linotype" w:eastAsia="Palatino Linotype" w:hAnsi="Palatino Linotype" w:cs="Palatino Linotype"/>
          <w:color w:val="000000"/>
          <w:sz w:val="22"/>
          <w:szCs w:val="22"/>
        </w:rPr>
      </w:pPr>
    </w:p>
    <w:p w:rsidR="00E00D9A" w:rsidRDefault="00957322">
      <w:pPr>
        <w:keepNext/>
        <w:keepLines/>
        <w:spacing w:line="36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QUINTO.  De la versión pública.</w:t>
      </w:r>
    </w:p>
    <w:p w:rsidR="00E00D9A" w:rsidRDefault="00E00D9A">
      <w:pPr>
        <w:keepNext/>
        <w:keepLines/>
        <w:spacing w:line="360" w:lineRule="auto"/>
        <w:rPr>
          <w:rFonts w:ascii="Palatino Linotype" w:eastAsia="Palatino Linotype" w:hAnsi="Palatino Linotype" w:cs="Palatino Linotype"/>
          <w:b/>
          <w:color w:val="000000"/>
          <w:sz w:val="10"/>
          <w:szCs w:val="10"/>
        </w:rPr>
      </w:pPr>
    </w:p>
    <w:p w:rsidR="00E00D9A" w:rsidRDefault="00957322">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sz w:val="22"/>
          <w:szCs w:val="22"/>
        </w:rPr>
      </w:pPr>
      <w:bookmarkStart w:id="12" w:name="_heading=h.17dp8vu" w:colFirst="0" w:colLast="0"/>
      <w:bookmarkEnd w:id="12"/>
      <w:r>
        <w:rPr>
          <w:rFonts w:ascii="Palatino Linotype" w:eastAsia="Palatino Linotype" w:hAnsi="Palatino Linotype" w:cs="Palatino Linotype"/>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su parte, la Ley General de Transparencia y Acceso a la Información Pública, en su artículo 116, dispone que se considera información confidencial la que contenga datos personales concernientes a una persona física identificada o identificable. Además,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términos de lo expuesto, la documentación y aquellos datos que se consideren confidenciales, serán una limitante del derecho de acceso a la información, siempre y cuando:</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10"/>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trate de datos personales o información privada; esto es, información concerniente a una persona física o jurídico colectiva y que esta sea identificada o identificable. </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10"/>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Para la difusión de los datos, se requiera el consentimiento del titular. </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en el artículo 5° de dicho ordenamiento jurídico, establece que es la Ley aplicable para todo tratamiento de datos personales.</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w:t>
      </w:r>
      <w:r>
        <w:rPr>
          <w:rFonts w:ascii="Palatino Linotype" w:eastAsia="Palatino Linotype" w:hAnsi="Palatino Linotype" w:cs="Palatino Linotype"/>
          <w:sz w:val="22"/>
          <w:szCs w:val="22"/>
        </w:rPr>
        <w:lastRenderedPageBreak/>
        <w:t>con el consentimiento de su titular, además de que debe estar justificado en ley (principio de finalidad).</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 suerte, las instituciones públicas tienen la doble responsabilidad, por un lado, de proteger los datos personales y por otro, darles publicidad cuando la relevancia de esos datos sea de interés público.</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w:t>
      </w:r>
      <w:r>
        <w:rPr>
          <w:rFonts w:ascii="Palatino Linotype" w:eastAsia="Palatino Linotype" w:hAnsi="Palatino Linotype" w:cs="Palatino Linotype"/>
          <w:sz w:val="22"/>
          <w:szCs w:val="22"/>
        </w:rPr>
        <w:lastRenderedPageBreak/>
        <w:t>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E00D9A" w:rsidRDefault="00E00D9A">
      <w:pPr>
        <w:spacing w:line="360" w:lineRule="auto"/>
        <w:jc w:val="both"/>
        <w:rPr>
          <w:rFonts w:ascii="Palatino Linotype" w:eastAsia="Palatino Linotype" w:hAnsi="Palatino Linotype" w:cs="Palatino Linotype"/>
          <w:sz w:val="22"/>
          <w:szCs w:val="22"/>
        </w:rPr>
      </w:pPr>
    </w:p>
    <w:p w:rsidR="00E00D9A" w:rsidRDefault="00957322">
      <w:pPr>
        <w:numPr>
          <w:ilvl w:val="0"/>
          <w:numId w:val="5"/>
        </w:num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Clave Única de Registro de Población (CURP)</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la Secretaría de Gobernación en las direcciones https://consultas.curp.gob.mx/CurpSP/html/informacionecurpPS.html y </w:t>
      </w:r>
      <w:hyperlink r:id="rId12">
        <w:r>
          <w:rPr>
            <w:rFonts w:ascii="Palatino Linotype" w:eastAsia="Palatino Linotype" w:hAnsi="Palatino Linotype" w:cs="Palatino Linotype"/>
            <w:color w:val="0563C1"/>
            <w:sz w:val="22"/>
            <w:szCs w:val="22"/>
            <w:u w:val="single"/>
          </w:rPr>
          <w:t>https://www.gob.mx/segob/renapo/acciones-y-programas/clave-unica-de-registro-de-poblacion-curp-142226</w:t>
        </w:r>
      </w:hyperlink>
      <w:r>
        <w:rPr>
          <w:rFonts w:ascii="Palatino Linotype" w:eastAsia="Palatino Linotype" w:hAnsi="Palatino Linotype" w:cs="Palatino Linotype"/>
          <w:sz w:val="22"/>
          <w:szCs w:val="22"/>
        </w:rPr>
        <w:t xml:space="preserve"> (consultadas el catorce de diciembre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rsidR="00E00D9A" w:rsidRDefault="00E00D9A">
      <w:pPr>
        <w:spacing w:line="360" w:lineRule="auto"/>
        <w:rPr>
          <w:rFonts w:ascii="Palatino Linotype" w:eastAsia="Palatino Linotype" w:hAnsi="Palatino Linotype" w:cs="Palatino Linotype"/>
          <w:sz w:val="22"/>
          <w:szCs w:val="22"/>
        </w:rPr>
      </w:pPr>
    </w:p>
    <w:p w:rsidR="00E00D9A" w:rsidRDefault="00957322">
      <w:pPr>
        <w:spacing w:line="360" w:lineRule="auto"/>
        <w:ind w:left="567"/>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El primero y segundo apellidos, así como al nombre de pila;</w:t>
      </w:r>
    </w:p>
    <w:p w:rsidR="00E00D9A" w:rsidRDefault="00957322">
      <w:pPr>
        <w:spacing w:line="360" w:lineRule="auto"/>
        <w:ind w:left="567"/>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La fecha de nacimiento;</w:t>
      </w:r>
    </w:p>
    <w:p w:rsidR="00E00D9A" w:rsidRDefault="00957322">
      <w:pPr>
        <w:spacing w:line="360" w:lineRule="auto"/>
        <w:ind w:left="567"/>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El sexo, y</w:t>
      </w:r>
    </w:p>
    <w:p w:rsidR="00E00D9A" w:rsidRDefault="00957322">
      <w:pPr>
        <w:spacing w:line="360" w:lineRule="auto"/>
        <w:ind w:left="567"/>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La entidad federativa de nacimiento.</w:t>
      </w:r>
    </w:p>
    <w:p w:rsidR="00E00D9A" w:rsidRDefault="00E00D9A">
      <w:pPr>
        <w:spacing w:line="360" w:lineRule="auto"/>
        <w:ind w:left="567"/>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dos últimos elementos de la Clave Única de Registro de Población evitan la duplicidad de la Clave y garantizan su correcta integración. 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Situación que se robustece, con el Criterio de Interpretación, de la Segunda Época, con número de registro SO/018/2017, emitido por el Instituto Nacional de Transparencia, Acceso a la Información y Protección de Datos Personales, que establece lo siguiente:</w:t>
      </w:r>
    </w:p>
    <w:p w:rsidR="00E00D9A" w:rsidRDefault="00E00D9A">
      <w:pPr>
        <w:spacing w:line="360" w:lineRule="auto"/>
        <w:rPr>
          <w:rFonts w:ascii="Palatino Linotype" w:eastAsia="Palatino Linotype" w:hAnsi="Palatino Linotype" w:cs="Palatino Linotype"/>
          <w:sz w:val="22"/>
          <w:szCs w:val="22"/>
        </w:rPr>
      </w:pPr>
    </w:p>
    <w:p w:rsidR="00E00D9A" w:rsidRDefault="00957322">
      <w:pPr>
        <w:spacing w:line="360" w:lineRule="auto"/>
        <w:ind w:left="567" w:right="539"/>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“Clave Única de Registro de Población (CURP). </w:t>
      </w:r>
      <w:r>
        <w:rPr>
          <w:rFonts w:ascii="Palatino Linotype" w:eastAsia="Palatino Linotype" w:hAnsi="Palatino Linotype" w:cs="Palatino Linotype"/>
          <w:i/>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acuerdo con lo anterior, resulta procedente la clasificación de </w:t>
      </w:r>
      <w:r>
        <w:rPr>
          <w:rFonts w:ascii="Palatino Linotype" w:eastAsia="Palatino Linotype" w:hAnsi="Palatino Linotype" w:cs="Palatino Linotype"/>
          <w:b/>
          <w:sz w:val="22"/>
          <w:szCs w:val="22"/>
        </w:rPr>
        <w:t>la Clave Única de Registro de Población</w:t>
      </w:r>
      <w:r>
        <w:rPr>
          <w:rFonts w:ascii="Palatino Linotype" w:eastAsia="Palatino Linotype" w:hAnsi="Palatino Linotype" w:cs="Palatino Linotype"/>
          <w:sz w:val="22"/>
          <w:szCs w:val="22"/>
        </w:rPr>
        <w:t xml:space="preserve">, por tratarse de un dato personal confidencial, en términos del artículo 143, fracción I, de la Ley de Transparencia y Acceso a la Información Pública del Estado de México y Municipios. </w:t>
      </w:r>
    </w:p>
    <w:p w:rsidR="00E00D9A" w:rsidRDefault="00E00D9A">
      <w:pPr>
        <w:spacing w:line="360" w:lineRule="auto"/>
        <w:jc w:val="both"/>
        <w:rPr>
          <w:rFonts w:ascii="Palatino Linotype" w:eastAsia="Palatino Linotype" w:hAnsi="Palatino Linotype" w:cs="Palatino Linotype"/>
          <w:sz w:val="22"/>
          <w:szCs w:val="22"/>
        </w:rPr>
      </w:pPr>
    </w:p>
    <w:p w:rsidR="00E00D9A" w:rsidRDefault="00957322">
      <w:pPr>
        <w:numPr>
          <w:ilvl w:val="0"/>
          <w:numId w:val="4"/>
        </w:num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Código bidimensional o Qr</w:t>
      </w: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principio,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http://dof.gob.mx/nota_detalle.php?codigo=5492254&amp;fecha=28/07/2017. Incluso con la captura de dicho código, a través de la aplicación móvil del Servicio de Administración Tributaria, permite el acceso al Registro Federal de Contribuyentes, como del Sujeto Obligado, como de los servidores públicos.</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2"/>
        </w:num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Número de seguridad social del Instituto de Seguridad Social del Estado de México y Municipios</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el artículo 9° del mismo ordenamiento, dispone que el Instituto de Seguridad Social del Estado de México y Municipios expedirá documentos de identificación </w:t>
      </w:r>
      <w:r>
        <w:rPr>
          <w:rFonts w:ascii="Palatino Linotype" w:eastAsia="Palatino Linotype" w:hAnsi="Palatino Linotype" w:cs="Palatino Linotype"/>
          <w:sz w:val="22"/>
          <w:szCs w:val="22"/>
        </w:rPr>
        <w:lastRenderedPageBreak/>
        <w:t>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1"/>
        </w:num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Descuentos personales</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necesario precisar que existen deducciones que se generan con motivo de una decisión libre y voluntaria de los servidores públicos, como son: créditos personales, cuotas </w:t>
      </w:r>
      <w:r>
        <w:rPr>
          <w:rFonts w:ascii="Palatino Linotype" w:eastAsia="Palatino Linotype" w:hAnsi="Palatino Linotype" w:cs="Palatino Linotype"/>
          <w:sz w:val="22"/>
          <w:szCs w:val="22"/>
        </w:rPr>
        <w:lastRenderedPageBreak/>
        <w:t>sindicales y fondo de resistencia del Sindicato Único de Trabajadores de los Poderes, Municipios e Institución Descentralizadas del Estado de México, seguro de vida, accidentes y enfermedades.</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hay otras que se generan con motivo de una sentencia judicial, como es la pensión alimenticia que periódicamente se retira de la cuenta de un empleado, a efecto de que sea entregado a un tercero.  </w:t>
      </w:r>
    </w:p>
    <w:p w:rsidR="00E00D9A" w:rsidRDefault="00E00D9A">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rsidR="00E00D9A" w:rsidRDefault="00E00D9A">
      <w:pPr>
        <w:spacing w:line="360" w:lineRule="auto"/>
        <w:ind w:left="567" w:right="539"/>
        <w:rPr>
          <w:rFonts w:ascii="Palatino Linotype" w:eastAsia="Palatino Linotype" w:hAnsi="Palatino Linotype" w:cs="Palatino Linotype"/>
          <w:b/>
          <w:sz w:val="22"/>
          <w:szCs w:val="22"/>
        </w:rPr>
      </w:pPr>
    </w:p>
    <w:p w:rsidR="00E00D9A" w:rsidRDefault="00957322">
      <w:pPr>
        <w:numPr>
          <w:ilvl w:val="0"/>
          <w:numId w:val="9"/>
        </w:numPr>
        <w:spacing w:line="360" w:lineRule="auto"/>
        <w:ind w:right="53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Sellos digitales del emisor y del Servicio de Administración Tributaria y cadena original del complemento de certificación digital del órgano previamente señalado; así como sus respectivos números de serie de los certificados de sellos digitales, folio fiscal y número de serie del emisor.</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00E00D9A" w:rsidRDefault="00957322">
      <w:pPr>
        <w:spacing w:line="360" w:lineRule="auto"/>
        <w:ind w:left="851" w:right="539"/>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E00D9A" w:rsidRDefault="00957322">
      <w:pPr>
        <w:spacing w:line="360" w:lineRule="auto"/>
        <w:ind w:left="851" w:right="539"/>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Elementos utilizados en la generación de Sellos Digitales:</w:t>
      </w:r>
    </w:p>
    <w:p w:rsidR="00E00D9A" w:rsidRDefault="00957322">
      <w:pPr>
        <w:spacing w:line="360" w:lineRule="auto"/>
        <w:ind w:left="851" w:right="539"/>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i/>
          <w:sz w:val="20"/>
          <w:szCs w:val="20"/>
        </w:rPr>
        <w:tab/>
        <w:t>Cadena Original, el elemento a sellar, en este caso de un comprobante fiscal digital a través de Internet.</w:t>
      </w:r>
    </w:p>
    <w:p w:rsidR="00E00D9A" w:rsidRDefault="00957322">
      <w:pPr>
        <w:spacing w:line="360" w:lineRule="auto"/>
        <w:ind w:left="851" w:right="539"/>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i/>
          <w:sz w:val="20"/>
          <w:szCs w:val="20"/>
        </w:rPr>
        <w:tab/>
        <w:t>Certificado de Sello Digital y su correspondiente clave privada.</w:t>
      </w:r>
    </w:p>
    <w:p w:rsidR="00E00D9A" w:rsidRDefault="00957322">
      <w:pPr>
        <w:spacing w:line="360" w:lineRule="auto"/>
        <w:ind w:left="851" w:right="539"/>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i/>
          <w:sz w:val="20"/>
          <w:szCs w:val="20"/>
        </w:rPr>
        <w:tab/>
        <w:t>Algoritmos de criptografía de clave pública para firma electrónica avanzada.</w:t>
      </w:r>
    </w:p>
    <w:p w:rsidR="00E00D9A" w:rsidRDefault="00957322">
      <w:pPr>
        <w:spacing w:line="360" w:lineRule="auto"/>
        <w:ind w:left="851" w:right="539"/>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i/>
          <w:sz w:val="20"/>
          <w:szCs w:val="20"/>
        </w:rPr>
        <w:tab/>
        <w:t>Especificaciones de conversión de la firma electrónica avanzada a Base 64.</w:t>
      </w:r>
    </w:p>
    <w:p w:rsidR="00E00D9A" w:rsidRDefault="00957322">
      <w:pPr>
        <w:spacing w:line="360" w:lineRule="auto"/>
        <w:ind w:left="851" w:right="539"/>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Para la generación de sellos digitales se utiliza criptografía de clave pública aplicada a una cadena original.</w:t>
      </w:r>
    </w:p>
    <w:p w:rsidR="00E00D9A" w:rsidRDefault="00957322">
      <w:pPr>
        <w:spacing w:line="360" w:lineRule="auto"/>
        <w:ind w:left="851" w:right="539"/>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lastRenderedPageBreak/>
        <w:t>Criptografía de la Clave Pública</w:t>
      </w:r>
    </w:p>
    <w:p w:rsidR="00E00D9A" w:rsidRDefault="00957322">
      <w:pPr>
        <w:spacing w:line="360" w:lineRule="auto"/>
        <w:ind w:left="851" w:right="539"/>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E00D9A" w:rsidRDefault="00957322">
      <w:pPr>
        <w:spacing w:line="360" w:lineRule="auto"/>
        <w:ind w:left="851"/>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p>
    <w:p w:rsidR="00E00D9A" w:rsidRDefault="00957322">
      <w:pPr>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como ya quedo establecido en el estudio del presente proveído.</w:t>
      </w:r>
    </w:p>
    <w:p w:rsidR="00E00D9A" w:rsidRDefault="00E00D9A">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w:t>
      </w:r>
      <w:r>
        <w:rPr>
          <w:rFonts w:ascii="Palatino Linotype" w:eastAsia="Palatino Linotype" w:hAnsi="Palatino Linotype" w:cs="Palatino Linotype"/>
          <w:sz w:val="22"/>
          <w:szCs w:val="22"/>
        </w:rPr>
        <w:lastRenderedPageBreak/>
        <w:t>México y Municipios. Máxime que permite corroborar la legitimidad a la factura, pues amparan la utilización de los certificados de sellos digitales válidos.</w:t>
      </w:r>
    </w:p>
    <w:p w:rsidR="00E00D9A" w:rsidRDefault="00957322">
      <w:pPr>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mostró en el estudio del presente proveído.</w:t>
      </w:r>
    </w:p>
    <w:p w:rsidR="00E00D9A" w:rsidRDefault="00E00D9A">
      <w:pPr>
        <w:spacing w:line="360" w:lineRule="auto"/>
        <w:jc w:val="center"/>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rsidR="00E00D9A" w:rsidRDefault="00E00D9A">
      <w:pPr>
        <w:spacing w:line="360" w:lineRule="auto"/>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cabe señalar que, en algunos casos, las cadenas originales y sellos digitales, el folio fiscal o el número de serie de los certificados digitales, se pueden conformar de datos confidenciales, tales como el Registro Federal de Contribuyentes o la Clave Única de Registro de Población; por lo que, únicamente podrá clasificar estos, si contienen dicha información, de lo contrario serán públicos.</w:t>
      </w:r>
    </w:p>
    <w:p w:rsidR="00E00D9A" w:rsidRDefault="00E00D9A">
      <w:pPr>
        <w:tabs>
          <w:tab w:val="left" w:pos="0"/>
          <w:tab w:val="left" w:pos="284"/>
        </w:tabs>
        <w:spacing w:line="360" w:lineRule="auto"/>
        <w:ind w:right="49"/>
        <w:jc w:val="both"/>
        <w:rPr>
          <w:rFonts w:ascii="Palatino Linotype" w:eastAsia="Palatino Linotype" w:hAnsi="Palatino Linotype" w:cs="Palatino Linotype"/>
          <w:sz w:val="22"/>
          <w:szCs w:val="22"/>
          <w:highlight w:val="yellow"/>
        </w:rPr>
      </w:pPr>
    </w:p>
    <w:p w:rsidR="00E00D9A" w:rsidRDefault="00957322">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No pasa desapercibido para este Órgano Garante que los sujetos obligados</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E00D9A" w:rsidRDefault="00E00D9A">
      <w:pPr>
        <w:tabs>
          <w:tab w:val="left" w:pos="284"/>
        </w:tabs>
        <w:spacing w:line="360" w:lineRule="auto"/>
        <w:ind w:right="49"/>
        <w:jc w:val="both"/>
        <w:rPr>
          <w:rFonts w:ascii="Palatino Linotype" w:eastAsia="Palatino Linotype" w:hAnsi="Palatino Linotype" w:cs="Palatino Linotype"/>
          <w:color w:val="000000"/>
          <w:sz w:val="22"/>
          <w:szCs w:val="22"/>
        </w:rPr>
      </w:pPr>
    </w:p>
    <w:tbl>
      <w:tblPr>
        <w:tblStyle w:val="a5"/>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E00D9A">
        <w:tc>
          <w:tcPr>
            <w:tcW w:w="2689" w:type="dxa"/>
          </w:tcPr>
          <w:p w:rsidR="00E00D9A" w:rsidRDefault="00957322">
            <w:pPr>
              <w:tabs>
                <w:tab w:val="left" w:pos="284"/>
              </w:tabs>
              <w:spacing w:line="36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 Requisitos previos.</w:t>
            </w:r>
          </w:p>
        </w:tc>
        <w:tc>
          <w:tcPr>
            <w:tcW w:w="6520" w:type="dxa"/>
          </w:tcPr>
          <w:p w:rsidR="00E00D9A" w:rsidRDefault="0095732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E00D9A" w:rsidRDefault="00E00D9A">
            <w:pPr>
              <w:tabs>
                <w:tab w:val="left" w:pos="284"/>
              </w:tabs>
              <w:spacing w:line="360" w:lineRule="auto"/>
              <w:ind w:right="49"/>
              <w:jc w:val="both"/>
              <w:rPr>
                <w:rFonts w:ascii="Palatino Linotype" w:eastAsia="Palatino Linotype" w:hAnsi="Palatino Linotype" w:cs="Palatino Linotype"/>
                <w:color w:val="000000"/>
                <w:sz w:val="20"/>
                <w:szCs w:val="20"/>
              </w:rPr>
            </w:pPr>
          </w:p>
          <w:p w:rsidR="00E00D9A" w:rsidRDefault="0095732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Al hacerlo tienen que precisar de qué información se trata, señalando el supuesto de clasificación (confidencialidad o reserva).</w:t>
            </w:r>
          </w:p>
          <w:p w:rsidR="00E00D9A" w:rsidRDefault="0095732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Además, se debe señalar el procedimiento, de los tres que establecen los artículos 132 y 106 de la Ley Estatal y General, respectivamente.</w:t>
            </w:r>
          </w:p>
          <w:p w:rsidR="00E00D9A" w:rsidRDefault="00E00D9A">
            <w:pPr>
              <w:tabs>
                <w:tab w:val="left" w:pos="284"/>
              </w:tabs>
              <w:spacing w:line="360" w:lineRule="auto"/>
              <w:ind w:right="49"/>
              <w:jc w:val="both"/>
              <w:rPr>
                <w:rFonts w:ascii="Palatino Linotype" w:eastAsia="Palatino Linotype" w:hAnsi="Palatino Linotype" w:cs="Palatino Linotype"/>
                <w:color w:val="000000"/>
                <w:sz w:val="20"/>
                <w:szCs w:val="20"/>
              </w:rPr>
            </w:pPr>
          </w:p>
          <w:p w:rsidR="00E00D9A" w:rsidRDefault="00957322">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sz w:val="20"/>
                <w:szCs w:val="20"/>
                <w:u w:val="single"/>
              </w:rPr>
              <w:t>no se puede hacer un acuerdo para clasificar de manera general todos los documentos de un expediente o área, sin</w:t>
            </w:r>
            <w:r>
              <w:rPr>
                <w:rFonts w:ascii="Palatino Linotype" w:eastAsia="Palatino Linotype" w:hAnsi="Palatino Linotype" w:cs="Palatino Linotype"/>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E00D9A">
        <w:tc>
          <w:tcPr>
            <w:tcW w:w="2689" w:type="dxa"/>
          </w:tcPr>
          <w:p w:rsidR="00E00D9A" w:rsidRDefault="00957322">
            <w:pPr>
              <w:tabs>
                <w:tab w:val="left" w:pos="284"/>
              </w:tabs>
              <w:spacing w:line="36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b) Supuestos de clasificación.</w:t>
            </w:r>
          </w:p>
        </w:tc>
        <w:tc>
          <w:tcPr>
            <w:tcW w:w="6520" w:type="dxa"/>
          </w:tcPr>
          <w:p w:rsidR="00E00D9A" w:rsidRDefault="0095732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Las disposiciones constitucionales y legales en la materia establecen los dos supuestos generales para clasificar la información: por reserva y por confidencialidad.</w:t>
            </w:r>
          </w:p>
          <w:p w:rsidR="00E00D9A" w:rsidRDefault="0095732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Los artículos 116 y 143 de la Ley Estatal y de la Ley General, respectivamente, señalan los supuestos para que la información pueda </w:t>
            </w:r>
            <w:r>
              <w:rPr>
                <w:rFonts w:ascii="Palatino Linotype" w:eastAsia="Palatino Linotype" w:hAnsi="Palatino Linotype" w:cs="Palatino Linotype"/>
                <w:color w:val="000000"/>
                <w:sz w:val="20"/>
                <w:szCs w:val="20"/>
              </w:rPr>
              <w:lastRenderedPageBreak/>
              <w:t>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E00D9A" w:rsidRDefault="00E00D9A">
            <w:pPr>
              <w:tabs>
                <w:tab w:val="left" w:pos="284"/>
              </w:tabs>
              <w:spacing w:line="360" w:lineRule="auto"/>
              <w:ind w:right="49"/>
              <w:jc w:val="both"/>
              <w:rPr>
                <w:rFonts w:ascii="Palatino Linotype" w:eastAsia="Palatino Linotype" w:hAnsi="Palatino Linotype" w:cs="Palatino Linotype"/>
                <w:color w:val="000000"/>
                <w:sz w:val="20"/>
                <w:szCs w:val="20"/>
              </w:rPr>
            </w:pPr>
          </w:p>
          <w:p w:rsidR="00E00D9A" w:rsidRDefault="00957322">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El </w:t>
            </w:r>
            <w:r>
              <w:rPr>
                <w:rFonts w:ascii="Palatino Linotype" w:eastAsia="Palatino Linotype" w:hAnsi="Palatino Linotype" w:cs="Palatino Linotype"/>
                <w:b/>
                <w:color w:val="000000"/>
                <w:sz w:val="20"/>
                <w:szCs w:val="20"/>
              </w:rPr>
              <w:t>Sujeto Obligado</w:t>
            </w:r>
            <w:r>
              <w:rPr>
                <w:rFonts w:ascii="Palatino Linotype" w:eastAsia="Palatino Linotype" w:hAnsi="Palatino Linotype" w:cs="Palatino Linotype"/>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00D9A">
        <w:tc>
          <w:tcPr>
            <w:tcW w:w="2689" w:type="dxa"/>
          </w:tcPr>
          <w:p w:rsidR="00E00D9A" w:rsidRDefault="00957322">
            <w:pPr>
              <w:tabs>
                <w:tab w:val="left" w:pos="284"/>
              </w:tabs>
              <w:spacing w:line="36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c) Formalidades para emitir el acuerdo de clasificación.</w:t>
            </w:r>
          </w:p>
        </w:tc>
        <w:tc>
          <w:tcPr>
            <w:tcW w:w="6520" w:type="dxa"/>
          </w:tcPr>
          <w:p w:rsidR="00E00D9A" w:rsidRDefault="0095732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El Comité de Transparencia, según lo dispuesto en los artículos cuenta con las facultades para aprobar, modificar o revocar la clasificación de la información que haya propuesto. </w:t>
            </w:r>
          </w:p>
          <w:p w:rsidR="00E00D9A" w:rsidRDefault="00E00D9A">
            <w:pPr>
              <w:tabs>
                <w:tab w:val="left" w:pos="284"/>
              </w:tabs>
              <w:spacing w:line="360" w:lineRule="auto"/>
              <w:ind w:right="49"/>
              <w:jc w:val="both"/>
              <w:rPr>
                <w:rFonts w:ascii="Palatino Linotype" w:eastAsia="Palatino Linotype" w:hAnsi="Palatino Linotype" w:cs="Palatino Linotype"/>
                <w:color w:val="000000"/>
                <w:sz w:val="20"/>
                <w:szCs w:val="20"/>
              </w:rPr>
            </w:pPr>
          </w:p>
          <w:p w:rsidR="00E00D9A" w:rsidRDefault="0095732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Es necesario que </w:t>
            </w:r>
            <w:r>
              <w:rPr>
                <w:rFonts w:ascii="Palatino Linotype" w:eastAsia="Palatino Linotype" w:hAnsi="Palatino Linotype" w:cs="Palatino Linotype"/>
                <w:b/>
                <w:color w:val="000000"/>
                <w:sz w:val="20"/>
                <w:szCs w:val="20"/>
                <w:u w:val="single"/>
              </w:rPr>
              <w:t>el acto reúna con los requisitos elementales</w:t>
            </w:r>
            <w:r>
              <w:rPr>
                <w:rFonts w:ascii="Palatino Linotype" w:eastAsia="Palatino Linotype" w:hAnsi="Palatino Linotype" w:cs="Palatino Linotype"/>
                <w:color w:val="000000"/>
                <w:sz w:val="20"/>
                <w:szCs w:val="20"/>
              </w:rPr>
              <w:t>, entre ellos, que la autoridad que va a emitir el acto de autoridad sea la legalmente facultada para ello.</w:t>
            </w:r>
          </w:p>
          <w:p w:rsidR="00E00D9A" w:rsidRDefault="00957322">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00D9A">
        <w:tc>
          <w:tcPr>
            <w:tcW w:w="2689" w:type="dxa"/>
          </w:tcPr>
          <w:p w:rsidR="00E00D9A" w:rsidRDefault="00E00D9A">
            <w:pPr>
              <w:tabs>
                <w:tab w:val="left" w:pos="284"/>
              </w:tabs>
              <w:spacing w:line="360" w:lineRule="auto"/>
              <w:rPr>
                <w:rFonts w:ascii="Palatino Linotype" w:eastAsia="Palatino Linotype" w:hAnsi="Palatino Linotype" w:cs="Palatino Linotype"/>
                <w:b/>
                <w:sz w:val="20"/>
                <w:szCs w:val="20"/>
              </w:rPr>
            </w:pPr>
          </w:p>
          <w:p w:rsidR="00E00D9A" w:rsidRDefault="00957322">
            <w:pPr>
              <w:tabs>
                <w:tab w:val="left" w:pos="284"/>
              </w:tabs>
              <w:spacing w:line="360" w:lineRule="auto"/>
              <w:jc w:val="both"/>
              <w:rPr>
                <w:rFonts w:ascii="Palatino Linotype" w:eastAsia="Palatino Linotype" w:hAnsi="Palatino Linotype" w:cs="Palatino Linotype"/>
                <w:b/>
                <w:sz w:val="20"/>
                <w:szCs w:val="20"/>
              </w:rPr>
            </w:pPr>
            <w:r>
              <w:rPr>
                <w:rFonts w:ascii="Palatino Linotype" w:eastAsia="Palatino Linotype" w:hAnsi="Palatino Linotype" w:cs="Palatino Linotype"/>
                <w:b/>
                <w:color w:val="000000"/>
                <w:sz w:val="20"/>
                <w:szCs w:val="20"/>
              </w:rPr>
              <w:t xml:space="preserve">d) Requisitos de fondo del acuerdo de clasificación. </w:t>
            </w:r>
          </w:p>
        </w:tc>
        <w:tc>
          <w:tcPr>
            <w:tcW w:w="6520" w:type="dxa"/>
          </w:tcPr>
          <w:p w:rsidR="00E00D9A" w:rsidRDefault="0095732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color w:val="000000"/>
                <w:sz w:val="20"/>
                <w:szCs w:val="20"/>
              </w:rPr>
              <w:t>Sujetos Obligados</w:t>
            </w:r>
            <w:r>
              <w:rPr>
                <w:rFonts w:ascii="Palatino Linotype" w:eastAsia="Palatino Linotype" w:hAnsi="Palatino Linotype" w:cs="Palatino Linotype"/>
                <w:color w:val="000000"/>
                <w:sz w:val="20"/>
                <w:szCs w:val="20"/>
              </w:rPr>
              <w:t xml:space="preserve">, por lo que deberán fundar y motivar debidamente la clasificación. </w:t>
            </w:r>
          </w:p>
          <w:p w:rsidR="00E00D9A" w:rsidRDefault="0095732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De lo anterior, se desprende que para una correcta </w:t>
            </w:r>
            <w:r>
              <w:rPr>
                <w:rFonts w:ascii="Palatino Linotype" w:eastAsia="Palatino Linotype" w:hAnsi="Palatino Linotype" w:cs="Palatino Linotype"/>
                <w:b/>
                <w:color w:val="000000"/>
                <w:sz w:val="20"/>
                <w:szCs w:val="20"/>
              </w:rPr>
              <w:t>clasificación total o parcial</w:t>
            </w:r>
            <w:r>
              <w:rPr>
                <w:rFonts w:ascii="Palatino Linotype" w:eastAsia="Palatino Linotype" w:hAnsi="Palatino Linotype" w:cs="Palatino Linotype"/>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00D9A" w:rsidRDefault="00E00D9A">
            <w:pPr>
              <w:tabs>
                <w:tab w:val="left" w:pos="284"/>
              </w:tabs>
              <w:spacing w:line="360" w:lineRule="auto"/>
              <w:ind w:right="49"/>
              <w:jc w:val="both"/>
              <w:rPr>
                <w:rFonts w:ascii="Palatino Linotype" w:eastAsia="Palatino Linotype" w:hAnsi="Palatino Linotype" w:cs="Palatino Linotype"/>
                <w:color w:val="000000"/>
                <w:sz w:val="20"/>
                <w:szCs w:val="20"/>
              </w:rPr>
            </w:pPr>
          </w:p>
          <w:p w:rsidR="00E00D9A" w:rsidRDefault="0095732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E00D9A" w:rsidRDefault="00E00D9A">
            <w:pPr>
              <w:tabs>
                <w:tab w:val="left" w:pos="284"/>
              </w:tabs>
              <w:spacing w:line="360" w:lineRule="auto"/>
              <w:ind w:right="49"/>
              <w:jc w:val="both"/>
              <w:rPr>
                <w:rFonts w:ascii="Palatino Linotype" w:eastAsia="Palatino Linotype" w:hAnsi="Palatino Linotype" w:cs="Palatino Linotype"/>
                <w:color w:val="000000"/>
                <w:sz w:val="20"/>
                <w:szCs w:val="20"/>
              </w:rPr>
            </w:pPr>
          </w:p>
          <w:p w:rsidR="00E00D9A" w:rsidRDefault="0095732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En ese mismo sentido, el numeral trigésimo tercero fracción V de los Lineamientos Generales, precisa que para motivar la clasificación se deben acreditar las circunstancias de tiempo, modo y lugar.</w:t>
            </w:r>
          </w:p>
          <w:p w:rsidR="00E00D9A" w:rsidRDefault="00E00D9A">
            <w:pPr>
              <w:tabs>
                <w:tab w:val="left" w:pos="284"/>
              </w:tabs>
              <w:spacing w:line="360" w:lineRule="auto"/>
              <w:ind w:right="49"/>
              <w:jc w:val="both"/>
              <w:rPr>
                <w:rFonts w:ascii="Palatino Linotype" w:eastAsia="Palatino Linotype" w:hAnsi="Palatino Linotype" w:cs="Palatino Linotype"/>
                <w:color w:val="000000"/>
                <w:sz w:val="20"/>
                <w:szCs w:val="20"/>
              </w:rPr>
            </w:pPr>
          </w:p>
          <w:p w:rsidR="00E00D9A" w:rsidRDefault="0095732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Ahora bien, </w:t>
            </w:r>
            <w:r>
              <w:rPr>
                <w:rFonts w:ascii="Palatino Linotype" w:eastAsia="Palatino Linotype" w:hAnsi="Palatino Linotype" w:cs="Palatino Linotype"/>
                <w:b/>
                <w:color w:val="000000"/>
                <w:sz w:val="20"/>
                <w:szCs w:val="20"/>
                <w:u w:val="single"/>
              </w:rPr>
              <w:t>para cada caso además de fundar y motivar</w:t>
            </w:r>
            <w:r>
              <w:rPr>
                <w:rFonts w:ascii="Palatino Linotype" w:eastAsia="Palatino Linotype" w:hAnsi="Palatino Linotype" w:cs="Palatino Linotype"/>
                <w:color w:val="000000"/>
                <w:sz w:val="20"/>
                <w:szCs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00D9A">
        <w:tc>
          <w:tcPr>
            <w:tcW w:w="2689" w:type="dxa"/>
          </w:tcPr>
          <w:p w:rsidR="00E00D9A" w:rsidRDefault="00957322">
            <w:pPr>
              <w:tabs>
                <w:tab w:val="left" w:pos="284"/>
              </w:tabs>
              <w:spacing w:line="360" w:lineRule="auto"/>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 xml:space="preserve">e) Condiciones especiales de la clasificación de la información como confidencial. </w:t>
            </w:r>
          </w:p>
        </w:tc>
        <w:tc>
          <w:tcPr>
            <w:tcW w:w="6520" w:type="dxa"/>
          </w:tcPr>
          <w:p w:rsidR="00E00D9A" w:rsidRDefault="0095732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rsidR="00E00D9A" w:rsidRDefault="00E00D9A">
            <w:pPr>
              <w:tabs>
                <w:tab w:val="left" w:pos="284"/>
              </w:tabs>
              <w:spacing w:line="360" w:lineRule="auto"/>
              <w:ind w:right="49"/>
              <w:jc w:val="both"/>
              <w:rPr>
                <w:rFonts w:ascii="Palatino Linotype" w:eastAsia="Palatino Linotype" w:hAnsi="Palatino Linotype" w:cs="Palatino Linotype"/>
                <w:color w:val="000000"/>
                <w:sz w:val="20"/>
                <w:szCs w:val="20"/>
              </w:rPr>
            </w:pPr>
          </w:p>
          <w:p w:rsidR="00E00D9A" w:rsidRDefault="00957322">
            <w:pPr>
              <w:tabs>
                <w:tab w:val="left" w:pos="284"/>
              </w:tabs>
              <w:spacing w:line="360" w:lineRule="auto"/>
              <w:ind w:right="4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00D9A" w:rsidRDefault="00E00D9A">
            <w:pPr>
              <w:tabs>
                <w:tab w:val="left" w:pos="284"/>
              </w:tabs>
              <w:spacing w:line="360" w:lineRule="auto"/>
              <w:ind w:right="49"/>
              <w:jc w:val="both"/>
              <w:rPr>
                <w:rFonts w:ascii="Palatino Linotype" w:eastAsia="Palatino Linotype" w:hAnsi="Palatino Linotype" w:cs="Palatino Linotype"/>
                <w:color w:val="000000"/>
                <w:sz w:val="20"/>
                <w:szCs w:val="20"/>
              </w:rPr>
            </w:pPr>
          </w:p>
          <w:p w:rsidR="00E00D9A" w:rsidRDefault="00957322">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E00D9A" w:rsidRDefault="00E00D9A">
      <w:pPr>
        <w:tabs>
          <w:tab w:val="left" w:pos="284"/>
        </w:tabs>
        <w:spacing w:line="360" w:lineRule="auto"/>
        <w:rPr>
          <w:rFonts w:ascii="Palatino Linotype" w:eastAsia="Palatino Linotype" w:hAnsi="Palatino Linotype" w:cs="Palatino Linotype"/>
          <w:color w:val="000000"/>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Si el </w:t>
      </w:r>
      <w:r>
        <w:rPr>
          <w:rFonts w:ascii="Palatino Linotype" w:eastAsia="Palatino Linotype" w:hAnsi="Palatino Linotype" w:cs="Palatino Linotype"/>
          <w:color w:val="000000"/>
          <w:sz w:val="22"/>
          <w:szCs w:val="22"/>
        </w:rPr>
        <w:t>servidor</w:t>
      </w:r>
      <w:r>
        <w:rPr>
          <w:rFonts w:ascii="Palatino Linotype" w:eastAsia="Palatino Linotype" w:hAnsi="Palatino Linotype" w:cs="Palatino Linotype"/>
          <w:sz w:val="22"/>
          <w:szCs w:val="22"/>
        </w:rPr>
        <w:t xml:space="preserve"> público incumple con estas formalidades y entrega la información sin proteger los datos personales incumple con lo que estipula las disposiciones legales </w:t>
      </w:r>
      <w:r>
        <w:rPr>
          <w:rFonts w:ascii="Palatino Linotype" w:eastAsia="Palatino Linotype" w:hAnsi="Palatino Linotype" w:cs="Palatino Linotype"/>
          <w:color w:val="000000"/>
          <w:sz w:val="22"/>
          <w:szCs w:val="22"/>
        </w:rPr>
        <w:t>establecidas</w:t>
      </w:r>
      <w:r>
        <w:rPr>
          <w:rFonts w:ascii="Palatino Linotype" w:eastAsia="Palatino Linotype" w:hAnsi="Palatino Linotype" w:cs="Palatino Linotype"/>
          <w:sz w:val="22"/>
          <w:szCs w:val="22"/>
        </w:rPr>
        <w:t>, asimismo que si entrega un documento testado sin el debido acuerdo de clasificación.</w:t>
      </w:r>
    </w:p>
    <w:p w:rsidR="00E00D9A" w:rsidRDefault="00E00D9A">
      <w:pPr>
        <w:spacing w:line="360" w:lineRule="auto"/>
        <w:ind w:left="360"/>
        <w:jc w:val="both"/>
        <w:rPr>
          <w:rFonts w:ascii="Palatino Linotype" w:eastAsia="Palatino Linotype" w:hAnsi="Palatino Linotype" w:cs="Palatino Linotype"/>
          <w:sz w:val="22"/>
          <w:szCs w:val="22"/>
        </w:rPr>
      </w:pPr>
    </w:p>
    <w:p w:rsidR="00E00D9A" w:rsidRDefault="00957322">
      <w:pPr>
        <w:pStyle w:val="Ttulo3"/>
        <w:keepNext w:val="0"/>
        <w:keepLines w:val="0"/>
        <w:spacing w:before="0" w:after="0" w:line="360" w:lineRule="auto"/>
        <w:jc w:val="both"/>
        <w:rPr>
          <w:rFonts w:ascii="Palatino Linotype" w:eastAsia="Palatino Linotype" w:hAnsi="Palatino Linotype" w:cs="Palatino Linotype"/>
          <w:sz w:val="24"/>
          <w:szCs w:val="24"/>
          <w:highlight w:val="white"/>
        </w:rPr>
      </w:pPr>
      <w:bookmarkStart w:id="13" w:name="_heading=h.2qq9rklnwuw0" w:colFirst="0" w:colLast="0"/>
      <w:bookmarkEnd w:id="13"/>
      <w:r>
        <w:rPr>
          <w:rFonts w:ascii="Palatino Linotype" w:eastAsia="Palatino Linotype" w:hAnsi="Palatino Linotype" w:cs="Palatino Linotype"/>
          <w:sz w:val="24"/>
          <w:szCs w:val="24"/>
          <w:highlight w:val="yellow"/>
        </w:rPr>
        <w:t xml:space="preserve"> </w:t>
      </w:r>
      <w:r>
        <w:rPr>
          <w:rFonts w:ascii="Palatino Linotype" w:eastAsia="Palatino Linotype" w:hAnsi="Palatino Linotype" w:cs="Palatino Linotype"/>
          <w:sz w:val="24"/>
          <w:szCs w:val="24"/>
          <w:highlight w:val="white"/>
        </w:rPr>
        <w:t>Del nombre y cargo de policías.</w:t>
      </w:r>
    </w:p>
    <w:p w:rsidR="00E00D9A" w:rsidRDefault="00E00D9A">
      <w:pPr>
        <w:spacing w:line="360" w:lineRule="auto"/>
        <w:ind w:left="360"/>
        <w:jc w:val="both"/>
        <w:rPr>
          <w:rFonts w:ascii="Palatino Linotype" w:eastAsia="Palatino Linotype" w:hAnsi="Palatino Linotype" w:cs="Palatino Linotype"/>
          <w:sz w:val="22"/>
          <w:szCs w:val="22"/>
          <w:highlight w:val="white"/>
        </w:rPr>
      </w:pPr>
    </w:p>
    <w:p w:rsidR="00E00D9A" w:rsidRDefault="00957322">
      <w:pPr>
        <w:numPr>
          <w:ilvl w:val="0"/>
          <w:numId w:val="3"/>
        </w:numPr>
        <w:spacing w:line="360" w:lineRule="auto"/>
        <w:ind w:left="0" w:firstLine="0"/>
        <w:jc w:val="both"/>
        <w:rPr>
          <w:rFonts w:ascii="Palatino Linotype" w:eastAsia="Palatino Linotype" w:hAnsi="Palatino Linotype" w:cs="Palatino Linotype"/>
          <w:color w:val="000000"/>
          <w:sz w:val="22"/>
          <w:szCs w:val="22"/>
          <w:highlight w:val="white"/>
        </w:rPr>
      </w:pPr>
      <w:r>
        <w:rPr>
          <w:rFonts w:ascii="Palatino Linotype" w:eastAsia="Palatino Linotype" w:hAnsi="Palatino Linotype" w:cs="Palatino Linotype"/>
          <w:sz w:val="22"/>
          <w:szCs w:val="22"/>
          <w:highlight w:val="white"/>
        </w:rPr>
        <w:t>No es ocioso mencionar que dentro del cúmulo de información solicitada por el particular, se encuentran también los recibos de nómina de los elementos de seguridad pública; por ello, es necesario señalar que las condiciones en las cuales se deberá entregar la información solicitada adquieren una especial naturaleza.</w:t>
      </w:r>
    </w:p>
    <w:p w:rsidR="00E00D9A" w:rsidRDefault="00E00D9A">
      <w:pPr>
        <w:spacing w:line="360" w:lineRule="auto"/>
        <w:ind w:left="360"/>
        <w:jc w:val="both"/>
        <w:rPr>
          <w:rFonts w:ascii="Palatino Linotype" w:eastAsia="Palatino Linotype" w:hAnsi="Palatino Linotype" w:cs="Palatino Linotype"/>
          <w:sz w:val="22"/>
          <w:szCs w:val="22"/>
          <w:highlight w:val="white"/>
        </w:rPr>
      </w:pPr>
    </w:p>
    <w:p w:rsidR="00E00D9A" w:rsidRDefault="00957322">
      <w:pPr>
        <w:numPr>
          <w:ilvl w:val="0"/>
          <w:numId w:val="3"/>
        </w:numPr>
        <w:spacing w:line="360" w:lineRule="auto"/>
        <w:ind w:left="0" w:firstLine="0"/>
        <w:jc w:val="both"/>
        <w:rPr>
          <w:rFonts w:ascii="Palatino Linotype" w:eastAsia="Palatino Linotype" w:hAnsi="Palatino Linotype" w:cs="Palatino Linotype"/>
          <w:color w:val="000000"/>
          <w:sz w:val="22"/>
          <w:szCs w:val="22"/>
          <w:highlight w:val="white"/>
        </w:rPr>
      </w:pPr>
      <w:r>
        <w:rPr>
          <w:rFonts w:ascii="Palatino Linotype" w:eastAsia="Palatino Linotype" w:hAnsi="Palatino Linotype" w:cs="Palatino Linotype"/>
          <w:sz w:val="22"/>
          <w:szCs w:val="22"/>
          <w:highlight w:val="white"/>
        </w:rPr>
        <w:t>En efecto, este instituto advierte que otorgar acceso al nombre y cargo de policías operativos podría comprometer la integridad de los mismos, de conformidad con lo que establece el artículo 140 de la Ley de Transparencia y Acceso a la Información Pública del Estado de México y Municipios:</w:t>
      </w:r>
    </w:p>
    <w:p w:rsidR="00E00D9A" w:rsidRDefault="00E00D9A">
      <w:pPr>
        <w:spacing w:line="276" w:lineRule="auto"/>
        <w:ind w:left="560" w:right="620"/>
        <w:jc w:val="both"/>
        <w:rPr>
          <w:rFonts w:ascii="Palatino Linotype" w:eastAsia="Palatino Linotype" w:hAnsi="Palatino Linotype" w:cs="Palatino Linotype"/>
          <w:sz w:val="22"/>
          <w:szCs w:val="22"/>
          <w:highlight w:val="white"/>
        </w:rPr>
      </w:pPr>
    </w:p>
    <w:p w:rsidR="00E00D9A" w:rsidRDefault="00957322">
      <w:pPr>
        <w:spacing w:line="276" w:lineRule="auto"/>
        <w:ind w:left="560" w:right="620"/>
        <w:jc w:val="both"/>
        <w:rPr>
          <w:rFonts w:ascii="Palatino Linotype" w:eastAsia="Palatino Linotype" w:hAnsi="Palatino Linotype" w:cs="Palatino Linotype"/>
          <w:i/>
          <w:sz w:val="22"/>
          <w:szCs w:val="22"/>
          <w:highlight w:val="white"/>
        </w:rPr>
      </w:pPr>
      <w:r>
        <w:rPr>
          <w:rFonts w:ascii="Palatino Linotype" w:eastAsia="Palatino Linotype" w:hAnsi="Palatino Linotype" w:cs="Palatino Linotype"/>
          <w:b/>
          <w:i/>
          <w:sz w:val="22"/>
          <w:szCs w:val="22"/>
          <w:highlight w:val="white"/>
        </w:rPr>
        <w:t>“Artículo 140.</w:t>
      </w:r>
      <w:r>
        <w:rPr>
          <w:rFonts w:ascii="Palatino Linotype" w:eastAsia="Palatino Linotype" w:hAnsi="Palatino Linotype" w:cs="Palatino Linotype"/>
          <w:i/>
          <w:sz w:val="22"/>
          <w:szCs w:val="22"/>
          <w:highlight w:val="white"/>
        </w:rPr>
        <w:t xml:space="preserve"> El acceso a la información pública será restringido excepcionalmente, cuando por razones de interés público, ésta sea clasificada como reservada, conforme a los criterios siguientes:</w:t>
      </w:r>
    </w:p>
    <w:p w:rsidR="00E00D9A" w:rsidRDefault="00957322">
      <w:pPr>
        <w:spacing w:line="276" w:lineRule="auto"/>
        <w:ind w:left="560" w:right="620"/>
        <w:jc w:val="both"/>
        <w:rPr>
          <w:rFonts w:ascii="Palatino Linotype" w:eastAsia="Palatino Linotype" w:hAnsi="Palatino Linotype" w:cs="Palatino Linotype"/>
          <w:i/>
          <w:sz w:val="22"/>
          <w:szCs w:val="22"/>
          <w:highlight w:val="white"/>
        </w:rPr>
      </w:pPr>
      <w:r>
        <w:rPr>
          <w:rFonts w:ascii="Palatino Linotype" w:eastAsia="Palatino Linotype" w:hAnsi="Palatino Linotype" w:cs="Palatino Linotype"/>
          <w:i/>
          <w:sz w:val="22"/>
          <w:szCs w:val="22"/>
          <w:highlight w:val="white"/>
        </w:rPr>
        <w:t>(…)</w:t>
      </w:r>
    </w:p>
    <w:p w:rsidR="00E00D9A" w:rsidRDefault="00957322">
      <w:pPr>
        <w:spacing w:line="276" w:lineRule="auto"/>
        <w:ind w:left="560" w:right="620"/>
        <w:jc w:val="both"/>
        <w:rPr>
          <w:rFonts w:ascii="Palatino Linotype" w:eastAsia="Palatino Linotype" w:hAnsi="Palatino Linotype" w:cs="Palatino Linotype"/>
          <w:b/>
          <w:i/>
          <w:sz w:val="22"/>
          <w:szCs w:val="22"/>
          <w:highlight w:val="white"/>
        </w:rPr>
      </w:pPr>
      <w:r>
        <w:rPr>
          <w:rFonts w:ascii="Palatino Linotype" w:eastAsia="Palatino Linotype" w:hAnsi="Palatino Linotype" w:cs="Palatino Linotype"/>
          <w:b/>
          <w:i/>
          <w:sz w:val="22"/>
          <w:szCs w:val="22"/>
          <w:highlight w:val="white"/>
        </w:rPr>
        <w:t>IV. Ponga en riesgo la vida, la seguridad o la salud de una persona física;</w:t>
      </w:r>
    </w:p>
    <w:p w:rsidR="00E00D9A" w:rsidRDefault="00957322">
      <w:pPr>
        <w:spacing w:line="276" w:lineRule="auto"/>
        <w:ind w:left="560" w:right="620"/>
        <w:jc w:val="both"/>
        <w:rPr>
          <w:rFonts w:ascii="Palatino Linotype" w:eastAsia="Palatino Linotype" w:hAnsi="Palatino Linotype" w:cs="Palatino Linotype"/>
          <w:i/>
          <w:sz w:val="22"/>
          <w:szCs w:val="22"/>
          <w:highlight w:val="white"/>
        </w:rPr>
      </w:pPr>
      <w:r>
        <w:rPr>
          <w:rFonts w:ascii="Palatino Linotype" w:eastAsia="Palatino Linotype" w:hAnsi="Palatino Linotype" w:cs="Palatino Linotype"/>
          <w:i/>
          <w:sz w:val="22"/>
          <w:szCs w:val="22"/>
          <w:highlight w:val="white"/>
        </w:rPr>
        <w:t xml:space="preserve"> (…)”</w:t>
      </w:r>
    </w:p>
    <w:p w:rsidR="00E00D9A" w:rsidRDefault="00957322">
      <w:pPr>
        <w:spacing w:before="240" w:after="240" w:line="360" w:lineRule="auto"/>
        <w:ind w:right="60"/>
        <w:jc w:val="both"/>
        <w:rPr>
          <w:rFonts w:ascii="Palatino Linotype" w:eastAsia="Palatino Linotype" w:hAnsi="Palatino Linotype" w:cs="Palatino Linotype"/>
          <w:sz w:val="22"/>
          <w:szCs w:val="22"/>
          <w:highlight w:val="white"/>
        </w:rPr>
      </w:pPr>
      <w:r>
        <w:rPr>
          <w:rFonts w:ascii="Palatino Linotype" w:eastAsia="Palatino Linotype" w:hAnsi="Palatino Linotype" w:cs="Palatino Linotype"/>
          <w:sz w:val="22"/>
          <w:szCs w:val="22"/>
          <w:highlight w:val="white"/>
        </w:rPr>
        <w:t xml:space="preserve"> </w:t>
      </w:r>
    </w:p>
    <w:p w:rsidR="00E00D9A" w:rsidRDefault="00957322">
      <w:pPr>
        <w:numPr>
          <w:ilvl w:val="0"/>
          <w:numId w:val="3"/>
        </w:numPr>
        <w:spacing w:line="360" w:lineRule="auto"/>
        <w:ind w:left="0" w:firstLine="0"/>
        <w:jc w:val="both"/>
        <w:rPr>
          <w:rFonts w:ascii="Palatino Linotype" w:eastAsia="Palatino Linotype" w:hAnsi="Palatino Linotype" w:cs="Palatino Linotype"/>
          <w:color w:val="000000"/>
          <w:sz w:val="22"/>
          <w:szCs w:val="22"/>
          <w:highlight w:val="white"/>
        </w:rPr>
      </w:pPr>
      <w:r>
        <w:rPr>
          <w:rFonts w:ascii="Palatino Linotype" w:eastAsia="Palatino Linotype" w:hAnsi="Palatino Linotype" w:cs="Palatino Linotype"/>
          <w:sz w:val="22"/>
          <w:szCs w:val="22"/>
          <w:highlight w:val="white"/>
        </w:rPr>
        <w:t xml:space="preserve">En este contexto, la mayoría del Pleno considera que dar a conocer los nombres y cargos de servidores públicos que realizan funciones en materia de seguridad, tal como es el caso de los policías, los vuelve identificables y posiblemente reconocibles para grupos delictivos; así, dicha información puede ser utilizada para </w:t>
      </w:r>
      <w:r>
        <w:rPr>
          <w:rFonts w:ascii="Palatino Linotype" w:eastAsia="Palatino Linotype" w:hAnsi="Palatino Linotype" w:cs="Palatino Linotype"/>
          <w:b/>
          <w:sz w:val="22"/>
          <w:szCs w:val="22"/>
          <w:highlight w:val="white"/>
        </w:rPr>
        <w:t xml:space="preserve">vulnerar la vida, seguridad o salud de dichos elementos, incluso la de sus familias o entorno social, </w:t>
      </w:r>
      <w:r>
        <w:rPr>
          <w:rFonts w:ascii="Palatino Linotype" w:eastAsia="Palatino Linotype" w:hAnsi="Palatino Linotype" w:cs="Palatino Linotype"/>
          <w:sz w:val="22"/>
          <w:szCs w:val="22"/>
          <w:highlight w:val="white"/>
        </w:rPr>
        <w:t xml:space="preserve">demás, de que aumenta el riesgo de que personas ajenas a los intereses institucionales e intenten realizar actos tendientes </w:t>
      </w:r>
      <w:r>
        <w:rPr>
          <w:rFonts w:ascii="Palatino Linotype" w:eastAsia="Palatino Linotype" w:hAnsi="Palatino Linotype" w:cs="Palatino Linotype"/>
          <w:sz w:val="22"/>
          <w:szCs w:val="22"/>
          <w:highlight w:val="white"/>
        </w:rPr>
        <w:lastRenderedPageBreak/>
        <w:t>a inhibir o entrometerse en las funciones de los policías municipales, lo cual causaría una vulneración a la seguridad municipal.</w:t>
      </w:r>
    </w:p>
    <w:p w:rsidR="00E00D9A" w:rsidRDefault="00E00D9A">
      <w:pPr>
        <w:spacing w:line="360" w:lineRule="auto"/>
        <w:ind w:left="360"/>
        <w:jc w:val="both"/>
        <w:rPr>
          <w:rFonts w:ascii="Palatino Linotype" w:eastAsia="Palatino Linotype" w:hAnsi="Palatino Linotype" w:cs="Palatino Linotype"/>
          <w:sz w:val="22"/>
          <w:szCs w:val="22"/>
          <w:highlight w:val="white"/>
        </w:rPr>
      </w:pPr>
    </w:p>
    <w:p w:rsidR="00E00D9A" w:rsidRDefault="00957322">
      <w:pPr>
        <w:numPr>
          <w:ilvl w:val="0"/>
          <w:numId w:val="3"/>
        </w:numPr>
        <w:spacing w:line="360" w:lineRule="auto"/>
        <w:ind w:left="0" w:firstLine="0"/>
        <w:jc w:val="both"/>
        <w:rPr>
          <w:rFonts w:ascii="Palatino Linotype" w:eastAsia="Palatino Linotype" w:hAnsi="Palatino Linotype" w:cs="Palatino Linotype"/>
          <w:color w:val="000000"/>
          <w:sz w:val="22"/>
          <w:szCs w:val="22"/>
          <w:highlight w:val="white"/>
        </w:rPr>
      </w:pPr>
      <w:r>
        <w:rPr>
          <w:rFonts w:ascii="Palatino Linotype" w:eastAsia="Palatino Linotype" w:hAnsi="Palatino Linotype" w:cs="Palatino Linotype"/>
          <w:sz w:val="22"/>
          <w:szCs w:val="22"/>
          <w:highlight w:val="white"/>
        </w:rPr>
        <w:t>Por lo tanto, el proporcionar el nombre y cargo de los elementos policiales operativos dentro de los recibos de nómina del personal adscrito a la Dirección de Seguridad Pública, o equivalente, pone en riesgo de manera directa la vida y la seguridad de dichos servidores públicos, siendo obligación de la Institución protegerla en todo momento para salvaguarda de sus integrantes.</w:t>
      </w:r>
    </w:p>
    <w:p w:rsidR="00E00D9A" w:rsidRDefault="00957322">
      <w:pPr>
        <w:numPr>
          <w:ilvl w:val="0"/>
          <w:numId w:val="3"/>
        </w:numPr>
        <w:spacing w:line="360" w:lineRule="auto"/>
        <w:ind w:left="0" w:firstLine="0"/>
        <w:jc w:val="both"/>
        <w:rPr>
          <w:rFonts w:ascii="Palatino Linotype" w:eastAsia="Palatino Linotype" w:hAnsi="Palatino Linotype" w:cs="Palatino Linotype"/>
          <w:color w:val="000000"/>
          <w:sz w:val="22"/>
          <w:szCs w:val="22"/>
          <w:highlight w:val="white"/>
        </w:rPr>
      </w:pPr>
      <w:r>
        <w:rPr>
          <w:sz w:val="14"/>
          <w:szCs w:val="14"/>
          <w:highlight w:val="white"/>
        </w:rPr>
        <w:t xml:space="preserve"> </w:t>
      </w:r>
      <w:r>
        <w:rPr>
          <w:rFonts w:ascii="Palatino Linotype" w:eastAsia="Palatino Linotype" w:hAnsi="Palatino Linotype" w:cs="Palatino Linotype"/>
          <w:sz w:val="22"/>
          <w:szCs w:val="22"/>
          <w:highlight w:val="white"/>
        </w:rPr>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rsidR="00E00D9A" w:rsidRDefault="00E00D9A">
      <w:pPr>
        <w:spacing w:line="360" w:lineRule="auto"/>
        <w:ind w:left="360"/>
        <w:jc w:val="both"/>
        <w:rPr>
          <w:rFonts w:ascii="Palatino Linotype" w:eastAsia="Palatino Linotype" w:hAnsi="Palatino Linotype" w:cs="Palatino Linotype"/>
          <w:sz w:val="22"/>
          <w:szCs w:val="22"/>
          <w:highlight w:val="white"/>
        </w:rPr>
      </w:pPr>
    </w:p>
    <w:p w:rsidR="00E00D9A" w:rsidRDefault="00957322">
      <w:pPr>
        <w:numPr>
          <w:ilvl w:val="0"/>
          <w:numId w:val="3"/>
        </w:numPr>
        <w:spacing w:line="360" w:lineRule="auto"/>
        <w:ind w:left="0" w:firstLine="0"/>
        <w:jc w:val="both"/>
        <w:rPr>
          <w:rFonts w:ascii="Palatino Linotype" w:eastAsia="Palatino Linotype" w:hAnsi="Palatino Linotype" w:cs="Palatino Linotype"/>
          <w:color w:val="000000"/>
          <w:sz w:val="22"/>
          <w:szCs w:val="22"/>
          <w:highlight w:val="white"/>
        </w:rPr>
      </w:pPr>
      <w:r>
        <w:rPr>
          <w:rFonts w:ascii="Palatino Linotype" w:eastAsia="Palatino Linotype" w:hAnsi="Palatino Linotype" w:cs="Palatino Linotype"/>
          <w:sz w:val="22"/>
          <w:szCs w:val="22"/>
          <w:highlight w:val="white"/>
        </w:rPr>
        <w:t>Así 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Pr>
          <w:rFonts w:ascii="Palatino Linotype" w:eastAsia="Palatino Linotype" w:hAnsi="Palatino Linotype" w:cs="Palatino Linotype"/>
          <w:b/>
          <w:sz w:val="22"/>
          <w:szCs w:val="22"/>
          <w:highlight w:val="white"/>
        </w:rPr>
        <w:t xml:space="preserve"> SUJETO OBLIGADO</w:t>
      </w:r>
      <w:r>
        <w:rPr>
          <w:rFonts w:ascii="Palatino Linotype" w:eastAsia="Palatino Linotype" w:hAnsi="Palatino Linotype" w:cs="Palatino Linotype"/>
          <w:sz w:val="22"/>
          <w:szCs w:val="22"/>
          <w:highlight w:val="white"/>
        </w:rPr>
        <w:t>, colocando en inminente riesgo la vida de todos los integrantes, menoscabando así las actividades de prevención del delito y combate a la delincuencia.</w:t>
      </w:r>
    </w:p>
    <w:p w:rsidR="00E00D9A" w:rsidRDefault="00E00D9A">
      <w:pPr>
        <w:spacing w:line="360" w:lineRule="auto"/>
        <w:ind w:left="360"/>
        <w:jc w:val="both"/>
        <w:rPr>
          <w:rFonts w:ascii="Palatino Linotype" w:eastAsia="Palatino Linotype" w:hAnsi="Palatino Linotype" w:cs="Palatino Linotype"/>
          <w:sz w:val="22"/>
          <w:szCs w:val="22"/>
          <w:highlight w:val="white"/>
        </w:rPr>
      </w:pPr>
    </w:p>
    <w:p w:rsidR="00E00D9A" w:rsidRDefault="00957322">
      <w:pPr>
        <w:numPr>
          <w:ilvl w:val="0"/>
          <w:numId w:val="3"/>
        </w:numPr>
        <w:spacing w:line="360" w:lineRule="auto"/>
        <w:ind w:left="0" w:firstLine="0"/>
        <w:jc w:val="both"/>
        <w:rPr>
          <w:rFonts w:ascii="Palatino Linotype" w:eastAsia="Palatino Linotype" w:hAnsi="Palatino Linotype" w:cs="Palatino Linotype"/>
          <w:color w:val="000000"/>
          <w:sz w:val="22"/>
          <w:szCs w:val="22"/>
          <w:highlight w:val="white"/>
        </w:rPr>
      </w:pPr>
      <w:r>
        <w:rPr>
          <w:sz w:val="14"/>
          <w:szCs w:val="14"/>
          <w:highlight w:val="white"/>
        </w:rPr>
        <w:t xml:space="preserve"> </w:t>
      </w:r>
      <w:r>
        <w:rPr>
          <w:rFonts w:ascii="Palatino Linotype" w:eastAsia="Palatino Linotype" w:hAnsi="Palatino Linotype" w:cs="Palatino Linotype"/>
          <w:sz w:val="22"/>
          <w:szCs w:val="22"/>
          <w:highlight w:val="white"/>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w:t>
      </w:r>
      <w:r>
        <w:rPr>
          <w:rFonts w:ascii="Palatino Linotype" w:eastAsia="Palatino Linotype" w:hAnsi="Palatino Linotype" w:cs="Palatino Linotype"/>
          <w:sz w:val="22"/>
          <w:szCs w:val="22"/>
          <w:highlight w:val="white"/>
        </w:rPr>
        <w:lastRenderedPageBreak/>
        <w:t>particular es por lo que es necesaria la ponderación de ambos para que uno de ellos sea ejercido en la mayor medida posible.</w:t>
      </w:r>
    </w:p>
    <w:p w:rsidR="00E00D9A" w:rsidRDefault="00E00D9A">
      <w:pPr>
        <w:spacing w:line="360" w:lineRule="auto"/>
        <w:ind w:left="360"/>
        <w:jc w:val="both"/>
        <w:rPr>
          <w:rFonts w:ascii="Palatino Linotype" w:eastAsia="Palatino Linotype" w:hAnsi="Palatino Linotype" w:cs="Palatino Linotype"/>
          <w:sz w:val="22"/>
          <w:szCs w:val="22"/>
          <w:highlight w:val="white"/>
        </w:rPr>
      </w:pPr>
    </w:p>
    <w:p w:rsidR="00E00D9A" w:rsidRDefault="00957322">
      <w:pPr>
        <w:numPr>
          <w:ilvl w:val="0"/>
          <w:numId w:val="3"/>
        </w:numPr>
        <w:spacing w:line="360" w:lineRule="auto"/>
        <w:ind w:left="0" w:firstLine="0"/>
        <w:jc w:val="both"/>
        <w:rPr>
          <w:rFonts w:ascii="Palatino Linotype" w:eastAsia="Palatino Linotype" w:hAnsi="Palatino Linotype" w:cs="Palatino Linotype"/>
          <w:color w:val="000000"/>
          <w:sz w:val="22"/>
          <w:szCs w:val="22"/>
          <w:highlight w:val="white"/>
        </w:rPr>
      </w:pPr>
      <w:r>
        <w:rPr>
          <w:sz w:val="14"/>
          <w:szCs w:val="14"/>
          <w:highlight w:val="white"/>
        </w:rPr>
        <w:t xml:space="preserve">  </w:t>
      </w:r>
      <w:r>
        <w:rPr>
          <w:rFonts w:ascii="Palatino Linotype" w:eastAsia="Palatino Linotype" w:hAnsi="Palatino Linotype" w:cs="Palatino Linotype"/>
          <w:sz w:val="22"/>
          <w:szCs w:val="22"/>
          <w:highlight w:val="white"/>
        </w:rPr>
        <w:t>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rsidR="00E00D9A" w:rsidRDefault="00E00D9A">
      <w:pPr>
        <w:spacing w:line="360" w:lineRule="auto"/>
        <w:ind w:left="360"/>
        <w:jc w:val="both"/>
        <w:rPr>
          <w:rFonts w:ascii="Palatino Linotype" w:eastAsia="Palatino Linotype" w:hAnsi="Palatino Linotype" w:cs="Palatino Linotype"/>
          <w:sz w:val="22"/>
          <w:szCs w:val="22"/>
          <w:highlight w:val="white"/>
        </w:rPr>
      </w:pPr>
    </w:p>
    <w:p w:rsidR="00E00D9A" w:rsidRDefault="00957322">
      <w:pPr>
        <w:numPr>
          <w:ilvl w:val="0"/>
          <w:numId w:val="3"/>
        </w:numPr>
        <w:spacing w:line="360" w:lineRule="auto"/>
        <w:ind w:left="0" w:firstLine="0"/>
        <w:jc w:val="both"/>
        <w:rPr>
          <w:rFonts w:ascii="Palatino Linotype" w:eastAsia="Palatino Linotype" w:hAnsi="Palatino Linotype" w:cs="Palatino Linotype"/>
          <w:color w:val="000000"/>
          <w:sz w:val="22"/>
          <w:szCs w:val="22"/>
          <w:highlight w:val="white"/>
        </w:rPr>
      </w:pPr>
      <w:r>
        <w:rPr>
          <w:sz w:val="14"/>
          <w:szCs w:val="14"/>
          <w:highlight w:val="white"/>
        </w:rPr>
        <w:t xml:space="preserve"> </w:t>
      </w:r>
      <w:r>
        <w:rPr>
          <w:rFonts w:ascii="Palatino Linotype" w:eastAsia="Palatino Linotype" w:hAnsi="Palatino Linotype" w:cs="Palatino Linotype"/>
          <w:sz w:val="22"/>
          <w:szCs w:val="22"/>
          <w:highlight w:val="white"/>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rsidR="00E00D9A" w:rsidRDefault="00E00D9A">
      <w:pPr>
        <w:spacing w:line="360" w:lineRule="auto"/>
        <w:ind w:left="360"/>
        <w:jc w:val="both"/>
        <w:rPr>
          <w:rFonts w:ascii="Palatino Linotype" w:eastAsia="Palatino Linotype" w:hAnsi="Palatino Linotype" w:cs="Palatino Linotype"/>
          <w:sz w:val="22"/>
          <w:szCs w:val="22"/>
          <w:highlight w:val="white"/>
        </w:rPr>
      </w:pPr>
    </w:p>
    <w:p w:rsidR="00E00D9A" w:rsidRDefault="00957322">
      <w:pPr>
        <w:numPr>
          <w:ilvl w:val="0"/>
          <w:numId w:val="3"/>
        </w:numPr>
        <w:spacing w:line="360" w:lineRule="auto"/>
        <w:ind w:left="0" w:firstLine="0"/>
        <w:jc w:val="both"/>
        <w:rPr>
          <w:rFonts w:ascii="Palatino Linotype" w:eastAsia="Palatino Linotype" w:hAnsi="Palatino Linotype" w:cs="Palatino Linotype"/>
          <w:color w:val="000000"/>
          <w:sz w:val="22"/>
          <w:szCs w:val="22"/>
          <w:highlight w:val="white"/>
        </w:rPr>
      </w:pPr>
      <w:r>
        <w:rPr>
          <w:rFonts w:ascii="Palatino Linotype" w:eastAsia="Palatino Linotype" w:hAnsi="Palatino Linotype" w:cs="Palatino Linotype"/>
          <w:sz w:val="22"/>
          <w:szCs w:val="22"/>
          <w:highlight w:val="white"/>
        </w:rPr>
        <w:t>Por lo que, el derecho a la vida y seguridad nacional tiene una-primacía que el derecho al acceso a la información, por lo que el bien jurídico a salvaguardarse primordialmente, es la vida y la seguridad de los servidores públicos encargados de la seguridad pública.</w:t>
      </w:r>
    </w:p>
    <w:p w:rsidR="00E00D9A" w:rsidRDefault="00E00D9A">
      <w:pPr>
        <w:spacing w:line="360" w:lineRule="auto"/>
        <w:ind w:left="360"/>
        <w:jc w:val="both"/>
        <w:rPr>
          <w:rFonts w:ascii="Palatino Linotype" w:eastAsia="Palatino Linotype" w:hAnsi="Palatino Linotype" w:cs="Palatino Linotype"/>
          <w:sz w:val="22"/>
          <w:szCs w:val="22"/>
          <w:highlight w:val="white"/>
        </w:rPr>
      </w:pPr>
    </w:p>
    <w:p w:rsidR="00E00D9A" w:rsidRDefault="00957322">
      <w:pPr>
        <w:numPr>
          <w:ilvl w:val="0"/>
          <w:numId w:val="3"/>
        </w:numPr>
        <w:spacing w:line="360" w:lineRule="auto"/>
        <w:ind w:left="0" w:firstLine="0"/>
        <w:jc w:val="both"/>
        <w:rPr>
          <w:rFonts w:ascii="Palatino Linotype" w:eastAsia="Palatino Linotype" w:hAnsi="Palatino Linotype" w:cs="Palatino Linotype"/>
          <w:color w:val="000000"/>
          <w:sz w:val="22"/>
          <w:szCs w:val="22"/>
          <w:highlight w:val="white"/>
        </w:rPr>
      </w:pPr>
      <w:r>
        <w:rPr>
          <w:rFonts w:ascii="Palatino Linotype" w:eastAsia="Palatino Linotype" w:hAnsi="Palatino Linotype" w:cs="Palatino Linotype"/>
          <w:sz w:val="22"/>
          <w:szCs w:val="22"/>
          <w:highlight w:val="white"/>
        </w:rPr>
        <w:t>Al respecto, cabe hacer mención que el artículo 81 fracción III de la Ley de Seguridad del Estado de México, establece lo siguiente:</w:t>
      </w:r>
    </w:p>
    <w:p w:rsidR="00E00D9A" w:rsidRDefault="00E00D9A">
      <w:pPr>
        <w:spacing w:line="360" w:lineRule="auto"/>
        <w:ind w:left="360"/>
        <w:jc w:val="both"/>
        <w:rPr>
          <w:rFonts w:ascii="Palatino Linotype" w:eastAsia="Palatino Linotype" w:hAnsi="Palatino Linotype" w:cs="Palatino Linotype"/>
          <w:sz w:val="22"/>
          <w:szCs w:val="22"/>
          <w:highlight w:val="white"/>
        </w:rPr>
      </w:pPr>
    </w:p>
    <w:p w:rsidR="00E00D9A" w:rsidRDefault="00957322">
      <w:pPr>
        <w:spacing w:line="276" w:lineRule="auto"/>
        <w:ind w:left="720" w:right="560"/>
        <w:jc w:val="both"/>
        <w:rPr>
          <w:rFonts w:ascii="Palatino Linotype" w:eastAsia="Palatino Linotype" w:hAnsi="Palatino Linotype" w:cs="Palatino Linotype"/>
          <w:i/>
          <w:sz w:val="22"/>
          <w:szCs w:val="22"/>
          <w:highlight w:val="white"/>
        </w:rPr>
      </w:pPr>
      <w:r>
        <w:rPr>
          <w:rFonts w:ascii="Palatino Linotype" w:eastAsia="Palatino Linotype" w:hAnsi="Palatino Linotype" w:cs="Palatino Linotype"/>
          <w:i/>
          <w:sz w:val="22"/>
          <w:szCs w:val="22"/>
          <w:highlight w:val="white"/>
        </w:rPr>
        <w:t>“</w:t>
      </w:r>
      <w:r>
        <w:rPr>
          <w:rFonts w:ascii="Palatino Linotype" w:eastAsia="Palatino Linotype" w:hAnsi="Palatino Linotype" w:cs="Palatino Linotype"/>
          <w:b/>
          <w:i/>
          <w:sz w:val="22"/>
          <w:szCs w:val="22"/>
          <w:highlight w:val="white"/>
        </w:rPr>
        <w:t>Artículo 81.-</w:t>
      </w:r>
      <w:r>
        <w:rPr>
          <w:rFonts w:ascii="Palatino Linotype" w:eastAsia="Palatino Linotype" w:hAnsi="Palatino Linotype" w:cs="Palatino Linotype"/>
          <w:i/>
          <w:sz w:val="22"/>
          <w:szCs w:val="22"/>
          <w:highlight w:val="white"/>
        </w:rPr>
        <w:t xml:space="preserve"> </w:t>
      </w:r>
      <w:r>
        <w:rPr>
          <w:rFonts w:ascii="Palatino Linotype" w:eastAsia="Palatino Linotype" w:hAnsi="Palatino Linotype" w:cs="Palatino Linotype"/>
          <w:b/>
          <w:i/>
          <w:sz w:val="22"/>
          <w:szCs w:val="22"/>
          <w:highlight w:val="white"/>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Pr>
          <w:rFonts w:ascii="Palatino Linotype" w:eastAsia="Palatino Linotype" w:hAnsi="Palatino Linotype" w:cs="Palatino Linotype"/>
          <w:i/>
          <w:sz w:val="22"/>
          <w:szCs w:val="22"/>
          <w:highlight w:val="white"/>
        </w:rPr>
        <w:t xml:space="preserve"> en los casos siguientes:</w:t>
      </w:r>
    </w:p>
    <w:p w:rsidR="00E00D9A" w:rsidRDefault="00957322">
      <w:pPr>
        <w:spacing w:line="276" w:lineRule="auto"/>
        <w:ind w:left="720" w:right="560"/>
        <w:jc w:val="both"/>
        <w:rPr>
          <w:rFonts w:ascii="Palatino Linotype" w:eastAsia="Palatino Linotype" w:hAnsi="Palatino Linotype" w:cs="Palatino Linotype"/>
          <w:i/>
          <w:sz w:val="22"/>
          <w:szCs w:val="22"/>
          <w:highlight w:val="white"/>
        </w:rPr>
      </w:pPr>
      <w:r>
        <w:rPr>
          <w:rFonts w:ascii="Palatino Linotype" w:eastAsia="Palatino Linotype" w:hAnsi="Palatino Linotype" w:cs="Palatino Linotype"/>
          <w:i/>
          <w:sz w:val="22"/>
          <w:szCs w:val="22"/>
          <w:highlight w:val="white"/>
        </w:rPr>
        <w:t>(…)</w:t>
      </w:r>
    </w:p>
    <w:p w:rsidR="00E00D9A" w:rsidRDefault="00957322">
      <w:pPr>
        <w:spacing w:line="276" w:lineRule="auto"/>
        <w:ind w:left="720" w:right="560"/>
        <w:jc w:val="both"/>
        <w:rPr>
          <w:rFonts w:ascii="Palatino Linotype" w:eastAsia="Palatino Linotype" w:hAnsi="Palatino Linotype" w:cs="Palatino Linotype"/>
          <w:b/>
          <w:i/>
          <w:sz w:val="22"/>
          <w:szCs w:val="22"/>
          <w:highlight w:val="white"/>
        </w:rPr>
      </w:pPr>
      <w:r>
        <w:rPr>
          <w:rFonts w:ascii="Palatino Linotype" w:eastAsia="Palatino Linotype" w:hAnsi="Palatino Linotype" w:cs="Palatino Linotype"/>
          <w:b/>
          <w:i/>
          <w:sz w:val="22"/>
          <w:szCs w:val="22"/>
          <w:highlight w:val="white"/>
        </w:rPr>
        <w:t>III.</w:t>
      </w:r>
      <w:r>
        <w:rPr>
          <w:rFonts w:ascii="Palatino Linotype" w:eastAsia="Palatino Linotype" w:hAnsi="Palatino Linotype" w:cs="Palatino Linotype"/>
          <w:i/>
          <w:sz w:val="22"/>
          <w:szCs w:val="22"/>
          <w:highlight w:val="white"/>
        </w:rPr>
        <w:t xml:space="preserve"> </w:t>
      </w:r>
      <w:r>
        <w:rPr>
          <w:rFonts w:ascii="Palatino Linotype" w:eastAsia="Palatino Linotype" w:hAnsi="Palatino Linotype" w:cs="Palatino Linotype"/>
          <w:b/>
          <w:i/>
          <w:sz w:val="22"/>
          <w:szCs w:val="22"/>
          <w:highlight w:val="white"/>
        </w:rPr>
        <w:t>La relativa a servidores públicos miembros de las instituciones de seguridad pública, cuya revelación pueda poner en riesgo su vida e integridad física con motivo de sus funciones;</w:t>
      </w:r>
    </w:p>
    <w:p w:rsidR="00E00D9A" w:rsidRDefault="00957322">
      <w:pPr>
        <w:spacing w:line="276" w:lineRule="auto"/>
        <w:ind w:left="720" w:right="560"/>
        <w:jc w:val="both"/>
        <w:rPr>
          <w:rFonts w:ascii="Palatino Linotype" w:eastAsia="Palatino Linotype" w:hAnsi="Palatino Linotype" w:cs="Palatino Linotype"/>
          <w:i/>
          <w:sz w:val="22"/>
          <w:szCs w:val="22"/>
          <w:highlight w:val="white"/>
        </w:rPr>
      </w:pPr>
      <w:r>
        <w:rPr>
          <w:rFonts w:ascii="Palatino Linotype" w:eastAsia="Palatino Linotype" w:hAnsi="Palatino Linotype" w:cs="Palatino Linotype"/>
          <w:i/>
          <w:sz w:val="22"/>
          <w:szCs w:val="22"/>
          <w:highlight w:val="white"/>
        </w:rPr>
        <w:t>(…)”</w:t>
      </w:r>
    </w:p>
    <w:p w:rsidR="00E00D9A" w:rsidRDefault="00957322">
      <w:pPr>
        <w:spacing w:line="276" w:lineRule="auto"/>
        <w:ind w:left="720" w:right="860"/>
        <w:jc w:val="both"/>
        <w:rPr>
          <w:rFonts w:ascii="Palatino Linotype" w:eastAsia="Palatino Linotype" w:hAnsi="Palatino Linotype" w:cs="Palatino Linotype"/>
          <w:sz w:val="22"/>
          <w:szCs w:val="22"/>
          <w:highlight w:val="white"/>
        </w:rPr>
      </w:pPr>
      <w:r>
        <w:rPr>
          <w:rFonts w:ascii="Palatino Linotype" w:eastAsia="Palatino Linotype" w:hAnsi="Palatino Linotype" w:cs="Palatino Linotype"/>
          <w:sz w:val="22"/>
          <w:szCs w:val="22"/>
          <w:highlight w:val="white"/>
        </w:rPr>
        <w:t>(Énfasis añadido)</w:t>
      </w:r>
    </w:p>
    <w:p w:rsidR="00E00D9A" w:rsidRDefault="00957322">
      <w:pPr>
        <w:spacing w:before="240" w:after="240" w:line="360" w:lineRule="auto"/>
        <w:ind w:right="60"/>
        <w:jc w:val="both"/>
        <w:rPr>
          <w:rFonts w:ascii="Palatino Linotype" w:eastAsia="Palatino Linotype" w:hAnsi="Palatino Linotype" w:cs="Palatino Linotype"/>
          <w:sz w:val="22"/>
          <w:szCs w:val="22"/>
          <w:highlight w:val="white"/>
        </w:rPr>
      </w:pPr>
      <w:r>
        <w:rPr>
          <w:rFonts w:ascii="Palatino Linotype" w:eastAsia="Palatino Linotype" w:hAnsi="Palatino Linotype" w:cs="Palatino Linotype"/>
          <w:sz w:val="22"/>
          <w:szCs w:val="22"/>
          <w:highlight w:val="white"/>
        </w:rPr>
        <w:t xml:space="preserve"> </w:t>
      </w:r>
    </w:p>
    <w:p w:rsidR="00E00D9A" w:rsidRDefault="00957322">
      <w:pPr>
        <w:numPr>
          <w:ilvl w:val="0"/>
          <w:numId w:val="3"/>
        </w:numPr>
        <w:spacing w:line="360" w:lineRule="auto"/>
        <w:ind w:left="0" w:firstLine="0"/>
        <w:jc w:val="both"/>
        <w:rPr>
          <w:rFonts w:ascii="Palatino Linotype" w:eastAsia="Palatino Linotype" w:hAnsi="Palatino Linotype" w:cs="Palatino Linotype"/>
          <w:color w:val="000000"/>
          <w:sz w:val="22"/>
          <w:szCs w:val="22"/>
          <w:highlight w:val="white"/>
        </w:rPr>
      </w:pPr>
      <w:r>
        <w:rPr>
          <w:rFonts w:ascii="Palatino Linotype" w:eastAsia="Palatino Linotype" w:hAnsi="Palatino Linotype" w:cs="Palatino Linotype"/>
          <w:sz w:val="22"/>
          <w:szCs w:val="22"/>
          <w:highlight w:val="white"/>
        </w:rPr>
        <w:t>Argumento que se fortalece con lo estipulado en el criterio número 6-09, del Instituto Nacional de Transparencia, Acceso a la Información y Protección de Datos Personales, antes (INAI)</w:t>
      </w:r>
      <w:r>
        <w:rPr>
          <w:rFonts w:ascii="Palatino Linotype" w:eastAsia="Palatino Linotype" w:hAnsi="Palatino Linotype" w:cs="Palatino Linotype"/>
          <w:b/>
          <w:sz w:val="22"/>
          <w:szCs w:val="22"/>
          <w:highlight w:val="white"/>
        </w:rPr>
        <w:t xml:space="preserve">, </w:t>
      </w:r>
      <w:r>
        <w:rPr>
          <w:rFonts w:ascii="Palatino Linotype" w:eastAsia="Palatino Linotype" w:hAnsi="Palatino Linotype" w:cs="Palatino Linotype"/>
          <w:sz w:val="22"/>
          <w:szCs w:val="22"/>
          <w:highlight w:val="white"/>
        </w:rPr>
        <w:t>el cual refiere:</w:t>
      </w:r>
    </w:p>
    <w:p w:rsidR="00E00D9A" w:rsidRDefault="00957322">
      <w:pPr>
        <w:spacing w:line="360" w:lineRule="auto"/>
        <w:ind w:left="360"/>
        <w:jc w:val="both"/>
        <w:rPr>
          <w:rFonts w:ascii="Palatino Linotype" w:eastAsia="Palatino Linotype" w:hAnsi="Palatino Linotype" w:cs="Palatino Linotype"/>
          <w:sz w:val="22"/>
          <w:szCs w:val="22"/>
          <w:highlight w:val="white"/>
        </w:rPr>
      </w:pPr>
      <w:r>
        <w:rPr>
          <w:rFonts w:ascii="Palatino Linotype" w:eastAsia="Palatino Linotype" w:hAnsi="Palatino Linotype" w:cs="Palatino Linotype"/>
          <w:sz w:val="22"/>
          <w:szCs w:val="22"/>
          <w:highlight w:val="white"/>
        </w:rPr>
        <w:t xml:space="preserve"> </w:t>
      </w:r>
    </w:p>
    <w:p w:rsidR="00E00D9A" w:rsidRDefault="00957322">
      <w:pPr>
        <w:spacing w:line="276" w:lineRule="auto"/>
        <w:ind w:left="560" w:right="560"/>
        <w:jc w:val="both"/>
        <w:rPr>
          <w:rFonts w:ascii="Palatino Linotype" w:eastAsia="Palatino Linotype" w:hAnsi="Palatino Linotype" w:cs="Palatino Linotype"/>
          <w:i/>
          <w:sz w:val="22"/>
          <w:szCs w:val="22"/>
          <w:highlight w:val="white"/>
        </w:rPr>
      </w:pPr>
      <w:r>
        <w:rPr>
          <w:rFonts w:ascii="Palatino Linotype" w:eastAsia="Palatino Linotype" w:hAnsi="Palatino Linotype" w:cs="Palatino Linotype"/>
          <w:b/>
          <w:i/>
          <w:sz w:val="22"/>
          <w:szCs w:val="22"/>
          <w:highlight w:val="white"/>
        </w:rPr>
        <w:t>NOMBRES DE SERVIDORES PÚBLICOS DEDICADOS A ACTIVIDADES EN MATERIA DE SEGURIDAD, POR EXCEPCIÓN PUEDEN CONSIDERARSE INFORMACIÓN RESERVADA. “</w:t>
      </w:r>
      <w:r>
        <w:rPr>
          <w:rFonts w:ascii="Palatino Linotype" w:eastAsia="Palatino Linotype" w:hAnsi="Palatino Linotype" w:cs="Palatino Linotype"/>
          <w:i/>
          <w:sz w:val="22"/>
          <w:szCs w:val="22"/>
          <w:highlight w:val="white"/>
        </w:rPr>
        <w:t xml:space="preserve">De conformidad con el artículo 7, fracciones I y III de la Ley Federal de Transparencia y Acceso a la Información Pública Gubernamental </w:t>
      </w:r>
      <w:r>
        <w:rPr>
          <w:rFonts w:ascii="Palatino Linotype" w:eastAsia="Palatino Linotype" w:hAnsi="Palatino Linotype" w:cs="Palatino Linotype"/>
          <w:b/>
          <w:i/>
          <w:sz w:val="22"/>
          <w:szCs w:val="22"/>
          <w:highlight w:val="white"/>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Pr>
          <w:rFonts w:ascii="Palatino Linotype" w:eastAsia="Palatino Linotype" w:hAnsi="Palatino Linotype" w:cs="Palatino Linotype"/>
          <w:i/>
          <w:sz w:val="22"/>
          <w:szCs w:val="22"/>
          <w:highlight w:val="white"/>
        </w:rPr>
        <w:t xml:space="preserve">. En este sentido, se debe señalar que existen funciones a cargo de servidores públicos, tendientes a garantizar de manera directa la seguridad nacional y </w:t>
      </w:r>
      <w:r>
        <w:rPr>
          <w:rFonts w:ascii="Palatino Linotype" w:eastAsia="Palatino Linotype" w:hAnsi="Palatino Linotype" w:cs="Palatino Linotype"/>
          <w:i/>
          <w:sz w:val="22"/>
          <w:szCs w:val="22"/>
          <w:highlight w:val="white"/>
        </w:rPr>
        <w:lastRenderedPageBreak/>
        <w:t xml:space="preserve">pública, a través de acciones preventivas y correctivas encaminadas a combatir a la delincuencia en sus diferentes manifestaciones. Así, es pertinente señalar que en </w:t>
      </w:r>
      <w:r>
        <w:rPr>
          <w:rFonts w:ascii="Palatino Linotype" w:eastAsia="Palatino Linotype" w:hAnsi="Palatino Linotype" w:cs="Palatino Linotype"/>
          <w:b/>
          <w:i/>
          <w:sz w:val="22"/>
          <w:szCs w:val="22"/>
          <w:highlight w:val="white"/>
        </w:rPr>
        <w:t>el artículo 13, fracción I de la ley de referencia se establece que podrá clasificarse aquella información cuya difusión pueda comprometer la seguridad nacional y pública</w:t>
      </w:r>
      <w:r>
        <w:rPr>
          <w:rFonts w:ascii="Palatino Linotype" w:eastAsia="Palatino Linotype" w:hAnsi="Palatino Linotype" w:cs="Palatino Linotype"/>
          <w:i/>
          <w:sz w:val="22"/>
          <w:szCs w:val="22"/>
          <w:highlight w:val="white"/>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Pr>
          <w:rFonts w:ascii="Palatino Linotype" w:eastAsia="Palatino Linotype" w:hAnsi="Palatino Linotype" w:cs="Palatino Linotype"/>
          <w:b/>
          <w:i/>
          <w:sz w:val="22"/>
          <w:szCs w:val="22"/>
          <w:highlight w:val="white"/>
        </w:rPr>
        <w:t>por lo que la reserva de la relación de los nombres y las funciones que desempeñan los servidores públicos que prestan sus servicios en áreas de seguridad nacional o pública</w:t>
      </w:r>
      <w:r>
        <w:rPr>
          <w:rFonts w:ascii="Palatino Linotype" w:eastAsia="Palatino Linotype" w:hAnsi="Palatino Linotype" w:cs="Palatino Linotype"/>
          <w:i/>
          <w:sz w:val="22"/>
          <w:szCs w:val="22"/>
          <w:highlight w:val="white"/>
        </w:rPr>
        <w:t>, puede llegar a constituirse en un componente fundamental en el esfuerzo que realiza el Estado Mexicano para garantizar la seguridad del país en sus diferentes vertientes” (Sic)</w:t>
      </w:r>
    </w:p>
    <w:p w:rsidR="00E00D9A" w:rsidRDefault="00957322">
      <w:pPr>
        <w:spacing w:line="276" w:lineRule="auto"/>
        <w:ind w:left="560" w:right="560"/>
        <w:jc w:val="both"/>
        <w:rPr>
          <w:rFonts w:ascii="Palatino Linotype" w:eastAsia="Palatino Linotype" w:hAnsi="Palatino Linotype" w:cs="Palatino Linotype"/>
          <w:sz w:val="22"/>
          <w:szCs w:val="22"/>
          <w:highlight w:val="white"/>
        </w:rPr>
      </w:pPr>
      <w:r>
        <w:rPr>
          <w:rFonts w:ascii="Palatino Linotype" w:eastAsia="Palatino Linotype" w:hAnsi="Palatino Linotype" w:cs="Palatino Linotype"/>
          <w:sz w:val="22"/>
          <w:szCs w:val="22"/>
          <w:highlight w:val="white"/>
        </w:rPr>
        <w:t>(Énfasis añadido)</w:t>
      </w:r>
    </w:p>
    <w:p w:rsidR="00E00D9A" w:rsidRDefault="00E00D9A">
      <w:pPr>
        <w:spacing w:line="360" w:lineRule="auto"/>
        <w:ind w:left="360"/>
        <w:jc w:val="both"/>
        <w:rPr>
          <w:rFonts w:ascii="Palatino Linotype" w:eastAsia="Palatino Linotype" w:hAnsi="Palatino Linotype" w:cs="Palatino Linotype"/>
          <w:sz w:val="22"/>
          <w:szCs w:val="22"/>
        </w:rPr>
      </w:pPr>
    </w:p>
    <w:p w:rsidR="00E00D9A" w:rsidRDefault="00957322">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222222"/>
          <w:sz w:val="22"/>
          <w:szCs w:val="22"/>
        </w:rPr>
        <w:t xml:space="preserve">Por lo anteriormente expuesto y fundado, este </w:t>
      </w:r>
      <w:r>
        <w:rPr>
          <w:rFonts w:ascii="Palatino Linotype" w:eastAsia="Palatino Linotype" w:hAnsi="Palatino Linotype" w:cs="Palatino Linotype"/>
          <w:b/>
          <w:color w:val="222222"/>
          <w:sz w:val="22"/>
          <w:szCs w:val="22"/>
        </w:rPr>
        <w:t>ÓRGANO GARANTE</w:t>
      </w:r>
      <w:r>
        <w:rPr>
          <w:rFonts w:ascii="Palatino Linotype" w:eastAsia="Palatino Linotype" w:hAnsi="Palatino Linotype" w:cs="Palatino Linotype"/>
          <w:color w:val="222222"/>
          <w:sz w:val="22"/>
          <w:szCs w:val="22"/>
        </w:rPr>
        <w:t xml:space="preserve"> emite los siguientes:</w:t>
      </w:r>
    </w:p>
    <w:p w:rsidR="00E00D9A" w:rsidRDefault="00957322">
      <w:pPr>
        <w:keepNext/>
        <w:keepLines/>
        <w:spacing w:before="240" w:after="240" w:line="360" w:lineRule="auto"/>
        <w:ind w:right="1"/>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O L U T I V O S</w:t>
      </w:r>
    </w:p>
    <w:p w:rsidR="00E00D9A" w:rsidRPr="00CD0B1E" w:rsidRDefault="009573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PRIMERO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Resultan fundadas las razones</w:t>
      </w:r>
      <w:r>
        <w:rPr>
          <w:rFonts w:ascii="Palatino Linotype" w:eastAsia="Palatino Linotype" w:hAnsi="Palatino Linotype" w:cs="Palatino Linotype"/>
          <w:sz w:val="22"/>
          <w:szCs w:val="22"/>
        </w:rPr>
        <w:t xml:space="preserve"> o motivos de inconformidad hechos valer en el Recurso de Revisión </w:t>
      </w:r>
      <w:r>
        <w:rPr>
          <w:rFonts w:ascii="Palatino Linotype" w:eastAsia="Palatino Linotype" w:hAnsi="Palatino Linotype" w:cs="Palatino Linotype"/>
          <w:b/>
          <w:sz w:val="22"/>
          <w:szCs w:val="22"/>
        </w:rPr>
        <w:t>05313/INFOEM/IP/</w:t>
      </w:r>
      <w:r w:rsidRPr="00CD0B1E">
        <w:rPr>
          <w:rFonts w:ascii="Palatino Linotype" w:eastAsia="Palatino Linotype" w:hAnsi="Palatino Linotype" w:cs="Palatino Linotype"/>
          <w:b/>
          <w:sz w:val="22"/>
          <w:szCs w:val="22"/>
        </w:rPr>
        <w:t>RR/202</w:t>
      </w:r>
      <w:r w:rsidR="00D20145" w:rsidRPr="00CD0B1E">
        <w:rPr>
          <w:rFonts w:ascii="Palatino Linotype" w:eastAsia="Palatino Linotype" w:hAnsi="Palatino Linotype" w:cs="Palatino Linotype"/>
          <w:b/>
          <w:sz w:val="22"/>
          <w:szCs w:val="22"/>
        </w:rPr>
        <w:t>4</w:t>
      </w:r>
      <w:r w:rsidRPr="00CD0B1E">
        <w:rPr>
          <w:rFonts w:ascii="Palatino Linotype" w:eastAsia="Palatino Linotype" w:hAnsi="Palatino Linotype" w:cs="Palatino Linotype"/>
          <w:sz w:val="22"/>
          <w:szCs w:val="22"/>
        </w:rPr>
        <w:t>,</w:t>
      </w:r>
      <w:r w:rsidRPr="00CD0B1E">
        <w:rPr>
          <w:rFonts w:ascii="Palatino Linotype" w:eastAsia="Palatino Linotype" w:hAnsi="Palatino Linotype" w:cs="Palatino Linotype"/>
          <w:b/>
          <w:sz w:val="22"/>
          <w:szCs w:val="22"/>
        </w:rPr>
        <w:t xml:space="preserve"> </w:t>
      </w:r>
      <w:r w:rsidRPr="00CD0B1E">
        <w:rPr>
          <w:rFonts w:ascii="Palatino Linotype" w:eastAsia="Palatino Linotype" w:hAnsi="Palatino Linotype" w:cs="Palatino Linotype"/>
          <w:sz w:val="22"/>
          <w:szCs w:val="22"/>
        </w:rPr>
        <w:t xml:space="preserve">en términos de los Considerandos </w:t>
      </w:r>
      <w:r w:rsidRPr="00CD0B1E">
        <w:rPr>
          <w:rFonts w:ascii="Palatino Linotype" w:eastAsia="Palatino Linotype" w:hAnsi="Palatino Linotype" w:cs="Palatino Linotype"/>
          <w:b/>
          <w:sz w:val="22"/>
          <w:szCs w:val="22"/>
        </w:rPr>
        <w:t>Cuarto</w:t>
      </w:r>
      <w:r w:rsidRPr="00CD0B1E">
        <w:rPr>
          <w:rFonts w:ascii="Palatino Linotype" w:eastAsia="Palatino Linotype" w:hAnsi="Palatino Linotype" w:cs="Palatino Linotype"/>
          <w:sz w:val="22"/>
          <w:szCs w:val="22"/>
        </w:rPr>
        <w:t xml:space="preserve"> y </w:t>
      </w:r>
      <w:r w:rsidRPr="00CD0B1E">
        <w:rPr>
          <w:rFonts w:ascii="Palatino Linotype" w:eastAsia="Palatino Linotype" w:hAnsi="Palatino Linotype" w:cs="Palatino Linotype"/>
          <w:b/>
          <w:sz w:val="22"/>
          <w:szCs w:val="22"/>
        </w:rPr>
        <w:t xml:space="preserve">Quinto </w:t>
      </w:r>
      <w:r w:rsidRPr="00CD0B1E">
        <w:rPr>
          <w:rFonts w:ascii="Palatino Linotype" w:eastAsia="Palatino Linotype" w:hAnsi="Palatino Linotype" w:cs="Palatino Linotype"/>
          <w:sz w:val="22"/>
          <w:szCs w:val="22"/>
        </w:rPr>
        <w:t>de la presente Resolución.</w:t>
      </w:r>
    </w:p>
    <w:p w:rsidR="00E00D9A" w:rsidRPr="00CD0B1E" w:rsidRDefault="00E00D9A">
      <w:pPr>
        <w:spacing w:line="360" w:lineRule="auto"/>
        <w:jc w:val="both"/>
        <w:rPr>
          <w:rFonts w:ascii="Palatino Linotype" w:eastAsia="Palatino Linotype" w:hAnsi="Palatino Linotype" w:cs="Palatino Linotype"/>
          <w:sz w:val="22"/>
          <w:szCs w:val="22"/>
        </w:rPr>
      </w:pPr>
    </w:p>
    <w:p w:rsidR="00E00D9A" w:rsidRPr="00CD0B1E" w:rsidRDefault="00957322">
      <w:pPr>
        <w:spacing w:line="360" w:lineRule="auto"/>
        <w:jc w:val="both"/>
        <w:rPr>
          <w:rFonts w:ascii="Palatino Linotype" w:eastAsia="Palatino Linotype" w:hAnsi="Palatino Linotype" w:cs="Palatino Linotype"/>
          <w:sz w:val="22"/>
          <w:szCs w:val="22"/>
        </w:rPr>
      </w:pPr>
      <w:bookmarkStart w:id="14" w:name="_heading=h.1ksv4uv" w:colFirst="0" w:colLast="0"/>
      <w:bookmarkEnd w:id="14"/>
      <w:r w:rsidRPr="00CD0B1E">
        <w:rPr>
          <w:rFonts w:ascii="Palatino Linotype" w:eastAsia="Palatino Linotype" w:hAnsi="Palatino Linotype" w:cs="Palatino Linotype"/>
          <w:b/>
          <w:sz w:val="22"/>
          <w:szCs w:val="22"/>
        </w:rPr>
        <w:t xml:space="preserve">SEGUNDO. </w:t>
      </w:r>
      <w:r w:rsidRPr="00CD0B1E">
        <w:rPr>
          <w:rFonts w:ascii="Palatino Linotype" w:eastAsia="Palatino Linotype" w:hAnsi="Palatino Linotype" w:cs="Palatino Linotype"/>
          <w:color w:val="000000"/>
          <w:sz w:val="22"/>
          <w:szCs w:val="22"/>
        </w:rPr>
        <w:t xml:space="preserve">Se </w:t>
      </w:r>
      <w:r w:rsidRPr="00CD0B1E">
        <w:rPr>
          <w:rFonts w:ascii="Palatino Linotype" w:eastAsia="Palatino Linotype" w:hAnsi="Palatino Linotype" w:cs="Palatino Linotype"/>
          <w:b/>
          <w:color w:val="000000"/>
          <w:sz w:val="22"/>
          <w:szCs w:val="22"/>
        </w:rPr>
        <w:t xml:space="preserve">REVOCA </w:t>
      </w:r>
      <w:r w:rsidRPr="00CD0B1E">
        <w:rPr>
          <w:rFonts w:ascii="Palatino Linotype" w:eastAsia="Palatino Linotype" w:hAnsi="Palatino Linotype" w:cs="Palatino Linotype"/>
          <w:color w:val="000000"/>
          <w:sz w:val="22"/>
          <w:szCs w:val="22"/>
        </w:rPr>
        <w:t xml:space="preserve">la respuesta emitida por el </w:t>
      </w:r>
      <w:r w:rsidRPr="00CD0B1E">
        <w:rPr>
          <w:rFonts w:ascii="Palatino Linotype" w:eastAsia="Palatino Linotype" w:hAnsi="Palatino Linotype" w:cs="Palatino Linotype"/>
          <w:b/>
          <w:color w:val="000000"/>
          <w:sz w:val="22"/>
          <w:szCs w:val="22"/>
        </w:rPr>
        <w:t>Ayuntamiento de San Mateo Atenco</w:t>
      </w:r>
      <w:r w:rsidRPr="00CD0B1E">
        <w:rPr>
          <w:rFonts w:ascii="Palatino Linotype" w:eastAsia="Palatino Linotype" w:hAnsi="Palatino Linotype" w:cs="Palatino Linotype"/>
          <w:color w:val="000000"/>
          <w:sz w:val="22"/>
          <w:szCs w:val="22"/>
        </w:rPr>
        <w:t xml:space="preserve">, y se </w:t>
      </w:r>
      <w:r w:rsidRPr="00CD0B1E">
        <w:rPr>
          <w:rFonts w:ascii="Palatino Linotype" w:eastAsia="Palatino Linotype" w:hAnsi="Palatino Linotype" w:cs="Palatino Linotype"/>
          <w:b/>
          <w:color w:val="000000"/>
          <w:sz w:val="22"/>
          <w:szCs w:val="22"/>
        </w:rPr>
        <w:t>ORDENA</w:t>
      </w:r>
      <w:r w:rsidRPr="00CD0B1E">
        <w:rPr>
          <w:rFonts w:ascii="Palatino Linotype" w:eastAsia="Palatino Linotype" w:hAnsi="Palatino Linotype" w:cs="Palatino Linotype"/>
          <w:color w:val="000000"/>
          <w:sz w:val="22"/>
          <w:szCs w:val="22"/>
        </w:rPr>
        <w:t xml:space="preserve"> entregar vía Sistema de Acceso a la Información Mexiquense (SAIMEX), la siguiente información, en versión pública</w:t>
      </w:r>
      <w:r w:rsidRPr="00CD0B1E">
        <w:rPr>
          <w:rFonts w:ascii="Palatino Linotype" w:eastAsia="Palatino Linotype" w:hAnsi="Palatino Linotype" w:cs="Palatino Linotype"/>
          <w:sz w:val="22"/>
          <w:szCs w:val="22"/>
        </w:rPr>
        <w:t>:</w:t>
      </w:r>
    </w:p>
    <w:p w:rsidR="00E00D9A" w:rsidRPr="00CD0B1E" w:rsidRDefault="00E00D9A">
      <w:pPr>
        <w:spacing w:line="360" w:lineRule="auto"/>
        <w:jc w:val="both"/>
        <w:rPr>
          <w:rFonts w:ascii="Palatino Linotype" w:eastAsia="Palatino Linotype" w:hAnsi="Palatino Linotype" w:cs="Palatino Linotype"/>
          <w:color w:val="0D0D0D"/>
          <w:sz w:val="22"/>
          <w:szCs w:val="22"/>
        </w:rPr>
      </w:pPr>
    </w:p>
    <w:p w:rsidR="00E00D9A" w:rsidRPr="00CD0B1E" w:rsidRDefault="00957322">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D0D0D"/>
          <w:sz w:val="22"/>
          <w:szCs w:val="22"/>
        </w:rPr>
      </w:pPr>
      <w:r w:rsidRPr="00CD0B1E">
        <w:rPr>
          <w:rFonts w:ascii="Palatino Linotype" w:eastAsia="Palatino Linotype" w:hAnsi="Palatino Linotype" w:cs="Palatino Linotype"/>
          <w:b/>
          <w:color w:val="0D0D0D"/>
          <w:sz w:val="22"/>
          <w:szCs w:val="22"/>
        </w:rPr>
        <w:t>Conciliaci</w:t>
      </w:r>
      <w:r w:rsidR="004F7A0F" w:rsidRPr="00CD0B1E">
        <w:rPr>
          <w:rFonts w:ascii="Palatino Linotype" w:eastAsia="Palatino Linotype" w:hAnsi="Palatino Linotype" w:cs="Palatino Linotype"/>
          <w:b/>
          <w:color w:val="0D0D0D"/>
          <w:sz w:val="22"/>
          <w:szCs w:val="22"/>
        </w:rPr>
        <w:t>ón</w:t>
      </w:r>
      <w:r w:rsidRPr="00CD0B1E">
        <w:rPr>
          <w:rFonts w:ascii="Palatino Linotype" w:eastAsia="Palatino Linotype" w:hAnsi="Palatino Linotype" w:cs="Palatino Linotype"/>
          <w:b/>
          <w:color w:val="0D0D0D"/>
          <w:sz w:val="22"/>
          <w:szCs w:val="22"/>
        </w:rPr>
        <w:t xml:space="preserve"> de nómina, de la primera quincena de enero de 2022, a la segunda quincena de julio de 2024.</w:t>
      </w:r>
    </w:p>
    <w:p w:rsidR="00E00D9A" w:rsidRDefault="00E00D9A">
      <w:pPr>
        <w:spacing w:line="360" w:lineRule="auto"/>
        <w:rPr>
          <w:rFonts w:ascii="Palatino Linotype" w:eastAsia="Palatino Linotype" w:hAnsi="Palatino Linotype" w:cs="Palatino Linotype"/>
          <w:b/>
          <w:color w:val="0D0D0D"/>
          <w:sz w:val="22"/>
          <w:szCs w:val="22"/>
        </w:rPr>
      </w:pPr>
    </w:p>
    <w:p w:rsidR="00E00D9A" w:rsidRDefault="00957322">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Además, de ser necesario, deberá proporcionar el Acuerdo de Clasificación donde el Comité de Transparencia, confirme la eliminación de los datos o información clasificada, en las versiones públicas que se entreguen, de conformidad con los artículos 49, fracciones II y VIII y 132, fracción II de la Ley de Transparencia y Acceso a la Información Pública del Estado de México y Municipios.</w:t>
      </w:r>
    </w:p>
    <w:p w:rsidR="00E00D9A" w:rsidRDefault="00E00D9A">
      <w:pPr>
        <w:tabs>
          <w:tab w:val="left" w:pos="4962"/>
        </w:tabs>
        <w:spacing w:line="360" w:lineRule="auto"/>
        <w:jc w:val="both"/>
        <w:rPr>
          <w:rFonts w:ascii="Palatino Linotype" w:eastAsia="Palatino Linotype" w:hAnsi="Palatino Linotype" w:cs="Palatino Linotype"/>
          <w:sz w:val="22"/>
          <w:szCs w:val="22"/>
        </w:rPr>
      </w:pPr>
    </w:p>
    <w:p w:rsidR="00E00D9A" w:rsidRDefault="009573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TERCERO. Notifíquese </w:t>
      </w:r>
      <w:r>
        <w:rPr>
          <w:rFonts w:ascii="Palatino Linotype" w:eastAsia="Palatino Linotype" w:hAnsi="Palatino Linotype" w:cs="Palatino Linotype"/>
          <w:sz w:val="22"/>
          <w:szCs w:val="22"/>
        </w:rPr>
        <w:t>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00D9A" w:rsidRDefault="00E00D9A">
      <w:pPr>
        <w:spacing w:line="360" w:lineRule="auto"/>
        <w:jc w:val="both"/>
        <w:rPr>
          <w:rFonts w:ascii="Palatino Linotype" w:eastAsia="Palatino Linotype" w:hAnsi="Palatino Linotype" w:cs="Palatino Linotype"/>
          <w:sz w:val="22"/>
          <w:szCs w:val="22"/>
        </w:rPr>
      </w:pPr>
    </w:p>
    <w:p w:rsidR="00E00D9A" w:rsidRDefault="009573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CUARTO. </w:t>
      </w:r>
      <w:r>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E00D9A" w:rsidRDefault="00E00D9A">
      <w:pPr>
        <w:spacing w:line="360" w:lineRule="auto"/>
        <w:jc w:val="both"/>
        <w:rPr>
          <w:rFonts w:ascii="Palatino Linotype" w:eastAsia="Palatino Linotype" w:hAnsi="Palatino Linotype" w:cs="Palatino Linotype"/>
          <w:sz w:val="22"/>
          <w:szCs w:val="22"/>
        </w:rPr>
      </w:pPr>
    </w:p>
    <w:p w:rsidR="00E00D9A" w:rsidRDefault="00957322">
      <w:pPr>
        <w:tabs>
          <w:tab w:val="left" w:pos="8080"/>
        </w:tabs>
        <w:spacing w:line="360" w:lineRule="auto"/>
        <w:ind w:right="49"/>
        <w:jc w:val="both"/>
        <w:rPr>
          <w:rFonts w:ascii="Palatino Linotype" w:eastAsia="Palatino Linotype" w:hAnsi="Palatino Linotype" w:cs="Palatino Linotype"/>
          <w:sz w:val="22"/>
          <w:szCs w:val="22"/>
        </w:rPr>
      </w:pPr>
      <w:bookmarkStart w:id="15" w:name="_heading=h.44sinio" w:colFirst="0" w:colLast="0"/>
      <w:bookmarkEnd w:id="15"/>
      <w:r>
        <w:rPr>
          <w:rFonts w:ascii="Palatino Linotype" w:eastAsia="Palatino Linotype" w:hAnsi="Palatino Linotype" w:cs="Palatino Linotype"/>
          <w:b/>
          <w:sz w:val="22"/>
          <w:szCs w:val="22"/>
        </w:rPr>
        <w:t xml:space="preserve">QUINTO. </w:t>
      </w:r>
      <w:r>
        <w:rPr>
          <w:rFonts w:ascii="Palatino Linotype" w:eastAsia="Palatino Linotype" w:hAnsi="Palatino Linotype" w:cs="Palatino Linotype"/>
          <w:sz w:val="22"/>
          <w:szCs w:val="22"/>
        </w:rPr>
        <w:t xml:space="preserve">Notifíquese al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la presente resolución, vía </w:t>
      </w:r>
      <w:r>
        <w:rPr>
          <w:rFonts w:ascii="Palatino Linotype" w:eastAsia="Palatino Linotype" w:hAnsi="Palatino Linotype" w:cs="Palatino Linotype"/>
          <w:b/>
          <w:sz w:val="22"/>
          <w:szCs w:val="22"/>
        </w:rPr>
        <w:t>SAIMEX</w:t>
      </w:r>
      <w:r>
        <w:rPr>
          <w:rFonts w:ascii="Palatino Linotype" w:eastAsia="Palatino Linotype" w:hAnsi="Palatino Linotype" w:cs="Palatino Linotype"/>
          <w:sz w:val="22"/>
          <w:szCs w:val="22"/>
        </w:rPr>
        <w:t>.</w:t>
      </w:r>
    </w:p>
    <w:p w:rsidR="00E00D9A" w:rsidRDefault="00E00D9A">
      <w:pPr>
        <w:tabs>
          <w:tab w:val="left" w:pos="8080"/>
        </w:tabs>
        <w:spacing w:line="360" w:lineRule="auto"/>
        <w:ind w:right="49"/>
        <w:jc w:val="both"/>
        <w:rPr>
          <w:rFonts w:ascii="Palatino Linotype" w:eastAsia="Palatino Linotype" w:hAnsi="Palatino Linotype" w:cs="Palatino Linotype"/>
          <w:sz w:val="22"/>
          <w:szCs w:val="22"/>
        </w:rPr>
      </w:pPr>
    </w:p>
    <w:p w:rsidR="00E00D9A" w:rsidRDefault="00957322">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SEXTO. </w:t>
      </w:r>
      <w:r>
        <w:rPr>
          <w:rFonts w:ascii="Palatino Linotype" w:eastAsia="Palatino Linotype" w:hAnsi="Palatino Linotype" w:cs="Palatino Linotype"/>
          <w:color w:val="000000"/>
          <w:sz w:val="22"/>
          <w:szCs w:val="22"/>
        </w:rPr>
        <w:t>Se hace del conocimiento del</w:t>
      </w:r>
      <w:r>
        <w:rPr>
          <w:rFonts w:ascii="Palatino Linotype" w:eastAsia="Palatino Linotype" w:hAnsi="Palatino Linotype" w:cs="Palatino Linotype"/>
          <w:b/>
          <w:color w:val="000000"/>
          <w:sz w:val="22"/>
          <w:szCs w:val="22"/>
        </w:rPr>
        <w:t xml:space="preserve"> Recurrente </w:t>
      </w:r>
      <w:r>
        <w:rPr>
          <w:rFonts w:ascii="Palatino Linotype" w:eastAsia="Palatino Linotype" w:hAnsi="Palatino Linotype" w:cs="Palatino Linotype"/>
          <w:color w:val="000000"/>
          <w:sz w:val="22"/>
          <w:szCs w:val="22"/>
        </w:rPr>
        <w:t xml:space="preserve">que, de conformidad con lo establecido en el artículo 196 de la Ley de Transparencia y Acceso a la Información Pública del Estado de México y Municipios, en caso de que considere que la resolución le cause algún perjuicio podrá </w:t>
      </w:r>
      <w:r>
        <w:rPr>
          <w:rFonts w:ascii="Palatino Linotype" w:eastAsia="Palatino Linotype" w:hAnsi="Palatino Linotype" w:cs="Palatino Linotype"/>
          <w:color w:val="000000"/>
          <w:sz w:val="22"/>
          <w:szCs w:val="22"/>
        </w:rPr>
        <w:lastRenderedPageBreak/>
        <w:t>impugnarla vía juicio de amparo en los términos de las leyes aplicables.</w:t>
      </w:r>
    </w:p>
    <w:p w:rsidR="00E00D9A" w:rsidRDefault="00E00D9A">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sz w:val="22"/>
          <w:szCs w:val="22"/>
        </w:rPr>
      </w:pPr>
    </w:p>
    <w:p w:rsidR="0069510D" w:rsidRPr="003C7186" w:rsidRDefault="0069510D" w:rsidP="0069510D">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1B32CB">
        <w:rPr>
          <w:rFonts w:ascii="Palatino Linotype" w:hAnsi="Palatino Linotype"/>
        </w:rPr>
        <w:t xml:space="preserve"> EMITIENDO VOTO PARTICULAR </w:t>
      </w:r>
      <w:r>
        <w:rPr>
          <w:rFonts w:ascii="Palatino Linotype" w:hAnsi="Palatino Linotype"/>
        </w:rPr>
        <w:t xml:space="preserve"> Y GUADALUPE RAMÍREZ PEÑA</w:t>
      </w:r>
      <w:r w:rsidR="001B32CB">
        <w:rPr>
          <w:rFonts w:ascii="Palatino Linotype" w:hAnsi="Palatino Linotype"/>
        </w:rPr>
        <w:t xml:space="preserve"> EMITIENDO VOTO PARTICULAR</w:t>
      </w:r>
      <w:r>
        <w:rPr>
          <w:rFonts w:ascii="Palatino Linotype" w:hAnsi="Palatino Linotype"/>
        </w:rPr>
        <w:t xml:space="preserve">;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SÉPTIMA </w:t>
      </w:r>
      <w:r w:rsidRPr="003C7186">
        <w:rPr>
          <w:rFonts w:ascii="Palatino Linotype" w:hAnsi="Palatino Linotype"/>
        </w:rPr>
        <w:t xml:space="preserve">SESIÓN ORDINARIA CELEBRADA EL </w:t>
      </w:r>
      <w:r>
        <w:rPr>
          <w:rFonts w:ascii="Palatino Linotype" w:hAnsi="Palatino Linotype"/>
        </w:rPr>
        <w:t>DIECISÉIS</w:t>
      </w:r>
      <w:r w:rsidRPr="003C7186">
        <w:rPr>
          <w:rFonts w:ascii="Palatino Linotype" w:hAnsi="Palatino Linotype"/>
        </w:rPr>
        <w:t xml:space="preserve"> </w:t>
      </w:r>
      <w:r>
        <w:rPr>
          <w:rFonts w:ascii="Palatino Linotype" w:hAnsi="Palatino Linotype"/>
        </w:rPr>
        <w:t>(16) DE OCTUBRE</w:t>
      </w:r>
      <w:r w:rsidRPr="003C7186">
        <w:rPr>
          <w:rFonts w:ascii="Palatino Linotype" w:hAnsi="Palatino Linotype"/>
        </w:rPr>
        <w:t xml:space="preserve"> DE DOS MIL VEINTICUATRO, ANTE EL SECRETARIO TÉCNICO DEL PLENO ALEXIS TAPIA RAMÍREZ. </w:t>
      </w:r>
    </w:p>
    <w:p w:rsidR="00CD0B1E" w:rsidRDefault="00CD0B1E">
      <w:pPr>
        <w:rPr>
          <w:rFonts w:ascii="Calibri" w:hAnsi="Calibri" w:cs="Calibri"/>
        </w:rPr>
      </w:pPr>
      <w:r>
        <w:rPr>
          <w:rFonts w:ascii="Calibri" w:hAnsi="Calibri" w:cs="Calibri"/>
        </w:rPr>
        <w:br w:type="page"/>
      </w:r>
    </w:p>
    <w:p w:rsidR="0069510D" w:rsidRPr="00902BA4" w:rsidRDefault="0069510D" w:rsidP="0069510D">
      <w:pPr>
        <w:widowControl w:val="0"/>
        <w:autoSpaceDE w:val="0"/>
        <w:autoSpaceDN w:val="0"/>
        <w:adjustRightInd w:val="0"/>
        <w:spacing w:after="200" w:line="276" w:lineRule="auto"/>
        <w:ind w:left="-142" w:right="-234"/>
        <w:rPr>
          <w:rFonts w:ascii="Calibri" w:hAnsi="Calibri" w:cs="Calibri"/>
        </w:rPr>
      </w:pPr>
    </w:p>
    <w:p w:rsidR="0069510D" w:rsidRDefault="0069510D" w:rsidP="0069510D">
      <w:pPr>
        <w:spacing w:before="240" w:after="240" w:line="360" w:lineRule="auto"/>
        <w:ind w:firstLine="1"/>
        <w:jc w:val="both"/>
        <w:rPr>
          <w:rFonts w:ascii="Palatino Linotype" w:hAnsi="Palatino Linotype"/>
        </w:rPr>
      </w:pPr>
      <w:bookmarkStart w:id="16" w:name="_Hlk96506827"/>
    </w:p>
    <w:bookmarkEnd w:id="16"/>
    <w:p w:rsidR="0069510D" w:rsidRDefault="0069510D" w:rsidP="0069510D">
      <w:pPr>
        <w:spacing w:before="240" w:after="240" w:line="360" w:lineRule="auto"/>
        <w:ind w:firstLine="1"/>
        <w:jc w:val="both"/>
        <w:rPr>
          <w:rFonts w:ascii="Palatino Linotype" w:hAnsi="Palatino Linotype"/>
        </w:rPr>
      </w:pPr>
    </w:p>
    <w:p w:rsidR="00E00D9A" w:rsidRDefault="00E00D9A" w:rsidP="0069510D">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sz w:val="22"/>
          <w:szCs w:val="22"/>
        </w:rPr>
      </w:pPr>
    </w:p>
    <w:p w:rsidR="0069510D" w:rsidRDefault="0069510D" w:rsidP="0069510D">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sz w:val="22"/>
          <w:szCs w:val="22"/>
        </w:rPr>
      </w:pPr>
    </w:p>
    <w:p w:rsidR="0069510D" w:rsidRDefault="0069510D" w:rsidP="0069510D">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sz w:val="22"/>
          <w:szCs w:val="22"/>
        </w:rPr>
      </w:pPr>
    </w:p>
    <w:p w:rsidR="0069510D" w:rsidRDefault="0069510D" w:rsidP="0069510D">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sz w:val="22"/>
          <w:szCs w:val="22"/>
        </w:rPr>
      </w:pPr>
    </w:p>
    <w:p w:rsidR="0069510D" w:rsidRDefault="0069510D" w:rsidP="0069510D">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sz w:val="22"/>
          <w:szCs w:val="22"/>
        </w:rPr>
      </w:pPr>
    </w:p>
    <w:sectPr w:rsidR="0069510D">
      <w:headerReference w:type="even" r:id="rId13"/>
      <w:headerReference w:type="default" r:id="rId14"/>
      <w:footerReference w:type="default" r:id="rId15"/>
      <w:headerReference w:type="first" r:id="rId16"/>
      <w:footerReference w:type="first" r:id="rId17"/>
      <w:pgSz w:w="12240" w:h="15840"/>
      <w:pgMar w:top="80" w:right="1579"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D12" w:rsidRDefault="00215D12">
      <w:r>
        <w:separator/>
      </w:r>
    </w:p>
  </w:endnote>
  <w:endnote w:type="continuationSeparator" w:id="0">
    <w:p w:rsidR="00215D12" w:rsidRDefault="00215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Lucida Grande">
    <w:altName w:val="Arial"/>
    <w:panose1 w:val="00000000000000000000"/>
    <w:charset w:val="00"/>
    <w:family w:val="swiss"/>
    <w:notTrueType/>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D9A" w:rsidRDefault="00957322">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B36A5">
      <w:rPr>
        <w:b/>
        <w:noProof/>
        <w:color w:val="000000"/>
      </w:rPr>
      <w:t>4</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B36A5">
      <w:rPr>
        <w:b/>
        <w:noProof/>
        <w:color w:val="000000"/>
      </w:rPr>
      <w:t>59</w:t>
    </w:r>
    <w:r>
      <w:rPr>
        <w:b/>
        <w:color w:val="000000"/>
      </w:rPr>
      <w:fldChar w:fldCharType="end"/>
    </w:r>
  </w:p>
  <w:p w:rsidR="00E00D9A" w:rsidRDefault="00E00D9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D9A" w:rsidRDefault="00957322">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B36A5">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B36A5">
      <w:rPr>
        <w:b/>
        <w:noProof/>
        <w:color w:val="000000"/>
      </w:rPr>
      <w:t>59</w:t>
    </w:r>
    <w:r>
      <w:rPr>
        <w:b/>
        <w:color w:val="000000"/>
      </w:rPr>
      <w:fldChar w:fldCharType="end"/>
    </w:r>
  </w:p>
  <w:p w:rsidR="00E00D9A" w:rsidRDefault="00E00D9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D12" w:rsidRDefault="00215D12">
      <w:r>
        <w:separator/>
      </w:r>
    </w:p>
  </w:footnote>
  <w:footnote w:type="continuationSeparator" w:id="0">
    <w:p w:rsidR="00215D12" w:rsidRDefault="00215D12">
      <w:r>
        <w:continuationSeparator/>
      </w:r>
    </w:p>
  </w:footnote>
  <w:footnote w:id="1">
    <w:p w:rsidR="00E00D9A" w:rsidRDefault="0095732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E00D9A" w:rsidRDefault="0095732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E00D9A" w:rsidRDefault="0095732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E00D9A" w:rsidRDefault="0095732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D9A" w:rsidRDefault="00215D12">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D9A" w:rsidRDefault="00E00D9A">
    <w:pPr>
      <w:widowControl w:val="0"/>
      <w:pBdr>
        <w:top w:val="nil"/>
        <w:left w:val="nil"/>
        <w:bottom w:val="nil"/>
        <w:right w:val="nil"/>
        <w:between w:val="nil"/>
      </w:pBdr>
      <w:spacing w:line="276" w:lineRule="auto"/>
      <w:rPr>
        <w:color w:val="000000"/>
      </w:rPr>
    </w:pPr>
  </w:p>
  <w:tbl>
    <w:tblPr>
      <w:tblStyle w:val="a6"/>
      <w:tblW w:w="9214" w:type="dxa"/>
      <w:tblInd w:w="0" w:type="dxa"/>
      <w:tblLayout w:type="fixed"/>
      <w:tblLook w:val="0400" w:firstRow="0" w:lastRow="0" w:firstColumn="0" w:lastColumn="0" w:noHBand="0" w:noVBand="1"/>
    </w:tblPr>
    <w:tblGrid>
      <w:gridCol w:w="2268"/>
      <w:gridCol w:w="6946"/>
    </w:tblGrid>
    <w:tr w:rsidR="00E00D9A">
      <w:trPr>
        <w:trHeight w:val="1435"/>
      </w:trPr>
      <w:tc>
        <w:tcPr>
          <w:tcW w:w="2268" w:type="dxa"/>
          <w:shd w:val="clear" w:color="auto" w:fill="auto"/>
        </w:tcPr>
        <w:p w:rsidR="00E00D9A" w:rsidRDefault="00E00D9A">
          <w:pPr>
            <w:tabs>
              <w:tab w:val="right" w:pos="4273"/>
            </w:tabs>
            <w:rPr>
              <w:rFonts w:ascii="Garamond" w:eastAsia="Garamond" w:hAnsi="Garamond" w:cs="Garamond"/>
              <w:sz w:val="16"/>
              <w:szCs w:val="16"/>
            </w:rPr>
          </w:pPr>
        </w:p>
      </w:tc>
      <w:tc>
        <w:tcPr>
          <w:tcW w:w="6946" w:type="dxa"/>
          <w:shd w:val="clear" w:color="auto" w:fill="auto"/>
        </w:tcPr>
        <w:p w:rsidR="00E00D9A" w:rsidRDefault="00E00D9A"/>
        <w:tbl>
          <w:tblPr>
            <w:tblStyle w:val="a7"/>
            <w:tblW w:w="6662" w:type="dxa"/>
            <w:tblInd w:w="40" w:type="dxa"/>
            <w:tblLayout w:type="fixed"/>
            <w:tblLook w:val="0400" w:firstRow="0" w:lastRow="0" w:firstColumn="0" w:lastColumn="0" w:noHBand="0" w:noVBand="1"/>
          </w:tblPr>
          <w:tblGrid>
            <w:gridCol w:w="2551"/>
            <w:gridCol w:w="4111"/>
          </w:tblGrid>
          <w:tr w:rsidR="00E00D9A">
            <w:trPr>
              <w:trHeight w:val="150"/>
            </w:trPr>
            <w:tc>
              <w:tcPr>
                <w:tcW w:w="2551" w:type="dxa"/>
                <w:shd w:val="clear" w:color="auto" w:fill="auto"/>
              </w:tcPr>
              <w:p w:rsidR="00E00D9A" w:rsidRDefault="00957322">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tcPr>
              <w:p w:rsidR="00E00D9A" w:rsidRDefault="00957322">
                <w:pPr>
                  <w:tabs>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05313/INFOEM/IP/RR/2024</w:t>
                </w:r>
              </w:p>
            </w:tc>
          </w:tr>
          <w:tr w:rsidR="00E00D9A">
            <w:trPr>
              <w:trHeight w:val="295"/>
            </w:trPr>
            <w:tc>
              <w:tcPr>
                <w:tcW w:w="2551" w:type="dxa"/>
                <w:shd w:val="clear" w:color="auto" w:fill="auto"/>
              </w:tcPr>
              <w:p w:rsidR="00E00D9A" w:rsidRDefault="00957322">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tcPr>
              <w:p w:rsidR="00E00D9A" w:rsidRDefault="00957322">
                <w:pPr>
                  <w:tabs>
                    <w:tab w:val="left" w:pos="2834"/>
                    <w:tab w:val="right" w:pos="8838"/>
                  </w:tabs>
                  <w:ind w:left="-108" w:right="-102"/>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Ayuntamiento de San Mateo Atenco  </w:t>
                </w:r>
              </w:p>
            </w:tc>
          </w:tr>
          <w:tr w:rsidR="00E00D9A">
            <w:trPr>
              <w:trHeight w:val="295"/>
            </w:trPr>
            <w:tc>
              <w:tcPr>
                <w:tcW w:w="2551" w:type="dxa"/>
                <w:shd w:val="clear" w:color="auto" w:fill="auto"/>
              </w:tcPr>
              <w:p w:rsidR="00E00D9A" w:rsidRDefault="00957322">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tcPr>
              <w:p w:rsidR="00E00D9A" w:rsidRDefault="00957322">
                <w:pPr>
                  <w:tabs>
                    <w:tab w:val="right" w:pos="8838"/>
                  </w:tabs>
                  <w:ind w:left="-10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E00D9A" w:rsidRDefault="00E00D9A">
                <w:pPr>
                  <w:tabs>
                    <w:tab w:val="right" w:pos="8838"/>
                  </w:tabs>
                  <w:ind w:left="-108" w:right="171"/>
                  <w:jc w:val="both"/>
                  <w:rPr>
                    <w:rFonts w:ascii="Palatino Linotype" w:eastAsia="Palatino Linotype" w:hAnsi="Palatino Linotype" w:cs="Palatino Linotype"/>
                    <w:b/>
                    <w:sz w:val="22"/>
                    <w:szCs w:val="22"/>
                  </w:rPr>
                </w:pPr>
              </w:p>
            </w:tc>
          </w:tr>
        </w:tbl>
        <w:p w:rsidR="00E00D9A" w:rsidRDefault="00E00D9A">
          <w:pPr>
            <w:tabs>
              <w:tab w:val="right" w:pos="8838"/>
            </w:tabs>
            <w:ind w:left="-28"/>
            <w:jc w:val="both"/>
            <w:rPr>
              <w:rFonts w:ascii="Arial" w:eastAsia="Arial" w:hAnsi="Arial" w:cs="Arial"/>
              <w:b/>
              <w:sz w:val="22"/>
              <w:szCs w:val="22"/>
            </w:rPr>
          </w:pPr>
        </w:p>
      </w:tc>
    </w:tr>
  </w:tbl>
  <w:p w:rsidR="00E00D9A" w:rsidRDefault="00215D12">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D9A" w:rsidRDefault="00E00D9A">
    <w:pPr>
      <w:widowControl w:val="0"/>
      <w:pBdr>
        <w:top w:val="nil"/>
        <w:left w:val="nil"/>
        <w:bottom w:val="nil"/>
        <w:right w:val="nil"/>
        <w:between w:val="nil"/>
      </w:pBdr>
      <w:spacing w:line="276" w:lineRule="auto"/>
      <w:rPr>
        <w:color w:val="000000"/>
        <w:sz w:val="14"/>
        <w:szCs w:val="14"/>
      </w:rPr>
    </w:pPr>
  </w:p>
  <w:tbl>
    <w:tblPr>
      <w:tblStyle w:val="a8"/>
      <w:tblW w:w="9072" w:type="dxa"/>
      <w:tblInd w:w="0" w:type="dxa"/>
      <w:tblLayout w:type="fixed"/>
      <w:tblLook w:val="0400" w:firstRow="0" w:lastRow="0" w:firstColumn="0" w:lastColumn="0" w:noHBand="0" w:noVBand="1"/>
    </w:tblPr>
    <w:tblGrid>
      <w:gridCol w:w="2268"/>
      <w:gridCol w:w="6804"/>
    </w:tblGrid>
    <w:tr w:rsidR="00E00D9A">
      <w:trPr>
        <w:trHeight w:val="1435"/>
      </w:trPr>
      <w:tc>
        <w:tcPr>
          <w:tcW w:w="2268" w:type="dxa"/>
          <w:shd w:val="clear" w:color="auto" w:fill="auto"/>
        </w:tcPr>
        <w:p w:rsidR="00E00D9A" w:rsidRDefault="00E00D9A">
          <w:pPr>
            <w:tabs>
              <w:tab w:val="right" w:pos="4273"/>
            </w:tabs>
            <w:rPr>
              <w:rFonts w:ascii="Garamond" w:eastAsia="Garamond" w:hAnsi="Garamond" w:cs="Garamond"/>
              <w:sz w:val="22"/>
              <w:szCs w:val="22"/>
            </w:rPr>
          </w:pPr>
        </w:p>
      </w:tc>
      <w:tc>
        <w:tcPr>
          <w:tcW w:w="6804" w:type="dxa"/>
          <w:shd w:val="clear" w:color="auto" w:fill="auto"/>
        </w:tcPr>
        <w:p w:rsidR="00E00D9A" w:rsidRDefault="00E00D9A">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9"/>
            <w:tblW w:w="6662" w:type="dxa"/>
            <w:tblInd w:w="40" w:type="dxa"/>
            <w:tblLayout w:type="fixed"/>
            <w:tblLook w:val="0400" w:firstRow="0" w:lastRow="0" w:firstColumn="0" w:lastColumn="0" w:noHBand="0" w:noVBand="1"/>
          </w:tblPr>
          <w:tblGrid>
            <w:gridCol w:w="2444"/>
            <w:gridCol w:w="4218"/>
          </w:tblGrid>
          <w:tr w:rsidR="00E00D9A">
            <w:trPr>
              <w:trHeight w:val="144"/>
            </w:trPr>
            <w:tc>
              <w:tcPr>
                <w:tcW w:w="2444" w:type="dxa"/>
                <w:shd w:val="clear" w:color="auto" w:fill="auto"/>
              </w:tcPr>
              <w:p w:rsidR="00E00D9A" w:rsidRDefault="00957322">
                <w:pPr>
                  <w:tabs>
                    <w:tab w:val="right" w:pos="8838"/>
                  </w:tabs>
                  <w:ind w:left="-264" w:right="-105" w:firstLine="19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18" w:type="dxa"/>
                <w:shd w:val="clear" w:color="auto" w:fill="auto"/>
              </w:tcPr>
              <w:p w:rsidR="00E00D9A" w:rsidRDefault="00957322">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05313/INFOEM/IP/RR/2024</w:t>
                </w:r>
              </w:p>
            </w:tc>
          </w:tr>
          <w:tr w:rsidR="00E00D9A">
            <w:trPr>
              <w:trHeight w:val="144"/>
            </w:trPr>
            <w:tc>
              <w:tcPr>
                <w:tcW w:w="2444" w:type="dxa"/>
                <w:shd w:val="clear" w:color="auto" w:fill="auto"/>
              </w:tcPr>
              <w:p w:rsidR="00E00D9A" w:rsidRDefault="00957322">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18" w:type="dxa"/>
                <w:shd w:val="clear" w:color="auto" w:fill="auto"/>
              </w:tcPr>
              <w:p w:rsidR="00E00D9A" w:rsidRDefault="00CB36A5">
                <w:pPr>
                  <w:tabs>
                    <w:tab w:val="left" w:pos="3122"/>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XXXX XXXX XXXXX</w:t>
                </w:r>
              </w:p>
            </w:tc>
          </w:tr>
          <w:tr w:rsidR="00E00D9A">
            <w:trPr>
              <w:trHeight w:val="283"/>
            </w:trPr>
            <w:tc>
              <w:tcPr>
                <w:tcW w:w="2444" w:type="dxa"/>
                <w:shd w:val="clear" w:color="auto" w:fill="auto"/>
              </w:tcPr>
              <w:p w:rsidR="00E00D9A" w:rsidRDefault="00957322">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18" w:type="dxa"/>
                <w:shd w:val="clear" w:color="auto" w:fill="auto"/>
              </w:tcPr>
              <w:p w:rsidR="00E00D9A" w:rsidRDefault="00957322">
                <w:pPr>
                  <w:tabs>
                    <w:tab w:val="left" w:pos="2834"/>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Ayuntamiento de San Mateo Atenco </w:t>
                </w:r>
              </w:p>
            </w:tc>
          </w:tr>
          <w:tr w:rsidR="00E00D9A">
            <w:trPr>
              <w:trHeight w:val="283"/>
            </w:trPr>
            <w:tc>
              <w:tcPr>
                <w:tcW w:w="2444" w:type="dxa"/>
                <w:shd w:val="clear" w:color="auto" w:fill="auto"/>
              </w:tcPr>
              <w:p w:rsidR="00E00D9A" w:rsidRDefault="00957322">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18" w:type="dxa"/>
                <w:shd w:val="clear" w:color="auto" w:fill="auto"/>
              </w:tcPr>
              <w:p w:rsidR="00E00D9A" w:rsidRDefault="00957322">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E00D9A" w:rsidRDefault="00E00D9A">
                <w:pPr>
                  <w:tabs>
                    <w:tab w:val="right" w:pos="8838"/>
                  </w:tabs>
                  <w:ind w:left="-74" w:right="-105"/>
                  <w:jc w:val="both"/>
                  <w:rPr>
                    <w:rFonts w:ascii="Palatino Linotype" w:eastAsia="Palatino Linotype" w:hAnsi="Palatino Linotype" w:cs="Palatino Linotype"/>
                    <w:b/>
                    <w:sz w:val="22"/>
                    <w:szCs w:val="22"/>
                  </w:rPr>
                </w:pPr>
              </w:p>
            </w:tc>
          </w:tr>
        </w:tbl>
        <w:p w:rsidR="00E00D9A" w:rsidRDefault="00E00D9A">
          <w:pPr>
            <w:tabs>
              <w:tab w:val="right" w:pos="8838"/>
            </w:tabs>
            <w:ind w:left="-28"/>
            <w:jc w:val="both"/>
            <w:rPr>
              <w:rFonts w:ascii="Arial" w:eastAsia="Arial" w:hAnsi="Arial" w:cs="Arial"/>
              <w:b/>
              <w:sz w:val="22"/>
              <w:szCs w:val="22"/>
            </w:rPr>
          </w:pPr>
        </w:p>
      </w:tc>
    </w:tr>
  </w:tbl>
  <w:p w:rsidR="00E00D9A" w:rsidRDefault="00215D12">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03612"/>
    <w:multiLevelType w:val="multilevel"/>
    <w:tmpl w:val="0B669FF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04A97453"/>
    <w:multiLevelType w:val="multilevel"/>
    <w:tmpl w:val="EE469C4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E06C8D"/>
    <w:multiLevelType w:val="multilevel"/>
    <w:tmpl w:val="6C4AE802"/>
    <w:lvl w:ilvl="0">
      <w:start w:val="1"/>
      <w:numFmt w:val="decimal"/>
      <w:lvlText w:val="%1."/>
      <w:lvlJc w:val="left"/>
      <w:pPr>
        <w:ind w:left="360" w:hanging="360"/>
      </w:pPr>
      <w:rPr>
        <w:rFonts w:ascii="Palatino Linotype" w:eastAsia="Palatino Linotype" w:hAnsi="Palatino Linotype" w:cs="Palatino Linotype"/>
        <w:b/>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E50AC9"/>
    <w:multiLevelType w:val="multilevel"/>
    <w:tmpl w:val="F5845CD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F104F2"/>
    <w:multiLevelType w:val="multilevel"/>
    <w:tmpl w:val="CB96C5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C04371"/>
    <w:multiLevelType w:val="multilevel"/>
    <w:tmpl w:val="023AEAA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B17A75"/>
    <w:multiLevelType w:val="multilevel"/>
    <w:tmpl w:val="5D60B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6F0080"/>
    <w:multiLevelType w:val="multilevel"/>
    <w:tmpl w:val="AB36CA9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7583241"/>
    <w:multiLevelType w:val="multilevel"/>
    <w:tmpl w:val="244CF4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82F18E3"/>
    <w:multiLevelType w:val="multilevel"/>
    <w:tmpl w:val="F542895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
  </w:num>
  <w:num w:numId="3">
    <w:abstractNumId w:val="2"/>
  </w:num>
  <w:num w:numId="4">
    <w:abstractNumId w:val="3"/>
  </w:num>
  <w:num w:numId="5">
    <w:abstractNumId w:val="9"/>
  </w:num>
  <w:num w:numId="6">
    <w:abstractNumId w:val="6"/>
  </w:num>
  <w:num w:numId="7">
    <w:abstractNumId w:val="8"/>
  </w:num>
  <w:num w:numId="8">
    <w:abstractNumId w:val="0"/>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D9A"/>
    <w:rsid w:val="00141034"/>
    <w:rsid w:val="001B32CB"/>
    <w:rsid w:val="001C565D"/>
    <w:rsid w:val="00215D12"/>
    <w:rsid w:val="004F7A0F"/>
    <w:rsid w:val="0069510D"/>
    <w:rsid w:val="006F443D"/>
    <w:rsid w:val="00841650"/>
    <w:rsid w:val="00957322"/>
    <w:rsid w:val="00A531A1"/>
    <w:rsid w:val="00B04178"/>
    <w:rsid w:val="00B31CFB"/>
    <w:rsid w:val="00CB36A5"/>
    <w:rsid w:val="00CD0B1E"/>
    <w:rsid w:val="00D20145"/>
    <w:rsid w:val="00E00D9A"/>
    <w:rsid w:val="00E843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5616C5C-2B65-42C8-AAC5-57D447DC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718"/>
  </w:style>
  <w:style w:type="paragraph" w:styleId="Ttulo1">
    <w:name w:val="heading 1"/>
    <w:basedOn w:val="Normal"/>
    <w:next w:val="Normal"/>
    <w:link w:val="Ttulo1Car"/>
    <w:uiPriority w:val="9"/>
    <w:qFormat/>
    <w:rsid w:val="00E93F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E743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E93FC1"/>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E93FC1"/>
    <w:pPr>
      <w:tabs>
        <w:tab w:val="center" w:pos="4419"/>
        <w:tab w:val="right" w:pos="8838"/>
      </w:tabs>
    </w:pPr>
  </w:style>
  <w:style w:type="character" w:customStyle="1" w:styleId="EncabezadoCar">
    <w:name w:val="Encabezado Car"/>
    <w:basedOn w:val="Fuentedeprrafopredeter"/>
    <w:link w:val="Encabezado"/>
    <w:uiPriority w:val="99"/>
    <w:rsid w:val="00E93FC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E93FC1"/>
    <w:pPr>
      <w:tabs>
        <w:tab w:val="center" w:pos="4419"/>
        <w:tab w:val="right" w:pos="8838"/>
      </w:tabs>
    </w:pPr>
  </w:style>
  <w:style w:type="character" w:customStyle="1" w:styleId="PiedepginaCar">
    <w:name w:val="Pie de página Car"/>
    <w:basedOn w:val="Fuentedeprrafopredeter"/>
    <w:link w:val="Piedepgina"/>
    <w:uiPriority w:val="99"/>
    <w:rsid w:val="00E93FC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93FC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E93FC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E93FC1"/>
    <w:rPr>
      <w:color w:val="0563C1"/>
      <w:u w:val="single"/>
    </w:rPr>
  </w:style>
  <w:style w:type="paragraph" w:styleId="TDC1">
    <w:name w:val="toc 1"/>
    <w:basedOn w:val="Normal"/>
    <w:next w:val="Normal"/>
    <w:autoRedefine/>
    <w:uiPriority w:val="39"/>
    <w:unhideWhenUsed/>
    <w:rsid w:val="00E93FC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E93FC1"/>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93FC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E93FC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93FC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E93FC1"/>
    <w:rPr>
      <w:rFonts w:ascii="Times New Roman" w:eastAsia="Times New Roman" w:hAnsi="Times New Roman" w:cs="Times New Roman"/>
      <w:sz w:val="20"/>
      <w:szCs w:val="20"/>
      <w:lang w:val="es-MX" w:eastAsia="es-MX"/>
    </w:rPr>
  </w:style>
  <w:style w:type="paragraph" w:styleId="TtulodeTDC">
    <w:name w:val="TOC Heading"/>
    <w:basedOn w:val="Ttulo1"/>
    <w:next w:val="Normal"/>
    <w:uiPriority w:val="39"/>
    <w:semiHidden/>
    <w:unhideWhenUsed/>
    <w:qFormat/>
    <w:rsid w:val="00E93FC1"/>
    <w:pPr>
      <w:outlineLvl w:val="9"/>
    </w:pPr>
  </w:style>
  <w:style w:type="character" w:customStyle="1" w:styleId="apple-converted-space">
    <w:name w:val="apple-converted-space"/>
    <w:basedOn w:val="Fuentedeprrafopredeter"/>
    <w:qFormat/>
    <w:rsid w:val="00E93FC1"/>
  </w:style>
  <w:style w:type="table" w:styleId="Tablaconcuadrcula">
    <w:name w:val="Table Grid"/>
    <w:basedOn w:val="Tablanormal"/>
    <w:uiPriority w:val="39"/>
    <w:rsid w:val="00E93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
    <w:name w:val="Grid Table 6 Colorful"/>
    <w:basedOn w:val="Tablanormal"/>
    <w:uiPriority w:val="51"/>
    <w:rsid w:val="003F2E3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aliases w:val="Francesa,INAI"/>
    <w:link w:val="SinespaciadoCar"/>
    <w:uiPriority w:val="1"/>
    <w:qFormat/>
    <w:rsid w:val="007D567D"/>
  </w:style>
  <w:style w:type="paragraph" w:styleId="TDC3">
    <w:name w:val="toc 3"/>
    <w:basedOn w:val="Normal"/>
    <w:next w:val="Normal"/>
    <w:autoRedefine/>
    <w:uiPriority w:val="39"/>
    <w:unhideWhenUsed/>
    <w:rsid w:val="00730D0C"/>
    <w:pPr>
      <w:spacing w:after="100"/>
      <w:ind w:left="480"/>
    </w:pPr>
  </w:style>
  <w:style w:type="character" w:customStyle="1" w:styleId="Ttulo2Car">
    <w:name w:val="Título 2 Car"/>
    <w:basedOn w:val="Fuentedeprrafopredeter"/>
    <w:link w:val="Ttulo2"/>
    <w:uiPriority w:val="9"/>
    <w:rsid w:val="00EE743E"/>
    <w:rPr>
      <w:rFonts w:asciiTheme="majorHAnsi" w:eastAsiaTheme="majorEastAsia" w:hAnsiTheme="majorHAnsi" w:cstheme="majorBidi"/>
      <w:color w:val="2E74B5" w:themeColor="accent1" w:themeShade="BF"/>
      <w:sz w:val="26"/>
      <w:szCs w:val="26"/>
      <w:lang w:val="es-MX"/>
    </w:rPr>
  </w:style>
  <w:style w:type="table" w:customStyle="1" w:styleId="Tablaconcuadrcula1">
    <w:name w:val="Tabla con cuadrícula1"/>
    <w:basedOn w:val="Tablanormal"/>
    <w:next w:val="Tablaconcuadrcula"/>
    <w:uiPriority w:val="59"/>
    <w:rsid w:val="00C5684D"/>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E5D90"/>
    <w:rPr>
      <w:color w:val="605E5C"/>
      <w:shd w:val="clear" w:color="auto" w:fill="E1DFDD"/>
    </w:rPr>
  </w:style>
  <w:style w:type="character" w:styleId="Hipervnculovisitado">
    <w:name w:val="FollowedHyperlink"/>
    <w:basedOn w:val="Fuentedeprrafopredeter"/>
    <w:uiPriority w:val="99"/>
    <w:semiHidden/>
    <w:unhideWhenUsed/>
    <w:rsid w:val="00A95951"/>
    <w:rPr>
      <w:color w:val="954F72" w:themeColor="followedHyperlink"/>
      <w:u w:val="single"/>
    </w:rPr>
  </w:style>
  <w:style w:type="paragraph" w:customStyle="1" w:styleId="Default">
    <w:name w:val="Default"/>
    <w:rsid w:val="001D67DC"/>
    <w:pPr>
      <w:autoSpaceDE w:val="0"/>
      <w:autoSpaceDN w:val="0"/>
      <w:adjustRightInd w:val="0"/>
    </w:pPr>
    <w:rPr>
      <w:rFonts w:ascii="Palatino Linotype" w:hAnsi="Palatino Linotype" w:cs="Palatino Linotype"/>
      <w:color w:val="000000"/>
    </w:rPr>
  </w:style>
  <w:style w:type="character" w:customStyle="1" w:styleId="Mencinsinresolver2">
    <w:name w:val="Mención sin resolver2"/>
    <w:basedOn w:val="Fuentedeprrafopredeter"/>
    <w:uiPriority w:val="99"/>
    <w:semiHidden/>
    <w:unhideWhenUsed/>
    <w:rsid w:val="00C2564D"/>
    <w:rPr>
      <w:color w:val="605E5C"/>
      <w:shd w:val="clear" w:color="auto" w:fill="E1DFDD"/>
    </w:rPr>
  </w:style>
  <w:style w:type="paragraph" w:styleId="Textodeglobo">
    <w:name w:val="Balloon Text"/>
    <w:basedOn w:val="Normal"/>
    <w:link w:val="TextodegloboCar"/>
    <w:uiPriority w:val="99"/>
    <w:semiHidden/>
    <w:unhideWhenUsed/>
    <w:rsid w:val="00F00C14"/>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F00C14"/>
    <w:rPr>
      <w:rFonts w:ascii="Lucida Grande" w:eastAsiaTheme="minorEastAsia" w:hAnsi="Lucida Grande" w:cs="Lucida Grande"/>
      <w:sz w:val="18"/>
      <w:szCs w:val="18"/>
      <w:lang w:val="es-ES_tradnl" w:eastAsia="es-ES"/>
    </w:rPr>
  </w:style>
  <w:style w:type="table" w:customStyle="1" w:styleId="Tablanormal13">
    <w:name w:val="Tabla normal 13"/>
    <w:basedOn w:val="Tablanormal"/>
    <w:next w:val="Tablanormal1"/>
    <w:uiPriority w:val="41"/>
    <w:rsid w:val="009E638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9E63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rPr>
      <w:color w:val="000000"/>
    </w:rPr>
    <w:tblPr>
      <w:tblStyleRowBandSize w:val="1"/>
      <w:tblStyleColBandSize w:val="1"/>
      <w:tblCellMar>
        <w:left w:w="108" w:type="dxa"/>
        <w:right w:w="108" w:type="dxa"/>
      </w:tblCellMar>
    </w:tblPr>
  </w:style>
  <w:style w:type="table" w:customStyle="1" w:styleId="a0">
    <w:basedOn w:val="TableNormal0"/>
    <w:rPr>
      <w:color w:val="000000"/>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character" w:customStyle="1" w:styleId="SinespaciadoCar">
    <w:name w:val="Sin espaciado Car"/>
    <w:aliases w:val="Francesa Car,INAI Car"/>
    <w:link w:val="Sinespaciado"/>
    <w:uiPriority w:val="1"/>
    <w:locked/>
    <w:rsid w:val="00813FD8"/>
  </w:style>
  <w:style w:type="character" w:customStyle="1" w:styleId="Mencinsinresolver3">
    <w:name w:val="Mención sin resolver3"/>
    <w:basedOn w:val="Fuentedeprrafopredeter"/>
    <w:uiPriority w:val="99"/>
    <w:semiHidden/>
    <w:unhideWhenUsed/>
    <w:rsid w:val="00D54D5B"/>
    <w:rPr>
      <w:color w:val="605E5C"/>
      <w:shd w:val="clear" w:color="auto" w:fill="E1DFDD"/>
    </w:rPr>
  </w:style>
  <w:style w:type="paragraph" w:styleId="Sangradetextonormal">
    <w:name w:val="Body Text Indent"/>
    <w:basedOn w:val="Normal"/>
    <w:link w:val="SangradetextonormalCar"/>
    <w:uiPriority w:val="99"/>
    <w:unhideWhenUsed/>
    <w:rsid w:val="008456B3"/>
    <w:pPr>
      <w:spacing w:after="120"/>
      <w:ind w:left="283"/>
    </w:pPr>
  </w:style>
  <w:style w:type="character" w:customStyle="1" w:styleId="SangradetextonormalCar">
    <w:name w:val="Sangría de texto normal Car"/>
    <w:basedOn w:val="Fuentedeprrafopredeter"/>
    <w:link w:val="Sangradetextonormal"/>
    <w:uiPriority w:val="99"/>
    <w:rsid w:val="008456B3"/>
  </w:style>
  <w:style w:type="paragraph" w:styleId="Textoindependienteprimerasangra2">
    <w:name w:val="Body Text First Indent 2"/>
    <w:basedOn w:val="Sangradetextonormal"/>
    <w:link w:val="Textoindependienteprimerasangra2Car"/>
    <w:uiPriority w:val="99"/>
    <w:unhideWhenUsed/>
    <w:rsid w:val="008456B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456B3"/>
  </w:style>
  <w:style w:type="paragraph" w:customStyle="1" w:styleId="paragraph">
    <w:name w:val="paragraph"/>
    <w:basedOn w:val="Normal"/>
    <w:rsid w:val="000B3FDE"/>
    <w:pPr>
      <w:spacing w:before="100" w:beforeAutospacing="1" w:after="100" w:afterAutospacing="1"/>
    </w:p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rPr>
      <w:color w:val="000000"/>
    </w:rPr>
    <w:tblPr>
      <w:tblStyleRowBandSize w:val="1"/>
      <w:tblStyleColBandSize w:val="1"/>
      <w:tblCellMar>
        <w:left w:w="115" w:type="dxa"/>
        <w:right w:w="115" w:type="dxa"/>
      </w:tblCellMar>
    </w:tblPr>
  </w:style>
  <w:style w:type="table" w:customStyle="1" w:styleId="a7">
    <w:basedOn w:val="TableNormal0"/>
    <w:rPr>
      <w:color w:val="000000"/>
    </w:rPr>
    <w:tblPr>
      <w:tblStyleRowBandSize w:val="1"/>
      <w:tblStyleColBandSize w:val="1"/>
      <w:tblCellMar>
        <w:left w:w="115" w:type="dxa"/>
        <w:right w:w="115" w:type="dxa"/>
      </w:tblCellMar>
    </w:tblPr>
  </w:style>
  <w:style w:type="table" w:customStyle="1" w:styleId="a8">
    <w:basedOn w:val="TableNormal0"/>
    <w:rPr>
      <w:color w:val="000000"/>
    </w:rPr>
    <w:tblPr>
      <w:tblStyleRowBandSize w:val="1"/>
      <w:tblStyleColBandSize w:val="1"/>
      <w:tblCellMar>
        <w:left w:w="115" w:type="dxa"/>
        <w:right w:w="115" w:type="dxa"/>
      </w:tblCellMar>
    </w:tblPr>
  </w:style>
  <w:style w:type="table" w:customStyle="1" w:styleId="a9">
    <w:basedOn w:val="TableNormal0"/>
    <w:rPr>
      <w:color w:val="00000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b.mx/segob/renapo/acciones-y-programas/clave-unica-de-registro-de-poblacion-curp-142226"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8aGp9REK23NTivKgmTa2K8grg==">CgMxLjAyCGguZ2pkZ3hzMgloLjMwajB6bGwyCWguMWZvYjl0ZTIJaC4zem55c2g3MgloLjJldDkycDAyCGgudHlqY3d0MgloLjNkeTZ2a20yCWguNGQzNG9nODIJaC4yczhleW8xMghoLmxueGJ6OTIJaC4xdDNoNXNmMgloLjE3ZHA4dnUyDmguMnFxOXJrbG53dXcwMgloLjFrc3Y0dXYyCWguNDRzaW5pbzgAciExM1cwRVA2amhRUWpZSUNNakxTdEROY29obFdqcGFvR0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59</Pages>
  <Words>15007</Words>
  <Characters>82540</Characters>
  <Application>Microsoft Office Word</Application>
  <DocSecurity>0</DocSecurity>
  <Lines>687</Lines>
  <Paragraphs>194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97353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INFOEM403</cp:lastModifiedBy>
  <cp:revision>9</cp:revision>
  <cp:lastPrinted>2024-10-17T23:47:00Z</cp:lastPrinted>
  <dcterms:created xsi:type="dcterms:W3CDTF">2024-10-14T19:55:00Z</dcterms:created>
  <dcterms:modified xsi:type="dcterms:W3CDTF">2024-10-25T19:20:00Z</dcterms:modified>
</cp:coreProperties>
</file>