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170109" w:rsidRDefault="00AE3DA7" w:rsidP="00170109">
          <w:pPr>
            <w:pStyle w:val="TtulodeTDC"/>
            <w:spacing w:before="0" w:line="240" w:lineRule="auto"/>
            <w:rPr>
              <w:rFonts w:ascii="Palatino Linotype" w:hAnsi="Palatino Linotype"/>
              <w:color w:val="auto"/>
              <w:sz w:val="22"/>
              <w:szCs w:val="22"/>
              <w:lang w:val="es-ES"/>
            </w:rPr>
          </w:pPr>
          <w:r w:rsidRPr="00170109">
            <w:rPr>
              <w:rFonts w:ascii="Palatino Linotype" w:hAnsi="Palatino Linotype"/>
              <w:color w:val="auto"/>
              <w:sz w:val="22"/>
              <w:szCs w:val="22"/>
              <w:lang w:val="es-ES"/>
            </w:rPr>
            <w:t>Contenido</w:t>
          </w:r>
        </w:p>
        <w:p w14:paraId="3EB312A7" w14:textId="77777777" w:rsidR="00AA6EA9" w:rsidRPr="00170109" w:rsidRDefault="00AA6EA9" w:rsidP="00170109">
          <w:pPr>
            <w:spacing w:line="240" w:lineRule="auto"/>
            <w:rPr>
              <w:szCs w:val="22"/>
              <w:lang w:val="es-ES" w:eastAsia="es-MX"/>
            </w:rPr>
          </w:pPr>
        </w:p>
        <w:p w14:paraId="77355B0C" w14:textId="2882FA54" w:rsidR="00170109" w:rsidRPr="00170109" w:rsidRDefault="00AE3DA7" w:rsidP="00170109">
          <w:pPr>
            <w:pStyle w:val="TDC1"/>
            <w:tabs>
              <w:tab w:val="right" w:leader="dot" w:pos="9034"/>
            </w:tabs>
            <w:rPr>
              <w:rFonts w:asciiTheme="minorHAnsi" w:eastAsiaTheme="minorEastAsia" w:hAnsiTheme="minorHAnsi" w:cstheme="minorBidi"/>
              <w:noProof/>
              <w:szCs w:val="22"/>
              <w:lang w:eastAsia="es-MX"/>
            </w:rPr>
          </w:pPr>
          <w:r w:rsidRPr="00170109">
            <w:rPr>
              <w:szCs w:val="22"/>
            </w:rPr>
            <w:fldChar w:fldCharType="begin"/>
          </w:r>
          <w:r w:rsidRPr="00170109">
            <w:rPr>
              <w:szCs w:val="22"/>
            </w:rPr>
            <w:instrText xml:space="preserve"> TOC \o "1-3" \h \z \u </w:instrText>
          </w:r>
          <w:r w:rsidRPr="00170109">
            <w:rPr>
              <w:szCs w:val="22"/>
            </w:rPr>
            <w:fldChar w:fldCharType="separate"/>
          </w:r>
          <w:hyperlink w:anchor="_Toc179927159" w:history="1">
            <w:r w:rsidR="00170109" w:rsidRPr="00170109">
              <w:rPr>
                <w:rStyle w:val="Hipervnculo"/>
                <w:noProof/>
                <w:color w:val="auto"/>
              </w:rPr>
              <w:t>ANTECEDENTES</w:t>
            </w:r>
            <w:r w:rsidR="00170109" w:rsidRPr="00170109">
              <w:rPr>
                <w:noProof/>
                <w:webHidden/>
              </w:rPr>
              <w:tab/>
            </w:r>
            <w:r w:rsidR="00170109" w:rsidRPr="00170109">
              <w:rPr>
                <w:noProof/>
                <w:webHidden/>
              </w:rPr>
              <w:fldChar w:fldCharType="begin"/>
            </w:r>
            <w:r w:rsidR="00170109" w:rsidRPr="00170109">
              <w:rPr>
                <w:noProof/>
                <w:webHidden/>
              </w:rPr>
              <w:instrText xml:space="preserve"> PAGEREF _Toc179927159 \h </w:instrText>
            </w:r>
            <w:r w:rsidR="00170109" w:rsidRPr="00170109">
              <w:rPr>
                <w:noProof/>
                <w:webHidden/>
              </w:rPr>
            </w:r>
            <w:r w:rsidR="00170109" w:rsidRPr="00170109">
              <w:rPr>
                <w:noProof/>
                <w:webHidden/>
              </w:rPr>
              <w:fldChar w:fldCharType="separate"/>
            </w:r>
            <w:r w:rsidR="00B37DEF">
              <w:rPr>
                <w:noProof/>
                <w:webHidden/>
              </w:rPr>
              <w:t>1</w:t>
            </w:r>
            <w:r w:rsidR="00170109" w:rsidRPr="00170109">
              <w:rPr>
                <w:noProof/>
                <w:webHidden/>
              </w:rPr>
              <w:fldChar w:fldCharType="end"/>
            </w:r>
          </w:hyperlink>
        </w:p>
        <w:p w14:paraId="54F2D784" w14:textId="1A1B88AD" w:rsidR="00170109" w:rsidRPr="00170109" w:rsidRDefault="003F6439" w:rsidP="00170109">
          <w:pPr>
            <w:pStyle w:val="TDC2"/>
            <w:rPr>
              <w:rFonts w:asciiTheme="minorHAnsi" w:eastAsiaTheme="minorEastAsia" w:hAnsiTheme="minorHAnsi" w:cstheme="minorBidi"/>
              <w:noProof/>
              <w:szCs w:val="22"/>
              <w:lang w:eastAsia="es-MX"/>
            </w:rPr>
          </w:pPr>
          <w:hyperlink w:anchor="_Toc179927160" w:history="1">
            <w:r w:rsidR="00170109" w:rsidRPr="00170109">
              <w:rPr>
                <w:rStyle w:val="Hipervnculo"/>
                <w:noProof/>
                <w:color w:val="auto"/>
              </w:rPr>
              <w:t>DE LA SOLICITUD DE INFORMACIÓN</w:t>
            </w:r>
            <w:r w:rsidR="00170109" w:rsidRPr="00170109">
              <w:rPr>
                <w:noProof/>
                <w:webHidden/>
              </w:rPr>
              <w:tab/>
            </w:r>
            <w:r w:rsidR="00170109" w:rsidRPr="00170109">
              <w:rPr>
                <w:noProof/>
                <w:webHidden/>
              </w:rPr>
              <w:fldChar w:fldCharType="begin"/>
            </w:r>
            <w:r w:rsidR="00170109" w:rsidRPr="00170109">
              <w:rPr>
                <w:noProof/>
                <w:webHidden/>
              </w:rPr>
              <w:instrText xml:space="preserve"> PAGEREF _Toc179927160 \h </w:instrText>
            </w:r>
            <w:r w:rsidR="00170109" w:rsidRPr="00170109">
              <w:rPr>
                <w:noProof/>
                <w:webHidden/>
              </w:rPr>
            </w:r>
            <w:r w:rsidR="00170109" w:rsidRPr="00170109">
              <w:rPr>
                <w:noProof/>
                <w:webHidden/>
              </w:rPr>
              <w:fldChar w:fldCharType="separate"/>
            </w:r>
            <w:r w:rsidR="00B37DEF">
              <w:rPr>
                <w:noProof/>
                <w:webHidden/>
              </w:rPr>
              <w:t>1</w:t>
            </w:r>
            <w:r w:rsidR="00170109" w:rsidRPr="00170109">
              <w:rPr>
                <w:noProof/>
                <w:webHidden/>
              </w:rPr>
              <w:fldChar w:fldCharType="end"/>
            </w:r>
          </w:hyperlink>
        </w:p>
        <w:p w14:paraId="0342BC0C" w14:textId="08081E13" w:rsidR="00170109" w:rsidRPr="00170109" w:rsidRDefault="003F6439" w:rsidP="00170109">
          <w:pPr>
            <w:pStyle w:val="TDC3"/>
            <w:rPr>
              <w:rFonts w:asciiTheme="minorHAnsi" w:eastAsiaTheme="minorEastAsia" w:hAnsiTheme="minorHAnsi" w:cstheme="minorBidi"/>
              <w:noProof/>
              <w:szCs w:val="22"/>
              <w:lang w:eastAsia="es-MX"/>
            </w:rPr>
          </w:pPr>
          <w:hyperlink w:anchor="_Toc179927161" w:history="1">
            <w:r w:rsidR="00170109" w:rsidRPr="00170109">
              <w:rPr>
                <w:rStyle w:val="Hipervnculo"/>
                <w:noProof/>
                <w:color w:val="auto"/>
              </w:rPr>
              <w:t>a) Solicitud de información</w:t>
            </w:r>
            <w:r w:rsidR="00170109" w:rsidRPr="00170109">
              <w:rPr>
                <w:noProof/>
                <w:webHidden/>
              </w:rPr>
              <w:tab/>
            </w:r>
            <w:r w:rsidR="00170109" w:rsidRPr="00170109">
              <w:rPr>
                <w:noProof/>
                <w:webHidden/>
              </w:rPr>
              <w:fldChar w:fldCharType="begin"/>
            </w:r>
            <w:r w:rsidR="00170109" w:rsidRPr="00170109">
              <w:rPr>
                <w:noProof/>
                <w:webHidden/>
              </w:rPr>
              <w:instrText xml:space="preserve"> PAGEREF _Toc179927161 \h </w:instrText>
            </w:r>
            <w:r w:rsidR="00170109" w:rsidRPr="00170109">
              <w:rPr>
                <w:noProof/>
                <w:webHidden/>
              </w:rPr>
            </w:r>
            <w:r w:rsidR="00170109" w:rsidRPr="00170109">
              <w:rPr>
                <w:noProof/>
                <w:webHidden/>
              </w:rPr>
              <w:fldChar w:fldCharType="separate"/>
            </w:r>
            <w:r w:rsidR="00B37DEF">
              <w:rPr>
                <w:noProof/>
                <w:webHidden/>
              </w:rPr>
              <w:t>1</w:t>
            </w:r>
            <w:r w:rsidR="00170109" w:rsidRPr="00170109">
              <w:rPr>
                <w:noProof/>
                <w:webHidden/>
              </w:rPr>
              <w:fldChar w:fldCharType="end"/>
            </w:r>
          </w:hyperlink>
        </w:p>
        <w:p w14:paraId="3234CAB6" w14:textId="75A6EB3D" w:rsidR="00170109" w:rsidRPr="00170109" w:rsidRDefault="003F6439" w:rsidP="00170109">
          <w:pPr>
            <w:pStyle w:val="TDC3"/>
            <w:rPr>
              <w:rFonts w:asciiTheme="minorHAnsi" w:eastAsiaTheme="minorEastAsia" w:hAnsiTheme="minorHAnsi" w:cstheme="minorBidi"/>
              <w:noProof/>
              <w:szCs w:val="22"/>
              <w:lang w:eastAsia="es-MX"/>
            </w:rPr>
          </w:pPr>
          <w:hyperlink w:anchor="_Toc179927162" w:history="1">
            <w:r w:rsidR="00170109" w:rsidRPr="00170109">
              <w:rPr>
                <w:rStyle w:val="Hipervnculo"/>
                <w:noProof/>
                <w:color w:val="auto"/>
              </w:rPr>
              <w:t xml:space="preserve">b) </w:t>
            </w:r>
            <w:r w:rsidR="00170109" w:rsidRPr="00170109">
              <w:rPr>
                <w:rStyle w:val="Hipervnculo"/>
                <w:bCs/>
                <w:noProof/>
                <w:color w:val="auto"/>
              </w:rPr>
              <w:t>Turno de la solicitud de información</w:t>
            </w:r>
            <w:r w:rsidR="00170109" w:rsidRPr="00170109">
              <w:rPr>
                <w:noProof/>
                <w:webHidden/>
              </w:rPr>
              <w:tab/>
            </w:r>
            <w:r w:rsidR="00170109" w:rsidRPr="00170109">
              <w:rPr>
                <w:noProof/>
                <w:webHidden/>
              </w:rPr>
              <w:fldChar w:fldCharType="begin"/>
            </w:r>
            <w:r w:rsidR="00170109" w:rsidRPr="00170109">
              <w:rPr>
                <w:noProof/>
                <w:webHidden/>
              </w:rPr>
              <w:instrText xml:space="preserve"> PAGEREF _Toc179927162 \h </w:instrText>
            </w:r>
            <w:r w:rsidR="00170109" w:rsidRPr="00170109">
              <w:rPr>
                <w:noProof/>
                <w:webHidden/>
              </w:rPr>
            </w:r>
            <w:r w:rsidR="00170109" w:rsidRPr="00170109">
              <w:rPr>
                <w:noProof/>
                <w:webHidden/>
              </w:rPr>
              <w:fldChar w:fldCharType="separate"/>
            </w:r>
            <w:r w:rsidR="00B37DEF">
              <w:rPr>
                <w:noProof/>
                <w:webHidden/>
              </w:rPr>
              <w:t>2</w:t>
            </w:r>
            <w:r w:rsidR="00170109" w:rsidRPr="00170109">
              <w:rPr>
                <w:noProof/>
                <w:webHidden/>
              </w:rPr>
              <w:fldChar w:fldCharType="end"/>
            </w:r>
          </w:hyperlink>
        </w:p>
        <w:p w14:paraId="2E51845C" w14:textId="6A3170CA" w:rsidR="00170109" w:rsidRPr="00170109" w:rsidRDefault="003F6439" w:rsidP="00170109">
          <w:pPr>
            <w:pStyle w:val="TDC3"/>
            <w:rPr>
              <w:rFonts w:asciiTheme="minorHAnsi" w:eastAsiaTheme="minorEastAsia" w:hAnsiTheme="minorHAnsi" w:cstheme="minorBidi"/>
              <w:noProof/>
              <w:szCs w:val="22"/>
              <w:lang w:eastAsia="es-MX"/>
            </w:rPr>
          </w:pPr>
          <w:hyperlink w:anchor="_Toc179927163" w:history="1">
            <w:r w:rsidR="00170109" w:rsidRPr="00170109">
              <w:rPr>
                <w:rStyle w:val="Hipervnculo"/>
                <w:noProof/>
                <w:color w:val="auto"/>
                <w:lang w:val="es-ES"/>
              </w:rPr>
              <w:t xml:space="preserve">c) Respuesta </w:t>
            </w:r>
            <w:r w:rsidR="00170109" w:rsidRPr="00170109">
              <w:rPr>
                <w:rStyle w:val="Hipervnculo"/>
                <w:rFonts w:eastAsia="Calibri"/>
                <w:noProof/>
                <w:color w:val="auto"/>
                <w:lang w:eastAsia="en-US"/>
              </w:rPr>
              <w:t>del Sujeto Obligado</w:t>
            </w:r>
            <w:r w:rsidR="00170109" w:rsidRPr="00170109">
              <w:rPr>
                <w:noProof/>
                <w:webHidden/>
              </w:rPr>
              <w:tab/>
            </w:r>
            <w:r w:rsidR="00170109" w:rsidRPr="00170109">
              <w:rPr>
                <w:noProof/>
                <w:webHidden/>
              </w:rPr>
              <w:fldChar w:fldCharType="begin"/>
            </w:r>
            <w:r w:rsidR="00170109" w:rsidRPr="00170109">
              <w:rPr>
                <w:noProof/>
                <w:webHidden/>
              </w:rPr>
              <w:instrText xml:space="preserve"> PAGEREF _Toc179927163 \h </w:instrText>
            </w:r>
            <w:r w:rsidR="00170109" w:rsidRPr="00170109">
              <w:rPr>
                <w:noProof/>
                <w:webHidden/>
              </w:rPr>
            </w:r>
            <w:r w:rsidR="00170109" w:rsidRPr="00170109">
              <w:rPr>
                <w:noProof/>
                <w:webHidden/>
              </w:rPr>
              <w:fldChar w:fldCharType="separate"/>
            </w:r>
            <w:r w:rsidR="00B37DEF">
              <w:rPr>
                <w:noProof/>
                <w:webHidden/>
              </w:rPr>
              <w:t>2</w:t>
            </w:r>
            <w:r w:rsidR="00170109" w:rsidRPr="00170109">
              <w:rPr>
                <w:noProof/>
                <w:webHidden/>
              </w:rPr>
              <w:fldChar w:fldCharType="end"/>
            </w:r>
          </w:hyperlink>
        </w:p>
        <w:p w14:paraId="084F788B" w14:textId="166D1777" w:rsidR="00170109" w:rsidRPr="00170109" w:rsidRDefault="003F6439" w:rsidP="00170109">
          <w:pPr>
            <w:pStyle w:val="TDC2"/>
            <w:rPr>
              <w:rFonts w:asciiTheme="minorHAnsi" w:eastAsiaTheme="minorEastAsia" w:hAnsiTheme="minorHAnsi" w:cstheme="minorBidi"/>
              <w:noProof/>
              <w:szCs w:val="22"/>
              <w:lang w:eastAsia="es-MX"/>
            </w:rPr>
          </w:pPr>
          <w:hyperlink w:anchor="_Toc179927164" w:history="1">
            <w:r w:rsidR="00170109" w:rsidRPr="00170109">
              <w:rPr>
                <w:rStyle w:val="Hipervnculo"/>
                <w:noProof/>
                <w:color w:val="auto"/>
              </w:rPr>
              <w:t>DEL RECURSO DE REVISIÓN</w:t>
            </w:r>
            <w:r w:rsidR="00170109" w:rsidRPr="00170109">
              <w:rPr>
                <w:noProof/>
                <w:webHidden/>
              </w:rPr>
              <w:tab/>
            </w:r>
            <w:r w:rsidR="00170109" w:rsidRPr="00170109">
              <w:rPr>
                <w:noProof/>
                <w:webHidden/>
              </w:rPr>
              <w:fldChar w:fldCharType="begin"/>
            </w:r>
            <w:r w:rsidR="00170109" w:rsidRPr="00170109">
              <w:rPr>
                <w:noProof/>
                <w:webHidden/>
              </w:rPr>
              <w:instrText xml:space="preserve"> PAGEREF _Toc179927164 \h </w:instrText>
            </w:r>
            <w:r w:rsidR="00170109" w:rsidRPr="00170109">
              <w:rPr>
                <w:noProof/>
                <w:webHidden/>
              </w:rPr>
            </w:r>
            <w:r w:rsidR="00170109" w:rsidRPr="00170109">
              <w:rPr>
                <w:noProof/>
                <w:webHidden/>
              </w:rPr>
              <w:fldChar w:fldCharType="separate"/>
            </w:r>
            <w:r w:rsidR="00B37DEF">
              <w:rPr>
                <w:noProof/>
                <w:webHidden/>
              </w:rPr>
              <w:t>4</w:t>
            </w:r>
            <w:r w:rsidR="00170109" w:rsidRPr="00170109">
              <w:rPr>
                <w:noProof/>
                <w:webHidden/>
              </w:rPr>
              <w:fldChar w:fldCharType="end"/>
            </w:r>
          </w:hyperlink>
        </w:p>
        <w:p w14:paraId="6BD02C08" w14:textId="5F140D32" w:rsidR="00170109" w:rsidRPr="00170109" w:rsidRDefault="003F6439" w:rsidP="00170109">
          <w:pPr>
            <w:pStyle w:val="TDC3"/>
            <w:rPr>
              <w:rFonts w:asciiTheme="minorHAnsi" w:eastAsiaTheme="minorEastAsia" w:hAnsiTheme="minorHAnsi" w:cstheme="minorBidi"/>
              <w:noProof/>
              <w:szCs w:val="22"/>
              <w:lang w:eastAsia="es-MX"/>
            </w:rPr>
          </w:pPr>
          <w:hyperlink w:anchor="_Toc179927165" w:history="1">
            <w:r w:rsidR="00170109" w:rsidRPr="00170109">
              <w:rPr>
                <w:rStyle w:val="Hipervnculo"/>
                <w:noProof/>
                <w:color w:val="auto"/>
              </w:rPr>
              <w:t>a) Interposición del Recurso de Revisión</w:t>
            </w:r>
            <w:r w:rsidR="00170109" w:rsidRPr="00170109">
              <w:rPr>
                <w:noProof/>
                <w:webHidden/>
              </w:rPr>
              <w:tab/>
            </w:r>
            <w:r w:rsidR="00170109" w:rsidRPr="00170109">
              <w:rPr>
                <w:noProof/>
                <w:webHidden/>
              </w:rPr>
              <w:fldChar w:fldCharType="begin"/>
            </w:r>
            <w:r w:rsidR="00170109" w:rsidRPr="00170109">
              <w:rPr>
                <w:noProof/>
                <w:webHidden/>
              </w:rPr>
              <w:instrText xml:space="preserve"> PAGEREF _Toc179927165 \h </w:instrText>
            </w:r>
            <w:r w:rsidR="00170109" w:rsidRPr="00170109">
              <w:rPr>
                <w:noProof/>
                <w:webHidden/>
              </w:rPr>
            </w:r>
            <w:r w:rsidR="00170109" w:rsidRPr="00170109">
              <w:rPr>
                <w:noProof/>
                <w:webHidden/>
              </w:rPr>
              <w:fldChar w:fldCharType="separate"/>
            </w:r>
            <w:r w:rsidR="00B37DEF">
              <w:rPr>
                <w:noProof/>
                <w:webHidden/>
              </w:rPr>
              <w:t>4</w:t>
            </w:r>
            <w:r w:rsidR="00170109" w:rsidRPr="00170109">
              <w:rPr>
                <w:noProof/>
                <w:webHidden/>
              </w:rPr>
              <w:fldChar w:fldCharType="end"/>
            </w:r>
          </w:hyperlink>
        </w:p>
        <w:p w14:paraId="2C36304F" w14:textId="7942C4DF" w:rsidR="00170109" w:rsidRPr="00170109" w:rsidRDefault="003F6439" w:rsidP="00170109">
          <w:pPr>
            <w:pStyle w:val="TDC3"/>
            <w:rPr>
              <w:rFonts w:asciiTheme="minorHAnsi" w:eastAsiaTheme="minorEastAsia" w:hAnsiTheme="minorHAnsi" w:cstheme="minorBidi"/>
              <w:noProof/>
              <w:szCs w:val="22"/>
              <w:lang w:eastAsia="es-MX"/>
            </w:rPr>
          </w:pPr>
          <w:hyperlink w:anchor="_Toc179927166" w:history="1">
            <w:r w:rsidR="00170109" w:rsidRPr="00170109">
              <w:rPr>
                <w:rStyle w:val="Hipervnculo"/>
                <w:noProof/>
                <w:color w:val="auto"/>
              </w:rPr>
              <w:t>b) Turno del Recurso de Revisión</w:t>
            </w:r>
            <w:r w:rsidR="00170109" w:rsidRPr="00170109">
              <w:rPr>
                <w:noProof/>
                <w:webHidden/>
              </w:rPr>
              <w:tab/>
            </w:r>
            <w:r w:rsidR="00170109" w:rsidRPr="00170109">
              <w:rPr>
                <w:noProof/>
                <w:webHidden/>
              </w:rPr>
              <w:fldChar w:fldCharType="begin"/>
            </w:r>
            <w:r w:rsidR="00170109" w:rsidRPr="00170109">
              <w:rPr>
                <w:noProof/>
                <w:webHidden/>
              </w:rPr>
              <w:instrText xml:space="preserve"> PAGEREF _Toc179927166 \h </w:instrText>
            </w:r>
            <w:r w:rsidR="00170109" w:rsidRPr="00170109">
              <w:rPr>
                <w:noProof/>
                <w:webHidden/>
              </w:rPr>
            </w:r>
            <w:r w:rsidR="00170109" w:rsidRPr="00170109">
              <w:rPr>
                <w:noProof/>
                <w:webHidden/>
              </w:rPr>
              <w:fldChar w:fldCharType="separate"/>
            </w:r>
            <w:r w:rsidR="00B37DEF">
              <w:rPr>
                <w:noProof/>
                <w:webHidden/>
              </w:rPr>
              <w:t>4</w:t>
            </w:r>
            <w:r w:rsidR="00170109" w:rsidRPr="00170109">
              <w:rPr>
                <w:noProof/>
                <w:webHidden/>
              </w:rPr>
              <w:fldChar w:fldCharType="end"/>
            </w:r>
          </w:hyperlink>
        </w:p>
        <w:p w14:paraId="35E814DA" w14:textId="6C0F86B5" w:rsidR="00170109" w:rsidRPr="00170109" w:rsidRDefault="003F6439" w:rsidP="00170109">
          <w:pPr>
            <w:pStyle w:val="TDC3"/>
            <w:rPr>
              <w:rFonts w:asciiTheme="minorHAnsi" w:eastAsiaTheme="minorEastAsia" w:hAnsiTheme="minorHAnsi" w:cstheme="minorBidi"/>
              <w:noProof/>
              <w:szCs w:val="22"/>
              <w:lang w:eastAsia="es-MX"/>
            </w:rPr>
          </w:pPr>
          <w:hyperlink w:anchor="_Toc179927167" w:history="1">
            <w:r w:rsidR="00170109" w:rsidRPr="00170109">
              <w:rPr>
                <w:rStyle w:val="Hipervnculo"/>
                <w:noProof/>
                <w:color w:val="auto"/>
              </w:rPr>
              <w:t>c) Admisión del Recurso de Revisión</w:t>
            </w:r>
            <w:r w:rsidR="00170109" w:rsidRPr="00170109">
              <w:rPr>
                <w:noProof/>
                <w:webHidden/>
              </w:rPr>
              <w:tab/>
            </w:r>
            <w:r w:rsidR="00170109" w:rsidRPr="00170109">
              <w:rPr>
                <w:noProof/>
                <w:webHidden/>
              </w:rPr>
              <w:fldChar w:fldCharType="begin"/>
            </w:r>
            <w:r w:rsidR="00170109" w:rsidRPr="00170109">
              <w:rPr>
                <w:noProof/>
                <w:webHidden/>
              </w:rPr>
              <w:instrText xml:space="preserve"> PAGEREF _Toc179927167 \h </w:instrText>
            </w:r>
            <w:r w:rsidR="00170109" w:rsidRPr="00170109">
              <w:rPr>
                <w:noProof/>
                <w:webHidden/>
              </w:rPr>
            </w:r>
            <w:r w:rsidR="00170109" w:rsidRPr="00170109">
              <w:rPr>
                <w:noProof/>
                <w:webHidden/>
              </w:rPr>
              <w:fldChar w:fldCharType="separate"/>
            </w:r>
            <w:r w:rsidR="00B37DEF">
              <w:rPr>
                <w:noProof/>
                <w:webHidden/>
              </w:rPr>
              <w:t>4</w:t>
            </w:r>
            <w:r w:rsidR="00170109" w:rsidRPr="00170109">
              <w:rPr>
                <w:noProof/>
                <w:webHidden/>
              </w:rPr>
              <w:fldChar w:fldCharType="end"/>
            </w:r>
          </w:hyperlink>
        </w:p>
        <w:p w14:paraId="2374B3FB" w14:textId="58C3A034" w:rsidR="00170109" w:rsidRPr="00170109" w:rsidRDefault="003F6439" w:rsidP="00170109">
          <w:pPr>
            <w:pStyle w:val="TDC3"/>
            <w:rPr>
              <w:rFonts w:asciiTheme="minorHAnsi" w:eastAsiaTheme="minorEastAsia" w:hAnsiTheme="minorHAnsi" w:cstheme="minorBidi"/>
              <w:noProof/>
              <w:szCs w:val="22"/>
              <w:lang w:eastAsia="es-MX"/>
            </w:rPr>
          </w:pPr>
          <w:hyperlink w:anchor="_Toc179927168" w:history="1">
            <w:r w:rsidR="00170109" w:rsidRPr="00170109">
              <w:rPr>
                <w:rStyle w:val="Hipervnculo"/>
                <w:noProof/>
                <w:color w:val="auto"/>
              </w:rPr>
              <w:t>d) Informe Justificado del Sujeto Obligado</w:t>
            </w:r>
            <w:r w:rsidR="00170109" w:rsidRPr="00170109">
              <w:rPr>
                <w:noProof/>
                <w:webHidden/>
              </w:rPr>
              <w:tab/>
            </w:r>
            <w:r w:rsidR="00170109" w:rsidRPr="00170109">
              <w:rPr>
                <w:noProof/>
                <w:webHidden/>
              </w:rPr>
              <w:fldChar w:fldCharType="begin"/>
            </w:r>
            <w:r w:rsidR="00170109" w:rsidRPr="00170109">
              <w:rPr>
                <w:noProof/>
                <w:webHidden/>
              </w:rPr>
              <w:instrText xml:space="preserve"> PAGEREF _Toc179927168 \h </w:instrText>
            </w:r>
            <w:r w:rsidR="00170109" w:rsidRPr="00170109">
              <w:rPr>
                <w:noProof/>
                <w:webHidden/>
              </w:rPr>
            </w:r>
            <w:r w:rsidR="00170109" w:rsidRPr="00170109">
              <w:rPr>
                <w:noProof/>
                <w:webHidden/>
              </w:rPr>
              <w:fldChar w:fldCharType="separate"/>
            </w:r>
            <w:r w:rsidR="00B37DEF">
              <w:rPr>
                <w:noProof/>
                <w:webHidden/>
              </w:rPr>
              <w:t>5</w:t>
            </w:r>
            <w:r w:rsidR="00170109" w:rsidRPr="00170109">
              <w:rPr>
                <w:noProof/>
                <w:webHidden/>
              </w:rPr>
              <w:fldChar w:fldCharType="end"/>
            </w:r>
          </w:hyperlink>
        </w:p>
        <w:p w14:paraId="4F297448" w14:textId="69CC1B38" w:rsidR="00170109" w:rsidRPr="00170109" w:rsidRDefault="003F6439" w:rsidP="00170109">
          <w:pPr>
            <w:pStyle w:val="TDC3"/>
            <w:rPr>
              <w:rFonts w:asciiTheme="minorHAnsi" w:eastAsiaTheme="minorEastAsia" w:hAnsiTheme="minorHAnsi" w:cstheme="minorBidi"/>
              <w:noProof/>
              <w:szCs w:val="22"/>
              <w:lang w:eastAsia="es-MX"/>
            </w:rPr>
          </w:pPr>
          <w:hyperlink w:anchor="_Toc179927169" w:history="1">
            <w:r w:rsidR="00170109" w:rsidRPr="00170109">
              <w:rPr>
                <w:rStyle w:val="Hipervnculo"/>
                <w:rFonts w:eastAsia="Calibri"/>
                <w:bCs/>
                <w:noProof/>
                <w:color w:val="auto"/>
                <w:lang w:eastAsia="en-US"/>
              </w:rPr>
              <w:t>e)</w:t>
            </w:r>
            <w:r w:rsidR="00170109" w:rsidRPr="00170109">
              <w:rPr>
                <w:rStyle w:val="Hipervnculo"/>
                <w:noProof/>
                <w:color w:val="auto"/>
              </w:rPr>
              <w:t xml:space="preserve"> </w:t>
            </w:r>
            <w:r w:rsidR="00170109" w:rsidRPr="00170109">
              <w:rPr>
                <w:rStyle w:val="Hipervnculo"/>
                <w:noProof/>
                <w:color w:val="auto"/>
                <w:lang w:val="es-ES"/>
              </w:rPr>
              <w:t>Manifestaciones de la Parte Recurrente</w:t>
            </w:r>
            <w:r w:rsidR="00170109" w:rsidRPr="00170109">
              <w:rPr>
                <w:noProof/>
                <w:webHidden/>
              </w:rPr>
              <w:tab/>
            </w:r>
            <w:r w:rsidR="00170109" w:rsidRPr="00170109">
              <w:rPr>
                <w:noProof/>
                <w:webHidden/>
              </w:rPr>
              <w:fldChar w:fldCharType="begin"/>
            </w:r>
            <w:r w:rsidR="00170109" w:rsidRPr="00170109">
              <w:rPr>
                <w:noProof/>
                <w:webHidden/>
              </w:rPr>
              <w:instrText xml:space="preserve"> PAGEREF _Toc179927169 \h </w:instrText>
            </w:r>
            <w:r w:rsidR="00170109" w:rsidRPr="00170109">
              <w:rPr>
                <w:noProof/>
                <w:webHidden/>
              </w:rPr>
            </w:r>
            <w:r w:rsidR="00170109" w:rsidRPr="00170109">
              <w:rPr>
                <w:noProof/>
                <w:webHidden/>
              </w:rPr>
              <w:fldChar w:fldCharType="separate"/>
            </w:r>
            <w:r w:rsidR="00B37DEF">
              <w:rPr>
                <w:noProof/>
                <w:webHidden/>
              </w:rPr>
              <w:t>8</w:t>
            </w:r>
            <w:r w:rsidR="00170109" w:rsidRPr="00170109">
              <w:rPr>
                <w:noProof/>
                <w:webHidden/>
              </w:rPr>
              <w:fldChar w:fldCharType="end"/>
            </w:r>
          </w:hyperlink>
        </w:p>
        <w:p w14:paraId="045ECEAB" w14:textId="78C3F711" w:rsidR="00170109" w:rsidRPr="00170109" w:rsidRDefault="003F6439" w:rsidP="00170109">
          <w:pPr>
            <w:pStyle w:val="TDC3"/>
            <w:rPr>
              <w:rFonts w:asciiTheme="minorHAnsi" w:eastAsiaTheme="minorEastAsia" w:hAnsiTheme="minorHAnsi" w:cstheme="minorBidi"/>
              <w:noProof/>
              <w:szCs w:val="22"/>
              <w:lang w:eastAsia="es-MX"/>
            </w:rPr>
          </w:pPr>
          <w:hyperlink w:anchor="_Toc179927170" w:history="1">
            <w:r w:rsidR="00170109" w:rsidRPr="00170109">
              <w:rPr>
                <w:rStyle w:val="Hipervnculo"/>
                <w:rFonts w:eastAsia="Calibri"/>
                <w:noProof/>
                <w:color w:val="auto"/>
              </w:rPr>
              <w:t xml:space="preserve">f) </w:t>
            </w:r>
            <w:r w:rsidR="00170109" w:rsidRPr="00170109">
              <w:rPr>
                <w:rStyle w:val="Hipervnculo"/>
                <w:noProof/>
                <w:color w:val="auto"/>
              </w:rPr>
              <w:t>Cierre de instrucción</w:t>
            </w:r>
            <w:r w:rsidR="00170109" w:rsidRPr="00170109">
              <w:rPr>
                <w:noProof/>
                <w:webHidden/>
              </w:rPr>
              <w:tab/>
            </w:r>
            <w:r w:rsidR="00170109" w:rsidRPr="00170109">
              <w:rPr>
                <w:noProof/>
                <w:webHidden/>
              </w:rPr>
              <w:fldChar w:fldCharType="begin"/>
            </w:r>
            <w:r w:rsidR="00170109" w:rsidRPr="00170109">
              <w:rPr>
                <w:noProof/>
                <w:webHidden/>
              </w:rPr>
              <w:instrText xml:space="preserve"> PAGEREF _Toc179927170 \h </w:instrText>
            </w:r>
            <w:r w:rsidR="00170109" w:rsidRPr="00170109">
              <w:rPr>
                <w:noProof/>
                <w:webHidden/>
              </w:rPr>
            </w:r>
            <w:r w:rsidR="00170109" w:rsidRPr="00170109">
              <w:rPr>
                <w:noProof/>
                <w:webHidden/>
              </w:rPr>
              <w:fldChar w:fldCharType="separate"/>
            </w:r>
            <w:r w:rsidR="00B37DEF">
              <w:rPr>
                <w:noProof/>
                <w:webHidden/>
              </w:rPr>
              <w:t>8</w:t>
            </w:r>
            <w:r w:rsidR="00170109" w:rsidRPr="00170109">
              <w:rPr>
                <w:noProof/>
                <w:webHidden/>
              </w:rPr>
              <w:fldChar w:fldCharType="end"/>
            </w:r>
          </w:hyperlink>
        </w:p>
        <w:p w14:paraId="442B27CC" w14:textId="08E0518D" w:rsidR="00170109" w:rsidRPr="00170109" w:rsidRDefault="003F6439" w:rsidP="00170109">
          <w:pPr>
            <w:pStyle w:val="TDC1"/>
            <w:tabs>
              <w:tab w:val="right" w:leader="dot" w:pos="9034"/>
            </w:tabs>
            <w:rPr>
              <w:rFonts w:asciiTheme="minorHAnsi" w:eastAsiaTheme="minorEastAsia" w:hAnsiTheme="minorHAnsi" w:cstheme="minorBidi"/>
              <w:noProof/>
              <w:szCs w:val="22"/>
              <w:lang w:eastAsia="es-MX"/>
            </w:rPr>
          </w:pPr>
          <w:hyperlink w:anchor="_Toc179927171" w:history="1">
            <w:r w:rsidR="00170109" w:rsidRPr="00170109">
              <w:rPr>
                <w:rStyle w:val="Hipervnculo"/>
                <w:rFonts w:eastAsiaTheme="minorHAnsi"/>
                <w:noProof/>
                <w:color w:val="auto"/>
                <w:lang w:eastAsia="en-US"/>
              </w:rPr>
              <w:t>CONSIDERANDOS</w:t>
            </w:r>
            <w:r w:rsidR="00170109" w:rsidRPr="00170109">
              <w:rPr>
                <w:noProof/>
                <w:webHidden/>
              </w:rPr>
              <w:tab/>
            </w:r>
            <w:r w:rsidR="00170109" w:rsidRPr="00170109">
              <w:rPr>
                <w:noProof/>
                <w:webHidden/>
              </w:rPr>
              <w:fldChar w:fldCharType="begin"/>
            </w:r>
            <w:r w:rsidR="00170109" w:rsidRPr="00170109">
              <w:rPr>
                <w:noProof/>
                <w:webHidden/>
              </w:rPr>
              <w:instrText xml:space="preserve"> PAGEREF _Toc179927171 \h </w:instrText>
            </w:r>
            <w:r w:rsidR="00170109" w:rsidRPr="00170109">
              <w:rPr>
                <w:noProof/>
                <w:webHidden/>
              </w:rPr>
            </w:r>
            <w:r w:rsidR="00170109" w:rsidRPr="00170109">
              <w:rPr>
                <w:noProof/>
                <w:webHidden/>
              </w:rPr>
              <w:fldChar w:fldCharType="separate"/>
            </w:r>
            <w:r w:rsidR="00B37DEF">
              <w:rPr>
                <w:noProof/>
                <w:webHidden/>
              </w:rPr>
              <w:t>8</w:t>
            </w:r>
            <w:r w:rsidR="00170109" w:rsidRPr="00170109">
              <w:rPr>
                <w:noProof/>
                <w:webHidden/>
              </w:rPr>
              <w:fldChar w:fldCharType="end"/>
            </w:r>
          </w:hyperlink>
        </w:p>
        <w:p w14:paraId="46A2A75C" w14:textId="12FE648C" w:rsidR="00170109" w:rsidRPr="00170109" w:rsidRDefault="003F6439" w:rsidP="00170109">
          <w:pPr>
            <w:pStyle w:val="TDC2"/>
            <w:rPr>
              <w:rFonts w:asciiTheme="minorHAnsi" w:eastAsiaTheme="minorEastAsia" w:hAnsiTheme="minorHAnsi" w:cstheme="minorBidi"/>
              <w:noProof/>
              <w:szCs w:val="22"/>
              <w:lang w:eastAsia="es-MX"/>
            </w:rPr>
          </w:pPr>
          <w:hyperlink w:anchor="_Toc179927172" w:history="1">
            <w:r w:rsidR="00170109" w:rsidRPr="00170109">
              <w:rPr>
                <w:rStyle w:val="Hipervnculo"/>
                <w:rFonts w:eastAsia="Batang"/>
                <w:noProof/>
                <w:color w:val="auto"/>
              </w:rPr>
              <w:t>PRIMERO. Procedibilidad</w:t>
            </w:r>
            <w:r w:rsidR="00170109" w:rsidRPr="00170109">
              <w:rPr>
                <w:noProof/>
                <w:webHidden/>
              </w:rPr>
              <w:tab/>
            </w:r>
            <w:r w:rsidR="00170109" w:rsidRPr="00170109">
              <w:rPr>
                <w:noProof/>
                <w:webHidden/>
              </w:rPr>
              <w:fldChar w:fldCharType="begin"/>
            </w:r>
            <w:r w:rsidR="00170109" w:rsidRPr="00170109">
              <w:rPr>
                <w:noProof/>
                <w:webHidden/>
              </w:rPr>
              <w:instrText xml:space="preserve"> PAGEREF _Toc179927172 \h </w:instrText>
            </w:r>
            <w:r w:rsidR="00170109" w:rsidRPr="00170109">
              <w:rPr>
                <w:noProof/>
                <w:webHidden/>
              </w:rPr>
            </w:r>
            <w:r w:rsidR="00170109" w:rsidRPr="00170109">
              <w:rPr>
                <w:noProof/>
                <w:webHidden/>
              </w:rPr>
              <w:fldChar w:fldCharType="separate"/>
            </w:r>
            <w:r w:rsidR="00B37DEF">
              <w:rPr>
                <w:noProof/>
                <w:webHidden/>
              </w:rPr>
              <w:t>8</w:t>
            </w:r>
            <w:r w:rsidR="00170109" w:rsidRPr="00170109">
              <w:rPr>
                <w:noProof/>
                <w:webHidden/>
              </w:rPr>
              <w:fldChar w:fldCharType="end"/>
            </w:r>
          </w:hyperlink>
        </w:p>
        <w:p w14:paraId="68FB3DA0" w14:textId="72B32AA4" w:rsidR="00170109" w:rsidRPr="00170109" w:rsidRDefault="003F6439" w:rsidP="00170109">
          <w:pPr>
            <w:pStyle w:val="TDC3"/>
            <w:rPr>
              <w:rFonts w:asciiTheme="minorHAnsi" w:eastAsiaTheme="minorEastAsia" w:hAnsiTheme="minorHAnsi" w:cstheme="minorBidi"/>
              <w:noProof/>
              <w:szCs w:val="22"/>
              <w:lang w:eastAsia="es-MX"/>
            </w:rPr>
          </w:pPr>
          <w:hyperlink w:anchor="_Toc179927173" w:history="1">
            <w:r w:rsidR="00170109" w:rsidRPr="00170109">
              <w:rPr>
                <w:rStyle w:val="Hipervnculo"/>
                <w:noProof/>
                <w:color w:val="auto"/>
              </w:rPr>
              <w:t>a) Competencia del Instituto</w:t>
            </w:r>
            <w:r w:rsidR="00170109" w:rsidRPr="00170109">
              <w:rPr>
                <w:noProof/>
                <w:webHidden/>
              </w:rPr>
              <w:tab/>
            </w:r>
            <w:r w:rsidR="00170109" w:rsidRPr="00170109">
              <w:rPr>
                <w:noProof/>
                <w:webHidden/>
              </w:rPr>
              <w:fldChar w:fldCharType="begin"/>
            </w:r>
            <w:r w:rsidR="00170109" w:rsidRPr="00170109">
              <w:rPr>
                <w:noProof/>
                <w:webHidden/>
              </w:rPr>
              <w:instrText xml:space="preserve"> PAGEREF _Toc179927173 \h </w:instrText>
            </w:r>
            <w:r w:rsidR="00170109" w:rsidRPr="00170109">
              <w:rPr>
                <w:noProof/>
                <w:webHidden/>
              </w:rPr>
            </w:r>
            <w:r w:rsidR="00170109" w:rsidRPr="00170109">
              <w:rPr>
                <w:noProof/>
                <w:webHidden/>
              </w:rPr>
              <w:fldChar w:fldCharType="separate"/>
            </w:r>
            <w:r w:rsidR="00B37DEF">
              <w:rPr>
                <w:noProof/>
                <w:webHidden/>
              </w:rPr>
              <w:t>8</w:t>
            </w:r>
            <w:r w:rsidR="00170109" w:rsidRPr="00170109">
              <w:rPr>
                <w:noProof/>
                <w:webHidden/>
              </w:rPr>
              <w:fldChar w:fldCharType="end"/>
            </w:r>
          </w:hyperlink>
        </w:p>
        <w:p w14:paraId="09780EBA" w14:textId="005F39A2" w:rsidR="00170109" w:rsidRPr="00170109" w:rsidRDefault="003F6439" w:rsidP="00170109">
          <w:pPr>
            <w:pStyle w:val="TDC3"/>
            <w:rPr>
              <w:rFonts w:asciiTheme="minorHAnsi" w:eastAsiaTheme="minorEastAsia" w:hAnsiTheme="minorHAnsi" w:cstheme="minorBidi"/>
              <w:noProof/>
              <w:szCs w:val="22"/>
              <w:lang w:eastAsia="es-MX"/>
            </w:rPr>
          </w:pPr>
          <w:hyperlink w:anchor="_Toc179927174" w:history="1">
            <w:r w:rsidR="00170109" w:rsidRPr="00170109">
              <w:rPr>
                <w:rStyle w:val="Hipervnculo"/>
                <w:noProof/>
                <w:color w:val="auto"/>
              </w:rPr>
              <w:t>b) Legitimidad de la parte recurrente</w:t>
            </w:r>
            <w:r w:rsidR="00170109" w:rsidRPr="00170109">
              <w:rPr>
                <w:noProof/>
                <w:webHidden/>
              </w:rPr>
              <w:tab/>
            </w:r>
            <w:r w:rsidR="00170109" w:rsidRPr="00170109">
              <w:rPr>
                <w:noProof/>
                <w:webHidden/>
              </w:rPr>
              <w:fldChar w:fldCharType="begin"/>
            </w:r>
            <w:r w:rsidR="00170109" w:rsidRPr="00170109">
              <w:rPr>
                <w:noProof/>
                <w:webHidden/>
              </w:rPr>
              <w:instrText xml:space="preserve"> PAGEREF _Toc179927174 \h </w:instrText>
            </w:r>
            <w:r w:rsidR="00170109" w:rsidRPr="00170109">
              <w:rPr>
                <w:noProof/>
                <w:webHidden/>
              </w:rPr>
            </w:r>
            <w:r w:rsidR="00170109" w:rsidRPr="00170109">
              <w:rPr>
                <w:noProof/>
                <w:webHidden/>
              </w:rPr>
              <w:fldChar w:fldCharType="separate"/>
            </w:r>
            <w:r w:rsidR="00B37DEF">
              <w:rPr>
                <w:noProof/>
                <w:webHidden/>
              </w:rPr>
              <w:t>9</w:t>
            </w:r>
            <w:r w:rsidR="00170109" w:rsidRPr="00170109">
              <w:rPr>
                <w:noProof/>
                <w:webHidden/>
              </w:rPr>
              <w:fldChar w:fldCharType="end"/>
            </w:r>
          </w:hyperlink>
        </w:p>
        <w:p w14:paraId="5DD9A2C0" w14:textId="5C631AB4" w:rsidR="00170109" w:rsidRPr="00170109" w:rsidRDefault="003F6439" w:rsidP="00170109">
          <w:pPr>
            <w:pStyle w:val="TDC3"/>
            <w:rPr>
              <w:rFonts w:asciiTheme="minorHAnsi" w:eastAsiaTheme="minorEastAsia" w:hAnsiTheme="minorHAnsi" w:cstheme="minorBidi"/>
              <w:noProof/>
              <w:szCs w:val="22"/>
              <w:lang w:eastAsia="es-MX"/>
            </w:rPr>
          </w:pPr>
          <w:hyperlink w:anchor="_Toc179927175" w:history="1">
            <w:r w:rsidR="00170109" w:rsidRPr="00170109">
              <w:rPr>
                <w:rStyle w:val="Hipervnculo"/>
                <w:rFonts w:eastAsia="Calibri"/>
                <w:noProof/>
                <w:color w:val="auto"/>
                <w:lang w:eastAsia="es-ES_tradnl"/>
              </w:rPr>
              <w:t>c) Plazo para interponer el recurso</w:t>
            </w:r>
            <w:r w:rsidR="00170109" w:rsidRPr="00170109">
              <w:rPr>
                <w:noProof/>
                <w:webHidden/>
              </w:rPr>
              <w:tab/>
            </w:r>
            <w:r w:rsidR="00170109" w:rsidRPr="00170109">
              <w:rPr>
                <w:noProof/>
                <w:webHidden/>
              </w:rPr>
              <w:fldChar w:fldCharType="begin"/>
            </w:r>
            <w:r w:rsidR="00170109" w:rsidRPr="00170109">
              <w:rPr>
                <w:noProof/>
                <w:webHidden/>
              </w:rPr>
              <w:instrText xml:space="preserve"> PAGEREF _Toc179927175 \h </w:instrText>
            </w:r>
            <w:r w:rsidR="00170109" w:rsidRPr="00170109">
              <w:rPr>
                <w:noProof/>
                <w:webHidden/>
              </w:rPr>
            </w:r>
            <w:r w:rsidR="00170109" w:rsidRPr="00170109">
              <w:rPr>
                <w:noProof/>
                <w:webHidden/>
              </w:rPr>
              <w:fldChar w:fldCharType="separate"/>
            </w:r>
            <w:r w:rsidR="00B37DEF">
              <w:rPr>
                <w:noProof/>
                <w:webHidden/>
              </w:rPr>
              <w:t>9</w:t>
            </w:r>
            <w:r w:rsidR="00170109" w:rsidRPr="00170109">
              <w:rPr>
                <w:noProof/>
                <w:webHidden/>
              </w:rPr>
              <w:fldChar w:fldCharType="end"/>
            </w:r>
          </w:hyperlink>
        </w:p>
        <w:p w14:paraId="01458DE6" w14:textId="0736B28A" w:rsidR="00170109" w:rsidRPr="00170109" w:rsidRDefault="003F6439" w:rsidP="00170109">
          <w:pPr>
            <w:pStyle w:val="TDC3"/>
            <w:rPr>
              <w:rFonts w:asciiTheme="minorHAnsi" w:eastAsiaTheme="minorEastAsia" w:hAnsiTheme="minorHAnsi" w:cstheme="minorBidi"/>
              <w:noProof/>
              <w:szCs w:val="22"/>
              <w:lang w:eastAsia="es-MX"/>
            </w:rPr>
          </w:pPr>
          <w:hyperlink w:anchor="_Toc179927176" w:history="1">
            <w:r w:rsidR="00170109" w:rsidRPr="00170109">
              <w:rPr>
                <w:rStyle w:val="Hipervnculo"/>
                <w:rFonts w:eastAsia="Calibri"/>
                <w:noProof/>
                <w:color w:val="auto"/>
                <w:lang w:eastAsia="es-ES_tradnl"/>
              </w:rPr>
              <w:t>d) Causal de Procedencia</w:t>
            </w:r>
            <w:r w:rsidR="00170109" w:rsidRPr="00170109">
              <w:rPr>
                <w:noProof/>
                <w:webHidden/>
              </w:rPr>
              <w:tab/>
            </w:r>
            <w:r w:rsidR="00170109" w:rsidRPr="00170109">
              <w:rPr>
                <w:noProof/>
                <w:webHidden/>
              </w:rPr>
              <w:fldChar w:fldCharType="begin"/>
            </w:r>
            <w:r w:rsidR="00170109" w:rsidRPr="00170109">
              <w:rPr>
                <w:noProof/>
                <w:webHidden/>
              </w:rPr>
              <w:instrText xml:space="preserve"> PAGEREF _Toc179927176 \h </w:instrText>
            </w:r>
            <w:r w:rsidR="00170109" w:rsidRPr="00170109">
              <w:rPr>
                <w:noProof/>
                <w:webHidden/>
              </w:rPr>
            </w:r>
            <w:r w:rsidR="00170109" w:rsidRPr="00170109">
              <w:rPr>
                <w:noProof/>
                <w:webHidden/>
              </w:rPr>
              <w:fldChar w:fldCharType="separate"/>
            </w:r>
            <w:r w:rsidR="00B37DEF">
              <w:rPr>
                <w:noProof/>
                <w:webHidden/>
              </w:rPr>
              <w:t>9</w:t>
            </w:r>
            <w:r w:rsidR="00170109" w:rsidRPr="00170109">
              <w:rPr>
                <w:noProof/>
                <w:webHidden/>
              </w:rPr>
              <w:fldChar w:fldCharType="end"/>
            </w:r>
          </w:hyperlink>
        </w:p>
        <w:p w14:paraId="6461647A" w14:textId="1DE4A9B9" w:rsidR="00170109" w:rsidRPr="00170109" w:rsidRDefault="003F6439" w:rsidP="00170109">
          <w:pPr>
            <w:pStyle w:val="TDC3"/>
            <w:rPr>
              <w:rFonts w:asciiTheme="minorHAnsi" w:eastAsiaTheme="minorEastAsia" w:hAnsiTheme="minorHAnsi" w:cstheme="minorBidi"/>
              <w:noProof/>
              <w:szCs w:val="22"/>
              <w:lang w:eastAsia="es-MX"/>
            </w:rPr>
          </w:pPr>
          <w:hyperlink w:anchor="_Toc179927177" w:history="1">
            <w:r w:rsidR="00170109" w:rsidRPr="00170109">
              <w:rPr>
                <w:rStyle w:val="Hipervnculo"/>
                <w:noProof/>
                <w:color w:val="auto"/>
              </w:rPr>
              <w:t>e) Requisitos formales para la interposición del recurso</w:t>
            </w:r>
            <w:r w:rsidR="00170109" w:rsidRPr="00170109">
              <w:rPr>
                <w:noProof/>
                <w:webHidden/>
              </w:rPr>
              <w:tab/>
            </w:r>
            <w:r w:rsidR="00170109" w:rsidRPr="00170109">
              <w:rPr>
                <w:noProof/>
                <w:webHidden/>
              </w:rPr>
              <w:fldChar w:fldCharType="begin"/>
            </w:r>
            <w:r w:rsidR="00170109" w:rsidRPr="00170109">
              <w:rPr>
                <w:noProof/>
                <w:webHidden/>
              </w:rPr>
              <w:instrText xml:space="preserve"> PAGEREF _Toc179927177 \h </w:instrText>
            </w:r>
            <w:r w:rsidR="00170109" w:rsidRPr="00170109">
              <w:rPr>
                <w:noProof/>
                <w:webHidden/>
              </w:rPr>
            </w:r>
            <w:r w:rsidR="00170109" w:rsidRPr="00170109">
              <w:rPr>
                <w:noProof/>
                <w:webHidden/>
              </w:rPr>
              <w:fldChar w:fldCharType="separate"/>
            </w:r>
            <w:r w:rsidR="00B37DEF">
              <w:rPr>
                <w:noProof/>
                <w:webHidden/>
              </w:rPr>
              <w:t>9</w:t>
            </w:r>
            <w:r w:rsidR="00170109" w:rsidRPr="00170109">
              <w:rPr>
                <w:noProof/>
                <w:webHidden/>
              </w:rPr>
              <w:fldChar w:fldCharType="end"/>
            </w:r>
          </w:hyperlink>
        </w:p>
        <w:p w14:paraId="075897CF" w14:textId="4A8D5A78" w:rsidR="00170109" w:rsidRPr="00170109" w:rsidRDefault="003F6439" w:rsidP="00170109">
          <w:pPr>
            <w:pStyle w:val="TDC2"/>
            <w:rPr>
              <w:rFonts w:asciiTheme="minorHAnsi" w:eastAsiaTheme="minorEastAsia" w:hAnsiTheme="minorHAnsi" w:cstheme="minorBidi"/>
              <w:noProof/>
              <w:szCs w:val="22"/>
              <w:lang w:eastAsia="es-MX"/>
            </w:rPr>
          </w:pPr>
          <w:hyperlink w:anchor="_Toc179927178" w:history="1">
            <w:r w:rsidR="00170109" w:rsidRPr="00170109">
              <w:rPr>
                <w:rStyle w:val="Hipervnculo"/>
                <w:noProof/>
                <w:color w:val="auto"/>
              </w:rPr>
              <w:t>SEGUNDO. Estudio de Fondo</w:t>
            </w:r>
            <w:r w:rsidR="00170109" w:rsidRPr="00170109">
              <w:rPr>
                <w:noProof/>
                <w:webHidden/>
              </w:rPr>
              <w:tab/>
            </w:r>
            <w:r w:rsidR="00170109" w:rsidRPr="00170109">
              <w:rPr>
                <w:noProof/>
                <w:webHidden/>
              </w:rPr>
              <w:fldChar w:fldCharType="begin"/>
            </w:r>
            <w:r w:rsidR="00170109" w:rsidRPr="00170109">
              <w:rPr>
                <w:noProof/>
                <w:webHidden/>
              </w:rPr>
              <w:instrText xml:space="preserve"> PAGEREF _Toc179927178 \h </w:instrText>
            </w:r>
            <w:r w:rsidR="00170109" w:rsidRPr="00170109">
              <w:rPr>
                <w:noProof/>
                <w:webHidden/>
              </w:rPr>
            </w:r>
            <w:r w:rsidR="00170109" w:rsidRPr="00170109">
              <w:rPr>
                <w:noProof/>
                <w:webHidden/>
              </w:rPr>
              <w:fldChar w:fldCharType="separate"/>
            </w:r>
            <w:r w:rsidR="00B37DEF">
              <w:rPr>
                <w:noProof/>
                <w:webHidden/>
              </w:rPr>
              <w:t>10</w:t>
            </w:r>
            <w:r w:rsidR="00170109" w:rsidRPr="00170109">
              <w:rPr>
                <w:noProof/>
                <w:webHidden/>
              </w:rPr>
              <w:fldChar w:fldCharType="end"/>
            </w:r>
          </w:hyperlink>
        </w:p>
        <w:p w14:paraId="6CC485F6" w14:textId="7F088A4D" w:rsidR="00170109" w:rsidRPr="00170109" w:rsidRDefault="003F6439" w:rsidP="00170109">
          <w:pPr>
            <w:pStyle w:val="TDC3"/>
            <w:rPr>
              <w:rFonts w:asciiTheme="minorHAnsi" w:eastAsiaTheme="minorEastAsia" w:hAnsiTheme="minorHAnsi" w:cstheme="minorBidi"/>
              <w:noProof/>
              <w:szCs w:val="22"/>
              <w:lang w:eastAsia="es-MX"/>
            </w:rPr>
          </w:pPr>
          <w:hyperlink w:anchor="_Toc179927179" w:history="1">
            <w:r w:rsidR="00170109" w:rsidRPr="00170109">
              <w:rPr>
                <w:rStyle w:val="Hipervnculo"/>
                <w:noProof/>
                <w:color w:val="auto"/>
              </w:rPr>
              <w:t>a) Mandato de transparencia y responsabilidad del Sujeto Obligado</w:t>
            </w:r>
            <w:r w:rsidR="00170109" w:rsidRPr="00170109">
              <w:rPr>
                <w:noProof/>
                <w:webHidden/>
              </w:rPr>
              <w:tab/>
            </w:r>
            <w:r w:rsidR="00170109" w:rsidRPr="00170109">
              <w:rPr>
                <w:noProof/>
                <w:webHidden/>
              </w:rPr>
              <w:fldChar w:fldCharType="begin"/>
            </w:r>
            <w:r w:rsidR="00170109" w:rsidRPr="00170109">
              <w:rPr>
                <w:noProof/>
                <w:webHidden/>
              </w:rPr>
              <w:instrText xml:space="preserve"> PAGEREF _Toc179927179 \h </w:instrText>
            </w:r>
            <w:r w:rsidR="00170109" w:rsidRPr="00170109">
              <w:rPr>
                <w:noProof/>
                <w:webHidden/>
              </w:rPr>
            </w:r>
            <w:r w:rsidR="00170109" w:rsidRPr="00170109">
              <w:rPr>
                <w:noProof/>
                <w:webHidden/>
              </w:rPr>
              <w:fldChar w:fldCharType="separate"/>
            </w:r>
            <w:r w:rsidR="00B37DEF">
              <w:rPr>
                <w:noProof/>
                <w:webHidden/>
              </w:rPr>
              <w:t>10</w:t>
            </w:r>
            <w:r w:rsidR="00170109" w:rsidRPr="00170109">
              <w:rPr>
                <w:noProof/>
                <w:webHidden/>
              </w:rPr>
              <w:fldChar w:fldCharType="end"/>
            </w:r>
          </w:hyperlink>
        </w:p>
        <w:p w14:paraId="4A541D30" w14:textId="34494616" w:rsidR="00170109" w:rsidRPr="00170109" w:rsidRDefault="003F6439" w:rsidP="00170109">
          <w:pPr>
            <w:pStyle w:val="TDC3"/>
            <w:rPr>
              <w:rFonts w:asciiTheme="minorHAnsi" w:eastAsiaTheme="minorEastAsia" w:hAnsiTheme="minorHAnsi" w:cstheme="minorBidi"/>
              <w:noProof/>
              <w:szCs w:val="22"/>
              <w:lang w:eastAsia="es-MX"/>
            </w:rPr>
          </w:pPr>
          <w:hyperlink w:anchor="_Toc179927180" w:history="1">
            <w:r w:rsidR="00170109" w:rsidRPr="00170109">
              <w:rPr>
                <w:rStyle w:val="Hipervnculo"/>
                <w:rFonts w:eastAsia="Calibri"/>
                <w:noProof/>
                <w:color w:val="auto"/>
                <w:lang w:eastAsia="es-ES_tradnl"/>
              </w:rPr>
              <w:t>b) Controversia a resolver</w:t>
            </w:r>
            <w:r w:rsidR="00170109" w:rsidRPr="00170109">
              <w:rPr>
                <w:noProof/>
                <w:webHidden/>
              </w:rPr>
              <w:tab/>
            </w:r>
            <w:r w:rsidR="00170109" w:rsidRPr="00170109">
              <w:rPr>
                <w:noProof/>
                <w:webHidden/>
              </w:rPr>
              <w:fldChar w:fldCharType="begin"/>
            </w:r>
            <w:r w:rsidR="00170109" w:rsidRPr="00170109">
              <w:rPr>
                <w:noProof/>
                <w:webHidden/>
              </w:rPr>
              <w:instrText xml:space="preserve"> PAGEREF _Toc179927180 \h </w:instrText>
            </w:r>
            <w:r w:rsidR="00170109" w:rsidRPr="00170109">
              <w:rPr>
                <w:noProof/>
                <w:webHidden/>
              </w:rPr>
            </w:r>
            <w:r w:rsidR="00170109" w:rsidRPr="00170109">
              <w:rPr>
                <w:noProof/>
                <w:webHidden/>
              </w:rPr>
              <w:fldChar w:fldCharType="separate"/>
            </w:r>
            <w:r w:rsidR="00B37DEF">
              <w:rPr>
                <w:noProof/>
                <w:webHidden/>
              </w:rPr>
              <w:t>13</w:t>
            </w:r>
            <w:r w:rsidR="00170109" w:rsidRPr="00170109">
              <w:rPr>
                <w:noProof/>
                <w:webHidden/>
              </w:rPr>
              <w:fldChar w:fldCharType="end"/>
            </w:r>
          </w:hyperlink>
        </w:p>
        <w:p w14:paraId="17F086CB" w14:textId="5BCF27E9" w:rsidR="00170109" w:rsidRPr="00170109" w:rsidRDefault="003F6439" w:rsidP="00170109">
          <w:pPr>
            <w:pStyle w:val="TDC3"/>
            <w:rPr>
              <w:rFonts w:asciiTheme="minorHAnsi" w:eastAsiaTheme="minorEastAsia" w:hAnsiTheme="minorHAnsi" w:cstheme="minorBidi"/>
              <w:noProof/>
              <w:szCs w:val="22"/>
              <w:lang w:eastAsia="es-MX"/>
            </w:rPr>
          </w:pPr>
          <w:hyperlink w:anchor="_Toc179927181" w:history="1">
            <w:r w:rsidR="00170109" w:rsidRPr="00170109">
              <w:rPr>
                <w:rStyle w:val="Hipervnculo"/>
                <w:rFonts w:eastAsia="Palatino Linotype"/>
                <w:noProof/>
                <w:color w:val="auto"/>
              </w:rPr>
              <w:t>c) Estudio de la controversia</w:t>
            </w:r>
            <w:r w:rsidR="00170109" w:rsidRPr="00170109">
              <w:rPr>
                <w:noProof/>
                <w:webHidden/>
              </w:rPr>
              <w:tab/>
            </w:r>
            <w:r w:rsidR="00170109" w:rsidRPr="00170109">
              <w:rPr>
                <w:noProof/>
                <w:webHidden/>
              </w:rPr>
              <w:fldChar w:fldCharType="begin"/>
            </w:r>
            <w:r w:rsidR="00170109" w:rsidRPr="00170109">
              <w:rPr>
                <w:noProof/>
                <w:webHidden/>
              </w:rPr>
              <w:instrText xml:space="preserve"> PAGEREF _Toc179927181 \h </w:instrText>
            </w:r>
            <w:r w:rsidR="00170109" w:rsidRPr="00170109">
              <w:rPr>
                <w:noProof/>
                <w:webHidden/>
              </w:rPr>
            </w:r>
            <w:r w:rsidR="00170109" w:rsidRPr="00170109">
              <w:rPr>
                <w:noProof/>
                <w:webHidden/>
              </w:rPr>
              <w:fldChar w:fldCharType="separate"/>
            </w:r>
            <w:r w:rsidR="00B37DEF">
              <w:rPr>
                <w:noProof/>
                <w:webHidden/>
              </w:rPr>
              <w:t>14</w:t>
            </w:r>
            <w:r w:rsidR="00170109" w:rsidRPr="00170109">
              <w:rPr>
                <w:noProof/>
                <w:webHidden/>
              </w:rPr>
              <w:fldChar w:fldCharType="end"/>
            </w:r>
          </w:hyperlink>
        </w:p>
        <w:p w14:paraId="016FD0BF" w14:textId="3230DBD2" w:rsidR="00170109" w:rsidRPr="00170109" w:rsidRDefault="003F6439" w:rsidP="00170109">
          <w:pPr>
            <w:pStyle w:val="TDC3"/>
            <w:rPr>
              <w:rFonts w:asciiTheme="minorHAnsi" w:eastAsiaTheme="minorEastAsia" w:hAnsiTheme="minorHAnsi" w:cstheme="minorBidi"/>
              <w:noProof/>
              <w:szCs w:val="22"/>
              <w:lang w:eastAsia="es-MX"/>
            </w:rPr>
          </w:pPr>
          <w:hyperlink w:anchor="_Toc179927182" w:history="1">
            <w:r w:rsidR="00170109" w:rsidRPr="00170109">
              <w:rPr>
                <w:rStyle w:val="Hipervnculo"/>
                <w:noProof/>
                <w:color w:val="auto"/>
              </w:rPr>
              <w:t>d) Versión pública</w:t>
            </w:r>
            <w:r w:rsidR="00170109" w:rsidRPr="00170109">
              <w:rPr>
                <w:noProof/>
                <w:webHidden/>
              </w:rPr>
              <w:tab/>
            </w:r>
            <w:r w:rsidR="00170109" w:rsidRPr="00170109">
              <w:rPr>
                <w:noProof/>
                <w:webHidden/>
              </w:rPr>
              <w:fldChar w:fldCharType="begin"/>
            </w:r>
            <w:r w:rsidR="00170109" w:rsidRPr="00170109">
              <w:rPr>
                <w:noProof/>
                <w:webHidden/>
              </w:rPr>
              <w:instrText xml:space="preserve"> PAGEREF _Toc179927182 \h </w:instrText>
            </w:r>
            <w:r w:rsidR="00170109" w:rsidRPr="00170109">
              <w:rPr>
                <w:noProof/>
                <w:webHidden/>
              </w:rPr>
            </w:r>
            <w:r w:rsidR="00170109" w:rsidRPr="00170109">
              <w:rPr>
                <w:noProof/>
                <w:webHidden/>
              </w:rPr>
              <w:fldChar w:fldCharType="separate"/>
            </w:r>
            <w:r w:rsidR="00B37DEF">
              <w:rPr>
                <w:noProof/>
                <w:webHidden/>
              </w:rPr>
              <w:t>29</w:t>
            </w:r>
            <w:r w:rsidR="00170109" w:rsidRPr="00170109">
              <w:rPr>
                <w:noProof/>
                <w:webHidden/>
              </w:rPr>
              <w:fldChar w:fldCharType="end"/>
            </w:r>
          </w:hyperlink>
        </w:p>
        <w:p w14:paraId="39A7EF4D" w14:textId="05F9769B" w:rsidR="00170109" w:rsidRPr="00170109" w:rsidRDefault="003F6439" w:rsidP="00170109">
          <w:pPr>
            <w:pStyle w:val="TDC3"/>
            <w:rPr>
              <w:rFonts w:asciiTheme="minorHAnsi" w:eastAsiaTheme="minorEastAsia" w:hAnsiTheme="minorHAnsi" w:cstheme="minorBidi"/>
              <w:noProof/>
              <w:szCs w:val="22"/>
              <w:lang w:eastAsia="es-MX"/>
            </w:rPr>
          </w:pPr>
          <w:hyperlink w:anchor="_Toc179927183" w:history="1">
            <w:r w:rsidR="00170109" w:rsidRPr="00170109">
              <w:rPr>
                <w:rStyle w:val="Hipervnculo"/>
                <w:rFonts w:eastAsia="Calibri"/>
                <w:noProof/>
                <w:color w:val="auto"/>
              </w:rPr>
              <w:t xml:space="preserve">e) </w:t>
            </w:r>
            <w:r w:rsidR="00170109" w:rsidRPr="00170109">
              <w:rPr>
                <w:rStyle w:val="Hipervnculo"/>
                <w:noProof/>
                <w:color w:val="auto"/>
              </w:rPr>
              <w:t>Conclusión</w:t>
            </w:r>
            <w:r w:rsidR="00170109" w:rsidRPr="00170109">
              <w:rPr>
                <w:noProof/>
                <w:webHidden/>
              </w:rPr>
              <w:tab/>
            </w:r>
            <w:r w:rsidR="00170109" w:rsidRPr="00170109">
              <w:rPr>
                <w:noProof/>
                <w:webHidden/>
              </w:rPr>
              <w:fldChar w:fldCharType="begin"/>
            </w:r>
            <w:r w:rsidR="00170109" w:rsidRPr="00170109">
              <w:rPr>
                <w:noProof/>
                <w:webHidden/>
              </w:rPr>
              <w:instrText xml:space="preserve"> PAGEREF _Toc179927183 \h </w:instrText>
            </w:r>
            <w:r w:rsidR="00170109" w:rsidRPr="00170109">
              <w:rPr>
                <w:noProof/>
                <w:webHidden/>
              </w:rPr>
            </w:r>
            <w:r w:rsidR="00170109" w:rsidRPr="00170109">
              <w:rPr>
                <w:noProof/>
                <w:webHidden/>
              </w:rPr>
              <w:fldChar w:fldCharType="separate"/>
            </w:r>
            <w:r w:rsidR="00B37DEF">
              <w:rPr>
                <w:noProof/>
                <w:webHidden/>
              </w:rPr>
              <w:t>39</w:t>
            </w:r>
            <w:r w:rsidR="00170109" w:rsidRPr="00170109">
              <w:rPr>
                <w:noProof/>
                <w:webHidden/>
              </w:rPr>
              <w:fldChar w:fldCharType="end"/>
            </w:r>
          </w:hyperlink>
        </w:p>
        <w:p w14:paraId="0C82FD7A" w14:textId="005A3B8D" w:rsidR="009B2945" w:rsidRPr="00170109" w:rsidRDefault="003F6439" w:rsidP="00170109">
          <w:pPr>
            <w:pStyle w:val="TDC1"/>
            <w:tabs>
              <w:tab w:val="right" w:leader="dot" w:pos="9034"/>
            </w:tabs>
            <w:rPr>
              <w:b/>
              <w:bCs/>
              <w:szCs w:val="22"/>
              <w:lang w:val="es-ES"/>
            </w:rPr>
          </w:pPr>
          <w:hyperlink w:anchor="_Toc179927184" w:history="1">
            <w:r w:rsidR="00170109" w:rsidRPr="00170109">
              <w:rPr>
                <w:rStyle w:val="Hipervnculo"/>
                <w:noProof/>
                <w:color w:val="auto"/>
              </w:rPr>
              <w:t>RESUELVE</w:t>
            </w:r>
            <w:r w:rsidR="00170109" w:rsidRPr="00170109">
              <w:rPr>
                <w:noProof/>
                <w:webHidden/>
              </w:rPr>
              <w:tab/>
            </w:r>
            <w:r w:rsidR="00170109" w:rsidRPr="00170109">
              <w:rPr>
                <w:noProof/>
                <w:webHidden/>
              </w:rPr>
              <w:fldChar w:fldCharType="begin"/>
            </w:r>
            <w:r w:rsidR="00170109" w:rsidRPr="00170109">
              <w:rPr>
                <w:noProof/>
                <w:webHidden/>
              </w:rPr>
              <w:instrText xml:space="preserve"> PAGEREF _Toc179927184 \h </w:instrText>
            </w:r>
            <w:r w:rsidR="00170109" w:rsidRPr="00170109">
              <w:rPr>
                <w:noProof/>
                <w:webHidden/>
              </w:rPr>
            </w:r>
            <w:r w:rsidR="00170109" w:rsidRPr="00170109">
              <w:rPr>
                <w:noProof/>
                <w:webHidden/>
              </w:rPr>
              <w:fldChar w:fldCharType="separate"/>
            </w:r>
            <w:r w:rsidR="00B37DEF">
              <w:rPr>
                <w:noProof/>
                <w:webHidden/>
              </w:rPr>
              <w:t>39</w:t>
            </w:r>
            <w:r w:rsidR="00170109" w:rsidRPr="00170109">
              <w:rPr>
                <w:noProof/>
                <w:webHidden/>
              </w:rPr>
              <w:fldChar w:fldCharType="end"/>
            </w:r>
          </w:hyperlink>
          <w:r w:rsidR="00AE3DA7" w:rsidRPr="00170109">
            <w:rPr>
              <w:b/>
              <w:bCs/>
              <w:szCs w:val="22"/>
              <w:lang w:val="es-ES"/>
            </w:rPr>
            <w:fldChar w:fldCharType="end"/>
          </w:r>
        </w:p>
      </w:sdtContent>
    </w:sdt>
    <w:p w14:paraId="603A07E2" w14:textId="77777777" w:rsidR="00646436" w:rsidRPr="00170109" w:rsidRDefault="00646436" w:rsidP="00170109">
      <w:pPr>
        <w:rPr>
          <w:rFonts w:cs="Tahoma"/>
          <w:szCs w:val="22"/>
        </w:rPr>
        <w:sectPr w:rsidR="00646436" w:rsidRPr="0017010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159E14F" w:rsidR="00775BFC" w:rsidRPr="00170109" w:rsidRDefault="00775BFC" w:rsidP="00170109">
      <w:pPr>
        <w:rPr>
          <w:b/>
          <w:szCs w:val="22"/>
        </w:rPr>
      </w:pPr>
      <w:r w:rsidRPr="00170109">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086B6D" w:rsidRPr="00170109">
        <w:rPr>
          <w:b/>
          <w:szCs w:val="22"/>
        </w:rPr>
        <w:t>dieciséis</w:t>
      </w:r>
      <w:r w:rsidR="00413154" w:rsidRPr="00170109">
        <w:rPr>
          <w:b/>
          <w:szCs w:val="22"/>
        </w:rPr>
        <w:t xml:space="preserve"> de octubre</w:t>
      </w:r>
      <w:r w:rsidR="00ED7170" w:rsidRPr="00170109">
        <w:rPr>
          <w:b/>
          <w:szCs w:val="22"/>
        </w:rPr>
        <w:t xml:space="preserve"> de dos mil veinticuatro.</w:t>
      </w:r>
    </w:p>
    <w:p w14:paraId="0AF3AAC4" w14:textId="77777777" w:rsidR="00775BFC" w:rsidRPr="00170109" w:rsidRDefault="00775BFC" w:rsidP="00170109">
      <w:pPr>
        <w:rPr>
          <w:szCs w:val="22"/>
        </w:rPr>
      </w:pPr>
    </w:p>
    <w:p w14:paraId="40EAE038" w14:textId="64481F77" w:rsidR="00775BFC" w:rsidRPr="00170109" w:rsidRDefault="00775BFC" w:rsidP="00170109">
      <w:pPr>
        <w:rPr>
          <w:szCs w:val="22"/>
        </w:rPr>
      </w:pPr>
      <w:r w:rsidRPr="00170109">
        <w:rPr>
          <w:b/>
          <w:szCs w:val="22"/>
        </w:rPr>
        <w:t xml:space="preserve">VISTO </w:t>
      </w:r>
      <w:r w:rsidRPr="00170109">
        <w:rPr>
          <w:szCs w:val="22"/>
        </w:rPr>
        <w:t xml:space="preserve">el expediente formado con motivo del Recurso de Revisión </w:t>
      </w:r>
      <w:r w:rsidR="00D94B50" w:rsidRPr="00170109">
        <w:rPr>
          <w:rFonts w:eastAsia="Calibri"/>
          <w:b/>
          <w:szCs w:val="22"/>
          <w:lang w:eastAsia="en-US"/>
        </w:rPr>
        <w:t>05767/INFOEM/IP/RR/2024</w:t>
      </w:r>
      <w:r w:rsidR="005314A3" w:rsidRPr="00170109">
        <w:rPr>
          <w:rFonts w:eastAsia="Calibri"/>
          <w:b/>
          <w:szCs w:val="22"/>
          <w:lang w:eastAsia="en-US"/>
        </w:rPr>
        <w:t xml:space="preserve"> </w:t>
      </w:r>
      <w:r w:rsidRPr="00170109">
        <w:rPr>
          <w:szCs w:val="22"/>
        </w:rPr>
        <w:t xml:space="preserve">interpuesto por </w:t>
      </w:r>
      <w:r w:rsidR="00D94B50" w:rsidRPr="00170109">
        <w:rPr>
          <w:b/>
          <w:bCs/>
          <w:szCs w:val="22"/>
        </w:rPr>
        <w:t>una persona que no se identificó</w:t>
      </w:r>
      <w:r w:rsidRPr="00170109">
        <w:rPr>
          <w:szCs w:val="22"/>
        </w:rPr>
        <w:t xml:space="preserve">, a quien en lo subsecuente se le denominará </w:t>
      </w:r>
      <w:r w:rsidRPr="00170109">
        <w:rPr>
          <w:b/>
          <w:bCs/>
          <w:szCs w:val="22"/>
        </w:rPr>
        <w:t>LA PARTE RECURRENTE</w:t>
      </w:r>
      <w:r w:rsidRPr="00170109">
        <w:rPr>
          <w:szCs w:val="22"/>
        </w:rPr>
        <w:t>, en contra de la respuesta emitida por</w:t>
      </w:r>
      <w:r w:rsidR="00A0449B" w:rsidRPr="00170109">
        <w:rPr>
          <w:szCs w:val="22"/>
        </w:rPr>
        <w:t xml:space="preserve"> </w:t>
      </w:r>
      <w:r w:rsidR="005F3813" w:rsidRPr="00170109">
        <w:rPr>
          <w:szCs w:val="22"/>
        </w:rPr>
        <w:t>l</w:t>
      </w:r>
      <w:r w:rsidR="007D21FF" w:rsidRPr="00170109">
        <w:rPr>
          <w:szCs w:val="22"/>
        </w:rPr>
        <w:t>a</w:t>
      </w:r>
      <w:r w:rsidR="000748DF" w:rsidRPr="00170109">
        <w:rPr>
          <w:szCs w:val="22"/>
        </w:rPr>
        <w:t xml:space="preserve"> </w:t>
      </w:r>
      <w:r w:rsidR="007D21FF" w:rsidRPr="00170109">
        <w:rPr>
          <w:b/>
          <w:bCs/>
          <w:szCs w:val="22"/>
        </w:rPr>
        <w:t>Secretaría de Desarrollo Urbano e Infraestructura</w:t>
      </w:r>
      <w:r w:rsidRPr="00170109">
        <w:rPr>
          <w:szCs w:val="22"/>
        </w:rPr>
        <w:t xml:space="preserve">, en adelante </w:t>
      </w:r>
      <w:r w:rsidRPr="00170109">
        <w:rPr>
          <w:b/>
          <w:bCs/>
          <w:szCs w:val="22"/>
        </w:rPr>
        <w:t>EL SUJETO OBLIGADO</w:t>
      </w:r>
      <w:r w:rsidRPr="00170109">
        <w:rPr>
          <w:rFonts w:eastAsia="Calibri"/>
          <w:szCs w:val="22"/>
          <w:lang w:eastAsia="en-US"/>
        </w:rPr>
        <w:t xml:space="preserve">, </w:t>
      </w:r>
      <w:r w:rsidRPr="00170109">
        <w:rPr>
          <w:szCs w:val="22"/>
        </w:rPr>
        <w:t>se emite la presente Resolución con base en los Antecedentes y Considerandos que se exponen a continuación:</w:t>
      </w:r>
    </w:p>
    <w:p w14:paraId="2116968C" w14:textId="77777777" w:rsidR="00775BFC" w:rsidRPr="00170109" w:rsidRDefault="00775BFC" w:rsidP="00170109">
      <w:pPr>
        <w:rPr>
          <w:szCs w:val="22"/>
        </w:rPr>
      </w:pPr>
    </w:p>
    <w:p w14:paraId="5A444FB6" w14:textId="639D3567" w:rsidR="00664420" w:rsidRPr="00170109" w:rsidRDefault="00664420" w:rsidP="00170109">
      <w:pPr>
        <w:pStyle w:val="Ttulo1"/>
        <w:rPr>
          <w:szCs w:val="22"/>
        </w:rPr>
      </w:pPr>
      <w:bookmarkStart w:id="3" w:name="_Toc179927159"/>
      <w:r w:rsidRPr="00170109">
        <w:rPr>
          <w:szCs w:val="22"/>
        </w:rPr>
        <w:t>ANTECEDENTES</w:t>
      </w:r>
      <w:bookmarkEnd w:id="3"/>
    </w:p>
    <w:p w14:paraId="7CE9E53D" w14:textId="77777777" w:rsidR="00E37A3F" w:rsidRPr="00170109" w:rsidRDefault="00E37A3F" w:rsidP="00170109">
      <w:pPr>
        <w:rPr>
          <w:szCs w:val="22"/>
        </w:rPr>
      </w:pPr>
    </w:p>
    <w:p w14:paraId="09B2D38F" w14:textId="6E49D146" w:rsidR="00664420" w:rsidRPr="00170109" w:rsidRDefault="00E37A3F" w:rsidP="00170109">
      <w:pPr>
        <w:pStyle w:val="Ttulo2"/>
        <w:rPr>
          <w:szCs w:val="22"/>
        </w:rPr>
      </w:pPr>
      <w:bookmarkStart w:id="4" w:name="_Toc179927160"/>
      <w:r w:rsidRPr="00170109">
        <w:rPr>
          <w:szCs w:val="22"/>
        </w:rPr>
        <w:t>DE LA SOLICITUD DE INFORMACIÓN</w:t>
      </w:r>
      <w:bookmarkEnd w:id="4"/>
    </w:p>
    <w:p w14:paraId="2C6AD1A5" w14:textId="0405B3CD" w:rsidR="00664420" w:rsidRPr="00170109" w:rsidRDefault="00E37A3F" w:rsidP="00170109">
      <w:pPr>
        <w:pStyle w:val="Ttulo3"/>
        <w:rPr>
          <w:szCs w:val="22"/>
        </w:rPr>
      </w:pPr>
      <w:bookmarkStart w:id="5" w:name="_Toc179927161"/>
      <w:r w:rsidRPr="00170109">
        <w:rPr>
          <w:szCs w:val="22"/>
        </w:rPr>
        <w:t xml:space="preserve">a) </w:t>
      </w:r>
      <w:r w:rsidR="006B10B0" w:rsidRPr="00170109">
        <w:rPr>
          <w:szCs w:val="22"/>
        </w:rPr>
        <w:t>S</w:t>
      </w:r>
      <w:r w:rsidR="00664420" w:rsidRPr="00170109">
        <w:rPr>
          <w:szCs w:val="22"/>
        </w:rPr>
        <w:t xml:space="preserve">olicitud de </w:t>
      </w:r>
      <w:r w:rsidR="006B10B0" w:rsidRPr="00170109">
        <w:rPr>
          <w:szCs w:val="22"/>
        </w:rPr>
        <w:t>i</w:t>
      </w:r>
      <w:r w:rsidR="00664420" w:rsidRPr="00170109">
        <w:rPr>
          <w:szCs w:val="22"/>
        </w:rPr>
        <w:t>nformación</w:t>
      </w:r>
      <w:bookmarkEnd w:id="5"/>
    </w:p>
    <w:p w14:paraId="63FC8527" w14:textId="3CCDC41E" w:rsidR="006A28B4" w:rsidRPr="00170109" w:rsidRDefault="006A28B4" w:rsidP="00170109">
      <w:pPr>
        <w:pBdr>
          <w:top w:val="nil"/>
          <w:left w:val="nil"/>
          <w:bottom w:val="nil"/>
          <w:right w:val="nil"/>
          <w:between w:val="nil"/>
        </w:pBdr>
        <w:tabs>
          <w:tab w:val="left" w:pos="0"/>
        </w:tabs>
        <w:rPr>
          <w:rFonts w:eastAsia="Palatino Linotype" w:cs="Palatino Linotype"/>
          <w:szCs w:val="22"/>
        </w:rPr>
      </w:pPr>
      <w:r w:rsidRPr="00170109">
        <w:rPr>
          <w:rFonts w:eastAsia="Palatino Linotype" w:cs="Palatino Linotype"/>
          <w:szCs w:val="22"/>
        </w:rPr>
        <w:t xml:space="preserve">El </w:t>
      </w:r>
      <w:r w:rsidR="007D21FF" w:rsidRPr="00170109">
        <w:rPr>
          <w:rFonts w:eastAsia="Palatino Linotype" w:cs="Palatino Linotype"/>
          <w:b/>
          <w:szCs w:val="22"/>
        </w:rPr>
        <w:t>dos de septiembre</w:t>
      </w:r>
      <w:r w:rsidRPr="00170109">
        <w:rPr>
          <w:rFonts w:eastAsia="Palatino Linotype" w:cs="Palatino Linotype"/>
          <w:b/>
          <w:szCs w:val="22"/>
        </w:rPr>
        <w:t xml:space="preserve"> de dos mil veinticuatro</w:t>
      </w:r>
      <w:r w:rsidR="00721C9E" w:rsidRPr="00170109">
        <w:rPr>
          <w:rFonts w:eastAsia="Palatino Linotype" w:cs="Palatino Linotype"/>
          <w:b/>
          <w:szCs w:val="22"/>
        </w:rPr>
        <w:t>,</w:t>
      </w:r>
      <w:r w:rsidRPr="00170109">
        <w:rPr>
          <w:rFonts w:eastAsia="Palatino Linotype" w:cs="Palatino Linotype"/>
          <w:szCs w:val="22"/>
        </w:rPr>
        <w:t xml:space="preserve"> </w:t>
      </w:r>
      <w:r w:rsidRPr="00170109">
        <w:rPr>
          <w:rFonts w:eastAsia="Palatino Linotype" w:cs="Palatino Linotype"/>
          <w:b/>
          <w:szCs w:val="22"/>
        </w:rPr>
        <w:t>LA PARTE RECURRENTE</w:t>
      </w:r>
      <w:r w:rsidRPr="00170109">
        <w:rPr>
          <w:rFonts w:eastAsia="Palatino Linotype" w:cs="Palatino Linotype"/>
          <w:szCs w:val="22"/>
        </w:rPr>
        <w:t xml:space="preserve"> presentó una solicitud de acceso a la información pública ante el </w:t>
      </w:r>
      <w:r w:rsidRPr="00170109">
        <w:rPr>
          <w:rFonts w:eastAsia="Palatino Linotype" w:cs="Palatino Linotype"/>
          <w:b/>
          <w:szCs w:val="22"/>
        </w:rPr>
        <w:t>SUJETO OBLIGADO</w:t>
      </w:r>
      <w:r w:rsidRPr="00170109">
        <w:rPr>
          <w:rFonts w:eastAsia="Palatino Linotype" w:cs="Palatino Linotype"/>
          <w:szCs w:val="22"/>
        </w:rPr>
        <w:t xml:space="preserve">, a través </w:t>
      </w:r>
      <w:r w:rsidR="007E42B7" w:rsidRPr="00170109">
        <w:rPr>
          <w:rFonts w:eastAsia="Palatino Linotype" w:cs="Palatino Linotype"/>
          <w:szCs w:val="22"/>
        </w:rPr>
        <w:t>del</w:t>
      </w:r>
      <w:r w:rsidRPr="00170109">
        <w:rPr>
          <w:rFonts w:eastAsia="Palatino Linotype" w:cs="Palatino Linotype"/>
          <w:szCs w:val="22"/>
        </w:rPr>
        <w:t xml:space="preserve"> Sistema de Acceso a la Información Mexiquense (SAIMEX). Dicha solicitud quedó registrada con el número de folio</w:t>
      </w:r>
      <w:r w:rsidRPr="00170109">
        <w:rPr>
          <w:rFonts w:eastAsia="Palatino Linotype" w:cs="Palatino Linotype"/>
          <w:b/>
          <w:szCs w:val="22"/>
        </w:rPr>
        <w:t xml:space="preserve"> </w:t>
      </w:r>
      <w:r w:rsidR="007D21FF" w:rsidRPr="00170109">
        <w:rPr>
          <w:rFonts w:eastAsia="Palatino Linotype" w:cs="Palatino Linotype"/>
          <w:b/>
          <w:szCs w:val="22"/>
        </w:rPr>
        <w:t>00229/SEDUI/IP/2024</w:t>
      </w:r>
      <w:r w:rsidRPr="00170109">
        <w:rPr>
          <w:rFonts w:eastAsia="Palatino Linotype" w:cs="Palatino Linotype"/>
          <w:b/>
          <w:szCs w:val="22"/>
        </w:rPr>
        <w:t xml:space="preserve"> </w:t>
      </w:r>
      <w:r w:rsidRPr="00170109">
        <w:rPr>
          <w:rFonts w:eastAsia="Palatino Linotype" w:cs="Palatino Linotype"/>
          <w:szCs w:val="22"/>
        </w:rPr>
        <w:t>y en ella se requirió la siguiente información:</w:t>
      </w:r>
    </w:p>
    <w:p w14:paraId="596FDDE9" w14:textId="77777777" w:rsidR="002E2C99" w:rsidRPr="00170109" w:rsidRDefault="002E2C99" w:rsidP="00170109">
      <w:pPr>
        <w:tabs>
          <w:tab w:val="left" w:pos="4667"/>
        </w:tabs>
        <w:ind w:right="567"/>
        <w:rPr>
          <w:rFonts w:eastAsiaTheme="majorEastAsia" w:cstheme="majorBidi"/>
          <w:i/>
          <w:kern w:val="28"/>
          <w:szCs w:val="22"/>
        </w:rPr>
      </w:pPr>
    </w:p>
    <w:p w14:paraId="390B514D" w14:textId="09C844C5" w:rsidR="00413154" w:rsidRPr="00170109" w:rsidRDefault="007D21FF" w:rsidP="00170109">
      <w:pPr>
        <w:pStyle w:val="Puesto"/>
        <w:rPr>
          <w:szCs w:val="22"/>
        </w:rPr>
      </w:pPr>
      <w:r w:rsidRPr="00170109">
        <w:rPr>
          <w:szCs w:val="22"/>
        </w:rPr>
        <w:t>Solicitud de Transparencia para la entrega de actas de entrega-recepción realizadas por la extinta Secretaría de Obra Pública y Desarrollo Urbano a la Secretaría de Infraestructura y la Secretaría del Agua Por medio de la presente, y conforme a lo establecido en la Ley de Transparencia y Acceso a la Información Pública del Estado de México, solicito respetuosamente se me proporcionen las actas de entrega-recepción que realizó la extinta Secretaría de Obra Pública y Desarrollo Urbano a las siguientes dependencias de acuerdo a sus respectivas competencias: 1. Secretaría de Infraestructura: Actas de entrega-</w:t>
      </w:r>
      <w:r w:rsidRPr="00170109">
        <w:rPr>
          <w:szCs w:val="22"/>
        </w:rPr>
        <w:lastRenderedPageBreak/>
        <w:t>recepción correspondientes a todas las obras públicas, proyectos de infraestructura y desarrollo urbano que se encontraban bajo la competencia de la extinta Secretaría de Obra Pública y Desarrollo Urbano. 2. Secretaría del Agua: Actas de entrega-recepción correspondientes a todos los proyectos, programas y obras relacionadas con el manejo, distribución y calidad del agua que eran responsabilidad de la extinta Secretaría de Obra Pública y Desarrollo Urbano. El objetivo de esta solicitud es obtener una visión clara y precisa de los procesos de entrega-recepción llevados a cabo entre estas dependencias, para asegurar la transparencia y la correcta transferencia de responsabilidades y activos. Agradezco de antemano su atención y pronta respuesta a esta solicitud. Quedo a su disposición para cualquier aclaración adicional que pudiera requerir.</w:t>
      </w:r>
    </w:p>
    <w:p w14:paraId="63030159" w14:textId="77777777" w:rsidR="007D21FF" w:rsidRPr="00170109" w:rsidRDefault="007D21FF" w:rsidP="00170109"/>
    <w:p w14:paraId="0BD6321D" w14:textId="0A5D6479" w:rsidR="00664420" w:rsidRPr="00170109" w:rsidRDefault="009A2D78" w:rsidP="00170109">
      <w:pPr>
        <w:tabs>
          <w:tab w:val="left" w:pos="4667"/>
        </w:tabs>
        <w:ind w:right="567"/>
        <w:rPr>
          <w:rFonts w:cs="Tahoma"/>
          <w:bCs/>
          <w:i/>
          <w:szCs w:val="22"/>
        </w:rPr>
      </w:pPr>
      <w:r w:rsidRPr="00170109">
        <w:rPr>
          <w:rFonts w:cs="Tahoma"/>
          <w:b/>
          <w:bCs/>
          <w:szCs w:val="22"/>
        </w:rPr>
        <w:t>Modalidad de entrega</w:t>
      </w:r>
      <w:r w:rsidRPr="00170109">
        <w:rPr>
          <w:rFonts w:cs="Tahoma"/>
          <w:bCs/>
          <w:szCs w:val="22"/>
        </w:rPr>
        <w:t>: a</w:t>
      </w:r>
      <w:r w:rsidR="00664420" w:rsidRPr="00170109">
        <w:rPr>
          <w:rFonts w:cs="Tahoma"/>
          <w:bCs/>
          <w:i/>
          <w:szCs w:val="22"/>
        </w:rPr>
        <w:t xml:space="preserve"> través </w:t>
      </w:r>
      <w:r w:rsidR="00C84660" w:rsidRPr="00170109">
        <w:rPr>
          <w:rFonts w:cs="Tahoma"/>
          <w:bCs/>
          <w:i/>
          <w:szCs w:val="22"/>
        </w:rPr>
        <w:t>de</w:t>
      </w:r>
      <w:r w:rsidR="00664420" w:rsidRPr="00170109">
        <w:rPr>
          <w:rFonts w:cs="Tahoma"/>
          <w:bCs/>
          <w:i/>
          <w:szCs w:val="22"/>
        </w:rPr>
        <w:t xml:space="preserve">l </w:t>
      </w:r>
      <w:r w:rsidR="00664420" w:rsidRPr="00170109">
        <w:rPr>
          <w:rFonts w:cs="Tahoma"/>
          <w:b/>
          <w:bCs/>
          <w:i/>
          <w:szCs w:val="22"/>
        </w:rPr>
        <w:t>SAIMEX</w:t>
      </w:r>
      <w:r w:rsidRPr="00170109">
        <w:rPr>
          <w:rFonts w:cs="Tahoma"/>
          <w:bCs/>
          <w:i/>
          <w:szCs w:val="22"/>
        </w:rPr>
        <w:t>.</w:t>
      </w:r>
    </w:p>
    <w:p w14:paraId="330F73DA" w14:textId="77777777" w:rsidR="006F611E" w:rsidRPr="00170109" w:rsidRDefault="006F611E" w:rsidP="00170109">
      <w:pPr>
        <w:tabs>
          <w:tab w:val="left" w:pos="4667"/>
        </w:tabs>
        <w:ind w:right="567"/>
        <w:rPr>
          <w:rFonts w:cs="Tahoma"/>
          <w:bCs/>
          <w:i/>
          <w:szCs w:val="22"/>
        </w:rPr>
      </w:pPr>
    </w:p>
    <w:p w14:paraId="51E30624" w14:textId="0258823E" w:rsidR="008F3837" w:rsidRPr="00170109" w:rsidRDefault="008F3837" w:rsidP="00170109">
      <w:pPr>
        <w:pStyle w:val="Ttulo3"/>
        <w:rPr>
          <w:szCs w:val="22"/>
        </w:rPr>
      </w:pPr>
      <w:bookmarkStart w:id="6" w:name="_Toc179927162"/>
      <w:r w:rsidRPr="00170109">
        <w:rPr>
          <w:szCs w:val="22"/>
        </w:rPr>
        <w:t xml:space="preserve">b) </w:t>
      </w:r>
      <w:r w:rsidR="00FA7155" w:rsidRPr="00170109">
        <w:rPr>
          <w:bCs/>
          <w:szCs w:val="22"/>
        </w:rPr>
        <w:t>Turno de la solicitud de información</w:t>
      </w:r>
      <w:bookmarkEnd w:id="6"/>
    </w:p>
    <w:p w14:paraId="73DA7815" w14:textId="3F1CA040" w:rsidR="008F3837" w:rsidRPr="00170109" w:rsidRDefault="008F3837" w:rsidP="00170109">
      <w:pPr>
        <w:tabs>
          <w:tab w:val="left" w:pos="4667"/>
        </w:tabs>
        <w:ind w:right="567"/>
        <w:rPr>
          <w:rFonts w:cs="Tahoma"/>
          <w:bCs/>
          <w:szCs w:val="22"/>
        </w:rPr>
      </w:pPr>
      <w:r w:rsidRPr="00170109">
        <w:rPr>
          <w:rFonts w:cs="Tahoma"/>
          <w:bCs/>
          <w:szCs w:val="22"/>
        </w:rPr>
        <w:t xml:space="preserve">En cumplimiento al artículo 162 de la Ley de Transparencia y Acceso a la Información Pública del Estado de México y Municipios, el </w:t>
      </w:r>
      <w:r w:rsidR="007D21FF" w:rsidRPr="00170109">
        <w:rPr>
          <w:rFonts w:cs="Tahoma"/>
          <w:b/>
          <w:bCs/>
          <w:szCs w:val="22"/>
        </w:rPr>
        <w:t>veinte de septiembre</w:t>
      </w:r>
      <w:r w:rsidRPr="00170109">
        <w:rPr>
          <w:rFonts w:cs="Tahoma"/>
          <w:b/>
          <w:bCs/>
          <w:szCs w:val="22"/>
        </w:rPr>
        <w:t xml:space="preserve"> de dos mil veinticuatro</w:t>
      </w:r>
      <w:r w:rsidRPr="00170109">
        <w:rPr>
          <w:rFonts w:cs="Tahoma"/>
          <w:bCs/>
          <w:szCs w:val="22"/>
        </w:rPr>
        <w:t xml:space="preserve">, el Titular de la Unidad de Transparencia del </w:t>
      </w:r>
      <w:r w:rsidRPr="00170109">
        <w:rPr>
          <w:rFonts w:cs="Tahoma"/>
          <w:b/>
          <w:bCs/>
          <w:szCs w:val="22"/>
        </w:rPr>
        <w:t>SUJETO OBLIGADO</w:t>
      </w:r>
      <w:r w:rsidRPr="00170109">
        <w:rPr>
          <w:rFonts w:cs="Tahoma"/>
          <w:bCs/>
          <w:szCs w:val="22"/>
        </w:rPr>
        <w:t xml:space="preserve"> turnó la solicitud de información a los servidores públicos habilitados que estimó pertinente.</w:t>
      </w:r>
    </w:p>
    <w:p w14:paraId="1C0542AF" w14:textId="77777777" w:rsidR="008F3837" w:rsidRPr="00170109" w:rsidRDefault="008F3837" w:rsidP="00170109">
      <w:pPr>
        <w:tabs>
          <w:tab w:val="left" w:pos="4667"/>
        </w:tabs>
        <w:ind w:right="567"/>
        <w:rPr>
          <w:rFonts w:cs="Tahoma"/>
          <w:bCs/>
          <w:szCs w:val="22"/>
        </w:rPr>
      </w:pPr>
    </w:p>
    <w:p w14:paraId="3212BA4D" w14:textId="091C39CE" w:rsidR="00664420" w:rsidRPr="00170109" w:rsidRDefault="002E2C99" w:rsidP="00170109">
      <w:pPr>
        <w:pStyle w:val="Ttulo3"/>
        <w:rPr>
          <w:szCs w:val="22"/>
        </w:rPr>
      </w:pPr>
      <w:bookmarkStart w:id="7" w:name="_Toc179927163"/>
      <w:r w:rsidRPr="00170109">
        <w:rPr>
          <w:szCs w:val="22"/>
          <w:lang w:val="es-ES"/>
        </w:rPr>
        <w:t xml:space="preserve">c) </w:t>
      </w:r>
      <w:r w:rsidR="00664420" w:rsidRPr="00170109">
        <w:rPr>
          <w:szCs w:val="22"/>
          <w:lang w:val="es-ES"/>
        </w:rPr>
        <w:t xml:space="preserve">Respuesta </w:t>
      </w:r>
      <w:r w:rsidR="00664420" w:rsidRPr="00170109">
        <w:rPr>
          <w:rFonts w:eastAsia="Calibri"/>
          <w:szCs w:val="22"/>
          <w:lang w:eastAsia="en-US"/>
        </w:rPr>
        <w:t>del Sujeto Obligado</w:t>
      </w:r>
      <w:bookmarkEnd w:id="7"/>
    </w:p>
    <w:p w14:paraId="79199CC1" w14:textId="2B6DE7DA" w:rsidR="00664420" w:rsidRPr="00170109" w:rsidRDefault="00664420" w:rsidP="00170109">
      <w:pPr>
        <w:pStyle w:val="Sinespaciado"/>
        <w:spacing w:line="360" w:lineRule="auto"/>
        <w:rPr>
          <w:szCs w:val="22"/>
          <w:lang w:val="es-ES"/>
        </w:rPr>
      </w:pPr>
      <w:r w:rsidRPr="00170109">
        <w:rPr>
          <w:szCs w:val="22"/>
          <w:lang w:val="es-ES"/>
        </w:rPr>
        <w:t xml:space="preserve">El </w:t>
      </w:r>
      <w:r w:rsidR="007D21FF" w:rsidRPr="00170109">
        <w:rPr>
          <w:rFonts w:cs="Tahoma"/>
          <w:b/>
          <w:bCs/>
          <w:szCs w:val="22"/>
        </w:rPr>
        <w:t xml:space="preserve">veinte de septiembre </w:t>
      </w:r>
      <w:r w:rsidR="000748DF" w:rsidRPr="00170109">
        <w:rPr>
          <w:rFonts w:eastAsia="Calibri" w:cs="Arial"/>
          <w:b/>
          <w:szCs w:val="22"/>
          <w:lang w:val="es-ES" w:eastAsia="en-US"/>
        </w:rPr>
        <w:t>de dos mil veinticuatro</w:t>
      </w:r>
      <w:r w:rsidR="00983EEF" w:rsidRPr="00170109">
        <w:rPr>
          <w:b/>
          <w:szCs w:val="22"/>
          <w:lang w:val="es-ES"/>
        </w:rPr>
        <w:t xml:space="preserve">, </w:t>
      </w:r>
      <w:r w:rsidR="00F07EE6" w:rsidRPr="00170109">
        <w:rPr>
          <w:szCs w:val="22"/>
          <w:lang w:val="es-ES"/>
        </w:rPr>
        <w:t>l</w:t>
      </w:r>
      <w:r w:rsidR="002268D4" w:rsidRPr="00170109">
        <w:rPr>
          <w:szCs w:val="22"/>
          <w:lang w:val="es-ES"/>
        </w:rPr>
        <w:t>a</w:t>
      </w:r>
      <w:r w:rsidR="00F07EE6" w:rsidRPr="00170109">
        <w:rPr>
          <w:szCs w:val="22"/>
          <w:lang w:val="es-ES"/>
        </w:rPr>
        <w:t xml:space="preserve"> Titular de la Unidad de Transparencia del </w:t>
      </w:r>
      <w:r w:rsidR="00F07EE6" w:rsidRPr="00170109">
        <w:rPr>
          <w:b/>
          <w:szCs w:val="22"/>
          <w:lang w:val="es-ES"/>
        </w:rPr>
        <w:t>SUJETO OBLIGADO</w:t>
      </w:r>
      <w:r w:rsidR="00F07EE6" w:rsidRPr="00170109">
        <w:rPr>
          <w:szCs w:val="22"/>
          <w:lang w:val="es-ES"/>
        </w:rPr>
        <w:t xml:space="preserve"> notificó la siguiente respuesta a través del </w:t>
      </w:r>
      <w:r w:rsidRPr="00170109">
        <w:rPr>
          <w:szCs w:val="22"/>
          <w:lang w:val="es-ES"/>
        </w:rPr>
        <w:t>SAIMEX</w:t>
      </w:r>
      <w:r w:rsidR="00F07EE6" w:rsidRPr="00170109">
        <w:rPr>
          <w:szCs w:val="22"/>
          <w:lang w:val="es-ES"/>
        </w:rPr>
        <w:t>:</w:t>
      </w:r>
    </w:p>
    <w:p w14:paraId="66410657" w14:textId="77777777" w:rsidR="002268D4" w:rsidRPr="00170109" w:rsidRDefault="002268D4" w:rsidP="00170109">
      <w:pPr>
        <w:pStyle w:val="Puesto"/>
        <w:ind w:left="0"/>
        <w:rPr>
          <w:szCs w:val="22"/>
        </w:rPr>
      </w:pPr>
    </w:p>
    <w:p w14:paraId="2F5DAEA9" w14:textId="77777777" w:rsidR="007D21FF" w:rsidRPr="00170109" w:rsidRDefault="007D21FF" w:rsidP="00170109">
      <w:pPr>
        <w:pStyle w:val="Puesto"/>
        <w:jc w:val="right"/>
        <w:rPr>
          <w:szCs w:val="22"/>
        </w:rPr>
      </w:pPr>
      <w:r w:rsidRPr="00170109">
        <w:rPr>
          <w:szCs w:val="22"/>
        </w:rPr>
        <w:t>Folio de la solicitud: 00229/SEDUI/IP/2024</w:t>
      </w:r>
    </w:p>
    <w:p w14:paraId="76E2E3DD" w14:textId="77777777" w:rsidR="007D21FF" w:rsidRPr="00170109" w:rsidRDefault="007D21FF" w:rsidP="00170109">
      <w:pPr>
        <w:pStyle w:val="Puesto"/>
        <w:rPr>
          <w:szCs w:val="22"/>
        </w:rPr>
      </w:pPr>
    </w:p>
    <w:p w14:paraId="3802591E" w14:textId="77777777" w:rsidR="007D21FF" w:rsidRPr="00170109" w:rsidRDefault="007D21FF" w:rsidP="00170109">
      <w:pPr>
        <w:pStyle w:val="Puesto"/>
        <w:rPr>
          <w:szCs w:val="22"/>
        </w:rPr>
      </w:pPr>
      <w:r w:rsidRPr="00170109">
        <w:rPr>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94C9B2E" w14:textId="77777777" w:rsidR="007D21FF" w:rsidRPr="00170109" w:rsidRDefault="007D21FF" w:rsidP="00170109">
      <w:pPr>
        <w:pStyle w:val="Puesto"/>
        <w:rPr>
          <w:szCs w:val="22"/>
        </w:rPr>
      </w:pPr>
    </w:p>
    <w:p w14:paraId="4D21B7ED" w14:textId="77777777" w:rsidR="007D21FF" w:rsidRPr="00170109" w:rsidRDefault="007D21FF" w:rsidP="00170109">
      <w:pPr>
        <w:pStyle w:val="Puesto"/>
        <w:rPr>
          <w:szCs w:val="22"/>
        </w:rPr>
      </w:pPr>
      <w:r w:rsidRPr="00170109">
        <w:rPr>
          <w:szCs w:val="22"/>
        </w:rPr>
        <w:t>Sobre el particular, se adjunta oficio número SEDUI-CI-0855/2024 de fecha 20 de septiembre del presente año mediante el cual se detalla información sobre su solicitud.</w:t>
      </w:r>
    </w:p>
    <w:p w14:paraId="2199EBBF" w14:textId="77777777" w:rsidR="007D21FF" w:rsidRPr="00170109" w:rsidRDefault="007D21FF" w:rsidP="00170109">
      <w:pPr>
        <w:pStyle w:val="Puesto"/>
        <w:rPr>
          <w:szCs w:val="22"/>
        </w:rPr>
      </w:pPr>
      <w:r w:rsidRPr="00170109">
        <w:rPr>
          <w:szCs w:val="22"/>
        </w:rPr>
        <w:lastRenderedPageBreak/>
        <w:t>ATENTAMENTE</w:t>
      </w:r>
    </w:p>
    <w:p w14:paraId="75642CED" w14:textId="28F5C066" w:rsidR="000748DF" w:rsidRPr="00170109" w:rsidRDefault="007D21FF" w:rsidP="00170109">
      <w:pPr>
        <w:pStyle w:val="Puesto"/>
        <w:rPr>
          <w:szCs w:val="22"/>
        </w:rPr>
      </w:pPr>
      <w:r w:rsidRPr="00170109">
        <w:rPr>
          <w:szCs w:val="22"/>
        </w:rPr>
        <w:t>Mtro. Ricardo Valencia San Juan</w:t>
      </w:r>
    </w:p>
    <w:p w14:paraId="467AF2AE" w14:textId="77777777" w:rsidR="002E2C99" w:rsidRPr="00170109" w:rsidRDefault="002E2C99" w:rsidP="00170109">
      <w:pPr>
        <w:autoSpaceDE w:val="0"/>
        <w:autoSpaceDN w:val="0"/>
        <w:adjustRightInd w:val="0"/>
        <w:ind w:right="-28"/>
        <w:rPr>
          <w:rFonts w:cs="Tahoma"/>
          <w:bCs/>
          <w:szCs w:val="22"/>
        </w:rPr>
      </w:pPr>
    </w:p>
    <w:p w14:paraId="2211D1AB" w14:textId="7F306D69" w:rsidR="00983EEF" w:rsidRPr="00170109" w:rsidRDefault="00F07EE6" w:rsidP="00170109">
      <w:pPr>
        <w:autoSpaceDE w:val="0"/>
        <w:autoSpaceDN w:val="0"/>
        <w:adjustRightInd w:val="0"/>
        <w:ind w:right="-28"/>
        <w:rPr>
          <w:rFonts w:cs="Tahoma"/>
          <w:bCs/>
          <w:szCs w:val="22"/>
          <w:lang w:val="es-ES"/>
        </w:rPr>
      </w:pPr>
      <w:r w:rsidRPr="00170109">
        <w:rPr>
          <w:rFonts w:cs="Tahoma"/>
          <w:bCs/>
          <w:szCs w:val="22"/>
          <w:lang w:val="es-ES"/>
        </w:rPr>
        <w:t xml:space="preserve">Asimismo, </w:t>
      </w:r>
      <w:r w:rsidRPr="00170109">
        <w:rPr>
          <w:rFonts w:cs="Tahoma"/>
          <w:b/>
          <w:szCs w:val="22"/>
          <w:lang w:val="es-ES"/>
        </w:rPr>
        <w:t xml:space="preserve">EL SUJETO OBLIGADO </w:t>
      </w:r>
      <w:r w:rsidRPr="00170109">
        <w:rPr>
          <w:rFonts w:cs="Tahoma"/>
          <w:bCs/>
          <w:szCs w:val="22"/>
          <w:lang w:val="es-ES"/>
        </w:rPr>
        <w:t xml:space="preserve">adjuntó a su respuesta </w:t>
      </w:r>
      <w:r w:rsidR="002E2C99" w:rsidRPr="00170109">
        <w:rPr>
          <w:rFonts w:cs="Tahoma"/>
          <w:bCs/>
          <w:szCs w:val="22"/>
          <w:lang w:val="es-ES"/>
        </w:rPr>
        <w:t xml:space="preserve">los </w:t>
      </w:r>
      <w:r w:rsidRPr="00170109">
        <w:rPr>
          <w:rFonts w:cs="Tahoma"/>
          <w:bCs/>
          <w:szCs w:val="22"/>
          <w:lang w:val="es-ES"/>
        </w:rPr>
        <w:t>archivo</w:t>
      </w:r>
      <w:r w:rsidR="002E2C99" w:rsidRPr="00170109">
        <w:rPr>
          <w:rFonts w:cs="Tahoma"/>
          <w:bCs/>
          <w:szCs w:val="22"/>
          <w:lang w:val="es-ES"/>
        </w:rPr>
        <w:t>s</w:t>
      </w:r>
      <w:r w:rsidRPr="00170109">
        <w:rPr>
          <w:rFonts w:cs="Tahoma"/>
          <w:bCs/>
          <w:szCs w:val="22"/>
          <w:lang w:val="es-ES"/>
        </w:rPr>
        <w:t xml:space="preserve"> electrónico</w:t>
      </w:r>
      <w:r w:rsidR="002E2C99" w:rsidRPr="00170109">
        <w:rPr>
          <w:rFonts w:cs="Tahoma"/>
          <w:bCs/>
          <w:szCs w:val="22"/>
          <w:lang w:val="es-ES"/>
        </w:rPr>
        <w:t>s</w:t>
      </w:r>
      <w:r w:rsidR="004252F1" w:rsidRPr="00170109">
        <w:rPr>
          <w:rFonts w:cs="Tahoma"/>
          <w:bCs/>
          <w:szCs w:val="22"/>
          <w:lang w:val="es-ES"/>
        </w:rPr>
        <w:t xml:space="preserve"> </w:t>
      </w:r>
      <w:r w:rsidR="00721C9E" w:rsidRPr="00170109">
        <w:rPr>
          <w:rFonts w:cs="Tahoma"/>
          <w:bCs/>
          <w:szCs w:val="22"/>
          <w:lang w:val="es-ES"/>
        </w:rPr>
        <w:t>que se describen a continuación:</w:t>
      </w:r>
    </w:p>
    <w:p w14:paraId="0F94FCEA" w14:textId="77777777" w:rsidR="00C70866" w:rsidRPr="00170109" w:rsidRDefault="00C70866" w:rsidP="00170109">
      <w:pPr>
        <w:autoSpaceDE w:val="0"/>
        <w:autoSpaceDN w:val="0"/>
        <w:adjustRightInd w:val="0"/>
        <w:ind w:right="-28"/>
        <w:rPr>
          <w:rFonts w:cs="Tahoma"/>
          <w:bCs/>
          <w:szCs w:val="22"/>
          <w:lang w:val="es-ES"/>
        </w:rPr>
      </w:pPr>
    </w:p>
    <w:p w14:paraId="40371017" w14:textId="77777777" w:rsidR="007D21FF" w:rsidRPr="00170109" w:rsidRDefault="007D21FF" w:rsidP="00170109">
      <w:pPr>
        <w:pStyle w:val="Prrafodelista"/>
        <w:numPr>
          <w:ilvl w:val="0"/>
          <w:numId w:val="16"/>
        </w:numPr>
        <w:autoSpaceDE w:val="0"/>
        <w:autoSpaceDN w:val="0"/>
        <w:adjustRightInd w:val="0"/>
        <w:ind w:right="-28"/>
        <w:rPr>
          <w:rFonts w:cs="Tahoma"/>
          <w:b/>
          <w:bCs/>
          <w:i/>
          <w:szCs w:val="22"/>
          <w:lang w:val="es-ES"/>
        </w:rPr>
      </w:pPr>
      <w:r w:rsidRPr="00170109">
        <w:rPr>
          <w:rFonts w:cs="Tahoma"/>
          <w:b/>
          <w:bCs/>
          <w:i/>
          <w:szCs w:val="22"/>
          <w:lang w:val="es-ES"/>
        </w:rPr>
        <w:t>C.A.251-2024OF-2429-2024.pdf</w:t>
      </w:r>
    </w:p>
    <w:p w14:paraId="077DF124" w14:textId="6CC1D675" w:rsidR="007D21FF" w:rsidRPr="00170109" w:rsidRDefault="007D21FF" w:rsidP="00170109">
      <w:pPr>
        <w:pStyle w:val="Prrafodelista"/>
        <w:autoSpaceDE w:val="0"/>
        <w:autoSpaceDN w:val="0"/>
        <w:adjustRightInd w:val="0"/>
        <w:ind w:right="-28"/>
        <w:rPr>
          <w:rFonts w:cs="Tahoma"/>
          <w:bCs/>
          <w:szCs w:val="22"/>
          <w:lang w:val="es-ES"/>
        </w:rPr>
      </w:pPr>
      <w:r w:rsidRPr="00170109">
        <w:rPr>
          <w:rFonts w:cs="Tahoma"/>
          <w:bCs/>
          <w:szCs w:val="22"/>
          <w:lang w:val="es-ES"/>
        </w:rPr>
        <w:t>Documental en la que se contiene el oficio No. 23000004000000S/2429/2024 de fecha 17 de septiembre, suscrito por la Coordinadora Administrativa, dirigido al Titular de la Unidad de Transparencia, en el que le indica:</w:t>
      </w:r>
    </w:p>
    <w:p w14:paraId="7DA929D2" w14:textId="77777777" w:rsidR="00DB7889" w:rsidRPr="00170109" w:rsidRDefault="00DB7889" w:rsidP="00170109">
      <w:pPr>
        <w:pStyle w:val="Prrafodelista"/>
        <w:autoSpaceDE w:val="0"/>
        <w:autoSpaceDN w:val="0"/>
        <w:adjustRightInd w:val="0"/>
        <w:ind w:right="-28"/>
        <w:rPr>
          <w:rFonts w:cs="Tahoma"/>
          <w:bCs/>
          <w:szCs w:val="22"/>
          <w:lang w:val="es-ES"/>
        </w:rPr>
      </w:pPr>
    </w:p>
    <w:p w14:paraId="4E1607E4" w14:textId="26C0167E" w:rsidR="007D21FF" w:rsidRPr="00170109" w:rsidRDefault="007D21FF" w:rsidP="00170109">
      <w:pPr>
        <w:pStyle w:val="Prrafodelista"/>
        <w:autoSpaceDE w:val="0"/>
        <w:autoSpaceDN w:val="0"/>
        <w:adjustRightInd w:val="0"/>
        <w:ind w:right="-28"/>
        <w:rPr>
          <w:rFonts w:cs="Tahoma"/>
          <w:bCs/>
          <w:i/>
          <w:szCs w:val="22"/>
          <w:lang w:val="es-ES"/>
        </w:rPr>
      </w:pPr>
      <w:r w:rsidRPr="00170109">
        <w:rPr>
          <w:rFonts w:cs="Tahoma"/>
          <w:bCs/>
          <w:szCs w:val="22"/>
          <w:lang w:val="es-ES"/>
        </w:rPr>
        <w:t>“…</w:t>
      </w:r>
      <w:r w:rsidRPr="00170109">
        <w:rPr>
          <w:rFonts w:cs="Tahoma"/>
          <w:bCs/>
          <w:i/>
          <w:szCs w:val="22"/>
          <w:lang w:val="es-ES"/>
        </w:rPr>
        <w:t>se comenta que esta Coordinación Administrativa no genera información relacionado con lo solicitado</w:t>
      </w:r>
      <w:r w:rsidR="00EB46DA" w:rsidRPr="00170109">
        <w:rPr>
          <w:rFonts w:cs="Tahoma"/>
          <w:bCs/>
          <w:i/>
          <w:szCs w:val="22"/>
          <w:lang w:val="es-ES"/>
        </w:rPr>
        <w:t>.” Sic.</w:t>
      </w:r>
    </w:p>
    <w:p w14:paraId="02CE5F37" w14:textId="77777777" w:rsidR="007D21FF" w:rsidRPr="00170109" w:rsidRDefault="007D21FF" w:rsidP="00170109">
      <w:pPr>
        <w:pStyle w:val="Prrafodelista"/>
        <w:autoSpaceDE w:val="0"/>
        <w:autoSpaceDN w:val="0"/>
        <w:adjustRightInd w:val="0"/>
        <w:ind w:right="-28"/>
        <w:rPr>
          <w:rFonts w:cs="Tahoma"/>
          <w:b/>
          <w:bCs/>
          <w:szCs w:val="22"/>
          <w:lang w:val="es-ES"/>
        </w:rPr>
      </w:pPr>
    </w:p>
    <w:p w14:paraId="2DDDE4CF" w14:textId="1B711142" w:rsidR="007D21FF" w:rsidRPr="00170109" w:rsidRDefault="007D21FF" w:rsidP="00170109">
      <w:pPr>
        <w:pStyle w:val="Prrafodelista"/>
        <w:numPr>
          <w:ilvl w:val="0"/>
          <w:numId w:val="16"/>
        </w:numPr>
        <w:autoSpaceDE w:val="0"/>
        <w:autoSpaceDN w:val="0"/>
        <w:adjustRightInd w:val="0"/>
        <w:ind w:right="-28"/>
        <w:rPr>
          <w:rFonts w:cs="Tahoma"/>
          <w:b/>
          <w:bCs/>
          <w:i/>
          <w:szCs w:val="22"/>
          <w:lang w:val="es-ES"/>
        </w:rPr>
      </w:pPr>
      <w:r w:rsidRPr="00170109">
        <w:rPr>
          <w:rFonts w:cs="Tahoma"/>
          <w:b/>
          <w:bCs/>
          <w:i/>
          <w:szCs w:val="22"/>
          <w:lang w:val="es-ES"/>
        </w:rPr>
        <w:t>UT 229-2024 OF.855-2024.pdf</w:t>
      </w:r>
    </w:p>
    <w:p w14:paraId="00B73100" w14:textId="4AA6F6AA" w:rsidR="001D34CA" w:rsidRPr="00170109" w:rsidRDefault="001D34CA" w:rsidP="00170109">
      <w:pPr>
        <w:pStyle w:val="Prrafodelista"/>
        <w:autoSpaceDE w:val="0"/>
        <w:autoSpaceDN w:val="0"/>
        <w:adjustRightInd w:val="0"/>
        <w:ind w:right="-28"/>
        <w:rPr>
          <w:rFonts w:cs="Tahoma"/>
          <w:bCs/>
          <w:szCs w:val="22"/>
          <w:lang w:val="es-ES"/>
        </w:rPr>
      </w:pPr>
      <w:r w:rsidRPr="00170109">
        <w:rPr>
          <w:rFonts w:cs="Tahoma"/>
          <w:bCs/>
          <w:szCs w:val="22"/>
          <w:lang w:val="es-ES"/>
        </w:rPr>
        <w:t>Documental en la que se contiene el oficio No. SEDUI-CI-0855/2024 de fecha 20 de septiembre, suscrito por el Titular de la Unidad de Transparencia, dirigido al ciudadano, en el que le indica de manera medular:</w:t>
      </w:r>
    </w:p>
    <w:p w14:paraId="0251B187" w14:textId="77777777" w:rsidR="001D34CA" w:rsidRPr="00170109" w:rsidRDefault="001D34CA" w:rsidP="00170109">
      <w:pPr>
        <w:pStyle w:val="Prrafodelista"/>
        <w:autoSpaceDE w:val="0"/>
        <w:autoSpaceDN w:val="0"/>
        <w:adjustRightInd w:val="0"/>
        <w:ind w:right="-28"/>
        <w:rPr>
          <w:rFonts w:cs="Tahoma"/>
          <w:bCs/>
          <w:szCs w:val="22"/>
          <w:lang w:val="es-ES"/>
        </w:rPr>
      </w:pPr>
    </w:p>
    <w:p w14:paraId="13142C63" w14:textId="1887309E" w:rsidR="001D34CA" w:rsidRPr="00170109" w:rsidRDefault="00E85899" w:rsidP="00170109">
      <w:pPr>
        <w:pStyle w:val="Prrafodelista"/>
        <w:autoSpaceDE w:val="0"/>
        <w:autoSpaceDN w:val="0"/>
        <w:adjustRightInd w:val="0"/>
        <w:ind w:right="-28"/>
        <w:rPr>
          <w:rFonts w:cs="Tahoma"/>
          <w:bCs/>
          <w:i/>
          <w:szCs w:val="22"/>
          <w:lang w:val="es-ES"/>
        </w:rPr>
      </w:pPr>
      <w:r w:rsidRPr="00170109">
        <w:rPr>
          <w:rFonts w:cs="Tahoma"/>
          <w:bCs/>
          <w:szCs w:val="22"/>
          <w:lang w:val="es-ES"/>
        </w:rPr>
        <w:t>“…</w:t>
      </w:r>
      <w:r w:rsidRPr="00170109">
        <w:rPr>
          <w:rFonts w:cs="Tahoma"/>
          <w:bCs/>
          <w:i/>
          <w:szCs w:val="22"/>
          <w:lang w:val="es-ES"/>
        </w:rPr>
        <w:t xml:space="preserve">Por lo anteriormente expuesto y en relación al oficio de respuesta de la unidad de administrativa, sobre la búsqueda exhaustiva y razonada realizada por la Coordinación Administrativa, de esta Secretaría, se le informa que no se localizó información o expresión documental generada o administrada que pudiera obrar en sus archivos, bajo la denominación de la referida </w:t>
      </w:r>
      <w:r w:rsidRPr="00170109">
        <w:rPr>
          <w:rFonts w:cs="Tahoma"/>
          <w:b/>
          <w:bCs/>
          <w:i/>
          <w:szCs w:val="22"/>
          <w:lang w:val="es-ES"/>
        </w:rPr>
        <w:t xml:space="preserve">Secretaría de Obra Pública y Desarrollo Urbano, </w:t>
      </w:r>
      <w:r w:rsidRPr="00170109">
        <w:rPr>
          <w:rFonts w:cs="Tahoma"/>
          <w:bCs/>
          <w:i/>
          <w:szCs w:val="22"/>
          <w:lang w:val="es-ES"/>
        </w:rPr>
        <w:t xml:space="preserve">tal y como lo describe el ciudadano en su solicitud…” Sic. </w:t>
      </w:r>
    </w:p>
    <w:p w14:paraId="5A5DAB9E" w14:textId="77777777" w:rsidR="00E37A3F" w:rsidRPr="00170109" w:rsidRDefault="00E37A3F" w:rsidP="00170109">
      <w:pPr>
        <w:pStyle w:val="Ttulo2"/>
        <w:jc w:val="left"/>
        <w:rPr>
          <w:szCs w:val="22"/>
        </w:rPr>
      </w:pPr>
      <w:bookmarkStart w:id="8" w:name="_Toc179927164"/>
      <w:r w:rsidRPr="00170109">
        <w:rPr>
          <w:szCs w:val="22"/>
        </w:rPr>
        <w:lastRenderedPageBreak/>
        <w:t>DEL RECURSO DE REVISIÓN</w:t>
      </w:r>
      <w:bookmarkEnd w:id="8"/>
    </w:p>
    <w:p w14:paraId="2B216813" w14:textId="61ADBB2B" w:rsidR="00664420" w:rsidRPr="00170109" w:rsidRDefault="006E25BC" w:rsidP="00170109">
      <w:pPr>
        <w:pStyle w:val="Ttulo3"/>
        <w:rPr>
          <w:szCs w:val="22"/>
        </w:rPr>
      </w:pPr>
      <w:bookmarkStart w:id="9" w:name="_Toc179927165"/>
      <w:r w:rsidRPr="00170109">
        <w:rPr>
          <w:szCs w:val="22"/>
        </w:rPr>
        <w:t xml:space="preserve">a) </w:t>
      </w:r>
      <w:r w:rsidR="00664420" w:rsidRPr="00170109">
        <w:rPr>
          <w:szCs w:val="22"/>
        </w:rPr>
        <w:t>Interposición del Recurso de Revisión</w:t>
      </w:r>
      <w:bookmarkEnd w:id="9"/>
    </w:p>
    <w:p w14:paraId="6279C622" w14:textId="090D2F04" w:rsidR="00664420" w:rsidRPr="00170109" w:rsidRDefault="00664420" w:rsidP="00170109">
      <w:pPr>
        <w:autoSpaceDE w:val="0"/>
        <w:autoSpaceDN w:val="0"/>
        <w:adjustRightInd w:val="0"/>
        <w:ind w:right="-28"/>
        <w:rPr>
          <w:rFonts w:cs="Tahoma"/>
          <w:szCs w:val="22"/>
        </w:rPr>
      </w:pPr>
      <w:r w:rsidRPr="00170109">
        <w:rPr>
          <w:rFonts w:cs="Tahoma"/>
          <w:szCs w:val="22"/>
        </w:rPr>
        <w:t xml:space="preserve">El </w:t>
      </w:r>
      <w:r w:rsidR="007D21FF" w:rsidRPr="00170109">
        <w:rPr>
          <w:rFonts w:cs="Tahoma"/>
          <w:b/>
          <w:bCs/>
          <w:szCs w:val="22"/>
        </w:rPr>
        <w:t>veintitrés</w:t>
      </w:r>
      <w:r w:rsidR="00021886" w:rsidRPr="00170109">
        <w:rPr>
          <w:rFonts w:cs="Tahoma"/>
          <w:b/>
          <w:bCs/>
          <w:szCs w:val="22"/>
        </w:rPr>
        <w:t xml:space="preserve"> </w:t>
      </w:r>
      <w:r w:rsidR="007E42B7" w:rsidRPr="00170109">
        <w:rPr>
          <w:rFonts w:cs="Tahoma"/>
          <w:b/>
          <w:bCs/>
          <w:szCs w:val="22"/>
        </w:rPr>
        <w:t>de septiembre</w:t>
      </w:r>
      <w:r w:rsidRPr="00170109">
        <w:rPr>
          <w:rFonts w:cs="Tahoma"/>
          <w:b/>
          <w:bCs/>
          <w:szCs w:val="22"/>
        </w:rPr>
        <w:t xml:space="preserve"> de dos mil </w:t>
      </w:r>
      <w:r w:rsidR="00E810F7" w:rsidRPr="00170109">
        <w:rPr>
          <w:rFonts w:cs="Tahoma"/>
          <w:b/>
          <w:bCs/>
          <w:szCs w:val="22"/>
        </w:rPr>
        <w:t>veinticuatro</w:t>
      </w:r>
      <w:r w:rsidR="009C7CDB" w:rsidRPr="00170109">
        <w:rPr>
          <w:rFonts w:cs="Tahoma"/>
          <w:b/>
          <w:bCs/>
          <w:szCs w:val="22"/>
        </w:rPr>
        <w:t>,</w:t>
      </w:r>
      <w:r w:rsidRPr="00170109">
        <w:rPr>
          <w:rFonts w:cs="Tahoma"/>
          <w:szCs w:val="22"/>
        </w:rPr>
        <w:t xml:space="preserve"> </w:t>
      </w:r>
      <w:r w:rsidR="00F75D23" w:rsidRPr="00170109">
        <w:rPr>
          <w:rFonts w:cs="Tahoma"/>
          <w:b/>
          <w:bCs/>
          <w:szCs w:val="22"/>
        </w:rPr>
        <w:t>LA PARTE RECURRENTE</w:t>
      </w:r>
      <w:r w:rsidR="00F75D23" w:rsidRPr="00170109">
        <w:rPr>
          <w:rFonts w:cs="Tahoma"/>
          <w:szCs w:val="22"/>
        </w:rPr>
        <w:t xml:space="preserve"> interpuso el recurso de revisión en contra de la respuesta emitida por el </w:t>
      </w:r>
      <w:r w:rsidR="00F75D23" w:rsidRPr="00170109">
        <w:rPr>
          <w:rFonts w:cs="Tahoma"/>
          <w:b/>
          <w:bCs/>
          <w:szCs w:val="22"/>
        </w:rPr>
        <w:t>SUJETO OBLIGADO</w:t>
      </w:r>
      <w:r w:rsidR="00953430" w:rsidRPr="00170109">
        <w:rPr>
          <w:rFonts w:cs="Tahoma"/>
          <w:szCs w:val="22"/>
        </w:rPr>
        <w:t xml:space="preserve">, mismo que fue registrado en el </w:t>
      </w:r>
      <w:r w:rsidR="00953430" w:rsidRPr="00170109">
        <w:rPr>
          <w:rFonts w:cs="Tahoma"/>
          <w:b/>
          <w:szCs w:val="22"/>
        </w:rPr>
        <w:t>SAIMEX</w:t>
      </w:r>
      <w:r w:rsidR="00953430" w:rsidRPr="00170109">
        <w:rPr>
          <w:rFonts w:cs="Tahoma"/>
          <w:szCs w:val="22"/>
        </w:rPr>
        <w:t xml:space="preserve"> con el número de expediente </w:t>
      </w:r>
      <w:r w:rsidR="00D94B50" w:rsidRPr="00170109">
        <w:rPr>
          <w:rFonts w:cs="Tahoma"/>
          <w:b/>
          <w:bCs/>
          <w:szCs w:val="22"/>
        </w:rPr>
        <w:t>05767/INFOEM/IP/RR/2024</w:t>
      </w:r>
      <w:r w:rsidR="00953430" w:rsidRPr="00170109">
        <w:rPr>
          <w:rFonts w:cs="Tahoma"/>
          <w:szCs w:val="22"/>
        </w:rPr>
        <w:t>, y en el cual manifiesta lo siguiente</w:t>
      </w:r>
      <w:r w:rsidRPr="00170109">
        <w:rPr>
          <w:rFonts w:cs="Tahoma"/>
          <w:szCs w:val="22"/>
        </w:rPr>
        <w:t>:</w:t>
      </w:r>
    </w:p>
    <w:p w14:paraId="74B30008" w14:textId="77777777" w:rsidR="00664420" w:rsidRPr="00170109" w:rsidRDefault="00664420" w:rsidP="00170109">
      <w:pPr>
        <w:tabs>
          <w:tab w:val="left" w:pos="4667"/>
        </w:tabs>
        <w:ind w:right="539"/>
        <w:rPr>
          <w:rFonts w:cs="Tahoma"/>
          <w:szCs w:val="22"/>
        </w:rPr>
      </w:pPr>
    </w:p>
    <w:p w14:paraId="6900A410" w14:textId="77777777" w:rsidR="0009347C" w:rsidRPr="00170109" w:rsidRDefault="00664420" w:rsidP="00170109">
      <w:pPr>
        <w:tabs>
          <w:tab w:val="left" w:pos="4667"/>
        </w:tabs>
        <w:ind w:left="567" w:right="539"/>
        <w:rPr>
          <w:rFonts w:cs="Tahoma"/>
          <w:b/>
          <w:iCs/>
          <w:szCs w:val="22"/>
        </w:rPr>
      </w:pPr>
      <w:r w:rsidRPr="00170109">
        <w:rPr>
          <w:rFonts w:cs="Tahoma"/>
          <w:b/>
          <w:iCs/>
          <w:szCs w:val="22"/>
        </w:rPr>
        <w:t>ACTO IMPUGNADO</w:t>
      </w:r>
    </w:p>
    <w:p w14:paraId="73CDB396" w14:textId="72E1AA95" w:rsidR="00021886" w:rsidRPr="00170109" w:rsidRDefault="007D21FF" w:rsidP="00170109">
      <w:pPr>
        <w:tabs>
          <w:tab w:val="left" w:pos="4667"/>
        </w:tabs>
        <w:ind w:left="567" w:right="539"/>
        <w:rPr>
          <w:rFonts w:eastAsiaTheme="majorEastAsia" w:cstheme="majorBidi"/>
          <w:i/>
          <w:kern w:val="28"/>
          <w:szCs w:val="22"/>
        </w:rPr>
      </w:pPr>
      <w:r w:rsidRPr="00170109">
        <w:rPr>
          <w:rFonts w:eastAsiaTheme="majorEastAsia" w:cstheme="majorBidi"/>
          <w:i/>
          <w:kern w:val="28"/>
          <w:szCs w:val="22"/>
        </w:rPr>
        <w:t xml:space="preserve">negativa de generar la </w:t>
      </w:r>
      <w:proofErr w:type="spellStart"/>
      <w:r w:rsidRPr="00170109">
        <w:rPr>
          <w:rFonts w:eastAsiaTheme="majorEastAsia" w:cstheme="majorBidi"/>
          <w:i/>
          <w:kern w:val="28"/>
          <w:szCs w:val="22"/>
        </w:rPr>
        <w:t>informacion</w:t>
      </w:r>
      <w:proofErr w:type="spellEnd"/>
      <w:r w:rsidRPr="00170109">
        <w:rPr>
          <w:rFonts w:eastAsiaTheme="majorEastAsia" w:cstheme="majorBidi"/>
          <w:i/>
          <w:kern w:val="28"/>
          <w:szCs w:val="22"/>
        </w:rPr>
        <w:t xml:space="preserve"> cuando es </w:t>
      </w:r>
      <w:proofErr w:type="spellStart"/>
      <w:r w:rsidRPr="00170109">
        <w:rPr>
          <w:rFonts w:eastAsiaTheme="majorEastAsia" w:cstheme="majorBidi"/>
          <w:i/>
          <w:kern w:val="28"/>
          <w:szCs w:val="22"/>
        </w:rPr>
        <w:t>obligacion</w:t>
      </w:r>
      <w:proofErr w:type="spellEnd"/>
      <w:r w:rsidRPr="00170109">
        <w:rPr>
          <w:rFonts w:eastAsiaTheme="majorEastAsia" w:cstheme="majorBidi"/>
          <w:i/>
          <w:kern w:val="28"/>
          <w:szCs w:val="22"/>
        </w:rPr>
        <w:t xml:space="preserve"> del sujeto obligado tener esa </w:t>
      </w:r>
      <w:proofErr w:type="spellStart"/>
      <w:r w:rsidRPr="00170109">
        <w:rPr>
          <w:rFonts w:eastAsiaTheme="majorEastAsia" w:cstheme="majorBidi"/>
          <w:i/>
          <w:kern w:val="28"/>
          <w:szCs w:val="22"/>
        </w:rPr>
        <w:t>informacion</w:t>
      </w:r>
      <w:proofErr w:type="spellEnd"/>
      <w:r w:rsidRPr="00170109">
        <w:rPr>
          <w:rFonts w:eastAsiaTheme="majorEastAsia" w:cstheme="majorBidi"/>
          <w:i/>
          <w:kern w:val="28"/>
          <w:szCs w:val="22"/>
        </w:rPr>
        <w:t xml:space="preserve"> ya que se </w:t>
      </w:r>
      <w:proofErr w:type="spellStart"/>
      <w:r w:rsidRPr="00170109">
        <w:rPr>
          <w:rFonts w:eastAsiaTheme="majorEastAsia" w:cstheme="majorBidi"/>
          <w:i/>
          <w:kern w:val="28"/>
          <w:szCs w:val="22"/>
        </w:rPr>
        <w:t>realizadon</w:t>
      </w:r>
      <w:proofErr w:type="spellEnd"/>
      <w:r w:rsidRPr="00170109">
        <w:rPr>
          <w:rFonts w:eastAsiaTheme="majorEastAsia" w:cstheme="majorBidi"/>
          <w:i/>
          <w:kern w:val="28"/>
          <w:szCs w:val="22"/>
        </w:rPr>
        <w:t xml:space="preserve"> entregas </w:t>
      </w:r>
      <w:proofErr w:type="spellStart"/>
      <w:r w:rsidRPr="00170109">
        <w:rPr>
          <w:rFonts w:eastAsiaTheme="majorEastAsia" w:cstheme="majorBidi"/>
          <w:i/>
          <w:kern w:val="28"/>
          <w:szCs w:val="22"/>
        </w:rPr>
        <w:t>recepcion</w:t>
      </w:r>
      <w:proofErr w:type="spellEnd"/>
      <w:r w:rsidRPr="00170109">
        <w:rPr>
          <w:rFonts w:eastAsiaTheme="majorEastAsia" w:cstheme="majorBidi"/>
          <w:i/>
          <w:kern w:val="28"/>
          <w:szCs w:val="22"/>
        </w:rPr>
        <w:t xml:space="preserve"> al inicio de la administración</w:t>
      </w:r>
    </w:p>
    <w:p w14:paraId="0EF60787" w14:textId="77777777" w:rsidR="007D21FF" w:rsidRPr="00170109" w:rsidRDefault="007D21FF" w:rsidP="00170109">
      <w:pPr>
        <w:tabs>
          <w:tab w:val="left" w:pos="4667"/>
        </w:tabs>
        <w:ind w:left="567" w:right="539"/>
        <w:rPr>
          <w:rFonts w:cs="Tahoma"/>
          <w:b/>
          <w:iCs/>
          <w:szCs w:val="22"/>
        </w:rPr>
      </w:pPr>
    </w:p>
    <w:p w14:paraId="047D036B" w14:textId="77777777" w:rsidR="00664420" w:rsidRPr="00170109" w:rsidRDefault="00664420" w:rsidP="00170109">
      <w:pPr>
        <w:tabs>
          <w:tab w:val="left" w:pos="4667"/>
        </w:tabs>
        <w:ind w:left="567" w:right="539"/>
        <w:rPr>
          <w:rFonts w:cs="Tahoma"/>
          <w:b/>
          <w:iCs/>
          <w:szCs w:val="22"/>
        </w:rPr>
      </w:pPr>
      <w:r w:rsidRPr="00170109">
        <w:rPr>
          <w:rFonts w:cs="Tahoma"/>
          <w:b/>
          <w:iCs/>
          <w:szCs w:val="22"/>
        </w:rPr>
        <w:t>RAZONES O MOTIVOS DE LA INCONFORMIDAD</w:t>
      </w:r>
      <w:r w:rsidRPr="00170109">
        <w:rPr>
          <w:rFonts w:cs="Tahoma"/>
          <w:b/>
          <w:iCs/>
          <w:szCs w:val="22"/>
        </w:rPr>
        <w:tab/>
      </w:r>
    </w:p>
    <w:p w14:paraId="45862110" w14:textId="5AD248EC" w:rsidR="003B3762" w:rsidRPr="00170109" w:rsidRDefault="007D21FF" w:rsidP="00170109">
      <w:pPr>
        <w:tabs>
          <w:tab w:val="left" w:pos="4667"/>
        </w:tabs>
        <w:ind w:left="567" w:right="567"/>
        <w:rPr>
          <w:rFonts w:eastAsiaTheme="majorEastAsia" w:cstheme="majorBidi"/>
          <w:i/>
          <w:kern w:val="28"/>
          <w:szCs w:val="22"/>
        </w:rPr>
      </w:pPr>
      <w:r w:rsidRPr="00170109">
        <w:rPr>
          <w:rFonts w:eastAsiaTheme="majorEastAsia" w:cstheme="majorBidi"/>
          <w:i/>
          <w:kern w:val="28"/>
          <w:szCs w:val="22"/>
        </w:rPr>
        <w:t xml:space="preserve">negativa de generar la </w:t>
      </w:r>
      <w:proofErr w:type="spellStart"/>
      <w:r w:rsidRPr="00170109">
        <w:rPr>
          <w:rFonts w:eastAsiaTheme="majorEastAsia" w:cstheme="majorBidi"/>
          <w:i/>
          <w:kern w:val="28"/>
          <w:szCs w:val="22"/>
        </w:rPr>
        <w:t>informacion</w:t>
      </w:r>
      <w:proofErr w:type="spellEnd"/>
      <w:r w:rsidRPr="00170109">
        <w:rPr>
          <w:rFonts w:eastAsiaTheme="majorEastAsia" w:cstheme="majorBidi"/>
          <w:i/>
          <w:kern w:val="28"/>
          <w:szCs w:val="22"/>
        </w:rPr>
        <w:t xml:space="preserve"> cuando es </w:t>
      </w:r>
      <w:proofErr w:type="spellStart"/>
      <w:r w:rsidRPr="00170109">
        <w:rPr>
          <w:rFonts w:eastAsiaTheme="majorEastAsia" w:cstheme="majorBidi"/>
          <w:i/>
          <w:kern w:val="28"/>
          <w:szCs w:val="22"/>
        </w:rPr>
        <w:t>obligacion</w:t>
      </w:r>
      <w:proofErr w:type="spellEnd"/>
      <w:r w:rsidRPr="00170109">
        <w:rPr>
          <w:rFonts w:eastAsiaTheme="majorEastAsia" w:cstheme="majorBidi"/>
          <w:i/>
          <w:kern w:val="28"/>
          <w:szCs w:val="22"/>
        </w:rPr>
        <w:t xml:space="preserve"> del sujeto obligado tener esa </w:t>
      </w:r>
      <w:proofErr w:type="spellStart"/>
      <w:r w:rsidRPr="00170109">
        <w:rPr>
          <w:rFonts w:eastAsiaTheme="majorEastAsia" w:cstheme="majorBidi"/>
          <w:i/>
          <w:kern w:val="28"/>
          <w:szCs w:val="22"/>
        </w:rPr>
        <w:t>informacion</w:t>
      </w:r>
      <w:proofErr w:type="spellEnd"/>
      <w:r w:rsidRPr="00170109">
        <w:rPr>
          <w:rFonts w:eastAsiaTheme="majorEastAsia" w:cstheme="majorBidi"/>
          <w:i/>
          <w:kern w:val="28"/>
          <w:szCs w:val="22"/>
        </w:rPr>
        <w:t xml:space="preserve"> ya que se </w:t>
      </w:r>
      <w:proofErr w:type="spellStart"/>
      <w:r w:rsidRPr="00170109">
        <w:rPr>
          <w:rFonts w:eastAsiaTheme="majorEastAsia" w:cstheme="majorBidi"/>
          <w:i/>
          <w:kern w:val="28"/>
          <w:szCs w:val="22"/>
        </w:rPr>
        <w:t>realizadon</w:t>
      </w:r>
      <w:proofErr w:type="spellEnd"/>
      <w:r w:rsidRPr="00170109">
        <w:rPr>
          <w:rFonts w:eastAsiaTheme="majorEastAsia" w:cstheme="majorBidi"/>
          <w:i/>
          <w:kern w:val="28"/>
          <w:szCs w:val="22"/>
        </w:rPr>
        <w:t xml:space="preserve"> entregas </w:t>
      </w:r>
      <w:proofErr w:type="spellStart"/>
      <w:r w:rsidRPr="00170109">
        <w:rPr>
          <w:rFonts w:eastAsiaTheme="majorEastAsia" w:cstheme="majorBidi"/>
          <w:i/>
          <w:kern w:val="28"/>
          <w:szCs w:val="22"/>
        </w:rPr>
        <w:t>recepcion</w:t>
      </w:r>
      <w:proofErr w:type="spellEnd"/>
      <w:r w:rsidRPr="00170109">
        <w:rPr>
          <w:rFonts w:eastAsiaTheme="majorEastAsia" w:cstheme="majorBidi"/>
          <w:i/>
          <w:kern w:val="28"/>
          <w:szCs w:val="22"/>
        </w:rPr>
        <w:t xml:space="preserve"> al inicio de la </w:t>
      </w:r>
      <w:proofErr w:type="spellStart"/>
      <w:r w:rsidRPr="00170109">
        <w:rPr>
          <w:rFonts w:eastAsiaTheme="majorEastAsia" w:cstheme="majorBidi"/>
          <w:i/>
          <w:kern w:val="28"/>
          <w:szCs w:val="22"/>
        </w:rPr>
        <w:t>administracion</w:t>
      </w:r>
      <w:proofErr w:type="spellEnd"/>
    </w:p>
    <w:p w14:paraId="14591189" w14:textId="77777777" w:rsidR="007E2967" w:rsidRPr="00170109" w:rsidRDefault="007E2967" w:rsidP="00170109">
      <w:pPr>
        <w:tabs>
          <w:tab w:val="left" w:pos="4667"/>
        </w:tabs>
        <w:ind w:right="567"/>
        <w:rPr>
          <w:rFonts w:cs="Tahoma"/>
          <w:bCs/>
          <w:szCs w:val="22"/>
        </w:rPr>
      </w:pPr>
    </w:p>
    <w:p w14:paraId="6804DEF1" w14:textId="3C4F6CB5" w:rsidR="00664420" w:rsidRPr="00170109" w:rsidRDefault="006E25BC" w:rsidP="00170109">
      <w:pPr>
        <w:pStyle w:val="Ttulo3"/>
        <w:rPr>
          <w:szCs w:val="22"/>
        </w:rPr>
      </w:pPr>
      <w:bookmarkStart w:id="10" w:name="_Toc179927166"/>
      <w:r w:rsidRPr="00170109">
        <w:rPr>
          <w:szCs w:val="22"/>
        </w:rPr>
        <w:t>b</w:t>
      </w:r>
      <w:r w:rsidR="00664420" w:rsidRPr="00170109">
        <w:rPr>
          <w:szCs w:val="22"/>
        </w:rPr>
        <w:t>) Turno del Recurso de Revisión</w:t>
      </w:r>
      <w:bookmarkEnd w:id="10"/>
    </w:p>
    <w:p w14:paraId="1173671B" w14:textId="5BD0CEB0" w:rsidR="00C72DAA" w:rsidRPr="00170109" w:rsidRDefault="00C72DAA" w:rsidP="00170109">
      <w:pPr>
        <w:rPr>
          <w:szCs w:val="22"/>
        </w:rPr>
      </w:pPr>
      <w:r w:rsidRPr="00170109">
        <w:rPr>
          <w:szCs w:val="22"/>
        </w:rPr>
        <w:t>Con fundamento en el artículo 185, fracción I de la Ley de Transparencia y Acceso a la Información Pública del Estado de México y Municipios, el</w:t>
      </w:r>
      <w:r w:rsidRPr="00170109">
        <w:rPr>
          <w:b/>
          <w:bCs/>
          <w:szCs w:val="22"/>
        </w:rPr>
        <w:t xml:space="preserve"> </w:t>
      </w:r>
      <w:r w:rsidR="007D21FF" w:rsidRPr="00170109">
        <w:rPr>
          <w:rFonts w:cs="Tahoma"/>
          <w:b/>
          <w:bCs/>
          <w:szCs w:val="22"/>
        </w:rPr>
        <w:t>veintitrés de septiembre</w:t>
      </w:r>
      <w:r w:rsidR="004252F1" w:rsidRPr="00170109">
        <w:rPr>
          <w:rFonts w:cs="Tahoma"/>
          <w:b/>
          <w:bCs/>
          <w:szCs w:val="22"/>
        </w:rPr>
        <w:t xml:space="preserve"> de dos mil veinticuatro</w:t>
      </w:r>
      <w:r w:rsidR="00003628" w:rsidRPr="00170109">
        <w:rPr>
          <w:rFonts w:cs="Tahoma"/>
          <w:b/>
          <w:bCs/>
          <w:szCs w:val="22"/>
        </w:rPr>
        <w:t>,</w:t>
      </w:r>
      <w:r w:rsidRPr="00170109">
        <w:rPr>
          <w:szCs w:val="22"/>
        </w:rPr>
        <w:t xml:space="preserve"> se turnó el recurso de revisión a través del</w:t>
      </w:r>
      <w:r w:rsidRPr="00170109">
        <w:rPr>
          <w:rFonts w:eastAsia="Arial Unicode MS"/>
          <w:szCs w:val="22"/>
        </w:rPr>
        <w:t xml:space="preserve"> </w:t>
      </w:r>
      <w:r w:rsidRPr="00170109">
        <w:rPr>
          <w:rFonts w:eastAsia="Arial Unicode MS"/>
          <w:bCs/>
          <w:szCs w:val="22"/>
        </w:rPr>
        <w:t>SAIMEX</w:t>
      </w:r>
      <w:r w:rsidRPr="00170109">
        <w:rPr>
          <w:szCs w:val="22"/>
        </w:rPr>
        <w:t xml:space="preserve"> a la </w:t>
      </w:r>
      <w:r w:rsidRPr="00170109">
        <w:rPr>
          <w:b/>
          <w:szCs w:val="22"/>
        </w:rPr>
        <w:t>Comisionada Sharon Cristina Morales Martínez</w:t>
      </w:r>
      <w:r w:rsidRPr="00170109">
        <w:rPr>
          <w:bCs/>
          <w:szCs w:val="22"/>
        </w:rPr>
        <w:t xml:space="preserve">, </w:t>
      </w:r>
      <w:r w:rsidRPr="00170109">
        <w:rPr>
          <w:szCs w:val="22"/>
        </w:rPr>
        <w:t xml:space="preserve">a efecto de decretar su admisión o desechamiento. </w:t>
      </w:r>
    </w:p>
    <w:p w14:paraId="18F305CB" w14:textId="77777777" w:rsidR="00664420" w:rsidRPr="00170109" w:rsidRDefault="00664420" w:rsidP="00170109">
      <w:pPr>
        <w:rPr>
          <w:rFonts w:eastAsia="Batang" w:cs="Tahoma"/>
          <w:bCs/>
          <w:szCs w:val="22"/>
        </w:rPr>
      </w:pPr>
    </w:p>
    <w:p w14:paraId="3E31EC2D" w14:textId="295256A1" w:rsidR="00664420" w:rsidRPr="00170109" w:rsidRDefault="006E25BC" w:rsidP="00170109">
      <w:pPr>
        <w:pStyle w:val="Ttulo3"/>
        <w:rPr>
          <w:szCs w:val="22"/>
        </w:rPr>
      </w:pPr>
      <w:bookmarkStart w:id="11" w:name="_Toc179927167"/>
      <w:r w:rsidRPr="00170109">
        <w:rPr>
          <w:szCs w:val="22"/>
        </w:rPr>
        <w:t>c</w:t>
      </w:r>
      <w:r w:rsidR="00664420" w:rsidRPr="00170109">
        <w:rPr>
          <w:szCs w:val="22"/>
        </w:rPr>
        <w:t>) Admisión del Recurso de Revisión</w:t>
      </w:r>
      <w:bookmarkEnd w:id="11"/>
    </w:p>
    <w:p w14:paraId="240447D5" w14:textId="14212C6B" w:rsidR="000E09C4" w:rsidRPr="00170109" w:rsidRDefault="000E09C4" w:rsidP="00170109">
      <w:pPr>
        <w:rPr>
          <w:rFonts w:cs="Arial"/>
          <w:szCs w:val="22"/>
        </w:rPr>
      </w:pPr>
      <w:r w:rsidRPr="00170109">
        <w:rPr>
          <w:rFonts w:cs="Arial"/>
          <w:szCs w:val="22"/>
        </w:rPr>
        <w:t xml:space="preserve">El </w:t>
      </w:r>
      <w:r w:rsidR="007D21FF" w:rsidRPr="00170109">
        <w:rPr>
          <w:rFonts w:cs="Arial"/>
          <w:b/>
          <w:bCs/>
          <w:szCs w:val="22"/>
        </w:rPr>
        <w:t>veinticinco</w:t>
      </w:r>
      <w:r w:rsidR="003B3762" w:rsidRPr="00170109">
        <w:rPr>
          <w:rFonts w:cs="Arial"/>
          <w:b/>
          <w:bCs/>
          <w:szCs w:val="22"/>
        </w:rPr>
        <w:t xml:space="preserve"> de septiembre</w:t>
      </w:r>
      <w:r w:rsidR="004252F1" w:rsidRPr="00170109">
        <w:rPr>
          <w:rFonts w:cs="Arial"/>
          <w:b/>
          <w:bCs/>
          <w:szCs w:val="22"/>
        </w:rPr>
        <w:t xml:space="preserve"> de dos mil veinticuatro</w:t>
      </w:r>
      <w:r w:rsidR="00003628" w:rsidRPr="00170109">
        <w:rPr>
          <w:rFonts w:cs="Arial"/>
          <w:b/>
          <w:bCs/>
          <w:szCs w:val="22"/>
        </w:rPr>
        <w:t>,</w:t>
      </w:r>
      <w:r w:rsidR="004252F1" w:rsidRPr="00170109">
        <w:rPr>
          <w:rFonts w:cs="Arial"/>
          <w:szCs w:val="22"/>
        </w:rPr>
        <w:t xml:space="preserve"> </w:t>
      </w:r>
      <w:r w:rsidRPr="00170109">
        <w:rPr>
          <w:rFonts w:cs="Arial"/>
          <w:szCs w:val="22"/>
        </w:rPr>
        <w:t xml:space="preserve">se acordó la admisión a trámite del Recurso de Revisión y se integró el expediente respectivo, mismo que se puso a disposición </w:t>
      </w:r>
      <w:r w:rsidRPr="00170109">
        <w:rPr>
          <w:rFonts w:cs="Arial"/>
          <w:szCs w:val="22"/>
        </w:rPr>
        <w:lastRenderedPageBreak/>
        <w:t>de las partes para que, en un plazo de siete días hábiles, manifestaran lo que a su derecho conviniera, conforme a lo dispuesto por el artículo 185</w:t>
      </w:r>
      <w:r w:rsidR="00865CF4" w:rsidRPr="00170109">
        <w:rPr>
          <w:rFonts w:cs="Arial"/>
          <w:szCs w:val="22"/>
        </w:rPr>
        <w:t>, fracción II</w:t>
      </w:r>
      <w:r w:rsidRPr="00170109">
        <w:rPr>
          <w:rFonts w:cs="Arial"/>
          <w:szCs w:val="22"/>
        </w:rPr>
        <w:t xml:space="preserve"> de la Ley de Transparencia y Acceso a la Información Pública del Estado de México y Municipios.</w:t>
      </w:r>
    </w:p>
    <w:p w14:paraId="34EC3F86" w14:textId="77777777" w:rsidR="00D2790D" w:rsidRPr="00170109" w:rsidRDefault="00D2790D" w:rsidP="00170109">
      <w:pPr>
        <w:rPr>
          <w:rFonts w:cs="Arial"/>
          <w:szCs w:val="22"/>
        </w:rPr>
      </w:pPr>
    </w:p>
    <w:p w14:paraId="3B820F58" w14:textId="5EBF1699" w:rsidR="00865CF4" w:rsidRPr="00170109" w:rsidRDefault="006E25BC" w:rsidP="00170109">
      <w:pPr>
        <w:pStyle w:val="Ttulo3"/>
        <w:rPr>
          <w:szCs w:val="22"/>
        </w:rPr>
      </w:pPr>
      <w:bookmarkStart w:id="12" w:name="_Toc179927168"/>
      <w:r w:rsidRPr="00170109">
        <w:rPr>
          <w:szCs w:val="22"/>
        </w:rPr>
        <w:t>d</w:t>
      </w:r>
      <w:r w:rsidR="00D2790D" w:rsidRPr="00170109">
        <w:rPr>
          <w:szCs w:val="22"/>
        </w:rPr>
        <w:t xml:space="preserve">) </w:t>
      </w:r>
      <w:r w:rsidR="00865CF4" w:rsidRPr="00170109">
        <w:rPr>
          <w:szCs w:val="22"/>
        </w:rPr>
        <w:t>Informe Justificado del Sujeto Obligado</w:t>
      </w:r>
      <w:bookmarkEnd w:id="12"/>
    </w:p>
    <w:p w14:paraId="7E893764" w14:textId="4EF2FA2C" w:rsidR="00682AF9" w:rsidRPr="00170109" w:rsidRDefault="00682AF9" w:rsidP="00170109">
      <w:pPr>
        <w:rPr>
          <w:szCs w:val="22"/>
        </w:rPr>
      </w:pPr>
      <w:r w:rsidRPr="00170109">
        <w:rPr>
          <w:rFonts w:cs="Tahoma"/>
          <w:szCs w:val="22"/>
        </w:rPr>
        <w:t xml:space="preserve">El </w:t>
      </w:r>
      <w:r w:rsidRPr="00170109">
        <w:rPr>
          <w:rFonts w:cs="Tahoma"/>
          <w:b/>
          <w:bCs/>
          <w:szCs w:val="22"/>
        </w:rPr>
        <w:t>siete de octubre de dos mil veinticuatro</w:t>
      </w:r>
      <w:r w:rsidRPr="00170109">
        <w:rPr>
          <w:b/>
          <w:szCs w:val="22"/>
        </w:rPr>
        <w:t xml:space="preserve"> EL SUJETO OBLIGADO </w:t>
      </w:r>
      <w:r w:rsidRPr="00170109">
        <w:rPr>
          <w:szCs w:val="22"/>
        </w:rPr>
        <w:t>rindió su informe justificado a través de los archivos electrónicos siguientes:</w:t>
      </w:r>
    </w:p>
    <w:p w14:paraId="790AED32" w14:textId="77777777" w:rsidR="003017FC" w:rsidRPr="00170109" w:rsidRDefault="003017FC" w:rsidP="00170109">
      <w:pPr>
        <w:rPr>
          <w:szCs w:val="22"/>
        </w:rPr>
      </w:pPr>
    </w:p>
    <w:p w14:paraId="38867802" w14:textId="39ACA971" w:rsidR="00FE6836" w:rsidRPr="00170109" w:rsidRDefault="003017FC" w:rsidP="00170109">
      <w:pPr>
        <w:pStyle w:val="Prrafodelista"/>
        <w:numPr>
          <w:ilvl w:val="0"/>
          <w:numId w:val="16"/>
        </w:numPr>
        <w:rPr>
          <w:rFonts w:cs="Tahoma"/>
          <w:b/>
          <w:bCs/>
          <w:szCs w:val="22"/>
        </w:rPr>
      </w:pPr>
      <w:r w:rsidRPr="00170109">
        <w:rPr>
          <w:rFonts w:cs="Tahoma"/>
          <w:b/>
          <w:bCs/>
          <w:szCs w:val="22"/>
        </w:rPr>
        <w:t>Informe Justificado RR.5767-2024 SOL.229-2024 OF.976-2024.pdf</w:t>
      </w:r>
      <w:r w:rsidRPr="00170109">
        <w:rPr>
          <w:rFonts w:cs="Tahoma"/>
          <w:b/>
          <w:bCs/>
          <w:szCs w:val="22"/>
        </w:rPr>
        <w:cr/>
      </w:r>
      <w:r w:rsidR="00FE6836" w:rsidRPr="00170109">
        <w:rPr>
          <w:rFonts w:cs="Tahoma"/>
          <w:bCs/>
          <w:szCs w:val="22"/>
        </w:rPr>
        <w:t xml:space="preserve">Documental que contiene el oficio número SEDUI-CI-0976/2024, dirigido a la Comisionada Ponente y suscrito por el Titular de la Unidad de Transparencia, </w:t>
      </w:r>
      <w:r w:rsidR="00B92FAA" w:rsidRPr="00170109">
        <w:rPr>
          <w:rFonts w:cs="Tahoma"/>
          <w:bCs/>
          <w:szCs w:val="22"/>
        </w:rPr>
        <w:t>por medio del cual le remite el informe justificado correspondiente</w:t>
      </w:r>
      <w:r w:rsidR="00635219" w:rsidRPr="00170109">
        <w:rPr>
          <w:rFonts w:cs="Tahoma"/>
          <w:bCs/>
          <w:szCs w:val="22"/>
        </w:rPr>
        <w:t>, en el que de manera medular refiere:</w:t>
      </w:r>
    </w:p>
    <w:p w14:paraId="2FED27E6" w14:textId="0CBC30D6" w:rsidR="00635219" w:rsidRPr="00170109" w:rsidRDefault="00635219" w:rsidP="00170109">
      <w:pPr>
        <w:pStyle w:val="Prrafodelista"/>
        <w:rPr>
          <w:rFonts w:cs="Tahoma"/>
          <w:b/>
          <w:bCs/>
          <w:szCs w:val="22"/>
        </w:rPr>
      </w:pPr>
    </w:p>
    <w:p w14:paraId="2AAA3452" w14:textId="76275664" w:rsidR="00635219" w:rsidRPr="00170109" w:rsidRDefault="00635219" w:rsidP="00170109">
      <w:pPr>
        <w:pStyle w:val="Prrafodelista"/>
        <w:rPr>
          <w:rFonts w:cs="Tahoma"/>
          <w:i/>
          <w:iCs/>
          <w:szCs w:val="22"/>
        </w:rPr>
      </w:pPr>
      <w:r w:rsidRPr="00170109">
        <w:rPr>
          <w:rFonts w:cs="Tahoma"/>
          <w:b/>
          <w:bCs/>
          <w:szCs w:val="22"/>
        </w:rPr>
        <w:t>“</w:t>
      </w:r>
      <w:r w:rsidRPr="00170109">
        <w:rPr>
          <w:rFonts w:cs="Tahoma"/>
          <w:i/>
          <w:iCs/>
          <w:szCs w:val="22"/>
        </w:rPr>
        <w:t>Es importante señalar que la Secretaría de Obra Pública y Desarrollo Urbano a que hace referencia el recurrente en la solicitud de información pública , no ha formado parte de las dependencias que han auxiliado a la persona titular del Poder Ejecutivo para el estudio, planeación y despacho delos asuntos en los diversos ramos de la Administración Pública del Estado de México, conforme a lo dispuesto en el artículo 19 de la Ley Orgánica de la Administración Pública del Estado de México, publicada en el Periódico Oficial “Gaceta del Gobierno” el 17 de septiembre de1981, misma que fue abrogada mediante Decreto número 182 publicado el 11 de septiembre de 2023, en relación con el artículo 23 de la Ley Orgánica de la Administración Pública del Estado de México vigente.</w:t>
      </w:r>
    </w:p>
    <w:p w14:paraId="5E2A2506" w14:textId="11DB4A33" w:rsidR="00635219" w:rsidRPr="00170109" w:rsidRDefault="00635219" w:rsidP="00170109">
      <w:pPr>
        <w:pStyle w:val="Prrafodelista"/>
        <w:rPr>
          <w:rFonts w:cs="Tahoma"/>
          <w:i/>
          <w:iCs/>
          <w:szCs w:val="22"/>
        </w:rPr>
      </w:pPr>
    </w:p>
    <w:p w14:paraId="24BA3309" w14:textId="4A4EC674" w:rsidR="00635219" w:rsidRPr="00170109" w:rsidRDefault="00635219" w:rsidP="00170109">
      <w:pPr>
        <w:pStyle w:val="Prrafodelista"/>
        <w:rPr>
          <w:rFonts w:cs="Tahoma"/>
          <w:i/>
          <w:iCs/>
          <w:szCs w:val="22"/>
        </w:rPr>
      </w:pPr>
      <w:r w:rsidRPr="00170109">
        <w:rPr>
          <w:rFonts w:cs="Tahoma"/>
          <w:i/>
          <w:iCs/>
          <w:szCs w:val="22"/>
        </w:rPr>
        <w:lastRenderedPageBreak/>
        <w:t>Em consecuencia, como lo señaló la Coordinadora Administrativa no fue localizado algún registro de la dependencia de interés del recurrente, por lo que el motivo de inconformidad que hace consistir en la negativa de generar un documento ad hoc para atender la solicitud de información, dicha información no encuentra sustento conforme a la dependencia y características de los documentos que describe en la solicitud de información.</w:t>
      </w:r>
    </w:p>
    <w:p w14:paraId="4B202BB4" w14:textId="7E4C98A0" w:rsidR="00635219" w:rsidRPr="00170109" w:rsidRDefault="00635219" w:rsidP="00170109">
      <w:pPr>
        <w:pStyle w:val="Prrafodelista"/>
        <w:rPr>
          <w:rFonts w:cs="Tahoma"/>
          <w:i/>
          <w:iCs/>
          <w:szCs w:val="22"/>
        </w:rPr>
      </w:pPr>
      <w:r w:rsidRPr="00170109">
        <w:rPr>
          <w:rFonts w:cs="Tahoma"/>
          <w:i/>
          <w:iCs/>
          <w:szCs w:val="22"/>
        </w:rPr>
        <w:t>…”</w:t>
      </w:r>
    </w:p>
    <w:p w14:paraId="4A1DE5F6" w14:textId="77777777" w:rsidR="00FE6836" w:rsidRPr="00170109" w:rsidRDefault="00FE6836" w:rsidP="00170109">
      <w:pPr>
        <w:pStyle w:val="Prrafodelista"/>
        <w:rPr>
          <w:rFonts w:cs="Tahoma"/>
          <w:b/>
          <w:bCs/>
          <w:szCs w:val="22"/>
        </w:rPr>
      </w:pPr>
    </w:p>
    <w:p w14:paraId="4E318F16" w14:textId="3CFB1823" w:rsidR="00B92FAA" w:rsidRPr="00170109" w:rsidRDefault="003017FC" w:rsidP="00170109">
      <w:pPr>
        <w:pStyle w:val="Prrafodelista"/>
        <w:numPr>
          <w:ilvl w:val="0"/>
          <w:numId w:val="16"/>
        </w:numPr>
        <w:rPr>
          <w:rFonts w:cs="Tahoma"/>
          <w:b/>
          <w:bCs/>
          <w:szCs w:val="22"/>
        </w:rPr>
      </w:pPr>
      <w:r w:rsidRPr="00170109">
        <w:rPr>
          <w:rFonts w:cs="Tahoma"/>
          <w:b/>
          <w:bCs/>
          <w:szCs w:val="22"/>
        </w:rPr>
        <w:t>4 T. RR. 5767 SOL 229-2024 C. AD.pdf</w:t>
      </w:r>
      <w:r w:rsidRPr="00170109">
        <w:rPr>
          <w:rFonts w:cs="Tahoma"/>
          <w:b/>
          <w:bCs/>
          <w:szCs w:val="22"/>
        </w:rPr>
        <w:cr/>
      </w:r>
      <w:r w:rsidR="00C40839" w:rsidRPr="00170109">
        <w:rPr>
          <w:rFonts w:cs="Tahoma"/>
          <w:bCs/>
          <w:szCs w:val="22"/>
        </w:rPr>
        <w:t>Documental en la que se contiene el oficio número SEDUI-CI-0886/2024 de fecha 27 de septiembre de 2024, suscrito por el Titular de la Unidad de Transparencia a la Coordinadora Administrativa, en el que le informa de la interposición del recurso de revisión de mérito y le solicita realice el pronunciamiento relativo a las razones y motivos de inconformidad contenidos en el recurso de revisión de referencia.</w:t>
      </w:r>
    </w:p>
    <w:p w14:paraId="53786E70" w14:textId="77777777" w:rsidR="00B92FAA" w:rsidRPr="00170109" w:rsidRDefault="00B92FAA" w:rsidP="00170109">
      <w:pPr>
        <w:pStyle w:val="Prrafodelista"/>
        <w:rPr>
          <w:rFonts w:cs="Tahoma"/>
          <w:b/>
          <w:bCs/>
          <w:szCs w:val="22"/>
        </w:rPr>
      </w:pPr>
    </w:p>
    <w:p w14:paraId="4A30AC99" w14:textId="08AF0406" w:rsidR="00C40839" w:rsidRPr="00170109" w:rsidRDefault="003017FC" w:rsidP="00170109">
      <w:pPr>
        <w:pStyle w:val="Prrafodelista"/>
        <w:autoSpaceDE w:val="0"/>
        <w:autoSpaceDN w:val="0"/>
        <w:adjustRightInd w:val="0"/>
        <w:ind w:right="-28"/>
        <w:rPr>
          <w:rFonts w:cs="Tahoma"/>
          <w:bCs/>
          <w:szCs w:val="22"/>
          <w:lang w:val="es-ES"/>
        </w:rPr>
      </w:pPr>
      <w:r w:rsidRPr="00170109">
        <w:rPr>
          <w:rFonts w:cs="Tahoma"/>
          <w:b/>
          <w:bCs/>
          <w:szCs w:val="22"/>
        </w:rPr>
        <w:t>2 C.A.229-2024OF-2429-2024.pdf</w:t>
      </w:r>
      <w:r w:rsidRPr="00170109">
        <w:rPr>
          <w:rFonts w:cs="Tahoma"/>
          <w:b/>
          <w:bCs/>
          <w:szCs w:val="22"/>
        </w:rPr>
        <w:cr/>
      </w:r>
      <w:r w:rsidR="00C40839" w:rsidRPr="00170109">
        <w:rPr>
          <w:rFonts w:cs="Tahoma"/>
          <w:bCs/>
          <w:szCs w:val="22"/>
          <w:lang w:val="es-ES"/>
        </w:rPr>
        <w:t xml:space="preserve"> Documental en la que se contiene el oficio No. 23000004000000S/2429/2024 de fecha 17 de septiembre, suscrito por la Coordinadora Administrativa, dirigido al Titular de la Unidad de Transparencia, remitido en respuesta por </w:t>
      </w:r>
      <w:r w:rsidR="00C40839" w:rsidRPr="00170109">
        <w:rPr>
          <w:rFonts w:cs="Tahoma"/>
          <w:b/>
          <w:bCs/>
          <w:szCs w:val="22"/>
          <w:lang w:val="es-ES"/>
        </w:rPr>
        <w:t>EL SUJETO OBLIGADO.</w:t>
      </w:r>
    </w:p>
    <w:p w14:paraId="4F457CE1" w14:textId="77777777" w:rsidR="003017FC" w:rsidRPr="00170109" w:rsidRDefault="003017FC" w:rsidP="00170109">
      <w:pPr>
        <w:pStyle w:val="Prrafodelista"/>
        <w:rPr>
          <w:rFonts w:cs="Tahoma"/>
          <w:b/>
          <w:bCs/>
          <w:szCs w:val="22"/>
        </w:rPr>
      </w:pPr>
    </w:p>
    <w:p w14:paraId="74E781C2" w14:textId="7482010E" w:rsidR="00C40839" w:rsidRPr="00170109" w:rsidRDefault="003017FC" w:rsidP="00170109">
      <w:pPr>
        <w:pStyle w:val="Prrafodelista"/>
        <w:autoSpaceDE w:val="0"/>
        <w:autoSpaceDN w:val="0"/>
        <w:adjustRightInd w:val="0"/>
        <w:ind w:right="-28"/>
        <w:rPr>
          <w:rFonts w:cs="Tahoma"/>
          <w:bCs/>
          <w:szCs w:val="22"/>
          <w:lang w:val="es-ES"/>
        </w:rPr>
      </w:pPr>
      <w:r w:rsidRPr="00170109">
        <w:rPr>
          <w:rFonts w:cs="Tahoma"/>
          <w:b/>
          <w:bCs/>
          <w:szCs w:val="22"/>
        </w:rPr>
        <w:t>5 RR C.A. 229-2024 OF. 2557-2024.pdf</w:t>
      </w:r>
      <w:r w:rsidRPr="00170109">
        <w:rPr>
          <w:rFonts w:cs="Tahoma"/>
          <w:b/>
          <w:bCs/>
          <w:szCs w:val="22"/>
        </w:rPr>
        <w:cr/>
      </w:r>
      <w:r w:rsidR="00C40839" w:rsidRPr="00170109">
        <w:rPr>
          <w:rFonts w:cs="Tahoma"/>
          <w:bCs/>
          <w:szCs w:val="22"/>
          <w:lang w:val="es-ES"/>
        </w:rPr>
        <w:t xml:space="preserve"> Documental en la que se contiene el oficio No. 23000004000000S/2557/2024 de fecha 30 de septiembre, suscrito por la Coordinadora Administrativa, dirigido al Titular de la Unidad de Transparencia, en el que le indica:</w:t>
      </w:r>
    </w:p>
    <w:p w14:paraId="1172C2A1" w14:textId="77777777" w:rsidR="006F611E" w:rsidRPr="00170109" w:rsidRDefault="006F611E" w:rsidP="00170109">
      <w:pPr>
        <w:pStyle w:val="Prrafodelista"/>
        <w:autoSpaceDE w:val="0"/>
        <w:autoSpaceDN w:val="0"/>
        <w:adjustRightInd w:val="0"/>
        <w:ind w:right="-28"/>
        <w:rPr>
          <w:rFonts w:cs="Tahoma"/>
          <w:bCs/>
          <w:szCs w:val="22"/>
          <w:lang w:val="es-ES"/>
        </w:rPr>
      </w:pPr>
    </w:p>
    <w:p w14:paraId="7AA16557" w14:textId="4FCE2933" w:rsidR="006F611E" w:rsidRPr="00170109" w:rsidRDefault="006F611E" w:rsidP="00170109">
      <w:pPr>
        <w:pStyle w:val="Prrafodelista"/>
        <w:autoSpaceDE w:val="0"/>
        <w:autoSpaceDN w:val="0"/>
        <w:adjustRightInd w:val="0"/>
        <w:ind w:right="-28"/>
        <w:rPr>
          <w:rFonts w:cs="Tahoma"/>
          <w:bCs/>
          <w:i/>
          <w:szCs w:val="22"/>
          <w:lang w:val="es-ES"/>
        </w:rPr>
      </w:pPr>
      <w:r w:rsidRPr="00170109">
        <w:rPr>
          <w:rFonts w:cs="Tahoma"/>
          <w:bCs/>
          <w:szCs w:val="22"/>
          <w:lang w:val="es-ES"/>
        </w:rPr>
        <w:t>“</w:t>
      </w:r>
      <w:r w:rsidRPr="00170109">
        <w:rPr>
          <w:rFonts w:cs="Tahoma"/>
          <w:bCs/>
          <w:i/>
          <w:szCs w:val="22"/>
          <w:lang w:val="es-ES"/>
        </w:rPr>
        <w:t>se reitera la información señalada en mi similar 23000004000000S/2429/2024”. Sic</w:t>
      </w:r>
    </w:p>
    <w:p w14:paraId="3D39FE8F" w14:textId="77777777" w:rsidR="00C40839" w:rsidRPr="00170109" w:rsidRDefault="00C40839" w:rsidP="00170109">
      <w:pPr>
        <w:pStyle w:val="Prrafodelista"/>
        <w:rPr>
          <w:rFonts w:cs="Tahoma"/>
          <w:b/>
          <w:bCs/>
          <w:szCs w:val="22"/>
        </w:rPr>
      </w:pPr>
    </w:p>
    <w:p w14:paraId="711B9A8A" w14:textId="11C0FE51" w:rsidR="003017FC" w:rsidRPr="00170109" w:rsidRDefault="003017FC" w:rsidP="00170109">
      <w:pPr>
        <w:pStyle w:val="Prrafodelista"/>
        <w:numPr>
          <w:ilvl w:val="0"/>
          <w:numId w:val="16"/>
        </w:numPr>
        <w:rPr>
          <w:rFonts w:cs="Tahoma"/>
          <w:b/>
          <w:bCs/>
          <w:szCs w:val="22"/>
        </w:rPr>
      </w:pPr>
      <w:r w:rsidRPr="00170109">
        <w:rPr>
          <w:rFonts w:cs="Tahoma"/>
          <w:b/>
          <w:bCs/>
          <w:szCs w:val="22"/>
        </w:rPr>
        <w:t>3 UT 229-2024 OF.855-2024.pdf</w:t>
      </w:r>
      <w:r w:rsidRPr="00170109">
        <w:rPr>
          <w:rFonts w:cs="Tahoma"/>
          <w:b/>
          <w:bCs/>
          <w:szCs w:val="22"/>
        </w:rPr>
        <w:cr/>
      </w:r>
      <w:r w:rsidR="006F611E" w:rsidRPr="00170109">
        <w:rPr>
          <w:rFonts w:cs="Tahoma"/>
          <w:bCs/>
          <w:szCs w:val="22"/>
          <w:lang w:val="es-ES"/>
        </w:rPr>
        <w:t xml:space="preserve"> Documental en la que se contiene el oficio No. SEDUI-CI-0855/2024 de fecha 20 de septiembre, suscrito por el Titular de la Unidad de Transparencia, dirigido al ciudadano, remitido en respuesta por </w:t>
      </w:r>
      <w:r w:rsidR="006F611E" w:rsidRPr="00170109">
        <w:rPr>
          <w:rFonts w:cs="Tahoma"/>
          <w:b/>
          <w:bCs/>
          <w:szCs w:val="22"/>
          <w:lang w:val="es-ES"/>
        </w:rPr>
        <w:t>EL SUJETO OBLIGADO.</w:t>
      </w:r>
    </w:p>
    <w:p w14:paraId="33E927FE" w14:textId="77777777" w:rsidR="006F611E" w:rsidRPr="00170109" w:rsidRDefault="006F611E" w:rsidP="00170109">
      <w:pPr>
        <w:pStyle w:val="Prrafodelista"/>
        <w:rPr>
          <w:rFonts w:cs="Tahoma"/>
          <w:b/>
          <w:bCs/>
          <w:szCs w:val="22"/>
        </w:rPr>
      </w:pPr>
    </w:p>
    <w:p w14:paraId="06410111" w14:textId="1ECEC3A7" w:rsidR="006F611E" w:rsidRPr="00170109" w:rsidRDefault="003017FC" w:rsidP="00170109">
      <w:pPr>
        <w:pStyle w:val="Prrafodelista"/>
        <w:numPr>
          <w:ilvl w:val="0"/>
          <w:numId w:val="16"/>
        </w:numPr>
        <w:rPr>
          <w:rFonts w:cs="Tahoma"/>
          <w:b/>
          <w:bCs/>
          <w:szCs w:val="22"/>
        </w:rPr>
      </w:pPr>
      <w:r w:rsidRPr="00170109">
        <w:rPr>
          <w:rFonts w:cs="Tahoma"/>
          <w:b/>
          <w:bCs/>
          <w:szCs w:val="22"/>
        </w:rPr>
        <w:t>nombramiento transparencia RVS05-09-2024-182647 (1).pdf</w:t>
      </w:r>
      <w:r w:rsidRPr="00170109">
        <w:rPr>
          <w:rFonts w:cs="Tahoma"/>
          <w:b/>
          <w:bCs/>
          <w:szCs w:val="22"/>
        </w:rPr>
        <w:cr/>
      </w:r>
      <w:r w:rsidR="006F611E" w:rsidRPr="00170109">
        <w:rPr>
          <w:rFonts w:cs="Tahoma"/>
          <w:bCs/>
          <w:szCs w:val="22"/>
        </w:rPr>
        <w:t>Documental en la que se contiene el nombramiento del Titular de la Unidad de Transparencia, de fecha 02 de mayo de 2024.</w:t>
      </w:r>
    </w:p>
    <w:p w14:paraId="12B00874" w14:textId="77777777" w:rsidR="006F611E" w:rsidRPr="00170109" w:rsidRDefault="006F611E" w:rsidP="00170109">
      <w:pPr>
        <w:pStyle w:val="Prrafodelista"/>
        <w:rPr>
          <w:rFonts w:cs="Tahoma"/>
          <w:b/>
          <w:bCs/>
          <w:szCs w:val="22"/>
        </w:rPr>
      </w:pPr>
    </w:p>
    <w:p w14:paraId="07246AA8" w14:textId="4DC3854F" w:rsidR="00CC7757" w:rsidRPr="00170109" w:rsidRDefault="003017FC" w:rsidP="00170109">
      <w:pPr>
        <w:pStyle w:val="Prrafodelista"/>
        <w:numPr>
          <w:ilvl w:val="0"/>
          <w:numId w:val="16"/>
        </w:numPr>
        <w:rPr>
          <w:rFonts w:cs="Tahoma"/>
          <w:bCs/>
          <w:szCs w:val="22"/>
        </w:rPr>
      </w:pPr>
      <w:r w:rsidRPr="00170109">
        <w:rPr>
          <w:rFonts w:cs="Tahoma"/>
          <w:b/>
          <w:bCs/>
          <w:szCs w:val="22"/>
        </w:rPr>
        <w:t>1 T. C. AD 229-2024.pdf</w:t>
      </w:r>
      <w:r w:rsidRPr="00170109">
        <w:rPr>
          <w:rFonts w:cs="Tahoma"/>
          <w:b/>
          <w:bCs/>
          <w:szCs w:val="22"/>
        </w:rPr>
        <w:cr/>
      </w:r>
      <w:r w:rsidR="006F611E" w:rsidRPr="00170109">
        <w:rPr>
          <w:rFonts w:cs="Tahoma"/>
          <w:bCs/>
          <w:szCs w:val="22"/>
        </w:rPr>
        <w:t>Documental que contiene el oficio número SEDUI-CI-0824/2024 de fecha 10 de septiembre de 2024, suscrito por el Titular de la Unidad de Transparencia a la Coordinadora Administrativa y Responsable del área coordinadora de Archivos, en el que le informa de la solicitud de información y le solicita realice una búsqueda exhaustiva y razonable, en las unidades administrativas a su cargo que pudieran contar con la información solicitada, documentando la misma.</w:t>
      </w:r>
    </w:p>
    <w:p w14:paraId="4039D671" w14:textId="77777777" w:rsidR="006F611E" w:rsidRPr="00170109" w:rsidRDefault="006F611E" w:rsidP="00170109">
      <w:pPr>
        <w:pStyle w:val="Prrafodelista"/>
        <w:rPr>
          <w:rFonts w:cs="Tahoma"/>
          <w:bCs/>
          <w:szCs w:val="22"/>
        </w:rPr>
      </w:pPr>
    </w:p>
    <w:p w14:paraId="0BCC2196" w14:textId="2E0E7078" w:rsidR="00C12158" w:rsidRPr="00170109" w:rsidRDefault="00C12158" w:rsidP="00170109">
      <w:pPr>
        <w:rPr>
          <w:szCs w:val="22"/>
        </w:rPr>
      </w:pPr>
      <w:r w:rsidRPr="00170109">
        <w:rPr>
          <w:szCs w:val="22"/>
        </w:rPr>
        <w:t xml:space="preserve">Esta información fue puesta a la vista de </w:t>
      </w:r>
      <w:r w:rsidRPr="00170109">
        <w:rPr>
          <w:b/>
          <w:szCs w:val="22"/>
        </w:rPr>
        <w:t xml:space="preserve">LA PARTE RECURRENTE </w:t>
      </w:r>
      <w:r w:rsidRPr="00170109">
        <w:rPr>
          <w:szCs w:val="22"/>
        </w:rPr>
        <w:t xml:space="preserve">el </w:t>
      </w:r>
      <w:r w:rsidRPr="00170109">
        <w:rPr>
          <w:b/>
          <w:bCs/>
          <w:szCs w:val="22"/>
        </w:rPr>
        <w:t>ocho de octubre</w:t>
      </w:r>
      <w:r w:rsidRPr="00170109">
        <w:rPr>
          <w:rFonts w:cs="Tahoma"/>
          <w:b/>
          <w:bCs/>
          <w:szCs w:val="22"/>
        </w:rPr>
        <w:t xml:space="preserve"> de dos mil veinticuatro</w:t>
      </w:r>
      <w:r w:rsidRPr="00170109">
        <w:rPr>
          <w:rFonts w:cs="Tahoma"/>
          <w:szCs w:val="22"/>
        </w:rPr>
        <w:t xml:space="preserve"> </w:t>
      </w:r>
      <w:r w:rsidRPr="00170109">
        <w:rPr>
          <w:szCs w:val="22"/>
        </w:rPr>
        <w:t>para que, en un plazo de tres días hábiles, manifestara lo que a su derecho conviniera, de conformidad con lo establecido en el artículo 185, fracción III de la Ley de Transparencia y Acceso a la Información Pública del Estado de México y Municipios.</w:t>
      </w:r>
    </w:p>
    <w:p w14:paraId="5C3C5F42" w14:textId="77777777" w:rsidR="00682AF9" w:rsidRPr="00170109" w:rsidRDefault="00682AF9" w:rsidP="00170109">
      <w:pPr>
        <w:rPr>
          <w:rFonts w:cs="Tahoma"/>
          <w:bCs/>
          <w:szCs w:val="22"/>
        </w:rPr>
      </w:pPr>
    </w:p>
    <w:p w14:paraId="755B7730" w14:textId="2A0EB956" w:rsidR="00664420" w:rsidRPr="00170109" w:rsidRDefault="00E810F7" w:rsidP="00170109">
      <w:pPr>
        <w:pStyle w:val="Ttulo3"/>
        <w:rPr>
          <w:szCs w:val="22"/>
          <w:lang w:val="es-ES"/>
        </w:rPr>
      </w:pPr>
      <w:bookmarkStart w:id="13" w:name="_Toc179927169"/>
      <w:r w:rsidRPr="00170109">
        <w:rPr>
          <w:rFonts w:eastAsia="Calibri"/>
          <w:bCs/>
          <w:szCs w:val="22"/>
          <w:lang w:eastAsia="en-US"/>
        </w:rPr>
        <w:lastRenderedPageBreak/>
        <w:t>e</w:t>
      </w:r>
      <w:r w:rsidR="00664420" w:rsidRPr="00170109">
        <w:rPr>
          <w:rFonts w:eastAsia="Calibri"/>
          <w:bCs/>
          <w:szCs w:val="22"/>
          <w:lang w:eastAsia="en-US"/>
        </w:rPr>
        <w:t>)</w:t>
      </w:r>
      <w:r w:rsidR="00664420" w:rsidRPr="00170109">
        <w:rPr>
          <w:szCs w:val="22"/>
        </w:rPr>
        <w:t xml:space="preserve"> </w:t>
      </w:r>
      <w:r w:rsidR="00865CF4" w:rsidRPr="00170109">
        <w:rPr>
          <w:szCs w:val="22"/>
          <w:lang w:val="es-ES"/>
        </w:rPr>
        <w:t>Manifestaciones de la Parte Recurrente</w:t>
      </w:r>
      <w:bookmarkEnd w:id="13"/>
    </w:p>
    <w:p w14:paraId="1F7D92DC" w14:textId="1D5CE992" w:rsidR="0009347C" w:rsidRPr="00170109" w:rsidRDefault="00A850A3" w:rsidP="00170109">
      <w:pPr>
        <w:rPr>
          <w:szCs w:val="22"/>
        </w:rPr>
      </w:pPr>
      <w:r w:rsidRPr="00170109">
        <w:rPr>
          <w:b/>
          <w:bCs/>
          <w:szCs w:val="22"/>
        </w:rPr>
        <w:t xml:space="preserve">LA PARTE RECURRENTE </w:t>
      </w:r>
      <w:r w:rsidRPr="00170109">
        <w:rPr>
          <w:szCs w:val="22"/>
        </w:rPr>
        <w:t>no realizó manifestación alguna dentro del término legalmente concedido para tal efecto, ni presentó pruebas o alegatos.</w:t>
      </w:r>
    </w:p>
    <w:p w14:paraId="10795278" w14:textId="77777777" w:rsidR="003B3762" w:rsidRPr="00170109" w:rsidRDefault="003B3762" w:rsidP="00170109">
      <w:pPr>
        <w:rPr>
          <w:szCs w:val="22"/>
        </w:rPr>
      </w:pPr>
    </w:p>
    <w:p w14:paraId="0E651988" w14:textId="57633342" w:rsidR="00664420" w:rsidRPr="00170109" w:rsidRDefault="000863CE" w:rsidP="00170109">
      <w:pPr>
        <w:pStyle w:val="Ttulo3"/>
        <w:rPr>
          <w:szCs w:val="22"/>
        </w:rPr>
      </w:pPr>
      <w:bookmarkStart w:id="14" w:name="_Toc179927170"/>
      <w:r w:rsidRPr="00170109">
        <w:rPr>
          <w:rFonts w:eastAsia="Calibri"/>
          <w:szCs w:val="22"/>
        </w:rPr>
        <w:t>f</w:t>
      </w:r>
      <w:r w:rsidR="00664420" w:rsidRPr="00170109">
        <w:rPr>
          <w:rFonts w:eastAsia="Calibri"/>
          <w:szCs w:val="22"/>
        </w:rPr>
        <w:t xml:space="preserve">) </w:t>
      </w:r>
      <w:r w:rsidR="00664420" w:rsidRPr="00170109">
        <w:rPr>
          <w:szCs w:val="22"/>
        </w:rPr>
        <w:t>Cierre de instrucción</w:t>
      </w:r>
      <w:bookmarkEnd w:id="14"/>
    </w:p>
    <w:p w14:paraId="79AF95DC" w14:textId="2840A660" w:rsidR="00664420" w:rsidRPr="00170109" w:rsidRDefault="00BF091A" w:rsidP="00170109">
      <w:pPr>
        <w:rPr>
          <w:szCs w:val="22"/>
        </w:rPr>
      </w:pPr>
      <w:r w:rsidRPr="00170109">
        <w:rPr>
          <w:rFonts w:cs="Tahoma"/>
          <w:szCs w:val="22"/>
        </w:rPr>
        <w:t>Al no existir diligencias pendientes por desahogar</w:t>
      </w:r>
      <w:r w:rsidRPr="00170109">
        <w:rPr>
          <w:rFonts w:cs="Arial"/>
          <w:szCs w:val="22"/>
        </w:rPr>
        <w:t xml:space="preserve">, el </w:t>
      </w:r>
      <w:r w:rsidR="007D21FF" w:rsidRPr="00170109">
        <w:rPr>
          <w:rFonts w:cs="Tahoma"/>
          <w:b/>
          <w:bCs/>
          <w:szCs w:val="22"/>
        </w:rPr>
        <w:t>quince</w:t>
      </w:r>
      <w:r w:rsidR="00CC7757" w:rsidRPr="00170109">
        <w:rPr>
          <w:rFonts w:cs="Tahoma"/>
          <w:b/>
          <w:bCs/>
          <w:szCs w:val="22"/>
        </w:rPr>
        <w:t xml:space="preserve"> </w:t>
      </w:r>
      <w:r w:rsidR="007E42B7" w:rsidRPr="00170109">
        <w:rPr>
          <w:rFonts w:cs="Tahoma"/>
          <w:b/>
          <w:bCs/>
          <w:szCs w:val="22"/>
        </w:rPr>
        <w:t>de octubre</w:t>
      </w:r>
      <w:r w:rsidR="00E810F7" w:rsidRPr="00170109">
        <w:rPr>
          <w:rFonts w:cs="Tahoma"/>
          <w:b/>
          <w:bCs/>
          <w:szCs w:val="22"/>
        </w:rPr>
        <w:t xml:space="preserve"> de dos mil veinticuatro</w:t>
      </w:r>
      <w:r w:rsidR="00003628" w:rsidRPr="00170109">
        <w:rPr>
          <w:rFonts w:cs="Tahoma"/>
          <w:b/>
          <w:bCs/>
          <w:szCs w:val="22"/>
        </w:rPr>
        <w:t>,</w:t>
      </w:r>
      <w:r w:rsidR="00E810F7" w:rsidRPr="00170109">
        <w:rPr>
          <w:rFonts w:cs="Tahoma"/>
          <w:szCs w:val="22"/>
        </w:rPr>
        <w:t xml:space="preserve"> </w:t>
      </w:r>
      <w:r w:rsidRPr="00170109">
        <w:rPr>
          <w:rFonts w:cs="Arial"/>
          <w:szCs w:val="22"/>
        </w:rPr>
        <w:t xml:space="preserve">la </w:t>
      </w:r>
      <w:r w:rsidRPr="00170109">
        <w:rPr>
          <w:rFonts w:cs="Arial"/>
          <w:b/>
          <w:bCs/>
          <w:szCs w:val="22"/>
        </w:rPr>
        <w:t xml:space="preserve">Comisionada </w:t>
      </w:r>
      <w:r w:rsidRPr="00170109">
        <w:rPr>
          <w:b/>
          <w:szCs w:val="22"/>
        </w:rPr>
        <w:t xml:space="preserve">Sharon Cristina Morales Martínez </w:t>
      </w:r>
      <w:r w:rsidRPr="00170109">
        <w:rPr>
          <w:rFonts w:cs="Arial"/>
          <w:szCs w:val="22"/>
        </w:rPr>
        <w:t>acordó el cierre de instrucción</w:t>
      </w:r>
      <w:r w:rsidR="0011350D" w:rsidRPr="00170109">
        <w:rPr>
          <w:rFonts w:cs="Arial"/>
          <w:szCs w:val="22"/>
        </w:rPr>
        <w:t xml:space="preserve"> y</w:t>
      </w:r>
      <w:r w:rsidRPr="00170109">
        <w:rPr>
          <w:rFonts w:cs="Arial"/>
          <w:szCs w:val="22"/>
        </w:rPr>
        <w:t xml:space="preserve"> </w:t>
      </w:r>
      <w:r w:rsidR="0011350D" w:rsidRPr="00170109">
        <w:rPr>
          <w:rFonts w:cs="Arial"/>
          <w:szCs w:val="22"/>
        </w:rPr>
        <w:t xml:space="preserve">la </w:t>
      </w:r>
      <w:r w:rsidRPr="00170109">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170109">
        <w:rPr>
          <w:szCs w:val="22"/>
        </w:rPr>
        <w:t>.</w:t>
      </w:r>
      <w:r w:rsidR="0011350D" w:rsidRPr="00170109">
        <w:rPr>
          <w:szCs w:val="22"/>
        </w:rPr>
        <w:t xml:space="preserve"> Dicho acuerdo </w:t>
      </w:r>
      <w:r w:rsidR="00664420" w:rsidRPr="00170109">
        <w:rPr>
          <w:rFonts w:cs="Tahoma"/>
          <w:szCs w:val="22"/>
        </w:rPr>
        <w:t xml:space="preserve">fue notificado a las partes el mismo día a través del </w:t>
      </w:r>
      <w:r w:rsidR="00664420" w:rsidRPr="00170109">
        <w:rPr>
          <w:rFonts w:cs="Tahoma"/>
          <w:szCs w:val="22"/>
          <w:lang w:val="es-ES"/>
        </w:rPr>
        <w:t>SAIMEX</w:t>
      </w:r>
      <w:r w:rsidR="00664420" w:rsidRPr="00170109">
        <w:rPr>
          <w:rFonts w:cs="Tahoma"/>
          <w:szCs w:val="22"/>
        </w:rPr>
        <w:t>.</w:t>
      </w:r>
    </w:p>
    <w:p w14:paraId="741683E3" w14:textId="77777777" w:rsidR="0011350D" w:rsidRPr="00170109" w:rsidRDefault="0011350D" w:rsidP="00170109">
      <w:pPr>
        <w:rPr>
          <w:rFonts w:cs="Tahoma"/>
          <w:szCs w:val="22"/>
        </w:rPr>
      </w:pPr>
    </w:p>
    <w:p w14:paraId="7A9629DE" w14:textId="77777777" w:rsidR="00664420" w:rsidRPr="00170109" w:rsidRDefault="00664420" w:rsidP="00170109">
      <w:pPr>
        <w:pStyle w:val="Ttulo1"/>
        <w:rPr>
          <w:rFonts w:eastAsiaTheme="minorHAnsi"/>
          <w:szCs w:val="22"/>
          <w:lang w:eastAsia="en-US"/>
        </w:rPr>
      </w:pPr>
      <w:bookmarkStart w:id="15" w:name="_Toc179927171"/>
      <w:r w:rsidRPr="00170109">
        <w:rPr>
          <w:rFonts w:eastAsiaTheme="minorHAnsi"/>
          <w:szCs w:val="22"/>
          <w:lang w:eastAsia="en-US"/>
        </w:rPr>
        <w:t>CONSIDERANDOS</w:t>
      </w:r>
      <w:bookmarkEnd w:id="15"/>
    </w:p>
    <w:p w14:paraId="6DD1243B" w14:textId="77777777" w:rsidR="00664420" w:rsidRPr="00170109" w:rsidRDefault="00664420" w:rsidP="00170109">
      <w:pPr>
        <w:contextualSpacing/>
        <w:jc w:val="center"/>
        <w:rPr>
          <w:rFonts w:eastAsiaTheme="minorHAnsi" w:cs="Tahoma"/>
          <w:b/>
          <w:szCs w:val="22"/>
          <w:lang w:eastAsia="en-US"/>
        </w:rPr>
      </w:pPr>
    </w:p>
    <w:p w14:paraId="0B67CB92" w14:textId="2E307D3B" w:rsidR="00664420" w:rsidRPr="00170109" w:rsidRDefault="00664420" w:rsidP="00170109">
      <w:pPr>
        <w:pStyle w:val="Ttulo2"/>
        <w:rPr>
          <w:rFonts w:eastAsia="Batang"/>
          <w:szCs w:val="22"/>
        </w:rPr>
      </w:pPr>
      <w:bookmarkStart w:id="16" w:name="_Toc179927172"/>
      <w:r w:rsidRPr="00170109">
        <w:rPr>
          <w:rFonts w:eastAsia="Batang"/>
          <w:szCs w:val="22"/>
        </w:rPr>
        <w:t xml:space="preserve">PRIMERO. </w:t>
      </w:r>
      <w:r w:rsidR="00BA55A8" w:rsidRPr="00170109">
        <w:rPr>
          <w:rFonts w:eastAsia="Batang"/>
          <w:szCs w:val="22"/>
        </w:rPr>
        <w:t>Procedibilidad</w:t>
      </w:r>
      <w:bookmarkEnd w:id="16"/>
    </w:p>
    <w:p w14:paraId="39C52BC1" w14:textId="56FCC20D" w:rsidR="00BA55A8" w:rsidRPr="00170109" w:rsidRDefault="00BA55A8" w:rsidP="00170109">
      <w:pPr>
        <w:pStyle w:val="Ttulo3"/>
        <w:rPr>
          <w:szCs w:val="22"/>
        </w:rPr>
      </w:pPr>
      <w:bookmarkStart w:id="17" w:name="_Toc179927173"/>
      <w:r w:rsidRPr="00170109">
        <w:rPr>
          <w:szCs w:val="22"/>
        </w:rPr>
        <w:t>a) Competencia</w:t>
      </w:r>
      <w:r w:rsidR="00150C49" w:rsidRPr="00170109">
        <w:rPr>
          <w:szCs w:val="22"/>
        </w:rPr>
        <w:t xml:space="preserve"> del Instituto</w:t>
      </w:r>
      <w:bookmarkEnd w:id="17"/>
    </w:p>
    <w:p w14:paraId="56E64942" w14:textId="6572EDF7" w:rsidR="0011350D" w:rsidRPr="00170109" w:rsidRDefault="0011350D" w:rsidP="00170109">
      <w:pPr>
        <w:rPr>
          <w:rFonts w:cs="Arial"/>
          <w:szCs w:val="22"/>
        </w:rPr>
      </w:pPr>
      <w:r w:rsidRPr="00170109">
        <w:rPr>
          <w:szCs w:val="22"/>
        </w:rPr>
        <w:t xml:space="preserve">Este Instituto de Transparencia, Acceso a la Información Pública y Protección de Datos Personales del Estado de México y Municipios es competente para conocer y resolver </w:t>
      </w:r>
      <w:r w:rsidR="005F65B7" w:rsidRPr="00170109">
        <w:rPr>
          <w:szCs w:val="22"/>
        </w:rPr>
        <w:t xml:space="preserve">el </w:t>
      </w:r>
      <w:r w:rsidRPr="00170109">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170109">
        <w:rPr>
          <w:rFonts w:cs="Arial"/>
          <w:szCs w:val="22"/>
        </w:rPr>
        <w:t xml:space="preserve">; y 9, fracciones I y XXIII y 11 del Reglamento Interior del Instituto de </w:t>
      </w:r>
      <w:r w:rsidRPr="00170109">
        <w:rPr>
          <w:rFonts w:cs="Arial"/>
          <w:szCs w:val="22"/>
        </w:rPr>
        <w:lastRenderedPageBreak/>
        <w:t>Transparencia, Acceso a la Información Pública y Protección de Datos Personales del Estado de México y Municipios.</w:t>
      </w:r>
    </w:p>
    <w:p w14:paraId="6C36A399" w14:textId="77777777" w:rsidR="00DB1C09" w:rsidRPr="00170109" w:rsidRDefault="00DB1C09" w:rsidP="00170109">
      <w:pPr>
        <w:rPr>
          <w:rFonts w:cs="Arial"/>
          <w:szCs w:val="22"/>
        </w:rPr>
      </w:pPr>
    </w:p>
    <w:p w14:paraId="517A2DD6" w14:textId="4169BE4D" w:rsidR="00664420" w:rsidRPr="00170109" w:rsidRDefault="00BA55A8" w:rsidP="00170109">
      <w:pPr>
        <w:pStyle w:val="Ttulo3"/>
        <w:rPr>
          <w:szCs w:val="22"/>
        </w:rPr>
      </w:pPr>
      <w:bookmarkStart w:id="18" w:name="_Toc179927174"/>
      <w:r w:rsidRPr="00170109">
        <w:rPr>
          <w:szCs w:val="22"/>
        </w:rPr>
        <w:t>b)</w:t>
      </w:r>
      <w:r w:rsidR="00664420" w:rsidRPr="00170109">
        <w:rPr>
          <w:szCs w:val="22"/>
        </w:rPr>
        <w:t xml:space="preserve"> </w:t>
      </w:r>
      <w:r w:rsidR="00D91CB4" w:rsidRPr="00170109">
        <w:rPr>
          <w:szCs w:val="22"/>
        </w:rPr>
        <w:t>Legitimidad</w:t>
      </w:r>
      <w:r w:rsidRPr="00170109">
        <w:rPr>
          <w:szCs w:val="22"/>
        </w:rPr>
        <w:t xml:space="preserve"> de la parte recurrente</w:t>
      </w:r>
      <w:bookmarkEnd w:id="18"/>
    </w:p>
    <w:p w14:paraId="26FEA382" w14:textId="0B06695C" w:rsidR="00D91CB4" w:rsidRPr="00170109" w:rsidRDefault="00D91CB4" w:rsidP="00170109">
      <w:pPr>
        <w:rPr>
          <w:rFonts w:cs="Arial"/>
          <w:bCs/>
          <w:szCs w:val="22"/>
        </w:rPr>
      </w:pPr>
      <w:r w:rsidRPr="00170109">
        <w:rPr>
          <w:rFonts w:cs="Arial"/>
          <w:bCs/>
          <w:szCs w:val="22"/>
        </w:rPr>
        <w:t>El recurso de revisión fue interpuesto por parte legítima, ya que se presentó por la misma persona que formuló la solicitud de acceso a la Información Pública,</w:t>
      </w:r>
      <w:r w:rsidRPr="00170109">
        <w:rPr>
          <w:rFonts w:cs="Arial"/>
          <w:b/>
          <w:bCs/>
          <w:szCs w:val="22"/>
        </w:rPr>
        <w:t xml:space="preserve"> </w:t>
      </w:r>
      <w:r w:rsidRPr="00170109">
        <w:rPr>
          <w:rFonts w:cs="Arial"/>
          <w:szCs w:val="22"/>
        </w:rPr>
        <w:t>debido a que los datos de acceso</w:t>
      </w:r>
      <w:r w:rsidRPr="00170109">
        <w:rPr>
          <w:rFonts w:cs="Arial"/>
          <w:b/>
          <w:bCs/>
          <w:szCs w:val="22"/>
        </w:rPr>
        <w:t xml:space="preserve"> </w:t>
      </w:r>
      <w:r w:rsidRPr="00170109">
        <w:rPr>
          <w:rFonts w:cs="Arial"/>
          <w:szCs w:val="22"/>
        </w:rPr>
        <w:t>SAIMEX</w:t>
      </w:r>
      <w:r w:rsidRPr="00170109">
        <w:rPr>
          <w:rFonts w:eastAsia="Calibri" w:cs="Arial"/>
          <w:szCs w:val="22"/>
          <w:lang w:eastAsia="en-US"/>
        </w:rPr>
        <w:t xml:space="preserve"> son personales e irrepetibles.</w:t>
      </w:r>
    </w:p>
    <w:p w14:paraId="2C367810" w14:textId="77777777" w:rsidR="00D91CB4" w:rsidRPr="00170109" w:rsidRDefault="00D91CB4" w:rsidP="00170109">
      <w:pPr>
        <w:rPr>
          <w:szCs w:val="22"/>
        </w:rPr>
      </w:pPr>
    </w:p>
    <w:p w14:paraId="496490FC" w14:textId="1A5F3FDB" w:rsidR="00D91CB4" w:rsidRPr="00170109" w:rsidRDefault="00BA55A8" w:rsidP="00170109">
      <w:pPr>
        <w:pStyle w:val="Ttulo3"/>
        <w:rPr>
          <w:rFonts w:eastAsia="Calibri"/>
          <w:szCs w:val="22"/>
          <w:lang w:eastAsia="es-ES_tradnl"/>
        </w:rPr>
      </w:pPr>
      <w:bookmarkStart w:id="19" w:name="_Toc179927175"/>
      <w:r w:rsidRPr="00170109">
        <w:rPr>
          <w:rFonts w:eastAsia="Calibri"/>
          <w:szCs w:val="22"/>
          <w:lang w:eastAsia="es-ES_tradnl"/>
        </w:rPr>
        <w:t>c)</w:t>
      </w:r>
      <w:r w:rsidR="00664420" w:rsidRPr="00170109">
        <w:rPr>
          <w:rFonts w:eastAsia="Calibri"/>
          <w:szCs w:val="22"/>
          <w:lang w:eastAsia="es-ES_tradnl"/>
        </w:rPr>
        <w:t xml:space="preserve"> </w:t>
      </w:r>
      <w:r w:rsidR="00D91CB4" w:rsidRPr="00170109">
        <w:rPr>
          <w:rFonts w:eastAsia="Calibri"/>
          <w:szCs w:val="22"/>
          <w:lang w:eastAsia="es-ES_tradnl"/>
        </w:rPr>
        <w:t>Plazo para interponer el recurso</w:t>
      </w:r>
      <w:bookmarkEnd w:id="19"/>
    </w:p>
    <w:p w14:paraId="106D37EE" w14:textId="403F7D26" w:rsidR="00D91CB4" w:rsidRPr="00170109" w:rsidRDefault="00D91CB4" w:rsidP="00170109">
      <w:pPr>
        <w:rPr>
          <w:rFonts w:eastAsiaTheme="minorEastAsia" w:cs="Arial"/>
          <w:szCs w:val="22"/>
          <w:lang w:val="es-ES_tradnl"/>
        </w:rPr>
      </w:pPr>
      <w:r w:rsidRPr="00170109">
        <w:rPr>
          <w:rFonts w:cs="Arial"/>
          <w:b/>
          <w:szCs w:val="22"/>
        </w:rPr>
        <w:t>EL SUJETO OBLIGADO</w:t>
      </w:r>
      <w:r w:rsidRPr="00170109">
        <w:rPr>
          <w:rFonts w:cs="Arial"/>
          <w:szCs w:val="22"/>
        </w:rPr>
        <w:t xml:space="preserve"> notificó la respuesta a la solicitud de acceso a la Información Pública el </w:t>
      </w:r>
      <w:r w:rsidR="006F611E" w:rsidRPr="00170109">
        <w:rPr>
          <w:rFonts w:cs="Tahoma"/>
          <w:b/>
          <w:bCs/>
          <w:szCs w:val="22"/>
        </w:rPr>
        <w:t>veinte de septiembre</w:t>
      </w:r>
      <w:r w:rsidR="00DE285A" w:rsidRPr="00170109">
        <w:rPr>
          <w:rFonts w:cs="Tahoma"/>
          <w:b/>
          <w:bCs/>
          <w:szCs w:val="22"/>
        </w:rPr>
        <w:t xml:space="preserve"> de dos mil veinticuatro</w:t>
      </w:r>
      <w:r w:rsidR="00DE285A" w:rsidRPr="00170109">
        <w:rPr>
          <w:rFonts w:cs="Tahoma"/>
          <w:szCs w:val="22"/>
        </w:rPr>
        <w:t xml:space="preserve"> </w:t>
      </w:r>
      <w:r w:rsidR="00A53315" w:rsidRPr="00170109">
        <w:rPr>
          <w:rFonts w:cs="Arial"/>
          <w:szCs w:val="22"/>
        </w:rPr>
        <w:t xml:space="preserve">y el recurso </w:t>
      </w:r>
      <w:r w:rsidR="00A53315" w:rsidRPr="00170109">
        <w:rPr>
          <w:rFonts w:eastAsia="Palatino Linotype" w:cs="Palatino Linotype"/>
          <w:szCs w:val="22"/>
        </w:rPr>
        <w:t xml:space="preserve">que nos ocupa se </w:t>
      </w:r>
      <w:r w:rsidR="006A61F1" w:rsidRPr="00170109">
        <w:rPr>
          <w:rFonts w:eastAsia="Palatino Linotype" w:cs="Palatino Linotype"/>
          <w:szCs w:val="22"/>
        </w:rPr>
        <w:t>tuvo por presentado</w:t>
      </w:r>
      <w:r w:rsidR="00A53315" w:rsidRPr="00170109">
        <w:rPr>
          <w:rFonts w:eastAsia="Palatino Linotype" w:cs="Palatino Linotype"/>
          <w:szCs w:val="22"/>
        </w:rPr>
        <w:t xml:space="preserve"> el </w:t>
      </w:r>
      <w:r w:rsidR="006F611E" w:rsidRPr="00170109">
        <w:rPr>
          <w:rFonts w:eastAsia="Palatino Linotype" w:cs="Palatino Linotype"/>
          <w:b/>
          <w:szCs w:val="22"/>
        </w:rPr>
        <w:t>veintitrés</w:t>
      </w:r>
      <w:r w:rsidR="007328F2" w:rsidRPr="00170109">
        <w:rPr>
          <w:rFonts w:cs="Tahoma"/>
          <w:b/>
          <w:bCs/>
          <w:szCs w:val="22"/>
        </w:rPr>
        <w:t xml:space="preserve"> de septiembre</w:t>
      </w:r>
      <w:r w:rsidR="00DE285A" w:rsidRPr="00170109">
        <w:rPr>
          <w:rFonts w:cs="Tahoma"/>
          <w:b/>
          <w:bCs/>
          <w:szCs w:val="22"/>
        </w:rPr>
        <w:t xml:space="preserve"> de dos mil veinticuatro</w:t>
      </w:r>
      <w:r w:rsidR="00A53315" w:rsidRPr="00170109">
        <w:rPr>
          <w:rFonts w:eastAsia="Palatino Linotype" w:cs="Palatino Linotype"/>
          <w:bCs/>
          <w:szCs w:val="22"/>
        </w:rPr>
        <w:t>;</w:t>
      </w:r>
      <w:r w:rsidR="00A53315" w:rsidRPr="00170109">
        <w:rPr>
          <w:rFonts w:eastAsia="Palatino Linotype" w:cs="Palatino Linotype"/>
          <w:szCs w:val="22"/>
        </w:rPr>
        <w:t xml:space="preserve"> por lo tanto, éste se encuentra dentro del margen temporal previsto en el artículo 178 de la </w:t>
      </w:r>
      <w:r w:rsidR="00A53315" w:rsidRPr="00170109">
        <w:rPr>
          <w:rFonts w:cs="Arial"/>
          <w:szCs w:val="22"/>
        </w:rPr>
        <w:t>Ley de Transparencia y Acceso a la Información Pública del Estado de México y Municipios</w:t>
      </w:r>
      <w:r w:rsidR="007328F2" w:rsidRPr="00170109">
        <w:rPr>
          <w:rFonts w:cs="Arial"/>
          <w:szCs w:val="22"/>
        </w:rPr>
        <w:t>.</w:t>
      </w:r>
    </w:p>
    <w:p w14:paraId="49076992" w14:textId="77777777" w:rsidR="00D91CB4" w:rsidRPr="00170109" w:rsidRDefault="00D91CB4" w:rsidP="00170109">
      <w:pPr>
        <w:rPr>
          <w:rFonts w:eastAsia="Palatino Linotype" w:cs="Palatino Linotype"/>
          <w:szCs w:val="22"/>
        </w:rPr>
      </w:pPr>
    </w:p>
    <w:p w14:paraId="46C0EB3A" w14:textId="28FD0C2E" w:rsidR="00A53315" w:rsidRPr="00170109" w:rsidRDefault="00BA55A8" w:rsidP="00170109">
      <w:pPr>
        <w:pStyle w:val="Ttulo3"/>
        <w:rPr>
          <w:rFonts w:eastAsia="Calibri"/>
          <w:szCs w:val="22"/>
          <w:lang w:eastAsia="es-ES_tradnl"/>
        </w:rPr>
      </w:pPr>
      <w:bookmarkStart w:id="20" w:name="_Toc179927176"/>
      <w:r w:rsidRPr="00170109">
        <w:rPr>
          <w:rFonts w:eastAsia="Calibri"/>
          <w:szCs w:val="22"/>
          <w:lang w:eastAsia="es-ES_tradnl"/>
        </w:rPr>
        <w:t>d)</w:t>
      </w:r>
      <w:r w:rsidR="00D91CB4" w:rsidRPr="00170109">
        <w:rPr>
          <w:rFonts w:eastAsia="Calibri"/>
          <w:szCs w:val="22"/>
          <w:lang w:eastAsia="es-ES_tradnl"/>
        </w:rPr>
        <w:t xml:space="preserve"> </w:t>
      </w:r>
      <w:r w:rsidR="00E325AD" w:rsidRPr="00170109">
        <w:rPr>
          <w:rFonts w:eastAsia="Calibri"/>
          <w:szCs w:val="22"/>
          <w:lang w:eastAsia="es-ES_tradnl"/>
        </w:rPr>
        <w:t>Causal de Procedencia</w:t>
      </w:r>
      <w:bookmarkEnd w:id="20"/>
    </w:p>
    <w:p w14:paraId="190404A6" w14:textId="009140CC" w:rsidR="00BA55A8" w:rsidRPr="00170109" w:rsidRDefault="00BA55A8" w:rsidP="00170109">
      <w:pPr>
        <w:rPr>
          <w:szCs w:val="22"/>
        </w:rPr>
      </w:pPr>
      <w:r w:rsidRPr="00170109">
        <w:rPr>
          <w:rFonts w:cs="Arial"/>
          <w:szCs w:val="22"/>
        </w:rPr>
        <w:t xml:space="preserve">Resulta procedente la interposición del recurso de revisión, ya que </w:t>
      </w:r>
      <w:r w:rsidRPr="00170109">
        <w:rPr>
          <w:rFonts w:eastAsia="Calibri" w:cs="Tahoma"/>
          <w:szCs w:val="22"/>
          <w:lang w:eastAsia="es-MX"/>
        </w:rPr>
        <w:t>se actualiza la causal de procedencia señalada en el artículo 179, fracci</w:t>
      </w:r>
      <w:r w:rsidR="007E2967" w:rsidRPr="00170109">
        <w:rPr>
          <w:rFonts w:eastAsia="Calibri" w:cs="Tahoma"/>
          <w:szCs w:val="22"/>
          <w:lang w:eastAsia="es-MX"/>
        </w:rPr>
        <w:t>ón</w:t>
      </w:r>
      <w:r w:rsidR="00EE1B1C" w:rsidRPr="00170109">
        <w:rPr>
          <w:rFonts w:eastAsia="Calibri" w:cs="Tahoma"/>
          <w:szCs w:val="22"/>
          <w:lang w:eastAsia="es-MX"/>
        </w:rPr>
        <w:t xml:space="preserve"> </w:t>
      </w:r>
      <w:r w:rsidR="003F780F" w:rsidRPr="00170109">
        <w:rPr>
          <w:rFonts w:eastAsia="Calibri" w:cs="Tahoma"/>
          <w:szCs w:val="22"/>
          <w:lang w:eastAsia="es-MX"/>
        </w:rPr>
        <w:t>I</w:t>
      </w:r>
      <w:r w:rsidR="007328F2" w:rsidRPr="00170109">
        <w:rPr>
          <w:rFonts w:eastAsia="Calibri" w:cs="Tahoma"/>
          <w:szCs w:val="22"/>
          <w:lang w:eastAsia="es-MX"/>
        </w:rPr>
        <w:t xml:space="preserve"> </w:t>
      </w:r>
      <w:r w:rsidRPr="00170109">
        <w:rPr>
          <w:rFonts w:cs="Arial"/>
          <w:szCs w:val="22"/>
        </w:rPr>
        <w:t xml:space="preserve">de la </w:t>
      </w:r>
      <w:r w:rsidRPr="00170109">
        <w:rPr>
          <w:szCs w:val="22"/>
        </w:rPr>
        <w:t>Ley de Transparencia y Acceso a la Información Pública del Estado de México y Municipios.</w:t>
      </w:r>
    </w:p>
    <w:p w14:paraId="0EFF7141" w14:textId="77777777" w:rsidR="00362A11" w:rsidRPr="00170109" w:rsidRDefault="00362A11" w:rsidP="00170109">
      <w:pPr>
        <w:rPr>
          <w:szCs w:val="22"/>
        </w:rPr>
      </w:pPr>
    </w:p>
    <w:p w14:paraId="2284D7EB" w14:textId="3EE1D036" w:rsidR="00BA55A8" w:rsidRPr="00170109" w:rsidRDefault="00362A11" w:rsidP="00170109">
      <w:pPr>
        <w:pStyle w:val="Ttulo3"/>
        <w:rPr>
          <w:szCs w:val="22"/>
        </w:rPr>
      </w:pPr>
      <w:bookmarkStart w:id="21" w:name="_Toc179927177"/>
      <w:r w:rsidRPr="00170109">
        <w:rPr>
          <w:szCs w:val="22"/>
        </w:rPr>
        <w:t>e) Requisitos formales para la interposición del recurso</w:t>
      </w:r>
      <w:bookmarkEnd w:id="21"/>
    </w:p>
    <w:p w14:paraId="057A099D" w14:textId="77777777" w:rsidR="0033585B" w:rsidRPr="00170109" w:rsidRDefault="0033585B" w:rsidP="00170109">
      <w:pPr>
        <w:rPr>
          <w:rFonts w:cs="Arial"/>
          <w:szCs w:val="22"/>
        </w:rPr>
      </w:pPr>
      <w:r w:rsidRPr="00170109">
        <w:rPr>
          <w:rFonts w:cs="Arial"/>
          <w:szCs w:val="22"/>
        </w:rPr>
        <w:t xml:space="preserve">Es importante mencionar que, de la revisión del expediente electrónico del </w:t>
      </w:r>
      <w:r w:rsidRPr="00170109">
        <w:rPr>
          <w:rFonts w:cs="Arial"/>
          <w:b/>
          <w:bCs/>
          <w:szCs w:val="22"/>
        </w:rPr>
        <w:t>SAIMEX</w:t>
      </w:r>
      <w:r w:rsidRPr="00170109">
        <w:rPr>
          <w:rFonts w:cs="Arial"/>
          <w:szCs w:val="22"/>
        </w:rPr>
        <w:t xml:space="preserve">, se observa que </w:t>
      </w:r>
      <w:r w:rsidRPr="00170109">
        <w:rPr>
          <w:rFonts w:cs="Arial"/>
          <w:b/>
          <w:bCs/>
          <w:szCs w:val="22"/>
        </w:rPr>
        <w:t>LA PARTE RECURRENTE</w:t>
      </w:r>
      <w:r w:rsidRPr="00170109">
        <w:rPr>
          <w:rFonts w:cs="Arial"/>
          <w:szCs w:val="22"/>
        </w:rPr>
        <w:t xml:space="preserve"> no proporcionó su nombre para ser identificado, lo que en estricto sentido provoca que no se colmen los requisitos establecidos en el artículo 180 </w:t>
      </w:r>
      <w:r w:rsidRPr="00170109">
        <w:rPr>
          <w:rFonts w:cs="Arial"/>
          <w:szCs w:val="22"/>
        </w:rPr>
        <w:lastRenderedPageBreak/>
        <w:t xml:space="preserve">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170109">
        <w:rPr>
          <w:rFonts w:cs="Arial"/>
          <w:b/>
          <w:bCs/>
          <w:szCs w:val="22"/>
          <w:u w:val="single"/>
        </w:rPr>
        <w:t>el nombre no es un requisito indispensable</w:t>
      </w:r>
      <w:r w:rsidRPr="00170109">
        <w:rPr>
          <w:rFonts w:cs="Arial"/>
          <w:szCs w:val="22"/>
        </w:rPr>
        <w:t xml:space="preserve"> para que las y los ciudadanos ejerzan el derecho de acceso a la información pública. </w:t>
      </w:r>
    </w:p>
    <w:p w14:paraId="35CF9158" w14:textId="77777777" w:rsidR="0033585B" w:rsidRPr="00170109" w:rsidRDefault="0033585B" w:rsidP="00170109">
      <w:pPr>
        <w:rPr>
          <w:rFonts w:cs="Arial"/>
          <w:szCs w:val="22"/>
        </w:rPr>
      </w:pPr>
    </w:p>
    <w:p w14:paraId="7707B77B" w14:textId="77777777" w:rsidR="0033585B" w:rsidRPr="00170109" w:rsidRDefault="0033585B" w:rsidP="00170109">
      <w:pPr>
        <w:rPr>
          <w:rFonts w:cs="Arial"/>
          <w:szCs w:val="22"/>
        </w:rPr>
      </w:pPr>
      <w:r w:rsidRPr="00170109">
        <w:rPr>
          <w:rFonts w:cs="Arial"/>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170109">
        <w:rPr>
          <w:rFonts w:cs="Arial"/>
          <w:b/>
          <w:bCs/>
          <w:szCs w:val="22"/>
        </w:rPr>
        <w:t>LA PARTE RECURRENTE</w:t>
      </w:r>
      <w:r w:rsidRPr="00170109">
        <w:rPr>
          <w:rFonts w:cs="Arial"/>
          <w:szCs w:val="22"/>
        </w:rPr>
        <w:t xml:space="preserve">; por lo que, en el presente caso, al haber sido presentado el recurso de revisión vía </w:t>
      </w:r>
      <w:r w:rsidRPr="00170109">
        <w:rPr>
          <w:rFonts w:cs="Arial"/>
          <w:b/>
          <w:bCs/>
          <w:szCs w:val="22"/>
        </w:rPr>
        <w:t>SAIMEX</w:t>
      </w:r>
      <w:r w:rsidRPr="00170109">
        <w:rPr>
          <w:rFonts w:cs="Arial"/>
          <w:szCs w:val="22"/>
        </w:rPr>
        <w:t>, dicho requisito resulta innecesario.</w:t>
      </w:r>
    </w:p>
    <w:p w14:paraId="07882DF4" w14:textId="77777777" w:rsidR="0083518A" w:rsidRPr="00170109" w:rsidRDefault="0083518A" w:rsidP="00170109">
      <w:pPr>
        <w:rPr>
          <w:bCs/>
          <w:szCs w:val="22"/>
          <w:lang w:val="es-ES_tradnl"/>
        </w:rPr>
      </w:pPr>
    </w:p>
    <w:p w14:paraId="457548E9" w14:textId="3F7AF03B" w:rsidR="00C71CEF" w:rsidRPr="00170109" w:rsidRDefault="00C71CEF" w:rsidP="00170109">
      <w:pPr>
        <w:pStyle w:val="Ttulo2"/>
        <w:rPr>
          <w:szCs w:val="22"/>
        </w:rPr>
      </w:pPr>
      <w:bookmarkStart w:id="22" w:name="_Toc179927178"/>
      <w:r w:rsidRPr="00170109">
        <w:rPr>
          <w:szCs w:val="22"/>
        </w:rPr>
        <w:t>SEGUNDO. Estudio de Fondo</w:t>
      </w:r>
      <w:bookmarkEnd w:id="22"/>
    </w:p>
    <w:p w14:paraId="2A308F59" w14:textId="0FF373F0" w:rsidR="00C049E2" w:rsidRPr="00170109" w:rsidRDefault="00C71CEF" w:rsidP="00170109">
      <w:pPr>
        <w:pStyle w:val="Ttulo3"/>
        <w:rPr>
          <w:szCs w:val="22"/>
        </w:rPr>
      </w:pPr>
      <w:bookmarkStart w:id="23" w:name="_Toc179927179"/>
      <w:r w:rsidRPr="00170109">
        <w:rPr>
          <w:szCs w:val="22"/>
        </w:rPr>
        <w:t>a</w:t>
      </w:r>
      <w:r w:rsidR="00C049E2" w:rsidRPr="00170109">
        <w:rPr>
          <w:szCs w:val="22"/>
        </w:rPr>
        <w:t>) Mandato de transparencia y responsabilidad del Sujeto Obligado</w:t>
      </w:r>
      <w:bookmarkEnd w:id="23"/>
    </w:p>
    <w:p w14:paraId="6901A889" w14:textId="59EEDAE1" w:rsidR="00C049E2" w:rsidRPr="00170109" w:rsidRDefault="00C049E2" w:rsidP="00170109">
      <w:pPr>
        <w:rPr>
          <w:rFonts w:eastAsia="Palatino Linotype"/>
          <w:szCs w:val="22"/>
        </w:rPr>
      </w:pPr>
      <w:r w:rsidRPr="00170109">
        <w:rPr>
          <w:rFonts w:eastAsia="Palatino Linotype"/>
          <w:szCs w:val="22"/>
        </w:rPr>
        <w:t xml:space="preserve">El </w:t>
      </w:r>
      <w:r w:rsidR="00717E59" w:rsidRPr="00170109">
        <w:rPr>
          <w:rFonts w:eastAsia="Palatino Linotype"/>
          <w:szCs w:val="22"/>
        </w:rPr>
        <w:t>d</w:t>
      </w:r>
      <w:r w:rsidRPr="00170109">
        <w:rPr>
          <w:rFonts w:eastAsia="Palatino Linotype"/>
          <w:szCs w:val="22"/>
        </w:rPr>
        <w:t xml:space="preserve">erecho de </w:t>
      </w:r>
      <w:r w:rsidR="00717E59" w:rsidRPr="00170109">
        <w:rPr>
          <w:rFonts w:eastAsia="Palatino Linotype"/>
          <w:szCs w:val="22"/>
        </w:rPr>
        <w:t>a</w:t>
      </w:r>
      <w:r w:rsidRPr="00170109">
        <w:rPr>
          <w:rFonts w:eastAsia="Palatino Linotype"/>
          <w:szCs w:val="22"/>
        </w:rPr>
        <w:t xml:space="preserve">cceso a la </w:t>
      </w:r>
      <w:r w:rsidR="00717E59" w:rsidRPr="00170109">
        <w:rPr>
          <w:rFonts w:eastAsia="Palatino Linotype"/>
          <w:szCs w:val="22"/>
        </w:rPr>
        <w:t>i</w:t>
      </w:r>
      <w:r w:rsidRPr="00170109">
        <w:rPr>
          <w:rFonts w:eastAsia="Palatino Linotype"/>
          <w:szCs w:val="22"/>
        </w:rPr>
        <w:t xml:space="preserve">nformación </w:t>
      </w:r>
      <w:r w:rsidR="00717E59" w:rsidRPr="00170109">
        <w:rPr>
          <w:rFonts w:eastAsia="Palatino Linotype"/>
          <w:szCs w:val="22"/>
        </w:rPr>
        <w:t>p</w:t>
      </w:r>
      <w:r w:rsidRPr="00170109">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170109">
        <w:rPr>
          <w:rFonts w:eastAsia="Palatino Linotype"/>
          <w:szCs w:val="22"/>
        </w:rPr>
        <w:t>:</w:t>
      </w:r>
    </w:p>
    <w:p w14:paraId="7FAB8D32" w14:textId="77777777" w:rsidR="00C049E2" w:rsidRPr="00170109" w:rsidRDefault="00C049E2" w:rsidP="00170109">
      <w:pPr>
        <w:rPr>
          <w:rFonts w:eastAsia="Palatino Linotype"/>
          <w:szCs w:val="22"/>
        </w:rPr>
      </w:pPr>
    </w:p>
    <w:p w14:paraId="05320813" w14:textId="77777777" w:rsidR="00C049E2" w:rsidRPr="00170109" w:rsidRDefault="00C049E2" w:rsidP="00170109">
      <w:pPr>
        <w:spacing w:line="240" w:lineRule="auto"/>
        <w:ind w:left="567" w:right="539"/>
        <w:rPr>
          <w:rFonts w:eastAsia="Palatino Linotype"/>
          <w:b/>
          <w:i/>
          <w:szCs w:val="22"/>
        </w:rPr>
      </w:pPr>
      <w:r w:rsidRPr="00170109">
        <w:rPr>
          <w:rFonts w:eastAsia="Palatino Linotype"/>
          <w:b/>
          <w:i/>
          <w:szCs w:val="22"/>
        </w:rPr>
        <w:t>Constitución Política de los Estados Unidos Mexicanos</w:t>
      </w:r>
    </w:p>
    <w:p w14:paraId="6B6C67B6" w14:textId="77777777" w:rsidR="00C049E2" w:rsidRPr="00170109" w:rsidRDefault="00C049E2" w:rsidP="00170109">
      <w:pPr>
        <w:spacing w:line="240" w:lineRule="auto"/>
        <w:ind w:left="567" w:right="539"/>
        <w:rPr>
          <w:rFonts w:eastAsia="Palatino Linotype"/>
          <w:b/>
          <w:i/>
          <w:szCs w:val="22"/>
        </w:rPr>
      </w:pPr>
      <w:r w:rsidRPr="00170109">
        <w:rPr>
          <w:rFonts w:eastAsia="Palatino Linotype"/>
          <w:b/>
          <w:i/>
          <w:szCs w:val="22"/>
        </w:rPr>
        <w:t>“Artículo 6.</w:t>
      </w:r>
    </w:p>
    <w:p w14:paraId="38D3B4C4" w14:textId="77777777" w:rsidR="00C049E2" w:rsidRPr="00170109" w:rsidRDefault="00C049E2" w:rsidP="00170109">
      <w:pPr>
        <w:spacing w:line="240" w:lineRule="auto"/>
        <w:ind w:left="567" w:right="539"/>
        <w:rPr>
          <w:rFonts w:eastAsia="Palatino Linotype"/>
          <w:i/>
          <w:szCs w:val="22"/>
        </w:rPr>
      </w:pPr>
      <w:r w:rsidRPr="00170109">
        <w:rPr>
          <w:rFonts w:eastAsia="Palatino Linotype"/>
          <w:i/>
          <w:szCs w:val="22"/>
        </w:rPr>
        <w:t>(…)</w:t>
      </w:r>
    </w:p>
    <w:p w14:paraId="2CCAA297" w14:textId="6602827B" w:rsidR="00C049E2" w:rsidRPr="00170109" w:rsidRDefault="00C049E2" w:rsidP="00170109">
      <w:pPr>
        <w:spacing w:line="240" w:lineRule="auto"/>
        <w:ind w:left="567" w:right="539"/>
        <w:rPr>
          <w:rFonts w:eastAsia="Palatino Linotype"/>
          <w:i/>
          <w:szCs w:val="22"/>
        </w:rPr>
      </w:pPr>
      <w:r w:rsidRPr="00170109">
        <w:rPr>
          <w:rFonts w:eastAsia="Palatino Linotype"/>
          <w:i/>
          <w:szCs w:val="22"/>
        </w:rPr>
        <w:t>Para efectos de lo dispuesto en el presente artículo se observará lo siguiente:</w:t>
      </w:r>
    </w:p>
    <w:p w14:paraId="74CC3718" w14:textId="77777777" w:rsidR="00C049E2" w:rsidRPr="00170109" w:rsidRDefault="00C049E2" w:rsidP="00170109">
      <w:pPr>
        <w:spacing w:line="240" w:lineRule="auto"/>
        <w:ind w:left="567" w:right="539"/>
        <w:rPr>
          <w:rFonts w:eastAsia="Palatino Linotype"/>
          <w:b/>
          <w:i/>
          <w:szCs w:val="22"/>
        </w:rPr>
      </w:pPr>
      <w:r w:rsidRPr="00170109">
        <w:rPr>
          <w:rFonts w:eastAsia="Palatino Linotype"/>
          <w:b/>
          <w:i/>
          <w:szCs w:val="22"/>
        </w:rPr>
        <w:t>A</w:t>
      </w:r>
      <w:r w:rsidRPr="00170109">
        <w:rPr>
          <w:rFonts w:eastAsia="Palatino Linotype"/>
          <w:i/>
          <w:szCs w:val="22"/>
        </w:rPr>
        <w:t xml:space="preserve">. </w:t>
      </w:r>
      <w:r w:rsidRPr="00170109">
        <w:rPr>
          <w:rFonts w:eastAsia="Palatino Linotype"/>
          <w:b/>
          <w:i/>
          <w:szCs w:val="22"/>
        </w:rPr>
        <w:t>Para el ejercicio del derecho de acceso a la información</w:t>
      </w:r>
      <w:r w:rsidRPr="00170109">
        <w:rPr>
          <w:rFonts w:eastAsia="Palatino Linotype"/>
          <w:i/>
          <w:szCs w:val="22"/>
        </w:rPr>
        <w:t xml:space="preserve">, la Federación y </w:t>
      </w:r>
      <w:r w:rsidRPr="00170109">
        <w:rPr>
          <w:rFonts w:eastAsia="Palatino Linotype"/>
          <w:b/>
          <w:i/>
          <w:szCs w:val="22"/>
        </w:rPr>
        <w:t>las entidades federativas, en el ámbito de sus respectivas competencias, se regirán por los siguientes principios y bases:</w:t>
      </w:r>
    </w:p>
    <w:p w14:paraId="596A956B" w14:textId="77777777" w:rsidR="00C049E2" w:rsidRPr="00170109" w:rsidRDefault="00C049E2" w:rsidP="00170109">
      <w:pPr>
        <w:spacing w:line="240" w:lineRule="auto"/>
        <w:ind w:left="567" w:right="539"/>
        <w:rPr>
          <w:rFonts w:eastAsia="Palatino Linotype"/>
          <w:i/>
          <w:szCs w:val="22"/>
        </w:rPr>
      </w:pPr>
      <w:r w:rsidRPr="00170109">
        <w:rPr>
          <w:rFonts w:eastAsia="Palatino Linotype"/>
          <w:b/>
          <w:i/>
          <w:szCs w:val="22"/>
        </w:rPr>
        <w:lastRenderedPageBreak/>
        <w:t xml:space="preserve">I. </w:t>
      </w:r>
      <w:r w:rsidRPr="00170109">
        <w:rPr>
          <w:rFonts w:eastAsia="Palatino Linotype"/>
          <w:b/>
          <w:i/>
          <w:szCs w:val="22"/>
        </w:rPr>
        <w:tab/>
        <w:t>Toda la información en posesión de cualquier</w:t>
      </w:r>
      <w:r w:rsidRPr="00170109">
        <w:rPr>
          <w:rFonts w:eastAsia="Palatino Linotype"/>
          <w:i/>
          <w:szCs w:val="22"/>
        </w:rPr>
        <w:t xml:space="preserve"> </w:t>
      </w:r>
      <w:r w:rsidRPr="00170109">
        <w:rPr>
          <w:rFonts w:eastAsia="Palatino Linotype"/>
          <w:b/>
          <w:i/>
          <w:szCs w:val="22"/>
        </w:rPr>
        <w:t>autoridad</w:t>
      </w:r>
      <w:r w:rsidRPr="00170109">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70109">
        <w:rPr>
          <w:rFonts w:eastAsia="Palatino Linotype"/>
          <w:b/>
          <w:i/>
          <w:szCs w:val="22"/>
        </w:rPr>
        <w:t>municipal</w:t>
      </w:r>
      <w:r w:rsidRPr="00170109">
        <w:rPr>
          <w:rFonts w:eastAsia="Palatino Linotype"/>
          <w:i/>
          <w:szCs w:val="22"/>
        </w:rPr>
        <w:t xml:space="preserve">, </w:t>
      </w:r>
      <w:r w:rsidRPr="00170109">
        <w:rPr>
          <w:rFonts w:eastAsia="Palatino Linotype"/>
          <w:b/>
          <w:i/>
          <w:szCs w:val="22"/>
        </w:rPr>
        <w:t>es pública</w:t>
      </w:r>
      <w:r w:rsidRPr="00170109">
        <w:rPr>
          <w:rFonts w:eastAsia="Palatino Linotype"/>
          <w:i/>
          <w:szCs w:val="22"/>
        </w:rPr>
        <w:t xml:space="preserve"> y sólo podrá ser reservada temporalmente por razones de interés público y seguridad nacional, en los términos que fijen las leyes. </w:t>
      </w:r>
      <w:r w:rsidRPr="00170109">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170109">
        <w:rPr>
          <w:rFonts w:eastAsia="Palatino Linotype"/>
          <w:i/>
          <w:szCs w:val="22"/>
        </w:rPr>
        <w:t>, la ley determinará los supuestos específicos bajo los cuales procederá la declaración de inexistencia de la información.”</w:t>
      </w:r>
    </w:p>
    <w:p w14:paraId="68F313E4" w14:textId="77777777" w:rsidR="00C049E2" w:rsidRPr="00170109" w:rsidRDefault="00C049E2" w:rsidP="00170109">
      <w:pPr>
        <w:spacing w:line="240" w:lineRule="auto"/>
        <w:ind w:left="567" w:right="539"/>
        <w:rPr>
          <w:rFonts w:eastAsia="Palatino Linotype"/>
          <w:b/>
          <w:i/>
          <w:szCs w:val="22"/>
        </w:rPr>
      </w:pPr>
    </w:p>
    <w:p w14:paraId="504F12DB" w14:textId="77777777" w:rsidR="00C049E2" w:rsidRPr="00170109" w:rsidRDefault="00C049E2" w:rsidP="00170109">
      <w:pPr>
        <w:spacing w:line="240" w:lineRule="auto"/>
        <w:ind w:left="567" w:right="539"/>
        <w:rPr>
          <w:rFonts w:eastAsia="Palatino Linotype"/>
          <w:b/>
          <w:i/>
          <w:szCs w:val="22"/>
        </w:rPr>
      </w:pPr>
      <w:r w:rsidRPr="00170109">
        <w:rPr>
          <w:rFonts w:eastAsia="Palatino Linotype"/>
          <w:b/>
          <w:i/>
          <w:szCs w:val="22"/>
        </w:rPr>
        <w:t>Constitución Política del Estado Libre y Soberano de México</w:t>
      </w:r>
    </w:p>
    <w:p w14:paraId="04932D29" w14:textId="77777777" w:rsidR="00C049E2" w:rsidRPr="00170109" w:rsidRDefault="00C049E2" w:rsidP="00170109">
      <w:pPr>
        <w:spacing w:line="240" w:lineRule="auto"/>
        <w:ind w:left="567" w:right="539"/>
        <w:rPr>
          <w:rFonts w:eastAsia="Palatino Linotype"/>
          <w:i/>
          <w:szCs w:val="22"/>
        </w:rPr>
      </w:pPr>
      <w:r w:rsidRPr="00170109">
        <w:rPr>
          <w:rFonts w:eastAsia="Palatino Linotype"/>
          <w:b/>
          <w:i/>
          <w:szCs w:val="22"/>
        </w:rPr>
        <w:t>“Artículo 5</w:t>
      </w:r>
      <w:r w:rsidRPr="00170109">
        <w:rPr>
          <w:rFonts w:eastAsia="Palatino Linotype"/>
          <w:i/>
          <w:szCs w:val="22"/>
        </w:rPr>
        <w:t xml:space="preserve">.- </w:t>
      </w:r>
    </w:p>
    <w:p w14:paraId="1D3829F4" w14:textId="77777777" w:rsidR="00C049E2" w:rsidRPr="00170109" w:rsidRDefault="00C049E2" w:rsidP="00170109">
      <w:pPr>
        <w:spacing w:line="240" w:lineRule="auto"/>
        <w:ind w:left="567" w:right="539"/>
        <w:rPr>
          <w:rFonts w:eastAsia="Palatino Linotype"/>
          <w:i/>
          <w:szCs w:val="22"/>
        </w:rPr>
      </w:pPr>
      <w:r w:rsidRPr="00170109">
        <w:rPr>
          <w:rFonts w:eastAsia="Palatino Linotype"/>
          <w:i/>
          <w:szCs w:val="22"/>
        </w:rPr>
        <w:t>(…)</w:t>
      </w:r>
    </w:p>
    <w:p w14:paraId="0EAE47FD" w14:textId="77777777" w:rsidR="00C049E2" w:rsidRPr="00170109" w:rsidRDefault="00C049E2" w:rsidP="00170109">
      <w:pPr>
        <w:spacing w:line="240" w:lineRule="auto"/>
        <w:ind w:left="567" w:right="539"/>
        <w:rPr>
          <w:rFonts w:eastAsia="Palatino Linotype"/>
          <w:i/>
          <w:szCs w:val="22"/>
        </w:rPr>
      </w:pPr>
      <w:r w:rsidRPr="00170109">
        <w:rPr>
          <w:rFonts w:eastAsia="Palatino Linotype"/>
          <w:b/>
          <w:i/>
          <w:szCs w:val="22"/>
        </w:rPr>
        <w:t>El derecho a la información será garantizado por el Estado. La ley establecerá las previsiones que permitan asegurar la protección, el respeto y la difusión de este derecho</w:t>
      </w:r>
      <w:r w:rsidRPr="00170109">
        <w:rPr>
          <w:rFonts w:eastAsia="Palatino Linotype"/>
          <w:i/>
          <w:szCs w:val="22"/>
        </w:rPr>
        <w:t>.</w:t>
      </w:r>
    </w:p>
    <w:p w14:paraId="4F0C804A" w14:textId="77777777" w:rsidR="00C049E2" w:rsidRPr="00170109" w:rsidRDefault="00C049E2" w:rsidP="00170109">
      <w:pPr>
        <w:spacing w:line="240" w:lineRule="auto"/>
        <w:ind w:left="567" w:right="539"/>
        <w:rPr>
          <w:rFonts w:eastAsia="Palatino Linotype"/>
          <w:i/>
          <w:szCs w:val="22"/>
        </w:rPr>
      </w:pPr>
      <w:r w:rsidRPr="00170109">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170109" w:rsidRDefault="00C049E2" w:rsidP="00170109">
      <w:pPr>
        <w:spacing w:line="240" w:lineRule="auto"/>
        <w:ind w:left="567" w:right="539"/>
        <w:rPr>
          <w:rFonts w:eastAsia="Palatino Linotype"/>
          <w:i/>
          <w:szCs w:val="22"/>
        </w:rPr>
      </w:pPr>
      <w:r w:rsidRPr="00170109">
        <w:rPr>
          <w:rFonts w:eastAsia="Palatino Linotype"/>
          <w:b/>
          <w:i/>
          <w:szCs w:val="22"/>
        </w:rPr>
        <w:t>Este derecho se regirá por los principios y bases siguientes</w:t>
      </w:r>
      <w:r w:rsidRPr="00170109">
        <w:rPr>
          <w:rFonts w:eastAsia="Palatino Linotype"/>
          <w:i/>
          <w:szCs w:val="22"/>
        </w:rPr>
        <w:t>:</w:t>
      </w:r>
    </w:p>
    <w:p w14:paraId="4A3E8CBA" w14:textId="77777777" w:rsidR="00C049E2" w:rsidRPr="00170109" w:rsidRDefault="00C049E2" w:rsidP="00170109">
      <w:pPr>
        <w:spacing w:line="240" w:lineRule="auto"/>
        <w:ind w:left="567" w:right="539"/>
        <w:rPr>
          <w:rFonts w:eastAsia="Palatino Linotype"/>
          <w:i/>
          <w:szCs w:val="22"/>
        </w:rPr>
      </w:pPr>
      <w:r w:rsidRPr="00170109">
        <w:rPr>
          <w:rFonts w:eastAsia="Palatino Linotype"/>
          <w:b/>
          <w:i/>
          <w:szCs w:val="22"/>
        </w:rPr>
        <w:t>I. Toda la información en posesión de cualquier autoridad, entidad, órgano y organismos de los</w:t>
      </w:r>
      <w:r w:rsidRPr="00170109">
        <w:rPr>
          <w:rFonts w:eastAsia="Palatino Linotype"/>
          <w:i/>
          <w:szCs w:val="22"/>
        </w:rPr>
        <w:t xml:space="preserve"> Poderes Ejecutivo, Legislativo y Judicial, órganos autónomos, partidos políticos, fideicomisos y fondos públicos estatales y </w:t>
      </w:r>
      <w:r w:rsidRPr="00170109">
        <w:rPr>
          <w:rFonts w:eastAsia="Palatino Linotype"/>
          <w:b/>
          <w:i/>
          <w:szCs w:val="22"/>
        </w:rPr>
        <w:t>municipales</w:t>
      </w:r>
      <w:r w:rsidRPr="00170109">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70109">
        <w:rPr>
          <w:rFonts w:eastAsia="Palatino Linotype"/>
          <w:b/>
          <w:i/>
          <w:szCs w:val="22"/>
        </w:rPr>
        <w:t>es pública</w:t>
      </w:r>
      <w:r w:rsidRPr="00170109">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170109">
        <w:rPr>
          <w:rFonts w:eastAsia="Palatino Linotype"/>
          <w:b/>
          <w:i/>
          <w:szCs w:val="22"/>
        </w:rPr>
        <w:t>En la interpretación de este derecho deberá prevalecer el principio de máxima publicidad</w:t>
      </w:r>
      <w:r w:rsidRPr="00170109">
        <w:rPr>
          <w:rFonts w:eastAsia="Palatino Linotype"/>
          <w:i/>
          <w:szCs w:val="22"/>
        </w:rPr>
        <w:t xml:space="preserve">. </w:t>
      </w:r>
      <w:r w:rsidRPr="00170109">
        <w:rPr>
          <w:rFonts w:eastAsia="Palatino Linotype"/>
          <w:b/>
          <w:i/>
          <w:szCs w:val="22"/>
        </w:rPr>
        <w:t>Los sujetos obligados deberán documentar todo acto que derive del ejercicio de sus facultades, competencias o funciones</w:t>
      </w:r>
      <w:r w:rsidRPr="00170109">
        <w:rPr>
          <w:rFonts w:eastAsia="Palatino Linotype"/>
          <w:i/>
          <w:szCs w:val="22"/>
        </w:rPr>
        <w:t>, la ley determinará los supuestos específicos bajo los cuales procederá la declaración de inexistencia de la información.”</w:t>
      </w:r>
    </w:p>
    <w:p w14:paraId="5CA98E37" w14:textId="77777777" w:rsidR="00C049E2" w:rsidRPr="00170109" w:rsidRDefault="00C049E2" w:rsidP="00170109">
      <w:pPr>
        <w:rPr>
          <w:rFonts w:eastAsia="Palatino Linotype"/>
          <w:b/>
          <w:i/>
          <w:szCs w:val="22"/>
        </w:rPr>
      </w:pPr>
    </w:p>
    <w:p w14:paraId="6FC1BB3B" w14:textId="3BF4A33D" w:rsidR="00C049E2" w:rsidRPr="00170109" w:rsidRDefault="00717E59" w:rsidP="00170109">
      <w:pPr>
        <w:rPr>
          <w:rFonts w:eastAsia="Palatino Linotype"/>
          <w:i/>
          <w:szCs w:val="22"/>
        </w:rPr>
      </w:pPr>
      <w:r w:rsidRPr="00170109">
        <w:rPr>
          <w:rFonts w:eastAsia="Palatino Linotype"/>
          <w:szCs w:val="22"/>
        </w:rPr>
        <w:t xml:space="preserve">Asimismo, </w:t>
      </w:r>
      <w:r w:rsidR="00C049E2" w:rsidRPr="00170109">
        <w:rPr>
          <w:rFonts w:eastAsia="Palatino Linotype"/>
          <w:szCs w:val="22"/>
        </w:rPr>
        <w:t>el artículo 150 de la Ley de Transparencia y Acceso a la Información Pública del Estado de México y Municipios</w:t>
      </w:r>
      <w:r w:rsidR="00057B2D" w:rsidRPr="00170109">
        <w:rPr>
          <w:rFonts w:eastAsia="Palatino Linotype"/>
          <w:szCs w:val="22"/>
        </w:rPr>
        <w:t xml:space="preserve"> </w:t>
      </w:r>
      <w:r w:rsidR="00E9335C" w:rsidRPr="00170109">
        <w:rPr>
          <w:rFonts w:eastAsia="Palatino Linotype"/>
          <w:szCs w:val="22"/>
        </w:rPr>
        <w:t xml:space="preserve">indica </w:t>
      </w:r>
      <w:r w:rsidR="00057B2D" w:rsidRPr="00170109">
        <w:rPr>
          <w:rFonts w:eastAsia="Palatino Linotype"/>
          <w:szCs w:val="22"/>
        </w:rPr>
        <w:t>que</w:t>
      </w:r>
      <w:r w:rsidR="00C049E2" w:rsidRPr="00170109">
        <w:rPr>
          <w:rFonts w:eastAsia="Palatino Linotype"/>
          <w:szCs w:val="22"/>
        </w:rPr>
        <w:t xml:space="preserve"> la solicitud es la garantía primaria del Derecho de </w:t>
      </w:r>
      <w:r w:rsidR="00C049E2" w:rsidRPr="00170109">
        <w:rPr>
          <w:rFonts w:eastAsia="Palatino Linotype"/>
          <w:szCs w:val="22"/>
        </w:rPr>
        <w:lastRenderedPageBreak/>
        <w:t xml:space="preserve">Acceso a la Información, además, establece que se regirá </w:t>
      </w:r>
      <w:r w:rsidR="00C049E2" w:rsidRPr="00170109">
        <w:rPr>
          <w:rFonts w:eastAsia="Palatino Linotype"/>
          <w:i/>
          <w:szCs w:val="22"/>
        </w:rPr>
        <w:t>por los principios de simplicidad, rapidez</w:t>
      </w:r>
      <w:r w:rsidR="005F65B7" w:rsidRPr="00170109">
        <w:rPr>
          <w:rFonts w:eastAsia="Palatino Linotype"/>
          <w:i/>
          <w:szCs w:val="22"/>
        </w:rPr>
        <w:t>,</w:t>
      </w:r>
      <w:r w:rsidR="00C049E2" w:rsidRPr="00170109">
        <w:rPr>
          <w:rFonts w:eastAsia="Palatino Linotype"/>
          <w:i/>
          <w:szCs w:val="22"/>
        </w:rPr>
        <w:t xml:space="preserve"> gratuidad del procedimiento, auxilio y orientación a los particulare</w:t>
      </w:r>
      <w:r w:rsidR="001A58B3" w:rsidRPr="00170109">
        <w:rPr>
          <w:rFonts w:eastAsia="Palatino Linotype"/>
          <w:i/>
          <w:szCs w:val="22"/>
        </w:rPr>
        <w:t>s.</w:t>
      </w:r>
    </w:p>
    <w:p w14:paraId="033466A6" w14:textId="77777777" w:rsidR="001A58B3" w:rsidRPr="00170109" w:rsidRDefault="001A58B3" w:rsidP="00170109">
      <w:pPr>
        <w:rPr>
          <w:rFonts w:eastAsia="Palatino Linotype"/>
          <w:i/>
          <w:szCs w:val="22"/>
        </w:rPr>
      </w:pPr>
    </w:p>
    <w:p w14:paraId="04ADA10B" w14:textId="574A944A" w:rsidR="001A58B3" w:rsidRPr="00170109" w:rsidRDefault="00233F17" w:rsidP="00170109">
      <w:pPr>
        <w:rPr>
          <w:rFonts w:eastAsia="Palatino Linotype" w:cs="Palatino Linotype"/>
          <w:i/>
          <w:szCs w:val="22"/>
        </w:rPr>
      </w:pPr>
      <w:r w:rsidRPr="00170109">
        <w:rPr>
          <w:rFonts w:eastAsia="Palatino Linotype" w:cs="Palatino Linotype"/>
          <w:szCs w:val="22"/>
        </w:rPr>
        <w:t xml:space="preserve">Por su parte, el artículo 4 de </w:t>
      </w:r>
      <w:r w:rsidR="001A58B3" w:rsidRPr="00170109">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170109">
        <w:rPr>
          <w:rFonts w:eastAsia="Palatino Linotype" w:cs="Palatino Linotype"/>
          <w:szCs w:val="22"/>
        </w:rPr>
        <w:t>.</w:t>
      </w:r>
    </w:p>
    <w:p w14:paraId="1407DBB8" w14:textId="77777777" w:rsidR="001A58B3" w:rsidRPr="00170109" w:rsidRDefault="001A58B3" w:rsidP="00170109">
      <w:pPr>
        <w:rPr>
          <w:rFonts w:eastAsia="Palatino Linotype" w:cs="Palatino Linotype"/>
          <w:szCs w:val="22"/>
        </w:rPr>
      </w:pPr>
    </w:p>
    <w:p w14:paraId="7552AA79" w14:textId="5C52E4A4" w:rsidR="001A58B3" w:rsidRPr="00170109" w:rsidRDefault="001A58B3" w:rsidP="00170109">
      <w:pPr>
        <w:rPr>
          <w:rFonts w:eastAsia="Palatino Linotype" w:cs="Palatino Linotype"/>
          <w:szCs w:val="22"/>
        </w:rPr>
      </w:pPr>
      <w:r w:rsidRPr="00170109">
        <w:rPr>
          <w:rFonts w:eastAsia="Palatino Linotype" w:cs="Palatino Linotype"/>
          <w:szCs w:val="22"/>
        </w:rPr>
        <w:t xml:space="preserve">Esto es, que los Sujetos Obligados </w:t>
      </w:r>
      <w:r w:rsidR="00FA5957" w:rsidRPr="00170109">
        <w:rPr>
          <w:rFonts w:eastAsia="Palatino Linotype" w:cs="Palatino Linotype"/>
          <w:szCs w:val="22"/>
        </w:rPr>
        <w:t>deben</w:t>
      </w:r>
      <w:r w:rsidRPr="00170109">
        <w:rPr>
          <w:rFonts w:eastAsia="Palatino Linotype" w:cs="Palatino Linotype"/>
          <w:szCs w:val="22"/>
        </w:rPr>
        <w:t xml:space="preserve"> atender las solicitudes de acceso a la información pública que se les </w:t>
      </w:r>
      <w:r w:rsidR="00FA5957" w:rsidRPr="00170109">
        <w:rPr>
          <w:rFonts w:eastAsia="Palatino Linotype" w:cs="Palatino Linotype"/>
          <w:szCs w:val="22"/>
        </w:rPr>
        <w:t>sean realizadas,</w:t>
      </w:r>
      <w:r w:rsidRPr="00170109">
        <w:rPr>
          <w:rFonts w:eastAsia="Palatino Linotype" w:cs="Palatino Linotype"/>
          <w:szCs w:val="22"/>
        </w:rPr>
        <w:t xml:space="preserve"> y proporcionar la información pública que obre en su poder</w:t>
      </w:r>
      <w:r w:rsidR="00FA5957" w:rsidRPr="00170109">
        <w:rPr>
          <w:rFonts w:eastAsia="Palatino Linotype" w:cs="Palatino Linotype"/>
          <w:szCs w:val="22"/>
        </w:rPr>
        <w:t>,</w:t>
      </w:r>
      <w:r w:rsidRPr="00170109">
        <w:rPr>
          <w:rFonts w:eastAsia="Palatino Linotype" w:cs="Palatino Linotype"/>
          <w:szCs w:val="22"/>
        </w:rPr>
        <w:t xml:space="preserve"> conforme </w:t>
      </w:r>
      <w:r w:rsidR="00FA5957" w:rsidRPr="00170109">
        <w:rPr>
          <w:rFonts w:eastAsia="Palatino Linotype" w:cs="Palatino Linotype"/>
          <w:szCs w:val="22"/>
        </w:rPr>
        <w:t>a</w:t>
      </w:r>
      <w:r w:rsidRPr="00170109">
        <w:rPr>
          <w:rFonts w:eastAsia="Palatino Linotype" w:cs="Palatino Linotype"/>
          <w:szCs w:val="22"/>
        </w:rPr>
        <w:t xml:space="preserve">l estado </w:t>
      </w:r>
      <w:r w:rsidR="00FA5957" w:rsidRPr="00170109">
        <w:rPr>
          <w:rFonts w:eastAsia="Palatino Linotype" w:cs="Palatino Linotype"/>
          <w:szCs w:val="22"/>
        </w:rPr>
        <w:t xml:space="preserve">en </w:t>
      </w:r>
      <w:r w:rsidRPr="00170109">
        <w:rPr>
          <w:rFonts w:eastAsia="Palatino Linotype" w:cs="Palatino Linotype"/>
          <w:szCs w:val="22"/>
        </w:rPr>
        <w:t>que se encuentr</w:t>
      </w:r>
      <w:r w:rsidR="00FA5957" w:rsidRPr="00170109">
        <w:rPr>
          <w:rFonts w:eastAsia="Palatino Linotype" w:cs="Palatino Linotype"/>
          <w:szCs w:val="22"/>
        </w:rPr>
        <w:t>e, sin que sea necesario</w:t>
      </w:r>
      <w:r w:rsidRPr="00170109">
        <w:rPr>
          <w:rFonts w:eastAsia="Palatino Linotype" w:cs="Palatino Linotype"/>
          <w:szCs w:val="22"/>
        </w:rPr>
        <w:t xml:space="preserve"> </w:t>
      </w:r>
      <w:r w:rsidR="00FA5957" w:rsidRPr="00170109">
        <w:rPr>
          <w:rFonts w:eastAsia="Palatino Linotype" w:cs="Palatino Linotype"/>
          <w:szCs w:val="22"/>
        </w:rPr>
        <w:t>procesar</w:t>
      </w:r>
      <w:r w:rsidRPr="00170109">
        <w:rPr>
          <w:rFonts w:eastAsia="Palatino Linotype" w:cs="Palatino Linotype"/>
          <w:szCs w:val="22"/>
        </w:rPr>
        <w:t xml:space="preserve"> la misma, ni presentarla conforme al interés del solicitante; </w:t>
      </w:r>
      <w:r w:rsidR="00FA5957" w:rsidRPr="00170109">
        <w:rPr>
          <w:rFonts w:eastAsia="Palatino Linotype" w:cs="Palatino Linotype"/>
          <w:szCs w:val="22"/>
        </w:rPr>
        <w:t>tal y como</w:t>
      </w:r>
      <w:r w:rsidRPr="00170109">
        <w:rPr>
          <w:rFonts w:eastAsia="Palatino Linotype" w:cs="Palatino Linotype"/>
          <w:szCs w:val="22"/>
        </w:rPr>
        <w:t xml:space="preserve"> lo establece el artículo 12 de la Ley de Transparencia y Acceso a la Información Pública del Estado de México y Municipios</w:t>
      </w:r>
      <w:r w:rsidR="00970EB3" w:rsidRPr="00170109">
        <w:rPr>
          <w:rFonts w:eastAsia="Palatino Linotype" w:cs="Palatino Linotype"/>
          <w:szCs w:val="22"/>
        </w:rPr>
        <w:t>.</w:t>
      </w:r>
    </w:p>
    <w:p w14:paraId="73245195" w14:textId="77777777" w:rsidR="00970EB3" w:rsidRPr="00170109" w:rsidRDefault="00970EB3" w:rsidP="00170109">
      <w:pPr>
        <w:rPr>
          <w:rFonts w:eastAsia="Palatino Linotype" w:cs="Palatino Linotype"/>
          <w:szCs w:val="22"/>
        </w:rPr>
      </w:pPr>
    </w:p>
    <w:p w14:paraId="7F62D4DF" w14:textId="775730E1" w:rsidR="001A58B3" w:rsidRPr="00170109" w:rsidRDefault="001A58B3" w:rsidP="00170109">
      <w:pPr>
        <w:rPr>
          <w:rFonts w:eastAsia="Palatino Linotype" w:cs="Palatino Linotype"/>
          <w:szCs w:val="22"/>
        </w:rPr>
      </w:pPr>
      <w:r w:rsidRPr="00170109">
        <w:rPr>
          <w:rFonts w:eastAsia="Palatino Linotype" w:cs="Palatino Linotype"/>
          <w:szCs w:val="22"/>
        </w:rPr>
        <w:t>Es decir, que todo sujeto obligado que genere, recopile, administre, procese, archive, posea o conserven, son responsables de la misma</w:t>
      </w:r>
      <w:r w:rsidR="00970EB3" w:rsidRPr="00170109">
        <w:rPr>
          <w:rFonts w:eastAsia="Palatino Linotype" w:cs="Palatino Linotype"/>
          <w:szCs w:val="22"/>
        </w:rPr>
        <w:t>,</w:t>
      </w:r>
      <w:r w:rsidRPr="00170109">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170109">
        <w:rPr>
          <w:rFonts w:eastAsia="Palatino Linotype" w:cs="Palatino Linotype"/>
          <w:szCs w:val="22"/>
        </w:rPr>
        <w:t>o</w:t>
      </w:r>
      <w:r w:rsidRPr="00170109">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170109" w:rsidRDefault="001A58B3" w:rsidP="00170109">
      <w:pPr>
        <w:rPr>
          <w:rFonts w:eastAsia="Palatino Linotype" w:cs="Palatino Linotype"/>
          <w:szCs w:val="22"/>
        </w:rPr>
      </w:pPr>
    </w:p>
    <w:p w14:paraId="04E42DFE" w14:textId="573F1198" w:rsidR="001A58B3" w:rsidRPr="00170109" w:rsidRDefault="001A58B3" w:rsidP="00170109">
      <w:pPr>
        <w:rPr>
          <w:rFonts w:eastAsia="Palatino Linotype" w:cs="Palatino Linotype"/>
          <w:szCs w:val="22"/>
        </w:rPr>
      </w:pPr>
      <w:r w:rsidRPr="00170109">
        <w:rPr>
          <w:rFonts w:eastAsia="Palatino Linotype" w:cs="Palatino Linotype"/>
          <w:szCs w:val="22"/>
        </w:rPr>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w:t>
      </w:r>
      <w:r w:rsidRPr="00170109">
        <w:rPr>
          <w:rFonts w:eastAsia="Palatino Linotype" w:cs="Palatino Linotype"/>
          <w:szCs w:val="22"/>
        </w:rPr>
        <w:lastRenderedPageBreak/>
        <w:t>disposición de cualquier persona, lo que implica que es deber de los Sujetos Obligados, garantizar el Derecho de Acceso a la Información Pública</w:t>
      </w:r>
      <w:r w:rsidR="00331F35" w:rsidRPr="00170109">
        <w:rPr>
          <w:rFonts w:eastAsia="Palatino Linotype" w:cs="Palatino Linotype"/>
          <w:szCs w:val="22"/>
        </w:rPr>
        <w:t>, s</w:t>
      </w:r>
      <w:r w:rsidRPr="00170109">
        <w:rPr>
          <w:rFonts w:eastAsia="Palatino Linotype" w:cs="Palatino Linotype"/>
          <w:szCs w:val="22"/>
        </w:rPr>
        <w:t xml:space="preserve">iempre y cuando no se trate de información reservada o </w:t>
      </w:r>
      <w:r w:rsidR="00331F35" w:rsidRPr="00170109">
        <w:rPr>
          <w:rFonts w:eastAsia="Palatino Linotype" w:cs="Palatino Linotype"/>
          <w:szCs w:val="22"/>
        </w:rPr>
        <w:t>confidencial.</w:t>
      </w:r>
    </w:p>
    <w:p w14:paraId="40C5219F" w14:textId="77777777" w:rsidR="001A58B3" w:rsidRPr="00170109" w:rsidRDefault="001A58B3" w:rsidP="00170109">
      <w:pPr>
        <w:rPr>
          <w:rFonts w:eastAsia="Palatino Linotype" w:cs="Palatino Linotype"/>
          <w:szCs w:val="22"/>
        </w:rPr>
      </w:pPr>
    </w:p>
    <w:p w14:paraId="51A0E8B4" w14:textId="676DCA47" w:rsidR="00664420" w:rsidRPr="00170109" w:rsidRDefault="00C71CEF" w:rsidP="00170109">
      <w:pPr>
        <w:pStyle w:val="Ttulo3"/>
        <w:rPr>
          <w:rFonts w:eastAsia="Calibri"/>
          <w:szCs w:val="22"/>
          <w:lang w:eastAsia="es-ES_tradnl"/>
        </w:rPr>
      </w:pPr>
      <w:bookmarkStart w:id="24" w:name="_heading=h.2s8eyo1" w:colFirst="0" w:colLast="0"/>
      <w:bookmarkStart w:id="25" w:name="_Toc179927180"/>
      <w:bookmarkEnd w:id="24"/>
      <w:r w:rsidRPr="00170109">
        <w:rPr>
          <w:rFonts w:eastAsia="Calibri"/>
          <w:szCs w:val="22"/>
          <w:lang w:eastAsia="es-ES_tradnl"/>
        </w:rPr>
        <w:t>b)</w:t>
      </w:r>
      <w:r w:rsidR="00A53315" w:rsidRPr="00170109">
        <w:rPr>
          <w:rFonts w:eastAsia="Calibri"/>
          <w:szCs w:val="22"/>
          <w:lang w:eastAsia="es-ES_tradnl"/>
        </w:rPr>
        <w:t xml:space="preserve"> </w:t>
      </w:r>
      <w:r w:rsidR="00A21A20" w:rsidRPr="00170109">
        <w:rPr>
          <w:rFonts w:eastAsia="Calibri"/>
          <w:szCs w:val="22"/>
          <w:lang w:eastAsia="es-ES_tradnl"/>
        </w:rPr>
        <w:t>Controversia a resolver</w:t>
      </w:r>
      <w:bookmarkEnd w:id="25"/>
    </w:p>
    <w:p w14:paraId="5DAE2A65" w14:textId="382C31A9" w:rsidR="00664420" w:rsidRPr="00170109" w:rsidRDefault="00664420" w:rsidP="00170109">
      <w:pPr>
        <w:rPr>
          <w:rFonts w:eastAsia="Calibri"/>
          <w:szCs w:val="22"/>
          <w:lang w:eastAsia="es-ES_tradnl"/>
        </w:rPr>
      </w:pPr>
      <w:r w:rsidRPr="00170109">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170109">
        <w:rPr>
          <w:rFonts w:eastAsia="Calibri"/>
          <w:b/>
          <w:bCs/>
          <w:szCs w:val="22"/>
          <w:lang w:eastAsia="es-ES_tradnl"/>
        </w:rPr>
        <w:t>LA PARTE RECURRENTE</w:t>
      </w:r>
      <w:r w:rsidRPr="00170109">
        <w:rPr>
          <w:rFonts w:eastAsia="Calibri"/>
          <w:szCs w:val="22"/>
          <w:lang w:eastAsia="es-ES_tradnl"/>
        </w:rPr>
        <w:t xml:space="preserve"> solicitó lo siguiente:</w:t>
      </w:r>
    </w:p>
    <w:p w14:paraId="6328D20E" w14:textId="4D080659" w:rsidR="00C70B3F" w:rsidRPr="00170109" w:rsidRDefault="00C70B3F" w:rsidP="00170109">
      <w:pPr>
        <w:tabs>
          <w:tab w:val="left" w:pos="4962"/>
        </w:tabs>
        <w:rPr>
          <w:rFonts w:cs="Tahoma"/>
          <w:bCs/>
          <w:iCs/>
          <w:szCs w:val="22"/>
        </w:rPr>
      </w:pPr>
    </w:p>
    <w:p w14:paraId="63B4960D" w14:textId="77777777" w:rsidR="00374E09" w:rsidRPr="00170109" w:rsidRDefault="00374E09" w:rsidP="00170109">
      <w:pPr>
        <w:pStyle w:val="Prrafodelista"/>
        <w:tabs>
          <w:tab w:val="left" w:pos="4962"/>
        </w:tabs>
        <w:rPr>
          <w:rFonts w:cs="Tahoma"/>
          <w:bCs/>
          <w:iCs/>
          <w:szCs w:val="22"/>
        </w:rPr>
      </w:pPr>
      <w:r w:rsidRPr="00170109">
        <w:rPr>
          <w:rFonts w:cs="Tahoma"/>
          <w:bCs/>
          <w:iCs/>
          <w:szCs w:val="22"/>
        </w:rPr>
        <w:t>Actas de entrega-recepción que realizó la extinta Secretaría de Obra Pública y Desarrollo Urbano a:</w:t>
      </w:r>
    </w:p>
    <w:p w14:paraId="7041A521" w14:textId="77777777" w:rsidR="00374E09" w:rsidRPr="00170109" w:rsidRDefault="00374E09" w:rsidP="00170109">
      <w:pPr>
        <w:pStyle w:val="Prrafodelista"/>
        <w:tabs>
          <w:tab w:val="left" w:pos="4962"/>
        </w:tabs>
        <w:rPr>
          <w:rFonts w:cs="Tahoma"/>
          <w:bCs/>
          <w:iCs/>
          <w:szCs w:val="22"/>
        </w:rPr>
      </w:pPr>
      <w:r w:rsidRPr="00170109">
        <w:rPr>
          <w:rFonts w:cs="Tahoma"/>
          <w:bCs/>
          <w:iCs/>
          <w:szCs w:val="22"/>
        </w:rPr>
        <w:t xml:space="preserve">1. Secretaría de Infraestructura: Actas de entrega-recepción correspondientes a todas las obras públicas, proyectos de infraestructura y desarrollo urbano que se encontraban bajo la competencia de la extinta Secretaría de Obra Pública y Desarrollo Urbano. </w:t>
      </w:r>
    </w:p>
    <w:p w14:paraId="7CAA7C23" w14:textId="467A5856" w:rsidR="00374E09" w:rsidRPr="00170109" w:rsidRDefault="00374E09" w:rsidP="00170109">
      <w:pPr>
        <w:pStyle w:val="Prrafodelista"/>
        <w:tabs>
          <w:tab w:val="left" w:pos="4962"/>
        </w:tabs>
        <w:rPr>
          <w:rFonts w:cs="Tahoma"/>
          <w:bCs/>
          <w:iCs/>
          <w:szCs w:val="22"/>
        </w:rPr>
      </w:pPr>
      <w:r w:rsidRPr="00170109">
        <w:rPr>
          <w:rFonts w:cs="Tahoma"/>
          <w:bCs/>
          <w:iCs/>
          <w:szCs w:val="22"/>
        </w:rPr>
        <w:t xml:space="preserve">2. Secretaría del Agua: Actas de entrega-recepción correspondientes a todos los proyectos, programas y obras relacionadas con el manejo, distribución y calidad del agua que eran responsabilidad de la extinta Secretaría de Obra Pública y Desarrollo Urbano. </w:t>
      </w:r>
    </w:p>
    <w:p w14:paraId="2594047F" w14:textId="057E03D3" w:rsidR="00FC36A4" w:rsidRPr="00170109" w:rsidRDefault="00664420" w:rsidP="00170109">
      <w:pPr>
        <w:tabs>
          <w:tab w:val="left" w:pos="4962"/>
        </w:tabs>
        <w:contextualSpacing/>
        <w:rPr>
          <w:rFonts w:cs="Tahoma"/>
          <w:bCs/>
          <w:iCs/>
          <w:szCs w:val="22"/>
        </w:rPr>
      </w:pPr>
      <w:r w:rsidRPr="00170109">
        <w:rPr>
          <w:rFonts w:eastAsiaTheme="minorHAnsi" w:cs="Tahoma"/>
          <w:bCs/>
          <w:iCs/>
          <w:szCs w:val="22"/>
          <w:lang w:eastAsia="en-US"/>
        </w:rPr>
        <w:t>En respuesta,</w:t>
      </w:r>
      <w:r w:rsidR="000820ED" w:rsidRPr="00170109">
        <w:rPr>
          <w:rFonts w:eastAsiaTheme="minorHAnsi" w:cs="Tahoma"/>
          <w:bCs/>
          <w:iCs/>
          <w:szCs w:val="22"/>
          <w:lang w:eastAsia="en-US"/>
        </w:rPr>
        <w:t xml:space="preserve"> </w:t>
      </w:r>
      <w:r w:rsidR="00975DDD" w:rsidRPr="00170109">
        <w:rPr>
          <w:rFonts w:eastAsiaTheme="minorHAnsi" w:cs="Tahoma"/>
          <w:b/>
          <w:bCs/>
          <w:iCs/>
          <w:szCs w:val="22"/>
          <w:lang w:eastAsia="en-US"/>
        </w:rPr>
        <w:t xml:space="preserve">EL </w:t>
      </w:r>
      <w:r w:rsidR="005D5A50" w:rsidRPr="00170109">
        <w:rPr>
          <w:rFonts w:eastAsiaTheme="minorHAnsi" w:cs="Tahoma"/>
          <w:b/>
          <w:iCs/>
          <w:szCs w:val="22"/>
          <w:lang w:eastAsia="en-US"/>
        </w:rPr>
        <w:t>SUJETO OBLIGADO</w:t>
      </w:r>
      <w:r w:rsidRPr="00170109">
        <w:rPr>
          <w:rFonts w:eastAsiaTheme="minorHAnsi" w:cs="Tahoma"/>
          <w:bCs/>
          <w:iCs/>
          <w:szCs w:val="22"/>
          <w:lang w:eastAsia="en-US"/>
        </w:rPr>
        <w:t xml:space="preserve"> </w:t>
      </w:r>
      <w:r w:rsidR="00374E09" w:rsidRPr="00170109">
        <w:rPr>
          <w:rFonts w:eastAsiaTheme="minorHAnsi" w:cs="Tahoma"/>
          <w:bCs/>
          <w:iCs/>
          <w:szCs w:val="22"/>
          <w:lang w:eastAsia="en-US"/>
        </w:rPr>
        <w:t>se pronunció a través de la Coordinación Administrativa y señaló que no genera información relacionado con lo solicitado.</w:t>
      </w:r>
    </w:p>
    <w:p w14:paraId="3F30CEAD" w14:textId="77777777" w:rsidR="00B56F59" w:rsidRPr="00170109" w:rsidRDefault="00B56F59" w:rsidP="00170109">
      <w:pPr>
        <w:tabs>
          <w:tab w:val="left" w:pos="4962"/>
        </w:tabs>
        <w:contextualSpacing/>
        <w:rPr>
          <w:rFonts w:cs="Tahoma"/>
          <w:bCs/>
          <w:iCs/>
          <w:szCs w:val="22"/>
        </w:rPr>
      </w:pPr>
    </w:p>
    <w:p w14:paraId="570E4E2F" w14:textId="03177009" w:rsidR="00BC67B0" w:rsidRPr="00170109" w:rsidRDefault="00CF7586" w:rsidP="00170109">
      <w:pPr>
        <w:tabs>
          <w:tab w:val="left" w:pos="4962"/>
        </w:tabs>
        <w:contextualSpacing/>
        <w:rPr>
          <w:rFonts w:eastAsiaTheme="minorHAnsi" w:cs="Tahoma"/>
          <w:bCs/>
          <w:iCs/>
          <w:szCs w:val="22"/>
          <w:lang w:eastAsia="en-US"/>
        </w:rPr>
      </w:pPr>
      <w:r w:rsidRPr="00170109">
        <w:rPr>
          <w:rFonts w:eastAsiaTheme="minorHAnsi" w:cs="Tahoma"/>
          <w:bCs/>
          <w:iCs/>
          <w:szCs w:val="22"/>
          <w:lang w:eastAsia="en-US"/>
        </w:rPr>
        <w:t xml:space="preserve">Ahora bien, en la interposición del presente recurso </w:t>
      </w:r>
      <w:r w:rsidRPr="00170109">
        <w:rPr>
          <w:rFonts w:eastAsiaTheme="minorHAnsi" w:cs="Tahoma"/>
          <w:b/>
          <w:iCs/>
          <w:szCs w:val="22"/>
          <w:lang w:eastAsia="en-US"/>
        </w:rPr>
        <w:t>LA PARTE RECURRENTE</w:t>
      </w:r>
      <w:r w:rsidR="00664420" w:rsidRPr="00170109">
        <w:rPr>
          <w:rFonts w:eastAsiaTheme="minorHAnsi" w:cs="Tahoma"/>
          <w:bCs/>
          <w:iCs/>
          <w:szCs w:val="22"/>
          <w:lang w:eastAsia="en-US"/>
        </w:rPr>
        <w:t xml:space="preserve"> se inconformó</w:t>
      </w:r>
      <w:r w:rsidR="00AB7049" w:rsidRPr="00170109">
        <w:rPr>
          <w:rFonts w:eastAsiaTheme="minorHAnsi" w:cs="Tahoma"/>
          <w:bCs/>
          <w:iCs/>
          <w:szCs w:val="22"/>
          <w:lang w:eastAsia="en-US"/>
        </w:rPr>
        <w:t xml:space="preserve"> </w:t>
      </w:r>
      <w:r w:rsidR="00374E09" w:rsidRPr="00170109">
        <w:rPr>
          <w:rFonts w:eastAsiaTheme="minorHAnsi" w:cs="Tahoma"/>
          <w:bCs/>
          <w:iCs/>
          <w:szCs w:val="22"/>
          <w:lang w:eastAsia="en-US"/>
        </w:rPr>
        <w:t xml:space="preserve">respecto de la negativa del </w:t>
      </w:r>
      <w:r w:rsidR="00374E09" w:rsidRPr="00170109">
        <w:rPr>
          <w:rFonts w:eastAsiaTheme="minorHAnsi" w:cs="Tahoma"/>
          <w:b/>
          <w:bCs/>
          <w:iCs/>
          <w:szCs w:val="22"/>
          <w:lang w:eastAsia="en-US"/>
        </w:rPr>
        <w:t xml:space="preserve">SUJETO OBLIGADO </w:t>
      </w:r>
      <w:r w:rsidR="00374E09" w:rsidRPr="00170109">
        <w:rPr>
          <w:rFonts w:eastAsiaTheme="minorHAnsi" w:cs="Tahoma"/>
          <w:bCs/>
          <w:iCs/>
          <w:szCs w:val="22"/>
          <w:lang w:eastAsia="en-US"/>
        </w:rPr>
        <w:t>de proporcionar lo solicitado.</w:t>
      </w:r>
      <w:r w:rsidR="00C32E8B" w:rsidRPr="00170109">
        <w:rPr>
          <w:rFonts w:eastAsiaTheme="minorHAnsi" w:cs="Tahoma"/>
          <w:bCs/>
          <w:iCs/>
          <w:szCs w:val="22"/>
          <w:lang w:eastAsia="en-US"/>
        </w:rPr>
        <w:t xml:space="preserve"> </w:t>
      </w:r>
    </w:p>
    <w:p w14:paraId="23859DE5" w14:textId="77777777" w:rsidR="00D1261A" w:rsidRPr="00170109" w:rsidRDefault="00D1261A" w:rsidP="00170109">
      <w:pPr>
        <w:tabs>
          <w:tab w:val="left" w:pos="4962"/>
        </w:tabs>
        <w:contextualSpacing/>
        <w:rPr>
          <w:rFonts w:eastAsiaTheme="minorHAnsi" w:cs="Tahoma"/>
          <w:bCs/>
          <w:iCs/>
          <w:szCs w:val="22"/>
          <w:lang w:eastAsia="en-US"/>
        </w:rPr>
      </w:pPr>
    </w:p>
    <w:p w14:paraId="49AB2960" w14:textId="69AFA9ED" w:rsidR="00AB7049" w:rsidRPr="00170109" w:rsidRDefault="00AB7049" w:rsidP="00170109">
      <w:pPr>
        <w:tabs>
          <w:tab w:val="left" w:pos="4962"/>
        </w:tabs>
        <w:rPr>
          <w:szCs w:val="22"/>
          <w:lang w:val="es-ES"/>
        </w:rPr>
      </w:pPr>
      <w:r w:rsidRPr="00170109">
        <w:rPr>
          <w:szCs w:val="22"/>
          <w:lang w:val="es-ES"/>
        </w:rPr>
        <w:lastRenderedPageBreak/>
        <w:t xml:space="preserve">Abierta la etapa de instrucción, </w:t>
      </w:r>
      <w:r w:rsidRPr="00170109">
        <w:rPr>
          <w:b/>
          <w:szCs w:val="22"/>
          <w:lang w:val="es-ES"/>
        </w:rPr>
        <w:t>EL SUJETO OBLIGADO</w:t>
      </w:r>
      <w:r w:rsidR="00374E09" w:rsidRPr="00170109">
        <w:rPr>
          <w:szCs w:val="22"/>
          <w:lang w:val="es-ES"/>
        </w:rPr>
        <w:t xml:space="preserve"> </w:t>
      </w:r>
      <w:r w:rsidRPr="00170109">
        <w:rPr>
          <w:szCs w:val="22"/>
          <w:lang w:val="es-ES"/>
        </w:rPr>
        <w:t>rindió su Informe Justificado</w:t>
      </w:r>
      <w:r w:rsidR="00374E09" w:rsidRPr="00170109">
        <w:rPr>
          <w:szCs w:val="22"/>
          <w:lang w:val="es-ES"/>
        </w:rPr>
        <w:t>, en el que de manera general ratificó su respuesta primigenia</w:t>
      </w:r>
      <w:r w:rsidRPr="00170109">
        <w:rPr>
          <w:szCs w:val="22"/>
          <w:lang w:val="es-ES"/>
        </w:rPr>
        <w:t xml:space="preserve">; por su parte </w:t>
      </w:r>
      <w:r w:rsidRPr="00170109">
        <w:rPr>
          <w:b/>
          <w:szCs w:val="22"/>
          <w:lang w:val="es-ES"/>
        </w:rPr>
        <w:t>LA PARTE</w:t>
      </w:r>
      <w:r w:rsidRPr="00170109">
        <w:rPr>
          <w:szCs w:val="22"/>
          <w:lang w:val="es-ES"/>
        </w:rPr>
        <w:t xml:space="preserve"> </w:t>
      </w:r>
      <w:r w:rsidRPr="00170109">
        <w:rPr>
          <w:b/>
          <w:szCs w:val="22"/>
          <w:lang w:val="es-ES"/>
        </w:rPr>
        <w:t xml:space="preserve">RECURRENTE </w:t>
      </w:r>
      <w:r w:rsidRPr="00170109">
        <w:rPr>
          <w:szCs w:val="22"/>
          <w:lang w:val="es-ES"/>
        </w:rPr>
        <w:t>no realizó manifestación alguna.</w:t>
      </w:r>
    </w:p>
    <w:p w14:paraId="56DF256A" w14:textId="77777777" w:rsidR="00AB7049" w:rsidRPr="00170109" w:rsidRDefault="00AB7049" w:rsidP="00170109">
      <w:pPr>
        <w:tabs>
          <w:tab w:val="left" w:pos="4962"/>
        </w:tabs>
        <w:contextualSpacing/>
        <w:rPr>
          <w:rFonts w:eastAsiaTheme="minorHAnsi" w:cs="Tahoma"/>
          <w:bCs/>
          <w:iCs/>
          <w:szCs w:val="22"/>
          <w:lang w:eastAsia="en-US"/>
        </w:rPr>
      </w:pPr>
    </w:p>
    <w:p w14:paraId="1435A67C" w14:textId="37A325BA" w:rsidR="001C1AE4" w:rsidRPr="00170109" w:rsidRDefault="001C1AE4" w:rsidP="00170109">
      <w:pPr>
        <w:rPr>
          <w:rFonts w:eastAsia="Palatino Linotype" w:cs="Palatino Linotype"/>
          <w:szCs w:val="22"/>
        </w:rPr>
      </w:pPr>
      <w:r w:rsidRPr="00170109">
        <w:rPr>
          <w:rFonts w:eastAsia="Palatino Linotype" w:cs="Palatino Linotype"/>
          <w:szCs w:val="22"/>
        </w:rPr>
        <w:t xml:space="preserve">Bajo las premisas anteriores, se concluye que la controversia a dilucidar en el presente medio de impugnación será </w:t>
      </w:r>
      <w:r w:rsidR="00EE1B1C" w:rsidRPr="00170109">
        <w:rPr>
          <w:rFonts w:eastAsia="Palatino Linotype" w:cs="Palatino Linotype"/>
          <w:b/>
          <w:szCs w:val="22"/>
        </w:rPr>
        <w:t xml:space="preserve">verificar si la </w:t>
      </w:r>
      <w:r w:rsidR="002B3577" w:rsidRPr="00170109">
        <w:rPr>
          <w:rFonts w:eastAsia="Palatino Linotype" w:cs="Palatino Linotype"/>
          <w:b/>
          <w:szCs w:val="22"/>
        </w:rPr>
        <w:t xml:space="preserve">información proporcionada en </w:t>
      </w:r>
      <w:r w:rsidR="00EE1B1C" w:rsidRPr="00170109">
        <w:rPr>
          <w:rFonts w:eastAsia="Palatino Linotype" w:cs="Palatino Linotype"/>
          <w:b/>
          <w:szCs w:val="22"/>
        </w:rPr>
        <w:t>respuesta</w:t>
      </w:r>
      <w:r w:rsidR="00374E09" w:rsidRPr="00170109">
        <w:rPr>
          <w:rFonts w:eastAsia="Palatino Linotype" w:cs="Palatino Linotype"/>
          <w:b/>
          <w:szCs w:val="22"/>
        </w:rPr>
        <w:t xml:space="preserve"> e informe justificado</w:t>
      </w:r>
      <w:r w:rsidR="00EE1B1C" w:rsidRPr="00170109">
        <w:rPr>
          <w:rFonts w:eastAsia="Palatino Linotype" w:cs="Palatino Linotype"/>
          <w:b/>
          <w:szCs w:val="22"/>
        </w:rPr>
        <w:t xml:space="preserve"> por </w:t>
      </w:r>
      <w:r w:rsidR="002B3577" w:rsidRPr="00170109">
        <w:rPr>
          <w:rFonts w:eastAsia="Palatino Linotype" w:cs="Palatino Linotype"/>
          <w:b/>
          <w:szCs w:val="22"/>
        </w:rPr>
        <w:t xml:space="preserve">EL SUJETO OBLIGADO </w:t>
      </w:r>
      <w:r w:rsidR="00EE1B1C" w:rsidRPr="00170109">
        <w:rPr>
          <w:rFonts w:eastAsia="Palatino Linotype" w:cs="Palatino Linotype"/>
          <w:b/>
          <w:szCs w:val="22"/>
        </w:rPr>
        <w:t xml:space="preserve">es adecuada y suficiente para satisfacer el derecho de acceso a la información pública </w:t>
      </w:r>
      <w:r w:rsidR="00EE1B1C" w:rsidRPr="00170109">
        <w:rPr>
          <w:rFonts w:eastAsia="Palatino Linotype" w:cs="Palatino Linotype"/>
          <w:szCs w:val="22"/>
        </w:rPr>
        <w:t xml:space="preserve">de </w:t>
      </w:r>
      <w:r w:rsidR="002B3577" w:rsidRPr="00170109">
        <w:rPr>
          <w:rFonts w:eastAsia="Palatino Linotype" w:cs="Palatino Linotype"/>
          <w:b/>
          <w:szCs w:val="22"/>
        </w:rPr>
        <w:t>LA PARTE RECURRENTE</w:t>
      </w:r>
      <w:r w:rsidR="00255111" w:rsidRPr="00170109">
        <w:rPr>
          <w:rFonts w:eastAsia="Palatino Linotype" w:cs="Palatino Linotype"/>
          <w:b/>
          <w:szCs w:val="22"/>
        </w:rPr>
        <w:t>.</w:t>
      </w:r>
    </w:p>
    <w:p w14:paraId="2B9C19AB" w14:textId="77777777" w:rsidR="00EE1B1C" w:rsidRPr="00170109" w:rsidRDefault="00EE1B1C" w:rsidP="00170109">
      <w:pPr>
        <w:rPr>
          <w:rFonts w:eastAsia="Palatino Linotype" w:cs="Palatino Linotype"/>
          <w:szCs w:val="22"/>
        </w:rPr>
      </w:pPr>
    </w:p>
    <w:p w14:paraId="55073879" w14:textId="77777777" w:rsidR="004F0690" w:rsidRPr="00170109" w:rsidRDefault="004F0690" w:rsidP="00170109">
      <w:pPr>
        <w:pStyle w:val="Ttulo3"/>
        <w:rPr>
          <w:rFonts w:eastAsia="Palatino Linotype"/>
          <w:szCs w:val="22"/>
          <w:lang w:eastAsia="es-MX"/>
        </w:rPr>
      </w:pPr>
      <w:bookmarkStart w:id="26" w:name="_Toc174021582"/>
      <w:bookmarkStart w:id="27" w:name="_Toc179927181"/>
      <w:r w:rsidRPr="00170109">
        <w:rPr>
          <w:rFonts w:eastAsia="Palatino Linotype"/>
          <w:szCs w:val="22"/>
        </w:rPr>
        <w:t>c) Estudio de la controversia</w:t>
      </w:r>
      <w:bookmarkEnd w:id="26"/>
      <w:bookmarkEnd w:id="27"/>
    </w:p>
    <w:p w14:paraId="19D63474" w14:textId="4354DC8C" w:rsidR="003A1429" w:rsidRPr="00170109" w:rsidRDefault="003A1429" w:rsidP="00170109">
      <w:pPr>
        <w:spacing w:before="240" w:after="240"/>
        <w:rPr>
          <w:rFonts w:eastAsia="Palatino Linotype" w:cs="Palatino Linotype"/>
          <w:i/>
          <w:szCs w:val="22"/>
          <w:lang w:val="es-ES"/>
        </w:rPr>
      </w:pPr>
      <w:r w:rsidRPr="00170109">
        <w:rPr>
          <w:rFonts w:eastAsia="Palatino Linotype" w:cs="Palatino Linotype"/>
          <w:szCs w:val="22"/>
          <w:lang w:val="es-ES"/>
        </w:rPr>
        <w:t xml:space="preserve">Por principio es importante enfatizar que el Derecho de Acceso a la Información Pública consiste en que la </w:t>
      </w:r>
      <w:r w:rsidRPr="00170109">
        <w:rPr>
          <w:rFonts w:eastAsia="Palatino Linotype" w:cs="Palatino Linotype"/>
          <w:b/>
          <w:szCs w:val="22"/>
          <w:u w:val="single"/>
          <w:lang w:val="es-ES"/>
        </w:rPr>
        <w:t>información solicitada conste en un soporte documental</w:t>
      </w:r>
      <w:r w:rsidRPr="00170109">
        <w:rPr>
          <w:rFonts w:eastAsia="Palatino Linotype" w:cs="Palatino Linotype"/>
          <w:szCs w:val="22"/>
          <w:lang w:val="es-ES"/>
        </w:rPr>
        <w:t xml:space="preserve"> en cualquiera de sus formas, a saber: expedientes, reportes, estudios, actas</w:t>
      </w:r>
      <w:r w:rsidRPr="00170109">
        <w:rPr>
          <w:rFonts w:eastAsia="Palatino Linotype" w:cs="Palatino Linotype"/>
          <w:b/>
          <w:szCs w:val="22"/>
          <w:lang w:val="es-ES"/>
        </w:rPr>
        <w:t>,</w:t>
      </w:r>
      <w:r w:rsidRPr="00170109">
        <w:rPr>
          <w:rFonts w:eastAsia="Palatino Linotype" w:cs="Palatino Linotype"/>
          <w:szCs w:val="22"/>
          <w:lang w:val="es-ES"/>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49A71890" w14:textId="77777777" w:rsidR="003A1429" w:rsidRPr="00170109" w:rsidRDefault="003A1429" w:rsidP="00170109">
      <w:pPr>
        <w:pStyle w:val="Puesto"/>
        <w:rPr>
          <w:rFonts w:eastAsia="Palatino Linotype"/>
          <w:szCs w:val="22"/>
          <w:lang w:val="es-ES"/>
        </w:rPr>
      </w:pPr>
      <w:r w:rsidRPr="00170109">
        <w:rPr>
          <w:rFonts w:eastAsia="Palatino Linotype"/>
          <w:szCs w:val="22"/>
          <w:lang w:val="es-ES"/>
        </w:rPr>
        <w:t>“</w:t>
      </w:r>
      <w:r w:rsidRPr="00170109">
        <w:rPr>
          <w:rFonts w:eastAsia="Palatino Linotype"/>
          <w:b/>
          <w:szCs w:val="22"/>
          <w:lang w:val="es-ES"/>
        </w:rPr>
        <w:t xml:space="preserve">Artículo 3. </w:t>
      </w:r>
      <w:r w:rsidRPr="00170109">
        <w:rPr>
          <w:rFonts w:eastAsia="Palatino Linotype"/>
          <w:szCs w:val="22"/>
          <w:lang w:val="es-ES"/>
        </w:rPr>
        <w:t>Para los efectos de la presente Ley se entenderá por:</w:t>
      </w:r>
    </w:p>
    <w:p w14:paraId="2A661EA9" w14:textId="77777777" w:rsidR="003A1429" w:rsidRPr="00170109" w:rsidRDefault="003A1429" w:rsidP="00170109">
      <w:pPr>
        <w:pStyle w:val="Puesto"/>
        <w:rPr>
          <w:rFonts w:eastAsia="Palatino Linotype"/>
          <w:szCs w:val="22"/>
          <w:lang w:val="es-ES"/>
        </w:rPr>
      </w:pPr>
      <w:r w:rsidRPr="00170109">
        <w:rPr>
          <w:rFonts w:eastAsia="Palatino Linotype"/>
          <w:szCs w:val="22"/>
          <w:lang w:val="es-ES"/>
        </w:rPr>
        <w:t>…</w:t>
      </w:r>
    </w:p>
    <w:p w14:paraId="2AB304C6" w14:textId="77777777" w:rsidR="003A1429" w:rsidRPr="00170109" w:rsidRDefault="003A1429" w:rsidP="00170109">
      <w:pPr>
        <w:pStyle w:val="Puesto"/>
        <w:rPr>
          <w:rFonts w:eastAsia="Palatino Linotype"/>
          <w:szCs w:val="22"/>
          <w:lang w:val="es-ES"/>
        </w:rPr>
      </w:pPr>
      <w:r w:rsidRPr="00170109">
        <w:rPr>
          <w:rFonts w:eastAsia="Palatino Linotype"/>
          <w:b/>
          <w:szCs w:val="22"/>
          <w:lang w:val="es-ES"/>
        </w:rPr>
        <w:t>XI. Documento:</w:t>
      </w:r>
      <w:r w:rsidRPr="00170109">
        <w:rPr>
          <w:rFonts w:eastAsia="Palatino Linotype"/>
          <w:szCs w:val="22"/>
          <w:lang w:val="es-ES"/>
        </w:rPr>
        <w:t xml:space="preserve"> Los expedientes, reportes, estudios, actas, resoluciones,</w:t>
      </w:r>
      <w:r w:rsidRPr="00170109">
        <w:rPr>
          <w:rFonts w:eastAsia="Palatino Linotype"/>
          <w:b/>
          <w:szCs w:val="22"/>
          <w:lang w:val="es-ES"/>
        </w:rPr>
        <w:t xml:space="preserve"> </w:t>
      </w:r>
      <w:r w:rsidRPr="00170109">
        <w:rPr>
          <w:rFonts w:eastAsia="Palatino Linotype"/>
          <w:szCs w:val="22"/>
          <w:lang w:val="es-ES"/>
        </w:rPr>
        <w:t xml:space="preserve">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w:t>
      </w:r>
      <w:r w:rsidRPr="00170109">
        <w:rPr>
          <w:rFonts w:eastAsia="Palatino Linotype"/>
          <w:szCs w:val="22"/>
          <w:lang w:val="es-ES"/>
        </w:rPr>
        <w:lastRenderedPageBreak/>
        <w:t>documentos podrán estar en cualquier medio, sea escrito, impreso, sonoro, visual, electrónico, informático u holográfico;”</w:t>
      </w:r>
    </w:p>
    <w:p w14:paraId="30CAEF6E" w14:textId="77777777" w:rsidR="003A1429" w:rsidRPr="00170109" w:rsidRDefault="003A1429" w:rsidP="00170109">
      <w:pPr>
        <w:ind w:left="1134" w:right="901"/>
        <w:rPr>
          <w:rFonts w:eastAsia="Palatino Linotype" w:cs="Palatino Linotype"/>
          <w:szCs w:val="22"/>
          <w:lang w:val="es-ES"/>
        </w:rPr>
      </w:pPr>
    </w:p>
    <w:p w14:paraId="74501E15" w14:textId="77777777" w:rsidR="003A1429" w:rsidRPr="00170109" w:rsidRDefault="003A1429" w:rsidP="00170109">
      <w:pPr>
        <w:rPr>
          <w:rFonts w:eastAsia="Palatino Linotype" w:cs="Palatino Linotype"/>
          <w:szCs w:val="22"/>
          <w:lang w:val="es-ES"/>
        </w:rPr>
      </w:pPr>
      <w:r w:rsidRPr="00170109">
        <w:rPr>
          <w:rFonts w:eastAsia="Palatino Linotype" w:cs="Palatino Linotype"/>
          <w:szCs w:val="22"/>
          <w:lang w:val="es-ES"/>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409F04A3" w14:textId="77777777" w:rsidR="003A1429" w:rsidRPr="00170109" w:rsidRDefault="003A1429" w:rsidP="00170109">
      <w:pPr>
        <w:ind w:left="851" w:right="850"/>
        <w:rPr>
          <w:rFonts w:eastAsia="Palatino Linotype" w:cs="Palatino Linotype"/>
          <w:szCs w:val="22"/>
          <w:lang w:val="es-ES"/>
        </w:rPr>
      </w:pPr>
    </w:p>
    <w:p w14:paraId="2F81C88B" w14:textId="77777777" w:rsidR="003A1429" w:rsidRPr="00170109" w:rsidRDefault="003A1429" w:rsidP="00170109">
      <w:pPr>
        <w:pStyle w:val="Puesto"/>
        <w:jc w:val="center"/>
        <w:rPr>
          <w:rFonts w:eastAsia="Palatino Linotype"/>
          <w:b/>
          <w:bCs/>
          <w:szCs w:val="22"/>
          <w:lang w:val="es-ES"/>
        </w:rPr>
      </w:pPr>
      <w:r w:rsidRPr="00170109">
        <w:rPr>
          <w:rFonts w:eastAsia="Palatino Linotype"/>
          <w:szCs w:val="22"/>
          <w:lang w:val="es-ES"/>
        </w:rPr>
        <w:t>“</w:t>
      </w:r>
      <w:r w:rsidRPr="00170109">
        <w:rPr>
          <w:rFonts w:eastAsia="Palatino Linotype"/>
          <w:b/>
          <w:bCs/>
          <w:szCs w:val="22"/>
          <w:lang w:val="es-ES"/>
        </w:rPr>
        <w:t>CRITERIO 0002-11</w:t>
      </w:r>
    </w:p>
    <w:p w14:paraId="20F7427B" w14:textId="77777777" w:rsidR="003A1429" w:rsidRPr="00170109" w:rsidRDefault="003A1429" w:rsidP="00170109">
      <w:pPr>
        <w:pStyle w:val="Puesto"/>
        <w:rPr>
          <w:rFonts w:eastAsia="Palatino Linotype"/>
          <w:szCs w:val="22"/>
          <w:lang w:val="es-ES"/>
        </w:rPr>
      </w:pPr>
      <w:r w:rsidRPr="00170109">
        <w:rPr>
          <w:rFonts w:eastAsia="Palatino Linotype"/>
          <w:b/>
          <w:bCs/>
          <w:szCs w:val="22"/>
          <w:u w:val="single"/>
          <w:lang w:val="es-ES"/>
        </w:rPr>
        <w:t>INFORMACIÓN PÚBLICA, CONCEPTO DE, EN MATERIA DE TRANSPARENCIA. INTERPRETACIÓN SISTEMÁTICA DE LOS ARTÍCULOS 2°, FRACCIÓN V, XV, Y XVI, 3°, 4°, 11 Y 41.</w:t>
      </w:r>
      <w:r w:rsidRPr="00170109">
        <w:rPr>
          <w:rFonts w:eastAsia="Palatino Linotype"/>
          <w:szCs w:val="22"/>
          <w:lang w:val="es-E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8BE352F" w14:textId="77777777" w:rsidR="003A1429" w:rsidRPr="00170109" w:rsidRDefault="003A1429" w:rsidP="00170109">
      <w:pPr>
        <w:pStyle w:val="Puesto"/>
        <w:rPr>
          <w:rFonts w:eastAsia="Palatino Linotype"/>
          <w:szCs w:val="22"/>
          <w:lang w:val="es-ES"/>
        </w:rPr>
      </w:pPr>
      <w:r w:rsidRPr="00170109">
        <w:rPr>
          <w:rFonts w:eastAsia="Palatino Linotype"/>
          <w:szCs w:val="22"/>
          <w:lang w:val="es-ES"/>
        </w:rPr>
        <w:t>En consecuencia el acceso a la información se refiere a que se cumplan cualquiera de los siguientes tres supuestos:</w:t>
      </w:r>
    </w:p>
    <w:p w14:paraId="440B375F" w14:textId="77777777" w:rsidR="003A1429" w:rsidRPr="00170109" w:rsidRDefault="003A1429" w:rsidP="00170109">
      <w:pPr>
        <w:pStyle w:val="Puesto"/>
        <w:rPr>
          <w:rFonts w:eastAsia="Palatino Linotype"/>
          <w:szCs w:val="22"/>
          <w:lang w:val="es-ES"/>
        </w:rPr>
      </w:pPr>
      <w:r w:rsidRPr="00170109">
        <w:rPr>
          <w:rFonts w:eastAsia="Palatino Linotype"/>
          <w:szCs w:val="22"/>
          <w:lang w:val="es-ES"/>
        </w:rPr>
        <w:t xml:space="preserve">1) Que se trate de información </w:t>
      </w:r>
      <w:r w:rsidRPr="00170109">
        <w:rPr>
          <w:rFonts w:eastAsia="Palatino Linotype"/>
          <w:szCs w:val="22"/>
          <w:u w:val="single"/>
          <w:lang w:val="es-ES"/>
        </w:rPr>
        <w:t>registrada en cualquier soporte documental</w:t>
      </w:r>
      <w:r w:rsidRPr="00170109">
        <w:rPr>
          <w:rFonts w:eastAsia="Palatino Linotype"/>
          <w:szCs w:val="22"/>
          <w:lang w:val="es-ES"/>
        </w:rPr>
        <w:t>, que en ejercicio de las atribuciones conferidas, sea generada por los Sujetos Obligados;</w:t>
      </w:r>
    </w:p>
    <w:p w14:paraId="7D58158B" w14:textId="77777777" w:rsidR="003A1429" w:rsidRPr="00170109" w:rsidRDefault="003A1429" w:rsidP="00170109">
      <w:pPr>
        <w:pStyle w:val="Puesto"/>
        <w:rPr>
          <w:rFonts w:eastAsia="Palatino Linotype"/>
          <w:szCs w:val="22"/>
          <w:lang w:val="es-ES"/>
        </w:rPr>
      </w:pPr>
      <w:r w:rsidRPr="00170109">
        <w:rPr>
          <w:rFonts w:eastAsia="Palatino Linotype"/>
          <w:szCs w:val="22"/>
          <w:lang w:val="es-ES"/>
        </w:rPr>
        <w:t xml:space="preserve">2) Que se trate de información </w:t>
      </w:r>
      <w:r w:rsidRPr="00170109">
        <w:rPr>
          <w:rFonts w:eastAsia="Palatino Linotype"/>
          <w:szCs w:val="22"/>
          <w:u w:val="single"/>
          <w:lang w:val="es-ES"/>
        </w:rPr>
        <w:t>registrada en cualquier soporte documental</w:t>
      </w:r>
      <w:r w:rsidRPr="00170109">
        <w:rPr>
          <w:rFonts w:eastAsia="Palatino Linotype"/>
          <w:szCs w:val="22"/>
          <w:lang w:val="es-ES"/>
        </w:rPr>
        <w:t>, que en ejercicio de las atribuciones conferidas, sea administrada por los Sujetos Obligados, y</w:t>
      </w:r>
    </w:p>
    <w:p w14:paraId="373F7420" w14:textId="77777777" w:rsidR="003A1429" w:rsidRPr="00170109" w:rsidRDefault="003A1429" w:rsidP="00170109">
      <w:pPr>
        <w:pStyle w:val="Puesto"/>
        <w:rPr>
          <w:rFonts w:eastAsia="Palatino Linotype"/>
          <w:szCs w:val="22"/>
          <w:lang w:val="es-ES"/>
        </w:rPr>
      </w:pPr>
      <w:r w:rsidRPr="00170109">
        <w:rPr>
          <w:rFonts w:eastAsia="Palatino Linotype"/>
          <w:szCs w:val="22"/>
          <w:lang w:val="es-ES"/>
        </w:rPr>
        <w:t xml:space="preserve">3) Que se trate de información </w:t>
      </w:r>
      <w:r w:rsidRPr="00170109">
        <w:rPr>
          <w:rFonts w:eastAsia="Palatino Linotype"/>
          <w:szCs w:val="22"/>
          <w:u w:val="single"/>
          <w:lang w:val="es-ES"/>
        </w:rPr>
        <w:t>registrada en cualquier soporte documental</w:t>
      </w:r>
      <w:r w:rsidRPr="00170109">
        <w:rPr>
          <w:rFonts w:eastAsia="Palatino Linotype"/>
          <w:szCs w:val="22"/>
          <w:lang w:val="es-ES"/>
        </w:rPr>
        <w:t>, que en ejercicio de las atribuciones conferidas, se encuentre en posesión de los Sujetos Obligados.” (Sic)</w:t>
      </w:r>
    </w:p>
    <w:p w14:paraId="1856C891" w14:textId="77777777" w:rsidR="003A1429" w:rsidRPr="00170109" w:rsidRDefault="003A1429" w:rsidP="00170109">
      <w:pPr>
        <w:spacing w:before="240" w:after="240"/>
        <w:rPr>
          <w:rFonts w:eastAsia="Palatino Linotype" w:cs="Palatino Linotype"/>
          <w:szCs w:val="22"/>
          <w:lang w:val="es-ES"/>
        </w:rPr>
      </w:pPr>
      <w:r w:rsidRPr="00170109">
        <w:rPr>
          <w:rFonts w:eastAsia="Palatino Linotype" w:cs="Palatino Linotype"/>
          <w:szCs w:val="22"/>
          <w:lang w:val="es-ES"/>
        </w:rPr>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170109">
        <w:rPr>
          <w:rFonts w:eastAsia="Palatino Linotype" w:cs="Palatino Linotype"/>
          <w:b/>
          <w:szCs w:val="22"/>
          <w:lang w:val="es-ES"/>
        </w:rPr>
        <w:t>EL SUJETO OBLIGADO</w:t>
      </w:r>
      <w:r w:rsidRPr="00170109">
        <w:rPr>
          <w:rFonts w:eastAsia="Palatino Linotype" w:cs="Palatino Linotype"/>
          <w:szCs w:val="22"/>
          <w:lang w:val="es-ES"/>
        </w:rPr>
        <w:t xml:space="preserve"> la generó o porque como parte del ejercicio de sus funciones la recibió y por consiguiente, la administra y posee. </w:t>
      </w:r>
    </w:p>
    <w:p w14:paraId="2244BAC9" w14:textId="6A5FCF4E" w:rsidR="003A1429" w:rsidRPr="00170109" w:rsidRDefault="009830CF" w:rsidP="00170109">
      <w:pPr>
        <w:ind w:right="51"/>
        <w:rPr>
          <w:rFonts w:eastAsia="Palatino Linotype" w:cs="Palatino Linotype"/>
          <w:bCs/>
          <w:szCs w:val="22"/>
        </w:rPr>
      </w:pPr>
      <w:r w:rsidRPr="00170109">
        <w:rPr>
          <w:rFonts w:eastAsia="Palatino Linotype" w:cs="Palatino Linotype"/>
          <w:szCs w:val="22"/>
        </w:rPr>
        <w:lastRenderedPageBreak/>
        <w:t>Situación</w:t>
      </w:r>
      <w:r w:rsidR="003A1429" w:rsidRPr="00170109">
        <w:rPr>
          <w:rFonts w:eastAsia="Palatino Linotype" w:cs="Palatino Linotype"/>
          <w:szCs w:val="22"/>
        </w:rPr>
        <w:t xml:space="preserve"> por la cual nos lleva a recordar que el artículo 12 de la Ley de Transparencia y Acceso a la Información Pública del Estado de México y Municipios, establece que los sujetos obligados únicamente están exigidos a entregar los documentos que obren en sus archivos en el estado en que estos se encuentren, lo que no comprende entregar la información conforme al interés del solicitante.  </w:t>
      </w:r>
    </w:p>
    <w:p w14:paraId="41BE70DC" w14:textId="77777777" w:rsidR="003A1429" w:rsidRPr="00170109" w:rsidRDefault="003A1429" w:rsidP="00170109">
      <w:pPr>
        <w:rPr>
          <w:rFonts w:eastAsia="Palatino Linotype" w:cs="Palatino Linotype"/>
          <w:szCs w:val="22"/>
        </w:rPr>
      </w:pPr>
    </w:p>
    <w:p w14:paraId="41FC7878" w14:textId="77777777" w:rsidR="003A1429" w:rsidRPr="00170109" w:rsidRDefault="003A1429" w:rsidP="00170109">
      <w:pPr>
        <w:rPr>
          <w:rFonts w:eastAsia="Palatino Linotype" w:cs="Palatino Linotype"/>
          <w:szCs w:val="22"/>
        </w:rPr>
      </w:pPr>
      <w:r w:rsidRPr="00170109">
        <w:rPr>
          <w:rFonts w:eastAsia="Palatino Linotype" w:cs="Palatino Linotype"/>
          <w:szCs w:val="22"/>
        </w:rPr>
        <w:t xml:space="preserve">Robustece lo anterior, el Criterio 03/17 emitido por el Instituto Nacional de Transparencia, Acceso a la Información y Protección de Datos Personales, el cual establece lo siguiente: </w:t>
      </w:r>
    </w:p>
    <w:p w14:paraId="0DA6778D" w14:textId="77777777" w:rsidR="003A1429" w:rsidRPr="00170109" w:rsidRDefault="003A1429" w:rsidP="00170109">
      <w:pPr>
        <w:rPr>
          <w:rFonts w:eastAsia="Palatino Linotype" w:cs="Palatino Linotype"/>
          <w:szCs w:val="22"/>
        </w:rPr>
      </w:pPr>
    </w:p>
    <w:p w14:paraId="46451B89" w14:textId="77777777" w:rsidR="003A1429" w:rsidRPr="00170109" w:rsidRDefault="003A1429" w:rsidP="00170109">
      <w:pPr>
        <w:pStyle w:val="Puesto"/>
        <w:rPr>
          <w:rFonts w:eastAsia="Palatino Linotype"/>
          <w:szCs w:val="22"/>
        </w:rPr>
      </w:pPr>
      <w:r w:rsidRPr="00170109">
        <w:rPr>
          <w:rFonts w:eastAsia="Palatino Linotype"/>
          <w:szCs w:val="22"/>
        </w:rPr>
        <w:t>“</w:t>
      </w:r>
      <w:r w:rsidRPr="00170109">
        <w:rPr>
          <w:rFonts w:eastAsia="Palatino Linotype"/>
          <w:b/>
          <w:szCs w:val="22"/>
        </w:rPr>
        <w:t xml:space="preserve">No existe obligación de elaborar documentos ad hoc para atender las solicitudes de acceso a la información. </w:t>
      </w:r>
      <w:r w:rsidRPr="00170109">
        <w:rPr>
          <w:rFonts w:eastAsia="Palatino Linotype"/>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47A45FF9" w14:textId="77777777" w:rsidR="00162F89" w:rsidRPr="00170109" w:rsidRDefault="00162F89" w:rsidP="00170109">
      <w:pPr>
        <w:rPr>
          <w:bCs/>
          <w:szCs w:val="22"/>
        </w:rPr>
      </w:pPr>
    </w:p>
    <w:p w14:paraId="201BE9CC" w14:textId="687E12CE" w:rsidR="009830CF" w:rsidRPr="00170109" w:rsidRDefault="009830CF" w:rsidP="00170109">
      <w:pPr>
        <w:rPr>
          <w:szCs w:val="22"/>
        </w:rPr>
      </w:pPr>
      <w:r w:rsidRPr="00170109">
        <w:rPr>
          <w:bCs/>
          <w:szCs w:val="22"/>
        </w:rPr>
        <w:t xml:space="preserve">En ese tenor, y considerando tanto el motivo de la inconformidad </w:t>
      </w:r>
      <w:r w:rsidR="006D3B40" w:rsidRPr="00170109">
        <w:rPr>
          <w:bCs/>
          <w:szCs w:val="22"/>
        </w:rPr>
        <w:t>como el pronunciamiento emitido por</w:t>
      </w:r>
      <w:r w:rsidRPr="00170109">
        <w:rPr>
          <w:bCs/>
          <w:szCs w:val="22"/>
        </w:rPr>
        <w:t xml:space="preserve"> </w:t>
      </w:r>
      <w:r w:rsidRPr="00170109">
        <w:rPr>
          <w:b/>
          <w:bCs/>
          <w:szCs w:val="22"/>
        </w:rPr>
        <w:t xml:space="preserve">EL SUJETO OBLIGADO </w:t>
      </w:r>
      <w:r w:rsidRPr="00170109">
        <w:rPr>
          <w:bCs/>
          <w:szCs w:val="22"/>
        </w:rPr>
        <w:t xml:space="preserve">en respuesta, se procede a analizar si dicha información es suficiente para tener por colmado el derecho de acceso a la información de la </w:t>
      </w:r>
      <w:r w:rsidRPr="00170109">
        <w:rPr>
          <w:b/>
          <w:bCs/>
          <w:szCs w:val="22"/>
        </w:rPr>
        <w:t>PERSONA RECURRENTE</w:t>
      </w:r>
      <w:r w:rsidRPr="00170109">
        <w:rPr>
          <w:szCs w:val="22"/>
        </w:rPr>
        <w:t xml:space="preserve"> o en su caso, ordenar la entrega de la información correspondiente.</w:t>
      </w:r>
    </w:p>
    <w:p w14:paraId="65605466" w14:textId="77777777" w:rsidR="006D3B40" w:rsidRPr="00170109" w:rsidRDefault="006D3B40" w:rsidP="00170109">
      <w:pPr>
        <w:rPr>
          <w:szCs w:val="22"/>
        </w:rPr>
      </w:pPr>
    </w:p>
    <w:p w14:paraId="3B92A792" w14:textId="12B06618" w:rsidR="006D3B40" w:rsidRPr="00170109" w:rsidRDefault="006D3B40" w:rsidP="00170109">
      <w:pPr>
        <w:rPr>
          <w:szCs w:val="22"/>
        </w:rPr>
      </w:pPr>
      <w:r w:rsidRPr="00170109">
        <w:rPr>
          <w:szCs w:val="22"/>
        </w:rPr>
        <w:t xml:space="preserve">Por principio, es necesario precisar que de la literalidad de la solicitud de información planteada por </w:t>
      </w:r>
      <w:r w:rsidRPr="00170109">
        <w:rPr>
          <w:b/>
          <w:szCs w:val="22"/>
        </w:rPr>
        <w:t xml:space="preserve">LA PERSONA SOLICITANTE </w:t>
      </w:r>
      <w:r w:rsidRPr="00170109">
        <w:rPr>
          <w:szCs w:val="22"/>
        </w:rPr>
        <w:t xml:space="preserve">se obtiene que </w:t>
      </w:r>
      <w:r w:rsidR="006A22AB" w:rsidRPr="00170109">
        <w:rPr>
          <w:szCs w:val="22"/>
        </w:rPr>
        <w:t xml:space="preserve">refiere que </w:t>
      </w:r>
      <w:r w:rsidRPr="00170109">
        <w:rPr>
          <w:szCs w:val="22"/>
        </w:rPr>
        <w:t>peticiona</w:t>
      </w:r>
      <w:r w:rsidR="0092473F" w:rsidRPr="00170109">
        <w:rPr>
          <w:szCs w:val="22"/>
        </w:rPr>
        <w:t xml:space="preserve"> </w:t>
      </w:r>
      <w:r w:rsidR="0092473F" w:rsidRPr="00170109">
        <w:rPr>
          <w:szCs w:val="22"/>
        </w:rPr>
        <w:lastRenderedPageBreak/>
        <w:t xml:space="preserve">información </w:t>
      </w:r>
      <w:r w:rsidR="006A22AB" w:rsidRPr="00170109">
        <w:rPr>
          <w:szCs w:val="22"/>
        </w:rPr>
        <w:t>de las actas de entrega y recepción que</w:t>
      </w:r>
      <w:r w:rsidR="0092473F" w:rsidRPr="00170109">
        <w:rPr>
          <w:szCs w:val="22"/>
        </w:rPr>
        <w:t xml:space="preserve"> la </w:t>
      </w:r>
      <w:r w:rsidRPr="00170109">
        <w:rPr>
          <w:szCs w:val="22"/>
        </w:rPr>
        <w:t xml:space="preserve">extinta Secretaría de Obra Pública y Desarrollo Urbano </w:t>
      </w:r>
      <w:r w:rsidR="006A22AB" w:rsidRPr="00170109">
        <w:rPr>
          <w:szCs w:val="22"/>
        </w:rPr>
        <w:t xml:space="preserve">realizó </w:t>
      </w:r>
      <w:r w:rsidRPr="00170109">
        <w:rPr>
          <w:szCs w:val="22"/>
        </w:rPr>
        <w:t>a la Secretaría de Infraestructura y la Secretaría del Agua.</w:t>
      </w:r>
    </w:p>
    <w:p w14:paraId="63E3E4D2" w14:textId="0817721F" w:rsidR="00322B7E" w:rsidRPr="00170109" w:rsidRDefault="003D2DF7" w:rsidP="00170109">
      <w:pPr>
        <w:spacing w:before="240" w:after="240"/>
        <w:rPr>
          <w:rFonts w:eastAsia="Palatino Linotype" w:cs="Palatino Linotype"/>
          <w:szCs w:val="22"/>
          <w:lang w:val="es-ES"/>
        </w:rPr>
      </w:pPr>
      <w:r w:rsidRPr="00170109">
        <w:rPr>
          <w:szCs w:val="22"/>
        </w:rPr>
        <w:t xml:space="preserve">Al respecto, es preciso puntualizar que cuando los particulares no señalen de manera correcta la unidad administrativa de la que desean tener acceso a la información, al no ser expertos en la materia, los sujetos obligados cuentan con el deber de aplicar, en su beneficio y bajo el amparo del principio </w:t>
      </w:r>
      <w:r w:rsidRPr="00170109">
        <w:rPr>
          <w:i/>
          <w:iCs/>
          <w:szCs w:val="22"/>
        </w:rPr>
        <w:t xml:space="preserve">Pro </w:t>
      </w:r>
      <w:proofErr w:type="spellStart"/>
      <w:r w:rsidRPr="00170109">
        <w:rPr>
          <w:i/>
          <w:iCs/>
          <w:szCs w:val="22"/>
        </w:rPr>
        <w:t>Personae</w:t>
      </w:r>
      <w:proofErr w:type="spellEnd"/>
      <w:r w:rsidRPr="00170109">
        <w:rPr>
          <w:i/>
          <w:iCs/>
          <w:szCs w:val="22"/>
        </w:rPr>
        <w:t xml:space="preserve"> </w:t>
      </w:r>
      <w:r w:rsidR="00322B7E" w:rsidRPr="00170109">
        <w:rPr>
          <w:szCs w:val="22"/>
        </w:rPr>
        <w:t xml:space="preserve">así como en el de suplencia de la queja a favor del peticionario a fin de satisfacer el derecho de acceso a la información; </w:t>
      </w:r>
      <w:r w:rsidR="00322B7E" w:rsidRPr="00170109">
        <w:rPr>
          <w:rFonts w:eastAsia="Palatino Linotype" w:cs="Palatino Linotype"/>
          <w:szCs w:val="22"/>
          <w:lang w:val="es-ES"/>
        </w:rPr>
        <w:t>ya que para que el derecho de acceso a la información pública de los particulares se satisfaga completamente, es necesario que se les brinde el acceso a datos, registros y todo tipo de información pública que conste en documentos, ya sea generados o que se encuentre en posesión de las autoridades, por tal motivo, privilegiando el principio de máxima publicidad, se deberá proceder a la entrega del soporte documental en donde conste la información que brinde respuesta a la solicitud, así el particular podrá buscar conforme a su interés.</w:t>
      </w:r>
    </w:p>
    <w:p w14:paraId="5A836CD5" w14:textId="449D021F" w:rsidR="006A22AB" w:rsidRPr="00170109" w:rsidRDefault="006A22AB" w:rsidP="00170109">
      <w:pPr>
        <w:rPr>
          <w:szCs w:val="22"/>
        </w:rPr>
      </w:pPr>
      <w:r w:rsidRPr="00170109">
        <w:rPr>
          <w:szCs w:val="22"/>
        </w:rPr>
        <w:t>En ese tenor, se trae a contexto el contenido del D</w:t>
      </w:r>
      <w:r w:rsidR="003B475A" w:rsidRPr="00170109">
        <w:rPr>
          <w:szCs w:val="22"/>
        </w:rPr>
        <w:t>ecreto Número 191 de la H. “LX” Legislatura del Estado de México,</w:t>
      </w:r>
      <w:r w:rsidRPr="00170109">
        <w:rPr>
          <w:szCs w:val="22"/>
        </w:rPr>
        <w:t xml:space="preserve"> publicado en el Periódico Oficial “Gaceta del Gobierno”, el</w:t>
      </w:r>
      <w:r w:rsidR="003B475A" w:rsidRPr="00170109">
        <w:rPr>
          <w:szCs w:val="22"/>
        </w:rPr>
        <w:t xml:space="preserve"> </w:t>
      </w:r>
      <w:r w:rsidRPr="00170109">
        <w:rPr>
          <w:szCs w:val="22"/>
        </w:rPr>
        <w:t xml:space="preserve">29 de septiembre de 2020, </w:t>
      </w:r>
      <w:r w:rsidR="003B475A" w:rsidRPr="00170109">
        <w:rPr>
          <w:szCs w:val="22"/>
        </w:rPr>
        <w:t xml:space="preserve">por el que se reformaron diversos ordenamientos jurídicos, entre los cuales se encontraba la Ley Orgánica de la Administración Pública del Estado de México, mediante dicho Decreto se creó la Secretaría de Desarrollo Urbano y Obra, integrada por las entonces Secretarías de Desarrollo Urbano y Metropolitano, y de Obra Pública. Es así, como la Secretaría de Desarrollo Urbano y Obra, fue la dependencia encargada del ordenamiento territorial de los asentamientos humanos, de regular el desarrollo urbano de los centros de población y la vivienda y, de coordinar y evaluar en el territorio estatal las acciones y programas orientados al desarrollo armónico y sustentable de las zonas metropolitanas, así como de ejecutar obras públicas de competencia, y de promover y ejecutar las acciones para </w:t>
      </w:r>
      <w:r w:rsidR="003B475A" w:rsidRPr="00170109">
        <w:rPr>
          <w:szCs w:val="22"/>
        </w:rPr>
        <w:lastRenderedPageBreak/>
        <w:t>el desarrollo de infraestructura en la entidad</w:t>
      </w:r>
      <w:r w:rsidRPr="00170109">
        <w:rPr>
          <w:szCs w:val="22"/>
        </w:rPr>
        <w:t>, tal y como se lee, del contenido del artículo 31 de dicha reforma, que es del tenor literal siguiente:</w:t>
      </w:r>
    </w:p>
    <w:p w14:paraId="4ECCCD1F" w14:textId="77777777" w:rsidR="006A22AB" w:rsidRPr="00170109" w:rsidRDefault="006A22AB" w:rsidP="00170109">
      <w:pPr>
        <w:rPr>
          <w:szCs w:val="22"/>
        </w:rPr>
      </w:pPr>
    </w:p>
    <w:p w14:paraId="230943D5" w14:textId="77777777" w:rsidR="00D84800" w:rsidRPr="00170109" w:rsidRDefault="00D84800" w:rsidP="00170109">
      <w:pPr>
        <w:pStyle w:val="Puesto"/>
      </w:pPr>
      <w:r w:rsidRPr="00170109">
        <w:rPr>
          <w:b/>
          <w:bCs/>
        </w:rPr>
        <w:t>Artículo 31</w:t>
      </w:r>
      <w:r w:rsidRPr="00170109">
        <w:t xml:space="preserve">.- La Secretaría de Desarrollo Urbano y Obra es la dependencia encargada del ordenamiento territorial de los asentamientos humanos, de regular el desarrollo urbano de los centros de población y la vivienda, y de coordinar y evaluar, en el ámbito del territorio estatal, las acciones y programas orientados al desarrollo armónico y sustentable de las zonas metropolitanas, así como de ejecutar obras públicas a su cargo, y de promover y ejecutar las acciones para el desarrollo de infraestructura en la Entidad. </w:t>
      </w:r>
    </w:p>
    <w:p w14:paraId="74B828FF" w14:textId="77777777" w:rsidR="00D84800" w:rsidRPr="00170109" w:rsidRDefault="00D84800" w:rsidP="00170109">
      <w:pPr>
        <w:pStyle w:val="Puesto"/>
      </w:pPr>
      <w:r w:rsidRPr="00170109">
        <w:t xml:space="preserve">… </w:t>
      </w:r>
    </w:p>
    <w:p w14:paraId="07B49DD3" w14:textId="77777777" w:rsidR="00D84800" w:rsidRPr="00170109" w:rsidRDefault="00D84800" w:rsidP="00170109">
      <w:pPr>
        <w:pStyle w:val="Puesto"/>
      </w:pPr>
      <w:r w:rsidRPr="00170109">
        <w:t xml:space="preserve">I. Formular y conducir las políticas estatales de asentamientos humanos, ordenamiento territorial, desarrollo urbano, vivienda, obras públicas e infraestructura para el desarrollo; </w:t>
      </w:r>
    </w:p>
    <w:p w14:paraId="14BF81CB" w14:textId="77777777" w:rsidR="00D84800" w:rsidRPr="00170109" w:rsidRDefault="00D84800" w:rsidP="00170109">
      <w:pPr>
        <w:pStyle w:val="Puesto"/>
      </w:pPr>
      <w:r w:rsidRPr="00170109">
        <w:t>II. Aplicar y vigilar el cumplimiento de las disposiciones legales en materia de ordenamiento territorial de los asentamientos humanos, del desarrollo urbano, vivienda y obra pública; I</w:t>
      </w:r>
    </w:p>
    <w:p w14:paraId="4F262385" w14:textId="77777777" w:rsidR="00D84800" w:rsidRPr="00170109" w:rsidRDefault="00D84800" w:rsidP="00170109">
      <w:pPr>
        <w:pStyle w:val="Puesto"/>
      </w:pPr>
      <w:r w:rsidRPr="00170109">
        <w:t xml:space="preserve">II. a VI. … </w:t>
      </w:r>
    </w:p>
    <w:p w14:paraId="50E74834" w14:textId="77777777" w:rsidR="00D84800" w:rsidRPr="00170109" w:rsidRDefault="00D84800" w:rsidP="00170109">
      <w:pPr>
        <w:pStyle w:val="Puesto"/>
      </w:pPr>
      <w:r w:rsidRPr="00170109">
        <w:t xml:space="preserve">VII. Vigilar el cumplimiento de las normas técnicas en materia de desarrollo urbano, vivienda y construcciones, así como que la ejecución de la obra pública adjudicada y los servicios relacionados con ésta, se sujeten a las condiciones contratadas; </w:t>
      </w:r>
    </w:p>
    <w:p w14:paraId="7EF0FCEA" w14:textId="77777777" w:rsidR="00D84800" w:rsidRPr="00170109" w:rsidRDefault="00D84800" w:rsidP="00170109">
      <w:pPr>
        <w:pStyle w:val="Puesto"/>
      </w:pPr>
      <w:r w:rsidRPr="00170109">
        <w:t xml:space="preserve">VIII. Proponer al Ejecutivo del Estado la celebración de convenios en materia de desarrollo urbano, vivienda, obra pública e infraestructura y participar en su ejecución; </w:t>
      </w:r>
    </w:p>
    <w:p w14:paraId="35BAC4BB" w14:textId="77777777" w:rsidR="00D84800" w:rsidRPr="00170109" w:rsidRDefault="00D84800" w:rsidP="00170109">
      <w:pPr>
        <w:pStyle w:val="Puesto"/>
      </w:pPr>
      <w:r w:rsidRPr="00170109">
        <w:t xml:space="preserve">IX. Promover el financiamiento y la construcción, instalación, conservación, mantenimiento o mejoramiento de obras de urbanización, infraestructura y equipamiento urbano; </w:t>
      </w:r>
    </w:p>
    <w:p w14:paraId="55284A9F" w14:textId="77777777" w:rsidR="00D84800" w:rsidRPr="00170109" w:rsidRDefault="00D84800" w:rsidP="00170109">
      <w:pPr>
        <w:pStyle w:val="Puesto"/>
      </w:pPr>
      <w:r w:rsidRPr="00170109">
        <w:t xml:space="preserve">X. a XII. … </w:t>
      </w:r>
    </w:p>
    <w:p w14:paraId="3DB032DB" w14:textId="77777777" w:rsidR="00D84800" w:rsidRPr="00170109" w:rsidRDefault="00D84800" w:rsidP="00170109">
      <w:pPr>
        <w:pStyle w:val="Puesto"/>
      </w:pPr>
      <w:r w:rsidRPr="00170109">
        <w:t xml:space="preserve">XIII. Emitir autorizaciones para conjuntos urbanos, condominios, subdivisiones, fusiones, relotificaciones de predios y demás establecidas en los ordenamientos jurídicos aplicables, así como para el uso y disponibilidad del Agua por Zona o Región para que los municipios otorguen licencias de construcción de vivienda o industria; </w:t>
      </w:r>
    </w:p>
    <w:p w14:paraId="1228D4D2" w14:textId="77777777" w:rsidR="00D84800" w:rsidRPr="00170109" w:rsidRDefault="00D84800" w:rsidP="00170109">
      <w:pPr>
        <w:pStyle w:val="Puesto"/>
      </w:pPr>
      <w:r w:rsidRPr="00170109">
        <w:t xml:space="preserve">XIV. a XVI. … </w:t>
      </w:r>
    </w:p>
    <w:p w14:paraId="1A2D4F42" w14:textId="77777777" w:rsidR="00D84800" w:rsidRPr="00170109" w:rsidRDefault="00D84800" w:rsidP="00170109">
      <w:pPr>
        <w:pStyle w:val="Puesto"/>
      </w:pPr>
      <w:r w:rsidRPr="00170109">
        <w:t xml:space="preserve">XVII. Impulsar y promover trabajos de introducción de energía eléctrica en áreas urbanas y rurales, así como determinar la apertura o modificación de vías públicas; </w:t>
      </w:r>
    </w:p>
    <w:p w14:paraId="412CB896" w14:textId="77777777" w:rsidR="00D84800" w:rsidRPr="00170109" w:rsidRDefault="00D84800" w:rsidP="00170109">
      <w:pPr>
        <w:pStyle w:val="Puesto"/>
      </w:pPr>
      <w:r w:rsidRPr="00170109">
        <w:t xml:space="preserve">XVIII. … </w:t>
      </w:r>
    </w:p>
    <w:p w14:paraId="2BB21DB1" w14:textId="77777777" w:rsidR="00D84800" w:rsidRPr="00170109" w:rsidRDefault="00D84800" w:rsidP="00170109">
      <w:pPr>
        <w:pStyle w:val="Puesto"/>
      </w:pPr>
      <w:r w:rsidRPr="00170109">
        <w:t xml:space="preserve">XIX. Integrar el Programa General de Obras Públicas del Gobierno del Estado, con la Participación de las dependencias y organismos del Poder Ejecutivo, en congruencia con el </w:t>
      </w:r>
      <w:r w:rsidRPr="00170109">
        <w:lastRenderedPageBreak/>
        <w:t xml:space="preserve">Plan Estatal de Desarrollo y la política, objetivos y prioridades que establezca el Gobernador del Estado, y vigilar su ejecución; </w:t>
      </w:r>
    </w:p>
    <w:p w14:paraId="4140E2FE" w14:textId="77777777" w:rsidR="00D84800" w:rsidRPr="00170109" w:rsidRDefault="00D84800" w:rsidP="00170109">
      <w:pPr>
        <w:pStyle w:val="Puesto"/>
      </w:pPr>
      <w:r w:rsidRPr="00170109">
        <w:t xml:space="preserve">XX. a XXX. … </w:t>
      </w:r>
    </w:p>
    <w:p w14:paraId="4C231DB0" w14:textId="77777777" w:rsidR="00D84800" w:rsidRPr="00170109" w:rsidRDefault="00D84800" w:rsidP="00170109">
      <w:pPr>
        <w:pStyle w:val="Puesto"/>
      </w:pPr>
      <w:r w:rsidRPr="00170109">
        <w:t xml:space="preserve">XXXI. Expedir la evaluación técnica de factibilidad de impacto urbano de conformidad a los ordenamientos jurídicos aplicables y emitir, a través de la Comisión del Agua del Estado de México, la evaluación técnica de factibilidad para la distribución de agua, así como la de agua, drenaje, alcantarillado y tratamiento de aguas residuales; </w:t>
      </w:r>
    </w:p>
    <w:p w14:paraId="2516F8B9" w14:textId="77777777" w:rsidR="00D84800" w:rsidRPr="00170109" w:rsidRDefault="00D84800" w:rsidP="00170109">
      <w:pPr>
        <w:pStyle w:val="Puesto"/>
      </w:pPr>
      <w:r w:rsidRPr="00170109">
        <w:t xml:space="preserve">XXXII. Promover la reestructura o revocación de concesiones cuando los estudios costo beneficio, financieros o sociales representen un ahorro financiero para el Estado, una mejora sustancial en el otorgamiento del servicio o un riesgo para el otorgamiento del servicio o cumplimiento del objetivo de la concesión. Los estudios referidos podrán ser realizados por instituciones públicas o privadas en términos de las disposiciones jurídicas aplicables; </w:t>
      </w:r>
    </w:p>
    <w:p w14:paraId="1F80806C" w14:textId="77777777" w:rsidR="00D84800" w:rsidRPr="00170109" w:rsidRDefault="00D84800" w:rsidP="00170109">
      <w:pPr>
        <w:pStyle w:val="Puesto"/>
      </w:pPr>
      <w:r w:rsidRPr="00170109">
        <w:t xml:space="preserve">XXXIII. Dictar las normas generales y ejecutar las obras de reparación, adaptación y demolición de inmuebles propiedad del Gobierno del Estado que le sean asignadas; </w:t>
      </w:r>
    </w:p>
    <w:p w14:paraId="5D25BD48" w14:textId="77777777" w:rsidR="00D84800" w:rsidRPr="00170109" w:rsidRDefault="00D84800" w:rsidP="00170109">
      <w:pPr>
        <w:pStyle w:val="Puesto"/>
      </w:pPr>
      <w:r w:rsidRPr="00170109">
        <w:t xml:space="preserve">XXXIV. Construir, mantener o modificar, en su caso, la obra pública que corresponda al desarrollo y equipamiento urbano y que no competa a otras autoridades; </w:t>
      </w:r>
    </w:p>
    <w:p w14:paraId="794D8B7A" w14:textId="77777777" w:rsidR="00D84800" w:rsidRPr="00170109" w:rsidRDefault="00D84800" w:rsidP="00170109">
      <w:pPr>
        <w:pStyle w:val="Puesto"/>
      </w:pPr>
      <w:r w:rsidRPr="00170109">
        <w:t xml:space="preserve">XXXV. Expedir en coordinación con las dependencias que corresponda, las bases a que deben sujetarse los concursos para la ejecución de las obras a su cargo, así como adjudicarlas, cancelarlas y vigilar el cumplimiento de los contratos que celebre; </w:t>
      </w:r>
    </w:p>
    <w:p w14:paraId="7EF84102" w14:textId="2EECAF19" w:rsidR="003B475A" w:rsidRPr="00170109" w:rsidRDefault="00D84800" w:rsidP="00170109">
      <w:pPr>
        <w:pStyle w:val="Puesto"/>
        <w:rPr>
          <w:szCs w:val="22"/>
        </w:rPr>
      </w:pPr>
      <w:r w:rsidRPr="00170109">
        <w:t>XXXVI. Establecer lineamientos para la realización de estudios y proyectos de construcción de obras públicas;</w:t>
      </w:r>
      <w:r w:rsidR="006A22AB" w:rsidRPr="00170109">
        <w:rPr>
          <w:szCs w:val="22"/>
        </w:rPr>
        <w:t xml:space="preserve"> </w:t>
      </w:r>
    </w:p>
    <w:p w14:paraId="1D4D314C" w14:textId="77777777" w:rsidR="00D84800" w:rsidRPr="00170109" w:rsidRDefault="00D84800" w:rsidP="00170109">
      <w:pPr>
        <w:pStyle w:val="Puesto"/>
      </w:pPr>
      <w:r w:rsidRPr="00170109">
        <w:t xml:space="preserve">XXXVII. </w:t>
      </w:r>
      <w:r w:rsidRPr="00170109">
        <w:rPr>
          <w:b/>
          <w:bCs/>
        </w:rPr>
        <w:t>Coordinar, formular u operar programas estatales de obras de abastecimiento de agua potable</w:t>
      </w:r>
      <w:r w:rsidRPr="00170109">
        <w:t xml:space="preserve"> y de servicios de drenaje y alcantarillado y de las demás relacionadas con el desarrollo y equipamiento urbano, que no estén asignadas a otras autoridades; </w:t>
      </w:r>
    </w:p>
    <w:p w14:paraId="17CE85F4" w14:textId="77777777" w:rsidR="00D84800" w:rsidRPr="00170109" w:rsidRDefault="00D84800" w:rsidP="00170109">
      <w:pPr>
        <w:pStyle w:val="Puesto"/>
      </w:pPr>
      <w:r w:rsidRPr="00170109">
        <w:t xml:space="preserve">XXXVIII. </w:t>
      </w:r>
      <w:r w:rsidRPr="00170109">
        <w:rPr>
          <w:b/>
          <w:bCs/>
        </w:rPr>
        <w:t>Supervisar la construcción, conservación, mantenimiento, operación y administración de las obras de agua potable</w:t>
      </w:r>
      <w:r w:rsidRPr="00170109">
        <w:t xml:space="preserve"> y alcantarillado a su cargo; </w:t>
      </w:r>
    </w:p>
    <w:p w14:paraId="344EC491" w14:textId="77777777" w:rsidR="00D84800" w:rsidRPr="00170109" w:rsidRDefault="00D84800" w:rsidP="00170109">
      <w:pPr>
        <w:pStyle w:val="Puesto"/>
      </w:pPr>
      <w:r w:rsidRPr="00170109">
        <w:t xml:space="preserve">XXXIX. </w:t>
      </w:r>
      <w:r w:rsidRPr="00170109">
        <w:rPr>
          <w:b/>
          <w:bCs/>
        </w:rPr>
        <w:t>Controlar el inventario de disponibilidad de Agua Potable del Estado</w:t>
      </w:r>
      <w:r w:rsidRPr="00170109">
        <w:t xml:space="preserve">; </w:t>
      </w:r>
    </w:p>
    <w:p w14:paraId="0AEF9BC1" w14:textId="77777777" w:rsidR="00D84800" w:rsidRPr="00170109" w:rsidRDefault="00D84800" w:rsidP="00170109">
      <w:pPr>
        <w:pStyle w:val="Puesto"/>
      </w:pPr>
      <w:r w:rsidRPr="00170109">
        <w:t xml:space="preserve">XL. Administrar en conjunto con la Secretaría de Finanzas los fideicomisos de infraestructura del Gobierno del Estado de acuerdo con el Plan Anual y Sexenal de Obras; </w:t>
      </w:r>
    </w:p>
    <w:p w14:paraId="459FFD38" w14:textId="77777777" w:rsidR="00D84800" w:rsidRPr="00170109" w:rsidRDefault="00D84800" w:rsidP="00170109">
      <w:pPr>
        <w:pStyle w:val="Puesto"/>
      </w:pPr>
      <w:r w:rsidRPr="00170109">
        <w:t xml:space="preserve">XLI. Dirigir, coordinar y supervisar a la Comisión de Factibilidad del Estado de México; </w:t>
      </w:r>
    </w:p>
    <w:p w14:paraId="2568BC1C" w14:textId="77777777" w:rsidR="00D84800" w:rsidRPr="00170109" w:rsidRDefault="00D84800" w:rsidP="00170109">
      <w:pPr>
        <w:pStyle w:val="Puesto"/>
      </w:pPr>
      <w:r w:rsidRPr="00170109">
        <w:t xml:space="preserve">XLII. Coordinar la política estatal de fortalecimiento institucional del desarrollo metropolitano en el Estado de México, de conformidad a las disposiciones jurídicas aplicables, y </w:t>
      </w:r>
    </w:p>
    <w:p w14:paraId="49061B96" w14:textId="25C22DEE" w:rsidR="00D84800" w:rsidRPr="00170109" w:rsidRDefault="00D84800" w:rsidP="00170109">
      <w:pPr>
        <w:pStyle w:val="Puesto"/>
        <w:rPr>
          <w:rFonts w:cs="Times New Roman"/>
          <w:szCs w:val="22"/>
        </w:rPr>
      </w:pPr>
      <w:r w:rsidRPr="00170109">
        <w:t>XLIII. Las demás que le señalen otras leyes reglamentos y disposiciones jurídicas aplicables.</w:t>
      </w:r>
    </w:p>
    <w:p w14:paraId="45E2CC05" w14:textId="77777777" w:rsidR="00D84800" w:rsidRPr="00170109" w:rsidRDefault="00D84800" w:rsidP="00170109">
      <w:pPr>
        <w:spacing w:before="120"/>
        <w:rPr>
          <w:szCs w:val="22"/>
        </w:rPr>
      </w:pPr>
    </w:p>
    <w:p w14:paraId="2DFA9982" w14:textId="6318F02C" w:rsidR="00155428" w:rsidRPr="00170109" w:rsidRDefault="00155428" w:rsidP="00170109">
      <w:pPr>
        <w:spacing w:before="120"/>
        <w:rPr>
          <w:szCs w:val="22"/>
        </w:rPr>
      </w:pPr>
      <w:r w:rsidRPr="00170109">
        <w:rPr>
          <w:szCs w:val="22"/>
        </w:rPr>
        <w:lastRenderedPageBreak/>
        <w:t>Ámbito de competencia que se robustece con el contenido de la fracción XXXIII del artículo 7 del entonces reglamento interior de la Secretaría de Desarrollo Urbano y Obra Pública, que se cita:</w:t>
      </w:r>
    </w:p>
    <w:p w14:paraId="47CE32E6" w14:textId="7DF2C74D" w:rsidR="00155428" w:rsidRPr="00170109" w:rsidRDefault="00155428" w:rsidP="00170109">
      <w:pPr>
        <w:pStyle w:val="Puesto"/>
      </w:pPr>
      <w:r w:rsidRPr="00170109">
        <w:rPr>
          <w:szCs w:val="22"/>
        </w:rPr>
        <w:t xml:space="preserve"> </w:t>
      </w:r>
      <w:r w:rsidRPr="00170109">
        <w:rPr>
          <w:b/>
          <w:bCs/>
        </w:rPr>
        <w:t>Artículo 7</w:t>
      </w:r>
      <w:r w:rsidRPr="00170109">
        <w:t xml:space="preserve">. La </w:t>
      </w:r>
      <w:r w:rsidRPr="00170109">
        <w:rPr>
          <w:b/>
          <w:bCs/>
        </w:rPr>
        <w:t>persona titular de la Secretaría</w:t>
      </w:r>
      <w:r w:rsidRPr="00170109">
        <w:t xml:space="preserve"> tendrá las atribuciones siguientes:</w:t>
      </w:r>
    </w:p>
    <w:p w14:paraId="65D4E00A" w14:textId="5DF24009" w:rsidR="00155428" w:rsidRPr="00170109" w:rsidRDefault="00155428" w:rsidP="00170109">
      <w:pPr>
        <w:pStyle w:val="Puesto"/>
      </w:pPr>
      <w:r w:rsidRPr="00170109">
        <w:t>…</w:t>
      </w:r>
    </w:p>
    <w:p w14:paraId="318F7EF3" w14:textId="690E044A" w:rsidR="00155428" w:rsidRPr="00170109" w:rsidRDefault="00155428" w:rsidP="00170109">
      <w:pPr>
        <w:pStyle w:val="Puesto"/>
      </w:pPr>
      <w:r w:rsidRPr="00170109">
        <w:t xml:space="preserve">XXXIII. </w:t>
      </w:r>
      <w:r w:rsidRPr="00170109">
        <w:rPr>
          <w:b/>
          <w:bCs/>
          <w:u w:val="single"/>
        </w:rPr>
        <w:t>Coordinar y formular en el ámbito de su competencia, programas estatales de obras de abastecimiento de agua potable</w:t>
      </w:r>
      <w:r w:rsidRPr="00170109">
        <w:t>, servicios de drenaje, alcantarillado y de las demás relacionadas con el desarrollo y equipamiento urbano, que no estén asignadas a otras autoridades;</w:t>
      </w:r>
    </w:p>
    <w:p w14:paraId="39C80080" w14:textId="77777777" w:rsidR="00155428" w:rsidRPr="00170109" w:rsidRDefault="00155428" w:rsidP="00170109">
      <w:pPr>
        <w:pStyle w:val="Puesto"/>
      </w:pPr>
      <w:r w:rsidRPr="00170109">
        <w:t xml:space="preserve">… </w:t>
      </w:r>
    </w:p>
    <w:p w14:paraId="3D1741BA" w14:textId="77777777" w:rsidR="00155428" w:rsidRPr="00170109" w:rsidRDefault="00155428" w:rsidP="00170109">
      <w:pPr>
        <w:pStyle w:val="Puesto"/>
        <w:jc w:val="right"/>
      </w:pPr>
    </w:p>
    <w:p w14:paraId="59C77A86" w14:textId="48C8093D" w:rsidR="00155428" w:rsidRPr="00170109" w:rsidRDefault="00155428" w:rsidP="00170109">
      <w:pPr>
        <w:pStyle w:val="Puesto"/>
        <w:jc w:val="right"/>
        <w:rPr>
          <w:b/>
          <w:bCs/>
        </w:rPr>
      </w:pPr>
      <w:r w:rsidRPr="00170109">
        <w:rPr>
          <w:b/>
          <w:bCs/>
        </w:rPr>
        <w:t>Énfasis añadido</w:t>
      </w:r>
    </w:p>
    <w:p w14:paraId="6ABA098C" w14:textId="77777777" w:rsidR="00155428" w:rsidRPr="00170109" w:rsidRDefault="00155428" w:rsidP="00170109">
      <w:pPr>
        <w:spacing w:before="120"/>
        <w:rPr>
          <w:szCs w:val="22"/>
        </w:rPr>
      </w:pPr>
    </w:p>
    <w:p w14:paraId="4D547C73" w14:textId="3EF13D6C" w:rsidR="00D84800" w:rsidRPr="00170109" w:rsidRDefault="006A22AB" w:rsidP="00170109">
      <w:pPr>
        <w:spacing w:before="120"/>
        <w:rPr>
          <w:szCs w:val="22"/>
        </w:rPr>
      </w:pPr>
      <w:r w:rsidRPr="00170109">
        <w:rPr>
          <w:szCs w:val="22"/>
        </w:rPr>
        <w:t>Posteriormente, e</w:t>
      </w:r>
      <w:r w:rsidR="003B475A" w:rsidRPr="00170109">
        <w:rPr>
          <w:szCs w:val="22"/>
        </w:rPr>
        <w:t xml:space="preserve">l 11 de septiembre de 2023 se publicó en el Periódico Oficial “Gaceta del Gobierno” el Decreto número 182 de la “LXI” Legislatura del Estado de México, por el que se expidió una nueva Ley Orgánica de la Administración Pública del Estado de México, </w:t>
      </w:r>
      <w:r w:rsidR="00D84800" w:rsidRPr="00170109">
        <w:rPr>
          <w:szCs w:val="22"/>
        </w:rPr>
        <w:t>e</w:t>
      </w:r>
      <w:r w:rsidR="003B475A" w:rsidRPr="00170109">
        <w:rPr>
          <w:szCs w:val="22"/>
        </w:rPr>
        <w:t xml:space="preserve">n </w:t>
      </w:r>
      <w:r w:rsidR="00D84800" w:rsidRPr="00170109">
        <w:rPr>
          <w:szCs w:val="22"/>
        </w:rPr>
        <w:t>la que en la exposición de motivos se estableció en la parte aplicable al asunto que nos ocupa, lo siguiente:</w:t>
      </w:r>
    </w:p>
    <w:p w14:paraId="0BE78574" w14:textId="77777777" w:rsidR="005B7E93" w:rsidRPr="00170109" w:rsidRDefault="005B7E93" w:rsidP="00170109">
      <w:pPr>
        <w:pStyle w:val="Puesto"/>
        <w:rPr>
          <w:b/>
          <w:bCs/>
          <w:u w:val="single"/>
        </w:rPr>
      </w:pPr>
      <w:r w:rsidRPr="00170109">
        <w:t xml:space="preserve">“…En el caso de la </w:t>
      </w:r>
      <w:r w:rsidRPr="00170109">
        <w:rPr>
          <w:b/>
          <w:bCs/>
        </w:rPr>
        <w:t>Secretaría de Desarrollo Urbano e infraestructura,</w:t>
      </w:r>
      <w:r w:rsidRPr="00170109">
        <w:t xml:space="preserve"> se contempla un enfoque integral del territorio, </w:t>
      </w:r>
      <w:r w:rsidRPr="00170109">
        <w:rPr>
          <w:b/>
          <w:bCs/>
        </w:rPr>
        <w:t>conservando las funciones de obra pública</w:t>
      </w:r>
      <w:r w:rsidRPr="00170109">
        <w:t>, con la excepción de los casos de infraestructura educativa que llevará a cabo la Secretaría de Educación a través de la instancia correspondiente</w:t>
      </w:r>
      <w:r w:rsidRPr="00170109">
        <w:rPr>
          <w:b/>
          <w:bCs/>
          <w:u w:val="single"/>
        </w:rPr>
        <w:t xml:space="preserve">, así como el caso de la Secretaría del Agua, en relación con la infraestructura hídrica. </w:t>
      </w:r>
    </w:p>
    <w:p w14:paraId="6E424065" w14:textId="77777777" w:rsidR="005B7E93" w:rsidRPr="00170109" w:rsidRDefault="005B7E93" w:rsidP="00170109">
      <w:pPr>
        <w:pStyle w:val="Puesto"/>
      </w:pPr>
    </w:p>
    <w:p w14:paraId="3AA775D0" w14:textId="4BF76DF5" w:rsidR="005B7E93" w:rsidRPr="00170109" w:rsidRDefault="005B7E93" w:rsidP="00170109">
      <w:pPr>
        <w:pStyle w:val="Puesto"/>
      </w:pPr>
      <w:r w:rsidRPr="00170109">
        <w:t>…</w:t>
      </w:r>
    </w:p>
    <w:p w14:paraId="599E60A2" w14:textId="77777777" w:rsidR="005B7E93" w:rsidRPr="00170109" w:rsidRDefault="005B7E93" w:rsidP="00170109">
      <w:pPr>
        <w:pStyle w:val="Puesto"/>
      </w:pPr>
    </w:p>
    <w:p w14:paraId="05AFEBFB" w14:textId="7EAD4E36" w:rsidR="00D84800" w:rsidRPr="00170109" w:rsidRDefault="00D84800" w:rsidP="00170109">
      <w:pPr>
        <w:pStyle w:val="Puesto"/>
        <w:rPr>
          <w:b/>
          <w:bCs/>
          <w:szCs w:val="22"/>
          <w:u w:val="single"/>
        </w:rPr>
      </w:pPr>
      <w:r w:rsidRPr="00170109">
        <w:t xml:space="preserve">También es pertinente que, en la </w:t>
      </w:r>
      <w:r w:rsidRPr="00170109">
        <w:rPr>
          <w:b/>
          <w:bCs/>
          <w:u w:val="single"/>
        </w:rPr>
        <w:t>Secretaría de Desarrollo Urbano e Infraestructura</w:t>
      </w:r>
      <w:r w:rsidRPr="00170109">
        <w:t xml:space="preserve">, </w:t>
      </w:r>
      <w:r w:rsidRPr="00170109">
        <w:rPr>
          <w:b/>
          <w:bCs/>
          <w:u w:val="single"/>
        </w:rPr>
        <w:t>contemple un enfoque integral del territorio, conservando las funciones de obra pública</w:t>
      </w:r>
      <w:r w:rsidRPr="00170109">
        <w:t xml:space="preserve">, </w:t>
      </w:r>
      <w:r w:rsidRPr="00170109">
        <w:rPr>
          <w:b/>
          <w:bCs/>
          <w:u w:val="single"/>
        </w:rPr>
        <w:t>con la excepción de</w:t>
      </w:r>
      <w:r w:rsidRPr="00170109">
        <w:t xml:space="preserve"> los casos de infraestructura educativa que llevará a cabo la Secretaría de Educación, Ciencia, Tecnología e Innovación, </w:t>
      </w:r>
      <w:r w:rsidRPr="00170109">
        <w:rPr>
          <w:b/>
          <w:bCs/>
          <w:u w:val="single"/>
        </w:rPr>
        <w:t>así como la Secretaría del Agua, en relación con la infraestructura hídrica.</w:t>
      </w:r>
    </w:p>
    <w:p w14:paraId="2213CABF" w14:textId="77777777" w:rsidR="00D84800" w:rsidRPr="00170109" w:rsidRDefault="00D84800" w:rsidP="00170109">
      <w:pPr>
        <w:spacing w:before="120"/>
        <w:rPr>
          <w:szCs w:val="22"/>
        </w:rPr>
      </w:pPr>
    </w:p>
    <w:p w14:paraId="1D9C9789" w14:textId="24E1729C" w:rsidR="009E380A" w:rsidRPr="00170109" w:rsidRDefault="00D84800" w:rsidP="00170109">
      <w:pPr>
        <w:spacing w:before="120"/>
        <w:rPr>
          <w:szCs w:val="22"/>
        </w:rPr>
      </w:pPr>
      <w:r w:rsidRPr="00170109">
        <w:rPr>
          <w:szCs w:val="22"/>
        </w:rPr>
        <w:lastRenderedPageBreak/>
        <w:t xml:space="preserve">Así, en </w:t>
      </w:r>
      <w:r w:rsidR="003B475A" w:rsidRPr="00170109">
        <w:rPr>
          <w:szCs w:val="22"/>
        </w:rPr>
        <w:t xml:space="preserve">esta nueva Ley </w:t>
      </w:r>
      <w:r w:rsidRPr="00170109">
        <w:rPr>
          <w:szCs w:val="22"/>
        </w:rPr>
        <w:t xml:space="preserve">Orgánica </w:t>
      </w:r>
      <w:r w:rsidR="003B475A" w:rsidRPr="00170109">
        <w:rPr>
          <w:szCs w:val="22"/>
        </w:rPr>
        <w:t xml:space="preserve">la </w:t>
      </w:r>
      <w:r w:rsidRPr="00170109">
        <w:rPr>
          <w:szCs w:val="22"/>
        </w:rPr>
        <w:t xml:space="preserve">entonces </w:t>
      </w:r>
      <w:r w:rsidR="003B475A" w:rsidRPr="00170109">
        <w:rPr>
          <w:b/>
          <w:bCs/>
          <w:szCs w:val="22"/>
        </w:rPr>
        <w:t>Secretaría de Desarrollo Urbano y Obra Pública</w:t>
      </w:r>
      <w:r w:rsidR="003B475A" w:rsidRPr="00170109">
        <w:rPr>
          <w:szCs w:val="22"/>
        </w:rPr>
        <w:t xml:space="preserve"> se convirtió en la </w:t>
      </w:r>
      <w:r w:rsidR="003B475A" w:rsidRPr="00170109">
        <w:rPr>
          <w:b/>
          <w:bCs/>
          <w:i/>
          <w:iCs/>
          <w:szCs w:val="22"/>
        </w:rPr>
        <w:t>Secretaría de Desarrollo Urbano e Infraestructura</w:t>
      </w:r>
      <w:r w:rsidR="003B475A" w:rsidRPr="00170109">
        <w:rPr>
          <w:szCs w:val="22"/>
        </w:rPr>
        <w:t>, la cual es la encargada del ordenamiento territorial de los asentamientos humanos, de regular el desarrollo urbano de los centros de población y la vivienda, y de coordinar y evaluar, en el ámbito del territorio estatal, las acciones y programas orientados al desarrollo armónico y sostenible de las zonas metropolitanas, así como de ejecutar obras públicas a su cargo, y de promover y ejecutar las acciones para el desarrollo de infraestructura en la Entidad.</w:t>
      </w:r>
      <w:r w:rsidRPr="00170109">
        <w:rPr>
          <w:szCs w:val="22"/>
        </w:rPr>
        <w:t xml:space="preserve"> De igual manera se previó la creación de la Secretaría del Agua, como </w:t>
      </w:r>
      <w:r w:rsidR="005B7E93" w:rsidRPr="00170109">
        <w:t>la dependencia encargada de planear, formular, conducir, coordinar, ejecutar, supervisar y evaluar las políticas, programas y acciones relacionadas con los recursos hídricos del Estado, así como los servicios y obras que se requieran para su explotación, uso, aprovechamiento, administración, control y suministro, al igual que su tratamiento, reúso y disposición final en el Estado</w:t>
      </w:r>
      <w:r w:rsidR="009E380A" w:rsidRPr="00170109">
        <w:t>.</w:t>
      </w:r>
    </w:p>
    <w:p w14:paraId="4823B246" w14:textId="77777777" w:rsidR="006D3B40" w:rsidRPr="00170109" w:rsidRDefault="006D3B40" w:rsidP="00170109">
      <w:pPr>
        <w:rPr>
          <w:szCs w:val="22"/>
        </w:rPr>
      </w:pPr>
    </w:p>
    <w:p w14:paraId="64C18CCD" w14:textId="77777777" w:rsidR="00CC6F39" w:rsidRPr="00170109" w:rsidRDefault="005B7E93" w:rsidP="00170109">
      <w:pPr>
        <w:ind w:right="-28"/>
        <w:rPr>
          <w:szCs w:val="22"/>
        </w:rPr>
      </w:pPr>
      <w:r w:rsidRPr="00170109">
        <w:rPr>
          <w:szCs w:val="22"/>
        </w:rPr>
        <w:t xml:space="preserve">Conforme a lo expuesto, se advierte que a la hoy Secretaría de Desarrollo Urbano e Infraestructura, así como a la Secretaría del Agua, con la expedición de la nueva Ley Orgánica de la Administración Pública del Estado de México, le fueron transferidas atribuciones, que conforme a la Ley Orgánica abrogada eran del ámbito de competencia de la entonces </w:t>
      </w:r>
      <w:r w:rsidR="00CC6F39" w:rsidRPr="00170109">
        <w:rPr>
          <w:szCs w:val="22"/>
        </w:rPr>
        <w:t>Secretaría de Obra y Desarrollo Urbano.</w:t>
      </w:r>
    </w:p>
    <w:p w14:paraId="68FF614C" w14:textId="77777777" w:rsidR="00CC6F39" w:rsidRPr="00170109" w:rsidRDefault="00CC6F39" w:rsidP="00170109">
      <w:pPr>
        <w:ind w:right="-28"/>
        <w:rPr>
          <w:szCs w:val="22"/>
        </w:rPr>
      </w:pPr>
    </w:p>
    <w:p w14:paraId="22E8FF45" w14:textId="2029F401" w:rsidR="00CC6F39" w:rsidRPr="00170109" w:rsidRDefault="00CC6F39" w:rsidP="00170109">
      <w:pPr>
        <w:ind w:right="-28"/>
      </w:pPr>
      <w:r w:rsidRPr="00170109">
        <w:rPr>
          <w:szCs w:val="22"/>
        </w:rPr>
        <w:t xml:space="preserve">En el mismo tenor, resulta relevante referir que, conforme al Artículo Séptimo Transitorio de la Nueva Ley Orgánica de la Administración Pública, que cuando en dicha </w:t>
      </w:r>
      <w:r w:rsidRPr="00170109">
        <w:t>Ley se dé denominación nueva o distinta a alguna dependencia cuyas funciones estén establecidas por la Ley anterior y otras leyes especiales, dichas atribuciones se entenderán concedidas a la dependencia que determine esta Ley.</w:t>
      </w:r>
    </w:p>
    <w:p w14:paraId="04828765" w14:textId="0FC09AA8" w:rsidR="00D93411" w:rsidRPr="00170109" w:rsidRDefault="00D93411" w:rsidP="00170109">
      <w:pPr>
        <w:ind w:right="-28"/>
      </w:pPr>
    </w:p>
    <w:p w14:paraId="4B6D4898" w14:textId="4C42770A" w:rsidR="00D93411" w:rsidRPr="00170109" w:rsidRDefault="00D93411" w:rsidP="00170109">
      <w:pPr>
        <w:ind w:right="-28"/>
        <w:rPr>
          <w:noProof/>
        </w:rPr>
      </w:pPr>
      <w:r w:rsidRPr="00170109">
        <w:rPr>
          <w:noProof/>
        </w:rPr>
        <w:lastRenderedPageBreak/>
        <w:t xml:space="preserve">Ahora bien en lo que corresponde a las actas de entrega recepción es conveniente referir lo dispuesto por el </w:t>
      </w:r>
      <w:r w:rsidR="0010290C" w:rsidRPr="00170109">
        <w:rPr>
          <w:i/>
          <w:iCs/>
          <w:noProof/>
        </w:rPr>
        <w:t>Reglamento para los Procesos de Entrega y Recepción y de Rendición de Cuentas de la Administración Pública del Estado de México,</w:t>
      </w:r>
      <w:r w:rsidR="002367E7" w:rsidRPr="00170109">
        <w:rPr>
          <w:rStyle w:val="Refdenotaalpie"/>
          <w:i/>
          <w:iCs/>
          <w:noProof/>
        </w:rPr>
        <w:footnoteReference w:id="1"/>
      </w:r>
      <w:r w:rsidRPr="00170109">
        <w:rPr>
          <w:i/>
          <w:iCs/>
          <w:noProof/>
        </w:rPr>
        <w:t xml:space="preserve"> </w:t>
      </w:r>
      <w:r w:rsidRPr="00170109">
        <w:rPr>
          <w:noProof/>
        </w:rPr>
        <w:t>que establece lo siguiente:</w:t>
      </w:r>
    </w:p>
    <w:p w14:paraId="7F1E0143" w14:textId="3D236213" w:rsidR="00D93411" w:rsidRPr="00170109" w:rsidRDefault="00D93411" w:rsidP="00170109">
      <w:pPr>
        <w:ind w:right="-28"/>
        <w:rPr>
          <w:noProof/>
        </w:rPr>
      </w:pPr>
    </w:p>
    <w:p w14:paraId="117651B1" w14:textId="72DDA829" w:rsidR="00D93411" w:rsidRPr="00170109" w:rsidRDefault="00D93411" w:rsidP="00170109">
      <w:pPr>
        <w:pStyle w:val="Puesto"/>
      </w:pPr>
      <w:r w:rsidRPr="00170109">
        <w:rPr>
          <w:b/>
          <w:bCs/>
        </w:rPr>
        <w:t>Artículo 1</w:t>
      </w:r>
      <w:r w:rsidRPr="00170109">
        <w:t>. El presente Reglamento tiene por objeto regular los procesos de Entrega y Recepción de recursos, programas, proyectos, acciones, asuntos, compromisos e información a cargo de las personas servidoras públicas adscritas a las Unidades Administrativas de las Dependencias y Organismos Auxiliares, así como de la rendición de cuentas institucionales por el término del periodo constitucional de la gestión de gobierno de la persona titular del Poder Ejecutivo del Estado de México.</w:t>
      </w:r>
    </w:p>
    <w:p w14:paraId="3C89156C" w14:textId="720792B1" w:rsidR="00D93411" w:rsidRPr="00170109" w:rsidRDefault="00D93411" w:rsidP="00170109">
      <w:pPr>
        <w:pStyle w:val="Puesto"/>
      </w:pPr>
    </w:p>
    <w:p w14:paraId="65C3DEB3" w14:textId="77777777" w:rsidR="00D93411" w:rsidRPr="00170109" w:rsidRDefault="00D93411" w:rsidP="00170109">
      <w:pPr>
        <w:pStyle w:val="Puesto"/>
      </w:pPr>
      <w:r w:rsidRPr="00170109">
        <w:rPr>
          <w:b/>
          <w:bCs/>
        </w:rPr>
        <w:t>Artículo 3.</w:t>
      </w:r>
      <w:r w:rsidRPr="00170109">
        <w:t xml:space="preserve"> Para efectos del presente Reglamento, se entiende por: </w:t>
      </w:r>
    </w:p>
    <w:p w14:paraId="2E6A8485" w14:textId="77777777" w:rsidR="00D93411" w:rsidRPr="00170109" w:rsidRDefault="00D93411" w:rsidP="00170109">
      <w:pPr>
        <w:pStyle w:val="Puesto"/>
      </w:pPr>
    </w:p>
    <w:p w14:paraId="279394ED" w14:textId="4F05D934" w:rsidR="00D93411" w:rsidRPr="00170109" w:rsidRDefault="00D93411" w:rsidP="00170109">
      <w:pPr>
        <w:pStyle w:val="Puesto"/>
      </w:pPr>
      <w:r w:rsidRPr="00170109">
        <w:t xml:space="preserve">I. </w:t>
      </w:r>
      <w:r w:rsidRPr="00170109">
        <w:rPr>
          <w:b/>
          <w:bCs/>
        </w:rPr>
        <w:t>Acta Administrativa:</w:t>
      </w:r>
      <w:r w:rsidRPr="00170109">
        <w:t xml:space="preserve"> Al documento físico o electrónico que debe presentar la persona servidora pública que concluye un empleo, cargo o comisión, en el que consta la Entrega y Recepción de los Recursos asignados, los asuntos a su cargo y el estado que guardan; así como la información documental que tenga a su disposición, junto con sus anexos respectivos, a quien legalmente deba sustituirle o a quien la persona que sea su superior jerárquico designe como encargada o encargado, o responsable; con la intervención de la persona representante del Órgano Interno de Control y de los testigos de asistencia, para su validación;</w:t>
      </w:r>
    </w:p>
    <w:p w14:paraId="0108323A" w14:textId="181D5F0C" w:rsidR="00D93411" w:rsidRPr="00170109" w:rsidRDefault="00D93411" w:rsidP="00170109">
      <w:pPr>
        <w:pStyle w:val="Puesto"/>
      </w:pPr>
      <w:r w:rsidRPr="00170109">
        <w:t>…</w:t>
      </w:r>
    </w:p>
    <w:p w14:paraId="09EFC92F" w14:textId="77777777" w:rsidR="00D93411" w:rsidRPr="00170109" w:rsidRDefault="00D93411" w:rsidP="00170109">
      <w:pPr>
        <w:pStyle w:val="Puesto"/>
      </w:pPr>
    </w:p>
    <w:p w14:paraId="07A968BB" w14:textId="4378BCCC" w:rsidR="00D93411" w:rsidRPr="00170109" w:rsidRDefault="00D93411" w:rsidP="00170109">
      <w:pPr>
        <w:pStyle w:val="Puesto"/>
      </w:pPr>
      <w:r w:rsidRPr="00170109">
        <w:t xml:space="preserve">VII. </w:t>
      </w:r>
      <w:r w:rsidRPr="00170109">
        <w:rPr>
          <w:b/>
          <w:bCs/>
        </w:rPr>
        <w:t>Dependencias</w:t>
      </w:r>
      <w:r w:rsidRPr="00170109">
        <w:t>: A las Dependencias del Poder Ejecutivo del Estado de México previstas en la Ley Orgánica de la Administración Pública del Estado de México, y sus órganos desconcentrados;</w:t>
      </w:r>
    </w:p>
    <w:p w14:paraId="4B0CC1EF" w14:textId="77777777" w:rsidR="00D93411" w:rsidRPr="00170109" w:rsidRDefault="00D93411" w:rsidP="00170109">
      <w:pPr>
        <w:pStyle w:val="Puesto"/>
      </w:pPr>
    </w:p>
    <w:p w14:paraId="14D4050C" w14:textId="2E77F55D" w:rsidR="00D93411" w:rsidRPr="00170109" w:rsidRDefault="00D93411" w:rsidP="00170109">
      <w:pPr>
        <w:pStyle w:val="Puesto"/>
      </w:pPr>
      <w:r w:rsidRPr="00170109">
        <w:t>…</w:t>
      </w:r>
    </w:p>
    <w:p w14:paraId="37367365" w14:textId="77777777" w:rsidR="00D93411" w:rsidRPr="00170109" w:rsidRDefault="00D93411" w:rsidP="00170109">
      <w:pPr>
        <w:pStyle w:val="Puesto"/>
      </w:pPr>
      <w:r w:rsidRPr="00170109">
        <w:t xml:space="preserve">IX. </w:t>
      </w:r>
      <w:r w:rsidRPr="00170109">
        <w:rPr>
          <w:b/>
          <w:bCs/>
        </w:rPr>
        <w:t>Entrega y Recepción</w:t>
      </w:r>
      <w:r w:rsidRPr="00170109">
        <w:t xml:space="preserve">: Al proceso administrativo por el que una persona servidora pública que concluye su empleo, cargo o comisión hace entrega y rinde cuentas de los Recursos asignados; de los programas, proyectos, asuntos y acciones a su cargo y del estado que guardan; así como de la información documental que tenga a su disposición de manera </w:t>
      </w:r>
      <w:r w:rsidRPr="00170109">
        <w:lastRenderedPageBreak/>
        <w:t xml:space="preserve">directa, a quien reciba legalmente para sustituirle o a la persona que su superior jerárquico designe como encargada o encargado, o responsable para tales efectos; </w:t>
      </w:r>
    </w:p>
    <w:p w14:paraId="38E46EB5" w14:textId="77777777" w:rsidR="00D93411" w:rsidRPr="00170109" w:rsidRDefault="00D93411" w:rsidP="00170109">
      <w:pPr>
        <w:pStyle w:val="Puesto"/>
      </w:pPr>
    </w:p>
    <w:p w14:paraId="660890D4" w14:textId="086C2C19" w:rsidR="00D93411" w:rsidRPr="00170109" w:rsidRDefault="00D93411" w:rsidP="00170109">
      <w:pPr>
        <w:pStyle w:val="Puesto"/>
        <w:rPr>
          <w:noProof/>
        </w:rPr>
      </w:pPr>
      <w:r w:rsidRPr="00170109">
        <w:t xml:space="preserve">X. </w:t>
      </w:r>
      <w:r w:rsidRPr="00170109">
        <w:rPr>
          <w:b/>
          <w:bCs/>
        </w:rPr>
        <w:t>Entrega y Recepción Institucional</w:t>
      </w:r>
      <w:r w:rsidRPr="00170109">
        <w:t>: Al proceso administrativo por el que las personas titulares de las Dependencias y Organismos Auxiliares salientes entregan un Informe de Rendición de Cuentas y, en su caso, Libros Blancos y Memorias Documentales sobre los resultados y situación que guardan los programas, proyectos, acciones, compromisos, asuntos, y Recursos bajo su responsabilidad, a las personas servidoras públicas titulares entrantes de las Dependencias y Organismos Auxiliares, por el término del periodo constitucional de la gestión de la persona titular del Poder Ejecutivo del Estado de México;</w:t>
      </w:r>
    </w:p>
    <w:p w14:paraId="4EE84C83" w14:textId="77777777" w:rsidR="00D93411" w:rsidRPr="00170109" w:rsidRDefault="00D93411" w:rsidP="00170109">
      <w:pPr>
        <w:pStyle w:val="Puesto"/>
        <w:rPr>
          <w:b/>
          <w:bCs/>
        </w:rPr>
      </w:pPr>
    </w:p>
    <w:p w14:paraId="4E3852CB" w14:textId="185D508F" w:rsidR="00D93411" w:rsidRPr="00170109" w:rsidRDefault="00D93411" w:rsidP="00170109">
      <w:pPr>
        <w:pStyle w:val="Puesto"/>
      </w:pPr>
      <w:r w:rsidRPr="00170109">
        <w:rPr>
          <w:b/>
          <w:bCs/>
        </w:rPr>
        <w:t>Artículo 5</w:t>
      </w:r>
      <w:r w:rsidRPr="00170109">
        <w:t xml:space="preserve">. La Entrega y Recepción se realizará cuando una persona servidora pública se separe de su empleo, cargo o comisión, por cualquier motivo, incluyendo licencias, suplencias, encargos o el término del periodo constitucional de la gestión de gobierno de la persona titular del Poder Ejecutivo del Estado de México. </w:t>
      </w:r>
    </w:p>
    <w:p w14:paraId="30E9E75B" w14:textId="77777777" w:rsidR="00D93411" w:rsidRPr="00170109" w:rsidRDefault="00D93411" w:rsidP="00170109">
      <w:pPr>
        <w:pStyle w:val="Puesto"/>
      </w:pPr>
    </w:p>
    <w:p w14:paraId="6AF9CFBB" w14:textId="07E9D701" w:rsidR="00D93411" w:rsidRPr="00170109" w:rsidRDefault="00D93411" w:rsidP="00170109">
      <w:pPr>
        <w:pStyle w:val="Puesto"/>
      </w:pPr>
      <w:r w:rsidRPr="00170109">
        <w:t>La Entrega y Recepción también deberá de llevarse a cabo en los casos de reestructuraciones organizacionales; descentralización o desconcentración de Unidades Administrativas; extinción, liquidación, disolución o fusión de Organismos Auxiliares; creación o supresión de Unidades Administrativas, Dependencias y Organismos Auxiliares, que impliquen la transferencia total o parcial de Recursos, programas, proyectos, asuntos, archivos, competencias o funciones, independientemente de que haya continuidad del personal del servicio público.</w:t>
      </w:r>
    </w:p>
    <w:p w14:paraId="0171DAF7" w14:textId="77777777" w:rsidR="00D93411" w:rsidRPr="00170109" w:rsidRDefault="00D93411" w:rsidP="00170109">
      <w:pPr>
        <w:pStyle w:val="Puesto"/>
        <w:rPr>
          <w:b/>
          <w:bCs/>
        </w:rPr>
      </w:pPr>
    </w:p>
    <w:p w14:paraId="3F4917C0" w14:textId="51ECB894" w:rsidR="00D93411" w:rsidRPr="00170109" w:rsidRDefault="00D93411" w:rsidP="00170109">
      <w:pPr>
        <w:pStyle w:val="Puesto"/>
      </w:pPr>
      <w:r w:rsidRPr="00170109">
        <w:rPr>
          <w:b/>
          <w:bCs/>
        </w:rPr>
        <w:t>Artículo 7</w:t>
      </w:r>
      <w:r w:rsidRPr="00170109">
        <w:t xml:space="preserve">. </w:t>
      </w:r>
      <w:r w:rsidRPr="00170109">
        <w:rPr>
          <w:b/>
          <w:bCs/>
          <w:u w:val="single"/>
        </w:rPr>
        <w:t>La Entrega y Recepción se efectuará en un plazo máximo de cinco días hábiles</w:t>
      </w:r>
      <w:r w:rsidRPr="00170109">
        <w:t xml:space="preserve">, contados a partir de que surta efectos la separación del empleo, cargo o comisión y se dejará constancia mediante el Acta Administrativa correspondiente. </w:t>
      </w:r>
    </w:p>
    <w:p w14:paraId="70625BE4" w14:textId="77777777" w:rsidR="00D93411" w:rsidRPr="00170109" w:rsidRDefault="00D93411" w:rsidP="00170109">
      <w:pPr>
        <w:pStyle w:val="Puesto"/>
      </w:pPr>
    </w:p>
    <w:p w14:paraId="13EFB2C0" w14:textId="40CC1585" w:rsidR="00D93411" w:rsidRPr="00170109" w:rsidRDefault="00D93411" w:rsidP="00170109">
      <w:pPr>
        <w:pStyle w:val="Puesto"/>
      </w:pPr>
      <w:r w:rsidRPr="00170109">
        <w:rPr>
          <w:b/>
          <w:bCs/>
          <w:u w:val="single"/>
        </w:rPr>
        <w:t>En el caso de los procesos de Entrega y Recepción derivados de reestructuraciones organizacionales; descentralización o desconcentración de Unidades Administrativas; extinción, liquidación, disolución o fusión de Organismos Auxiliares; creación o supresión de Unidades Administrativas, Dependencias,</w:t>
      </w:r>
      <w:r w:rsidRPr="00170109">
        <w:t xml:space="preserve"> Órganos Administrativos Desconcentrados y Organismos Auxiliares; los Órganos Internos de Control y las Áreas de Administración </w:t>
      </w:r>
      <w:r w:rsidRPr="00170109">
        <w:rPr>
          <w:b/>
          <w:bCs/>
          <w:u w:val="single"/>
        </w:rPr>
        <w:t>fijarán la fecha para su ejecución, la cual no será mayor a cinco días hábiles posteriores a la entrada en vigor del instrumento jurídico que contenga la modificación referida, mismo que podrá ser ampliado por el Órgano Interno de Control o la Contraloría, en caso de que así lo considere</w:t>
      </w:r>
      <w:r w:rsidRPr="00170109">
        <w:t>.</w:t>
      </w:r>
    </w:p>
    <w:p w14:paraId="39ABD2BE" w14:textId="77777777" w:rsidR="00D93411" w:rsidRPr="00170109" w:rsidRDefault="00D93411" w:rsidP="00170109">
      <w:pPr>
        <w:ind w:right="-28"/>
      </w:pPr>
    </w:p>
    <w:p w14:paraId="67B03C23" w14:textId="09662FEC" w:rsidR="00D93411" w:rsidRPr="00170109" w:rsidRDefault="00D93411" w:rsidP="00170109">
      <w:pPr>
        <w:ind w:right="-28"/>
      </w:pPr>
      <w:r w:rsidRPr="00170109">
        <w:t>De lo transcrito, se advierte que los procesos de entrega recepción, también están considerados derivados de creación o supresión de Unidades Administrativas, Dependencias, Órganos Administrativos Desconcentrados y Organismos Auxiliares; así como que los Órganos Internos de Control y las Áreas de Administración fijarán la fecha para su ejecución, la cual no será mayor a cinco días hábiles posteriores a la entrada en vigor del instrumento jurídico que contenga la modificación referida.</w:t>
      </w:r>
    </w:p>
    <w:p w14:paraId="30492CE7" w14:textId="77777777" w:rsidR="00D93411" w:rsidRPr="00170109" w:rsidRDefault="00D93411" w:rsidP="00170109">
      <w:pPr>
        <w:ind w:right="-28"/>
      </w:pPr>
    </w:p>
    <w:p w14:paraId="52A4597E" w14:textId="34E83727" w:rsidR="00322B7E" w:rsidRPr="00170109" w:rsidRDefault="00322B7E" w:rsidP="00170109">
      <w:pPr>
        <w:ind w:right="-28"/>
      </w:pPr>
      <w:r w:rsidRPr="00170109">
        <w:t xml:space="preserve">Por consiguiente, este Órgano Autónomo bajo los principios de certeza, máxima publicidad, certeza y suplencia de la queja concluye, que la persona solicitante desea tener acceso a las actas de entrega recepción que la entonces Secretaría de Desarrollo Urbano y Obra transfirió tanto a la Secretaría de Desarrollo Urbano e Infraestructura, así como a la Secretaría del Agua, </w:t>
      </w:r>
      <w:r w:rsidR="00CD68B3" w:rsidRPr="00170109">
        <w:t>correspondientes a todas las obras públicas, proyectos de infraestructura y desarrollo urbano; y a todos los proyectos, programas y obras relacionadas con el manejo, distribución y calidad del agua, respectivamente.</w:t>
      </w:r>
    </w:p>
    <w:p w14:paraId="22E30A9B" w14:textId="77777777" w:rsidR="00CC6F39" w:rsidRPr="00170109" w:rsidRDefault="00CC6F39" w:rsidP="00170109">
      <w:pPr>
        <w:ind w:right="-28"/>
        <w:rPr>
          <w:szCs w:val="22"/>
        </w:rPr>
      </w:pPr>
    </w:p>
    <w:p w14:paraId="77F90204" w14:textId="5539E61D" w:rsidR="00C76E79" w:rsidRPr="00170109" w:rsidRDefault="00C76E79" w:rsidP="00170109">
      <w:pPr>
        <w:ind w:right="-28"/>
        <w:rPr>
          <w:rFonts w:cs="Tahoma"/>
          <w:szCs w:val="22"/>
        </w:rPr>
      </w:pPr>
      <w:r w:rsidRPr="00170109">
        <w:rPr>
          <w:szCs w:val="22"/>
        </w:rPr>
        <w:t xml:space="preserve">Puntualizado lo anterior, </w:t>
      </w:r>
      <w:r w:rsidR="00155428" w:rsidRPr="00170109">
        <w:rPr>
          <w:szCs w:val="22"/>
        </w:rPr>
        <w:t xml:space="preserve">por otro lado, </w:t>
      </w:r>
      <w:r w:rsidRPr="00170109">
        <w:rPr>
          <w:rFonts w:eastAsia="Palatino Linotype"/>
        </w:rPr>
        <w:t xml:space="preserve">es necesario señalar que </w:t>
      </w:r>
      <w:r w:rsidRPr="00170109">
        <w:t xml:space="preserve">de una revisión al expediente que nos ocupa dentro del Sistema de Acceso a la Información Mexiquense, se advierte </w:t>
      </w:r>
      <w:r w:rsidR="00FA2C3D" w:rsidRPr="00170109">
        <w:t xml:space="preserve">en </w:t>
      </w:r>
      <w:r w:rsidRPr="00170109">
        <w:t xml:space="preserve">el apartado de requerimientos; que el Titular de la Unidad de Transparencia </w:t>
      </w:r>
      <w:r w:rsidR="00FA2C3D" w:rsidRPr="00170109">
        <w:t xml:space="preserve">únicamente </w:t>
      </w:r>
      <w:r w:rsidRPr="00170109">
        <w:t xml:space="preserve">turnó la solicitud </w:t>
      </w:r>
      <w:r w:rsidR="00FA2C3D" w:rsidRPr="00170109">
        <w:t>materia del medio de impugnación en estudio a la Coordinación Administrativa.</w:t>
      </w:r>
      <w:r w:rsidRPr="00170109">
        <w:rPr>
          <w:rFonts w:cs="Tahoma"/>
          <w:szCs w:val="22"/>
        </w:rPr>
        <w:t xml:space="preserve"> </w:t>
      </w:r>
    </w:p>
    <w:p w14:paraId="7A87B5C3" w14:textId="379D3901" w:rsidR="00FA6FC1" w:rsidRPr="00170109" w:rsidRDefault="00FA6FC1" w:rsidP="00170109">
      <w:pPr>
        <w:ind w:right="-28"/>
        <w:rPr>
          <w:rFonts w:cs="Tahoma"/>
          <w:szCs w:val="22"/>
        </w:rPr>
      </w:pPr>
    </w:p>
    <w:p w14:paraId="17ED407E" w14:textId="5FC8415B" w:rsidR="00703A3B" w:rsidRPr="00170109" w:rsidRDefault="00703A3B" w:rsidP="00170109">
      <w:pPr>
        <w:ind w:right="-28"/>
      </w:pPr>
      <w:r w:rsidRPr="00170109">
        <w:rPr>
          <w:rFonts w:eastAsia="Palatino Linotype"/>
        </w:rPr>
        <w:t xml:space="preserve">Teniendo así, que, </w:t>
      </w:r>
      <w:r w:rsidRPr="00170109">
        <w:rPr>
          <w:b/>
          <w:bCs/>
        </w:rPr>
        <w:t>EL SUJETO OBLIGADO</w:t>
      </w:r>
      <w:r w:rsidRPr="00170109">
        <w:t xml:space="preserve"> no cumplió con el procedimiento de búsqueda exhaustiva y razonable, pues no gestionó la solicitud de información en las diversas unidades en donde pudiera obrar la citada información, la cual de manera enunciativa mas no limitativa, conforme al Reglamento Interior del </w:t>
      </w:r>
      <w:r w:rsidRPr="00170109">
        <w:rPr>
          <w:b/>
        </w:rPr>
        <w:t>SUJETO OBLIGADO</w:t>
      </w:r>
      <w:r w:rsidR="006363D2" w:rsidRPr="00170109">
        <w:rPr>
          <w:b/>
        </w:rPr>
        <w:t xml:space="preserve">, reglamento interior de la </w:t>
      </w:r>
      <w:r w:rsidR="006363D2" w:rsidRPr="00170109">
        <w:rPr>
          <w:b/>
        </w:rPr>
        <w:lastRenderedPageBreak/>
        <w:t xml:space="preserve">Secretaría de la Contraloría </w:t>
      </w:r>
      <w:r w:rsidRPr="00170109">
        <w:t xml:space="preserve">puede ser la </w:t>
      </w:r>
      <w:r w:rsidR="006363D2" w:rsidRPr="00170109">
        <w:rPr>
          <w:b/>
          <w:i/>
        </w:rPr>
        <w:t>el Órgano Interno de Control</w:t>
      </w:r>
      <w:r w:rsidRPr="00170109">
        <w:t xml:space="preserve">; o cualquier área donde de acuerdo a sus facultades se cuente con la información solicitada, tal como puede advertirse en las facultades de las áreas citadas, </w:t>
      </w:r>
      <w:r w:rsidR="006363D2" w:rsidRPr="00170109">
        <w:t xml:space="preserve">así como en los ordenamientos </w:t>
      </w:r>
      <w:r w:rsidRPr="00170109">
        <w:t xml:space="preserve">mismas que se </w:t>
      </w:r>
      <w:r w:rsidR="006363D2" w:rsidRPr="00170109">
        <w:t xml:space="preserve">citan e </w:t>
      </w:r>
      <w:r w:rsidRPr="00170109">
        <w:t>insertan a continuación:</w:t>
      </w:r>
    </w:p>
    <w:p w14:paraId="53E3AFF2" w14:textId="60E1CAD4" w:rsidR="00703A3B" w:rsidRPr="00170109" w:rsidRDefault="00703A3B" w:rsidP="00170109">
      <w:pPr>
        <w:ind w:right="-312"/>
      </w:pPr>
    </w:p>
    <w:p w14:paraId="0EAEEE84" w14:textId="42649915" w:rsidR="00703A3B" w:rsidRPr="00170109" w:rsidRDefault="00703A3B" w:rsidP="00170109">
      <w:pPr>
        <w:pStyle w:val="Puesto"/>
        <w:jc w:val="center"/>
        <w:rPr>
          <w:b/>
          <w:bCs/>
        </w:rPr>
      </w:pPr>
      <w:r w:rsidRPr="00170109">
        <w:t>“</w:t>
      </w:r>
      <w:r w:rsidRPr="00170109">
        <w:rPr>
          <w:b/>
          <w:bCs/>
        </w:rPr>
        <w:t>Reglamento Interior</w:t>
      </w:r>
    </w:p>
    <w:p w14:paraId="0760FB23" w14:textId="64AE52E4" w:rsidR="00703A3B" w:rsidRPr="00170109" w:rsidRDefault="00703A3B" w:rsidP="00170109">
      <w:pPr>
        <w:pStyle w:val="Puesto"/>
      </w:pPr>
      <w:r w:rsidRPr="00170109">
        <w:rPr>
          <w:b/>
        </w:rPr>
        <w:t>Artículo 20.</w:t>
      </w:r>
      <w:r w:rsidRPr="00170109">
        <w:t xml:space="preserve"> Al frente de la Coordinación Administrativa habrá una persona titular, a quien le corresponde el ejercicio de las atribuciones siguientes:</w:t>
      </w:r>
    </w:p>
    <w:p w14:paraId="2E8F2CA8" w14:textId="77777777" w:rsidR="00703A3B" w:rsidRPr="00170109" w:rsidRDefault="00703A3B" w:rsidP="00170109">
      <w:pPr>
        <w:pStyle w:val="Puesto"/>
        <w:rPr>
          <w:rFonts w:cs="Arial"/>
          <w:sz w:val="24"/>
          <w:szCs w:val="24"/>
        </w:rPr>
      </w:pPr>
      <w:r w:rsidRPr="00170109">
        <w:t>…</w:t>
      </w:r>
    </w:p>
    <w:p w14:paraId="65D9B9FC" w14:textId="77777777" w:rsidR="003307A4" w:rsidRPr="00170109" w:rsidRDefault="00703A3B" w:rsidP="00170109">
      <w:pPr>
        <w:pStyle w:val="Puesto"/>
      </w:pPr>
      <w:r w:rsidRPr="00170109">
        <w:t xml:space="preserve">XI. Convocar y organizar los actos de entrega y recepción de las unidades administrativas, así como de las personas servidoras públicas </w:t>
      </w:r>
      <w:r w:rsidRPr="00170109">
        <w:rPr>
          <w:b/>
          <w:bCs/>
          <w:u w:val="single"/>
        </w:rPr>
        <w:t xml:space="preserve">con la intervención del Órgano Interno de Control </w:t>
      </w:r>
      <w:r w:rsidRPr="00170109">
        <w:t>con apego a la normatividad aplicable;</w:t>
      </w:r>
      <w:r w:rsidR="003307A4" w:rsidRPr="00170109">
        <w:t xml:space="preserve"> </w:t>
      </w:r>
    </w:p>
    <w:p w14:paraId="418C9580" w14:textId="77777777" w:rsidR="003307A4" w:rsidRPr="00170109" w:rsidRDefault="003307A4" w:rsidP="00170109">
      <w:pPr>
        <w:pStyle w:val="Puesto"/>
      </w:pPr>
    </w:p>
    <w:p w14:paraId="45B0F2B0" w14:textId="6CC0F53A" w:rsidR="00703A3B" w:rsidRPr="00170109" w:rsidRDefault="003307A4" w:rsidP="00170109">
      <w:pPr>
        <w:pStyle w:val="Puesto"/>
      </w:pPr>
      <w:r w:rsidRPr="00170109">
        <w:rPr>
          <w:b/>
          <w:bCs/>
        </w:rPr>
        <w:t>Artículo 21.</w:t>
      </w:r>
      <w:r w:rsidRPr="00170109">
        <w:t xml:space="preserve"> </w:t>
      </w:r>
      <w:r w:rsidRPr="00170109">
        <w:rPr>
          <w:b/>
          <w:bCs/>
          <w:u w:val="single"/>
        </w:rPr>
        <w:t>Está adscrito orgánica y presupuestalmente a la Secretaría, un órgano interno de control,</w:t>
      </w:r>
      <w:r w:rsidRPr="00170109">
        <w:t xml:space="preserve"> cuya persona titular depende funcionalmente de la Secretaría de la Contraloría, con las atribuciones que se establecen en el Reglamento Interior de ésta y los demás ordenamientos legales y administrativos aplicables.</w:t>
      </w:r>
    </w:p>
    <w:p w14:paraId="799EB996" w14:textId="77777777" w:rsidR="003307A4" w:rsidRPr="00170109" w:rsidRDefault="003307A4" w:rsidP="00170109"/>
    <w:p w14:paraId="53430FE2" w14:textId="77777777" w:rsidR="006827D0" w:rsidRPr="00170109" w:rsidRDefault="00703A3B" w:rsidP="00170109">
      <w:pPr>
        <w:pStyle w:val="Puesto"/>
      </w:pPr>
      <w:r w:rsidRPr="00170109">
        <w:t>…</w:t>
      </w:r>
    </w:p>
    <w:p w14:paraId="7FBF122E" w14:textId="77777777" w:rsidR="006827D0" w:rsidRPr="00170109" w:rsidRDefault="006827D0" w:rsidP="00170109">
      <w:pPr>
        <w:pStyle w:val="Puesto"/>
      </w:pPr>
    </w:p>
    <w:p w14:paraId="042455C8" w14:textId="77777777" w:rsidR="006827D0" w:rsidRPr="00170109" w:rsidRDefault="006827D0" w:rsidP="00170109">
      <w:pPr>
        <w:pStyle w:val="Puesto"/>
        <w:jc w:val="center"/>
        <w:rPr>
          <w:b/>
          <w:bCs/>
        </w:rPr>
      </w:pPr>
      <w:r w:rsidRPr="00170109">
        <w:rPr>
          <w:b/>
          <w:bCs/>
        </w:rPr>
        <w:t>Reglamento Interior de la Secretaría de la Contraloría</w:t>
      </w:r>
    </w:p>
    <w:p w14:paraId="4F78CAF8" w14:textId="4540527A" w:rsidR="006827D0" w:rsidRPr="00170109" w:rsidRDefault="006827D0" w:rsidP="00170109">
      <w:pPr>
        <w:pStyle w:val="Puesto"/>
      </w:pPr>
    </w:p>
    <w:p w14:paraId="7B298F02" w14:textId="77777777" w:rsidR="00BD0792" w:rsidRPr="00170109" w:rsidRDefault="00BD0792" w:rsidP="00170109">
      <w:pPr>
        <w:pStyle w:val="Puesto"/>
      </w:pPr>
      <w:r w:rsidRPr="00170109">
        <w:rPr>
          <w:b/>
          <w:bCs/>
        </w:rPr>
        <w:t>Artículo 43</w:t>
      </w:r>
      <w:r w:rsidRPr="00170109">
        <w:t xml:space="preserve">. Corresponde a los órganos internos de control de las dependencias y organismos auxiliares las atribuciones siguientes: </w:t>
      </w:r>
    </w:p>
    <w:p w14:paraId="1A88B4AD" w14:textId="43A3BA29" w:rsidR="00BD0792" w:rsidRPr="00170109" w:rsidRDefault="00BD0792" w:rsidP="00170109">
      <w:pPr>
        <w:pStyle w:val="Puesto"/>
      </w:pPr>
      <w:r w:rsidRPr="00170109">
        <w:t>…</w:t>
      </w:r>
    </w:p>
    <w:p w14:paraId="63DE491D" w14:textId="1A31A350" w:rsidR="00BD0792" w:rsidRPr="00170109" w:rsidRDefault="00BD0792" w:rsidP="00170109">
      <w:pPr>
        <w:pStyle w:val="Puesto"/>
      </w:pPr>
      <w:r w:rsidRPr="00170109">
        <w:t xml:space="preserve">XXIII. </w:t>
      </w:r>
      <w:r w:rsidRPr="00170109">
        <w:rPr>
          <w:b/>
          <w:bCs/>
          <w:u w:val="single"/>
        </w:rPr>
        <w:t>Representar a la Secretaría, cuando así se le designe, en los procesos de entrega y recepción de las unidades administrativas de la Dependencia u Organismo Auxiliar, verificando su apego a la normatividad correspondiente</w:t>
      </w:r>
      <w:r w:rsidRPr="00170109">
        <w:t>; …</w:t>
      </w:r>
    </w:p>
    <w:p w14:paraId="7D52FF5D" w14:textId="741B81AD" w:rsidR="00C447A3" w:rsidRPr="00170109" w:rsidRDefault="00C447A3" w:rsidP="00170109"/>
    <w:p w14:paraId="753931D9" w14:textId="77777777" w:rsidR="00C447A3" w:rsidRPr="00170109" w:rsidRDefault="00C447A3" w:rsidP="00170109">
      <w:pPr>
        <w:pStyle w:val="Puesto"/>
        <w:jc w:val="center"/>
        <w:rPr>
          <w:b/>
          <w:bCs/>
        </w:rPr>
      </w:pPr>
      <w:r w:rsidRPr="00170109">
        <w:rPr>
          <w:b/>
          <w:bCs/>
        </w:rPr>
        <w:t>Reglamento para los Procesos de Entrega y Recepción y de Rendición de Cuentas de la Administración Pública del Estado de México</w:t>
      </w:r>
    </w:p>
    <w:p w14:paraId="2E3A4393" w14:textId="77777777" w:rsidR="00C447A3" w:rsidRPr="00170109" w:rsidRDefault="00C447A3" w:rsidP="00170109">
      <w:pPr>
        <w:pStyle w:val="Puesto"/>
      </w:pPr>
    </w:p>
    <w:p w14:paraId="0C3F2E0E" w14:textId="77777777" w:rsidR="00C447A3" w:rsidRPr="00170109" w:rsidRDefault="00C447A3" w:rsidP="00170109">
      <w:pPr>
        <w:pStyle w:val="Puesto"/>
      </w:pPr>
      <w:r w:rsidRPr="00170109">
        <w:rPr>
          <w:b/>
          <w:bCs/>
        </w:rPr>
        <w:t>Artículo 8.</w:t>
      </w:r>
      <w:r w:rsidRPr="00170109">
        <w:t xml:space="preserve"> En la Entrega y Recepción de Unidades Administrativas con nivel jerárquico de dirección general o superior, la persona titular del Órgano Interno de Control o de la </w:t>
      </w:r>
      <w:r w:rsidRPr="00170109">
        <w:lastRenderedPageBreak/>
        <w:t xml:space="preserve">Contraloría nombrará obligatoriamente a la persona representante que intervendrá en el acto; en la Entrega y Recepción de Unidades Administrativas de menor jerarquía, el nombramiento será potestativo. </w:t>
      </w:r>
    </w:p>
    <w:p w14:paraId="6ED685C8" w14:textId="77777777" w:rsidR="00C447A3" w:rsidRPr="00170109" w:rsidRDefault="00C447A3" w:rsidP="00170109">
      <w:pPr>
        <w:pStyle w:val="Puesto"/>
      </w:pPr>
    </w:p>
    <w:p w14:paraId="36D73A6D" w14:textId="77777777" w:rsidR="00C447A3" w:rsidRPr="00170109" w:rsidRDefault="00C447A3" w:rsidP="00170109">
      <w:pPr>
        <w:pStyle w:val="Puesto"/>
      </w:pPr>
      <w:r w:rsidRPr="00170109">
        <w:rPr>
          <w:b/>
          <w:bCs/>
          <w:u w:val="single"/>
        </w:rPr>
        <w:t>La persona representante del Órgano Interno de Control o de la Contraloría participará en el acto de Entrega y Recepción, quien revisará el contenido y los anexos del Acta Administrativa, la cual firmará de manera autógrafa o electrónic</w:t>
      </w:r>
      <w:r w:rsidRPr="00170109">
        <w:t xml:space="preserve">a, con la presencia de dos personas que funjan como testigos de asistencia, sin que ello implique validación o responsabilidad. </w:t>
      </w:r>
    </w:p>
    <w:p w14:paraId="79E9294E" w14:textId="77777777" w:rsidR="00C447A3" w:rsidRPr="00170109" w:rsidRDefault="00C447A3" w:rsidP="00170109">
      <w:pPr>
        <w:pStyle w:val="Puesto"/>
      </w:pPr>
    </w:p>
    <w:p w14:paraId="6400D9F5" w14:textId="77777777" w:rsidR="00C447A3" w:rsidRPr="00170109" w:rsidRDefault="00C447A3" w:rsidP="00170109">
      <w:pPr>
        <w:pStyle w:val="Puesto"/>
        <w:rPr>
          <w:b/>
          <w:bCs/>
          <w:u w:val="single"/>
        </w:rPr>
      </w:pPr>
      <w:r w:rsidRPr="00170109">
        <w:rPr>
          <w:b/>
          <w:bCs/>
        </w:rPr>
        <w:t>En los actos de Entrega y Recepción en que no participe el representante del Órgano Interno de Control o de la Contraloría</w:t>
      </w:r>
      <w:r w:rsidRPr="00170109">
        <w:t xml:space="preserve">, la persona servidora pública que recibe remitirá a la persona titular del Órgano Interno de Control o de la Contraloría, </w:t>
      </w:r>
      <w:r w:rsidRPr="00170109">
        <w:rPr>
          <w:b/>
          <w:bCs/>
          <w:u w:val="single"/>
        </w:rPr>
        <w:t xml:space="preserve">dentro de los cinco días hábiles siguientes al acto, una copia documental o electrónica del Acta Administrativa y sus anexos. </w:t>
      </w:r>
    </w:p>
    <w:p w14:paraId="6536EC93" w14:textId="77777777" w:rsidR="00C447A3" w:rsidRPr="00170109" w:rsidRDefault="00C447A3" w:rsidP="00170109">
      <w:pPr>
        <w:pStyle w:val="Puesto"/>
      </w:pPr>
    </w:p>
    <w:p w14:paraId="7C2E217F" w14:textId="02595906" w:rsidR="00C447A3" w:rsidRPr="00170109" w:rsidRDefault="00C447A3" w:rsidP="00170109">
      <w:pPr>
        <w:pStyle w:val="Puesto"/>
        <w:jc w:val="center"/>
        <w:rPr>
          <w:b/>
          <w:bCs/>
        </w:rPr>
      </w:pPr>
      <w:r w:rsidRPr="00170109">
        <w:rPr>
          <w:b/>
          <w:bCs/>
        </w:rPr>
        <w:t>Manual de Procedimientos para el Proceso de Entrega y Recepción de las Unidades Administrativas de la Administración Pública del Gobierno del Estado de México</w:t>
      </w:r>
    </w:p>
    <w:p w14:paraId="6194DE14" w14:textId="77777777" w:rsidR="00C447A3" w:rsidRPr="00170109" w:rsidRDefault="00C447A3" w:rsidP="00170109">
      <w:pPr>
        <w:pStyle w:val="Puesto"/>
      </w:pPr>
    </w:p>
    <w:p w14:paraId="5F9BD568" w14:textId="6EC6295F" w:rsidR="006363D2" w:rsidRPr="00170109" w:rsidRDefault="006363D2" w:rsidP="00170109">
      <w:pPr>
        <w:pStyle w:val="Puesto"/>
      </w:pPr>
      <w:r w:rsidRPr="00170109">
        <w:rPr>
          <w:b/>
          <w:bCs/>
        </w:rPr>
        <w:t>POLÍTICAS</w:t>
      </w:r>
      <w:r w:rsidRPr="00170109">
        <w:t xml:space="preserve">: </w:t>
      </w:r>
    </w:p>
    <w:p w14:paraId="39260C0D" w14:textId="77777777" w:rsidR="006363D2" w:rsidRPr="00170109" w:rsidRDefault="006363D2" w:rsidP="00170109">
      <w:pPr>
        <w:pStyle w:val="Puesto"/>
      </w:pPr>
    </w:p>
    <w:p w14:paraId="1D7611F2" w14:textId="77777777" w:rsidR="006363D2" w:rsidRPr="00170109" w:rsidRDefault="006363D2" w:rsidP="00170109">
      <w:pPr>
        <w:pStyle w:val="Puesto"/>
        <w:numPr>
          <w:ilvl w:val="0"/>
          <w:numId w:val="20"/>
        </w:numPr>
      </w:pPr>
      <w:r w:rsidRPr="00170109">
        <w:rPr>
          <w:b/>
          <w:bCs/>
        </w:rPr>
        <w:t>La o el titular del Área de administración deberá convocar a la o al titular del Órgano Interno de Control</w:t>
      </w:r>
      <w:r w:rsidRPr="00170109">
        <w:t xml:space="preserve"> o de la Dirección General de Control y Evaluación “A”, “B” o “C”, con al menos dos días hábiles previos al acto de Entrega y Recepción. </w:t>
      </w:r>
    </w:p>
    <w:p w14:paraId="3CC15723" w14:textId="77777777" w:rsidR="006363D2" w:rsidRPr="00170109" w:rsidRDefault="006363D2" w:rsidP="00170109">
      <w:pPr>
        <w:pStyle w:val="Puesto"/>
        <w:ind w:left="927"/>
      </w:pPr>
    </w:p>
    <w:p w14:paraId="293CB6D0" w14:textId="77777777" w:rsidR="00293D1D" w:rsidRPr="00170109" w:rsidRDefault="006363D2" w:rsidP="00170109">
      <w:pPr>
        <w:pStyle w:val="Puesto"/>
        <w:numPr>
          <w:ilvl w:val="0"/>
          <w:numId w:val="20"/>
        </w:numPr>
      </w:pPr>
      <w:r w:rsidRPr="00170109">
        <w:t>En los actos de Entrega y Recepción en los que por cualquier motivo no se pueda hacer uso de la firma electrónica, las y los participantes deberán imprimir tres ejemplares del Acta administrativa y sus anexos y, en su caso, de las Actas circunstanciadas que se deriven de éste y firmarlas de forma autógrafa.</w:t>
      </w:r>
    </w:p>
    <w:p w14:paraId="2A83725E" w14:textId="77777777" w:rsidR="00293D1D" w:rsidRPr="00170109" w:rsidRDefault="00293D1D" w:rsidP="00170109">
      <w:pPr>
        <w:pStyle w:val="Puesto"/>
        <w:ind w:left="927"/>
      </w:pPr>
    </w:p>
    <w:p w14:paraId="03DBA60E" w14:textId="0FC7563F" w:rsidR="00293D1D" w:rsidRPr="00170109" w:rsidRDefault="00293D1D" w:rsidP="00170109">
      <w:pPr>
        <w:pStyle w:val="Puesto"/>
        <w:ind w:left="927"/>
        <w:rPr>
          <w:b/>
          <w:bCs/>
        </w:rPr>
      </w:pPr>
      <w:r w:rsidRPr="00170109">
        <w:rPr>
          <w:b/>
          <w:bCs/>
        </w:rPr>
        <w:t xml:space="preserve">La Persona entrega deberá: </w:t>
      </w:r>
    </w:p>
    <w:p w14:paraId="6D44570C" w14:textId="77777777" w:rsidR="00293D1D" w:rsidRPr="00170109" w:rsidRDefault="00293D1D" w:rsidP="00170109"/>
    <w:p w14:paraId="305B129F" w14:textId="14F69FB2" w:rsidR="00703A3B" w:rsidRPr="00170109" w:rsidRDefault="00293D1D" w:rsidP="00170109">
      <w:pPr>
        <w:pStyle w:val="Puesto"/>
        <w:numPr>
          <w:ilvl w:val="0"/>
          <w:numId w:val="20"/>
        </w:numPr>
      </w:pPr>
      <w:r w:rsidRPr="00170109">
        <w:rPr>
          <w:b/>
          <w:bCs/>
          <w:u w:val="single"/>
        </w:rPr>
        <w:t>Entregar un ejemplar del Acta administrativa y anexos al Órgano Interno de Control</w:t>
      </w:r>
      <w:r w:rsidRPr="00170109">
        <w:t xml:space="preserve"> o a falta de este, a la Dirección General de Control y Evaluación “A”, “B” o “C”, y un ejemplar a la Persona que recibe.</w:t>
      </w:r>
      <w:r w:rsidR="006363D2" w:rsidRPr="00170109">
        <w:t xml:space="preserve">” </w:t>
      </w:r>
      <w:r w:rsidR="00703A3B" w:rsidRPr="00170109">
        <w:t>Sic.</w:t>
      </w:r>
    </w:p>
    <w:p w14:paraId="512F00C7" w14:textId="77777777" w:rsidR="00703A3B" w:rsidRPr="00170109" w:rsidRDefault="00703A3B" w:rsidP="00170109">
      <w:pPr>
        <w:ind w:right="-312"/>
      </w:pPr>
    </w:p>
    <w:p w14:paraId="5668F5EB" w14:textId="6C67CD89" w:rsidR="00703A3B" w:rsidRPr="00170109" w:rsidRDefault="00BD0792" w:rsidP="00170109">
      <w:pPr>
        <w:ind w:right="-312"/>
      </w:pPr>
      <w:r w:rsidRPr="00170109">
        <w:lastRenderedPageBreak/>
        <w:t>Conforme a la normatividad aplicable en materia de procesos de entrega y recepción se advierte que de igual manera le corresponde al órgano interno de control representar e intervenir en los procesos de entrega y recepción</w:t>
      </w:r>
      <w:r w:rsidR="00293D1D" w:rsidRPr="00170109">
        <w:t>, previa convocatoria que realice el titular del área de administración, en este caso, de la Coordinación Administrativa, asimismo, se prevé que la persona que entrega deberá entregar un ejemplar del Acta administrativa y anexos al Órgano Interno de Control.</w:t>
      </w:r>
    </w:p>
    <w:p w14:paraId="409C394B" w14:textId="77777777" w:rsidR="00703A3B" w:rsidRPr="00170109" w:rsidRDefault="00703A3B" w:rsidP="00170109">
      <w:pPr>
        <w:ind w:right="-312"/>
      </w:pPr>
    </w:p>
    <w:p w14:paraId="3E8D93CB" w14:textId="77777777" w:rsidR="00703A3B" w:rsidRPr="00170109" w:rsidRDefault="00703A3B" w:rsidP="00170109">
      <w:pPr>
        <w:ind w:right="-312"/>
        <w:rPr>
          <w:rFonts w:eastAsia="Palatino Linotype"/>
        </w:rPr>
      </w:pPr>
      <w:r w:rsidRPr="00170109">
        <w:rPr>
          <w:rFonts w:eastAsia="Palatino Linotype"/>
        </w:rPr>
        <w:t>Por lo que, se concluye que la información que es del interés de</w:t>
      </w:r>
      <w:r w:rsidRPr="00170109">
        <w:rPr>
          <w:rFonts w:eastAsia="Palatino Linotype"/>
          <w:b/>
          <w:bCs/>
        </w:rPr>
        <w:t xml:space="preserve"> LA PERSONA RECURRENTE</w:t>
      </w:r>
      <w:r w:rsidRPr="00170109">
        <w:rPr>
          <w:rFonts w:eastAsia="Palatino Linotype"/>
        </w:rPr>
        <w:t xml:space="preserve"> corresponde con al ámbito de competencia del </w:t>
      </w:r>
      <w:r w:rsidRPr="00170109">
        <w:rPr>
          <w:rFonts w:eastAsia="Palatino Linotype"/>
          <w:b/>
          <w:bCs/>
        </w:rPr>
        <w:t xml:space="preserve">SUJETO OBLIGADO, </w:t>
      </w:r>
      <w:r w:rsidRPr="00170109">
        <w:rPr>
          <w:rFonts w:eastAsia="Palatino Linotype"/>
        </w:rPr>
        <w:t xml:space="preserve">por lo que se considera que la información peticionada por </w:t>
      </w:r>
      <w:r w:rsidRPr="00170109">
        <w:rPr>
          <w:rFonts w:eastAsia="Palatino Linotype"/>
          <w:b/>
          <w:bCs/>
        </w:rPr>
        <w:t xml:space="preserve">LA PERSONA RECURRENTE </w:t>
      </w:r>
      <w:r w:rsidRPr="00170109">
        <w:rPr>
          <w:rFonts w:eastAsia="Palatino Linotype"/>
        </w:rPr>
        <w:t xml:space="preserve">debe de obrar en los archivos del </w:t>
      </w:r>
      <w:r w:rsidRPr="00170109">
        <w:rPr>
          <w:rFonts w:eastAsia="Palatino Linotype"/>
          <w:b/>
          <w:bCs/>
        </w:rPr>
        <w:t xml:space="preserve">SUJETO OBLIGADO, </w:t>
      </w:r>
      <w:r w:rsidRPr="00170109">
        <w:rPr>
          <w:rFonts w:eastAsia="Palatino Linotype"/>
        </w:rPr>
        <w:t>en virtud de que los Sujetos Obligados se encuentran constreñidos a documentar todo acto que derive del ejercicio de sus facultades, competencias o funciones considerando su eventual publicación, en términos de los artículos 18 y 24 fracción XXII de la Ley de la Materia, que a la letra señalan lo siguiente:</w:t>
      </w:r>
    </w:p>
    <w:p w14:paraId="586BA517" w14:textId="77777777" w:rsidR="00703A3B" w:rsidRPr="00170109" w:rsidRDefault="00703A3B" w:rsidP="00170109">
      <w:pPr>
        <w:ind w:right="-312"/>
        <w:rPr>
          <w:rFonts w:eastAsia="Palatino Linotype"/>
        </w:rPr>
      </w:pPr>
    </w:p>
    <w:p w14:paraId="34A95519" w14:textId="77777777" w:rsidR="00703A3B" w:rsidRPr="00170109" w:rsidRDefault="00703A3B" w:rsidP="00170109">
      <w:pPr>
        <w:pStyle w:val="Puesto"/>
        <w:ind w:right="539"/>
        <w:rPr>
          <w:rFonts w:eastAsia="Palatino Linotype"/>
        </w:rPr>
      </w:pPr>
      <w:r w:rsidRPr="00170109">
        <w:rPr>
          <w:rFonts w:eastAsia="Palatino Linotype"/>
        </w:rPr>
        <w:t>“</w:t>
      </w:r>
      <w:r w:rsidRPr="00170109">
        <w:rPr>
          <w:rFonts w:eastAsia="Palatino Linotype"/>
          <w:b/>
        </w:rPr>
        <w:t>Artículo 18.</w:t>
      </w:r>
      <w:r w:rsidRPr="00170109">
        <w:rPr>
          <w:rFonts w:eastAsia="Palatino Linotype"/>
        </w:rPr>
        <w:t xml:space="preserve"> Los sujetos obligados </w:t>
      </w:r>
      <w:r w:rsidRPr="00170109">
        <w:rPr>
          <w:rFonts w:eastAsia="Palatino Linotype"/>
          <w:b/>
        </w:rPr>
        <w:t>deberán documentar todo acto</w:t>
      </w:r>
      <w:r w:rsidRPr="00170109">
        <w:rPr>
          <w:rFonts w:eastAsia="Palatino Linotype"/>
        </w:rPr>
        <w:t xml:space="preserve"> </w:t>
      </w:r>
      <w:r w:rsidRPr="00170109">
        <w:rPr>
          <w:rFonts w:eastAsia="Palatino Linotype"/>
          <w:b/>
        </w:rPr>
        <w:t>que derive del ejercicio de sus facultades, competencias o funciones</w:t>
      </w:r>
      <w:r w:rsidRPr="00170109">
        <w:rPr>
          <w:rFonts w:eastAsia="Palatino Linotype"/>
        </w:rPr>
        <w:t>, considerando desde su origen la eventual publicidad y reutilización de la información que generen.</w:t>
      </w:r>
    </w:p>
    <w:p w14:paraId="5F326F94" w14:textId="77777777" w:rsidR="00703A3B" w:rsidRPr="00170109" w:rsidRDefault="00703A3B" w:rsidP="00170109">
      <w:pPr>
        <w:pStyle w:val="Puesto"/>
        <w:ind w:right="539"/>
        <w:rPr>
          <w:rFonts w:eastAsia="Palatino Linotype"/>
        </w:rPr>
      </w:pPr>
      <w:r w:rsidRPr="00170109">
        <w:rPr>
          <w:rFonts w:eastAsia="Palatino Linotype"/>
        </w:rPr>
        <w:t>(…)</w:t>
      </w:r>
    </w:p>
    <w:p w14:paraId="2CEF7641" w14:textId="77777777" w:rsidR="00703A3B" w:rsidRPr="00170109" w:rsidRDefault="00703A3B" w:rsidP="00170109">
      <w:pPr>
        <w:pStyle w:val="Puesto"/>
        <w:ind w:right="539"/>
        <w:rPr>
          <w:rFonts w:eastAsia="Palatino Linotype"/>
        </w:rPr>
      </w:pPr>
      <w:r w:rsidRPr="00170109">
        <w:rPr>
          <w:rFonts w:eastAsia="Palatino Linotype"/>
          <w:b/>
        </w:rPr>
        <w:t>Artículo 24.</w:t>
      </w:r>
      <w:r w:rsidRPr="00170109">
        <w:rPr>
          <w:rFonts w:eastAsia="Palatino Linotype"/>
        </w:rPr>
        <w:t xml:space="preserve"> Para el cumplimiento de los objetivos de esta Ley</w:t>
      </w:r>
      <w:r w:rsidRPr="00170109">
        <w:rPr>
          <w:rFonts w:eastAsia="Palatino Linotype"/>
          <w:b/>
        </w:rPr>
        <w:t>, los sujetos obligados deberán cumplir con las siguientes obligaciones</w:t>
      </w:r>
      <w:r w:rsidRPr="00170109">
        <w:rPr>
          <w:rFonts w:eastAsia="Palatino Linotype"/>
        </w:rPr>
        <w:t>, según corresponda, de acuerdo a su naturaleza:</w:t>
      </w:r>
    </w:p>
    <w:p w14:paraId="79986E42" w14:textId="77777777" w:rsidR="00703A3B" w:rsidRPr="00170109" w:rsidRDefault="00703A3B" w:rsidP="00170109">
      <w:pPr>
        <w:pStyle w:val="Puesto"/>
        <w:ind w:right="539"/>
        <w:rPr>
          <w:rFonts w:eastAsia="Palatino Linotype"/>
        </w:rPr>
      </w:pPr>
      <w:r w:rsidRPr="00170109">
        <w:rPr>
          <w:rFonts w:eastAsia="Palatino Linotype"/>
        </w:rPr>
        <w:t>(…)</w:t>
      </w:r>
    </w:p>
    <w:p w14:paraId="67CAC13A" w14:textId="77777777" w:rsidR="00703A3B" w:rsidRPr="00170109" w:rsidRDefault="00703A3B" w:rsidP="00170109">
      <w:pPr>
        <w:pStyle w:val="Puesto"/>
        <w:ind w:right="539"/>
        <w:rPr>
          <w:rFonts w:eastAsia="Palatino Linotype"/>
        </w:rPr>
      </w:pPr>
      <w:r w:rsidRPr="00170109">
        <w:rPr>
          <w:rFonts w:eastAsia="Palatino Linotype"/>
          <w:b/>
        </w:rPr>
        <w:t>XXII.</w:t>
      </w:r>
      <w:r w:rsidRPr="00170109">
        <w:rPr>
          <w:rFonts w:eastAsia="Palatino Linotype"/>
        </w:rPr>
        <w:t xml:space="preserve"> </w:t>
      </w:r>
      <w:r w:rsidRPr="00170109">
        <w:rPr>
          <w:rFonts w:eastAsia="Palatino Linotype"/>
          <w:b/>
        </w:rPr>
        <w:t>Documentar todo acto que derive del ejercicio de sus facultades, competencias o funciones</w:t>
      </w:r>
      <w:r w:rsidRPr="00170109">
        <w:rPr>
          <w:rFonts w:eastAsia="Palatino Linotype"/>
        </w:rPr>
        <w:t xml:space="preserve"> y abstenerse de destruirlos u ocultarlos, dentro de los que destacan los procesos deliberativos y de decisión definitiva;”</w:t>
      </w:r>
    </w:p>
    <w:p w14:paraId="2D61DDBF" w14:textId="0AD898CF" w:rsidR="00B64A80" w:rsidRPr="00170109" w:rsidRDefault="00B64A80" w:rsidP="00170109">
      <w:pPr>
        <w:spacing w:before="100" w:beforeAutospacing="1" w:after="100" w:afterAutospacing="1"/>
        <w:rPr>
          <w:rFonts w:cs="Arial"/>
          <w:lang w:val="es-ES" w:eastAsia="es-MX"/>
        </w:rPr>
      </w:pPr>
      <w:r w:rsidRPr="00170109">
        <w:rPr>
          <w:rFonts w:cs="Arial"/>
          <w:lang w:val="es-ES" w:eastAsia="es-MX"/>
        </w:rPr>
        <w:t xml:space="preserve">Ahora bien, es preciso señalar que de igual manera al momento de interponer la solicitud de acceso a la información la </w:t>
      </w:r>
      <w:r w:rsidRPr="00170109">
        <w:rPr>
          <w:rFonts w:cs="Arial"/>
          <w:b/>
          <w:bCs/>
          <w:lang w:val="es-ES" w:eastAsia="es-MX"/>
        </w:rPr>
        <w:t xml:space="preserve">PERSONA RECURRENTE </w:t>
      </w:r>
      <w:r w:rsidRPr="00170109">
        <w:rPr>
          <w:rFonts w:cs="Arial"/>
          <w:lang w:val="es-ES" w:eastAsia="es-MX"/>
        </w:rPr>
        <w:t xml:space="preserve">no señaló con precisión la temporalidad </w:t>
      </w:r>
      <w:r w:rsidRPr="00170109">
        <w:rPr>
          <w:rFonts w:cs="Arial"/>
          <w:lang w:val="es-ES" w:eastAsia="es-MX"/>
        </w:rPr>
        <w:lastRenderedPageBreak/>
        <w:t>por la que requería la información</w:t>
      </w:r>
      <w:r w:rsidR="00BA29BC" w:rsidRPr="00170109">
        <w:rPr>
          <w:rFonts w:cs="Arial"/>
          <w:lang w:val="es-ES" w:eastAsia="es-MX"/>
        </w:rPr>
        <w:t>, toda vez, que sólo se limitó a referir que requería las actas de entrega recepción.</w:t>
      </w:r>
    </w:p>
    <w:p w14:paraId="5C67ABFE" w14:textId="26E42046" w:rsidR="00D631B6" w:rsidRPr="00170109" w:rsidRDefault="00BA29BC" w:rsidP="00170109">
      <w:pPr>
        <w:spacing w:before="100" w:beforeAutospacing="1" w:after="100" w:afterAutospacing="1"/>
      </w:pPr>
      <w:r w:rsidRPr="00170109">
        <w:rPr>
          <w:rFonts w:cs="Arial"/>
          <w:lang w:val="es-ES" w:eastAsia="es-MX"/>
        </w:rPr>
        <w:t xml:space="preserve">En ese sentido, cabe precisar, que </w:t>
      </w:r>
      <w:r w:rsidR="0092501E" w:rsidRPr="00170109">
        <w:rPr>
          <w:rFonts w:cs="Arial"/>
          <w:lang w:val="es-ES" w:eastAsia="es-MX"/>
        </w:rPr>
        <w:t xml:space="preserve">conforme a lo establecido en el artículo 7 del Reglamento para los Procesos de Entrega y Recepción y de Rendición de Cuentas de la Administración Pública del Estado de México, se cuenta con el plazo de </w:t>
      </w:r>
      <w:r w:rsidR="00D631B6" w:rsidRPr="00170109">
        <w:t>cinco días hábiles posteriores</w:t>
      </w:r>
      <w:r w:rsidR="0092501E" w:rsidRPr="00170109">
        <w:t>, contados a partir de que surta efectos la separación del empleo, cargo o comisión  o por</w:t>
      </w:r>
      <w:r w:rsidR="00D631B6" w:rsidRPr="00170109">
        <w:t xml:space="preserve"> la entrada en vigor del instrumento jurídico que contenga la modificación referida, mismo que podrá ser ampliado por el Órgano Interno de Control o la Contraloría, en caso de que así lo considere.</w:t>
      </w:r>
    </w:p>
    <w:p w14:paraId="1560265D" w14:textId="1F723791" w:rsidR="0092501E" w:rsidRPr="00170109" w:rsidRDefault="0092501E" w:rsidP="00170109">
      <w:pPr>
        <w:spacing w:before="100" w:beforeAutospacing="1" w:after="100" w:afterAutospacing="1"/>
      </w:pPr>
      <w:r w:rsidRPr="00170109">
        <w:t xml:space="preserve">Así, se tiene que, </w:t>
      </w:r>
      <w:r w:rsidR="00D631B6" w:rsidRPr="00170109">
        <w:t>el inicio de la vigencia de la Nueva Ley Orgánica de la Administración Pública, conforme al transitorio primero, fue a partir del 16 de septiembre de 2023</w:t>
      </w:r>
      <w:r w:rsidRPr="00170109">
        <w:t>.</w:t>
      </w:r>
    </w:p>
    <w:p w14:paraId="496AC63B" w14:textId="017CDF54" w:rsidR="0092501E" w:rsidRPr="00170109" w:rsidRDefault="0092501E" w:rsidP="00170109">
      <w:pPr>
        <w:spacing w:before="100" w:beforeAutospacing="1" w:after="100" w:afterAutospacing="1"/>
        <w:rPr>
          <w:rFonts w:cs="Arial"/>
          <w:lang w:val="es-ES" w:eastAsia="es-MX"/>
        </w:rPr>
      </w:pPr>
      <w:r w:rsidRPr="00170109">
        <w:t xml:space="preserve">Del mismo modo, se tiene que </w:t>
      </w:r>
      <w:r w:rsidRPr="00170109">
        <w:rPr>
          <w:rFonts w:cs="Arial"/>
          <w:lang w:val="es-ES" w:eastAsia="es-MX"/>
        </w:rPr>
        <w:t xml:space="preserve">la persona titular del Poder Ejecutivo del Gobierno del Estado de México, tomó protesta a la persona titular </w:t>
      </w:r>
      <w:r w:rsidR="001A5E3C" w:rsidRPr="00170109">
        <w:rPr>
          <w:rFonts w:cs="Arial"/>
          <w:lang w:val="es-ES" w:eastAsia="es-MX"/>
        </w:rPr>
        <w:t xml:space="preserve">de la Secretaría del Agua, el 16 de septiembre y al titular </w:t>
      </w:r>
      <w:r w:rsidRPr="00170109">
        <w:rPr>
          <w:rFonts w:cs="Arial"/>
          <w:lang w:val="es-ES" w:eastAsia="es-MX"/>
        </w:rPr>
        <w:t xml:space="preserve">del </w:t>
      </w:r>
      <w:r w:rsidRPr="00170109">
        <w:rPr>
          <w:rFonts w:cs="Arial"/>
          <w:b/>
          <w:bCs/>
          <w:lang w:val="es-ES" w:eastAsia="es-MX"/>
        </w:rPr>
        <w:t xml:space="preserve">SUJETO OBLIGADO </w:t>
      </w:r>
      <w:r w:rsidRPr="00170109">
        <w:rPr>
          <w:rFonts w:cs="Arial"/>
          <w:lang w:val="es-ES" w:eastAsia="es-MX"/>
        </w:rPr>
        <w:t xml:space="preserve">el día 19 de septiembre de 2023, como se lee </w:t>
      </w:r>
      <w:r w:rsidR="001A5E3C" w:rsidRPr="00170109">
        <w:rPr>
          <w:rFonts w:cs="Arial"/>
          <w:lang w:val="es-ES" w:eastAsia="es-MX"/>
        </w:rPr>
        <w:t>en las</w:t>
      </w:r>
      <w:r w:rsidRPr="00170109">
        <w:rPr>
          <w:rFonts w:cs="Arial"/>
          <w:lang w:val="es-ES" w:eastAsia="es-MX"/>
        </w:rPr>
        <w:t xml:space="preserve"> nota</w:t>
      </w:r>
      <w:r w:rsidR="001A5E3C" w:rsidRPr="00170109">
        <w:rPr>
          <w:rFonts w:cs="Arial"/>
          <w:lang w:val="es-ES" w:eastAsia="es-MX"/>
        </w:rPr>
        <w:t>s</w:t>
      </w:r>
      <w:r w:rsidRPr="00170109">
        <w:rPr>
          <w:rFonts w:cs="Arial"/>
          <w:lang w:val="es-ES" w:eastAsia="es-MX"/>
        </w:rPr>
        <w:t xml:space="preserve"> periodística</w:t>
      </w:r>
      <w:r w:rsidR="001A5E3C" w:rsidRPr="00170109">
        <w:rPr>
          <w:rFonts w:cs="Arial"/>
          <w:lang w:val="es-ES" w:eastAsia="es-MX"/>
        </w:rPr>
        <w:t>s</w:t>
      </w:r>
      <w:r w:rsidRPr="00170109">
        <w:rPr>
          <w:rStyle w:val="Refdenotaalpie"/>
          <w:rFonts w:cs="Arial"/>
          <w:lang w:val="es-ES" w:eastAsia="es-MX"/>
        </w:rPr>
        <w:footnoteReference w:id="2"/>
      </w:r>
      <w:r w:rsidRPr="00170109">
        <w:rPr>
          <w:rFonts w:cs="Arial"/>
          <w:lang w:val="es-ES" w:eastAsia="es-MX"/>
        </w:rPr>
        <w:t xml:space="preserve"> siguiente</w:t>
      </w:r>
      <w:r w:rsidR="001A5E3C" w:rsidRPr="00170109">
        <w:rPr>
          <w:rFonts w:cs="Arial"/>
          <w:lang w:val="es-ES" w:eastAsia="es-MX"/>
        </w:rPr>
        <w:t>s</w:t>
      </w:r>
      <w:r w:rsidRPr="00170109">
        <w:rPr>
          <w:rFonts w:cs="Arial"/>
          <w:lang w:val="es-ES" w:eastAsia="es-MX"/>
        </w:rPr>
        <w:t>:</w:t>
      </w:r>
    </w:p>
    <w:p w14:paraId="2E905071" w14:textId="30E158E5" w:rsidR="001A5E3C" w:rsidRPr="00170109" w:rsidRDefault="001A5E3C" w:rsidP="00170109">
      <w:pPr>
        <w:spacing w:before="100" w:beforeAutospacing="1" w:after="100" w:afterAutospacing="1"/>
        <w:rPr>
          <w:rFonts w:cs="Arial"/>
          <w:lang w:val="es-ES" w:eastAsia="es-MX"/>
        </w:rPr>
      </w:pPr>
      <w:r w:rsidRPr="00170109">
        <w:rPr>
          <w:noProof/>
          <w:lang w:eastAsia="es-MX"/>
          <w14:ligatures w14:val="standardContextual"/>
        </w:rPr>
        <w:drawing>
          <wp:inline distT="0" distB="0" distL="0" distR="0" wp14:anchorId="3046C970" wp14:editId="64DDCD91">
            <wp:extent cx="5741307" cy="1065475"/>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85215" cy="1073623"/>
                    </a:xfrm>
                    <a:prstGeom prst="rect">
                      <a:avLst/>
                    </a:prstGeom>
                  </pic:spPr>
                </pic:pic>
              </a:graphicData>
            </a:graphic>
          </wp:inline>
        </w:drawing>
      </w:r>
    </w:p>
    <w:p w14:paraId="2043A711" w14:textId="77777777" w:rsidR="0092501E" w:rsidRPr="00170109" w:rsidRDefault="0092501E" w:rsidP="00170109">
      <w:pPr>
        <w:spacing w:before="100" w:beforeAutospacing="1" w:after="100" w:afterAutospacing="1"/>
        <w:rPr>
          <w:rFonts w:cs="Arial"/>
          <w:lang w:val="es-ES" w:eastAsia="es-MX"/>
        </w:rPr>
      </w:pPr>
      <w:r w:rsidRPr="00170109">
        <w:rPr>
          <w:noProof/>
          <w:lang w:eastAsia="es-MX"/>
          <w14:ligatures w14:val="standardContextual"/>
        </w:rPr>
        <w:lastRenderedPageBreak/>
        <w:drawing>
          <wp:inline distT="0" distB="0" distL="0" distR="0" wp14:anchorId="17584D77" wp14:editId="0C1E17B0">
            <wp:extent cx="5738850" cy="78717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41681"/>
                    <a:stretch/>
                  </pic:blipFill>
                  <pic:spPr bwMode="auto">
                    <a:xfrm>
                      <a:off x="0" y="0"/>
                      <a:ext cx="5794549" cy="794819"/>
                    </a:xfrm>
                    <a:prstGeom prst="rect">
                      <a:avLst/>
                    </a:prstGeom>
                    <a:ln>
                      <a:noFill/>
                    </a:ln>
                    <a:extLst>
                      <a:ext uri="{53640926-AAD7-44D8-BBD7-CCE9431645EC}">
                        <a14:shadowObscured xmlns:a14="http://schemas.microsoft.com/office/drawing/2010/main"/>
                      </a:ext>
                    </a:extLst>
                  </pic:spPr>
                </pic:pic>
              </a:graphicData>
            </a:graphic>
          </wp:inline>
        </w:drawing>
      </w:r>
    </w:p>
    <w:p w14:paraId="6B0CC3FE" w14:textId="77777777" w:rsidR="001A5E3C" w:rsidRPr="00170109" w:rsidRDefault="0092501E" w:rsidP="00170109">
      <w:pPr>
        <w:spacing w:before="100" w:beforeAutospacing="1" w:after="100" w:afterAutospacing="1"/>
        <w:rPr>
          <w:rFonts w:cs="Arial"/>
          <w:lang w:val="es-ES" w:eastAsia="es-MX"/>
        </w:rPr>
      </w:pPr>
      <w:r w:rsidRPr="00170109">
        <w:rPr>
          <w:rFonts w:cs="Arial"/>
          <w:lang w:val="es-ES" w:eastAsia="es-MX"/>
        </w:rPr>
        <w:t xml:space="preserve">Delo que se </w:t>
      </w:r>
      <w:r w:rsidR="001A5E3C" w:rsidRPr="00170109">
        <w:rPr>
          <w:rFonts w:cs="Arial"/>
          <w:lang w:val="es-ES" w:eastAsia="es-MX"/>
        </w:rPr>
        <w:t>infiere, que durante del periodo del 17 al 30 de septiembre de 2023, se llevaron a cabo las actas de entrega y recepción de las Secretarías de Estado referidas, en la solicitud de información.</w:t>
      </w:r>
    </w:p>
    <w:p w14:paraId="26CF59F4" w14:textId="2FFDA6D9" w:rsidR="00C76E79" w:rsidRPr="00170109" w:rsidRDefault="0092501E" w:rsidP="00170109">
      <w:pPr>
        <w:spacing w:before="100" w:beforeAutospacing="1" w:after="100" w:afterAutospacing="1"/>
        <w:rPr>
          <w:rFonts w:cs="Arial"/>
        </w:rPr>
      </w:pPr>
      <w:r w:rsidRPr="00170109">
        <w:rPr>
          <w:rFonts w:cs="Arial"/>
          <w:lang w:val="es-ES" w:eastAsia="es-MX"/>
        </w:rPr>
        <w:t xml:space="preserve"> </w:t>
      </w:r>
      <w:r w:rsidR="00C76E79" w:rsidRPr="00170109">
        <w:rPr>
          <w:rFonts w:cs="Arial"/>
          <w:lang w:val="es-ES" w:eastAsia="es-MX"/>
        </w:rPr>
        <w:t xml:space="preserve">Por lo tanto, bajo los principios de certeza, eficacia y objetividad, establecidos en el artículo 9, de la Ley de Transparencia y Acceso a la Información Pública del Estado de México y Municipios, este Instituto como Órgano Garante determina que </w:t>
      </w:r>
      <w:r w:rsidR="00C76E79" w:rsidRPr="00170109">
        <w:rPr>
          <w:rFonts w:cs="Arial"/>
          <w:b/>
          <w:lang w:val="es-ES" w:eastAsia="es-MX"/>
        </w:rPr>
        <w:t xml:space="preserve">EL SUJETO OBLIGADO </w:t>
      </w:r>
      <w:r w:rsidR="00C76E79" w:rsidRPr="00170109">
        <w:rPr>
          <w:rFonts w:cs="Arial"/>
          <w:lang w:val="es-ES" w:eastAsia="es-MX"/>
        </w:rPr>
        <w:t xml:space="preserve">no atendió el derecho accionado por el particular, </w:t>
      </w:r>
      <w:r w:rsidR="00C76E79" w:rsidRPr="00170109">
        <w:rPr>
          <w:rFonts w:cs="Arial"/>
        </w:rPr>
        <w:t>en razón de lo anteriormente expuesto</w:t>
      </w:r>
      <w:r w:rsidR="00B64A80" w:rsidRPr="00170109">
        <w:rPr>
          <w:rFonts w:cs="Arial"/>
        </w:rPr>
        <w:t>, y resulta factible ordenar la entrega de la información peticionada</w:t>
      </w:r>
      <w:r w:rsidR="00C76E79" w:rsidRPr="00170109">
        <w:rPr>
          <w:rFonts w:cs="Arial"/>
        </w:rPr>
        <w:t>.</w:t>
      </w:r>
    </w:p>
    <w:p w14:paraId="7BBA9AE9" w14:textId="77777777" w:rsidR="00C76E79" w:rsidRPr="00170109" w:rsidRDefault="00C76E79" w:rsidP="00170109">
      <w:pPr>
        <w:pStyle w:val="Ttulo3"/>
        <w:rPr>
          <w:szCs w:val="22"/>
        </w:rPr>
      </w:pPr>
      <w:bookmarkStart w:id="28" w:name="_Toc172153688"/>
      <w:bookmarkStart w:id="29" w:name="_Toc178603938"/>
      <w:bookmarkStart w:id="30" w:name="_Toc179927182"/>
      <w:r w:rsidRPr="00170109">
        <w:rPr>
          <w:szCs w:val="22"/>
        </w:rPr>
        <w:t>d) Versión pública</w:t>
      </w:r>
      <w:bookmarkEnd w:id="28"/>
      <w:bookmarkEnd w:id="29"/>
      <w:bookmarkEnd w:id="30"/>
    </w:p>
    <w:p w14:paraId="40D5E277" w14:textId="77777777" w:rsidR="00C76E79" w:rsidRPr="00170109" w:rsidRDefault="00C76E79" w:rsidP="00170109">
      <w:pPr>
        <w:rPr>
          <w:szCs w:val="22"/>
        </w:rPr>
      </w:pPr>
      <w:r w:rsidRPr="00170109">
        <w:rPr>
          <w:szCs w:val="22"/>
        </w:rPr>
        <w:t xml:space="preserve">Para el caso de que el o los documentos de los cuales se ordena su entrega contengan datos personales susceptibles de ser testados, deberán ser entregados en </w:t>
      </w:r>
      <w:r w:rsidRPr="00170109">
        <w:rPr>
          <w:b/>
          <w:szCs w:val="22"/>
        </w:rPr>
        <w:t>versión pública</w:t>
      </w:r>
      <w:r w:rsidRPr="00170109">
        <w:rPr>
          <w:szCs w:val="22"/>
        </w:rPr>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85DD8F4" w14:textId="77777777" w:rsidR="00C76E79" w:rsidRPr="00170109" w:rsidRDefault="00C76E79" w:rsidP="00170109">
      <w:pPr>
        <w:rPr>
          <w:szCs w:val="22"/>
        </w:rPr>
      </w:pPr>
    </w:p>
    <w:p w14:paraId="7358EDCA" w14:textId="77777777" w:rsidR="00C76E79" w:rsidRPr="00170109" w:rsidRDefault="00C76E79" w:rsidP="00170109">
      <w:pPr>
        <w:rPr>
          <w:szCs w:val="22"/>
        </w:rPr>
      </w:pPr>
      <w:r w:rsidRPr="00170109">
        <w:rPr>
          <w:szCs w:val="22"/>
        </w:rPr>
        <w:lastRenderedPageBreak/>
        <w:t>A este respecto, los artículos 3, fracciones IX, XX, XXI y XLV; 51 y 52 de la Ley de Transparencia y Acceso a la Información Pública del Estado de México y Municipios establecen:</w:t>
      </w:r>
    </w:p>
    <w:p w14:paraId="35A766D4" w14:textId="77777777" w:rsidR="00C76E79" w:rsidRPr="00170109" w:rsidRDefault="00C76E79" w:rsidP="00170109">
      <w:pPr>
        <w:rPr>
          <w:szCs w:val="22"/>
        </w:rPr>
      </w:pPr>
    </w:p>
    <w:p w14:paraId="7220A403" w14:textId="77777777" w:rsidR="00C76E79" w:rsidRPr="00170109" w:rsidRDefault="00C76E79" w:rsidP="00170109">
      <w:pPr>
        <w:pStyle w:val="Puesto"/>
        <w:rPr>
          <w:szCs w:val="22"/>
        </w:rPr>
      </w:pPr>
      <w:r w:rsidRPr="00170109">
        <w:rPr>
          <w:b/>
          <w:szCs w:val="22"/>
        </w:rPr>
        <w:t xml:space="preserve">“Artículo 3. </w:t>
      </w:r>
      <w:r w:rsidRPr="00170109">
        <w:rPr>
          <w:szCs w:val="22"/>
        </w:rPr>
        <w:t xml:space="preserve">Para los efectos de la presente Ley se entenderá por: </w:t>
      </w:r>
    </w:p>
    <w:p w14:paraId="6940EE7D" w14:textId="77777777" w:rsidR="00C76E79" w:rsidRPr="00170109" w:rsidRDefault="00C76E79" w:rsidP="00170109">
      <w:pPr>
        <w:pStyle w:val="Puesto"/>
        <w:rPr>
          <w:szCs w:val="22"/>
        </w:rPr>
      </w:pPr>
      <w:r w:rsidRPr="00170109">
        <w:rPr>
          <w:b/>
          <w:szCs w:val="22"/>
        </w:rPr>
        <w:t>IX.</w:t>
      </w:r>
      <w:r w:rsidRPr="00170109">
        <w:rPr>
          <w:szCs w:val="22"/>
        </w:rPr>
        <w:t xml:space="preserve"> </w:t>
      </w:r>
      <w:r w:rsidRPr="00170109">
        <w:rPr>
          <w:b/>
          <w:szCs w:val="22"/>
        </w:rPr>
        <w:t xml:space="preserve">Datos personales: </w:t>
      </w:r>
      <w:r w:rsidRPr="00170109">
        <w:rPr>
          <w:szCs w:val="22"/>
        </w:rPr>
        <w:t xml:space="preserve">La información concerniente a una persona, identificada o identificable según lo dispuesto por la Ley de Protección de Datos Personales del Estado de México; </w:t>
      </w:r>
    </w:p>
    <w:p w14:paraId="7B0A24B9" w14:textId="77777777" w:rsidR="00C76E79" w:rsidRPr="00170109" w:rsidRDefault="00C76E79" w:rsidP="00170109">
      <w:pPr>
        <w:pStyle w:val="Puesto"/>
        <w:rPr>
          <w:szCs w:val="22"/>
        </w:rPr>
      </w:pPr>
    </w:p>
    <w:p w14:paraId="4F2FBBF3" w14:textId="77777777" w:rsidR="00C76E79" w:rsidRPr="00170109" w:rsidRDefault="00C76E79" w:rsidP="00170109">
      <w:pPr>
        <w:pStyle w:val="Puesto"/>
        <w:rPr>
          <w:szCs w:val="22"/>
        </w:rPr>
      </w:pPr>
      <w:r w:rsidRPr="00170109">
        <w:rPr>
          <w:b/>
          <w:szCs w:val="22"/>
        </w:rPr>
        <w:t>XX.</w:t>
      </w:r>
      <w:r w:rsidRPr="00170109">
        <w:rPr>
          <w:szCs w:val="22"/>
        </w:rPr>
        <w:t xml:space="preserve"> </w:t>
      </w:r>
      <w:r w:rsidRPr="00170109">
        <w:rPr>
          <w:b/>
          <w:szCs w:val="22"/>
        </w:rPr>
        <w:t>Información clasificada:</w:t>
      </w:r>
      <w:r w:rsidRPr="00170109">
        <w:rPr>
          <w:szCs w:val="22"/>
        </w:rPr>
        <w:t xml:space="preserve"> Aquella considerada por la presente Ley como reservada o confidencial; </w:t>
      </w:r>
    </w:p>
    <w:p w14:paraId="754A4519" w14:textId="77777777" w:rsidR="00C76E79" w:rsidRPr="00170109" w:rsidRDefault="00C76E79" w:rsidP="00170109">
      <w:pPr>
        <w:pStyle w:val="Puesto"/>
        <w:rPr>
          <w:szCs w:val="22"/>
        </w:rPr>
      </w:pPr>
    </w:p>
    <w:p w14:paraId="3D49B888" w14:textId="77777777" w:rsidR="00C76E79" w:rsidRPr="00170109" w:rsidRDefault="00C76E79" w:rsidP="00170109">
      <w:pPr>
        <w:pStyle w:val="Puesto"/>
        <w:rPr>
          <w:szCs w:val="22"/>
        </w:rPr>
      </w:pPr>
      <w:r w:rsidRPr="00170109">
        <w:rPr>
          <w:b/>
          <w:szCs w:val="22"/>
        </w:rPr>
        <w:t>XXI.</w:t>
      </w:r>
      <w:r w:rsidRPr="00170109">
        <w:rPr>
          <w:szCs w:val="22"/>
        </w:rPr>
        <w:t xml:space="preserve"> </w:t>
      </w:r>
      <w:r w:rsidRPr="00170109">
        <w:rPr>
          <w:b/>
          <w:szCs w:val="22"/>
        </w:rPr>
        <w:t>Información confidencial</w:t>
      </w:r>
      <w:r w:rsidRPr="00170109">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0391B56" w14:textId="77777777" w:rsidR="00C76E79" w:rsidRPr="00170109" w:rsidRDefault="00C76E79" w:rsidP="00170109">
      <w:pPr>
        <w:pStyle w:val="Puesto"/>
        <w:rPr>
          <w:szCs w:val="22"/>
        </w:rPr>
      </w:pPr>
    </w:p>
    <w:p w14:paraId="39DA9B98" w14:textId="77777777" w:rsidR="00C76E79" w:rsidRPr="00170109" w:rsidRDefault="00C76E79" w:rsidP="00170109">
      <w:pPr>
        <w:pStyle w:val="Puesto"/>
        <w:rPr>
          <w:szCs w:val="22"/>
        </w:rPr>
      </w:pPr>
      <w:r w:rsidRPr="00170109">
        <w:rPr>
          <w:b/>
          <w:szCs w:val="22"/>
        </w:rPr>
        <w:t>XLV. Versión pública:</w:t>
      </w:r>
      <w:r w:rsidRPr="00170109">
        <w:rPr>
          <w:szCs w:val="22"/>
        </w:rPr>
        <w:t xml:space="preserve"> Documento en el que se elimine, suprime o borra la información clasificada como reservada o confidencial para permitir su acceso. </w:t>
      </w:r>
    </w:p>
    <w:p w14:paraId="128FD889" w14:textId="77777777" w:rsidR="00C76E79" w:rsidRPr="00170109" w:rsidRDefault="00C76E79" w:rsidP="00170109">
      <w:pPr>
        <w:pStyle w:val="Puesto"/>
        <w:rPr>
          <w:szCs w:val="22"/>
        </w:rPr>
      </w:pPr>
    </w:p>
    <w:p w14:paraId="3372A9BB" w14:textId="77777777" w:rsidR="00C76E79" w:rsidRPr="00170109" w:rsidRDefault="00C76E79" w:rsidP="00170109">
      <w:pPr>
        <w:pStyle w:val="Puesto"/>
        <w:rPr>
          <w:szCs w:val="22"/>
        </w:rPr>
      </w:pPr>
      <w:r w:rsidRPr="00170109">
        <w:rPr>
          <w:b/>
          <w:szCs w:val="22"/>
        </w:rPr>
        <w:t>Artículo 51.</w:t>
      </w:r>
      <w:r w:rsidRPr="00170109">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170109">
        <w:rPr>
          <w:b/>
          <w:szCs w:val="22"/>
        </w:rPr>
        <w:t xml:space="preserve">y tendrá la responsabilidad de verificar en cada caso que la misma no sea confidencial o reservada. </w:t>
      </w:r>
      <w:r w:rsidRPr="00170109">
        <w:rPr>
          <w:szCs w:val="22"/>
        </w:rPr>
        <w:t>Dicha Unidad contará con las facultades internas necesarias para gestionar la atención a las solicitudes de información en los términos de la Ley General y la presente Ley.</w:t>
      </w:r>
    </w:p>
    <w:p w14:paraId="50E639FB" w14:textId="77777777" w:rsidR="00C76E79" w:rsidRPr="00170109" w:rsidRDefault="00C76E79" w:rsidP="00170109">
      <w:pPr>
        <w:pStyle w:val="Puesto"/>
        <w:rPr>
          <w:szCs w:val="22"/>
        </w:rPr>
      </w:pPr>
    </w:p>
    <w:p w14:paraId="2B4B443A" w14:textId="77777777" w:rsidR="00C76E79" w:rsidRPr="00170109" w:rsidRDefault="00C76E79" w:rsidP="00170109">
      <w:pPr>
        <w:pStyle w:val="Puesto"/>
        <w:rPr>
          <w:szCs w:val="22"/>
        </w:rPr>
      </w:pPr>
      <w:r w:rsidRPr="00170109">
        <w:rPr>
          <w:b/>
          <w:szCs w:val="22"/>
        </w:rPr>
        <w:t>Artículo 52.</w:t>
      </w:r>
      <w:r w:rsidRPr="00170109">
        <w:rPr>
          <w:szCs w:val="22"/>
        </w:rPr>
        <w:t xml:space="preserve"> Las solicitudes de acceso a la información y las respuestas que se les dé, incluyendo, en su caso, </w:t>
      </w:r>
      <w:r w:rsidRPr="00170109">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170109">
        <w:rPr>
          <w:szCs w:val="22"/>
        </w:rPr>
        <w:t>, siempre y cuando la resolución de referencia se someta a un proceso de disociación, es decir, no haga identificable al titular de tales datos personales.” (Énfasis añadido)</w:t>
      </w:r>
    </w:p>
    <w:p w14:paraId="01852A15" w14:textId="77777777" w:rsidR="00C76E79" w:rsidRPr="00170109" w:rsidRDefault="00C76E79" w:rsidP="00170109">
      <w:pPr>
        <w:rPr>
          <w:szCs w:val="22"/>
        </w:rPr>
      </w:pPr>
    </w:p>
    <w:p w14:paraId="6CAC2644" w14:textId="77777777" w:rsidR="00C76E79" w:rsidRPr="00170109" w:rsidRDefault="00C76E79" w:rsidP="00170109">
      <w:pPr>
        <w:rPr>
          <w:szCs w:val="22"/>
        </w:rPr>
      </w:pPr>
      <w:r w:rsidRPr="00170109">
        <w:rPr>
          <w:szCs w:val="22"/>
        </w:rP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2344F937" w14:textId="77777777" w:rsidR="00C76E79" w:rsidRPr="00170109" w:rsidRDefault="00C76E79" w:rsidP="00170109">
      <w:pPr>
        <w:rPr>
          <w:szCs w:val="22"/>
        </w:rPr>
      </w:pPr>
    </w:p>
    <w:p w14:paraId="28197166" w14:textId="77777777" w:rsidR="00C76E79" w:rsidRPr="00170109" w:rsidRDefault="00C76E79" w:rsidP="00170109">
      <w:pPr>
        <w:pStyle w:val="Puesto"/>
        <w:rPr>
          <w:szCs w:val="22"/>
        </w:rPr>
      </w:pPr>
      <w:r w:rsidRPr="00170109">
        <w:rPr>
          <w:b/>
          <w:szCs w:val="22"/>
        </w:rPr>
        <w:t>“Artículo 22.</w:t>
      </w:r>
      <w:r w:rsidRPr="00170109">
        <w:rPr>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7320154B" w14:textId="77777777" w:rsidR="00C76E79" w:rsidRPr="00170109" w:rsidRDefault="00C76E79" w:rsidP="00170109">
      <w:pPr>
        <w:rPr>
          <w:szCs w:val="22"/>
        </w:rPr>
      </w:pPr>
    </w:p>
    <w:p w14:paraId="30DDC3C6" w14:textId="77777777" w:rsidR="00C76E79" w:rsidRPr="00170109" w:rsidRDefault="00C76E79" w:rsidP="00170109">
      <w:pPr>
        <w:pStyle w:val="Puesto"/>
        <w:rPr>
          <w:szCs w:val="22"/>
        </w:rPr>
      </w:pPr>
      <w:r w:rsidRPr="00170109">
        <w:rPr>
          <w:b/>
          <w:szCs w:val="22"/>
        </w:rPr>
        <w:t>Artículo 38.</w:t>
      </w:r>
      <w:r w:rsidRPr="00170109">
        <w:rPr>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170109">
        <w:rPr>
          <w:b/>
          <w:szCs w:val="22"/>
        </w:rPr>
        <w:t>”</w:t>
      </w:r>
      <w:r w:rsidRPr="00170109">
        <w:rPr>
          <w:szCs w:val="22"/>
        </w:rPr>
        <w:t xml:space="preserve"> </w:t>
      </w:r>
    </w:p>
    <w:p w14:paraId="46AC6190" w14:textId="77777777" w:rsidR="00C76E79" w:rsidRPr="00170109" w:rsidRDefault="00C76E79" w:rsidP="00170109">
      <w:pPr>
        <w:rPr>
          <w:i/>
          <w:szCs w:val="22"/>
        </w:rPr>
      </w:pPr>
    </w:p>
    <w:p w14:paraId="5E27BAF6" w14:textId="77777777" w:rsidR="00C76E79" w:rsidRPr="00170109" w:rsidRDefault="00C76E79" w:rsidP="00170109">
      <w:pPr>
        <w:rPr>
          <w:szCs w:val="22"/>
        </w:rPr>
      </w:pPr>
      <w:r w:rsidRPr="00170109">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53C4D8E" w14:textId="77777777" w:rsidR="00C76E79" w:rsidRPr="00170109" w:rsidRDefault="00C76E79" w:rsidP="00170109">
      <w:pPr>
        <w:rPr>
          <w:szCs w:val="22"/>
        </w:rPr>
      </w:pPr>
    </w:p>
    <w:p w14:paraId="6578006C" w14:textId="77777777" w:rsidR="00C76E79" w:rsidRPr="00170109" w:rsidRDefault="00C76E79" w:rsidP="00170109">
      <w:pPr>
        <w:rPr>
          <w:szCs w:val="22"/>
        </w:rPr>
      </w:pPr>
      <w:r w:rsidRPr="00170109">
        <w:rPr>
          <w:szCs w:val="22"/>
        </w:rPr>
        <w:t xml:space="preserve">Lo anterior es así, en virtud de que toda la información relativa a una persona física o jurídico colectiva que le pueda hacer identificada o identificable constituye un dato personal en </w:t>
      </w:r>
      <w:r w:rsidRPr="00170109">
        <w:rPr>
          <w:szCs w:val="22"/>
        </w:rPr>
        <w:lastRenderedPageBreak/>
        <w:t xml:space="preserve">términos del artículo 4, fracción XI de la Ley de Protección de Datos Personales en Posesión de Sujetos Obligados del Estado de México y Municipios; por consiguiente, se trata de información confidencial que debe ser protegida por </w:t>
      </w:r>
      <w:r w:rsidRPr="00170109">
        <w:rPr>
          <w:b/>
          <w:szCs w:val="22"/>
        </w:rPr>
        <w:t>EL SUJETO OBLIGADO,</w:t>
      </w:r>
      <w:r w:rsidRPr="00170109">
        <w:rPr>
          <w:szCs w:val="22"/>
        </w:rPr>
        <w:t xml:space="preserve"> por lo que, todo dato personal susceptible de clasificación debe ser protegido.</w:t>
      </w:r>
    </w:p>
    <w:p w14:paraId="47B52625" w14:textId="77777777" w:rsidR="00C76E79" w:rsidRPr="00170109" w:rsidRDefault="00C76E79" w:rsidP="00170109">
      <w:pPr>
        <w:rPr>
          <w:szCs w:val="22"/>
        </w:rPr>
      </w:pPr>
    </w:p>
    <w:p w14:paraId="0B853D66" w14:textId="77777777" w:rsidR="00C76E79" w:rsidRPr="00170109" w:rsidRDefault="00C76E79" w:rsidP="00170109">
      <w:pPr>
        <w:rPr>
          <w:szCs w:val="22"/>
        </w:rPr>
      </w:pPr>
      <w:r w:rsidRPr="00170109">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191315F" w14:textId="77777777" w:rsidR="00C76E79" w:rsidRPr="00170109" w:rsidRDefault="00C76E79" w:rsidP="00170109">
      <w:pPr>
        <w:rPr>
          <w:szCs w:val="22"/>
        </w:rPr>
      </w:pPr>
    </w:p>
    <w:p w14:paraId="0A1FCFA6" w14:textId="77777777" w:rsidR="00C76E79" w:rsidRPr="00170109" w:rsidRDefault="00C76E79" w:rsidP="00170109">
      <w:pPr>
        <w:rPr>
          <w:szCs w:val="22"/>
        </w:rPr>
      </w:pPr>
      <w:r w:rsidRPr="00170109">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16DC762" w14:textId="77777777" w:rsidR="00C76E79" w:rsidRPr="00170109" w:rsidRDefault="00C76E79" w:rsidP="00170109">
      <w:pPr>
        <w:rPr>
          <w:szCs w:val="22"/>
        </w:rPr>
      </w:pPr>
    </w:p>
    <w:p w14:paraId="6B86B74B" w14:textId="77777777" w:rsidR="00C76E79" w:rsidRPr="00170109" w:rsidRDefault="00C76E79" w:rsidP="00170109">
      <w:pPr>
        <w:pStyle w:val="Puesto"/>
        <w:rPr>
          <w:b/>
          <w:szCs w:val="22"/>
        </w:rPr>
      </w:pPr>
      <w:r w:rsidRPr="00170109">
        <w:rPr>
          <w:b/>
          <w:szCs w:val="22"/>
        </w:rPr>
        <w:t>Ley de Transparencia y Acceso a la Información Pública del Estado de México y Municipios</w:t>
      </w:r>
    </w:p>
    <w:p w14:paraId="2A329709" w14:textId="77777777" w:rsidR="00C76E79" w:rsidRPr="00170109" w:rsidRDefault="00C76E79" w:rsidP="00170109">
      <w:pPr>
        <w:rPr>
          <w:szCs w:val="22"/>
        </w:rPr>
      </w:pPr>
    </w:p>
    <w:p w14:paraId="71D8EABD" w14:textId="77777777" w:rsidR="00C76E79" w:rsidRPr="00170109" w:rsidRDefault="00C76E79" w:rsidP="00170109">
      <w:pPr>
        <w:pStyle w:val="Puesto"/>
        <w:rPr>
          <w:szCs w:val="22"/>
        </w:rPr>
      </w:pPr>
      <w:r w:rsidRPr="00170109">
        <w:rPr>
          <w:b/>
          <w:szCs w:val="22"/>
        </w:rPr>
        <w:t xml:space="preserve">“Artículo 49. </w:t>
      </w:r>
      <w:r w:rsidRPr="00170109">
        <w:rPr>
          <w:szCs w:val="22"/>
        </w:rPr>
        <w:t>Los Comités de Transparencia tendrán las siguientes atribuciones:</w:t>
      </w:r>
    </w:p>
    <w:p w14:paraId="29B256E3" w14:textId="77777777" w:rsidR="00C76E79" w:rsidRPr="00170109" w:rsidRDefault="00C76E79" w:rsidP="00170109">
      <w:pPr>
        <w:pStyle w:val="Puesto"/>
        <w:rPr>
          <w:szCs w:val="22"/>
        </w:rPr>
      </w:pPr>
      <w:r w:rsidRPr="00170109">
        <w:rPr>
          <w:b/>
          <w:szCs w:val="22"/>
        </w:rPr>
        <w:t>VIII.</w:t>
      </w:r>
      <w:r w:rsidRPr="00170109">
        <w:rPr>
          <w:szCs w:val="22"/>
        </w:rPr>
        <w:t xml:space="preserve"> Aprobar, modificar o revocar la clasificación de la información;</w:t>
      </w:r>
    </w:p>
    <w:p w14:paraId="39BC109E" w14:textId="77777777" w:rsidR="00C76E79" w:rsidRPr="00170109" w:rsidRDefault="00C76E79" w:rsidP="00170109">
      <w:pPr>
        <w:pStyle w:val="Puesto"/>
        <w:rPr>
          <w:szCs w:val="22"/>
        </w:rPr>
      </w:pPr>
    </w:p>
    <w:p w14:paraId="7ED6422E" w14:textId="77777777" w:rsidR="00C76E79" w:rsidRPr="00170109" w:rsidRDefault="00C76E79" w:rsidP="00170109">
      <w:pPr>
        <w:pStyle w:val="Puesto"/>
        <w:rPr>
          <w:szCs w:val="22"/>
        </w:rPr>
      </w:pPr>
      <w:r w:rsidRPr="00170109">
        <w:rPr>
          <w:b/>
          <w:szCs w:val="22"/>
        </w:rPr>
        <w:t>Artículo 132.</w:t>
      </w:r>
      <w:r w:rsidRPr="00170109">
        <w:rPr>
          <w:szCs w:val="22"/>
        </w:rPr>
        <w:t xml:space="preserve"> La clasificación de la información se llevará a cabo en el momento en que:</w:t>
      </w:r>
    </w:p>
    <w:p w14:paraId="7CB5D52B" w14:textId="77777777" w:rsidR="00C76E79" w:rsidRPr="00170109" w:rsidRDefault="00C76E79" w:rsidP="00170109">
      <w:pPr>
        <w:pStyle w:val="Puesto"/>
        <w:rPr>
          <w:szCs w:val="22"/>
        </w:rPr>
      </w:pPr>
      <w:r w:rsidRPr="00170109">
        <w:rPr>
          <w:b/>
          <w:szCs w:val="22"/>
        </w:rPr>
        <w:t>I.</w:t>
      </w:r>
      <w:r w:rsidRPr="00170109">
        <w:rPr>
          <w:szCs w:val="22"/>
        </w:rPr>
        <w:t xml:space="preserve"> Se reciba una solicitud de acceso a la información;</w:t>
      </w:r>
    </w:p>
    <w:p w14:paraId="66BFD991" w14:textId="77777777" w:rsidR="00C76E79" w:rsidRPr="00170109" w:rsidRDefault="00C76E79" w:rsidP="00170109">
      <w:pPr>
        <w:pStyle w:val="Puesto"/>
        <w:rPr>
          <w:szCs w:val="22"/>
        </w:rPr>
      </w:pPr>
      <w:r w:rsidRPr="00170109">
        <w:rPr>
          <w:b/>
          <w:szCs w:val="22"/>
        </w:rPr>
        <w:t>II.</w:t>
      </w:r>
      <w:r w:rsidRPr="00170109">
        <w:rPr>
          <w:szCs w:val="22"/>
        </w:rPr>
        <w:t xml:space="preserve"> Se determine mediante resolución de autoridad competente; o</w:t>
      </w:r>
    </w:p>
    <w:p w14:paraId="690A6EC2" w14:textId="77777777" w:rsidR="00C76E79" w:rsidRPr="00170109" w:rsidRDefault="00C76E79" w:rsidP="00170109">
      <w:pPr>
        <w:pStyle w:val="Puesto"/>
        <w:rPr>
          <w:b/>
          <w:szCs w:val="22"/>
        </w:rPr>
      </w:pPr>
      <w:r w:rsidRPr="00170109">
        <w:rPr>
          <w:b/>
          <w:szCs w:val="22"/>
        </w:rPr>
        <w:lastRenderedPageBreak/>
        <w:t>III.</w:t>
      </w:r>
      <w:r w:rsidRPr="00170109">
        <w:rPr>
          <w:szCs w:val="22"/>
        </w:rPr>
        <w:t xml:space="preserve"> Se generen versiones públicas para dar cumplimiento a las obligaciones de transparencia previstas en esta Ley.</w:t>
      </w:r>
      <w:r w:rsidRPr="00170109">
        <w:rPr>
          <w:b/>
          <w:szCs w:val="22"/>
        </w:rPr>
        <w:t>”</w:t>
      </w:r>
    </w:p>
    <w:p w14:paraId="5047F592" w14:textId="77777777" w:rsidR="00C76E79" w:rsidRPr="00170109" w:rsidRDefault="00C76E79" w:rsidP="00170109">
      <w:pPr>
        <w:pStyle w:val="Puesto"/>
        <w:rPr>
          <w:szCs w:val="22"/>
        </w:rPr>
      </w:pPr>
    </w:p>
    <w:p w14:paraId="73A4CDDC" w14:textId="77777777" w:rsidR="00C76E79" w:rsidRPr="00170109" w:rsidRDefault="00C76E79" w:rsidP="00170109">
      <w:pPr>
        <w:pStyle w:val="Puesto"/>
        <w:rPr>
          <w:szCs w:val="22"/>
        </w:rPr>
      </w:pPr>
      <w:r w:rsidRPr="00170109">
        <w:rPr>
          <w:b/>
          <w:szCs w:val="22"/>
        </w:rPr>
        <w:t>“Segundo. -</w:t>
      </w:r>
      <w:r w:rsidRPr="00170109">
        <w:rPr>
          <w:szCs w:val="22"/>
        </w:rPr>
        <w:t xml:space="preserve"> Para efectos de los presentes Lineamientos Generales, se entenderá por:</w:t>
      </w:r>
    </w:p>
    <w:p w14:paraId="147A5960" w14:textId="77777777" w:rsidR="00C76E79" w:rsidRPr="00170109" w:rsidRDefault="00C76E79" w:rsidP="00170109">
      <w:pPr>
        <w:pStyle w:val="Puesto"/>
        <w:rPr>
          <w:szCs w:val="22"/>
        </w:rPr>
      </w:pPr>
      <w:r w:rsidRPr="00170109">
        <w:rPr>
          <w:b/>
          <w:szCs w:val="22"/>
        </w:rPr>
        <w:t>XVIII.</w:t>
      </w:r>
      <w:r w:rsidRPr="00170109">
        <w:rPr>
          <w:szCs w:val="22"/>
        </w:rPr>
        <w:t xml:space="preserve">  </w:t>
      </w:r>
      <w:r w:rsidRPr="00170109">
        <w:rPr>
          <w:b/>
          <w:szCs w:val="22"/>
        </w:rPr>
        <w:t>Versión pública:</w:t>
      </w:r>
      <w:r w:rsidRPr="00170109">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4C37372" w14:textId="77777777" w:rsidR="00C76E79" w:rsidRPr="00170109" w:rsidRDefault="00C76E79" w:rsidP="00170109">
      <w:pPr>
        <w:pStyle w:val="Puesto"/>
        <w:rPr>
          <w:szCs w:val="22"/>
        </w:rPr>
      </w:pPr>
    </w:p>
    <w:p w14:paraId="49309F66" w14:textId="77777777" w:rsidR="00C76E79" w:rsidRPr="00170109" w:rsidRDefault="00C76E79" w:rsidP="00170109">
      <w:pPr>
        <w:pStyle w:val="Puesto"/>
        <w:rPr>
          <w:b/>
          <w:szCs w:val="22"/>
        </w:rPr>
      </w:pPr>
      <w:r w:rsidRPr="00170109">
        <w:rPr>
          <w:b/>
          <w:szCs w:val="22"/>
        </w:rPr>
        <w:t>Lineamientos Generales en materia de Clasificación y Desclasificación de la Información</w:t>
      </w:r>
    </w:p>
    <w:p w14:paraId="695FF4BA" w14:textId="77777777" w:rsidR="00C76E79" w:rsidRPr="00170109" w:rsidRDefault="00C76E79" w:rsidP="00170109">
      <w:pPr>
        <w:pStyle w:val="Puesto"/>
        <w:rPr>
          <w:szCs w:val="22"/>
        </w:rPr>
      </w:pPr>
    </w:p>
    <w:p w14:paraId="213C7A42" w14:textId="77777777" w:rsidR="00C76E79" w:rsidRPr="00170109" w:rsidRDefault="00C76E79" w:rsidP="00170109">
      <w:pPr>
        <w:pStyle w:val="Puesto"/>
        <w:rPr>
          <w:szCs w:val="22"/>
        </w:rPr>
      </w:pPr>
      <w:r w:rsidRPr="00170109">
        <w:rPr>
          <w:b/>
          <w:szCs w:val="22"/>
        </w:rPr>
        <w:t>Cuarto.</w:t>
      </w:r>
      <w:r w:rsidRPr="00170109">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82B0507" w14:textId="77777777" w:rsidR="00C76E79" w:rsidRPr="00170109" w:rsidRDefault="00C76E79" w:rsidP="00170109">
      <w:pPr>
        <w:pStyle w:val="Puesto"/>
        <w:rPr>
          <w:szCs w:val="22"/>
        </w:rPr>
      </w:pPr>
      <w:r w:rsidRPr="00170109">
        <w:rPr>
          <w:szCs w:val="22"/>
        </w:rPr>
        <w:t>Los sujetos obligados deberán aplicar, de manera estricta, las excepciones al derecho de acceso a la información y sólo podrán invocarlas cuando acrediten su procedencia.</w:t>
      </w:r>
    </w:p>
    <w:p w14:paraId="156CA939" w14:textId="77777777" w:rsidR="00C76E79" w:rsidRPr="00170109" w:rsidRDefault="00C76E79" w:rsidP="00170109">
      <w:pPr>
        <w:pStyle w:val="Puesto"/>
        <w:rPr>
          <w:szCs w:val="22"/>
        </w:rPr>
      </w:pPr>
    </w:p>
    <w:p w14:paraId="04A4B4B8" w14:textId="77777777" w:rsidR="00C76E79" w:rsidRPr="00170109" w:rsidRDefault="00C76E79" w:rsidP="00170109">
      <w:pPr>
        <w:pStyle w:val="Puesto"/>
        <w:rPr>
          <w:szCs w:val="22"/>
        </w:rPr>
      </w:pPr>
      <w:r w:rsidRPr="00170109">
        <w:rPr>
          <w:b/>
          <w:szCs w:val="22"/>
        </w:rPr>
        <w:t>Quinto.</w:t>
      </w:r>
      <w:r w:rsidRPr="00170109">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DB5B57C" w14:textId="77777777" w:rsidR="00C76E79" w:rsidRPr="00170109" w:rsidRDefault="00C76E79" w:rsidP="00170109">
      <w:pPr>
        <w:pStyle w:val="Puesto"/>
        <w:rPr>
          <w:szCs w:val="22"/>
        </w:rPr>
      </w:pPr>
    </w:p>
    <w:p w14:paraId="7F002A30" w14:textId="77777777" w:rsidR="00C76E79" w:rsidRPr="00170109" w:rsidRDefault="00C76E79" w:rsidP="00170109">
      <w:pPr>
        <w:pStyle w:val="Puesto"/>
        <w:rPr>
          <w:szCs w:val="22"/>
        </w:rPr>
      </w:pPr>
      <w:r w:rsidRPr="00170109">
        <w:rPr>
          <w:b/>
          <w:szCs w:val="22"/>
        </w:rPr>
        <w:t>Sexto.</w:t>
      </w:r>
      <w:r w:rsidRPr="00170109">
        <w:rPr>
          <w:szCs w:val="22"/>
        </w:rPr>
        <w:t xml:space="preserve"> Se deroga.</w:t>
      </w:r>
    </w:p>
    <w:p w14:paraId="445F72F7" w14:textId="77777777" w:rsidR="00C76E79" w:rsidRPr="00170109" w:rsidRDefault="00C76E79" w:rsidP="00170109">
      <w:pPr>
        <w:pStyle w:val="Puesto"/>
        <w:rPr>
          <w:szCs w:val="22"/>
        </w:rPr>
      </w:pPr>
    </w:p>
    <w:p w14:paraId="1CCA4D91" w14:textId="77777777" w:rsidR="00C76E79" w:rsidRPr="00170109" w:rsidRDefault="00C76E79" w:rsidP="00170109">
      <w:pPr>
        <w:pStyle w:val="Puesto"/>
        <w:rPr>
          <w:szCs w:val="22"/>
        </w:rPr>
      </w:pPr>
      <w:r w:rsidRPr="00170109">
        <w:rPr>
          <w:b/>
          <w:szCs w:val="22"/>
        </w:rPr>
        <w:t>Séptimo.</w:t>
      </w:r>
      <w:r w:rsidRPr="00170109">
        <w:rPr>
          <w:szCs w:val="22"/>
        </w:rPr>
        <w:t xml:space="preserve"> La clasificación de la información se llevará a cabo en el momento en que:</w:t>
      </w:r>
    </w:p>
    <w:p w14:paraId="180E735E" w14:textId="77777777" w:rsidR="00C76E79" w:rsidRPr="00170109" w:rsidRDefault="00C76E79" w:rsidP="00170109">
      <w:pPr>
        <w:pStyle w:val="Puesto"/>
        <w:rPr>
          <w:szCs w:val="22"/>
        </w:rPr>
      </w:pPr>
      <w:r w:rsidRPr="00170109">
        <w:rPr>
          <w:b/>
          <w:szCs w:val="22"/>
        </w:rPr>
        <w:t>I.</w:t>
      </w:r>
      <w:r w:rsidRPr="00170109">
        <w:rPr>
          <w:szCs w:val="22"/>
        </w:rPr>
        <w:t xml:space="preserve">        Se reciba una solicitud de acceso a la información;</w:t>
      </w:r>
    </w:p>
    <w:p w14:paraId="7D6C9FC2" w14:textId="77777777" w:rsidR="00C76E79" w:rsidRPr="00170109" w:rsidRDefault="00C76E79" w:rsidP="00170109">
      <w:pPr>
        <w:pStyle w:val="Puesto"/>
        <w:rPr>
          <w:szCs w:val="22"/>
        </w:rPr>
      </w:pPr>
      <w:r w:rsidRPr="00170109">
        <w:rPr>
          <w:b/>
          <w:szCs w:val="22"/>
        </w:rPr>
        <w:t>II.</w:t>
      </w:r>
      <w:r w:rsidRPr="00170109">
        <w:rPr>
          <w:szCs w:val="22"/>
        </w:rPr>
        <w:t xml:space="preserve">       Se determine mediante resolución del Comité de Transparencia, el órgano garante competente, o en cumplimiento a una sentencia del Poder Judicial; o</w:t>
      </w:r>
    </w:p>
    <w:p w14:paraId="4B39C1AC" w14:textId="77777777" w:rsidR="00C76E79" w:rsidRPr="00170109" w:rsidRDefault="00C76E79" w:rsidP="00170109">
      <w:pPr>
        <w:pStyle w:val="Puesto"/>
        <w:rPr>
          <w:szCs w:val="22"/>
        </w:rPr>
      </w:pPr>
      <w:r w:rsidRPr="00170109">
        <w:rPr>
          <w:b/>
          <w:szCs w:val="22"/>
        </w:rPr>
        <w:t>III.</w:t>
      </w:r>
      <w:r w:rsidRPr="00170109">
        <w:rPr>
          <w:szCs w:val="22"/>
        </w:rPr>
        <w:t xml:space="preserve">      Se generen versiones públicas para dar cumplimiento a las obligaciones de transparencia previstas en la Ley General, la Ley Federal y las correspondientes de las entidades federativas.</w:t>
      </w:r>
    </w:p>
    <w:p w14:paraId="01C7C86B" w14:textId="77777777" w:rsidR="00C76E79" w:rsidRPr="00170109" w:rsidRDefault="00C76E79" w:rsidP="00170109">
      <w:pPr>
        <w:pStyle w:val="Puesto"/>
        <w:rPr>
          <w:szCs w:val="22"/>
        </w:rPr>
      </w:pPr>
      <w:r w:rsidRPr="00170109">
        <w:rPr>
          <w:szCs w:val="22"/>
        </w:rPr>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686057AF" w14:textId="77777777" w:rsidR="00C76E79" w:rsidRPr="00170109" w:rsidRDefault="00C76E79" w:rsidP="00170109">
      <w:pPr>
        <w:pStyle w:val="Puesto"/>
        <w:rPr>
          <w:szCs w:val="22"/>
        </w:rPr>
      </w:pPr>
    </w:p>
    <w:p w14:paraId="5310B1DD" w14:textId="77777777" w:rsidR="00C76E79" w:rsidRPr="00170109" w:rsidRDefault="00C76E79" w:rsidP="00170109">
      <w:pPr>
        <w:pStyle w:val="Puesto"/>
        <w:rPr>
          <w:szCs w:val="22"/>
        </w:rPr>
      </w:pPr>
      <w:r w:rsidRPr="00170109">
        <w:rPr>
          <w:b/>
          <w:szCs w:val="22"/>
        </w:rPr>
        <w:t>Octavo.</w:t>
      </w:r>
      <w:r w:rsidRPr="00170109">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2843B3C" w14:textId="77777777" w:rsidR="00C76E79" w:rsidRPr="00170109" w:rsidRDefault="00C76E79" w:rsidP="00170109">
      <w:pPr>
        <w:pStyle w:val="Puesto"/>
        <w:rPr>
          <w:szCs w:val="22"/>
        </w:rPr>
      </w:pPr>
      <w:r w:rsidRPr="00170109">
        <w:rPr>
          <w:szCs w:val="22"/>
        </w:rPr>
        <w:t>Para motivar la clasificación se deberán señalar las razones o circunstancias especiales que lo llevaron a concluir que el caso particular se ajusta al supuesto previsto por la norma legal invocada como fundamento.</w:t>
      </w:r>
    </w:p>
    <w:p w14:paraId="65E13F5E" w14:textId="77777777" w:rsidR="00C76E79" w:rsidRPr="00170109" w:rsidRDefault="00C76E79" w:rsidP="00170109">
      <w:pPr>
        <w:pStyle w:val="Puesto"/>
        <w:rPr>
          <w:szCs w:val="22"/>
        </w:rPr>
      </w:pPr>
      <w:r w:rsidRPr="00170109">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D48D96F" w14:textId="77777777" w:rsidR="00C76E79" w:rsidRPr="00170109" w:rsidRDefault="00C76E79" w:rsidP="00170109">
      <w:pPr>
        <w:pStyle w:val="Puesto"/>
        <w:rPr>
          <w:szCs w:val="22"/>
        </w:rPr>
      </w:pPr>
    </w:p>
    <w:p w14:paraId="3ECA3A76" w14:textId="77777777" w:rsidR="00C76E79" w:rsidRPr="00170109" w:rsidRDefault="00C76E79" w:rsidP="00170109">
      <w:pPr>
        <w:pStyle w:val="Puesto"/>
        <w:rPr>
          <w:szCs w:val="22"/>
        </w:rPr>
      </w:pPr>
      <w:r w:rsidRPr="00170109">
        <w:rPr>
          <w:b/>
          <w:szCs w:val="22"/>
        </w:rPr>
        <w:t>Noveno.</w:t>
      </w:r>
      <w:r w:rsidRPr="00170109">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F31911D" w14:textId="77777777" w:rsidR="00C76E79" w:rsidRPr="00170109" w:rsidRDefault="00C76E79" w:rsidP="00170109">
      <w:pPr>
        <w:pStyle w:val="Puesto"/>
        <w:rPr>
          <w:szCs w:val="22"/>
        </w:rPr>
      </w:pPr>
    </w:p>
    <w:p w14:paraId="5B98F3FA" w14:textId="77777777" w:rsidR="00C76E79" w:rsidRPr="00170109" w:rsidRDefault="00C76E79" w:rsidP="00170109">
      <w:pPr>
        <w:pStyle w:val="Puesto"/>
        <w:rPr>
          <w:szCs w:val="22"/>
        </w:rPr>
      </w:pPr>
      <w:r w:rsidRPr="00170109">
        <w:rPr>
          <w:b/>
          <w:szCs w:val="22"/>
        </w:rPr>
        <w:t>Décimo.</w:t>
      </w:r>
      <w:r w:rsidRPr="00170109">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5D4B423" w14:textId="77777777" w:rsidR="00C76E79" w:rsidRPr="00170109" w:rsidRDefault="00C76E79" w:rsidP="00170109">
      <w:pPr>
        <w:pStyle w:val="Puesto"/>
        <w:rPr>
          <w:szCs w:val="22"/>
        </w:rPr>
      </w:pPr>
      <w:r w:rsidRPr="00170109">
        <w:rPr>
          <w:szCs w:val="22"/>
        </w:rPr>
        <w:t>En ausencia de los titulares de las áreas, la información será clasificada o desclasificada por la persona que lo supla, en términos de la normativa que rija la actuación del sujeto obligado.</w:t>
      </w:r>
    </w:p>
    <w:p w14:paraId="1C0F4EED" w14:textId="77777777" w:rsidR="00C76E79" w:rsidRPr="00170109" w:rsidRDefault="00C76E79" w:rsidP="00170109">
      <w:pPr>
        <w:pStyle w:val="Puesto"/>
        <w:rPr>
          <w:b/>
          <w:szCs w:val="22"/>
        </w:rPr>
      </w:pPr>
      <w:r w:rsidRPr="00170109">
        <w:rPr>
          <w:b/>
          <w:szCs w:val="22"/>
        </w:rPr>
        <w:t>Décimo primero.</w:t>
      </w:r>
      <w:r w:rsidRPr="00170109">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70109">
        <w:rPr>
          <w:b/>
          <w:szCs w:val="22"/>
        </w:rPr>
        <w:t>”</w:t>
      </w:r>
    </w:p>
    <w:p w14:paraId="12539405" w14:textId="77777777" w:rsidR="00C76E79" w:rsidRPr="00170109" w:rsidRDefault="00C76E79" w:rsidP="00170109">
      <w:pPr>
        <w:rPr>
          <w:szCs w:val="22"/>
        </w:rPr>
      </w:pPr>
    </w:p>
    <w:p w14:paraId="2B6246F4" w14:textId="77777777" w:rsidR="00C76E79" w:rsidRPr="00170109" w:rsidRDefault="00C76E79" w:rsidP="00170109">
      <w:pPr>
        <w:rPr>
          <w:szCs w:val="22"/>
        </w:rPr>
      </w:pPr>
      <w:r w:rsidRPr="00170109">
        <w:rPr>
          <w:szCs w:val="22"/>
        </w:rPr>
        <w:t xml:space="preserve">Consecuentemente, se destaca que la versión pública que elabore </w:t>
      </w:r>
      <w:r w:rsidRPr="00170109">
        <w:rPr>
          <w:b/>
          <w:szCs w:val="22"/>
        </w:rPr>
        <w:t>EL SUJETO OBLIGADO</w:t>
      </w:r>
      <w:r w:rsidRPr="00170109">
        <w:rPr>
          <w:szCs w:val="22"/>
        </w:rPr>
        <w:t xml:space="preserve"> debe cumplir con las formalidades exigidas en la Ley, por lo que para tal efecto emitirá el </w:t>
      </w:r>
      <w:r w:rsidRPr="00170109">
        <w:rPr>
          <w:b/>
          <w:szCs w:val="22"/>
        </w:rPr>
        <w:lastRenderedPageBreak/>
        <w:t>Acuerdo del Comité de Transparencia</w:t>
      </w:r>
      <w:r w:rsidRPr="00170109">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448CEE3" w14:textId="77777777" w:rsidR="00C76E79" w:rsidRPr="00170109" w:rsidRDefault="00C76E79" w:rsidP="00170109">
      <w:pPr>
        <w:rPr>
          <w:szCs w:val="22"/>
        </w:rPr>
      </w:pPr>
    </w:p>
    <w:p w14:paraId="2835C8E9" w14:textId="77777777" w:rsidR="00C76E79" w:rsidRPr="00170109" w:rsidRDefault="00C76E79" w:rsidP="00170109">
      <w:pPr>
        <w:rPr>
          <w:szCs w:val="22"/>
        </w:rPr>
      </w:pPr>
      <w:r w:rsidRPr="00170109">
        <w:rPr>
          <w:szCs w:val="22"/>
        </w:rPr>
        <w:t>Es importante señalar que, para el caso en concreto, se deben tomar en consideración los siguientes criterios respecto a la información que debe ser, o no, clasificada como confidencial:</w:t>
      </w:r>
    </w:p>
    <w:p w14:paraId="32696298" w14:textId="77777777" w:rsidR="00C76E79" w:rsidRPr="00170109" w:rsidRDefault="00C76E79" w:rsidP="00170109">
      <w:pPr>
        <w:rPr>
          <w:szCs w:val="22"/>
        </w:rPr>
      </w:pPr>
    </w:p>
    <w:p w14:paraId="0FF833CB" w14:textId="77777777" w:rsidR="00C76E79" w:rsidRPr="00170109" w:rsidRDefault="00C76E79" w:rsidP="00170109">
      <w:pPr>
        <w:autoSpaceDE w:val="0"/>
        <w:autoSpaceDN w:val="0"/>
        <w:adjustRightInd w:val="0"/>
        <w:ind w:right="-91"/>
        <w:rPr>
          <w:rFonts w:cs="Arial"/>
          <w:lang w:eastAsia="es-MX"/>
        </w:rPr>
      </w:pPr>
      <w:r w:rsidRPr="00170109">
        <w:rPr>
          <w:rFonts w:cs="Arial"/>
        </w:rPr>
        <w:t>En cuanto al RFC de las personas físicas constituye un dato personal, ya que para su obtención es necesario acreditar ante la autoridad fiscal previamente la identidad de la persona, su fecha de nacimiento, entre otros aspectos.</w:t>
      </w:r>
    </w:p>
    <w:p w14:paraId="3FE7ACAA" w14:textId="77777777" w:rsidR="00C76E79" w:rsidRPr="00170109" w:rsidRDefault="00C76E79" w:rsidP="00170109">
      <w:pPr>
        <w:autoSpaceDE w:val="0"/>
        <w:autoSpaceDN w:val="0"/>
        <w:adjustRightInd w:val="0"/>
        <w:ind w:right="-91"/>
        <w:rPr>
          <w:rFonts w:cs="Arial"/>
        </w:rPr>
      </w:pPr>
    </w:p>
    <w:p w14:paraId="35D7DF42" w14:textId="77777777" w:rsidR="00C76E79" w:rsidRPr="00170109" w:rsidRDefault="00C76E79" w:rsidP="00170109">
      <w:pPr>
        <w:ind w:right="-91"/>
        <w:rPr>
          <w:rFonts w:cs="Arial"/>
        </w:rPr>
      </w:pPr>
      <w:r w:rsidRPr="00170109">
        <w:rPr>
          <w:rFonts w:cs="Arial"/>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14:paraId="359CB73A" w14:textId="77777777" w:rsidR="00C76E79" w:rsidRPr="00170109" w:rsidRDefault="00C76E79" w:rsidP="00170109">
      <w:pPr>
        <w:ind w:right="-91"/>
        <w:rPr>
          <w:rFonts w:cs="Arial"/>
        </w:rPr>
      </w:pPr>
    </w:p>
    <w:p w14:paraId="582DF426" w14:textId="77777777" w:rsidR="00C76E79" w:rsidRPr="00170109" w:rsidRDefault="00C76E79" w:rsidP="00170109">
      <w:pPr>
        <w:ind w:right="-91"/>
        <w:rPr>
          <w:rFonts w:cs="Arial"/>
        </w:rPr>
      </w:pPr>
      <w:r w:rsidRPr="00170109">
        <w:rPr>
          <w:rFonts w:cs="Arial"/>
        </w:rPr>
        <w:t xml:space="preserve">Lo anterior es compartido por el ahora </w:t>
      </w:r>
      <w:r w:rsidRPr="00170109">
        <w:rPr>
          <w:rFonts w:cs="Arial"/>
          <w:b/>
          <w:bCs/>
        </w:rPr>
        <w:t>Instituto Nacional de Transparencia, Acceso a la Información y Protección de Datos Personales</w:t>
      </w:r>
      <w:r w:rsidRPr="00170109">
        <w:rPr>
          <w:rFonts w:cs="Arial"/>
        </w:rPr>
        <w:t xml:space="preserve"> (INAI), conforme al criterio </w:t>
      </w:r>
      <w:r w:rsidRPr="00170109">
        <w:rPr>
          <w:rFonts w:cs="Arial"/>
          <w:b/>
        </w:rPr>
        <w:t>19/17,</w:t>
      </w:r>
      <w:r w:rsidRPr="00170109">
        <w:rPr>
          <w:rFonts w:cs="Arial"/>
        </w:rPr>
        <w:t xml:space="preserve"> el cual es del tenor literal siguiente:</w:t>
      </w:r>
    </w:p>
    <w:p w14:paraId="75FC4BF7" w14:textId="77777777" w:rsidR="00C76E79" w:rsidRPr="00170109" w:rsidRDefault="00C76E79" w:rsidP="00170109">
      <w:pPr>
        <w:ind w:right="-91"/>
        <w:rPr>
          <w:rFonts w:cs="Arial"/>
        </w:rPr>
      </w:pPr>
    </w:p>
    <w:p w14:paraId="6AFB2DBA" w14:textId="77777777" w:rsidR="00C76E79" w:rsidRPr="00170109" w:rsidRDefault="00C76E79" w:rsidP="00170109">
      <w:pPr>
        <w:pStyle w:val="Puesto"/>
      </w:pPr>
      <w:r w:rsidRPr="00170109">
        <w:t>“</w:t>
      </w:r>
      <w:r w:rsidRPr="00170109">
        <w:rPr>
          <w:b/>
          <w:bCs/>
        </w:rPr>
        <w:t>REGISTRO FEDERAL DE CONTRIBUYENTES (RFC) DE PERSONAS FÍSICAS</w:t>
      </w:r>
      <w:r w:rsidRPr="00170109">
        <w:t>.</w:t>
      </w:r>
    </w:p>
    <w:p w14:paraId="41162118" w14:textId="77777777" w:rsidR="00C76E79" w:rsidRPr="00170109" w:rsidRDefault="00C76E79" w:rsidP="00170109">
      <w:pPr>
        <w:pStyle w:val="Puesto"/>
      </w:pPr>
      <w:r w:rsidRPr="00170109">
        <w:t>El RFC es una clave de carácter fiscal, única e irrepetible, que permite identificar al titular, su edad y fecha de nacimiento, por lo que es un dato personal de carácter confidencial.”</w:t>
      </w:r>
      <w:r w:rsidRPr="00170109">
        <w:rPr>
          <w:rStyle w:val="Refdenotaalpie"/>
          <w:rFonts w:cs="Arial"/>
          <w:bCs/>
        </w:rPr>
        <w:footnoteReference w:id="3"/>
      </w:r>
    </w:p>
    <w:p w14:paraId="09007E8C" w14:textId="77777777" w:rsidR="00C76E79" w:rsidRPr="00170109" w:rsidRDefault="00C76E79" w:rsidP="00170109">
      <w:pPr>
        <w:autoSpaceDE w:val="0"/>
        <w:autoSpaceDN w:val="0"/>
        <w:adjustRightInd w:val="0"/>
        <w:ind w:left="567" w:right="850"/>
        <w:rPr>
          <w:rFonts w:cs="Arial"/>
          <w:i/>
        </w:rPr>
      </w:pPr>
    </w:p>
    <w:p w14:paraId="730378C1" w14:textId="77777777" w:rsidR="00C76E79" w:rsidRPr="00170109" w:rsidRDefault="00C76E79" w:rsidP="00170109">
      <w:pPr>
        <w:rPr>
          <w:rFonts w:cs="Arial"/>
        </w:rPr>
      </w:pPr>
      <w:r w:rsidRPr="00170109">
        <w:rPr>
          <w:rFonts w:cs="Arial"/>
        </w:rPr>
        <w:t xml:space="preserve">Así, el RFC se vincula al nombre de su titular, permite identificar la edad de la persona, su fecha de nacimiento, así como su </w:t>
      </w:r>
      <w:proofErr w:type="spellStart"/>
      <w:r w:rsidRPr="00170109">
        <w:rPr>
          <w:rFonts w:cs="Arial"/>
        </w:rPr>
        <w:t>homoclave</w:t>
      </w:r>
      <w:proofErr w:type="spellEnd"/>
      <w:r w:rsidRPr="00170109">
        <w:rPr>
          <w:rFonts w:cs="Arial"/>
        </w:rPr>
        <w:t>, la cual es única e irrepetible y determina justamente la identificación de dicha persona para efectos fiscales, por lo éste constituye un dato personal que concierne a una persona física identificada e identificable.</w:t>
      </w:r>
    </w:p>
    <w:p w14:paraId="673C7148" w14:textId="77777777" w:rsidR="00C76E79" w:rsidRPr="00170109" w:rsidRDefault="00C76E79" w:rsidP="00170109">
      <w:pPr>
        <w:rPr>
          <w:rFonts w:cs="Arial"/>
        </w:rPr>
      </w:pPr>
    </w:p>
    <w:p w14:paraId="14D2CA06" w14:textId="77777777" w:rsidR="00C76E79" w:rsidRPr="00170109" w:rsidRDefault="00C76E79" w:rsidP="00170109">
      <w:pPr>
        <w:rPr>
          <w:rFonts w:cs="Arial"/>
        </w:rPr>
      </w:pPr>
      <w:r w:rsidRPr="00170109">
        <w:rPr>
          <w:rFonts w:cs="Arial"/>
        </w:rPr>
        <w:t xml:space="preserve">No obstante, el RFC tratándose de proveedores o contratistas encuadra dentro de las fronteras conceptuales del interés general y el alcance público, al tratarse de un elemento que, en el caso en particular abona a la transparencia y rendición de cuentas. </w:t>
      </w:r>
    </w:p>
    <w:p w14:paraId="759D0D1C" w14:textId="77777777" w:rsidR="00C76E79" w:rsidRPr="00170109" w:rsidRDefault="00C76E79" w:rsidP="00170109">
      <w:pPr>
        <w:rPr>
          <w:rFonts w:cs="Arial"/>
        </w:rPr>
      </w:pPr>
    </w:p>
    <w:p w14:paraId="250CEF92" w14:textId="77777777" w:rsidR="00C76E79" w:rsidRPr="00170109" w:rsidRDefault="00C76E79" w:rsidP="00170109">
      <w:pPr>
        <w:rPr>
          <w:rFonts w:cs="Arial"/>
        </w:rPr>
      </w:pPr>
      <w:r w:rsidRPr="00170109">
        <w:rPr>
          <w:rFonts w:cs="Arial"/>
        </w:rPr>
        <w:t xml:space="preserve">Robustece lo anterior, el criterio </w:t>
      </w:r>
      <w:r w:rsidRPr="00170109">
        <w:rPr>
          <w:rFonts w:cs="Arial"/>
          <w:b/>
          <w:bCs/>
        </w:rPr>
        <w:t xml:space="preserve">04/21 </w:t>
      </w:r>
      <w:r w:rsidRPr="00170109">
        <w:rPr>
          <w:rFonts w:cs="Arial"/>
        </w:rPr>
        <w:t xml:space="preserve">emitido por el Órgano Garante Nacional, cuyo rubro y texto disponen a la literalidad lo siguiente: </w:t>
      </w:r>
    </w:p>
    <w:p w14:paraId="7C4F8C60" w14:textId="77777777" w:rsidR="00C76E79" w:rsidRPr="00170109" w:rsidRDefault="00C76E79" w:rsidP="00170109">
      <w:pPr>
        <w:rPr>
          <w:rFonts w:cs="Arial"/>
        </w:rPr>
      </w:pPr>
    </w:p>
    <w:p w14:paraId="12C94500" w14:textId="77777777" w:rsidR="00C76E79" w:rsidRPr="00170109" w:rsidRDefault="00C76E79" w:rsidP="00170109">
      <w:pPr>
        <w:pStyle w:val="Citas"/>
        <w:spacing w:before="0" w:after="0" w:line="240" w:lineRule="auto"/>
        <w:ind w:right="899"/>
        <w:rPr>
          <w:b/>
        </w:rPr>
      </w:pPr>
      <w:r w:rsidRPr="00170109">
        <w:rPr>
          <w:b/>
        </w:rPr>
        <w:t xml:space="preserve">“REGISTRO FEDERAL DE CONTRIBUYENTES (RFC) DE PERSONAS FÍSICAS PROVEEDORES O CONTRATISTAS. </w:t>
      </w:r>
    </w:p>
    <w:p w14:paraId="4E68C9DF" w14:textId="77777777" w:rsidR="00C76E79" w:rsidRPr="00170109" w:rsidRDefault="00C76E79" w:rsidP="00170109">
      <w:pPr>
        <w:pStyle w:val="Citas"/>
        <w:spacing w:before="0" w:after="0" w:line="240" w:lineRule="auto"/>
        <w:ind w:right="899"/>
      </w:pPr>
      <w:r w:rsidRPr="00170109">
        <w:t>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w:t>
      </w:r>
      <w:r w:rsidRPr="00170109">
        <w:rPr>
          <w:rStyle w:val="Refdenotaalpie"/>
        </w:rPr>
        <w:footnoteReference w:id="4"/>
      </w:r>
      <w:r w:rsidRPr="00170109">
        <w:t xml:space="preserve"> </w:t>
      </w:r>
    </w:p>
    <w:p w14:paraId="251544AF" w14:textId="77777777" w:rsidR="00C76E79" w:rsidRPr="00170109" w:rsidRDefault="00C76E79" w:rsidP="00170109">
      <w:pPr>
        <w:pStyle w:val="Citas"/>
        <w:spacing w:before="0" w:after="0" w:line="240" w:lineRule="auto"/>
      </w:pPr>
    </w:p>
    <w:p w14:paraId="3BF8AACB" w14:textId="77777777" w:rsidR="00C76E79" w:rsidRPr="00170109" w:rsidRDefault="00C76E79" w:rsidP="00170109">
      <w:pPr>
        <w:rPr>
          <w:rFonts w:eastAsia="Calibri" w:cs="Arial"/>
        </w:rPr>
      </w:pPr>
      <w:r w:rsidRPr="00170109">
        <w:rPr>
          <w:rFonts w:cs="Arial"/>
        </w:rPr>
        <w:t xml:space="preserve">En cuanto a la Clave Única de Registro de Población (CURP), se </w:t>
      </w:r>
      <w:r w:rsidRPr="00170109">
        <w:rPr>
          <w:rFonts w:eastAsia="Calibri" w:cs="Arial"/>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4DBCF095" w14:textId="77777777" w:rsidR="00C76E79" w:rsidRPr="00170109" w:rsidRDefault="00C76E79" w:rsidP="00170109">
      <w:pPr>
        <w:rPr>
          <w:rFonts w:eastAsia="Calibri" w:cs="Arial"/>
        </w:rPr>
      </w:pPr>
    </w:p>
    <w:p w14:paraId="64665EDD" w14:textId="77777777" w:rsidR="00C76E79" w:rsidRPr="00170109" w:rsidRDefault="00C76E79" w:rsidP="00170109">
      <w:pPr>
        <w:ind w:right="-91"/>
        <w:rPr>
          <w:rFonts w:eastAsia="Palatino Linotype" w:cs="Arial"/>
        </w:rPr>
      </w:pPr>
      <w:r w:rsidRPr="00170109">
        <w:rPr>
          <w:rFonts w:cs="Arial"/>
        </w:rPr>
        <w:t xml:space="preserve">Argumento que es compartido por el </w:t>
      </w:r>
      <w:r w:rsidRPr="00170109">
        <w:rPr>
          <w:rStyle w:val="Textoennegrita"/>
          <w:rFonts w:eastAsiaTheme="majorEastAsia" w:cs="Arial"/>
        </w:rPr>
        <w:t xml:space="preserve">Instituto Nacional de Transparencia, Acceso a la Información y Protección de Datos Personales, conforme al </w:t>
      </w:r>
      <w:r w:rsidRPr="00170109">
        <w:rPr>
          <w:rFonts w:cs="Arial"/>
        </w:rPr>
        <w:t xml:space="preserve">criterio número 18/17 el cual refiere: </w:t>
      </w:r>
    </w:p>
    <w:p w14:paraId="46524337" w14:textId="77777777" w:rsidR="00C76E79" w:rsidRPr="00170109" w:rsidRDefault="00C76E79" w:rsidP="00170109">
      <w:pPr>
        <w:pStyle w:val="Puesto"/>
      </w:pPr>
    </w:p>
    <w:p w14:paraId="5CE96347" w14:textId="77777777" w:rsidR="00C76E79" w:rsidRPr="00170109" w:rsidRDefault="00C76E79" w:rsidP="00170109">
      <w:pPr>
        <w:pStyle w:val="Puesto"/>
        <w:jc w:val="center"/>
        <w:rPr>
          <w:b/>
          <w:bCs/>
        </w:rPr>
      </w:pPr>
      <w:r w:rsidRPr="00170109">
        <w:rPr>
          <w:bCs/>
        </w:rPr>
        <w:t>“</w:t>
      </w:r>
      <w:r w:rsidRPr="00170109">
        <w:rPr>
          <w:b/>
          <w:bCs/>
        </w:rPr>
        <w:t>CLAVE ÚNICA DE REGISTRO DE POBLACIÓN (CURP).</w:t>
      </w:r>
    </w:p>
    <w:p w14:paraId="009293E2" w14:textId="77777777" w:rsidR="00C76E79" w:rsidRPr="00170109" w:rsidRDefault="00C76E79" w:rsidP="00170109">
      <w:pPr>
        <w:pStyle w:val="Puesto"/>
      </w:pPr>
      <w:r w:rsidRPr="00170109">
        <w:rPr>
          <w:bCs/>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r w:rsidRPr="00170109">
        <w:rPr>
          <w:rStyle w:val="Refdenotaalpie"/>
          <w:rFonts w:cs="Arial"/>
          <w:bCs/>
        </w:rPr>
        <w:footnoteReference w:id="5"/>
      </w:r>
      <w:r w:rsidRPr="00170109">
        <w:rPr>
          <w:bCs/>
        </w:rPr>
        <w:t xml:space="preserve">. </w:t>
      </w:r>
      <w:r w:rsidRPr="00170109">
        <w:t xml:space="preserve"> </w:t>
      </w:r>
    </w:p>
    <w:p w14:paraId="123FE699" w14:textId="77777777" w:rsidR="00C76E79" w:rsidRPr="00170109" w:rsidRDefault="00C76E79" w:rsidP="00170109">
      <w:pPr>
        <w:ind w:right="51"/>
        <w:rPr>
          <w:rFonts w:cs="Arial"/>
        </w:rPr>
      </w:pPr>
    </w:p>
    <w:p w14:paraId="387E367A" w14:textId="77777777" w:rsidR="00C76E79" w:rsidRPr="00170109" w:rsidRDefault="00C76E79" w:rsidP="00170109">
      <w:pPr>
        <w:ind w:right="51"/>
        <w:rPr>
          <w:rFonts w:cs="Arial"/>
        </w:rPr>
      </w:pPr>
      <w:r w:rsidRPr="00170109">
        <w:rPr>
          <w:rFonts w:cs="Arial"/>
        </w:rPr>
        <w:lastRenderedPageBreak/>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local, así como los numerales aplicables de los </w:t>
      </w:r>
      <w:r w:rsidRPr="00170109">
        <w:rPr>
          <w:rFonts w:cs="Arial"/>
          <w:b/>
        </w:rPr>
        <w:t>Lineamientos Generales en Materia de Clasificación y Desclasificación de la Información, así como para la Elaboración de Versiones Públicas,</w:t>
      </w:r>
      <w:r w:rsidRPr="00170109">
        <w:rPr>
          <w:rFonts w:cs="Arial"/>
        </w:rPr>
        <w:t xml:space="preserve"> publicados en el Diario Oficial de la Federación en fecha quince de abril de dos mil dieciséis, mediante Acuerdo del Consejo Nacional del Sistema Nacional de Transparencia, Acceso a la Información Pública y Protección de Datos Personales</w:t>
      </w:r>
      <w:r w:rsidRPr="00170109">
        <w:rPr>
          <w:rFonts w:cs="Arial"/>
          <w:vertAlign w:val="superscript"/>
        </w:rPr>
        <w:footnoteReference w:id="6"/>
      </w:r>
      <w:r w:rsidRPr="00170109">
        <w:rPr>
          <w:rFonts w:cs="Arial"/>
        </w:rPr>
        <w:t xml:space="preserve">. </w:t>
      </w:r>
    </w:p>
    <w:p w14:paraId="5CFCC2D1" w14:textId="77777777" w:rsidR="00C76E79" w:rsidRPr="00170109" w:rsidRDefault="00C76E79" w:rsidP="00170109">
      <w:pPr>
        <w:rPr>
          <w:rFonts w:cs="Palatino Linotype"/>
          <w:b/>
        </w:rPr>
      </w:pPr>
    </w:p>
    <w:p w14:paraId="67CAC203" w14:textId="77777777" w:rsidR="00C76E79" w:rsidRPr="00170109" w:rsidRDefault="00C76E79" w:rsidP="00170109">
      <w:pPr>
        <w:rPr>
          <w:rFonts w:eastAsia="Calibri" w:cs="Tahoma"/>
          <w:b/>
          <w:bCs/>
          <w:lang w:eastAsia="en-US"/>
        </w:rPr>
      </w:pPr>
      <w:r w:rsidRPr="00170109">
        <w:rPr>
          <w:rFonts w:eastAsia="Calibri" w:cs="Tahoma"/>
          <w:bCs/>
          <w:lang w:eastAsia="en-US"/>
        </w:rPr>
        <w:t xml:space="preserve">El  </w:t>
      </w:r>
      <w:r w:rsidRPr="00170109">
        <w:rPr>
          <w:rFonts w:eastAsia="Calibri" w:cs="Tahoma"/>
          <w:b/>
          <w:bCs/>
          <w:lang w:eastAsia="en-US"/>
        </w:rPr>
        <w:t>Nombres de personas que no son servidores públicos</w:t>
      </w:r>
      <w:r w:rsidRPr="00170109">
        <w:rPr>
          <w:rFonts w:eastAsia="Calibri" w:cs="Tahoma"/>
          <w:bCs/>
          <w:lang w:eastAsia="en-US"/>
        </w:rPr>
        <w:t xml:space="preserve">, 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170109">
        <w:rPr>
          <w:rFonts w:eastAsia="Calibri" w:cs="Tahoma"/>
          <w:bCs/>
          <w:i/>
          <w:lang w:eastAsia="en-US"/>
        </w:rPr>
        <w:t>per se</w:t>
      </w:r>
      <w:r w:rsidRPr="00170109">
        <w:rPr>
          <w:rFonts w:eastAsia="Calibri" w:cs="Tahoma"/>
          <w:bCs/>
          <w:lang w:eastAsia="en-US"/>
        </w:rPr>
        <w:t xml:space="preserve"> es un elemento que hace a una persona física identificada o identificable, por lo que, </w:t>
      </w:r>
      <w:r w:rsidRPr="00170109">
        <w:rPr>
          <w:rFonts w:eastAsia="Calibri" w:cs="Tahoma"/>
          <w:b/>
          <w:bCs/>
          <w:lang w:eastAsia="en-US"/>
        </w:rPr>
        <w:t>se considera un dato personal.</w:t>
      </w:r>
    </w:p>
    <w:p w14:paraId="6881D11E" w14:textId="77777777" w:rsidR="00C76E79" w:rsidRPr="00170109" w:rsidRDefault="00C76E79" w:rsidP="00170109">
      <w:pPr>
        <w:rPr>
          <w:rFonts w:eastAsia="Calibri" w:cs="Tahoma"/>
          <w:b/>
          <w:bCs/>
          <w:lang w:eastAsia="en-US"/>
        </w:rPr>
      </w:pPr>
    </w:p>
    <w:p w14:paraId="5740588B" w14:textId="77777777" w:rsidR="00C76E79" w:rsidRPr="00170109" w:rsidRDefault="00C76E79" w:rsidP="00170109">
      <w:pPr>
        <w:rPr>
          <w:rFonts w:eastAsia="Calibri" w:cs="Tahoma"/>
          <w:bCs/>
          <w:lang w:val="es-ES" w:eastAsia="en-US"/>
        </w:rPr>
      </w:pPr>
      <w:r w:rsidRPr="00170109">
        <w:rPr>
          <w:rFonts w:eastAsia="Calibri" w:cs="Tahoma"/>
          <w:bCs/>
          <w:lang w:eastAsia="en-US"/>
        </w:rPr>
        <w:t>Con base en lo anterior, procede su eliminación de las versiones públicas, pues</w:t>
      </w:r>
      <w:r w:rsidRPr="00170109">
        <w:rPr>
          <w:rFonts w:eastAsia="Calibri" w:cs="Tahoma"/>
          <w:bCs/>
          <w:lang w:val="es-ES" w:eastAsia="en-US"/>
        </w:rPr>
        <w:t xml:space="preserve"> se considera un dato personal en términos del artículo 143, fracción I de la Ley de Transparencia y Acceso a la Información Pública del Estado de México y Municipios.</w:t>
      </w:r>
    </w:p>
    <w:p w14:paraId="5A91B4DF" w14:textId="77777777" w:rsidR="00C76E79" w:rsidRPr="00170109" w:rsidRDefault="00C76E79" w:rsidP="00170109">
      <w:pPr>
        <w:rPr>
          <w:szCs w:val="22"/>
        </w:rPr>
      </w:pPr>
    </w:p>
    <w:p w14:paraId="63F2A7EC" w14:textId="77777777" w:rsidR="00C76E79" w:rsidRPr="00170109" w:rsidRDefault="00C76E79" w:rsidP="00170109">
      <w:pPr>
        <w:pStyle w:val="Ttulo3"/>
        <w:rPr>
          <w:szCs w:val="22"/>
        </w:rPr>
      </w:pPr>
      <w:bookmarkStart w:id="31" w:name="_Toc165304079"/>
      <w:bookmarkStart w:id="32" w:name="_Toc178603939"/>
      <w:bookmarkStart w:id="33" w:name="_Toc179927183"/>
      <w:r w:rsidRPr="00170109">
        <w:rPr>
          <w:rFonts w:eastAsia="Calibri"/>
          <w:szCs w:val="22"/>
        </w:rPr>
        <w:lastRenderedPageBreak/>
        <w:t xml:space="preserve">e) </w:t>
      </w:r>
      <w:bookmarkEnd w:id="31"/>
      <w:r w:rsidRPr="00170109">
        <w:rPr>
          <w:szCs w:val="22"/>
        </w:rPr>
        <w:t>Conclusión</w:t>
      </w:r>
      <w:bookmarkEnd w:id="32"/>
      <w:bookmarkEnd w:id="33"/>
    </w:p>
    <w:p w14:paraId="6F21020A" w14:textId="77777777" w:rsidR="00C76E79" w:rsidRPr="00170109" w:rsidRDefault="00C76E79" w:rsidP="00170109">
      <w:pPr>
        <w:widowControl w:val="0"/>
        <w:tabs>
          <w:tab w:val="left" w:pos="1701"/>
          <w:tab w:val="left" w:pos="1843"/>
        </w:tabs>
        <w:rPr>
          <w:rFonts w:eastAsia="Palatino Linotype" w:cs="Palatino Linotype"/>
        </w:rPr>
      </w:pPr>
      <w:r w:rsidRPr="00170109">
        <w:rPr>
          <w:rFonts w:eastAsia="Palatino Linotype" w:cs="Palatino Linotype"/>
        </w:rPr>
        <w:t xml:space="preserve">En razón de lo anteriormente expuesto, este Instituto estima que las razones o motivos de inconformidad hechos valer por </w:t>
      </w:r>
      <w:r w:rsidRPr="00170109">
        <w:rPr>
          <w:rFonts w:eastAsiaTheme="minorHAnsi" w:cs="Tahoma"/>
          <w:b/>
          <w:iCs/>
          <w:szCs w:val="22"/>
          <w:lang w:eastAsia="en-US"/>
        </w:rPr>
        <w:t>LA PARTE RECURRENTE</w:t>
      </w:r>
      <w:r w:rsidRPr="00170109">
        <w:rPr>
          <w:rFonts w:eastAsiaTheme="minorHAnsi" w:cs="Tahoma"/>
          <w:bCs/>
          <w:iCs/>
          <w:szCs w:val="22"/>
          <w:lang w:eastAsia="en-US"/>
        </w:rPr>
        <w:t xml:space="preserve"> </w:t>
      </w:r>
      <w:r w:rsidRPr="00170109">
        <w:rPr>
          <w:rFonts w:eastAsia="Palatino Linotype" w:cs="Palatino Linotype"/>
        </w:rPr>
        <w:t xml:space="preserve">devienen </w:t>
      </w:r>
      <w:r w:rsidRPr="00170109">
        <w:rPr>
          <w:rFonts w:eastAsia="Palatino Linotype" w:cs="Palatino Linotype"/>
          <w:b/>
        </w:rPr>
        <w:t>fundadas</w:t>
      </w:r>
      <w:r w:rsidRPr="00170109">
        <w:rPr>
          <w:rFonts w:eastAsia="Palatino Linotype" w:cs="Palatino Linotype"/>
        </w:rPr>
        <w:t xml:space="preserve"> y suficientes para </w:t>
      </w:r>
      <w:r w:rsidRPr="00170109">
        <w:rPr>
          <w:rFonts w:eastAsia="Palatino Linotype" w:cs="Palatino Linotype"/>
          <w:b/>
        </w:rPr>
        <w:t>REVOCAR</w:t>
      </w:r>
      <w:r w:rsidRPr="00170109">
        <w:rPr>
          <w:rFonts w:eastAsia="Palatino Linotype" w:cs="Palatino Linotype"/>
        </w:rPr>
        <w:t xml:space="preserve"> la respuesta del </w:t>
      </w:r>
      <w:r w:rsidRPr="00170109">
        <w:rPr>
          <w:rFonts w:eastAsia="Palatino Linotype" w:cs="Palatino Linotype"/>
          <w:b/>
        </w:rPr>
        <w:t>SUJETO OBLIGADO</w:t>
      </w:r>
      <w:r w:rsidRPr="00170109">
        <w:rPr>
          <w:rFonts w:eastAsia="Palatino Linotype" w:cs="Palatino Linotype"/>
        </w:rPr>
        <w:t xml:space="preserve"> y ordenarle haga entrega de la información materia de la solicitud.</w:t>
      </w:r>
    </w:p>
    <w:p w14:paraId="60583CC1" w14:textId="77777777" w:rsidR="00C76E79" w:rsidRPr="00170109" w:rsidRDefault="00C76E79" w:rsidP="00170109">
      <w:pPr>
        <w:widowControl w:val="0"/>
        <w:tabs>
          <w:tab w:val="left" w:pos="1701"/>
          <w:tab w:val="left" w:pos="1843"/>
        </w:tabs>
        <w:rPr>
          <w:rFonts w:eastAsia="Palatino Linotype" w:cs="Palatino Linotype"/>
        </w:rPr>
      </w:pPr>
    </w:p>
    <w:p w14:paraId="35A49878" w14:textId="77777777" w:rsidR="00C76E79" w:rsidRPr="00170109" w:rsidRDefault="00C76E79" w:rsidP="00170109">
      <w:pPr>
        <w:ind w:right="-93"/>
        <w:rPr>
          <w:rFonts w:cs="Tahoma"/>
          <w:bCs/>
          <w:szCs w:val="22"/>
        </w:rPr>
      </w:pPr>
      <w:bookmarkStart w:id="34" w:name="_Hlk165381027"/>
      <w:r w:rsidRPr="00170109">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4"/>
    <w:p w14:paraId="067A1035" w14:textId="77777777" w:rsidR="00C76E79" w:rsidRPr="00170109" w:rsidRDefault="00C76E79" w:rsidP="00170109">
      <w:pPr>
        <w:rPr>
          <w:szCs w:val="22"/>
        </w:rPr>
      </w:pPr>
    </w:p>
    <w:p w14:paraId="13CC8837" w14:textId="77777777" w:rsidR="00C76E79" w:rsidRPr="00170109" w:rsidRDefault="00C76E79" w:rsidP="00170109">
      <w:pPr>
        <w:pStyle w:val="Ttulo1"/>
        <w:rPr>
          <w:szCs w:val="22"/>
        </w:rPr>
      </w:pPr>
      <w:bookmarkStart w:id="35" w:name="_Toc178603940"/>
      <w:bookmarkStart w:id="36" w:name="_Toc179927184"/>
      <w:r w:rsidRPr="00170109">
        <w:rPr>
          <w:szCs w:val="22"/>
        </w:rPr>
        <w:t>RESUELVE</w:t>
      </w:r>
      <w:bookmarkEnd w:id="35"/>
      <w:bookmarkEnd w:id="36"/>
    </w:p>
    <w:p w14:paraId="289259FC" w14:textId="77777777" w:rsidR="00C76E79" w:rsidRPr="00170109" w:rsidRDefault="00C76E79" w:rsidP="00170109">
      <w:pPr>
        <w:ind w:right="113"/>
        <w:rPr>
          <w:rFonts w:cs="Arial"/>
          <w:b/>
          <w:szCs w:val="22"/>
        </w:rPr>
      </w:pPr>
    </w:p>
    <w:p w14:paraId="1192CE46" w14:textId="2E22EAE0" w:rsidR="00C76E79" w:rsidRPr="00170109" w:rsidRDefault="00C76E79" w:rsidP="00170109">
      <w:pPr>
        <w:widowControl w:val="0"/>
        <w:rPr>
          <w:rFonts w:eastAsia="Calibri" w:cs="Tahoma"/>
          <w:bCs/>
          <w:szCs w:val="22"/>
          <w:lang w:eastAsia="en-US"/>
        </w:rPr>
      </w:pPr>
      <w:r w:rsidRPr="00170109">
        <w:rPr>
          <w:b/>
          <w:bCs/>
          <w:szCs w:val="22"/>
        </w:rPr>
        <w:t>PRIMERO.</w:t>
      </w:r>
      <w:r w:rsidRPr="00170109">
        <w:rPr>
          <w:szCs w:val="22"/>
        </w:rPr>
        <w:t xml:space="preserve"> </w:t>
      </w:r>
      <w:r w:rsidRPr="00170109">
        <w:rPr>
          <w:rFonts w:cs="Tahoma"/>
          <w:szCs w:val="22"/>
        </w:rPr>
        <w:t xml:space="preserve">Se </w:t>
      </w:r>
      <w:r w:rsidRPr="00170109">
        <w:rPr>
          <w:rFonts w:cs="Tahoma"/>
          <w:b/>
          <w:bCs/>
          <w:szCs w:val="22"/>
        </w:rPr>
        <w:t>REVOCA</w:t>
      </w:r>
      <w:r w:rsidRPr="00170109">
        <w:rPr>
          <w:rFonts w:cs="Tahoma"/>
          <w:szCs w:val="22"/>
        </w:rPr>
        <w:t xml:space="preserve"> la respuesta entregada por el </w:t>
      </w:r>
      <w:r w:rsidRPr="00170109">
        <w:rPr>
          <w:rFonts w:cs="Tahoma"/>
          <w:b/>
          <w:bCs/>
          <w:szCs w:val="22"/>
        </w:rPr>
        <w:t>SUJETO OBLIGADO</w:t>
      </w:r>
      <w:r w:rsidRPr="00170109">
        <w:rPr>
          <w:rFonts w:cs="Tahoma"/>
          <w:szCs w:val="22"/>
        </w:rPr>
        <w:t xml:space="preserve"> en la solicitud de información </w:t>
      </w:r>
      <w:r w:rsidRPr="00170109">
        <w:rPr>
          <w:rFonts w:cs="Tahoma"/>
          <w:b/>
          <w:szCs w:val="22"/>
        </w:rPr>
        <w:t>00229/SEDUI/IP/2024</w:t>
      </w:r>
      <w:r w:rsidRPr="00170109">
        <w:rPr>
          <w:rFonts w:cs="Tahoma"/>
          <w:bCs/>
          <w:szCs w:val="22"/>
        </w:rPr>
        <w:t xml:space="preserve">, </w:t>
      </w:r>
      <w:r w:rsidRPr="00170109">
        <w:rPr>
          <w:rFonts w:eastAsia="Calibri" w:cs="Tahoma"/>
          <w:bCs/>
          <w:szCs w:val="22"/>
          <w:lang w:eastAsia="en-US"/>
        </w:rPr>
        <w:t xml:space="preserve">por resultar </w:t>
      </w:r>
      <w:r w:rsidRPr="00170109">
        <w:rPr>
          <w:rFonts w:eastAsia="Calibri" w:cs="Tahoma"/>
          <w:b/>
          <w:bCs/>
          <w:szCs w:val="22"/>
          <w:lang w:eastAsia="en-US"/>
        </w:rPr>
        <w:t>FUNDADAS</w:t>
      </w:r>
      <w:r w:rsidRPr="00170109">
        <w:rPr>
          <w:rFonts w:eastAsia="Calibri" w:cs="Tahoma"/>
          <w:bCs/>
          <w:szCs w:val="22"/>
          <w:lang w:eastAsia="en-US"/>
        </w:rPr>
        <w:t xml:space="preserve"> las razones o motivos de inconformidad hechos valer por </w:t>
      </w:r>
      <w:r w:rsidRPr="00170109">
        <w:rPr>
          <w:rFonts w:eastAsia="Calibri" w:cs="Tahoma"/>
          <w:b/>
          <w:szCs w:val="22"/>
          <w:lang w:eastAsia="en-US"/>
        </w:rPr>
        <w:t>LA PARTE RECURRENTE</w:t>
      </w:r>
      <w:r w:rsidRPr="00170109">
        <w:rPr>
          <w:rFonts w:eastAsia="Calibri" w:cs="Tahoma"/>
          <w:bCs/>
          <w:szCs w:val="22"/>
          <w:lang w:eastAsia="en-US"/>
        </w:rPr>
        <w:t xml:space="preserve"> en el Recurso de Revisión </w:t>
      </w:r>
      <w:r w:rsidRPr="00170109">
        <w:rPr>
          <w:rFonts w:eastAsiaTheme="minorHAnsi" w:cstheme="minorBidi"/>
          <w:b/>
          <w:bCs/>
          <w:szCs w:val="22"/>
          <w:lang w:eastAsia="en-US"/>
        </w:rPr>
        <w:t>05767/INFOEM/IP/RR/2024</w:t>
      </w:r>
      <w:r w:rsidRPr="00170109">
        <w:rPr>
          <w:rFonts w:eastAsiaTheme="minorHAnsi" w:cstheme="minorBidi"/>
          <w:szCs w:val="22"/>
          <w:lang w:eastAsia="en-US"/>
        </w:rPr>
        <w:t>,</w:t>
      </w:r>
      <w:r w:rsidRPr="00170109">
        <w:rPr>
          <w:rFonts w:cs="Tahoma"/>
          <w:b/>
          <w:szCs w:val="22"/>
        </w:rPr>
        <w:t xml:space="preserve"> </w:t>
      </w:r>
      <w:r w:rsidRPr="00170109">
        <w:rPr>
          <w:rFonts w:eastAsia="Calibri" w:cs="Tahoma"/>
          <w:bCs/>
          <w:szCs w:val="22"/>
          <w:lang w:eastAsia="en-US"/>
        </w:rPr>
        <w:t xml:space="preserve">en términos del considerando </w:t>
      </w:r>
      <w:r w:rsidRPr="00170109">
        <w:rPr>
          <w:rFonts w:eastAsia="Calibri" w:cs="Tahoma"/>
          <w:b/>
          <w:szCs w:val="22"/>
          <w:lang w:eastAsia="en-US"/>
        </w:rPr>
        <w:t>SEGUNDO</w:t>
      </w:r>
      <w:r w:rsidRPr="00170109">
        <w:rPr>
          <w:rFonts w:eastAsia="Calibri" w:cs="Tahoma"/>
          <w:bCs/>
          <w:szCs w:val="22"/>
          <w:lang w:eastAsia="en-US"/>
        </w:rPr>
        <w:t xml:space="preserve"> de la presente Resolución.</w:t>
      </w:r>
    </w:p>
    <w:p w14:paraId="48000FF9" w14:textId="77777777" w:rsidR="00C76E79" w:rsidRPr="00170109" w:rsidRDefault="00C76E79" w:rsidP="00170109">
      <w:pPr>
        <w:widowControl w:val="0"/>
        <w:rPr>
          <w:rFonts w:eastAsia="Calibri" w:cs="Tahoma"/>
          <w:bCs/>
          <w:szCs w:val="22"/>
          <w:lang w:eastAsia="en-US"/>
        </w:rPr>
      </w:pPr>
    </w:p>
    <w:p w14:paraId="4571944E" w14:textId="77777777" w:rsidR="00C76E79" w:rsidRPr="00170109" w:rsidRDefault="00C76E79" w:rsidP="00170109">
      <w:pPr>
        <w:ind w:right="-93"/>
        <w:rPr>
          <w:rFonts w:eastAsia="Calibri" w:cs="Tahoma"/>
          <w:bCs/>
          <w:szCs w:val="22"/>
          <w:lang w:eastAsia="en-US"/>
        </w:rPr>
      </w:pPr>
      <w:r w:rsidRPr="00170109">
        <w:rPr>
          <w:rFonts w:eastAsia="Calibri" w:cs="Tahoma"/>
          <w:b/>
          <w:bCs/>
          <w:szCs w:val="22"/>
          <w:lang w:eastAsia="en-US"/>
        </w:rPr>
        <w:t>SEGUNDO.</w:t>
      </w:r>
      <w:r w:rsidRPr="00170109">
        <w:rPr>
          <w:rFonts w:eastAsia="Calibri" w:cs="Tahoma"/>
          <w:szCs w:val="22"/>
          <w:lang w:eastAsia="es-MX"/>
        </w:rPr>
        <w:t xml:space="preserve"> Se </w:t>
      </w:r>
      <w:r w:rsidRPr="00170109">
        <w:rPr>
          <w:rFonts w:eastAsia="Calibri" w:cs="Tahoma"/>
          <w:b/>
          <w:szCs w:val="22"/>
          <w:lang w:eastAsia="es-MX"/>
        </w:rPr>
        <w:t xml:space="preserve">ORDENA </w:t>
      </w:r>
      <w:r w:rsidRPr="00170109">
        <w:rPr>
          <w:rFonts w:eastAsia="Calibri" w:cs="Tahoma"/>
          <w:szCs w:val="22"/>
          <w:lang w:eastAsia="es-MX"/>
        </w:rPr>
        <w:t xml:space="preserve">al </w:t>
      </w:r>
      <w:r w:rsidRPr="00170109">
        <w:rPr>
          <w:rFonts w:eastAsia="Calibri" w:cs="Tahoma"/>
          <w:b/>
          <w:bCs/>
          <w:szCs w:val="22"/>
          <w:lang w:eastAsia="es-MX"/>
        </w:rPr>
        <w:t>SUJETO OBLIGADO</w:t>
      </w:r>
      <w:r w:rsidRPr="00170109">
        <w:rPr>
          <w:rFonts w:eastAsia="Calibri" w:cs="Tahoma"/>
          <w:szCs w:val="22"/>
          <w:lang w:eastAsia="es-MX"/>
        </w:rPr>
        <w:t xml:space="preserve">, </w:t>
      </w:r>
      <w:r w:rsidRPr="00170109">
        <w:rPr>
          <w:rFonts w:eastAsia="Calibri" w:cs="Tahoma"/>
          <w:bCs/>
          <w:szCs w:val="22"/>
          <w:lang w:eastAsia="en-US"/>
        </w:rPr>
        <w:t xml:space="preserve">a efecto de que, previa búsqueda exhaustiva y razonable de la información, entregue a través del </w:t>
      </w:r>
      <w:r w:rsidRPr="00170109">
        <w:rPr>
          <w:rFonts w:eastAsia="Calibri" w:cs="Tahoma"/>
          <w:b/>
          <w:bCs/>
          <w:szCs w:val="22"/>
          <w:lang w:eastAsia="en-US"/>
        </w:rPr>
        <w:t>SAIMEX</w:t>
      </w:r>
      <w:r w:rsidRPr="00170109">
        <w:rPr>
          <w:rFonts w:eastAsia="Calibri" w:cs="Tahoma"/>
          <w:bCs/>
          <w:szCs w:val="22"/>
          <w:lang w:eastAsia="en-US"/>
        </w:rPr>
        <w:t xml:space="preserve">, de ser procedente en </w:t>
      </w:r>
      <w:r w:rsidRPr="00170109">
        <w:rPr>
          <w:rFonts w:eastAsia="Calibri" w:cs="Tahoma"/>
          <w:b/>
          <w:bCs/>
          <w:szCs w:val="22"/>
          <w:lang w:eastAsia="en-US"/>
        </w:rPr>
        <w:t>versión pública</w:t>
      </w:r>
      <w:r w:rsidRPr="00170109">
        <w:rPr>
          <w:rFonts w:eastAsia="Calibri" w:cs="Tahoma"/>
          <w:bCs/>
          <w:szCs w:val="22"/>
          <w:lang w:eastAsia="en-US"/>
        </w:rPr>
        <w:t>, el soporte documental que dé cuenta de lo siguiente:</w:t>
      </w:r>
    </w:p>
    <w:p w14:paraId="31534DCD" w14:textId="77777777" w:rsidR="00C76E79" w:rsidRPr="00170109" w:rsidRDefault="00C76E79" w:rsidP="00170109">
      <w:pPr>
        <w:ind w:right="-93"/>
        <w:rPr>
          <w:rFonts w:eastAsia="Calibri" w:cs="Tahoma"/>
          <w:bCs/>
          <w:szCs w:val="22"/>
          <w:lang w:eastAsia="en-US"/>
        </w:rPr>
      </w:pPr>
    </w:p>
    <w:p w14:paraId="40DE691E" w14:textId="21193570" w:rsidR="00C76E79" w:rsidRPr="00170109" w:rsidRDefault="00C76E79" w:rsidP="00170109">
      <w:pPr>
        <w:pStyle w:val="Puesto"/>
        <w:ind w:left="851" w:right="822"/>
      </w:pPr>
      <w:r w:rsidRPr="00170109">
        <w:lastRenderedPageBreak/>
        <w:t>1. Actas de entrega</w:t>
      </w:r>
      <w:r w:rsidR="004804F2" w:rsidRPr="00170109">
        <w:t xml:space="preserve"> y </w:t>
      </w:r>
      <w:r w:rsidRPr="00170109">
        <w:t>recepción</w:t>
      </w:r>
      <w:r w:rsidR="00B21C80" w:rsidRPr="00170109">
        <w:t xml:space="preserve"> </w:t>
      </w:r>
      <w:r w:rsidR="00263236" w:rsidRPr="00170109">
        <w:t>realizadas entre la entonces</w:t>
      </w:r>
      <w:r w:rsidRPr="00170109">
        <w:t xml:space="preserve"> Secretaría Desarrollo Urbano</w:t>
      </w:r>
      <w:r w:rsidR="00B836C3" w:rsidRPr="00170109">
        <w:t xml:space="preserve"> y Obra</w:t>
      </w:r>
      <w:r w:rsidR="00263236" w:rsidRPr="00170109">
        <w:t xml:space="preserve"> y </w:t>
      </w:r>
      <w:r w:rsidR="00263236" w:rsidRPr="00170109">
        <w:rPr>
          <w:b/>
          <w:bCs/>
        </w:rPr>
        <w:t>EL SUJETO OBLIGADO</w:t>
      </w:r>
      <w:r w:rsidR="00B836C3" w:rsidRPr="00170109">
        <w:t xml:space="preserve">, </w:t>
      </w:r>
      <w:r w:rsidR="00EB100D" w:rsidRPr="00170109">
        <w:t xml:space="preserve">de todas las obras públicas, proyectos de infraestructura y desarrollo urbano, </w:t>
      </w:r>
      <w:r w:rsidR="00B836C3" w:rsidRPr="00170109">
        <w:t xml:space="preserve">del </w:t>
      </w:r>
      <w:r w:rsidR="00273E73" w:rsidRPr="00170109">
        <w:t>20 al 30</w:t>
      </w:r>
      <w:r w:rsidR="00B836C3" w:rsidRPr="00170109">
        <w:t xml:space="preserve"> de septiembre de 2023</w:t>
      </w:r>
      <w:r w:rsidR="00273E73" w:rsidRPr="00170109">
        <w:t>.</w:t>
      </w:r>
      <w:r w:rsidRPr="00170109">
        <w:t xml:space="preserve"> </w:t>
      </w:r>
    </w:p>
    <w:p w14:paraId="7C1BD3CC" w14:textId="77777777" w:rsidR="00C76E79" w:rsidRPr="00170109" w:rsidRDefault="00C76E79" w:rsidP="00170109">
      <w:pPr>
        <w:pStyle w:val="Puesto"/>
        <w:ind w:left="851" w:right="822"/>
      </w:pPr>
    </w:p>
    <w:p w14:paraId="2A5DEF14" w14:textId="711ED386" w:rsidR="00273E73" w:rsidRPr="00170109" w:rsidRDefault="00C76E79" w:rsidP="00170109">
      <w:pPr>
        <w:pStyle w:val="Puesto"/>
        <w:ind w:left="851" w:right="822"/>
      </w:pPr>
      <w:r w:rsidRPr="00170109">
        <w:t>2. Actas de entrega</w:t>
      </w:r>
      <w:r w:rsidR="004804F2" w:rsidRPr="00170109">
        <w:t xml:space="preserve"> y </w:t>
      </w:r>
      <w:r w:rsidRPr="00170109">
        <w:t xml:space="preserve">recepción </w:t>
      </w:r>
      <w:r w:rsidR="00B21C80" w:rsidRPr="00170109">
        <w:t xml:space="preserve">realizadas entre </w:t>
      </w:r>
      <w:r w:rsidR="00B21C80" w:rsidRPr="00170109">
        <w:rPr>
          <w:b/>
          <w:bCs/>
        </w:rPr>
        <w:t xml:space="preserve">EL SUJETO OBLIGADO </w:t>
      </w:r>
      <w:r w:rsidR="00B21C80" w:rsidRPr="00170109">
        <w:t xml:space="preserve">y la Secretaría del Agua, </w:t>
      </w:r>
      <w:r w:rsidR="00EB100D" w:rsidRPr="00170109">
        <w:t xml:space="preserve">de todos los proyectos, programas y obras relacionadas con el manejo, distribución y calidad del agua, </w:t>
      </w:r>
      <w:r w:rsidR="00273E73" w:rsidRPr="00170109">
        <w:t xml:space="preserve">del 17 al 30 de septiembre de 2023. </w:t>
      </w:r>
    </w:p>
    <w:p w14:paraId="66BF3BAC" w14:textId="70A9A788" w:rsidR="00612DFA" w:rsidRPr="00170109" w:rsidRDefault="00612DFA" w:rsidP="00170109">
      <w:pPr>
        <w:pStyle w:val="Puesto"/>
        <w:ind w:left="851" w:right="822"/>
      </w:pPr>
    </w:p>
    <w:p w14:paraId="48A88F86" w14:textId="3D46F8B0" w:rsidR="00C76E79" w:rsidRPr="00170109" w:rsidRDefault="00C76E79" w:rsidP="00170109">
      <w:pPr>
        <w:pStyle w:val="Puesto"/>
        <w:ind w:left="851" w:right="822"/>
      </w:pPr>
      <w:r w:rsidRPr="00170109">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0596E352" w14:textId="77777777" w:rsidR="00C76E79" w:rsidRPr="00170109" w:rsidRDefault="00C76E79" w:rsidP="00170109">
      <w:pPr>
        <w:ind w:right="-93"/>
        <w:rPr>
          <w:rFonts w:eastAsia="Calibri" w:cs="Tahoma"/>
          <w:bCs/>
          <w:szCs w:val="22"/>
          <w:lang w:eastAsia="en-US"/>
        </w:rPr>
      </w:pPr>
    </w:p>
    <w:p w14:paraId="3E161011" w14:textId="77777777" w:rsidR="00C76E79" w:rsidRPr="00170109" w:rsidRDefault="00C76E79" w:rsidP="00170109">
      <w:pPr>
        <w:rPr>
          <w:szCs w:val="22"/>
        </w:rPr>
      </w:pPr>
      <w:r w:rsidRPr="00170109">
        <w:rPr>
          <w:b/>
          <w:bCs/>
          <w:szCs w:val="22"/>
        </w:rPr>
        <w:t>TERCERO.</w:t>
      </w:r>
      <w:r w:rsidRPr="00170109">
        <w:rPr>
          <w:szCs w:val="22"/>
        </w:rPr>
        <w:t xml:space="preserve"> Notifíquese vía Sistema de Acceso a la Información Mexiquense (</w:t>
      </w:r>
      <w:r w:rsidRPr="00170109">
        <w:rPr>
          <w:b/>
          <w:szCs w:val="22"/>
        </w:rPr>
        <w:t>SAIMEX</w:t>
      </w:r>
      <w:r w:rsidRPr="00170109">
        <w:rPr>
          <w:szCs w:val="22"/>
        </w:rPr>
        <w:t xml:space="preserve">) la presente resolución al Titular de la Unidad de Transparencia del </w:t>
      </w:r>
      <w:r w:rsidRPr="00170109">
        <w:rPr>
          <w:b/>
          <w:bCs/>
          <w:szCs w:val="22"/>
        </w:rPr>
        <w:t>SUJETO OBLIGADO</w:t>
      </w:r>
      <w:r w:rsidRPr="00170109">
        <w:rPr>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170109">
        <w:rPr>
          <w:b/>
          <w:bCs/>
          <w:szCs w:val="22"/>
        </w:rPr>
        <w:t>diez días hábiles</w:t>
      </w:r>
      <w:r w:rsidRPr="00170109">
        <w:rPr>
          <w:szCs w:val="22"/>
        </w:rPr>
        <w:t xml:space="preserve">, e informe a este Instituto en un plazo de </w:t>
      </w:r>
      <w:r w:rsidRPr="00170109">
        <w:rPr>
          <w:b/>
          <w:bCs/>
          <w:szCs w:val="22"/>
        </w:rPr>
        <w:t>tres días hábiles</w:t>
      </w:r>
      <w:r w:rsidRPr="00170109">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F732022" w14:textId="77777777" w:rsidR="00C76E79" w:rsidRPr="00170109" w:rsidRDefault="00C76E79" w:rsidP="00170109">
      <w:pPr>
        <w:rPr>
          <w:szCs w:val="22"/>
        </w:rPr>
      </w:pPr>
    </w:p>
    <w:p w14:paraId="2EA4AEE4" w14:textId="77777777" w:rsidR="00C76E79" w:rsidRPr="00170109" w:rsidRDefault="00C76E79" w:rsidP="00170109">
      <w:pPr>
        <w:rPr>
          <w:szCs w:val="22"/>
        </w:rPr>
      </w:pPr>
      <w:r w:rsidRPr="00170109">
        <w:rPr>
          <w:b/>
          <w:bCs/>
          <w:szCs w:val="22"/>
        </w:rPr>
        <w:t>CUARTO.</w:t>
      </w:r>
      <w:r w:rsidRPr="00170109">
        <w:rPr>
          <w:szCs w:val="22"/>
        </w:rPr>
        <w:t xml:space="preserve"> Notifíquese a </w:t>
      </w:r>
      <w:r w:rsidRPr="00170109">
        <w:rPr>
          <w:b/>
          <w:bCs/>
          <w:szCs w:val="22"/>
        </w:rPr>
        <w:t>LA PARTE RECURRENTE</w:t>
      </w:r>
      <w:r w:rsidRPr="00170109">
        <w:rPr>
          <w:szCs w:val="22"/>
        </w:rPr>
        <w:t xml:space="preserve"> la presente resolución vía Sistema de Acceso a la Información Mexiquense (</w:t>
      </w:r>
      <w:r w:rsidRPr="00170109">
        <w:rPr>
          <w:b/>
          <w:szCs w:val="22"/>
        </w:rPr>
        <w:t>SAIMEX</w:t>
      </w:r>
      <w:r w:rsidRPr="00170109">
        <w:rPr>
          <w:szCs w:val="22"/>
        </w:rPr>
        <w:t>).</w:t>
      </w:r>
    </w:p>
    <w:p w14:paraId="7ED62216" w14:textId="067EE0DA" w:rsidR="00C76E79" w:rsidRPr="00170109" w:rsidRDefault="00C76E79" w:rsidP="00170109">
      <w:pPr>
        <w:rPr>
          <w:szCs w:val="22"/>
        </w:rPr>
      </w:pPr>
    </w:p>
    <w:p w14:paraId="4C84B2C2" w14:textId="77777777" w:rsidR="00170109" w:rsidRPr="00170109" w:rsidRDefault="00170109" w:rsidP="00170109">
      <w:pPr>
        <w:rPr>
          <w:szCs w:val="22"/>
        </w:rPr>
      </w:pPr>
    </w:p>
    <w:p w14:paraId="77E6AE35" w14:textId="77777777" w:rsidR="00C76E79" w:rsidRPr="00170109" w:rsidRDefault="00C76E79" w:rsidP="00170109">
      <w:pPr>
        <w:rPr>
          <w:szCs w:val="22"/>
        </w:rPr>
      </w:pPr>
      <w:r w:rsidRPr="00170109">
        <w:rPr>
          <w:b/>
          <w:bCs/>
          <w:szCs w:val="22"/>
        </w:rPr>
        <w:lastRenderedPageBreak/>
        <w:t>QUINTO</w:t>
      </w:r>
      <w:r w:rsidRPr="00170109">
        <w:rPr>
          <w:szCs w:val="22"/>
        </w:rPr>
        <w:t xml:space="preserve">. Hágase del conocimiento a </w:t>
      </w:r>
      <w:r w:rsidRPr="00170109">
        <w:rPr>
          <w:b/>
          <w:bCs/>
          <w:szCs w:val="22"/>
        </w:rPr>
        <w:t>LA PARTE RECURRENTE</w:t>
      </w:r>
      <w:r w:rsidRPr="00170109">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67B63025" w14:textId="77777777" w:rsidR="00C76E79" w:rsidRPr="00170109" w:rsidRDefault="00C76E79" w:rsidP="00170109">
      <w:pPr>
        <w:rPr>
          <w:szCs w:val="22"/>
        </w:rPr>
      </w:pPr>
    </w:p>
    <w:p w14:paraId="5361F63F" w14:textId="77777777" w:rsidR="00C76E79" w:rsidRPr="00170109" w:rsidRDefault="00C76E79" w:rsidP="00170109">
      <w:pPr>
        <w:rPr>
          <w:szCs w:val="22"/>
        </w:rPr>
      </w:pPr>
      <w:r w:rsidRPr="00170109">
        <w:rPr>
          <w:b/>
          <w:bCs/>
          <w:szCs w:val="22"/>
        </w:rPr>
        <w:t>SEXTO.</w:t>
      </w:r>
      <w:r w:rsidRPr="00170109">
        <w:rPr>
          <w:szCs w:val="22"/>
        </w:rPr>
        <w:t xml:space="preserve"> De conformidad con el artículo 198 de la Ley de Transparencia y Acceso a la Información Pública del Estado de México y Municipios, el </w:t>
      </w:r>
      <w:r w:rsidRPr="00170109">
        <w:rPr>
          <w:b/>
          <w:bCs/>
          <w:szCs w:val="22"/>
        </w:rPr>
        <w:t>SUJETO OBLIGADO</w:t>
      </w:r>
      <w:r w:rsidRPr="00170109">
        <w:rPr>
          <w:szCs w:val="22"/>
        </w:rPr>
        <w:t xml:space="preserve"> podrá solicitar una ampliación de plazo de manera fundada y motivada, para el cumplimiento de la presente resolución.</w:t>
      </w:r>
    </w:p>
    <w:p w14:paraId="705119EC" w14:textId="77777777" w:rsidR="00C76E79" w:rsidRPr="00170109" w:rsidRDefault="00C76E79" w:rsidP="00170109">
      <w:pPr>
        <w:ind w:right="113"/>
        <w:rPr>
          <w:rFonts w:cs="Tahoma"/>
          <w:bCs/>
          <w:iCs/>
          <w:szCs w:val="22"/>
        </w:rPr>
      </w:pPr>
    </w:p>
    <w:p w14:paraId="719A5C63" w14:textId="1FC260EC" w:rsidR="00664420" w:rsidRPr="00170109" w:rsidRDefault="00664420" w:rsidP="00170109">
      <w:pPr>
        <w:rPr>
          <w:rFonts w:eastAsia="Palatino Linotype" w:cs="Palatino Linotype"/>
          <w:szCs w:val="22"/>
        </w:rPr>
      </w:pPr>
      <w:r w:rsidRPr="00170109">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C783A" w:rsidRPr="00170109">
        <w:rPr>
          <w:rFonts w:eastAsia="Palatino Linotype" w:cs="Palatino Linotype"/>
          <w:szCs w:val="22"/>
        </w:rPr>
        <w:t>TRIGÉSIMA</w:t>
      </w:r>
      <w:r w:rsidR="00336B4B" w:rsidRPr="00170109">
        <w:rPr>
          <w:rFonts w:eastAsia="Palatino Linotype" w:cs="Palatino Linotype"/>
          <w:szCs w:val="22"/>
        </w:rPr>
        <w:t xml:space="preserve"> </w:t>
      </w:r>
      <w:r w:rsidR="00086B6D" w:rsidRPr="00170109">
        <w:rPr>
          <w:rFonts w:eastAsia="Palatino Linotype" w:cs="Palatino Linotype"/>
          <w:szCs w:val="22"/>
        </w:rPr>
        <w:t>SÉPTIMA</w:t>
      </w:r>
      <w:r w:rsidR="00C5325A" w:rsidRPr="00170109">
        <w:rPr>
          <w:rFonts w:eastAsia="Palatino Linotype" w:cs="Palatino Linotype"/>
          <w:szCs w:val="22"/>
        </w:rPr>
        <w:t xml:space="preserve"> </w:t>
      </w:r>
      <w:r w:rsidRPr="00170109">
        <w:rPr>
          <w:rFonts w:eastAsia="Palatino Linotype" w:cs="Palatino Linotype"/>
          <w:szCs w:val="22"/>
        </w:rPr>
        <w:t xml:space="preserve">SESIÓN ORDINARIA, CELEBRADA EL </w:t>
      </w:r>
      <w:r w:rsidR="00086B6D" w:rsidRPr="00170109">
        <w:rPr>
          <w:rFonts w:eastAsia="Palatino Linotype" w:cs="Palatino Linotype"/>
          <w:szCs w:val="22"/>
        </w:rPr>
        <w:t>DIECISÉIS</w:t>
      </w:r>
      <w:r w:rsidR="00AC0209" w:rsidRPr="00170109">
        <w:rPr>
          <w:rFonts w:eastAsia="Palatino Linotype" w:cs="Palatino Linotype"/>
          <w:szCs w:val="22"/>
        </w:rPr>
        <w:t xml:space="preserve"> DE OCTUBRE</w:t>
      </w:r>
      <w:r w:rsidR="00336B4B" w:rsidRPr="00170109">
        <w:rPr>
          <w:rFonts w:eastAsia="Palatino Linotype" w:cs="Palatino Linotype"/>
          <w:szCs w:val="22"/>
        </w:rPr>
        <w:t xml:space="preserve"> DE DOS MIL VEINTICUATRO, </w:t>
      </w:r>
      <w:r w:rsidRPr="00170109">
        <w:rPr>
          <w:rFonts w:eastAsia="Palatino Linotype" w:cs="Palatino Linotype"/>
          <w:szCs w:val="22"/>
        </w:rPr>
        <w:t>ANTE EL SECRETARIO TÉCNICO DEL PLENO, ALEXIS TAPIA RAMÍREZ.</w:t>
      </w:r>
    </w:p>
    <w:p w14:paraId="26F5FDEB" w14:textId="77777777" w:rsidR="008629A5" w:rsidRPr="00170109" w:rsidRDefault="008629A5" w:rsidP="00170109">
      <w:pPr>
        <w:ind w:right="-93"/>
        <w:rPr>
          <w:szCs w:val="22"/>
        </w:rPr>
      </w:pPr>
      <w:r w:rsidRPr="00170109">
        <w:rPr>
          <w:rFonts w:eastAsia="Palatino Linotype" w:cs="Palatino Linotype"/>
          <w:szCs w:val="22"/>
        </w:rPr>
        <w:t>SCMM/AGZ/DEMF/PAG</w:t>
      </w:r>
    </w:p>
    <w:p w14:paraId="49D72DA3" w14:textId="77777777" w:rsidR="00664420" w:rsidRPr="00170109" w:rsidRDefault="00664420" w:rsidP="00170109">
      <w:pPr>
        <w:ind w:right="-93"/>
        <w:rPr>
          <w:rFonts w:eastAsia="Calibri" w:cs="Tahoma"/>
          <w:bCs/>
          <w:szCs w:val="22"/>
          <w:lang w:eastAsia="en-US"/>
        </w:rPr>
      </w:pPr>
    </w:p>
    <w:p w14:paraId="5EFEA0CD" w14:textId="77777777" w:rsidR="00664420" w:rsidRPr="00170109" w:rsidRDefault="00664420" w:rsidP="00170109">
      <w:pPr>
        <w:ind w:right="-93"/>
        <w:rPr>
          <w:rFonts w:eastAsia="Calibri" w:cs="Tahoma"/>
          <w:szCs w:val="22"/>
          <w:lang w:val="es-ES"/>
        </w:rPr>
      </w:pPr>
    </w:p>
    <w:p w14:paraId="696BC976" w14:textId="77777777" w:rsidR="00664420" w:rsidRPr="00170109" w:rsidRDefault="00664420" w:rsidP="00170109">
      <w:pPr>
        <w:ind w:right="-93"/>
        <w:rPr>
          <w:rFonts w:eastAsia="Calibri" w:cs="Tahoma"/>
          <w:bCs/>
          <w:szCs w:val="22"/>
          <w:lang w:val="es-ES" w:eastAsia="en-US"/>
        </w:rPr>
      </w:pPr>
    </w:p>
    <w:p w14:paraId="671CB0C5" w14:textId="77777777" w:rsidR="00664420" w:rsidRPr="00170109" w:rsidRDefault="00664420" w:rsidP="00170109">
      <w:pPr>
        <w:ind w:right="-93"/>
        <w:rPr>
          <w:rFonts w:eastAsia="Calibri" w:cs="Tahoma"/>
          <w:bCs/>
          <w:szCs w:val="22"/>
          <w:lang w:val="es-ES_tradnl" w:eastAsia="en-US"/>
        </w:rPr>
      </w:pPr>
    </w:p>
    <w:p w14:paraId="52B66DE7" w14:textId="77777777" w:rsidR="00664420" w:rsidRPr="00170109" w:rsidRDefault="00664420" w:rsidP="00170109">
      <w:pPr>
        <w:ind w:right="-93"/>
        <w:rPr>
          <w:rFonts w:eastAsia="Calibri" w:cs="Tahoma"/>
          <w:bCs/>
          <w:szCs w:val="22"/>
          <w:lang w:val="es-ES_tradnl" w:eastAsia="en-US"/>
        </w:rPr>
      </w:pPr>
    </w:p>
    <w:p w14:paraId="3BA305D1" w14:textId="77777777" w:rsidR="00664420" w:rsidRPr="00170109" w:rsidRDefault="00664420" w:rsidP="00170109">
      <w:pPr>
        <w:ind w:right="-93"/>
        <w:rPr>
          <w:rFonts w:eastAsia="Calibri" w:cs="Tahoma"/>
          <w:bCs/>
          <w:szCs w:val="22"/>
          <w:lang w:val="es-ES_tradnl" w:eastAsia="en-US"/>
        </w:rPr>
      </w:pPr>
    </w:p>
    <w:p w14:paraId="78230707" w14:textId="77777777" w:rsidR="00664420" w:rsidRPr="00170109" w:rsidRDefault="00664420" w:rsidP="00170109">
      <w:pPr>
        <w:ind w:right="-93"/>
        <w:rPr>
          <w:rFonts w:eastAsia="Calibri" w:cs="Tahoma"/>
          <w:bCs/>
          <w:szCs w:val="22"/>
          <w:lang w:val="es-ES_tradnl" w:eastAsia="en-US"/>
        </w:rPr>
      </w:pPr>
    </w:p>
    <w:p w14:paraId="72D18B28" w14:textId="77777777" w:rsidR="00664420" w:rsidRPr="00170109" w:rsidRDefault="00664420" w:rsidP="00170109">
      <w:pPr>
        <w:ind w:right="-93"/>
        <w:rPr>
          <w:rFonts w:eastAsia="Calibri" w:cs="Tahoma"/>
          <w:bCs/>
          <w:szCs w:val="22"/>
          <w:lang w:val="es-ES_tradnl" w:eastAsia="en-US"/>
        </w:rPr>
      </w:pPr>
    </w:p>
    <w:p w14:paraId="6BD461DC" w14:textId="77777777" w:rsidR="00664420" w:rsidRPr="00170109" w:rsidRDefault="00664420" w:rsidP="00170109">
      <w:pPr>
        <w:tabs>
          <w:tab w:val="center" w:pos="4568"/>
        </w:tabs>
        <w:ind w:right="-93"/>
        <w:rPr>
          <w:rFonts w:eastAsia="Calibri" w:cs="Tahoma"/>
          <w:bCs/>
          <w:szCs w:val="22"/>
          <w:lang w:eastAsia="en-US"/>
        </w:rPr>
      </w:pPr>
    </w:p>
    <w:p w14:paraId="4DBB1727" w14:textId="77777777" w:rsidR="00664420" w:rsidRPr="00170109" w:rsidRDefault="00664420" w:rsidP="00170109">
      <w:pPr>
        <w:tabs>
          <w:tab w:val="center" w:pos="4568"/>
        </w:tabs>
        <w:ind w:right="-93"/>
        <w:rPr>
          <w:rFonts w:eastAsia="Calibri" w:cs="Tahoma"/>
          <w:bCs/>
          <w:szCs w:val="22"/>
          <w:lang w:eastAsia="en-US"/>
        </w:rPr>
      </w:pPr>
    </w:p>
    <w:p w14:paraId="1D74121B" w14:textId="77777777" w:rsidR="00664420" w:rsidRPr="00170109" w:rsidRDefault="00664420" w:rsidP="00170109">
      <w:pPr>
        <w:tabs>
          <w:tab w:val="center" w:pos="4568"/>
        </w:tabs>
        <w:ind w:right="-93"/>
        <w:rPr>
          <w:rFonts w:eastAsia="Calibri" w:cs="Tahoma"/>
          <w:bCs/>
          <w:szCs w:val="22"/>
          <w:lang w:eastAsia="en-US"/>
        </w:rPr>
      </w:pPr>
    </w:p>
    <w:p w14:paraId="08E74E9C" w14:textId="77777777" w:rsidR="00664420" w:rsidRPr="00170109" w:rsidRDefault="00664420" w:rsidP="00170109">
      <w:pPr>
        <w:tabs>
          <w:tab w:val="center" w:pos="4568"/>
        </w:tabs>
        <w:ind w:right="-93"/>
        <w:rPr>
          <w:rFonts w:eastAsia="Calibri" w:cs="Tahoma"/>
          <w:bCs/>
          <w:szCs w:val="22"/>
          <w:lang w:eastAsia="en-US"/>
        </w:rPr>
      </w:pPr>
    </w:p>
    <w:p w14:paraId="2CBF5E03" w14:textId="77777777" w:rsidR="00664420" w:rsidRPr="00170109" w:rsidRDefault="00664420" w:rsidP="00170109">
      <w:pPr>
        <w:tabs>
          <w:tab w:val="center" w:pos="4568"/>
        </w:tabs>
        <w:ind w:right="-93"/>
        <w:rPr>
          <w:rFonts w:eastAsia="Calibri" w:cs="Tahoma"/>
          <w:bCs/>
          <w:szCs w:val="22"/>
          <w:lang w:eastAsia="en-US"/>
        </w:rPr>
      </w:pPr>
    </w:p>
    <w:p w14:paraId="44865A6D" w14:textId="77777777" w:rsidR="00664420" w:rsidRPr="00170109" w:rsidRDefault="00664420" w:rsidP="00170109">
      <w:pPr>
        <w:tabs>
          <w:tab w:val="center" w:pos="4568"/>
        </w:tabs>
        <w:ind w:right="-93"/>
        <w:rPr>
          <w:rFonts w:eastAsia="Calibri" w:cs="Tahoma"/>
          <w:bCs/>
          <w:szCs w:val="22"/>
          <w:lang w:eastAsia="en-US"/>
        </w:rPr>
      </w:pPr>
    </w:p>
    <w:p w14:paraId="7147F06B" w14:textId="77777777" w:rsidR="00664420" w:rsidRPr="00170109" w:rsidRDefault="00664420" w:rsidP="00170109">
      <w:pPr>
        <w:tabs>
          <w:tab w:val="center" w:pos="4568"/>
        </w:tabs>
        <w:ind w:right="-93"/>
        <w:rPr>
          <w:rFonts w:eastAsia="Calibri" w:cs="Tahoma"/>
          <w:bCs/>
          <w:szCs w:val="22"/>
          <w:lang w:eastAsia="en-US"/>
        </w:rPr>
      </w:pPr>
    </w:p>
    <w:p w14:paraId="6FDF3D7E" w14:textId="77777777" w:rsidR="00664420" w:rsidRPr="00170109" w:rsidRDefault="00664420" w:rsidP="00170109">
      <w:pPr>
        <w:tabs>
          <w:tab w:val="center" w:pos="4568"/>
        </w:tabs>
        <w:ind w:right="-93"/>
        <w:rPr>
          <w:rFonts w:eastAsia="Calibri" w:cs="Tahoma"/>
          <w:bCs/>
          <w:szCs w:val="22"/>
          <w:lang w:eastAsia="en-US"/>
        </w:rPr>
      </w:pPr>
    </w:p>
    <w:p w14:paraId="6246F818" w14:textId="77777777" w:rsidR="00664420" w:rsidRPr="00170109" w:rsidRDefault="00664420" w:rsidP="00170109">
      <w:pPr>
        <w:tabs>
          <w:tab w:val="center" w:pos="4568"/>
        </w:tabs>
        <w:ind w:right="-93"/>
        <w:rPr>
          <w:rFonts w:eastAsia="Calibri" w:cs="Tahoma"/>
          <w:bCs/>
          <w:szCs w:val="22"/>
          <w:lang w:eastAsia="en-US"/>
        </w:rPr>
      </w:pPr>
    </w:p>
    <w:p w14:paraId="57A88B28" w14:textId="77777777" w:rsidR="00664420" w:rsidRPr="00170109" w:rsidRDefault="00664420" w:rsidP="00170109">
      <w:pPr>
        <w:tabs>
          <w:tab w:val="center" w:pos="4568"/>
        </w:tabs>
        <w:ind w:right="-93"/>
        <w:rPr>
          <w:rFonts w:eastAsia="Calibri" w:cs="Tahoma"/>
          <w:bCs/>
          <w:szCs w:val="22"/>
          <w:lang w:eastAsia="en-US"/>
        </w:rPr>
      </w:pPr>
    </w:p>
    <w:p w14:paraId="77EF6095" w14:textId="77777777" w:rsidR="00664420" w:rsidRPr="00170109" w:rsidRDefault="00664420" w:rsidP="00170109">
      <w:pPr>
        <w:tabs>
          <w:tab w:val="center" w:pos="4568"/>
        </w:tabs>
        <w:ind w:right="-93"/>
        <w:rPr>
          <w:rFonts w:eastAsia="Calibri" w:cs="Tahoma"/>
          <w:bCs/>
          <w:szCs w:val="22"/>
          <w:lang w:eastAsia="en-US"/>
        </w:rPr>
      </w:pPr>
    </w:p>
    <w:p w14:paraId="35593947" w14:textId="77777777" w:rsidR="00664420" w:rsidRPr="00170109" w:rsidRDefault="00664420" w:rsidP="00170109">
      <w:pPr>
        <w:tabs>
          <w:tab w:val="center" w:pos="4568"/>
        </w:tabs>
        <w:ind w:right="-93"/>
        <w:rPr>
          <w:rFonts w:eastAsia="Calibri" w:cs="Tahoma"/>
          <w:bCs/>
          <w:szCs w:val="22"/>
          <w:lang w:eastAsia="en-US"/>
        </w:rPr>
      </w:pPr>
    </w:p>
    <w:p w14:paraId="3AF72A17" w14:textId="77777777" w:rsidR="00664420" w:rsidRPr="00170109" w:rsidRDefault="00664420" w:rsidP="00170109">
      <w:pPr>
        <w:tabs>
          <w:tab w:val="center" w:pos="4568"/>
        </w:tabs>
        <w:ind w:right="-93"/>
        <w:rPr>
          <w:rFonts w:eastAsia="Calibri" w:cs="Tahoma"/>
          <w:bCs/>
          <w:szCs w:val="22"/>
          <w:lang w:eastAsia="en-US"/>
        </w:rPr>
      </w:pPr>
    </w:p>
    <w:p w14:paraId="37169144" w14:textId="77777777" w:rsidR="00664420" w:rsidRPr="00170109" w:rsidRDefault="00664420" w:rsidP="00170109">
      <w:pPr>
        <w:tabs>
          <w:tab w:val="center" w:pos="4568"/>
        </w:tabs>
        <w:ind w:right="-93"/>
        <w:rPr>
          <w:rFonts w:eastAsia="Calibri" w:cs="Tahoma"/>
          <w:bCs/>
          <w:szCs w:val="22"/>
          <w:lang w:eastAsia="en-US"/>
        </w:rPr>
      </w:pPr>
    </w:p>
    <w:p w14:paraId="77CFC088" w14:textId="77777777" w:rsidR="00664420" w:rsidRPr="00170109" w:rsidRDefault="00664420" w:rsidP="00170109">
      <w:pPr>
        <w:tabs>
          <w:tab w:val="center" w:pos="4568"/>
        </w:tabs>
        <w:ind w:right="-93"/>
        <w:rPr>
          <w:rFonts w:eastAsia="Calibri" w:cs="Tahoma"/>
          <w:bCs/>
          <w:szCs w:val="22"/>
          <w:lang w:eastAsia="en-US"/>
        </w:rPr>
      </w:pPr>
    </w:p>
    <w:p w14:paraId="781A11A5" w14:textId="77777777" w:rsidR="00664420" w:rsidRPr="00170109" w:rsidRDefault="00664420" w:rsidP="00170109">
      <w:pPr>
        <w:tabs>
          <w:tab w:val="center" w:pos="4568"/>
        </w:tabs>
        <w:ind w:right="-93"/>
        <w:rPr>
          <w:rFonts w:eastAsia="Calibri" w:cs="Tahoma"/>
          <w:bCs/>
          <w:szCs w:val="22"/>
          <w:lang w:eastAsia="en-US"/>
        </w:rPr>
      </w:pPr>
    </w:p>
    <w:p w14:paraId="5B4ADFF3" w14:textId="77777777" w:rsidR="00A131AC" w:rsidRPr="00170109" w:rsidRDefault="00A131AC" w:rsidP="00170109">
      <w:pPr>
        <w:rPr>
          <w:szCs w:val="22"/>
        </w:rPr>
      </w:pPr>
    </w:p>
    <w:sectPr w:rsidR="00A131AC" w:rsidRPr="00170109"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1816B" w14:textId="77777777" w:rsidR="003F6439" w:rsidRDefault="003F6439" w:rsidP="00664420">
      <w:pPr>
        <w:spacing w:line="240" w:lineRule="auto"/>
      </w:pPr>
      <w:r>
        <w:separator/>
      </w:r>
    </w:p>
  </w:endnote>
  <w:endnote w:type="continuationSeparator" w:id="0">
    <w:p w14:paraId="670F4B45" w14:textId="77777777" w:rsidR="003F6439" w:rsidRDefault="003F643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92473F" w:rsidRDefault="0092473F">
    <w:pPr>
      <w:tabs>
        <w:tab w:val="center" w:pos="4550"/>
        <w:tab w:val="left" w:pos="5818"/>
      </w:tabs>
      <w:ind w:right="260"/>
      <w:jc w:val="right"/>
      <w:rPr>
        <w:color w:val="071320" w:themeColor="text2" w:themeShade="80"/>
        <w:sz w:val="24"/>
        <w:szCs w:val="24"/>
      </w:rPr>
    </w:pPr>
  </w:p>
  <w:p w14:paraId="1BCA7F23" w14:textId="77777777" w:rsidR="0092473F" w:rsidRDefault="0092473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92473F" w:rsidRDefault="0092473F">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B37DEF" w:rsidRPr="00B37DEF">
      <w:rPr>
        <w:noProof/>
        <w:color w:val="0A1D30" w:themeColor="text2" w:themeShade="BF"/>
        <w:sz w:val="24"/>
        <w:szCs w:val="24"/>
        <w:lang w:val="es-ES"/>
      </w:rPr>
      <w:t>42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B37DEF" w:rsidRPr="00B37DEF">
      <w:rPr>
        <w:noProof/>
        <w:color w:val="0A1D30" w:themeColor="text2" w:themeShade="BF"/>
        <w:sz w:val="24"/>
        <w:szCs w:val="24"/>
        <w:lang w:val="es-ES"/>
      </w:rPr>
      <w:t>43</w:t>
    </w:r>
    <w:r>
      <w:rPr>
        <w:color w:val="0A1D30" w:themeColor="text2" w:themeShade="BF"/>
        <w:sz w:val="24"/>
        <w:szCs w:val="24"/>
      </w:rPr>
      <w:fldChar w:fldCharType="end"/>
    </w:r>
  </w:p>
  <w:p w14:paraId="310E15C0" w14:textId="77777777" w:rsidR="0092473F" w:rsidRDefault="009247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3026A" w14:textId="77777777" w:rsidR="003F6439" w:rsidRDefault="003F6439" w:rsidP="00664420">
      <w:pPr>
        <w:spacing w:line="240" w:lineRule="auto"/>
      </w:pPr>
      <w:r>
        <w:separator/>
      </w:r>
    </w:p>
  </w:footnote>
  <w:footnote w:type="continuationSeparator" w:id="0">
    <w:p w14:paraId="3E7FBA40" w14:textId="77777777" w:rsidR="003F6439" w:rsidRDefault="003F6439" w:rsidP="00664420">
      <w:pPr>
        <w:spacing w:line="240" w:lineRule="auto"/>
      </w:pPr>
      <w:r>
        <w:continuationSeparator/>
      </w:r>
    </w:p>
  </w:footnote>
  <w:footnote w:id="1">
    <w:p w14:paraId="2CDDA508" w14:textId="5B54E67D" w:rsidR="002367E7" w:rsidRDefault="002367E7">
      <w:pPr>
        <w:pStyle w:val="Textonotapie"/>
      </w:pPr>
      <w:r>
        <w:rPr>
          <w:rStyle w:val="Refdenotaalpie"/>
        </w:rPr>
        <w:footnoteRef/>
      </w:r>
      <w:r>
        <w:t xml:space="preserve"> </w:t>
      </w:r>
      <w:hyperlink r:id="rId1" w:history="1">
        <w:r w:rsidRPr="00173FB9">
          <w:rPr>
            <w:rStyle w:val="Hipervnculo"/>
          </w:rPr>
          <w:t>https://legislacion.edomex.gob.mx/sites/legislacion.edomex.gob.mx/files/files/pdf/rgl/vig/rglvig740.pdf</w:t>
        </w:r>
      </w:hyperlink>
      <w:r>
        <w:t xml:space="preserve"> </w:t>
      </w:r>
    </w:p>
  </w:footnote>
  <w:footnote w:id="2">
    <w:p w14:paraId="362848C0" w14:textId="276432B7" w:rsidR="001A5E3C" w:rsidRDefault="0092501E" w:rsidP="0092501E">
      <w:pPr>
        <w:pStyle w:val="Textonotapie"/>
      </w:pPr>
      <w:r>
        <w:rPr>
          <w:rStyle w:val="Refdenotaalpie"/>
        </w:rPr>
        <w:footnoteRef/>
      </w:r>
      <w:r>
        <w:t xml:space="preserve"> </w:t>
      </w:r>
      <w:hyperlink r:id="rId2" w:history="1">
        <w:r w:rsidR="001A5E3C">
          <w:rPr>
            <w:rStyle w:val="Hipervnculo"/>
            <w:rFonts w:eastAsiaTheme="majorEastAsia"/>
          </w:rPr>
          <w:t>Delfina Gómez toma protesta a los integrantes de su gabinete- Grupo Milenio</w:t>
        </w:r>
      </w:hyperlink>
      <w:r w:rsidR="001A5E3C">
        <w:t xml:space="preserve"> </w:t>
      </w:r>
    </w:p>
    <w:p w14:paraId="49FA7138" w14:textId="77777777" w:rsidR="001A5E3C" w:rsidRDefault="001A5E3C" w:rsidP="0092501E">
      <w:pPr>
        <w:pStyle w:val="Textonotapie"/>
      </w:pPr>
    </w:p>
    <w:p w14:paraId="79B5FF38" w14:textId="59C35888" w:rsidR="0092501E" w:rsidRDefault="003F6439" w:rsidP="0092501E">
      <w:pPr>
        <w:pStyle w:val="Textonotapie"/>
      </w:pPr>
      <w:hyperlink r:id="rId3" w:history="1">
        <w:r w:rsidR="0092501E">
          <w:rPr>
            <w:rStyle w:val="Hipervnculo"/>
            <w:rFonts w:eastAsiaTheme="majorEastAsia"/>
          </w:rPr>
          <w:t>La Gobernadora Delfina Gómez toma Protesta a titulares de Secretaría de Finanzas, de Desarrollo Urbano e Infraestructura y Oficial Mayor del Gobierno del Estado de México (eleconomista.com.mx)</w:t>
        </w:r>
      </w:hyperlink>
    </w:p>
  </w:footnote>
  <w:footnote w:id="3">
    <w:p w14:paraId="017870B6" w14:textId="77777777" w:rsidR="00C76E79" w:rsidRDefault="00C76E79" w:rsidP="00C76E79">
      <w:pPr>
        <w:pStyle w:val="Textonotapie"/>
        <w:rPr>
          <w:rFonts w:eastAsiaTheme="minorHAnsi" w:cstheme="minorBidi"/>
          <w:sz w:val="18"/>
          <w:szCs w:val="18"/>
          <w:lang w:eastAsia="en-US"/>
        </w:rPr>
      </w:pPr>
      <w:r>
        <w:rPr>
          <w:rStyle w:val="Refdenotaalpie"/>
          <w:rFonts w:eastAsiaTheme="majorEastAsia"/>
          <w:sz w:val="18"/>
          <w:szCs w:val="18"/>
        </w:rPr>
        <w:footnoteRef/>
      </w:r>
      <w:r>
        <w:rPr>
          <w:sz w:val="18"/>
          <w:szCs w:val="18"/>
        </w:rPr>
        <w:t xml:space="preserve"> Resoluciones:</w:t>
      </w:r>
    </w:p>
    <w:p w14:paraId="0488B164" w14:textId="77777777" w:rsidR="00C76E79" w:rsidRDefault="00C76E79" w:rsidP="00C76E79">
      <w:pPr>
        <w:pStyle w:val="Textonotapie"/>
        <w:rPr>
          <w:sz w:val="18"/>
          <w:szCs w:val="18"/>
        </w:rPr>
      </w:pPr>
      <w:r>
        <w:rPr>
          <w:sz w:val="18"/>
          <w:szCs w:val="18"/>
        </w:rPr>
        <w:t>RRA 0189/17. Morena. 08 de febrero de 2017. Por unanimidad. Comisionado Ponente Joel Salas Suárez.</w:t>
      </w:r>
    </w:p>
    <w:p w14:paraId="0B09F072" w14:textId="77777777" w:rsidR="00C76E79" w:rsidRDefault="00C76E79" w:rsidP="00C76E79">
      <w:pPr>
        <w:pStyle w:val="Textonotapie"/>
        <w:rPr>
          <w:sz w:val="18"/>
          <w:szCs w:val="18"/>
        </w:rPr>
      </w:pPr>
      <w:r>
        <w:rPr>
          <w:sz w:val="18"/>
          <w:szCs w:val="18"/>
        </w:rPr>
        <w:t xml:space="preserve">RRA 0677/17. Universidad Nacional Autónoma de México. 08 de marzo de 2017. Por unanimidad. Comisionado Ponente Rosendoevgueni Monterrey Chepov. </w:t>
      </w:r>
    </w:p>
    <w:p w14:paraId="1759FD59" w14:textId="77777777" w:rsidR="00C76E79" w:rsidRDefault="00C76E79" w:rsidP="00C76E79">
      <w:pPr>
        <w:pStyle w:val="Textonotapie"/>
        <w:rPr>
          <w:sz w:val="18"/>
          <w:szCs w:val="18"/>
        </w:rPr>
      </w:pPr>
      <w:r>
        <w:rPr>
          <w:sz w:val="18"/>
          <w:szCs w:val="18"/>
        </w:rPr>
        <w:t>RRA 1564/17. Tribunal Electoral del Poder Judicial de la Federación. 26 de abril de 2017. Por unanimidad. Comisionado Ponente Oscar Mauricio Guerra Ford.</w:t>
      </w:r>
    </w:p>
  </w:footnote>
  <w:footnote w:id="4">
    <w:p w14:paraId="7258EED1" w14:textId="77777777" w:rsidR="00C76E79" w:rsidRDefault="00C76E79" w:rsidP="00C76E79">
      <w:pPr>
        <w:pStyle w:val="Textonotapie"/>
        <w:rPr>
          <w:sz w:val="18"/>
          <w:szCs w:val="18"/>
        </w:rPr>
      </w:pPr>
      <w:r>
        <w:rPr>
          <w:rStyle w:val="Refdenotaalpie"/>
          <w:rFonts w:eastAsiaTheme="majorEastAsia"/>
          <w:sz w:val="18"/>
          <w:szCs w:val="18"/>
        </w:rPr>
        <w:footnoteRef/>
      </w:r>
      <w:r>
        <w:rPr>
          <w:sz w:val="18"/>
          <w:szCs w:val="18"/>
        </w:rPr>
        <w:t xml:space="preserve"> Precedentes:</w:t>
      </w:r>
    </w:p>
    <w:p w14:paraId="58CEAFC2" w14:textId="77777777" w:rsidR="00C76E79" w:rsidRDefault="00C76E79" w:rsidP="00C76E79">
      <w:pPr>
        <w:pStyle w:val="Textonotapie"/>
        <w:rPr>
          <w:sz w:val="18"/>
          <w:szCs w:val="18"/>
        </w:rPr>
      </w:pPr>
      <w:r>
        <w:rPr>
          <w:sz w:val="18"/>
          <w:szCs w:val="18"/>
        </w:rPr>
        <w:t>•</w:t>
      </w:r>
      <w:r>
        <w:rPr>
          <w:sz w:val="18"/>
          <w:szCs w:val="18"/>
        </w:rPr>
        <w:tab/>
        <w:t>Acceso a la información Pública. RRA 3639/19. Sesión del 10 de julio de 2019. Votación por mayoría. Con voto disidente del Comisionado Joel Salas Suárez. Instituto para la Protección del Ahorro Bancario. Comisionada Ponente María Patricia Kurczyn Villalobos.</w:t>
      </w:r>
    </w:p>
    <w:p w14:paraId="0C397DD2" w14:textId="77777777" w:rsidR="00C76E79" w:rsidRDefault="00C76E79" w:rsidP="00C76E79">
      <w:pPr>
        <w:pStyle w:val="Textonotapie"/>
        <w:rPr>
          <w:sz w:val="18"/>
          <w:szCs w:val="18"/>
        </w:rPr>
      </w:pPr>
      <w:r>
        <w:rPr>
          <w:sz w:val="18"/>
          <w:szCs w:val="18"/>
        </w:rPr>
        <w:t>•</w:t>
      </w:r>
      <w:r>
        <w:rPr>
          <w:sz w:val="18"/>
          <w:szCs w:val="18"/>
        </w:rPr>
        <w:tab/>
        <w:t>Acceso a la información Pública. RRA 7709/19. Sesión del 13 de agosto de 2019. Votación por unanimidad. Con voto particular de la Comisionada Josefina Román Vergara. Suprema Corte de Justicia de la Nación. Comisionada Ponente Josefina Román Vergara.</w:t>
      </w:r>
    </w:p>
    <w:p w14:paraId="149C9AB0" w14:textId="77777777" w:rsidR="00C76E79" w:rsidRDefault="00C76E79" w:rsidP="00C76E79">
      <w:pPr>
        <w:pStyle w:val="Textonotapie"/>
        <w:rPr>
          <w:rFonts w:asciiTheme="minorHAnsi" w:hAnsiTheme="minorHAnsi"/>
        </w:rPr>
      </w:pPr>
      <w:r>
        <w:rPr>
          <w:sz w:val="18"/>
          <w:szCs w:val="18"/>
        </w:rPr>
        <w:t>Acceso a la información Pública. RRA 5774/19. Sesión del 21 de agosto de 2019. Votación por mayoría. Con voto disidente del Comisionado Joel Salas Suárez. Secretaría de Marina. Comisionada Ponente Blanca Lilia Ibarra Cadena.”</w:t>
      </w:r>
    </w:p>
  </w:footnote>
  <w:footnote w:id="5">
    <w:p w14:paraId="56E70AA8" w14:textId="77777777" w:rsidR="00C76E79" w:rsidRDefault="00C76E79" w:rsidP="00C76E79">
      <w:pPr>
        <w:pStyle w:val="Textonotapie"/>
        <w:rPr>
          <w:sz w:val="18"/>
          <w:szCs w:val="18"/>
        </w:rPr>
      </w:pPr>
      <w:r>
        <w:rPr>
          <w:rStyle w:val="Refdenotaalpie"/>
          <w:rFonts w:eastAsiaTheme="majorEastAsia"/>
          <w:sz w:val="18"/>
          <w:szCs w:val="18"/>
        </w:rPr>
        <w:footnoteRef/>
      </w:r>
      <w:r>
        <w:rPr>
          <w:sz w:val="18"/>
          <w:szCs w:val="18"/>
        </w:rPr>
        <w:t xml:space="preserve"> Resoluciones:</w:t>
      </w:r>
    </w:p>
    <w:p w14:paraId="7890BC20" w14:textId="77777777" w:rsidR="00C76E79" w:rsidRDefault="00C76E79" w:rsidP="00C76E79">
      <w:pPr>
        <w:pStyle w:val="Textonotapie"/>
        <w:rPr>
          <w:sz w:val="18"/>
          <w:szCs w:val="18"/>
        </w:rPr>
      </w:pPr>
      <w:r>
        <w:rPr>
          <w:sz w:val="18"/>
          <w:szCs w:val="18"/>
        </w:rPr>
        <w:t>RRA 3995/16. Secretaría de la Defensa Nacional. 1 de febrero de 2017. Por unanimidad. Comisionado Ponente Rosendoevgueni Monterrey Chepov.</w:t>
      </w:r>
    </w:p>
    <w:p w14:paraId="638E0372" w14:textId="77777777" w:rsidR="00C76E79" w:rsidRDefault="00C76E79" w:rsidP="00C76E79">
      <w:pPr>
        <w:pStyle w:val="Textonotapie"/>
        <w:rPr>
          <w:sz w:val="18"/>
          <w:szCs w:val="18"/>
        </w:rPr>
      </w:pPr>
      <w:r>
        <w:rPr>
          <w:sz w:val="18"/>
          <w:szCs w:val="18"/>
        </w:rPr>
        <w:t xml:space="preserve">RRA 0937/17. Senado de la República. 15 de marzo de 2017. Por unanimidad. Comisionada Ponente Ximena Puente de la Mora. </w:t>
      </w:r>
    </w:p>
    <w:p w14:paraId="5A2714F0" w14:textId="77777777" w:rsidR="00C76E79" w:rsidRDefault="00C76E79" w:rsidP="00C76E79">
      <w:pPr>
        <w:pStyle w:val="Textonotapie"/>
        <w:rPr>
          <w:sz w:val="18"/>
          <w:szCs w:val="18"/>
        </w:rPr>
      </w:pPr>
      <w:r>
        <w:rPr>
          <w:sz w:val="18"/>
          <w:szCs w:val="18"/>
        </w:rPr>
        <w:t>RRA 0478/17. Secretaría de Relaciones Exteriores. 26 de abril de 2017. Por unanimidad. Comisionada Ponente Areli Cano Guadiana.”</w:t>
      </w:r>
    </w:p>
  </w:footnote>
  <w:footnote w:id="6">
    <w:p w14:paraId="285B23F0" w14:textId="77777777" w:rsidR="00C76E79" w:rsidRDefault="00C76E79" w:rsidP="00C76E79">
      <w:pPr>
        <w:pStyle w:val="Textonotapie"/>
        <w:rPr>
          <w:rFonts w:eastAsia="Calibri"/>
          <w:sz w:val="16"/>
          <w:szCs w:val="16"/>
        </w:rPr>
      </w:pPr>
      <w:r>
        <w:rPr>
          <w:rStyle w:val="Refdenotaalpie"/>
          <w:rFonts w:eastAsiaTheme="majorEastAsia"/>
          <w:sz w:val="16"/>
          <w:szCs w:val="16"/>
        </w:rPr>
        <w:footnoteRef/>
      </w:r>
      <w:r>
        <w:rPr>
          <w:sz w:val="16"/>
          <w:szCs w:val="16"/>
        </w:rPr>
        <w:t xml:space="preserve"> Lineamientos expedidos el 15 de abril de 2016, por el Consejo Nacional del Sistema Nacional de Transparencia, Acceso a la Información Pública y Protección de Datos Personales, consultable en </w:t>
      </w:r>
      <w:hyperlink r:id="rId4" w:anchor="gsc.tab=0" w:history="1">
        <w:r>
          <w:rPr>
            <w:rStyle w:val="Hipervnculo"/>
            <w:rFonts w:eastAsiaTheme="majorEastAsia"/>
            <w:sz w:val="16"/>
            <w:szCs w:val="16"/>
          </w:rPr>
          <w:t>https://www.dof.gob.mx/nota_detalle.php?codigo=5433280&amp;fecha=15/04/2016#gsc.tab=0</w:t>
        </w:r>
      </w:hyperlink>
      <w:r>
        <w:rPr>
          <w:sz w:val="16"/>
          <w:szCs w:val="16"/>
        </w:rPr>
        <w:t xml:space="preserve">; modificados en cuanto a los artículos Sexagésimo segundo, Sexagésimo tercero y Quinto Transitorio el 29 de julio de 2016, visible </w:t>
      </w:r>
      <w:hyperlink r:id="rId5" w:anchor="gsc.tab=0" w:history="1">
        <w:r>
          <w:rPr>
            <w:rStyle w:val="Hipervnculo"/>
            <w:rFonts w:eastAsiaTheme="majorEastAsia"/>
            <w:sz w:val="16"/>
            <w:szCs w:val="16"/>
          </w:rPr>
          <w:t>https://www.dof.gob.mx/nota_detalle.php?codigo=5446230&amp;fecha=29/07/2016#gsc.tab=0</w:t>
        </w:r>
      </w:hyperlink>
      <w:r>
        <w:rPr>
          <w:sz w:val="16"/>
          <w:szCs w:val="16"/>
        </w:rPr>
        <w:t xml:space="preserve"> y, posteriormente el 18 de noviembre de 2022, se modificaron diversos numerales, entrando en vigor a partir del 17 de enero de 2023, consultable en </w:t>
      </w:r>
      <w:hyperlink r:id="rId6" w:anchor="gsc.tab=0" w:history="1">
        <w:r>
          <w:rPr>
            <w:rStyle w:val="Hipervnculo"/>
            <w:rFonts w:eastAsiaTheme="majorEastAsia"/>
            <w:sz w:val="16"/>
            <w:szCs w:val="16"/>
          </w:rPr>
          <w:t>https://www.dof.gob.mx/nota_detalle.php?codigo=5671860&amp;fecha=18/11/2022#gsc.tab=0</w:t>
        </w:r>
      </w:hyperlink>
      <w:r>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92473F" w:rsidRPr="00330DA7" w14:paraId="070A4B18" w14:textId="77777777" w:rsidTr="003F35FD">
      <w:trPr>
        <w:trHeight w:val="144"/>
        <w:jc w:val="right"/>
      </w:trPr>
      <w:tc>
        <w:tcPr>
          <w:tcW w:w="2727" w:type="dxa"/>
        </w:tcPr>
        <w:p w14:paraId="62B7493A" w14:textId="77777777" w:rsidR="0092473F" w:rsidRPr="00330DA7" w:rsidRDefault="0092473F"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DD4714C" w:rsidR="0092473F" w:rsidRPr="00A90C72" w:rsidRDefault="0092473F" w:rsidP="000748DF">
          <w:pPr>
            <w:tabs>
              <w:tab w:val="right" w:pos="8838"/>
            </w:tabs>
            <w:ind w:left="-74" w:right="-105"/>
            <w:rPr>
              <w:rFonts w:eastAsia="Calibri" w:cs="Tahoma"/>
              <w:szCs w:val="22"/>
              <w:lang w:eastAsia="en-US"/>
            </w:rPr>
          </w:pPr>
          <w:r w:rsidRPr="00D94B50">
            <w:rPr>
              <w:rFonts w:eastAsia="Calibri" w:cs="Tahoma"/>
              <w:szCs w:val="22"/>
              <w:lang w:eastAsia="en-US"/>
            </w:rPr>
            <w:t>05767/INFOEM/IP/RR/2024</w:t>
          </w:r>
        </w:p>
      </w:tc>
    </w:tr>
    <w:tr w:rsidR="0092473F" w:rsidRPr="00330DA7" w14:paraId="4521E058" w14:textId="77777777" w:rsidTr="003F35FD">
      <w:trPr>
        <w:trHeight w:val="283"/>
        <w:jc w:val="right"/>
      </w:trPr>
      <w:tc>
        <w:tcPr>
          <w:tcW w:w="2727" w:type="dxa"/>
        </w:tcPr>
        <w:p w14:paraId="0B68C086" w14:textId="77777777" w:rsidR="0092473F" w:rsidRPr="00330DA7" w:rsidRDefault="0092473F"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0FD5C5A" w:rsidR="0092473F" w:rsidRPr="00952DD0" w:rsidRDefault="0092473F" w:rsidP="003F35FD">
          <w:pPr>
            <w:tabs>
              <w:tab w:val="left" w:pos="2834"/>
              <w:tab w:val="right" w:pos="8838"/>
            </w:tabs>
            <w:ind w:left="-108" w:right="-105"/>
            <w:rPr>
              <w:rFonts w:eastAsia="Calibri" w:cs="Tahoma"/>
              <w:szCs w:val="22"/>
              <w:lang w:eastAsia="en-US"/>
            </w:rPr>
          </w:pPr>
          <w:r w:rsidRPr="007D21FF">
            <w:rPr>
              <w:rFonts w:eastAsia="Calibri" w:cs="Tahoma"/>
              <w:szCs w:val="22"/>
              <w:lang w:eastAsia="en-US"/>
            </w:rPr>
            <w:t>Secretaría de Desarrollo Urbano e Infraestructura</w:t>
          </w:r>
        </w:p>
      </w:tc>
    </w:tr>
    <w:tr w:rsidR="0092473F" w:rsidRPr="00330DA7" w14:paraId="6331D9B6" w14:textId="77777777" w:rsidTr="003F35FD">
      <w:trPr>
        <w:trHeight w:val="283"/>
        <w:jc w:val="right"/>
      </w:trPr>
      <w:tc>
        <w:tcPr>
          <w:tcW w:w="2727" w:type="dxa"/>
        </w:tcPr>
        <w:p w14:paraId="3FA86BAE" w14:textId="68E88B1D" w:rsidR="0092473F" w:rsidRPr="00330DA7" w:rsidRDefault="0092473F"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92473F" w:rsidRPr="00EA66FC" w:rsidRDefault="0092473F"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92473F" w:rsidRPr="00443C6B" w:rsidRDefault="0092473F"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92473F" w:rsidRPr="00330DA7" w14:paraId="29CFF901" w14:textId="77777777" w:rsidTr="004B56B4">
      <w:trPr>
        <w:trHeight w:val="1435"/>
      </w:trPr>
      <w:tc>
        <w:tcPr>
          <w:tcW w:w="283" w:type="dxa"/>
          <w:shd w:val="clear" w:color="auto" w:fill="auto"/>
        </w:tcPr>
        <w:p w14:paraId="046B9F8F" w14:textId="56D2D896" w:rsidR="0092473F" w:rsidRPr="00330DA7" w:rsidRDefault="0092473F"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92473F" w:rsidRPr="00330DA7" w14:paraId="04F272D2" w14:textId="77777777" w:rsidTr="004B56B4">
            <w:trPr>
              <w:trHeight w:val="144"/>
            </w:trPr>
            <w:tc>
              <w:tcPr>
                <w:tcW w:w="2727" w:type="dxa"/>
              </w:tcPr>
              <w:p w14:paraId="2FD4DBF6" w14:textId="77777777" w:rsidR="0092473F" w:rsidRPr="00330DA7" w:rsidRDefault="0092473F" w:rsidP="005F3813">
                <w:pPr>
                  <w:tabs>
                    <w:tab w:val="right" w:pos="8838"/>
                  </w:tabs>
                  <w:spacing w:line="240" w:lineRule="auto"/>
                  <w:ind w:left="-74" w:right="-108"/>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46C3D37D" w:rsidR="0092473F" w:rsidRPr="00A90C72" w:rsidRDefault="0092473F" w:rsidP="005F3813">
                <w:pPr>
                  <w:tabs>
                    <w:tab w:val="right" w:pos="8838"/>
                  </w:tabs>
                  <w:spacing w:line="240" w:lineRule="auto"/>
                  <w:ind w:left="-74" w:right="-108"/>
                  <w:rPr>
                    <w:rFonts w:eastAsia="Calibri" w:cs="Tahoma"/>
                    <w:szCs w:val="22"/>
                    <w:lang w:eastAsia="en-US"/>
                  </w:rPr>
                </w:pPr>
                <w:r w:rsidRPr="00D94B50">
                  <w:rPr>
                    <w:rFonts w:eastAsia="Calibri" w:cs="Tahoma"/>
                    <w:szCs w:val="22"/>
                    <w:lang w:eastAsia="en-US"/>
                  </w:rPr>
                  <w:t>05767/INFOEM/IP/RR/2024</w:t>
                </w:r>
              </w:p>
            </w:tc>
            <w:tc>
              <w:tcPr>
                <w:tcW w:w="3402" w:type="dxa"/>
              </w:tcPr>
              <w:p w14:paraId="71DEA1CF" w14:textId="77777777" w:rsidR="0092473F" w:rsidRDefault="0092473F" w:rsidP="005F3813">
                <w:pPr>
                  <w:tabs>
                    <w:tab w:val="right" w:pos="8838"/>
                  </w:tabs>
                  <w:spacing w:line="240" w:lineRule="auto"/>
                  <w:ind w:left="-74" w:right="-108"/>
                  <w:rPr>
                    <w:rFonts w:eastAsia="Calibri" w:cs="Tahoma"/>
                    <w:szCs w:val="22"/>
                    <w:lang w:eastAsia="en-US"/>
                  </w:rPr>
                </w:pPr>
              </w:p>
            </w:tc>
          </w:tr>
          <w:tr w:rsidR="0092473F" w:rsidRPr="00330DA7" w14:paraId="05C58951" w14:textId="77777777" w:rsidTr="004B56B4">
            <w:trPr>
              <w:trHeight w:val="144"/>
            </w:trPr>
            <w:tc>
              <w:tcPr>
                <w:tcW w:w="2727" w:type="dxa"/>
              </w:tcPr>
              <w:p w14:paraId="642B9610" w14:textId="77777777" w:rsidR="0092473F" w:rsidRPr="00330DA7" w:rsidRDefault="0092473F" w:rsidP="005F3813">
                <w:pPr>
                  <w:tabs>
                    <w:tab w:val="right" w:pos="8838"/>
                  </w:tabs>
                  <w:spacing w:line="240" w:lineRule="auto"/>
                  <w:ind w:left="-74" w:right="-108"/>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49D24F66" w:rsidR="0092473F" w:rsidRPr="005F19B1" w:rsidRDefault="0092473F" w:rsidP="005F3813">
                <w:pPr>
                  <w:tabs>
                    <w:tab w:val="left" w:pos="3122"/>
                    <w:tab w:val="right" w:pos="8838"/>
                  </w:tabs>
                  <w:spacing w:line="240" w:lineRule="auto"/>
                  <w:ind w:left="-105" w:right="-108"/>
                  <w:rPr>
                    <w:rFonts w:eastAsia="Calibri" w:cs="Tahoma"/>
                    <w:szCs w:val="22"/>
                    <w:lang w:eastAsia="en-US"/>
                  </w:rPr>
                </w:pPr>
              </w:p>
            </w:tc>
            <w:tc>
              <w:tcPr>
                <w:tcW w:w="3402" w:type="dxa"/>
              </w:tcPr>
              <w:p w14:paraId="73F47F53" w14:textId="77777777" w:rsidR="0092473F" w:rsidRPr="005F19B1" w:rsidRDefault="0092473F" w:rsidP="005F3813">
                <w:pPr>
                  <w:tabs>
                    <w:tab w:val="left" w:pos="3122"/>
                    <w:tab w:val="right" w:pos="8838"/>
                  </w:tabs>
                  <w:spacing w:line="240" w:lineRule="auto"/>
                  <w:ind w:left="-105" w:right="-108"/>
                  <w:rPr>
                    <w:rFonts w:eastAsia="Calibri" w:cs="Tahoma"/>
                    <w:szCs w:val="22"/>
                    <w:lang w:eastAsia="en-US"/>
                  </w:rPr>
                </w:pPr>
              </w:p>
            </w:tc>
          </w:tr>
          <w:bookmarkEnd w:id="2"/>
          <w:tr w:rsidR="0092473F" w:rsidRPr="00330DA7" w14:paraId="00E6CDC1" w14:textId="77777777" w:rsidTr="004B56B4">
            <w:trPr>
              <w:trHeight w:val="283"/>
            </w:trPr>
            <w:tc>
              <w:tcPr>
                <w:tcW w:w="2727" w:type="dxa"/>
              </w:tcPr>
              <w:p w14:paraId="0631AD24" w14:textId="77777777" w:rsidR="0092473F" w:rsidRPr="00330DA7" w:rsidRDefault="0092473F"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A4D4239" w:rsidR="0092473F" w:rsidRPr="00952DD0" w:rsidRDefault="0092473F" w:rsidP="005F3813">
                <w:pPr>
                  <w:tabs>
                    <w:tab w:val="left" w:pos="2834"/>
                    <w:tab w:val="right" w:pos="8838"/>
                  </w:tabs>
                  <w:spacing w:line="240" w:lineRule="auto"/>
                  <w:ind w:left="-108" w:right="-108"/>
                  <w:rPr>
                    <w:rFonts w:eastAsia="Calibri" w:cs="Tahoma"/>
                    <w:szCs w:val="22"/>
                    <w:lang w:eastAsia="en-US"/>
                  </w:rPr>
                </w:pPr>
                <w:r w:rsidRPr="007D21FF">
                  <w:rPr>
                    <w:rFonts w:eastAsia="Calibri" w:cs="Tahoma"/>
                    <w:szCs w:val="22"/>
                    <w:lang w:eastAsia="en-US"/>
                  </w:rPr>
                  <w:t>Secretaría de Desarrollo Urbano e Infraestructura</w:t>
                </w:r>
              </w:p>
            </w:tc>
            <w:tc>
              <w:tcPr>
                <w:tcW w:w="3402" w:type="dxa"/>
              </w:tcPr>
              <w:p w14:paraId="3A7DA319" w14:textId="77777777" w:rsidR="0092473F" w:rsidRPr="00A90C72" w:rsidRDefault="0092473F" w:rsidP="005F3813">
                <w:pPr>
                  <w:tabs>
                    <w:tab w:val="left" w:pos="2834"/>
                    <w:tab w:val="right" w:pos="8838"/>
                  </w:tabs>
                  <w:spacing w:line="240" w:lineRule="auto"/>
                  <w:ind w:left="-108" w:right="-108"/>
                  <w:rPr>
                    <w:rFonts w:eastAsia="Calibri" w:cs="Tahoma"/>
                    <w:szCs w:val="22"/>
                    <w:lang w:eastAsia="en-US"/>
                  </w:rPr>
                </w:pPr>
              </w:p>
            </w:tc>
          </w:tr>
          <w:tr w:rsidR="0092473F" w:rsidRPr="00330DA7" w14:paraId="0F6CD8D2" w14:textId="77777777" w:rsidTr="004B56B4">
            <w:trPr>
              <w:trHeight w:val="283"/>
            </w:trPr>
            <w:tc>
              <w:tcPr>
                <w:tcW w:w="2727" w:type="dxa"/>
              </w:tcPr>
              <w:p w14:paraId="31700628" w14:textId="032DD90E" w:rsidR="0092473F" w:rsidRPr="00330DA7" w:rsidRDefault="0092473F"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92473F" w:rsidRPr="00EA66FC" w:rsidRDefault="0092473F"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92473F" w:rsidRPr="00330DA7" w:rsidRDefault="0092473F" w:rsidP="005F3813">
                <w:pPr>
                  <w:tabs>
                    <w:tab w:val="right" w:pos="8838"/>
                  </w:tabs>
                  <w:spacing w:line="240" w:lineRule="auto"/>
                  <w:ind w:left="-108" w:right="-108"/>
                  <w:rPr>
                    <w:rFonts w:eastAsia="Calibri" w:cs="Tahoma"/>
                    <w:szCs w:val="22"/>
                    <w:lang w:eastAsia="en-US"/>
                  </w:rPr>
                </w:pPr>
              </w:p>
            </w:tc>
          </w:tr>
        </w:tbl>
        <w:p w14:paraId="5DC6AC61" w14:textId="77777777" w:rsidR="0092473F" w:rsidRPr="00330DA7" w:rsidRDefault="0092473F" w:rsidP="004B56B4">
          <w:pPr>
            <w:tabs>
              <w:tab w:val="right" w:pos="8838"/>
            </w:tabs>
            <w:ind w:left="-28"/>
            <w:rPr>
              <w:rFonts w:ascii="Arial" w:eastAsia="Calibri" w:hAnsi="Arial" w:cs="Arial"/>
              <w:b/>
              <w:szCs w:val="22"/>
              <w:lang w:eastAsia="en-US"/>
            </w:rPr>
          </w:pPr>
        </w:p>
      </w:tc>
    </w:tr>
  </w:tbl>
  <w:p w14:paraId="2A906731" w14:textId="77777777" w:rsidR="0092473F" w:rsidRPr="00765661" w:rsidRDefault="003F6439"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7022270"/>
    <w:multiLevelType w:val="hybridMultilevel"/>
    <w:tmpl w:val="C9D6C66C"/>
    <w:lvl w:ilvl="0" w:tplc="B6906186">
      <w:start w:val="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61607C"/>
    <w:multiLevelType w:val="hybridMultilevel"/>
    <w:tmpl w:val="A6CAFD3E"/>
    <w:lvl w:ilvl="0" w:tplc="3128180A">
      <w:start w:val="23"/>
      <w:numFmt w:val="bullet"/>
      <w:lvlText w:val="-"/>
      <w:lvlJc w:val="left"/>
      <w:pPr>
        <w:ind w:left="927" w:hanging="360"/>
      </w:pPr>
      <w:rPr>
        <w:rFonts w:ascii="Palatino Linotype" w:eastAsiaTheme="majorEastAsia" w:hAnsi="Palatino Linotype" w:cstheme="maj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 w15:restartNumberingAfterBreak="0">
    <w:nsid w:val="3C8C0AF0"/>
    <w:multiLevelType w:val="hybridMultilevel"/>
    <w:tmpl w:val="D1962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5F453A"/>
    <w:multiLevelType w:val="hybridMultilevel"/>
    <w:tmpl w:val="280A70F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460A2490"/>
    <w:multiLevelType w:val="hybridMultilevel"/>
    <w:tmpl w:val="CD5E194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46B71392"/>
    <w:multiLevelType w:val="hybridMultilevel"/>
    <w:tmpl w:val="F3AA782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4C0812B5"/>
    <w:multiLevelType w:val="hybridMultilevel"/>
    <w:tmpl w:val="BBC4DC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60303B5"/>
    <w:multiLevelType w:val="hybridMultilevel"/>
    <w:tmpl w:val="EE967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8AE5210"/>
    <w:multiLevelType w:val="hybridMultilevel"/>
    <w:tmpl w:val="5234F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8DB0FFA"/>
    <w:multiLevelType w:val="hybridMultilevel"/>
    <w:tmpl w:val="55A2903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15:restartNumberingAfterBreak="0">
    <w:nsid w:val="694F401D"/>
    <w:multiLevelType w:val="hybridMultilevel"/>
    <w:tmpl w:val="C3F05166"/>
    <w:lvl w:ilvl="0" w:tplc="B6906186">
      <w:start w:val="6"/>
      <w:numFmt w:val="bullet"/>
      <w:lvlText w:val="-"/>
      <w:lvlJc w:val="left"/>
      <w:pPr>
        <w:ind w:left="1428" w:hanging="360"/>
      </w:pPr>
      <w:rPr>
        <w:rFonts w:ascii="Palatino Linotype" w:eastAsia="Times New Roman" w:hAnsi="Palatino Linotype" w:cs="Tahoma"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6CE37FE8"/>
    <w:multiLevelType w:val="hybridMultilevel"/>
    <w:tmpl w:val="D534E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F8C1DE4"/>
    <w:multiLevelType w:val="hybridMultilevel"/>
    <w:tmpl w:val="DCAC70A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71191189"/>
    <w:multiLevelType w:val="hybridMultilevel"/>
    <w:tmpl w:val="3CBC7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30844B1"/>
    <w:multiLevelType w:val="hybridMultilevel"/>
    <w:tmpl w:val="62583EE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42C0B54"/>
    <w:multiLevelType w:val="hybridMultilevel"/>
    <w:tmpl w:val="432A02A0"/>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15:restartNumberingAfterBreak="0">
    <w:nsid w:val="74F93886"/>
    <w:multiLevelType w:val="hybridMultilevel"/>
    <w:tmpl w:val="6F6AA56E"/>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A01723"/>
    <w:multiLevelType w:val="hybridMultilevel"/>
    <w:tmpl w:val="C0DAFE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794A69AF"/>
    <w:multiLevelType w:val="hybridMultilevel"/>
    <w:tmpl w:val="7EA27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11"/>
  </w:num>
  <w:num w:numId="5">
    <w:abstractNumId w:val="9"/>
  </w:num>
  <w:num w:numId="6">
    <w:abstractNumId w:val="8"/>
  </w:num>
  <w:num w:numId="7">
    <w:abstractNumId w:val="3"/>
  </w:num>
  <w:num w:numId="8">
    <w:abstractNumId w:val="6"/>
  </w:num>
  <w:num w:numId="9">
    <w:abstractNumId w:val="18"/>
  </w:num>
  <w:num w:numId="10">
    <w:abstractNumId w:val="4"/>
  </w:num>
  <w:num w:numId="11">
    <w:abstractNumId w:val="13"/>
  </w:num>
  <w:num w:numId="12">
    <w:abstractNumId w:val="5"/>
  </w:num>
  <w:num w:numId="13">
    <w:abstractNumId w:val="17"/>
  </w:num>
  <w:num w:numId="14">
    <w:abstractNumId w:val="15"/>
  </w:num>
  <w:num w:numId="15">
    <w:abstractNumId w:val="1"/>
  </w:num>
  <w:num w:numId="16">
    <w:abstractNumId w:val="14"/>
  </w:num>
  <w:num w:numId="17">
    <w:abstractNumId w:val="12"/>
  </w:num>
  <w:num w:numId="18">
    <w:abstractNumId w:val="19"/>
  </w:num>
  <w:num w:numId="19">
    <w:abstractNumId w:val="16"/>
  </w:num>
  <w:num w:numId="2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628"/>
    <w:rsid w:val="0000438F"/>
    <w:rsid w:val="00005C4F"/>
    <w:rsid w:val="0000629A"/>
    <w:rsid w:val="0000788D"/>
    <w:rsid w:val="00007B0E"/>
    <w:rsid w:val="00021886"/>
    <w:rsid w:val="00023457"/>
    <w:rsid w:val="00027010"/>
    <w:rsid w:val="000318BC"/>
    <w:rsid w:val="00034136"/>
    <w:rsid w:val="000352BC"/>
    <w:rsid w:val="00036589"/>
    <w:rsid w:val="00044BDF"/>
    <w:rsid w:val="00047A58"/>
    <w:rsid w:val="00057B2D"/>
    <w:rsid w:val="00063EDE"/>
    <w:rsid w:val="00073F86"/>
    <w:rsid w:val="000748DF"/>
    <w:rsid w:val="00075514"/>
    <w:rsid w:val="00080071"/>
    <w:rsid w:val="00081CC4"/>
    <w:rsid w:val="000820ED"/>
    <w:rsid w:val="00082A7D"/>
    <w:rsid w:val="000853B7"/>
    <w:rsid w:val="000863CE"/>
    <w:rsid w:val="00086B1B"/>
    <w:rsid w:val="00086B6D"/>
    <w:rsid w:val="000871BE"/>
    <w:rsid w:val="00091098"/>
    <w:rsid w:val="000925BE"/>
    <w:rsid w:val="000931F8"/>
    <w:rsid w:val="0009347C"/>
    <w:rsid w:val="0009480D"/>
    <w:rsid w:val="000A57F7"/>
    <w:rsid w:val="000B193A"/>
    <w:rsid w:val="000B3962"/>
    <w:rsid w:val="000B4E8B"/>
    <w:rsid w:val="000C2B8C"/>
    <w:rsid w:val="000C7151"/>
    <w:rsid w:val="000D0D67"/>
    <w:rsid w:val="000D13AD"/>
    <w:rsid w:val="000E09C4"/>
    <w:rsid w:val="000E3851"/>
    <w:rsid w:val="000E4D48"/>
    <w:rsid w:val="000E5A90"/>
    <w:rsid w:val="000F7960"/>
    <w:rsid w:val="0010290C"/>
    <w:rsid w:val="00104035"/>
    <w:rsid w:val="0011350D"/>
    <w:rsid w:val="00113CFA"/>
    <w:rsid w:val="00122332"/>
    <w:rsid w:val="00124714"/>
    <w:rsid w:val="001259D3"/>
    <w:rsid w:val="00125D09"/>
    <w:rsid w:val="00126BAB"/>
    <w:rsid w:val="00126BD5"/>
    <w:rsid w:val="00132C51"/>
    <w:rsid w:val="0013398A"/>
    <w:rsid w:val="00134ED3"/>
    <w:rsid w:val="00141876"/>
    <w:rsid w:val="0014207B"/>
    <w:rsid w:val="00150C49"/>
    <w:rsid w:val="0015422F"/>
    <w:rsid w:val="00155428"/>
    <w:rsid w:val="00156277"/>
    <w:rsid w:val="00162F89"/>
    <w:rsid w:val="00164403"/>
    <w:rsid w:val="001655BF"/>
    <w:rsid w:val="0016677D"/>
    <w:rsid w:val="00167FA5"/>
    <w:rsid w:val="00170109"/>
    <w:rsid w:val="00176CA6"/>
    <w:rsid w:val="00182603"/>
    <w:rsid w:val="00182B71"/>
    <w:rsid w:val="001836E8"/>
    <w:rsid w:val="00186A19"/>
    <w:rsid w:val="00197F95"/>
    <w:rsid w:val="001A5691"/>
    <w:rsid w:val="001A58B3"/>
    <w:rsid w:val="001A5E3C"/>
    <w:rsid w:val="001C1234"/>
    <w:rsid w:val="001C1AE4"/>
    <w:rsid w:val="001C7688"/>
    <w:rsid w:val="001C7E98"/>
    <w:rsid w:val="001D0C50"/>
    <w:rsid w:val="001D34CA"/>
    <w:rsid w:val="001D4CD0"/>
    <w:rsid w:val="001F1BE3"/>
    <w:rsid w:val="001F3515"/>
    <w:rsid w:val="0020698B"/>
    <w:rsid w:val="00207DEA"/>
    <w:rsid w:val="00211229"/>
    <w:rsid w:val="00212CEC"/>
    <w:rsid w:val="00214FC7"/>
    <w:rsid w:val="002163E8"/>
    <w:rsid w:val="00224352"/>
    <w:rsid w:val="002268D4"/>
    <w:rsid w:val="00227FB3"/>
    <w:rsid w:val="0023051D"/>
    <w:rsid w:val="00231CA4"/>
    <w:rsid w:val="00233005"/>
    <w:rsid w:val="00233F17"/>
    <w:rsid w:val="002367E7"/>
    <w:rsid w:val="00241ACF"/>
    <w:rsid w:val="00242B28"/>
    <w:rsid w:val="00244FA6"/>
    <w:rsid w:val="0024744C"/>
    <w:rsid w:val="00250799"/>
    <w:rsid w:val="00253742"/>
    <w:rsid w:val="00255111"/>
    <w:rsid w:val="0025601C"/>
    <w:rsid w:val="00261471"/>
    <w:rsid w:val="00263236"/>
    <w:rsid w:val="00267635"/>
    <w:rsid w:val="00270481"/>
    <w:rsid w:val="00273E73"/>
    <w:rsid w:val="002807DD"/>
    <w:rsid w:val="00283C65"/>
    <w:rsid w:val="00286F15"/>
    <w:rsid w:val="00293D1D"/>
    <w:rsid w:val="0029656A"/>
    <w:rsid w:val="002A3601"/>
    <w:rsid w:val="002B1314"/>
    <w:rsid w:val="002B3577"/>
    <w:rsid w:val="002B37C9"/>
    <w:rsid w:val="002B4A8C"/>
    <w:rsid w:val="002B6ADA"/>
    <w:rsid w:val="002B7C6F"/>
    <w:rsid w:val="002D111C"/>
    <w:rsid w:val="002D4497"/>
    <w:rsid w:val="002E0855"/>
    <w:rsid w:val="002E08BE"/>
    <w:rsid w:val="002E2C99"/>
    <w:rsid w:val="002E6465"/>
    <w:rsid w:val="002E69F0"/>
    <w:rsid w:val="002E6DBB"/>
    <w:rsid w:val="002F1C00"/>
    <w:rsid w:val="002F4DBD"/>
    <w:rsid w:val="003017FC"/>
    <w:rsid w:val="00302476"/>
    <w:rsid w:val="00315789"/>
    <w:rsid w:val="003171F3"/>
    <w:rsid w:val="00321E6F"/>
    <w:rsid w:val="00321F51"/>
    <w:rsid w:val="00322B7E"/>
    <w:rsid w:val="003307A4"/>
    <w:rsid w:val="00331F35"/>
    <w:rsid w:val="0033442A"/>
    <w:rsid w:val="00335767"/>
    <w:rsid w:val="0033585B"/>
    <w:rsid w:val="00335CDF"/>
    <w:rsid w:val="00336B4B"/>
    <w:rsid w:val="00336D38"/>
    <w:rsid w:val="00357573"/>
    <w:rsid w:val="00360DDD"/>
    <w:rsid w:val="00362A11"/>
    <w:rsid w:val="00362C63"/>
    <w:rsid w:val="00372AF0"/>
    <w:rsid w:val="00374E09"/>
    <w:rsid w:val="0038205E"/>
    <w:rsid w:val="0038284C"/>
    <w:rsid w:val="00384FBD"/>
    <w:rsid w:val="003907A4"/>
    <w:rsid w:val="00393A73"/>
    <w:rsid w:val="003A1429"/>
    <w:rsid w:val="003A16C4"/>
    <w:rsid w:val="003A36BE"/>
    <w:rsid w:val="003A40C1"/>
    <w:rsid w:val="003A552F"/>
    <w:rsid w:val="003A7ED3"/>
    <w:rsid w:val="003B3762"/>
    <w:rsid w:val="003B475A"/>
    <w:rsid w:val="003B5D3E"/>
    <w:rsid w:val="003B62E6"/>
    <w:rsid w:val="003B77A8"/>
    <w:rsid w:val="003C1E36"/>
    <w:rsid w:val="003D2DF7"/>
    <w:rsid w:val="003D37E4"/>
    <w:rsid w:val="003D43DC"/>
    <w:rsid w:val="003E2DF9"/>
    <w:rsid w:val="003E45CF"/>
    <w:rsid w:val="003E5FDB"/>
    <w:rsid w:val="003F35FD"/>
    <w:rsid w:val="003F5E69"/>
    <w:rsid w:val="003F6439"/>
    <w:rsid w:val="003F71AC"/>
    <w:rsid w:val="003F780F"/>
    <w:rsid w:val="004004E2"/>
    <w:rsid w:val="00402EF0"/>
    <w:rsid w:val="00406F5A"/>
    <w:rsid w:val="00410175"/>
    <w:rsid w:val="00413154"/>
    <w:rsid w:val="0041385B"/>
    <w:rsid w:val="0041709A"/>
    <w:rsid w:val="004252F1"/>
    <w:rsid w:val="00426E7F"/>
    <w:rsid w:val="004325D2"/>
    <w:rsid w:val="004326C1"/>
    <w:rsid w:val="00435F18"/>
    <w:rsid w:val="00441BFA"/>
    <w:rsid w:val="004427CC"/>
    <w:rsid w:val="00442D21"/>
    <w:rsid w:val="00453B6D"/>
    <w:rsid w:val="00454FBD"/>
    <w:rsid w:val="00455859"/>
    <w:rsid w:val="00456D52"/>
    <w:rsid w:val="00456EE4"/>
    <w:rsid w:val="00464F6A"/>
    <w:rsid w:val="004650AF"/>
    <w:rsid w:val="0047273F"/>
    <w:rsid w:val="00475583"/>
    <w:rsid w:val="004804F2"/>
    <w:rsid w:val="0048159A"/>
    <w:rsid w:val="0048329D"/>
    <w:rsid w:val="00493956"/>
    <w:rsid w:val="00494368"/>
    <w:rsid w:val="00497BFA"/>
    <w:rsid w:val="004A44B6"/>
    <w:rsid w:val="004A7CF3"/>
    <w:rsid w:val="004B05E0"/>
    <w:rsid w:val="004B56B4"/>
    <w:rsid w:val="004C1BD1"/>
    <w:rsid w:val="004C25DA"/>
    <w:rsid w:val="004C2719"/>
    <w:rsid w:val="004C629E"/>
    <w:rsid w:val="004D019F"/>
    <w:rsid w:val="004D18AD"/>
    <w:rsid w:val="004D2AA2"/>
    <w:rsid w:val="004D7988"/>
    <w:rsid w:val="004D7CD8"/>
    <w:rsid w:val="004E10F6"/>
    <w:rsid w:val="004E38B6"/>
    <w:rsid w:val="004E4108"/>
    <w:rsid w:val="004E4B78"/>
    <w:rsid w:val="004E5068"/>
    <w:rsid w:val="004F0690"/>
    <w:rsid w:val="004F24B3"/>
    <w:rsid w:val="004F6E7A"/>
    <w:rsid w:val="004F7A00"/>
    <w:rsid w:val="0050792D"/>
    <w:rsid w:val="00513801"/>
    <w:rsid w:val="0052341D"/>
    <w:rsid w:val="00523F48"/>
    <w:rsid w:val="00524E6D"/>
    <w:rsid w:val="005272BD"/>
    <w:rsid w:val="005314A3"/>
    <w:rsid w:val="00536482"/>
    <w:rsid w:val="005365FA"/>
    <w:rsid w:val="00545E74"/>
    <w:rsid w:val="00546D39"/>
    <w:rsid w:val="0055491A"/>
    <w:rsid w:val="00554934"/>
    <w:rsid w:val="00557F9B"/>
    <w:rsid w:val="005603CE"/>
    <w:rsid w:val="00561C31"/>
    <w:rsid w:val="00562CFB"/>
    <w:rsid w:val="00565088"/>
    <w:rsid w:val="00566167"/>
    <w:rsid w:val="005666D8"/>
    <w:rsid w:val="005723CB"/>
    <w:rsid w:val="00575400"/>
    <w:rsid w:val="005776E3"/>
    <w:rsid w:val="005856CA"/>
    <w:rsid w:val="00590892"/>
    <w:rsid w:val="005928D2"/>
    <w:rsid w:val="00597A52"/>
    <w:rsid w:val="005A2DBC"/>
    <w:rsid w:val="005A2E48"/>
    <w:rsid w:val="005B18AF"/>
    <w:rsid w:val="005B2E16"/>
    <w:rsid w:val="005B4701"/>
    <w:rsid w:val="005B7E93"/>
    <w:rsid w:val="005C494E"/>
    <w:rsid w:val="005D5A50"/>
    <w:rsid w:val="005D6057"/>
    <w:rsid w:val="005E2369"/>
    <w:rsid w:val="005E7210"/>
    <w:rsid w:val="005F08BC"/>
    <w:rsid w:val="005F2743"/>
    <w:rsid w:val="005F3813"/>
    <w:rsid w:val="005F5301"/>
    <w:rsid w:val="005F5C51"/>
    <w:rsid w:val="005F65B7"/>
    <w:rsid w:val="005F7E3F"/>
    <w:rsid w:val="00600163"/>
    <w:rsid w:val="00600FED"/>
    <w:rsid w:val="006067C7"/>
    <w:rsid w:val="00612DFA"/>
    <w:rsid w:val="006153F0"/>
    <w:rsid w:val="006159AD"/>
    <w:rsid w:val="00623941"/>
    <w:rsid w:val="006245FB"/>
    <w:rsid w:val="00624690"/>
    <w:rsid w:val="00627062"/>
    <w:rsid w:val="006273C6"/>
    <w:rsid w:val="00635219"/>
    <w:rsid w:val="006363D2"/>
    <w:rsid w:val="00644A42"/>
    <w:rsid w:val="00644E92"/>
    <w:rsid w:val="00646436"/>
    <w:rsid w:val="0065172E"/>
    <w:rsid w:val="00664420"/>
    <w:rsid w:val="00664C83"/>
    <w:rsid w:val="00670197"/>
    <w:rsid w:val="00670D3E"/>
    <w:rsid w:val="00675166"/>
    <w:rsid w:val="00680D23"/>
    <w:rsid w:val="006827D0"/>
    <w:rsid w:val="00682AF9"/>
    <w:rsid w:val="00682F10"/>
    <w:rsid w:val="00682FB7"/>
    <w:rsid w:val="0068416B"/>
    <w:rsid w:val="00685CF1"/>
    <w:rsid w:val="00686502"/>
    <w:rsid w:val="0068786E"/>
    <w:rsid w:val="00692552"/>
    <w:rsid w:val="0069268F"/>
    <w:rsid w:val="006A0C80"/>
    <w:rsid w:val="006A22AB"/>
    <w:rsid w:val="006A28B4"/>
    <w:rsid w:val="006A54D1"/>
    <w:rsid w:val="006A61F1"/>
    <w:rsid w:val="006A646A"/>
    <w:rsid w:val="006B10B0"/>
    <w:rsid w:val="006B2561"/>
    <w:rsid w:val="006B43A3"/>
    <w:rsid w:val="006B6403"/>
    <w:rsid w:val="006C3622"/>
    <w:rsid w:val="006D2613"/>
    <w:rsid w:val="006D3B40"/>
    <w:rsid w:val="006D42B5"/>
    <w:rsid w:val="006D6791"/>
    <w:rsid w:val="006E23FF"/>
    <w:rsid w:val="006E25BC"/>
    <w:rsid w:val="006E6BBC"/>
    <w:rsid w:val="006F611E"/>
    <w:rsid w:val="006F6371"/>
    <w:rsid w:val="006F64E7"/>
    <w:rsid w:val="006F7071"/>
    <w:rsid w:val="006F7768"/>
    <w:rsid w:val="00703A3B"/>
    <w:rsid w:val="00703BC7"/>
    <w:rsid w:val="00707158"/>
    <w:rsid w:val="00712200"/>
    <w:rsid w:val="00717E59"/>
    <w:rsid w:val="00721C72"/>
    <w:rsid w:val="00721C9E"/>
    <w:rsid w:val="00725300"/>
    <w:rsid w:val="007272AF"/>
    <w:rsid w:val="00730E47"/>
    <w:rsid w:val="007328F2"/>
    <w:rsid w:val="00733526"/>
    <w:rsid w:val="007369BE"/>
    <w:rsid w:val="0074635C"/>
    <w:rsid w:val="0075086A"/>
    <w:rsid w:val="007530D0"/>
    <w:rsid w:val="00760756"/>
    <w:rsid w:val="00761E54"/>
    <w:rsid w:val="0076287D"/>
    <w:rsid w:val="00766ECE"/>
    <w:rsid w:val="00770864"/>
    <w:rsid w:val="0077382A"/>
    <w:rsid w:val="00773E03"/>
    <w:rsid w:val="00775BFC"/>
    <w:rsid w:val="007771D7"/>
    <w:rsid w:val="0078291B"/>
    <w:rsid w:val="00783C1E"/>
    <w:rsid w:val="00783E37"/>
    <w:rsid w:val="00792DB5"/>
    <w:rsid w:val="00797492"/>
    <w:rsid w:val="007978D7"/>
    <w:rsid w:val="007A2722"/>
    <w:rsid w:val="007A2AD8"/>
    <w:rsid w:val="007A3459"/>
    <w:rsid w:val="007A5448"/>
    <w:rsid w:val="007B034E"/>
    <w:rsid w:val="007B6074"/>
    <w:rsid w:val="007B7451"/>
    <w:rsid w:val="007C17CC"/>
    <w:rsid w:val="007C1C17"/>
    <w:rsid w:val="007C6519"/>
    <w:rsid w:val="007D115A"/>
    <w:rsid w:val="007D1C55"/>
    <w:rsid w:val="007D21FF"/>
    <w:rsid w:val="007D317F"/>
    <w:rsid w:val="007E2967"/>
    <w:rsid w:val="007E42B7"/>
    <w:rsid w:val="007E5A3D"/>
    <w:rsid w:val="007F107E"/>
    <w:rsid w:val="007F2531"/>
    <w:rsid w:val="007F3FBF"/>
    <w:rsid w:val="007F5D06"/>
    <w:rsid w:val="007F5ECA"/>
    <w:rsid w:val="00803A08"/>
    <w:rsid w:val="00805A6E"/>
    <w:rsid w:val="00807778"/>
    <w:rsid w:val="0082245B"/>
    <w:rsid w:val="0082247D"/>
    <w:rsid w:val="00824DD7"/>
    <w:rsid w:val="00826371"/>
    <w:rsid w:val="00826A93"/>
    <w:rsid w:val="00830F38"/>
    <w:rsid w:val="00834935"/>
    <w:rsid w:val="0083518A"/>
    <w:rsid w:val="008363CB"/>
    <w:rsid w:val="00837517"/>
    <w:rsid w:val="0084191E"/>
    <w:rsid w:val="008422F0"/>
    <w:rsid w:val="008436D6"/>
    <w:rsid w:val="00851468"/>
    <w:rsid w:val="00855335"/>
    <w:rsid w:val="008629A5"/>
    <w:rsid w:val="00865CF4"/>
    <w:rsid w:val="008669DA"/>
    <w:rsid w:val="00873611"/>
    <w:rsid w:val="008750D5"/>
    <w:rsid w:val="0087567C"/>
    <w:rsid w:val="00876DBC"/>
    <w:rsid w:val="008842E9"/>
    <w:rsid w:val="00887FC0"/>
    <w:rsid w:val="00891548"/>
    <w:rsid w:val="00893BA2"/>
    <w:rsid w:val="00893F31"/>
    <w:rsid w:val="00896AF7"/>
    <w:rsid w:val="008A09B9"/>
    <w:rsid w:val="008A46A1"/>
    <w:rsid w:val="008A6003"/>
    <w:rsid w:val="008A6656"/>
    <w:rsid w:val="008A6AB7"/>
    <w:rsid w:val="008A6F88"/>
    <w:rsid w:val="008B1E16"/>
    <w:rsid w:val="008B38DB"/>
    <w:rsid w:val="008B62FA"/>
    <w:rsid w:val="008C1B87"/>
    <w:rsid w:val="008C6B6E"/>
    <w:rsid w:val="008C7E21"/>
    <w:rsid w:val="008C7FAF"/>
    <w:rsid w:val="008E1316"/>
    <w:rsid w:val="008E19A7"/>
    <w:rsid w:val="008F3837"/>
    <w:rsid w:val="008F6A6B"/>
    <w:rsid w:val="00900DC0"/>
    <w:rsid w:val="00910FD2"/>
    <w:rsid w:val="0091206F"/>
    <w:rsid w:val="0091733B"/>
    <w:rsid w:val="00923307"/>
    <w:rsid w:val="009233B2"/>
    <w:rsid w:val="0092473F"/>
    <w:rsid w:val="0092501E"/>
    <w:rsid w:val="00931437"/>
    <w:rsid w:val="00931891"/>
    <w:rsid w:val="009328A8"/>
    <w:rsid w:val="00934ECD"/>
    <w:rsid w:val="00940F4F"/>
    <w:rsid w:val="00942A3F"/>
    <w:rsid w:val="00944EFF"/>
    <w:rsid w:val="00952F83"/>
    <w:rsid w:val="00953430"/>
    <w:rsid w:val="00955DCC"/>
    <w:rsid w:val="0096086B"/>
    <w:rsid w:val="00960996"/>
    <w:rsid w:val="00964368"/>
    <w:rsid w:val="0096640F"/>
    <w:rsid w:val="0096663A"/>
    <w:rsid w:val="00970EB3"/>
    <w:rsid w:val="00975CA6"/>
    <w:rsid w:val="00975DDD"/>
    <w:rsid w:val="00977BCC"/>
    <w:rsid w:val="009830CF"/>
    <w:rsid w:val="00983EEF"/>
    <w:rsid w:val="00984ADE"/>
    <w:rsid w:val="009855AA"/>
    <w:rsid w:val="0098569A"/>
    <w:rsid w:val="00991944"/>
    <w:rsid w:val="0099459E"/>
    <w:rsid w:val="00994B34"/>
    <w:rsid w:val="009A0F7C"/>
    <w:rsid w:val="009A1803"/>
    <w:rsid w:val="009A2D78"/>
    <w:rsid w:val="009A42BF"/>
    <w:rsid w:val="009A7C10"/>
    <w:rsid w:val="009B2945"/>
    <w:rsid w:val="009B38F6"/>
    <w:rsid w:val="009B5209"/>
    <w:rsid w:val="009C644C"/>
    <w:rsid w:val="009C763E"/>
    <w:rsid w:val="009C7CDB"/>
    <w:rsid w:val="009D5BDE"/>
    <w:rsid w:val="009D69F6"/>
    <w:rsid w:val="009E1AD1"/>
    <w:rsid w:val="009E2DEE"/>
    <w:rsid w:val="009E380A"/>
    <w:rsid w:val="009E3CDF"/>
    <w:rsid w:val="009E57D9"/>
    <w:rsid w:val="009E696C"/>
    <w:rsid w:val="009F5624"/>
    <w:rsid w:val="009F684B"/>
    <w:rsid w:val="009F69D9"/>
    <w:rsid w:val="009F7108"/>
    <w:rsid w:val="009F797C"/>
    <w:rsid w:val="00A00828"/>
    <w:rsid w:val="00A0449B"/>
    <w:rsid w:val="00A053F2"/>
    <w:rsid w:val="00A10236"/>
    <w:rsid w:val="00A10E0E"/>
    <w:rsid w:val="00A131AC"/>
    <w:rsid w:val="00A13713"/>
    <w:rsid w:val="00A13828"/>
    <w:rsid w:val="00A16CEE"/>
    <w:rsid w:val="00A16D85"/>
    <w:rsid w:val="00A21A20"/>
    <w:rsid w:val="00A24D6A"/>
    <w:rsid w:val="00A315D2"/>
    <w:rsid w:val="00A32CA5"/>
    <w:rsid w:val="00A33BDB"/>
    <w:rsid w:val="00A36A99"/>
    <w:rsid w:val="00A42706"/>
    <w:rsid w:val="00A45D1C"/>
    <w:rsid w:val="00A50EBA"/>
    <w:rsid w:val="00A53315"/>
    <w:rsid w:val="00A5371E"/>
    <w:rsid w:val="00A64191"/>
    <w:rsid w:val="00A665E5"/>
    <w:rsid w:val="00A70EF0"/>
    <w:rsid w:val="00A71845"/>
    <w:rsid w:val="00A742B6"/>
    <w:rsid w:val="00A81896"/>
    <w:rsid w:val="00A81DC8"/>
    <w:rsid w:val="00A82F04"/>
    <w:rsid w:val="00A84F9F"/>
    <w:rsid w:val="00A850A3"/>
    <w:rsid w:val="00A9208D"/>
    <w:rsid w:val="00A93923"/>
    <w:rsid w:val="00A94D16"/>
    <w:rsid w:val="00A97CF8"/>
    <w:rsid w:val="00A97E73"/>
    <w:rsid w:val="00AA0841"/>
    <w:rsid w:val="00AA1DCB"/>
    <w:rsid w:val="00AA364B"/>
    <w:rsid w:val="00AA4FA7"/>
    <w:rsid w:val="00AA67DA"/>
    <w:rsid w:val="00AA6EA9"/>
    <w:rsid w:val="00AB1BE1"/>
    <w:rsid w:val="00AB29B8"/>
    <w:rsid w:val="00AB497D"/>
    <w:rsid w:val="00AB7049"/>
    <w:rsid w:val="00AC0209"/>
    <w:rsid w:val="00AC05F1"/>
    <w:rsid w:val="00AC2DB8"/>
    <w:rsid w:val="00AC3CA0"/>
    <w:rsid w:val="00AC718C"/>
    <w:rsid w:val="00AD0E9E"/>
    <w:rsid w:val="00AE0232"/>
    <w:rsid w:val="00AE3DA7"/>
    <w:rsid w:val="00AE6FFC"/>
    <w:rsid w:val="00AE7030"/>
    <w:rsid w:val="00AF03C4"/>
    <w:rsid w:val="00AF08BD"/>
    <w:rsid w:val="00AF2423"/>
    <w:rsid w:val="00B0006C"/>
    <w:rsid w:val="00B00941"/>
    <w:rsid w:val="00B03976"/>
    <w:rsid w:val="00B03AB8"/>
    <w:rsid w:val="00B047A8"/>
    <w:rsid w:val="00B05F2B"/>
    <w:rsid w:val="00B1412F"/>
    <w:rsid w:val="00B21C80"/>
    <w:rsid w:val="00B22A80"/>
    <w:rsid w:val="00B23C0A"/>
    <w:rsid w:val="00B37DEF"/>
    <w:rsid w:val="00B416E8"/>
    <w:rsid w:val="00B50E12"/>
    <w:rsid w:val="00B512B6"/>
    <w:rsid w:val="00B540DC"/>
    <w:rsid w:val="00B54463"/>
    <w:rsid w:val="00B54E5A"/>
    <w:rsid w:val="00B55F8F"/>
    <w:rsid w:val="00B562C2"/>
    <w:rsid w:val="00B56F59"/>
    <w:rsid w:val="00B573E8"/>
    <w:rsid w:val="00B60BFC"/>
    <w:rsid w:val="00B62F57"/>
    <w:rsid w:val="00B64A80"/>
    <w:rsid w:val="00B73F84"/>
    <w:rsid w:val="00B82086"/>
    <w:rsid w:val="00B83675"/>
    <w:rsid w:val="00B836C3"/>
    <w:rsid w:val="00B92FAA"/>
    <w:rsid w:val="00B96520"/>
    <w:rsid w:val="00B97A00"/>
    <w:rsid w:val="00BA0CF7"/>
    <w:rsid w:val="00BA29BC"/>
    <w:rsid w:val="00BA55A8"/>
    <w:rsid w:val="00BB2663"/>
    <w:rsid w:val="00BB2902"/>
    <w:rsid w:val="00BB2ABF"/>
    <w:rsid w:val="00BB3CAA"/>
    <w:rsid w:val="00BB64F4"/>
    <w:rsid w:val="00BB7B48"/>
    <w:rsid w:val="00BC17A4"/>
    <w:rsid w:val="00BC2617"/>
    <w:rsid w:val="00BC67B0"/>
    <w:rsid w:val="00BC7CDB"/>
    <w:rsid w:val="00BD00B7"/>
    <w:rsid w:val="00BD0200"/>
    <w:rsid w:val="00BD0792"/>
    <w:rsid w:val="00BD3F4F"/>
    <w:rsid w:val="00BD5A7C"/>
    <w:rsid w:val="00BD63AB"/>
    <w:rsid w:val="00BE413E"/>
    <w:rsid w:val="00BE4A8B"/>
    <w:rsid w:val="00BE5FAE"/>
    <w:rsid w:val="00BE7A1B"/>
    <w:rsid w:val="00BF0221"/>
    <w:rsid w:val="00BF091A"/>
    <w:rsid w:val="00BF4236"/>
    <w:rsid w:val="00BF47DD"/>
    <w:rsid w:val="00BF4EAD"/>
    <w:rsid w:val="00BF70F9"/>
    <w:rsid w:val="00C018EB"/>
    <w:rsid w:val="00C02B2B"/>
    <w:rsid w:val="00C02F8E"/>
    <w:rsid w:val="00C0465F"/>
    <w:rsid w:val="00C049E2"/>
    <w:rsid w:val="00C05AB7"/>
    <w:rsid w:val="00C10B7C"/>
    <w:rsid w:val="00C12158"/>
    <w:rsid w:val="00C14971"/>
    <w:rsid w:val="00C14B8D"/>
    <w:rsid w:val="00C17E39"/>
    <w:rsid w:val="00C219BE"/>
    <w:rsid w:val="00C22DCF"/>
    <w:rsid w:val="00C23074"/>
    <w:rsid w:val="00C2691C"/>
    <w:rsid w:val="00C32E8B"/>
    <w:rsid w:val="00C348DE"/>
    <w:rsid w:val="00C36795"/>
    <w:rsid w:val="00C40839"/>
    <w:rsid w:val="00C447A3"/>
    <w:rsid w:val="00C458D6"/>
    <w:rsid w:val="00C46120"/>
    <w:rsid w:val="00C461EC"/>
    <w:rsid w:val="00C46327"/>
    <w:rsid w:val="00C47DAC"/>
    <w:rsid w:val="00C5073C"/>
    <w:rsid w:val="00C507D4"/>
    <w:rsid w:val="00C5325A"/>
    <w:rsid w:val="00C661E9"/>
    <w:rsid w:val="00C67A70"/>
    <w:rsid w:val="00C70866"/>
    <w:rsid w:val="00C70B3F"/>
    <w:rsid w:val="00C71CEF"/>
    <w:rsid w:val="00C71E40"/>
    <w:rsid w:val="00C72DAA"/>
    <w:rsid w:val="00C739C8"/>
    <w:rsid w:val="00C75036"/>
    <w:rsid w:val="00C76E79"/>
    <w:rsid w:val="00C80B14"/>
    <w:rsid w:val="00C82CA9"/>
    <w:rsid w:val="00C84660"/>
    <w:rsid w:val="00C846C3"/>
    <w:rsid w:val="00C861F8"/>
    <w:rsid w:val="00C950EE"/>
    <w:rsid w:val="00CA1018"/>
    <w:rsid w:val="00CA25D9"/>
    <w:rsid w:val="00CA3A28"/>
    <w:rsid w:val="00CA434C"/>
    <w:rsid w:val="00CA6053"/>
    <w:rsid w:val="00CA7606"/>
    <w:rsid w:val="00CB3913"/>
    <w:rsid w:val="00CB7B7E"/>
    <w:rsid w:val="00CB7E9A"/>
    <w:rsid w:val="00CC29E8"/>
    <w:rsid w:val="00CC58EF"/>
    <w:rsid w:val="00CC6F39"/>
    <w:rsid w:val="00CC7757"/>
    <w:rsid w:val="00CC783A"/>
    <w:rsid w:val="00CD0871"/>
    <w:rsid w:val="00CD0B92"/>
    <w:rsid w:val="00CD22FC"/>
    <w:rsid w:val="00CD3D41"/>
    <w:rsid w:val="00CD633E"/>
    <w:rsid w:val="00CD68B3"/>
    <w:rsid w:val="00CD75F2"/>
    <w:rsid w:val="00CE0F4F"/>
    <w:rsid w:val="00CE23D7"/>
    <w:rsid w:val="00CE29D3"/>
    <w:rsid w:val="00CF10BE"/>
    <w:rsid w:val="00CF15D0"/>
    <w:rsid w:val="00CF2D8B"/>
    <w:rsid w:val="00CF3C01"/>
    <w:rsid w:val="00CF63D9"/>
    <w:rsid w:val="00CF7586"/>
    <w:rsid w:val="00D00B94"/>
    <w:rsid w:val="00D02CF1"/>
    <w:rsid w:val="00D036D3"/>
    <w:rsid w:val="00D06018"/>
    <w:rsid w:val="00D070C7"/>
    <w:rsid w:val="00D07A10"/>
    <w:rsid w:val="00D107BD"/>
    <w:rsid w:val="00D1261A"/>
    <w:rsid w:val="00D13782"/>
    <w:rsid w:val="00D13A56"/>
    <w:rsid w:val="00D17236"/>
    <w:rsid w:val="00D201B7"/>
    <w:rsid w:val="00D239ED"/>
    <w:rsid w:val="00D27906"/>
    <w:rsid w:val="00D2790D"/>
    <w:rsid w:val="00D43F40"/>
    <w:rsid w:val="00D51ECD"/>
    <w:rsid w:val="00D52C04"/>
    <w:rsid w:val="00D568DC"/>
    <w:rsid w:val="00D6170E"/>
    <w:rsid w:val="00D631B6"/>
    <w:rsid w:val="00D64B5C"/>
    <w:rsid w:val="00D713EE"/>
    <w:rsid w:val="00D75D31"/>
    <w:rsid w:val="00D75EE6"/>
    <w:rsid w:val="00D84800"/>
    <w:rsid w:val="00D8666D"/>
    <w:rsid w:val="00D91CB4"/>
    <w:rsid w:val="00D93411"/>
    <w:rsid w:val="00D94B50"/>
    <w:rsid w:val="00D94DDB"/>
    <w:rsid w:val="00D9746E"/>
    <w:rsid w:val="00DA4BBD"/>
    <w:rsid w:val="00DB024D"/>
    <w:rsid w:val="00DB1C09"/>
    <w:rsid w:val="00DB28CE"/>
    <w:rsid w:val="00DB3665"/>
    <w:rsid w:val="00DB7889"/>
    <w:rsid w:val="00DC118B"/>
    <w:rsid w:val="00DC367D"/>
    <w:rsid w:val="00DD43D8"/>
    <w:rsid w:val="00DD45ED"/>
    <w:rsid w:val="00DD5AAA"/>
    <w:rsid w:val="00DD6A3F"/>
    <w:rsid w:val="00DE1133"/>
    <w:rsid w:val="00DE1D7B"/>
    <w:rsid w:val="00DE285A"/>
    <w:rsid w:val="00DE656C"/>
    <w:rsid w:val="00DE6C5B"/>
    <w:rsid w:val="00DF01A7"/>
    <w:rsid w:val="00DF039B"/>
    <w:rsid w:val="00DF60AF"/>
    <w:rsid w:val="00E07144"/>
    <w:rsid w:val="00E071FF"/>
    <w:rsid w:val="00E16BF5"/>
    <w:rsid w:val="00E17291"/>
    <w:rsid w:val="00E22F2B"/>
    <w:rsid w:val="00E236E1"/>
    <w:rsid w:val="00E27373"/>
    <w:rsid w:val="00E325AD"/>
    <w:rsid w:val="00E33714"/>
    <w:rsid w:val="00E37A3F"/>
    <w:rsid w:val="00E37D3C"/>
    <w:rsid w:val="00E400A7"/>
    <w:rsid w:val="00E415FE"/>
    <w:rsid w:val="00E41722"/>
    <w:rsid w:val="00E42F58"/>
    <w:rsid w:val="00E47B8A"/>
    <w:rsid w:val="00E50AD5"/>
    <w:rsid w:val="00E572D8"/>
    <w:rsid w:val="00E62E6A"/>
    <w:rsid w:val="00E65CDD"/>
    <w:rsid w:val="00E727BA"/>
    <w:rsid w:val="00E810F7"/>
    <w:rsid w:val="00E832DA"/>
    <w:rsid w:val="00E83AC1"/>
    <w:rsid w:val="00E83EF5"/>
    <w:rsid w:val="00E85899"/>
    <w:rsid w:val="00E9137B"/>
    <w:rsid w:val="00E9335C"/>
    <w:rsid w:val="00EA2677"/>
    <w:rsid w:val="00EA5674"/>
    <w:rsid w:val="00EA5B2F"/>
    <w:rsid w:val="00EA66FE"/>
    <w:rsid w:val="00EB100D"/>
    <w:rsid w:val="00EB46DA"/>
    <w:rsid w:val="00EC5C1E"/>
    <w:rsid w:val="00EC5F89"/>
    <w:rsid w:val="00EC7CC9"/>
    <w:rsid w:val="00EC7E8F"/>
    <w:rsid w:val="00ED1788"/>
    <w:rsid w:val="00ED1C1E"/>
    <w:rsid w:val="00ED5B8A"/>
    <w:rsid w:val="00ED7170"/>
    <w:rsid w:val="00EE1B1C"/>
    <w:rsid w:val="00EE2AF2"/>
    <w:rsid w:val="00EE44F7"/>
    <w:rsid w:val="00EE63F1"/>
    <w:rsid w:val="00EE69EA"/>
    <w:rsid w:val="00EE78BF"/>
    <w:rsid w:val="00EF196B"/>
    <w:rsid w:val="00EF1CA6"/>
    <w:rsid w:val="00EF70F1"/>
    <w:rsid w:val="00F00010"/>
    <w:rsid w:val="00F05B15"/>
    <w:rsid w:val="00F0679F"/>
    <w:rsid w:val="00F0712F"/>
    <w:rsid w:val="00F07EE6"/>
    <w:rsid w:val="00F14E9C"/>
    <w:rsid w:val="00F1518E"/>
    <w:rsid w:val="00F171D8"/>
    <w:rsid w:val="00F23C4F"/>
    <w:rsid w:val="00F27EB1"/>
    <w:rsid w:val="00F30117"/>
    <w:rsid w:val="00F302EC"/>
    <w:rsid w:val="00F33026"/>
    <w:rsid w:val="00F33CC8"/>
    <w:rsid w:val="00F34811"/>
    <w:rsid w:val="00F37AB2"/>
    <w:rsid w:val="00F37FC1"/>
    <w:rsid w:val="00F4124A"/>
    <w:rsid w:val="00F41723"/>
    <w:rsid w:val="00F4481C"/>
    <w:rsid w:val="00F46F46"/>
    <w:rsid w:val="00F53E56"/>
    <w:rsid w:val="00F560A8"/>
    <w:rsid w:val="00F57997"/>
    <w:rsid w:val="00F57C01"/>
    <w:rsid w:val="00F616E2"/>
    <w:rsid w:val="00F617C4"/>
    <w:rsid w:val="00F6296A"/>
    <w:rsid w:val="00F70BF8"/>
    <w:rsid w:val="00F71C2B"/>
    <w:rsid w:val="00F7584E"/>
    <w:rsid w:val="00F75D23"/>
    <w:rsid w:val="00F86C94"/>
    <w:rsid w:val="00F97027"/>
    <w:rsid w:val="00FA14E2"/>
    <w:rsid w:val="00FA2C3D"/>
    <w:rsid w:val="00FA4F5F"/>
    <w:rsid w:val="00FA5957"/>
    <w:rsid w:val="00FA6FC1"/>
    <w:rsid w:val="00FA7155"/>
    <w:rsid w:val="00FA7829"/>
    <w:rsid w:val="00FB1AF5"/>
    <w:rsid w:val="00FB1C2A"/>
    <w:rsid w:val="00FB298B"/>
    <w:rsid w:val="00FB5587"/>
    <w:rsid w:val="00FB7BC4"/>
    <w:rsid w:val="00FC1EAB"/>
    <w:rsid w:val="00FC1FFB"/>
    <w:rsid w:val="00FC36A4"/>
    <w:rsid w:val="00FC3CE0"/>
    <w:rsid w:val="00FC406D"/>
    <w:rsid w:val="00FC6CBC"/>
    <w:rsid w:val="00FC7519"/>
    <w:rsid w:val="00FD06A8"/>
    <w:rsid w:val="00FD1DFA"/>
    <w:rsid w:val="00FD31FC"/>
    <w:rsid w:val="00FD6C50"/>
    <w:rsid w:val="00FD7B88"/>
    <w:rsid w:val="00FE23C1"/>
    <w:rsid w:val="00FE4F1F"/>
    <w:rsid w:val="00FE6836"/>
    <w:rsid w:val="00FF28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paragraph" w:customStyle="1" w:styleId="Textoindependiente211">
    <w:name w:val="Texto independiente 211"/>
    <w:basedOn w:val="Normal"/>
    <w:rsid w:val="003B475A"/>
    <w:pPr>
      <w:widowControl w:val="0"/>
      <w:spacing w:after="240" w:line="240" w:lineRule="auto"/>
    </w:pPr>
    <w:rPr>
      <w:rFonts w:ascii="Arial" w:hAnsi="Arial"/>
      <w:b/>
      <w:sz w:val="24"/>
    </w:rPr>
  </w:style>
  <w:style w:type="character" w:customStyle="1" w:styleId="Mencinsinresolver2">
    <w:name w:val="Mención sin resolver2"/>
    <w:basedOn w:val="Fuentedeprrafopredeter"/>
    <w:uiPriority w:val="99"/>
    <w:semiHidden/>
    <w:unhideWhenUsed/>
    <w:rsid w:val="00236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3540">
      <w:bodyDiv w:val="1"/>
      <w:marLeft w:val="0"/>
      <w:marRight w:val="0"/>
      <w:marTop w:val="0"/>
      <w:marBottom w:val="0"/>
      <w:divBdr>
        <w:top w:val="none" w:sz="0" w:space="0" w:color="auto"/>
        <w:left w:val="none" w:sz="0" w:space="0" w:color="auto"/>
        <w:bottom w:val="none" w:sz="0" w:space="0" w:color="auto"/>
        <w:right w:val="none" w:sz="0" w:space="0" w:color="auto"/>
      </w:divBdr>
    </w:div>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35641163">
      <w:bodyDiv w:val="1"/>
      <w:marLeft w:val="0"/>
      <w:marRight w:val="0"/>
      <w:marTop w:val="0"/>
      <w:marBottom w:val="0"/>
      <w:divBdr>
        <w:top w:val="none" w:sz="0" w:space="0" w:color="auto"/>
        <w:left w:val="none" w:sz="0" w:space="0" w:color="auto"/>
        <w:bottom w:val="none" w:sz="0" w:space="0" w:color="auto"/>
        <w:right w:val="none" w:sz="0" w:space="0" w:color="auto"/>
      </w:divBdr>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28187531">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3092660">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6031610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50285379">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989676109">
      <w:bodyDiv w:val="1"/>
      <w:marLeft w:val="0"/>
      <w:marRight w:val="0"/>
      <w:marTop w:val="0"/>
      <w:marBottom w:val="0"/>
      <w:divBdr>
        <w:top w:val="none" w:sz="0" w:space="0" w:color="auto"/>
        <w:left w:val="none" w:sz="0" w:space="0" w:color="auto"/>
        <w:bottom w:val="none" w:sz="0" w:space="0" w:color="auto"/>
        <w:right w:val="none" w:sz="0" w:space="0" w:color="auto"/>
      </w:divBdr>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218320078">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403790618">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476028732">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3357859">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68197632">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45863853">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eleconomista.com.mx/politica/La-Gobernadora-Delfina-Gomez-toma-Protesta-a-titulares-de-Secretaria-de-Finanzas-de-Desarrollo-Urbano-e-Infraestructura-y-Oficial-Mayor-del-Gobierno-del-Estado-de-Mexico-20230919-0070.html" TargetMode="External"/><Relationship Id="rId2" Type="http://schemas.openxmlformats.org/officeDocument/2006/relationships/hyperlink" Target="https://www.milenio.com/politica/delfina-gomez-toma-protesta-integrantes-gabinete" TargetMode="External"/><Relationship Id="rId1" Type="http://schemas.openxmlformats.org/officeDocument/2006/relationships/hyperlink" Target="https://legislacion.edomex.gob.mx/sites/legislacion.edomex.gob.mx/files/files/pdf/rgl/vig/rglvig740.pdf" TargetMode="External"/><Relationship Id="rId6" Type="http://schemas.openxmlformats.org/officeDocument/2006/relationships/hyperlink" Target="https://www.dof.gob.mx/nota_detalle.php?codigo=5671860&amp;fecha=18/11/2022" TargetMode="External"/><Relationship Id="rId5" Type="http://schemas.openxmlformats.org/officeDocument/2006/relationships/hyperlink" Target="https://www.dof.gob.mx/nota_detalle.php?codigo=5446230&amp;fecha=29/07/2016" TargetMode="External"/><Relationship Id="rId4" Type="http://schemas.openxmlformats.org/officeDocument/2006/relationships/hyperlink" Target="https://www.dof.gob.mx/nota_detalle.php?codigo=5433280&amp;fecha=15/04/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06F87617-6FFF-4881-A664-4EF29D26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11650</Words>
  <Characters>64076</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4</cp:revision>
  <cp:lastPrinted>2024-10-18T16:24:00Z</cp:lastPrinted>
  <dcterms:created xsi:type="dcterms:W3CDTF">2024-10-10T21:00:00Z</dcterms:created>
  <dcterms:modified xsi:type="dcterms:W3CDTF">2024-10-18T16:24:00Z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