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85AB1" w14:textId="019D8101" w:rsidR="00AD18E2" w:rsidRPr="00415E43" w:rsidRDefault="00AD18E2" w:rsidP="00AD18E2">
      <w:pPr>
        <w:spacing w:before="240" w:line="360" w:lineRule="auto"/>
        <w:jc w:val="both"/>
        <w:rPr>
          <w:rFonts w:ascii="Palatino Linotype" w:eastAsia="Times New Roman" w:hAnsi="Palatino Linotype" w:cs="Arial"/>
          <w:color w:val="000000"/>
          <w:sz w:val="24"/>
          <w:szCs w:val="24"/>
          <w:lang w:eastAsia="es-MX"/>
        </w:rPr>
      </w:pPr>
      <w:bookmarkStart w:id="0" w:name="_Hlk58427858"/>
      <w:bookmarkEnd w:id="0"/>
      <w:r w:rsidRPr="00415E4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w:t>
      </w:r>
      <w:r w:rsidRPr="00D21472">
        <w:rPr>
          <w:rFonts w:ascii="Palatino Linotype" w:eastAsia="Times New Roman" w:hAnsi="Palatino Linotype" w:cs="Arial"/>
          <w:color w:val="000000"/>
          <w:sz w:val="24"/>
          <w:szCs w:val="24"/>
          <w:lang w:eastAsia="es-MX"/>
        </w:rPr>
        <w:t xml:space="preserve">Municipios, con domicilio en Metepec, Estado de México, a </w:t>
      </w:r>
      <w:r w:rsidR="00D21472" w:rsidRPr="00D21472">
        <w:rPr>
          <w:rFonts w:ascii="Palatino Linotype" w:eastAsia="Times New Roman" w:hAnsi="Palatino Linotype" w:cs="Arial"/>
          <w:color w:val="000000"/>
          <w:sz w:val="24"/>
          <w:szCs w:val="24"/>
          <w:lang w:eastAsia="es-MX"/>
        </w:rPr>
        <w:t>dieciséis de octubre de dos mil veinticuatro</w:t>
      </w:r>
      <w:r w:rsidR="00D44708" w:rsidRPr="00D21472">
        <w:rPr>
          <w:rFonts w:ascii="Palatino Linotype" w:eastAsia="Times New Roman" w:hAnsi="Palatino Linotype" w:cs="Arial"/>
          <w:color w:val="000000"/>
          <w:sz w:val="24"/>
          <w:szCs w:val="24"/>
          <w:lang w:eastAsia="es-MX"/>
        </w:rPr>
        <w:t>.</w:t>
      </w:r>
      <w:r w:rsidR="00D44708">
        <w:rPr>
          <w:rFonts w:ascii="Palatino Linotype" w:eastAsia="Times New Roman" w:hAnsi="Palatino Linotype" w:cs="Arial"/>
          <w:color w:val="000000"/>
          <w:sz w:val="24"/>
          <w:szCs w:val="24"/>
          <w:lang w:eastAsia="es-MX"/>
        </w:rPr>
        <w:t xml:space="preserve"> </w:t>
      </w:r>
      <w:r w:rsidRPr="00415E43">
        <w:rPr>
          <w:rFonts w:ascii="Palatino Linotype" w:eastAsia="Times New Roman" w:hAnsi="Palatino Linotype" w:cs="Arial"/>
          <w:color w:val="000000"/>
          <w:sz w:val="24"/>
          <w:szCs w:val="24"/>
          <w:lang w:eastAsia="es-MX"/>
        </w:rPr>
        <w:t xml:space="preserve">    </w:t>
      </w:r>
    </w:p>
    <w:p w14:paraId="142FADD4" w14:textId="38FEB140" w:rsidR="005F1FC1" w:rsidRPr="005F1FC1" w:rsidRDefault="00AD18E2" w:rsidP="00AD18E2">
      <w:pPr>
        <w:spacing w:before="240" w:line="360" w:lineRule="auto"/>
        <w:jc w:val="both"/>
        <w:rPr>
          <w:rFonts w:ascii="Palatino Linotype" w:hAnsi="Palatino Linotype" w:cs="Arial"/>
          <w:sz w:val="24"/>
        </w:rPr>
      </w:pPr>
      <w:r w:rsidRPr="00415E43">
        <w:rPr>
          <w:rFonts w:ascii="Palatino Linotype" w:hAnsi="Palatino Linotype" w:cs="Arial"/>
          <w:b/>
          <w:sz w:val="24"/>
        </w:rPr>
        <w:t>VISTOS</w:t>
      </w:r>
      <w:r w:rsidRPr="00415E43">
        <w:rPr>
          <w:rFonts w:ascii="Palatino Linotype" w:hAnsi="Palatino Linotype" w:cs="Arial"/>
          <w:sz w:val="24"/>
        </w:rPr>
        <w:t xml:space="preserve"> los expedientes electrónicos formados con motivo de los recursos de revisión números </w:t>
      </w:r>
      <w:r w:rsidR="005F1FC1">
        <w:rPr>
          <w:rFonts w:ascii="Palatino Linotype" w:hAnsi="Palatino Linotype" w:cs="Arial"/>
          <w:b/>
          <w:bCs/>
          <w:sz w:val="24"/>
        </w:rPr>
        <w:t xml:space="preserve">05615/INFOEM/IP/RR/2024 y 05618/INFOEM/IP/RR/2024, </w:t>
      </w:r>
      <w:r w:rsidR="005F1FC1">
        <w:rPr>
          <w:rFonts w:ascii="Palatino Linotype" w:hAnsi="Palatino Linotype" w:cs="Arial"/>
          <w:sz w:val="24"/>
        </w:rPr>
        <w:t xml:space="preserve">interpuestos por el </w:t>
      </w:r>
      <w:r w:rsidR="005F1FC1">
        <w:rPr>
          <w:rFonts w:ascii="Palatino Linotype" w:hAnsi="Palatino Linotype" w:cs="Arial"/>
          <w:b/>
          <w:bCs/>
          <w:sz w:val="24"/>
        </w:rPr>
        <w:t xml:space="preserve">C. </w:t>
      </w:r>
      <w:r w:rsidR="006E2D6B">
        <w:rPr>
          <w:rFonts w:ascii="Palatino Linotype" w:hAnsi="Palatino Linotype" w:cs="Arial"/>
          <w:b/>
          <w:bCs/>
          <w:sz w:val="24"/>
        </w:rPr>
        <w:t>XXXXXXXX</w:t>
      </w:r>
      <w:r w:rsidR="005F1FC1">
        <w:rPr>
          <w:rFonts w:ascii="Palatino Linotype" w:hAnsi="Palatino Linotype" w:cs="Arial"/>
          <w:b/>
          <w:bCs/>
          <w:sz w:val="24"/>
        </w:rPr>
        <w:t xml:space="preserve">, </w:t>
      </w:r>
      <w:r w:rsidR="005F1FC1">
        <w:rPr>
          <w:rFonts w:ascii="Palatino Linotype" w:hAnsi="Palatino Linotype" w:cs="Arial"/>
          <w:sz w:val="24"/>
        </w:rPr>
        <w:t xml:space="preserve">en lo sucesivo </w:t>
      </w:r>
      <w:r w:rsidR="005F1FC1">
        <w:rPr>
          <w:rFonts w:ascii="Palatino Linotype" w:hAnsi="Palatino Linotype" w:cs="Arial"/>
          <w:b/>
          <w:bCs/>
          <w:sz w:val="24"/>
        </w:rPr>
        <w:t xml:space="preserve">El Recurrente, </w:t>
      </w:r>
      <w:r w:rsidR="005F1FC1">
        <w:rPr>
          <w:rFonts w:ascii="Palatino Linotype" w:hAnsi="Palatino Linotype" w:cs="Arial"/>
          <w:sz w:val="24"/>
        </w:rPr>
        <w:t xml:space="preserve">en contra de la respuesta del </w:t>
      </w:r>
      <w:r w:rsidR="005F1FC1">
        <w:rPr>
          <w:rFonts w:ascii="Palatino Linotype" w:hAnsi="Palatino Linotype" w:cs="Arial"/>
          <w:b/>
          <w:bCs/>
          <w:sz w:val="24"/>
        </w:rPr>
        <w:t xml:space="preserve">Ayuntamiento de </w:t>
      </w:r>
      <w:proofErr w:type="spellStart"/>
      <w:r w:rsidR="005F1FC1">
        <w:rPr>
          <w:rFonts w:ascii="Palatino Linotype" w:hAnsi="Palatino Linotype" w:cs="Arial"/>
          <w:b/>
          <w:bCs/>
          <w:sz w:val="24"/>
        </w:rPr>
        <w:t>Temamatla</w:t>
      </w:r>
      <w:proofErr w:type="spellEnd"/>
      <w:r w:rsidR="005F1FC1">
        <w:rPr>
          <w:rFonts w:ascii="Palatino Linotype" w:hAnsi="Palatino Linotype" w:cs="Arial"/>
          <w:b/>
          <w:bCs/>
          <w:sz w:val="24"/>
        </w:rPr>
        <w:t xml:space="preserve">, </w:t>
      </w:r>
      <w:r w:rsidR="005F1FC1">
        <w:rPr>
          <w:rFonts w:ascii="Palatino Linotype" w:hAnsi="Palatino Linotype" w:cs="Arial"/>
          <w:sz w:val="24"/>
        </w:rPr>
        <w:t xml:space="preserve">en lo subsecuente </w:t>
      </w:r>
      <w:r w:rsidR="005F1FC1">
        <w:rPr>
          <w:rFonts w:ascii="Palatino Linotype" w:hAnsi="Palatino Linotype" w:cs="Arial"/>
          <w:b/>
          <w:bCs/>
          <w:sz w:val="24"/>
        </w:rPr>
        <w:t xml:space="preserve">El Sujeto Obligado, </w:t>
      </w:r>
      <w:r w:rsidR="005F1FC1">
        <w:rPr>
          <w:rFonts w:ascii="Palatino Linotype" w:hAnsi="Palatino Linotype" w:cs="Arial"/>
          <w:sz w:val="24"/>
        </w:rPr>
        <w:t xml:space="preserve">se procede a dictar la presente resolución. </w:t>
      </w:r>
    </w:p>
    <w:p w14:paraId="766AA9D8" w14:textId="77777777" w:rsidR="00C24CA5" w:rsidRDefault="00C24CA5" w:rsidP="00415E43">
      <w:pPr>
        <w:spacing w:before="240" w:line="360" w:lineRule="auto"/>
        <w:jc w:val="center"/>
        <w:rPr>
          <w:rFonts w:ascii="Palatino Linotype" w:hAnsi="Palatino Linotype"/>
          <w:b/>
          <w:sz w:val="28"/>
        </w:rPr>
      </w:pPr>
    </w:p>
    <w:p w14:paraId="14E0AAC1" w14:textId="2B8708D5" w:rsidR="00AD18E2" w:rsidRPr="00415E43" w:rsidRDefault="00AD18E2" w:rsidP="00415E43">
      <w:pPr>
        <w:spacing w:before="240" w:line="360" w:lineRule="auto"/>
        <w:jc w:val="center"/>
        <w:rPr>
          <w:rFonts w:ascii="Palatino Linotype" w:hAnsi="Palatino Linotype"/>
          <w:b/>
          <w:sz w:val="28"/>
        </w:rPr>
      </w:pPr>
      <w:r w:rsidRPr="00415E43">
        <w:rPr>
          <w:rFonts w:ascii="Palatino Linotype" w:hAnsi="Palatino Linotype"/>
          <w:b/>
          <w:sz w:val="28"/>
        </w:rPr>
        <w:t>A N T E C E D E N T E S   D E L   A S U N T O</w:t>
      </w:r>
    </w:p>
    <w:p w14:paraId="0A037992" w14:textId="77777777" w:rsidR="00AD18E2" w:rsidRPr="00415E43" w:rsidRDefault="00AD18E2" w:rsidP="00AD18E2">
      <w:pPr>
        <w:spacing w:before="240" w:after="240" w:line="360" w:lineRule="auto"/>
        <w:jc w:val="both"/>
        <w:rPr>
          <w:rFonts w:ascii="Palatino Linotype" w:hAnsi="Palatino Linotype"/>
        </w:rPr>
      </w:pPr>
      <w:r w:rsidRPr="00415E43">
        <w:rPr>
          <w:rFonts w:ascii="Palatino Linotype" w:hAnsi="Palatino Linotype" w:cs="Arial"/>
          <w:b/>
          <w:sz w:val="28"/>
        </w:rPr>
        <w:t>PRIMERO.</w:t>
      </w:r>
      <w:r w:rsidRPr="00415E43">
        <w:rPr>
          <w:rFonts w:ascii="Palatino Linotype" w:hAnsi="Palatino Linotype" w:cs="Arial"/>
        </w:rPr>
        <w:t xml:space="preserve"> </w:t>
      </w:r>
      <w:r w:rsidRPr="00415E43">
        <w:rPr>
          <w:rFonts w:ascii="Palatino Linotype" w:hAnsi="Palatino Linotype"/>
          <w:b/>
          <w:sz w:val="28"/>
          <w:szCs w:val="28"/>
        </w:rPr>
        <w:t>De la Solicitud de Información.</w:t>
      </w:r>
    </w:p>
    <w:p w14:paraId="115ECC05" w14:textId="1A42D3AF" w:rsidR="005F1FC1" w:rsidRPr="005F1FC1" w:rsidRDefault="00AD18E2" w:rsidP="00AD18E2">
      <w:pPr>
        <w:spacing w:before="240" w:line="360" w:lineRule="auto"/>
        <w:jc w:val="both"/>
        <w:rPr>
          <w:rFonts w:ascii="Palatino Linotype" w:hAnsi="Palatino Linotype" w:cs="Arial"/>
          <w:sz w:val="24"/>
        </w:rPr>
      </w:pPr>
      <w:r w:rsidRPr="00415E43">
        <w:rPr>
          <w:rFonts w:ascii="Palatino Linotype" w:hAnsi="Palatino Linotype" w:cs="Arial"/>
          <w:sz w:val="24"/>
        </w:rPr>
        <w:t xml:space="preserve">Con fecha </w:t>
      </w:r>
      <w:r w:rsidR="005F1FC1">
        <w:rPr>
          <w:rFonts w:ascii="Palatino Linotype" w:hAnsi="Palatino Linotype" w:cs="Arial"/>
          <w:b/>
          <w:bCs/>
          <w:sz w:val="24"/>
        </w:rPr>
        <w:t xml:space="preserve">dos de septiembre de dos mil veinticuatro, El Recurrente, </w:t>
      </w:r>
      <w:r w:rsidR="005F1FC1" w:rsidRPr="00415E43">
        <w:rPr>
          <w:rFonts w:ascii="Palatino Linotype" w:hAnsi="Palatino Linotype" w:cs="Arial"/>
          <w:sz w:val="24"/>
        </w:rPr>
        <w:t>presentó a través del Sistema de Acceso a la Información Mexiquense (</w:t>
      </w:r>
      <w:r w:rsidR="005F1FC1" w:rsidRPr="00415E43">
        <w:rPr>
          <w:rFonts w:ascii="Palatino Linotype" w:hAnsi="Palatino Linotype" w:cs="Arial"/>
          <w:b/>
          <w:sz w:val="24"/>
        </w:rPr>
        <w:t>SA</w:t>
      </w:r>
      <w:bookmarkStart w:id="1" w:name="_GoBack"/>
      <w:bookmarkEnd w:id="1"/>
      <w:r w:rsidR="005F1FC1" w:rsidRPr="00415E43">
        <w:rPr>
          <w:rFonts w:ascii="Palatino Linotype" w:hAnsi="Palatino Linotype" w:cs="Arial"/>
          <w:b/>
          <w:sz w:val="24"/>
        </w:rPr>
        <w:t>IMEX)</w:t>
      </w:r>
      <w:r w:rsidR="005F1FC1" w:rsidRPr="00415E43">
        <w:rPr>
          <w:rFonts w:ascii="Palatino Linotype" w:hAnsi="Palatino Linotype" w:cs="Arial"/>
          <w:sz w:val="24"/>
        </w:rPr>
        <w:t xml:space="preserve"> ante </w:t>
      </w:r>
      <w:r w:rsidR="005F1FC1" w:rsidRPr="00415E43">
        <w:rPr>
          <w:rFonts w:ascii="Palatino Linotype" w:hAnsi="Palatino Linotype" w:cs="Arial"/>
          <w:b/>
          <w:sz w:val="24"/>
        </w:rPr>
        <w:t>El Sujeto Obligado</w:t>
      </w:r>
      <w:r w:rsidR="005F1FC1" w:rsidRPr="00415E43">
        <w:rPr>
          <w:rFonts w:ascii="Palatino Linotype" w:hAnsi="Palatino Linotype" w:cs="Arial"/>
          <w:sz w:val="24"/>
        </w:rPr>
        <w:t>, las solicitudes de acceso a la información pública, registradas bajo los números de expediente</w:t>
      </w:r>
      <w:r w:rsidR="005F1FC1">
        <w:rPr>
          <w:rFonts w:ascii="Palatino Linotype" w:hAnsi="Palatino Linotype" w:cs="Arial"/>
          <w:sz w:val="24"/>
        </w:rPr>
        <w:t xml:space="preserve"> </w:t>
      </w:r>
      <w:r w:rsidR="005F1FC1">
        <w:rPr>
          <w:rFonts w:ascii="Palatino Linotype" w:hAnsi="Palatino Linotype" w:cs="Arial"/>
          <w:b/>
          <w:bCs/>
          <w:sz w:val="24"/>
        </w:rPr>
        <w:t xml:space="preserve">00201/TEMAMATL/IP/2024 </w:t>
      </w:r>
      <w:r w:rsidR="005F1FC1">
        <w:rPr>
          <w:rFonts w:ascii="Palatino Linotype" w:hAnsi="Palatino Linotype" w:cs="Arial"/>
          <w:sz w:val="24"/>
        </w:rPr>
        <w:t xml:space="preserve">y </w:t>
      </w:r>
      <w:r w:rsidR="005F1FC1">
        <w:rPr>
          <w:rFonts w:ascii="Palatino Linotype" w:hAnsi="Palatino Linotype" w:cs="Arial"/>
          <w:b/>
          <w:bCs/>
          <w:sz w:val="24"/>
        </w:rPr>
        <w:t xml:space="preserve">00200/TEMAMATL/IP/2024, </w:t>
      </w:r>
      <w:r w:rsidR="005F1FC1">
        <w:rPr>
          <w:rFonts w:ascii="Palatino Linotype" w:hAnsi="Palatino Linotype" w:cs="Arial"/>
          <w:sz w:val="24"/>
        </w:rPr>
        <w:t xml:space="preserve">mediante las cuales solicitó información en el tenor siguiente: </w:t>
      </w:r>
    </w:p>
    <w:p w14:paraId="3570AEEC" w14:textId="77777777" w:rsidR="005F1FC1" w:rsidRDefault="005F1FC1" w:rsidP="00AD18E2">
      <w:pPr>
        <w:spacing w:before="240" w:line="360" w:lineRule="auto"/>
        <w:jc w:val="both"/>
        <w:rPr>
          <w:rFonts w:ascii="Palatino Linotype" w:hAnsi="Palatino Linotype" w:cs="Arial"/>
          <w:sz w:val="24"/>
        </w:rPr>
      </w:pPr>
      <w:r>
        <w:rPr>
          <w:rFonts w:ascii="Palatino Linotype" w:hAnsi="Palatino Linotype" w:cs="Arial"/>
          <w:b/>
          <w:bCs/>
          <w:sz w:val="24"/>
        </w:rPr>
        <w:t xml:space="preserve">00201/TEMAMATL/IP/2024 </w:t>
      </w:r>
    </w:p>
    <w:p w14:paraId="1B7A752E" w14:textId="46946136" w:rsidR="005F1FC1" w:rsidRPr="005F1FC1" w:rsidRDefault="005F1FC1" w:rsidP="005F1FC1">
      <w:pPr>
        <w:pStyle w:val="Citas"/>
        <w:rPr>
          <w:b/>
          <w:bCs/>
        </w:rPr>
      </w:pPr>
      <w:r>
        <w:t>“</w:t>
      </w:r>
      <w:r w:rsidRPr="005F1FC1">
        <w:t>Listado de directores de todas las áreas y su documentación que comprueben que cumplen los requisitos para ser directore</w:t>
      </w:r>
      <w:r>
        <w:t xml:space="preserve">s” </w:t>
      </w:r>
      <w:r>
        <w:rPr>
          <w:b/>
          <w:bCs/>
        </w:rPr>
        <w:t>(Sic)</w:t>
      </w:r>
    </w:p>
    <w:p w14:paraId="41424B7D" w14:textId="3EF36BC7" w:rsidR="005F1FC1" w:rsidRDefault="005F1FC1" w:rsidP="00AD18E2">
      <w:pPr>
        <w:spacing w:before="240" w:line="360" w:lineRule="auto"/>
        <w:jc w:val="both"/>
        <w:rPr>
          <w:rFonts w:ascii="Palatino Linotype" w:hAnsi="Palatino Linotype" w:cs="Arial"/>
          <w:sz w:val="24"/>
        </w:rPr>
      </w:pPr>
      <w:r>
        <w:rPr>
          <w:rFonts w:ascii="Palatino Linotype" w:hAnsi="Palatino Linotype" w:cs="Arial"/>
          <w:sz w:val="24"/>
        </w:rPr>
        <w:lastRenderedPageBreak/>
        <w:t xml:space="preserve"> </w:t>
      </w:r>
      <w:r>
        <w:rPr>
          <w:rFonts w:ascii="Palatino Linotype" w:hAnsi="Palatino Linotype" w:cs="Arial"/>
          <w:b/>
          <w:bCs/>
          <w:sz w:val="24"/>
        </w:rPr>
        <w:t>00200/TEMAMATL/IP/2024</w:t>
      </w:r>
    </w:p>
    <w:p w14:paraId="20438C89" w14:textId="0209572D" w:rsidR="005F1FC1" w:rsidRPr="005F1FC1" w:rsidRDefault="005F1FC1" w:rsidP="005F1FC1">
      <w:pPr>
        <w:pStyle w:val="Citas"/>
        <w:rPr>
          <w:b/>
          <w:bCs/>
          <w:lang w:eastAsia="es-ES"/>
        </w:rPr>
      </w:pPr>
      <w:r>
        <w:rPr>
          <w:lang w:eastAsia="es-ES"/>
        </w:rPr>
        <w:t>“</w:t>
      </w:r>
      <w:r w:rsidRPr="005F1FC1">
        <w:rPr>
          <w:lang w:eastAsia="es-ES"/>
        </w:rPr>
        <w:t>Listado de directores de las áreas con sus documentos que comprueben que cumplen con los requisitos para ser directore</w:t>
      </w:r>
      <w:r>
        <w:rPr>
          <w:lang w:eastAsia="es-ES"/>
        </w:rPr>
        <w:t xml:space="preserve">s” </w:t>
      </w:r>
      <w:r>
        <w:rPr>
          <w:b/>
          <w:bCs/>
          <w:lang w:eastAsia="es-ES"/>
        </w:rPr>
        <w:t>(Sic)</w:t>
      </w:r>
    </w:p>
    <w:p w14:paraId="46D5716B" w14:textId="6D5095B1" w:rsidR="00AD18E2" w:rsidRPr="00415E43" w:rsidRDefault="00AD18E2" w:rsidP="00AD18E2">
      <w:pPr>
        <w:spacing w:before="240" w:line="360" w:lineRule="auto"/>
        <w:ind w:right="850"/>
        <w:jc w:val="both"/>
        <w:rPr>
          <w:rFonts w:ascii="Palatino Linotype" w:eastAsia="Times New Roman" w:hAnsi="Palatino Linotype" w:cs="Times New Roman"/>
          <w:sz w:val="24"/>
          <w:szCs w:val="24"/>
          <w:lang w:eastAsia="es-ES"/>
        </w:rPr>
      </w:pPr>
      <w:r w:rsidRPr="00415E43">
        <w:rPr>
          <w:rFonts w:ascii="Palatino Linotype" w:eastAsia="Times New Roman" w:hAnsi="Palatino Linotype" w:cs="Times New Roman"/>
          <w:b/>
          <w:sz w:val="24"/>
          <w:szCs w:val="24"/>
          <w:lang w:eastAsia="es-ES"/>
        </w:rPr>
        <w:t xml:space="preserve">Modalidad de entrega: </w:t>
      </w:r>
      <w:r w:rsidRPr="00415E43">
        <w:rPr>
          <w:rFonts w:ascii="Palatino Linotype" w:eastAsia="Times New Roman" w:hAnsi="Palatino Linotype" w:cs="Times New Roman"/>
          <w:sz w:val="24"/>
          <w:szCs w:val="24"/>
          <w:lang w:eastAsia="es-ES"/>
        </w:rPr>
        <w:t xml:space="preserve">A través del SAIMEX, en los </w:t>
      </w:r>
      <w:r w:rsidR="005F1FC1">
        <w:rPr>
          <w:rFonts w:ascii="Palatino Linotype" w:eastAsia="Times New Roman" w:hAnsi="Palatino Linotype" w:cs="Times New Roman"/>
          <w:sz w:val="24"/>
          <w:szCs w:val="24"/>
          <w:lang w:eastAsia="es-ES"/>
        </w:rPr>
        <w:t xml:space="preserve">dos casos. </w:t>
      </w:r>
      <w:r w:rsidR="00D44708">
        <w:rPr>
          <w:rFonts w:ascii="Palatino Linotype" w:eastAsia="Times New Roman" w:hAnsi="Palatino Linotype" w:cs="Times New Roman"/>
          <w:sz w:val="24"/>
          <w:szCs w:val="24"/>
          <w:lang w:eastAsia="es-ES"/>
        </w:rPr>
        <w:t xml:space="preserve"> </w:t>
      </w:r>
    </w:p>
    <w:p w14:paraId="056CEF31" w14:textId="77777777" w:rsidR="00AD18E2" w:rsidRPr="00AD18E2" w:rsidRDefault="00AD18E2" w:rsidP="00AD18E2">
      <w:pPr>
        <w:spacing w:before="240" w:line="360" w:lineRule="auto"/>
        <w:ind w:right="850"/>
        <w:jc w:val="both"/>
        <w:rPr>
          <w:rFonts w:ascii="Palatino Linotype" w:eastAsia="Times New Roman" w:hAnsi="Palatino Linotype" w:cs="Times New Roman"/>
          <w:sz w:val="24"/>
          <w:szCs w:val="24"/>
          <w:highlight w:val="yellow"/>
          <w:lang w:eastAsia="es-ES"/>
        </w:rPr>
      </w:pPr>
    </w:p>
    <w:p w14:paraId="3F20CBB2" w14:textId="77777777" w:rsidR="00AD18E2" w:rsidRPr="00415E43" w:rsidRDefault="00AD18E2" w:rsidP="00AD18E2">
      <w:pPr>
        <w:spacing w:before="240" w:line="360" w:lineRule="auto"/>
        <w:jc w:val="both"/>
        <w:rPr>
          <w:rFonts w:ascii="Palatino Linotype" w:hAnsi="Palatino Linotype" w:cs="Arial"/>
          <w:b/>
          <w:sz w:val="28"/>
        </w:rPr>
      </w:pPr>
      <w:r w:rsidRPr="00415E43">
        <w:rPr>
          <w:rFonts w:ascii="Palatino Linotype" w:hAnsi="Palatino Linotype" w:cs="Arial"/>
          <w:b/>
          <w:sz w:val="28"/>
        </w:rPr>
        <w:t xml:space="preserve">SEGUNDO. </w:t>
      </w:r>
      <w:r w:rsidRPr="00415E43">
        <w:rPr>
          <w:rFonts w:ascii="Palatino Linotype" w:hAnsi="Palatino Linotype" w:cs="Arial"/>
          <w:b/>
          <w:sz w:val="28"/>
          <w:szCs w:val="20"/>
        </w:rPr>
        <w:t>De la respuesta del Sujeto Obligado.</w:t>
      </w:r>
    </w:p>
    <w:p w14:paraId="541E8C2D" w14:textId="2956481E" w:rsidR="005F1FC1" w:rsidRDefault="00AD18E2" w:rsidP="00AD18E2">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t xml:space="preserve">De las constancias de los expedientes electrónicos del </w:t>
      </w:r>
      <w:r w:rsidRPr="00415E43">
        <w:rPr>
          <w:rFonts w:ascii="Palatino Linotype" w:hAnsi="Palatino Linotype" w:cs="Arial"/>
          <w:b/>
          <w:lang w:val="es-MX"/>
        </w:rPr>
        <w:t xml:space="preserve">SAIMEX, </w:t>
      </w:r>
      <w:r w:rsidRPr="00415E43">
        <w:rPr>
          <w:rFonts w:ascii="Palatino Linotype" w:hAnsi="Palatino Linotype" w:cs="Arial"/>
          <w:lang w:val="es-MX"/>
        </w:rPr>
        <w:t xml:space="preserve">se advierte que </w:t>
      </w:r>
      <w:r w:rsidRPr="00415E43">
        <w:rPr>
          <w:rFonts w:ascii="Palatino Linotype" w:hAnsi="Palatino Linotype" w:cs="Arial"/>
          <w:b/>
          <w:lang w:val="es-MX"/>
        </w:rPr>
        <w:t xml:space="preserve">El Sujeto Obligado </w:t>
      </w:r>
      <w:r w:rsidRPr="00415E43">
        <w:rPr>
          <w:rFonts w:ascii="Palatino Linotype" w:hAnsi="Palatino Linotype" w:cs="Arial"/>
          <w:lang w:val="es-MX"/>
        </w:rPr>
        <w:t xml:space="preserve">emitió respuestas coincidentes a las solicitudes de información, en fecha </w:t>
      </w:r>
      <w:r w:rsidR="005F1FC1">
        <w:rPr>
          <w:rFonts w:ascii="Palatino Linotype" w:hAnsi="Palatino Linotype" w:cs="Arial"/>
          <w:b/>
          <w:bCs/>
          <w:lang w:val="es-MX"/>
        </w:rPr>
        <w:t xml:space="preserve">diez de septiembre de dos mil veinticuatro, </w:t>
      </w:r>
      <w:r w:rsidR="005F1FC1">
        <w:rPr>
          <w:rFonts w:ascii="Palatino Linotype" w:hAnsi="Palatino Linotype" w:cs="Arial"/>
          <w:lang w:val="es-MX"/>
        </w:rPr>
        <w:t>resultando de nuestro interés lo siguiente:</w:t>
      </w:r>
    </w:p>
    <w:p w14:paraId="5F3F5471" w14:textId="51954805" w:rsidR="005F1FC1" w:rsidRDefault="005F1FC1" w:rsidP="005F1FC1">
      <w:pPr>
        <w:pStyle w:val="Citas"/>
      </w:pPr>
      <w:r>
        <w:t>“</w:t>
      </w:r>
      <w:r w:rsidRPr="005F1FC1">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C658328" w14:textId="31CFCD8C" w:rsidR="005F1FC1" w:rsidRPr="005F1FC1" w:rsidRDefault="005F1FC1" w:rsidP="005F1FC1">
      <w:pPr>
        <w:pStyle w:val="Citas"/>
        <w:rPr>
          <w:b/>
          <w:bCs/>
        </w:rPr>
      </w:pPr>
      <w:r w:rsidRPr="005F1FC1">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w:t>
      </w:r>
      <w:r w:rsidRPr="005F1FC1">
        <w:lastRenderedPageBreak/>
        <w:t>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w:t>
      </w:r>
      <w:r>
        <w:t xml:space="preserve">O” </w:t>
      </w:r>
      <w:r>
        <w:rPr>
          <w:b/>
          <w:bCs/>
        </w:rPr>
        <w:t>(Sic)</w:t>
      </w:r>
    </w:p>
    <w:p w14:paraId="6AE2DB86" w14:textId="77777777" w:rsidR="005F1FC1" w:rsidRDefault="005F1FC1" w:rsidP="00AD18E2">
      <w:pPr>
        <w:pStyle w:val="Prrafodelista"/>
        <w:spacing w:after="240" w:line="360" w:lineRule="auto"/>
        <w:ind w:left="0"/>
        <w:jc w:val="both"/>
        <w:rPr>
          <w:rFonts w:ascii="Palatino Linotype" w:hAnsi="Palatino Linotype" w:cs="Arial"/>
          <w:lang w:val="es-MX"/>
        </w:rPr>
      </w:pPr>
    </w:p>
    <w:p w14:paraId="6A370FF0" w14:textId="6639B932" w:rsidR="00AD18E2" w:rsidRPr="00415E43" w:rsidRDefault="00AD18E2" w:rsidP="00AD18E2">
      <w:pPr>
        <w:pStyle w:val="Citas"/>
        <w:ind w:left="0" w:right="-18"/>
        <w:rPr>
          <w:i w:val="0"/>
          <w:iCs/>
          <w:sz w:val="24"/>
          <w:szCs w:val="24"/>
        </w:rPr>
      </w:pPr>
      <w:r w:rsidRPr="00415E43">
        <w:rPr>
          <w:i w:val="0"/>
          <w:iCs/>
          <w:sz w:val="24"/>
          <w:szCs w:val="24"/>
        </w:rPr>
        <w:t xml:space="preserve">De forma complementaria, en los expedientes electrónicos de las solicitudes de información, </w:t>
      </w:r>
      <w:r w:rsidRPr="00415E43">
        <w:rPr>
          <w:b/>
          <w:bCs/>
          <w:i w:val="0"/>
          <w:iCs/>
          <w:sz w:val="24"/>
          <w:szCs w:val="24"/>
        </w:rPr>
        <w:t xml:space="preserve">El Sujeto Obligado </w:t>
      </w:r>
      <w:r w:rsidRPr="00415E43">
        <w:rPr>
          <w:i w:val="0"/>
          <w:iCs/>
          <w:sz w:val="24"/>
          <w:szCs w:val="24"/>
        </w:rPr>
        <w:t>adjuntó lo siguiente:</w:t>
      </w:r>
    </w:p>
    <w:tbl>
      <w:tblPr>
        <w:tblStyle w:val="Tablaconcuadrcula"/>
        <w:tblW w:w="0" w:type="auto"/>
        <w:tblLook w:val="04A0" w:firstRow="1" w:lastRow="0" w:firstColumn="1" w:lastColumn="0" w:noHBand="0" w:noVBand="1"/>
      </w:tblPr>
      <w:tblGrid>
        <w:gridCol w:w="3214"/>
        <w:gridCol w:w="5848"/>
      </w:tblGrid>
      <w:tr w:rsidR="00AD18E2" w:rsidRPr="00AD18E2" w14:paraId="5983EF84" w14:textId="77777777" w:rsidTr="00BC2597">
        <w:tc>
          <w:tcPr>
            <w:tcW w:w="3159" w:type="dxa"/>
            <w:tcBorders>
              <w:right w:val="single" w:sz="12" w:space="0" w:color="FFFFFF" w:themeColor="background1"/>
            </w:tcBorders>
            <w:shd w:val="clear" w:color="auto" w:fill="000000" w:themeFill="text1"/>
          </w:tcPr>
          <w:p w14:paraId="778ACD4C" w14:textId="77777777" w:rsidR="00AD18E2" w:rsidRPr="00415E43" w:rsidRDefault="00AD18E2" w:rsidP="00BC2597">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Solicitud de información</w:t>
            </w:r>
          </w:p>
        </w:tc>
        <w:tc>
          <w:tcPr>
            <w:tcW w:w="5903" w:type="dxa"/>
            <w:tcBorders>
              <w:left w:val="single" w:sz="12" w:space="0" w:color="FFFFFF" w:themeColor="background1"/>
            </w:tcBorders>
            <w:shd w:val="clear" w:color="auto" w:fill="000000" w:themeFill="text1"/>
          </w:tcPr>
          <w:p w14:paraId="22F2D938" w14:textId="77777777" w:rsidR="00AD18E2" w:rsidRPr="00415E43" w:rsidRDefault="00AD18E2" w:rsidP="00BC2597">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Anexos</w:t>
            </w:r>
          </w:p>
        </w:tc>
      </w:tr>
      <w:tr w:rsidR="00AD18E2" w:rsidRPr="00AD18E2" w14:paraId="6B2F6D6D" w14:textId="77777777" w:rsidTr="00BC2597">
        <w:tc>
          <w:tcPr>
            <w:tcW w:w="3159" w:type="dxa"/>
            <w:vAlign w:val="center"/>
          </w:tcPr>
          <w:p w14:paraId="3588814E" w14:textId="2418DD97" w:rsidR="00AD18E2" w:rsidRPr="00415E43" w:rsidRDefault="005F1FC1" w:rsidP="00BC2597">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00201/TEMAMATL/IP/2024</w:t>
            </w:r>
          </w:p>
        </w:tc>
        <w:tc>
          <w:tcPr>
            <w:tcW w:w="5903" w:type="dxa"/>
          </w:tcPr>
          <w:p w14:paraId="26963301" w14:textId="13CDD007" w:rsidR="00AD18E2" w:rsidRPr="00415E43" w:rsidRDefault="00AD18E2" w:rsidP="003D19C8">
            <w:pPr>
              <w:pStyle w:val="Prrafodelista"/>
              <w:numPr>
                <w:ilvl w:val="0"/>
                <w:numId w:val="5"/>
              </w:numPr>
              <w:spacing w:after="240" w:line="360" w:lineRule="auto"/>
              <w:jc w:val="both"/>
              <w:rPr>
                <w:rFonts w:ascii="Palatino Linotype" w:hAnsi="Palatino Linotype" w:cs="Arial"/>
                <w:b/>
                <w:bCs/>
                <w:lang w:val="es-MX"/>
              </w:rPr>
            </w:pPr>
            <w:r w:rsidRPr="00415E43">
              <w:rPr>
                <w:rFonts w:ascii="Palatino Linotype" w:hAnsi="Palatino Linotype" w:cs="Arial"/>
                <w:b/>
                <w:bCs/>
                <w:lang w:val="es-MX"/>
              </w:rPr>
              <w:t>“</w:t>
            </w:r>
            <w:r w:rsidR="005F1FC1">
              <w:rPr>
                <w:rFonts w:ascii="Palatino Linotype" w:hAnsi="Palatino Linotype" w:cs="Arial"/>
                <w:b/>
                <w:bCs/>
                <w:lang w:val="es-MX"/>
              </w:rPr>
              <w:t>201 adminis</w:t>
            </w:r>
            <w:r w:rsidR="00E86A1E">
              <w:rPr>
                <w:rFonts w:ascii="Palatino Linotype" w:hAnsi="Palatino Linotype" w:cs="Arial"/>
                <w:b/>
                <w:bCs/>
                <w:lang w:val="es-MX"/>
              </w:rPr>
              <w:t>tración .</w:t>
            </w:r>
            <w:proofErr w:type="spellStart"/>
            <w:r w:rsidR="00E86A1E">
              <w:rPr>
                <w:rFonts w:ascii="Palatino Linotype" w:hAnsi="Palatino Linotype" w:cs="Arial"/>
                <w:b/>
                <w:bCs/>
                <w:lang w:val="es-MX"/>
              </w:rPr>
              <w:t>pdf</w:t>
            </w:r>
            <w:proofErr w:type="spellEnd"/>
            <w:r w:rsidR="00E86A1E">
              <w:rPr>
                <w:rFonts w:ascii="Palatino Linotype" w:hAnsi="Palatino Linotype" w:cs="Arial"/>
                <w:b/>
                <w:bCs/>
                <w:lang w:val="es-MX"/>
              </w:rPr>
              <w:t>”</w:t>
            </w:r>
          </w:p>
        </w:tc>
      </w:tr>
      <w:tr w:rsidR="00AD18E2" w:rsidRPr="00AD18E2" w14:paraId="16730900" w14:textId="77777777" w:rsidTr="00BC2597">
        <w:tc>
          <w:tcPr>
            <w:tcW w:w="3159" w:type="dxa"/>
            <w:vAlign w:val="center"/>
          </w:tcPr>
          <w:p w14:paraId="1585D40E" w14:textId="75BB3795" w:rsidR="00AD18E2" w:rsidRPr="00415E43" w:rsidRDefault="005F1FC1" w:rsidP="00BC2597">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00200/TEMAMATL/IP/2024</w:t>
            </w:r>
          </w:p>
        </w:tc>
        <w:tc>
          <w:tcPr>
            <w:tcW w:w="5903" w:type="dxa"/>
            <w:vAlign w:val="center"/>
          </w:tcPr>
          <w:p w14:paraId="0111799C" w14:textId="7CC932C2" w:rsidR="00AD18E2" w:rsidRPr="00415E43" w:rsidRDefault="00AD18E2" w:rsidP="003D19C8">
            <w:pPr>
              <w:pStyle w:val="Prrafodelista"/>
              <w:numPr>
                <w:ilvl w:val="0"/>
                <w:numId w:val="5"/>
              </w:numPr>
              <w:spacing w:after="240" w:line="360" w:lineRule="auto"/>
              <w:rPr>
                <w:rFonts w:ascii="Palatino Linotype" w:hAnsi="Palatino Linotype" w:cs="Arial"/>
                <w:b/>
                <w:bCs/>
                <w:lang w:val="es-MX"/>
              </w:rPr>
            </w:pPr>
            <w:r w:rsidRPr="00415E43">
              <w:rPr>
                <w:rFonts w:ascii="Palatino Linotype" w:hAnsi="Palatino Linotype" w:cs="Arial"/>
                <w:b/>
                <w:bCs/>
                <w:lang w:val="es-MX"/>
              </w:rPr>
              <w:t>“</w:t>
            </w:r>
            <w:r w:rsidR="00E86A1E">
              <w:rPr>
                <w:rFonts w:ascii="Palatino Linotype" w:hAnsi="Palatino Linotype" w:cs="Arial"/>
                <w:b/>
                <w:bCs/>
                <w:lang w:val="es-MX"/>
              </w:rPr>
              <w:t>200 administraciom.pdf”</w:t>
            </w:r>
          </w:p>
        </w:tc>
      </w:tr>
    </w:tbl>
    <w:p w14:paraId="2C3373ED" w14:textId="77777777" w:rsidR="00C24CA5" w:rsidRDefault="00C24CA5" w:rsidP="00AD18E2">
      <w:pPr>
        <w:pStyle w:val="Prrafodelista"/>
        <w:spacing w:after="240" w:line="360" w:lineRule="auto"/>
        <w:ind w:left="0"/>
        <w:jc w:val="both"/>
        <w:rPr>
          <w:rFonts w:ascii="Palatino Linotype" w:hAnsi="Palatino Linotype" w:cs="Arial"/>
          <w:lang w:val="es-MX"/>
        </w:rPr>
      </w:pPr>
    </w:p>
    <w:p w14:paraId="18B5016F" w14:textId="62E5FD4E" w:rsidR="00AD18E2" w:rsidRDefault="00AD18E2" w:rsidP="00AD18E2">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t xml:space="preserve">Soportes documentales en cita que serán materia de análisis en el considerando respectivo. </w:t>
      </w:r>
    </w:p>
    <w:p w14:paraId="0A53ED15" w14:textId="77777777" w:rsidR="00E86A1E" w:rsidRPr="00415E43" w:rsidRDefault="00E86A1E" w:rsidP="00AD18E2">
      <w:pPr>
        <w:pStyle w:val="Prrafodelista"/>
        <w:spacing w:after="240" w:line="360" w:lineRule="auto"/>
        <w:ind w:left="0"/>
        <w:jc w:val="both"/>
        <w:rPr>
          <w:rFonts w:ascii="Palatino Linotype" w:hAnsi="Palatino Linotype" w:cs="Arial"/>
          <w:lang w:val="es-MX"/>
        </w:rPr>
      </w:pPr>
    </w:p>
    <w:p w14:paraId="16A55023" w14:textId="77777777" w:rsidR="00AD18E2" w:rsidRPr="00415E43" w:rsidRDefault="00AD18E2" w:rsidP="00AD18E2">
      <w:pPr>
        <w:spacing w:before="240" w:line="360" w:lineRule="auto"/>
        <w:jc w:val="both"/>
        <w:rPr>
          <w:rFonts w:ascii="Palatino Linotype" w:hAnsi="Palatino Linotype" w:cs="Arial"/>
          <w:b/>
          <w:sz w:val="28"/>
        </w:rPr>
      </w:pPr>
      <w:r w:rsidRPr="00415E43">
        <w:rPr>
          <w:rFonts w:ascii="Palatino Linotype" w:hAnsi="Palatino Linotype" w:cs="Arial"/>
          <w:b/>
          <w:sz w:val="28"/>
        </w:rPr>
        <w:lastRenderedPageBreak/>
        <w:t xml:space="preserve">TERCERO. </w:t>
      </w:r>
      <w:r w:rsidRPr="00415E43">
        <w:rPr>
          <w:rFonts w:ascii="Palatino Linotype" w:hAnsi="Palatino Linotype"/>
          <w:b/>
          <w:sz w:val="28"/>
        </w:rPr>
        <w:t>Del recurso de revisión.</w:t>
      </w:r>
    </w:p>
    <w:p w14:paraId="2E992AF9" w14:textId="3CA646F2" w:rsidR="00E86A1E" w:rsidRPr="00E86A1E" w:rsidRDefault="00AD18E2" w:rsidP="00AD18E2">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 xml:space="preserve">Inconforme con las respuestas notificadas por </w:t>
      </w:r>
      <w:r w:rsidRPr="00415E43">
        <w:rPr>
          <w:rFonts w:ascii="Palatino Linotype" w:hAnsi="Palatino Linotype" w:cs="Arial"/>
          <w:b/>
          <w:sz w:val="24"/>
          <w:szCs w:val="24"/>
        </w:rPr>
        <w:t xml:space="preserve">El Sujeto Obligado, </w:t>
      </w:r>
      <w:r w:rsidR="00F003D2">
        <w:rPr>
          <w:rFonts w:ascii="Palatino Linotype" w:hAnsi="Palatino Linotype" w:cs="Arial"/>
          <w:b/>
          <w:sz w:val="24"/>
          <w:szCs w:val="24"/>
        </w:rPr>
        <w:t>El</w:t>
      </w:r>
      <w:r w:rsidRPr="00415E43">
        <w:rPr>
          <w:rFonts w:ascii="Palatino Linotype" w:hAnsi="Palatino Linotype" w:cs="Arial"/>
          <w:b/>
          <w:sz w:val="24"/>
          <w:szCs w:val="24"/>
        </w:rPr>
        <w:t xml:space="preserve"> Recurrente </w:t>
      </w:r>
      <w:r w:rsidRPr="00415E43">
        <w:rPr>
          <w:rFonts w:ascii="Palatino Linotype" w:hAnsi="Palatino Linotype" w:cs="Arial"/>
          <w:sz w:val="24"/>
          <w:szCs w:val="24"/>
        </w:rPr>
        <w:t>interpuso recursos de revisión, en fecha</w:t>
      </w:r>
      <w:r w:rsidR="00415E43">
        <w:rPr>
          <w:rFonts w:ascii="Palatino Linotype" w:hAnsi="Palatino Linotype" w:cs="Arial"/>
          <w:sz w:val="24"/>
          <w:szCs w:val="24"/>
        </w:rPr>
        <w:t xml:space="preserve"> </w:t>
      </w:r>
      <w:r w:rsidR="00E86A1E">
        <w:rPr>
          <w:rFonts w:ascii="Palatino Linotype" w:hAnsi="Palatino Linotype" w:cs="Arial"/>
          <w:b/>
          <w:bCs/>
          <w:sz w:val="24"/>
          <w:szCs w:val="24"/>
        </w:rPr>
        <w:t xml:space="preserve">doce de septiembre de dos mil veinticuatro, </w:t>
      </w:r>
      <w:r w:rsidR="00E86A1E">
        <w:rPr>
          <w:rFonts w:ascii="Palatino Linotype" w:hAnsi="Palatino Linotype" w:cs="Arial"/>
          <w:sz w:val="24"/>
          <w:szCs w:val="24"/>
        </w:rPr>
        <w:t xml:space="preserve">los cuales fueron registrados en el sistema electrónico con los expedientes </w:t>
      </w:r>
      <w:r w:rsidR="00E86A1E">
        <w:rPr>
          <w:rFonts w:ascii="Palatino Linotype" w:hAnsi="Palatino Linotype" w:cs="Arial"/>
          <w:b/>
          <w:bCs/>
          <w:sz w:val="24"/>
          <w:szCs w:val="24"/>
        </w:rPr>
        <w:t xml:space="preserve">05615/INFOEM/IP/RR/2024 </w:t>
      </w:r>
      <w:r w:rsidR="00E86A1E">
        <w:rPr>
          <w:rFonts w:ascii="Palatino Linotype" w:hAnsi="Palatino Linotype" w:cs="Arial"/>
          <w:sz w:val="24"/>
          <w:szCs w:val="24"/>
        </w:rPr>
        <w:t xml:space="preserve">y </w:t>
      </w:r>
      <w:r w:rsidR="00E86A1E">
        <w:rPr>
          <w:rFonts w:ascii="Palatino Linotype" w:hAnsi="Palatino Linotype" w:cs="Arial"/>
          <w:b/>
          <w:bCs/>
          <w:sz w:val="24"/>
          <w:szCs w:val="24"/>
        </w:rPr>
        <w:t xml:space="preserve">05618/INFOEM/IP/RR/2024, </w:t>
      </w:r>
      <w:r w:rsidR="00E86A1E">
        <w:rPr>
          <w:rFonts w:ascii="Palatino Linotype" w:hAnsi="Palatino Linotype" w:cs="Arial"/>
          <w:sz w:val="24"/>
          <w:szCs w:val="24"/>
        </w:rPr>
        <w:t xml:space="preserve">en los cuales arguye las siguientes manifestaciones: </w:t>
      </w:r>
    </w:p>
    <w:p w14:paraId="51CAE49B" w14:textId="1F237638" w:rsidR="00C24CA5" w:rsidRPr="00C24CA5" w:rsidRDefault="00E86A1E" w:rsidP="00C24CA5">
      <w:pPr>
        <w:pStyle w:val="Citas"/>
        <w:ind w:left="0"/>
        <w:rPr>
          <w:b/>
          <w:bCs/>
          <w:i w:val="0"/>
          <w:iCs/>
          <w:sz w:val="24"/>
          <w:szCs w:val="24"/>
        </w:rPr>
      </w:pPr>
      <w:r>
        <w:rPr>
          <w:b/>
          <w:bCs/>
          <w:i w:val="0"/>
          <w:iCs/>
          <w:sz w:val="24"/>
          <w:szCs w:val="24"/>
        </w:rPr>
        <w:t>05615</w:t>
      </w:r>
      <w:r w:rsidR="00C24CA5" w:rsidRPr="00C24CA5">
        <w:rPr>
          <w:b/>
          <w:bCs/>
          <w:i w:val="0"/>
          <w:iCs/>
          <w:sz w:val="24"/>
          <w:szCs w:val="24"/>
        </w:rPr>
        <w:t>/INFOEM/IP/RR/2024</w:t>
      </w:r>
    </w:p>
    <w:p w14:paraId="2A8AAB80" w14:textId="3A39ADBC" w:rsidR="00C24CA5" w:rsidRPr="00C24CA5" w:rsidRDefault="00C24CA5" w:rsidP="00C24CA5">
      <w:pPr>
        <w:pStyle w:val="Citas"/>
        <w:ind w:left="0"/>
        <w:rPr>
          <w:b/>
          <w:bCs/>
          <w:i w:val="0"/>
          <w:iCs/>
          <w:sz w:val="24"/>
          <w:szCs w:val="24"/>
        </w:rPr>
      </w:pPr>
      <w:r w:rsidRPr="00C24CA5">
        <w:rPr>
          <w:b/>
          <w:bCs/>
          <w:i w:val="0"/>
          <w:iCs/>
          <w:sz w:val="24"/>
          <w:szCs w:val="24"/>
        </w:rPr>
        <w:t xml:space="preserve">Acto impugnado: </w:t>
      </w:r>
    </w:p>
    <w:p w14:paraId="4466C196" w14:textId="62EB7217" w:rsidR="00F003D2" w:rsidRPr="00C24CA5" w:rsidRDefault="00C24CA5" w:rsidP="00C24CA5">
      <w:pPr>
        <w:pStyle w:val="Citas"/>
        <w:rPr>
          <w:b/>
          <w:bCs/>
        </w:rPr>
      </w:pPr>
      <w:r w:rsidRPr="00C24CA5">
        <w:t>“</w:t>
      </w:r>
      <w:r w:rsidR="00E86A1E" w:rsidRPr="00E86A1E">
        <w:t>No entrega la información solicitada</w:t>
      </w:r>
      <w:r w:rsidRPr="00C24CA5">
        <w:t xml:space="preserve">” </w:t>
      </w:r>
      <w:r w:rsidRPr="00C24CA5">
        <w:rPr>
          <w:b/>
          <w:bCs/>
        </w:rPr>
        <w:t>(Sic)</w:t>
      </w:r>
    </w:p>
    <w:p w14:paraId="2EBE904C" w14:textId="25A7A0F2" w:rsidR="00C24CA5" w:rsidRPr="00C24CA5" w:rsidRDefault="00C24CA5" w:rsidP="00AD18E2">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5F428DF3" w14:textId="1A3FD000" w:rsidR="00C24CA5" w:rsidRPr="00C24CA5" w:rsidRDefault="00E86A1E" w:rsidP="00C24CA5">
      <w:pPr>
        <w:pStyle w:val="Citas"/>
        <w:rPr>
          <w:b/>
          <w:bCs/>
        </w:rPr>
      </w:pPr>
      <w:r>
        <w:t>“</w:t>
      </w:r>
      <w:r w:rsidRPr="00E86A1E">
        <w:t>No entrega la información solicitada</w:t>
      </w:r>
      <w:r w:rsidR="00C24CA5" w:rsidRPr="00C24CA5">
        <w:t xml:space="preserve">” </w:t>
      </w:r>
      <w:r w:rsidR="00C24CA5" w:rsidRPr="00C24CA5">
        <w:rPr>
          <w:b/>
          <w:bCs/>
        </w:rPr>
        <w:t>(Sic)</w:t>
      </w:r>
    </w:p>
    <w:p w14:paraId="2582F94E" w14:textId="77777777" w:rsidR="00E86A1E" w:rsidRDefault="00E86A1E" w:rsidP="00AD18E2">
      <w:pPr>
        <w:pStyle w:val="Citas"/>
        <w:ind w:left="0" w:right="72"/>
        <w:rPr>
          <w:b/>
          <w:bCs/>
          <w:i w:val="0"/>
          <w:iCs/>
          <w:sz w:val="24"/>
          <w:szCs w:val="24"/>
        </w:rPr>
      </w:pPr>
    </w:p>
    <w:p w14:paraId="2CB2F072" w14:textId="1B0C6185" w:rsidR="00C24CA5" w:rsidRPr="005F1FC1" w:rsidRDefault="00E86A1E" w:rsidP="00AD18E2">
      <w:pPr>
        <w:pStyle w:val="Citas"/>
        <w:ind w:left="0" w:right="72"/>
        <w:rPr>
          <w:rFonts w:ascii="Verdana" w:hAnsi="Verdana"/>
          <w:i w:val="0"/>
          <w:iCs/>
          <w:color w:val="000000"/>
          <w:sz w:val="14"/>
          <w:szCs w:val="14"/>
          <w:highlight w:val="yellow"/>
        </w:rPr>
      </w:pPr>
      <w:r>
        <w:rPr>
          <w:b/>
          <w:bCs/>
          <w:i w:val="0"/>
          <w:iCs/>
          <w:sz w:val="24"/>
          <w:szCs w:val="24"/>
        </w:rPr>
        <w:t>05618</w:t>
      </w:r>
      <w:r w:rsidR="00C24CA5" w:rsidRPr="005F1FC1">
        <w:rPr>
          <w:b/>
          <w:bCs/>
          <w:i w:val="0"/>
          <w:iCs/>
          <w:sz w:val="24"/>
          <w:szCs w:val="24"/>
        </w:rPr>
        <w:t>/INFOEM/IP/RR/2024</w:t>
      </w:r>
    </w:p>
    <w:p w14:paraId="0498F201" w14:textId="78CC9F78" w:rsidR="00C24CA5" w:rsidRPr="00C24CA5" w:rsidRDefault="00C24CA5" w:rsidP="00AD18E2">
      <w:pPr>
        <w:pStyle w:val="Citas"/>
        <w:ind w:left="0" w:right="72"/>
        <w:rPr>
          <w:b/>
          <w:bCs/>
          <w:i w:val="0"/>
          <w:iCs/>
          <w:color w:val="000000"/>
          <w:sz w:val="24"/>
          <w:szCs w:val="24"/>
        </w:rPr>
      </w:pPr>
      <w:r w:rsidRPr="00C24CA5">
        <w:rPr>
          <w:b/>
          <w:bCs/>
          <w:i w:val="0"/>
          <w:iCs/>
          <w:color w:val="000000"/>
          <w:sz w:val="24"/>
          <w:szCs w:val="24"/>
        </w:rPr>
        <w:t xml:space="preserve">Acto impugnado: </w:t>
      </w:r>
    </w:p>
    <w:p w14:paraId="68A3CC6E" w14:textId="7C7F2736" w:rsidR="00C24CA5" w:rsidRPr="00C24CA5" w:rsidRDefault="00C24CA5" w:rsidP="00C24CA5">
      <w:pPr>
        <w:pStyle w:val="Citas"/>
        <w:rPr>
          <w:b/>
          <w:bCs/>
        </w:rPr>
      </w:pPr>
      <w:r w:rsidRPr="00C24CA5">
        <w:t>“</w:t>
      </w:r>
      <w:r w:rsidR="00E86A1E" w:rsidRPr="00E86A1E">
        <w:t>Listado de directores de las áreas con sus documentos que comprueben que cumplen con los requisitos para ser</w:t>
      </w:r>
      <w:r w:rsidR="00E86A1E">
        <w:t xml:space="preserve"> directores</w:t>
      </w:r>
      <w:r w:rsidRPr="00C24CA5">
        <w:t xml:space="preserve">” </w:t>
      </w:r>
      <w:r w:rsidRPr="00C24CA5">
        <w:rPr>
          <w:b/>
          <w:bCs/>
        </w:rPr>
        <w:t>(Sic)</w:t>
      </w:r>
    </w:p>
    <w:p w14:paraId="31A9F00D" w14:textId="77777777" w:rsidR="00C24CA5" w:rsidRPr="00C24CA5" w:rsidRDefault="00C24CA5" w:rsidP="00C24CA5">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18666135" w14:textId="0E309D81" w:rsidR="00E86A1E" w:rsidRPr="00C24CA5" w:rsidRDefault="00E86A1E" w:rsidP="00E86A1E">
      <w:pPr>
        <w:pStyle w:val="Citas"/>
        <w:rPr>
          <w:b/>
          <w:bCs/>
        </w:rPr>
      </w:pPr>
      <w:r w:rsidRPr="00C24CA5">
        <w:t>“</w:t>
      </w:r>
      <w:r w:rsidRPr="00E86A1E">
        <w:t>No entrega la información solicitada</w:t>
      </w:r>
      <w:r w:rsidRPr="00C24CA5">
        <w:t xml:space="preserve">” </w:t>
      </w:r>
      <w:r w:rsidRPr="00C24CA5">
        <w:rPr>
          <w:b/>
          <w:bCs/>
        </w:rPr>
        <w:t>(Sic)</w:t>
      </w:r>
    </w:p>
    <w:p w14:paraId="2575C33D" w14:textId="77777777" w:rsidR="00AD18E2" w:rsidRPr="00415E43" w:rsidRDefault="00AD18E2" w:rsidP="00AD18E2">
      <w:pPr>
        <w:spacing w:before="240" w:line="360" w:lineRule="auto"/>
        <w:jc w:val="both"/>
        <w:rPr>
          <w:rFonts w:ascii="Palatino Linotype" w:hAnsi="Palatino Linotype" w:cs="Arial"/>
          <w:b/>
          <w:sz w:val="24"/>
          <w:szCs w:val="24"/>
        </w:rPr>
      </w:pPr>
      <w:r w:rsidRPr="00415E43">
        <w:rPr>
          <w:rFonts w:ascii="Palatino Linotype" w:hAnsi="Palatino Linotype" w:cs="Arial"/>
          <w:b/>
          <w:sz w:val="28"/>
        </w:rPr>
        <w:lastRenderedPageBreak/>
        <w:t>CUARTO</w:t>
      </w:r>
      <w:r w:rsidRPr="00415E43">
        <w:rPr>
          <w:rFonts w:ascii="Palatino Linotype" w:hAnsi="Palatino Linotype" w:cs="Arial"/>
          <w:b/>
          <w:sz w:val="24"/>
          <w:szCs w:val="24"/>
        </w:rPr>
        <w:t xml:space="preserve">. </w:t>
      </w:r>
      <w:r w:rsidRPr="00415E43">
        <w:rPr>
          <w:rFonts w:ascii="Palatino Linotype" w:hAnsi="Palatino Linotype" w:cs="Arial"/>
          <w:b/>
          <w:sz w:val="28"/>
          <w:szCs w:val="28"/>
        </w:rPr>
        <w:t>Del turno del recurso de revisión.</w:t>
      </w:r>
    </w:p>
    <w:p w14:paraId="31CFCA6F" w14:textId="5AB2CDC1" w:rsidR="00AD18E2" w:rsidRPr="00415E43" w:rsidRDefault="00AD18E2" w:rsidP="00AD18E2">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Medios de impugnación que le fueron turnados por medio del sistema electrónico a los Comisionados José Martínez Vilchis</w:t>
      </w:r>
      <w:r w:rsidR="00E86A1E">
        <w:rPr>
          <w:rFonts w:ascii="Palatino Linotype" w:hAnsi="Palatino Linotype" w:cs="Arial"/>
          <w:lang w:val="es-MX"/>
        </w:rPr>
        <w:t xml:space="preserve"> y María del Rosario Mejía Ayala y, en </w:t>
      </w:r>
      <w:r w:rsidR="00C24CA5" w:rsidRPr="00415E43">
        <w:rPr>
          <w:rFonts w:ascii="Palatino Linotype" w:hAnsi="Palatino Linotype" w:cs="Arial"/>
          <w:lang w:val="es-MX"/>
        </w:rPr>
        <w:t>términos del arábigo 185 fracción I de la Ley de Transparencia y Acceso a la información Pública del Estado de México y Municipios, de los cuales recayeron en acuerdos de admisión en fecha</w:t>
      </w:r>
      <w:r w:rsidR="00D674E4">
        <w:rPr>
          <w:rFonts w:ascii="Palatino Linotype" w:hAnsi="Palatino Linotype" w:cs="Arial"/>
          <w:lang w:val="es-MX"/>
        </w:rPr>
        <w:t xml:space="preserve">s </w:t>
      </w:r>
      <w:r w:rsidR="00E86A1E">
        <w:rPr>
          <w:rFonts w:ascii="Palatino Linotype" w:hAnsi="Palatino Linotype" w:cs="Arial"/>
          <w:b/>
          <w:bCs/>
          <w:lang w:val="es-MX"/>
        </w:rPr>
        <w:t xml:space="preserve">diecisiete y diecinueve de septiembre de dos mil veinticuatro,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0B95E4E9" w14:textId="77777777" w:rsidR="00AD18E2" w:rsidRPr="00AD18E2" w:rsidRDefault="00AD18E2" w:rsidP="00AD18E2">
      <w:pPr>
        <w:pStyle w:val="Prrafodelista"/>
        <w:spacing w:line="360" w:lineRule="auto"/>
        <w:ind w:left="0"/>
        <w:jc w:val="both"/>
        <w:rPr>
          <w:rFonts w:ascii="Palatino Linotype" w:hAnsi="Palatino Linotype" w:cs="Arial"/>
          <w:highlight w:val="yellow"/>
          <w:lang w:val="es-MX"/>
        </w:rPr>
      </w:pPr>
    </w:p>
    <w:p w14:paraId="107B774B" w14:textId="77777777" w:rsidR="00AD18E2" w:rsidRPr="00415E43" w:rsidRDefault="00AD18E2" w:rsidP="00AD18E2">
      <w:pPr>
        <w:pStyle w:val="Prrafodelista"/>
        <w:spacing w:line="360" w:lineRule="auto"/>
        <w:ind w:left="0"/>
        <w:jc w:val="both"/>
        <w:rPr>
          <w:rFonts w:ascii="Palatino Linotype" w:hAnsi="Palatino Linotype" w:cs="Arial"/>
          <w:b/>
          <w:sz w:val="28"/>
          <w:szCs w:val="28"/>
          <w:lang w:val="es-MX"/>
        </w:rPr>
      </w:pPr>
      <w:r w:rsidRPr="00415E43">
        <w:rPr>
          <w:rFonts w:ascii="Palatino Linotype" w:hAnsi="Palatino Linotype" w:cs="Arial"/>
          <w:b/>
          <w:sz w:val="28"/>
          <w:lang w:val="es-MX"/>
        </w:rPr>
        <w:t>QUINTO</w:t>
      </w:r>
      <w:r w:rsidRPr="00415E43">
        <w:rPr>
          <w:rFonts w:ascii="Palatino Linotype" w:hAnsi="Palatino Linotype" w:cs="Arial"/>
          <w:b/>
          <w:sz w:val="28"/>
          <w:szCs w:val="28"/>
          <w:lang w:val="es-MX"/>
        </w:rPr>
        <w:t>. De la acumulación.</w:t>
      </w:r>
    </w:p>
    <w:p w14:paraId="6B9C3802" w14:textId="500F290F" w:rsidR="00AD18E2" w:rsidRPr="00415E43" w:rsidRDefault="00AD18E2" w:rsidP="00AD18E2">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E86A1E">
        <w:rPr>
          <w:rFonts w:ascii="Palatino Linotype" w:hAnsi="Palatino Linotype" w:cs="Arial"/>
          <w:lang w:val="es-MX"/>
        </w:rPr>
        <w:t xml:space="preserve">Trigésima cuarta sesión ordinaria celebrada el </w:t>
      </w:r>
      <w:r w:rsidR="00E86A1E">
        <w:rPr>
          <w:rFonts w:ascii="Palatino Linotype" w:hAnsi="Palatino Linotype" w:cs="Arial"/>
          <w:b/>
          <w:bCs/>
          <w:lang w:val="es-MX"/>
        </w:rPr>
        <w:t xml:space="preserve">veinticinco de septiembre de dos mil veinticuatro, </w:t>
      </w:r>
      <w:r w:rsidR="00D20265">
        <w:rPr>
          <w:rFonts w:ascii="Palatino Linotype" w:hAnsi="Palatino Linotype" w:cs="Arial"/>
          <w:lang w:val="es-MX"/>
        </w:rPr>
        <w:t xml:space="preserve">se determinó 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631D94AB" w14:textId="77777777" w:rsidR="00AD18E2" w:rsidRPr="00415E43" w:rsidRDefault="00AD18E2" w:rsidP="00AD18E2">
      <w:pPr>
        <w:pStyle w:val="Prrafodelista"/>
        <w:spacing w:line="360" w:lineRule="auto"/>
        <w:ind w:left="0"/>
        <w:jc w:val="both"/>
        <w:rPr>
          <w:rFonts w:ascii="Palatino Linotype" w:hAnsi="Palatino Linotype" w:cs="Arial"/>
          <w:lang w:val="es-MX"/>
        </w:rPr>
      </w:pPr>
    </w:p>
    <w:p w14:paraId="00DD4C5A" w14:textId="77777777" w:rsidR="00AD18E2" w:rsidRPr="00415E43" w:rsidRDefault="00AD18E2" w:rsidP="00AD18E2">
      <w:pPr>
        <w:spacing w:after="0" w:line="360" w:lineRule="auto"/>
        <w:jc w:val="both"/>
        <w:rPr>
          <w:rFonts w:ascii="Palatino Linotype" w:hAnsi="Palatino Linotype"/>
          <w:sz w:val="24"/>
          <w:szCs w:val="24"/>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44C6BF35" w14:textId="77777777" w:rsidR="00AD18E2" w:rsidRPr="00415E43" w:rsidRDefault="00AD18E2" w:rsidP="00AD18E2">
      <w:pPr>
        <w:spacing w:before="240" w:line="360" w:lineRule="auto"/>
        <w:ind w:left="851" w:right="851"/>
        <w:jc w:val="center"/>
        <w:rPr>
          <w:rFonts w:ascii="Palatino Linotype" w:hAnsi="Palatino Linotype"/>
          <w:b/>
          <w:i/>
        </w:rPr>
      </w:pPr>
      <w:r w:rsidRPr="00415E43">
        <w:rPr>
          <w:rFonts w:ascii="Palatino Linotype" w:hAnsi="Palatino Linotype"/>
          <w:b/>
          <w:i/>
        </w:rPr>
        <w:t>Ley de Transparencia y Acceso a la Información Pública del Estado de México y Municipios</w:t>
      </w:r>
    </w:p>
    <w:p w14:paraId="17A23C09" w14:textId="77777777" w:rsidR="00AD18E2" w:rsidRPr="00415E43" w:rsidRDefault="00AD18E2" w:rsidP="00AD18E2">
      <w:pPr>
        <w:spacing w:before="240" w:line="360" w:lineRule="auto"/>
        <w:ind w:left="851" w:right="851"/>
        <w:jc w:val="both"/>
        <w:rPr>
          <w:rFonts w:ascii="Palatino Linotype" w:hAnsi="Palatino Linotype"/>
          <w:b/>
          <w:i/>
        </w:rPr>
      </w:pPr>
      <w:r w:rsidRPr="00415E43">
        <w:rPr>
          <w:rFonts w:ascii="Palatino Linotype" w:hAnsi="Palatino Linotype"/>
          <w:i/>
        </w:rPr>
        <w:lastRenderedPageBreak/>
        <w:t xml:space="preserve">“Artículo 195. En la tramitación del recurso de revisión se aplicarán supletoriamente las disposiciones contenidas en el </w:t>
      </w:r>
      <w:r w:rsidRPr="00415E43">
        <w:rPr>
          <w:rFonts w:ascii="Palatino Linotype" w:hAnsi="Palatino Linotype"/>
          <w:b/>
          <w:i/>
          <w:u w:val="single"/>
        </w:rPr>
        <w:t>Código de Procedimientos Administrativos del Estado de México</w:t>
      </w:r>
      <w:r w:rsidRPr="00415E43">
        <w:rPr>
          <w:rFonts w:ascii="Palatino Linotype" w:hAnsi="Palatino Linotype"/>
          <w:i/>
        </w:rPr>
        <w:t xml:space="preserve">.” </w:t>
      </w:r>
      <w:r w:rsidRPr="00415E43">
        <w:rPr>
          <w:rFonts w:ascii="Palatino Linotype" w:hAnsi="Palatino Linotype"/>
          <w:b/>
          <w:i/>
        </w:rPr>
        <w:t>[Sic]</w:t>
      </w:r>
    </w:p>
    <w:p w14:paraId="45E5D3CD" w14:textId="77777777" w:rsidR="00AD18E2" w:rsidRPr="00415E43" w:rsidRDefault="00AD18E2" w:rsidP="00AD18E2">
      <w:pPr>
        <w:spacing w:before="240" w:line="360" w:lineRule="auto"/>
        <w:ind w:left="851" w:right="851"/>
        <w:jc w:val="both"/>
        <w:rPr>
          <w:rFonts w:ascii="Palatino Linotype" w:hAnsi="Palatino Linotype"/>
          <w:i/>
        </w:rPr>
      </w:pPr>
    </w:p>
    <w:p w14:paraId="1CFB3199" w14:textId="77777777" w:rsidR="00AD18E2" w:rsidRPr="00415E43" w:rsidRDefault="00AD18E2" w:rsidP="00AD18E2">
      <w:pPr>
        <w:spacing w:before="240" w:line="360" w:lineRule="auto"/>
        <w:ind w:left="851" w:right="851"/>
        <w:jc w:val="center"/>
        <w:rPr>
          <w:rFonts w:ascii="Palatino Linotype" w:hAnsi="Palatino Linotype"/>
          <w:b/>
          <w:i/>
        </w:rPr>
      </w:pPr>
      <w:r w:rsidRPr="00415E43">
        <w:rPr>
          <w:rFonts w:ascii="Palatino Linotype" w:hAnsi="Palatino Linotype"/>
          <w:b/>
          <w:i/>
        </w:rPr>
        <w:t>Código de Procedimientos Administrativos del Estado de México</w:t>
      </w:r>
    </w:p>
    <w:p w14:paraId="6BAA710D" w14:textId="77777777" w:rsidR="00AD18E2" w:rsidRPr="00415E43" w:rsidRDefault="00AD18E2" w:rsidP="00AD18E2">
      <w:pPr>
        <w:spacing w:before="240" w:line="360" w:lineRule="auto"/>
        <w:ind w:left="851" w:right="851"/>
        <w:jc w:val="both"/>
        <w:rPr>
          <w:rFonts w:ascii="Palatino Linotype" w:hAnsi="Palatino Linotype"/>
          <w:b/>
          <w:i/>
        </w:rPr>
      </w:pPr>
      <w:r w:rsidRPr="00415E43">
        <w:rPr>
          <w:rFonts w:ascii="Palatino Linotype" w:hAnsi="Palatino Linotype"/>
          <w:i/>
        </w:rPr>
        <w:t xml:space="preserve">“Artículo 18.- </w:t>
      </w:r>
      <w:r w:rsidRPr="00415E43">
        <w:rPr>
          <w:rFonts w:ascii="Palatino Linotype" w:hAnsi="Palatino Linotype"/>
          <w:b/>
          <w:i/>
          <w:u w:val="single"/>
        </w:rPr>
        <w:t>La autoridad administrativa</w:t>
      </w:r>
      <w:r w:rsidRPr="00415E43">
        <w:rPr>
          <w:rFonts w:ascii="Palatino Linotype" w:hAnsi="Palatino Linotype"/>
          <w:i/>
        </w:rPr>
        <w:t xml:space="preserve"> o el Tribunal </w:t>
      </w:r>
      <w:r w:rsidRPr="00415E43">
        <w:rPr>
          <w:rFonts w:ascii="Palatino Linotype" w:hAnsi="Palatino Linotype"/>
          <w:b/>
          <w:i/>
          <w:u w:val="single"/>
        </w:rPr>
        <w:t>acordarán la acumulación</w:t>
      </w:r>
      <w:r w:rsidRPr="00415E43">
        <w:rPr>
          <w:rFonts w:ascii="Palatino Linotype" w:hAnsi="Palatino Linotype"/>
          <w:i/>
        </w:rPr>
        <w:t xml:space="preserve"> de los expedientes del procedimiento y proceso administrativo que ante ellos se sigan</w:t>
      </w:r>
      <w:r w:rsidRPr="00415E43">
        <w:rPr>
          <w:rFonts w:ascii="Palatino Linotype" w:hAnsi="Palatino Linotype"/>
          <w:b/>
          <w:i/>
          <w:u w:val="single"/>
        </w:rPr>
        <w:t>, de oficio</w:t>
      </w:r>
      <w:r w:rsidRPr="00415E43">
        <w:rPr>
          <w:rFonts w:ascii="Palatino Linotype" w:hAnsi="Palatino Linotype"/>
          <w:i/>
        </w:rPr>
        <w:t xml:space="preserve"> o a petición de parte, </w:t>
      </w:r>
      <w:r w:rsidRPr="00415E43">
        <w:rPr>
          <w:rFonts w:ascii="Palatino Linotype" w:hAnsi="Palatino Linotype"/>
          <w:b/>
          <w:i/>
          <w:u w:val="single"/>
        </w:rPr>
        <w:t>cuando las partes o los actos administrativos sean iguales, se trate de actos conexos o resulte conveniente el trámite unificado de los asuntos</w:t>
      </w:r>
      <w:r w:rsidRPr="00415E43">
        <w:rPr>
          <w:rFonts w:ascii="Palatino Linotype" w:hAnsi="Palatino Linotype"/>
          <w:i/>
        </w:rPr>
        <w:t xml:space="preserve">, para evitar la emisión de resoluciones contradictorias. La misma regla se aplicará, en lo conducente, para la separación de los expedientes.” </w:t>
      </w:r>
      <w:r w:rsidRPr="00415E43">
        <w:rPr>
          <w:rFonts w:ascii="Palatino Linotype" w:hAnsi="Palatino Linotype"/>
          <w:b/>
          <w:i/>
        </w:rPr>
        <w:t>[Sic]</w:t>
      </w:r>
    </w:p>
    <w:p w14:paraId="04C001F4" w14:textId="77777777" w:rsidR="00AD18E2" w:rsidRPr="00AD18E2" w:rsidRDefault="00AD18E2" w:rsidP="00AD18E2">
      <w:pPr>
        <w:spacing w:before="240" w:line="360" w:lineRule="auto"/>
        <w:jc w:val="both"/>
        <w:rPr>
          <w:rFonts w:ascii="Palatino Linotype" w:hAnsi="Palatino Linotype" w:cs="Arial"/>
          <w:b/>
          <w:sz w:val="28"/>
          <w:highlight w:val="yellow"/>
        </w:rPr>
      </w:pPr>
    </w:p>
    <w:p w14:paraId="5517956D" w14:textId="77777777" w:rsidR="00AD18E2" w:rsidRPr="00415E43" w:rsidRDefault="00AD18E2" w:rsidP="00AD18E2">
      <w:pPr>
        <w:spacing w:before="240" w:line="360" w:lineRule="auto"/>
        <w:jc w:val="both"/>
        <w:rPr>
          <w:rFonts w:ascii="Palatino Linotype" w:hAnsi="Palatino Linotype" w:cs="Arial"/>
          <w:b/>
          <w:sz w:val="24"/>
          <w:szCs w:val="24"/>
        </w:rPr>
      </w:pPr>
      <w:r w:rsidRPr="00415E43">
        <w:rPr>
          <w:rFonts w:ascii="Palatino Linotype" w:hAnsi="Palatino Linotype" w:cs="Arial"/>
          <w:b/>
          <w:sz w:val="28"/>
        </w:rPr>
        <w:t>SEXTO</w:t>
      </w:r>
      <w:r w:rsidRPr="00415E43">
        <w:rPr>
          <w:rFonts w:ascii="Palatino Linotype" w:hAnsi="Palatino Linotype" w:cs="Arial"/>
          <w:b/>
          <w:sz w:val="24"/>
          <w:szCs w:val="24"/>
        </w:rPr>
        <w:t xml:space="preserve">. </w:t>
      </w:r>
      <w:r w:rsidRPr="00415E43">
        <w:rPr>
          <w:rFonts w:ascii="Palatino Linotype" w:hAnsi="Palatino Linotype" w:cs="Arial"/>
          <w:b/>
          <w:sz w:val="28"/>
          <w:szCs w:val="28"/>
        </w:rPr>
        <w:t>De la etapa de instrucción.</w:t>
      </w:r>
    </w:p>
    <w:p w14:paraId="04CC61C0" w14:textId="4F8E84D6" w:rsidR="00AD18E2" w:rsidRPr="00415E43" w:rsidRDefault="00AD18E2" w:rsidP="00AD18E2">
      <w:pPr>
        <w:spacing w:before="240" w:line="360" w:lineRule="auto"/>
        <w:jc w:val="both"/>
        <w:rPr>
          <w:rFonts w:ascii="Palatino Linotype" w:hAnsi="Palatino Linotype" w:cs="Arial"/>
          <w:b/>
          <w:bCs/>
          <w:sz w:val="24"/>
          <w:szCs w:val="24"/>
        </w:rPr>
      </w:pPr>
      <w:r w:rsidRPr="00415E43">
        <w:rPr>
          <w:rFonts w:ascii="Palatino Linotype" w:hAnsi="Palatino Linotype" w:cs="Arial"/>
          <w:sz w:val="24"/>
          <w:szCs w:val="24"/>
        </w:rPr>
        <w:t xml:space="preserve">Así, una vez transcurrido el término legal referido, se advierte en los expedientes electrónicos </w:t>
      </w:r>
      <w:r w:rsidRPr="00415E43">
        <w:rPr>
          <w:rFonts w:ascii="Palatino Linotype" w:hAnsi="Palatino Linotype" w:cs="Arial"/>
          <w:b/>
          <w:bCs/>
          <w:sz w:val="24"/>
          <w:szCs w:val="24"/>
        </w:rPr>
        <w:t>E</w:t>
      </w:r>
      <w:r w:rsidR="00415E43" w:rsidRPr="00415E43">
        <w:rPr>
          <w:rFonts w:ascii="Palatino Linotype" w:hAnsi="Palatino Linotype" w:cs="Arial"/>
          <w:b/>
          <w:bCs/>
          <w:sz w:val="24"/>
          <w:szCs w:val="24"/>
        </w:rPr>
        <w:t>l</w:t>
      </w:r>
      <w:r w:rsidRPr="00415E43">
        <w:rPr>
          <w:rFonts w:ascii="Palatino Linotype" w:hAnsi="Palatino Linotype" w:cs="Arial"/>
          <w:b/>
          <w:bCs/>
          <w:sz w:val="24"/>
          <w:szCs w:val="24"/>
        </w:rPr>
        <w:t xml:space="preserve"> Sujeto Obligado </w:t>
      </w:r>
      <w:r w:rsidR="00415E43" w:rsidRPr="00415E43">
        <w:rPr>
          <w:rFonts w:ascii="Palatino Linotype" w:hAnsi="Palatino Linotype" w:cs="Arial"/>
          <w:sz w:val="24"/>
          <w:szCs w:val="24"/>
        </w:rPr>
        <w:t xml:space="preserve">fue omiso en rendir sus informes justificados. </w:t>
      </w:r>
    </w:p>
    <w:p w14:paraId="2FCEAC7D" w14:textId="07BA1461" w:rsidR="00AD18E2" w:rsidRDefault="00AD18E2" w:rsidP="00AD18E2">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Por lo que una vez transcurrido el plazo establecido para que las partes manifestaran lo que a su derecho conviniera, en fecha</w:t>
      </w:r>
      <w:r w:rsidR="00D20265">
        <w:rPr>
          <w:rFonts w:ascii="Palatino Linotype" w:hAnsi="Palatino Linotype" w:cs="Arial"/>
          <w:sz w:val="24"/>
          <w:szCs w:val="24"/>
        </w:rPr>
        <w:t xml:space="preserve"> </w:t>
      </w:r>
      <w:r w:rsidR="00E86A1E">
        <w:rPr>
          <w:rFonts w:ascii="Palatino Linotype" w:hAnsi="Palatino Linotype" w:cs="Arial"/>
          <w:b/>
          <w:bCs/>
          <w:sz w:val="24"/>
          <w:szCs w:val="24"/>
        </w:rPr>
        <w:t xml:space="preserve">dos de octubre de los corrientes, </w:t>
      </w:r>
      <w:r w:rsidRPr="00415E43">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34D2D0F1" w14:textId="3820CF2E"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lastRenderedPageBreak/>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1FF8B4A4" w14:textId="158F73DC" w:rsidR="0040360C" w:rsidRPr="00F6461C" w:rsidRDefault="0040360C" w:rsidP="0040360C">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3E59A5">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CB5C554" w14:textId="77777777" w:rsidR="0040360C" w:rsidRDefault="0040360C"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FF67365"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w:t>
      </w:r>
      <w:r>
        <w:rPr>
          <w:rFonts w:ascii="Palatino Linotype" w:hAnsi="Palatino Linotype" w:cs="Arial"/>
        </w:rPr>
        <w:lastRenderedPageBreak/>
        <w:t xml:space="preserve">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0010DF4F" w14:textId="77777777" w:rsidR="008D7E56" w:rsidRDefault="008D7E56" w:rsidP="00E50179">
      <w:pPr>
        <w:spacing w:after="0" w:line="360" w:lineRule="auto"/>
        <w:jc w:val="both"/>
        <w:rPr>
          <w:rFonts w:ascii="Palatino Linotype" w:hAnsi="Palatino Linotype" w:cs="Arial"/>
          <w:b/>
          <w:sz w:val="28"/>
        </w:rPr>
      </w:pPr>
    </w:p>
    <w:p w14:paraId="26E9B063" w14:textId="77777777" w:rsidR="00D674E4" w:rsidRPr="007822E6" w:rsidRDefault="00D674E4" w:rsidP="00D674E4">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6E20940A" w14:textId="77777777" w:rsidR="00D674E4" w:rsidRPr="007822E6" w:rsidRDefault="00D674E4" w:rsidP="00D674E4">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DC27CF" w14:textId="77777777" w:rsidR="00D674E4" w:rsidRPr="007822E6" w:rsidRDefault="00D674E4" w:rsidP="00D674E4">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7822E6">
        <w:rPr>
          <w:rFonts w:ascii="Palatino Linotype" w:hAnsi="Palatino Linotype" w:cs="Arial"/>
          <w:lang w:val="es-MX"/>
        </w:rPr>
        <w:lastRenderedPageBreak/>
        <w:t>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1E2EA5E" w14:textId="77777777" w:rsidR="00D674E4" w:rsidRDefault="00D674E4" w:rsidP="000C7274">
      <w:pPr>
        <w:tabs>
          <w:tab w:val="left" w:pos="709"/>
        </w:tabs>
        <w:spacing w:before="240" w:line="360" w:lineRule="auto"/>
        <w:ind w:right="51"/>
        <w:jc w:val="both"/>
        <w:rPr>
          <w:rFonts w:ascii="Palatino Linotype" w:hAnsi="Palatino Linotype"/>
          <w:b/>
          <w:sz w:val="28"/>
          <w:szCs w:val="28"/>
        </w:rPr>
      </w:pPr>
    </w:p>
    <w:p w14:paraId="3D0D57A4" w14:textId="3BD33D49" w:rsidR="000C7274" w:rsidRPr="009A0D0A"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3E80DAA" w14:textId="77777777" w:rsidR="000C7274"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lastRenderedPageBreak/>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3860F97E" w14:textId="77777777" w:rsidR="000C7274" w:rsidRPr="002869E1" w:rsidRDefault="000C7274" w:rsidP="000C7274">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B501C3B"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011F0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BF3CC34"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2EDDC4F" w14:textId="77777777" w:rsidR="000C7274" w:rsidRPr="006010FE"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A29681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18B065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7D12487"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4D4C4B4" w14:textId="77777777" w:rsidR="000C7274"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6010FE" w:rsidRDefault="000C7274" w:rsidP="000C7274">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w:t>
      </w:r>
      <w:r w:rsidRPr="006010FE">
        <w:rPr>
          <w:rFonts w:ascii="Palatino Linotype" w:eastAsia="Times New Roman" w:hAnsi="Palatino Linotype" w:cs="Times New Roman"/>
          <w:sz w:val="24"/>
          <w:szCs w:val="24"/>
          <w:lang w:eastAsia="es-ES"/>
        </w:rPr>
        <w:lastRenderedPageBreak/>
        <w:t xml:space="preserve">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1DA038D" w14:textId="77777777" w:rsidR="000C7274" w:rsidRDefault="000C7274" w:rsidP="000C7274">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F1927A2" w14:textId="77777777" w:rsidR="00CD4E49" w:rsidRDefault="00CD4E49" w:rsidP="000C7274">
      <w:pPr>
        <w:autoSpaceDE w:val="0"/>
        <w:autoSpaceDN w:val="0"/>
        <w:adjustRightInd w:val="0"/>
        <w:spacing w:before="240" w:line="360" w:lineRule="auto"/>
        <w:jc w:val="both"/>
        <w:rPr>
          <w:rFonts w:ascii="Palatino Linotype" w:hAnsi="Palatino Linotype" w:cs="Arial"/>
          <w:sz w:val="24"/>
          <w:szCs w:val="24"/>
        </w:rPr>
      </w:pPr>
    </w:p>
    <w:p w14:paraId="5BA7CB9A" w14:textId="3EC8987F" w:rsidR="00E86A1E" w:rsidRPr="004D09FF" w:rsidRDefault="000C7274" w:rsidP="00210D86">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con relación a la</w:t>
      </w:r>
      <w:r w:rsidR="00415E43">
        <w:rPr>
          <w:rFonts w:ascii="Palatino Linotype" w:hAnsi="Palatino Linotype" w:cs="Arial"/>
          <w:sz w:val="24"/>
          <w:szCs w:val="24"/>
        </w:rPr>
        <w:t>s</w:t>
      </w:r>
      <w:r>
        <w:rPr>
          <w:rFonts w:ascii="Palatino Linotype" w:hAnsi="Palatino Linotype" w:cs="Arial"/>
          <w:sz w:val="24"/>
          <w:szCs w:val="24"/>
        </w:rPr>
        <w:t xml:space="preserve"> solicitud</w:t>
      </w:r>
      <w:r w:rsidR="00415E43">
        <w:rPr>
          <w:rFonts w:ascii="Palatino Linotype" w:hAnsi="Palatino Linotype" w:cs="Arial"/>
          <w:sz w:val="24"/>
          <w:szCs w:val="24"/>
        </w:rPr>
        <w:t>es</w:t>
      </w:r>
      <w:r>
        <w:rPr>
          <w:rFonts w:ascii="Palatino Linotype" w:hAnsi="Palatino Linotype" w:cs="Arial"/>
          <w:sz w:val="24"/>
          <w:szCs w:val="24"/>
        </w:rPr>
        <w:t xml:space="preserve"> de información </w:t>
      </w:r>
      <w:r w:rsidR="004D09FF">
        <w:rPr>
          <w:rFonts w:ascii="Palatino Linotype" w:hAnsi="Palatino Linotype" w:cs="Arial"/>
          <w:b/>
          <w:bCs/>
          <w:sz w:val="24"/>
          <w:szCs w:val="24"/>
        </w:rPr>
        <w:t xml:space="preserve">00201/TEMAMATL/IP/2024 </w:t>
      </w:r>
      <w:r w:rsidR="004D09FF">
        <w:rPr>
          <w:rFonts w:ascii="Palatino Linotype" w:hAnsi="Palatino Linotype" w:cs="Arial"/>
          <w:sz w:val="24"/>
          <w:szCs w:val="24"/>
        </w:rPr>
        <w:t xml:space="preserve">y </w:t>
      </w:r>
      <w:r w:rsidR="004D09FF">
        <w:rPr>
          <w:rFonts w:ascii="Palatino Linotype" w:hAnsi="Palatino Linotype" w:cs="Arial"/>
          <w:b/>
          <w:bCs/>
          <w:sz w:val="24"/>
          <w:szCs w:val="24"/>
        </w:rPr>
        <w:t>00200/TEMAMATL/IP/2024</w:t>
      </w:r>
      <w:r w:rsidR="004D09FF">
        <w:rPr>
          <w:rFonts w:ascii="Palatino Linotype" w:hAnsi="Palatino Linotype" w:cs="Arial"/>
          <w:sz w:val="24"/>
          <w:szCs w:val="24"/>
        </w:rPr>
        <w:t xml:space="preserve">, se desprenden las siguientes consideraciones: </w:t>
      </w:r>
    </w:p>
    <w:p w14:paraId="2A1AFD5B" w14:textId="77777777" w:rsidR="00D674E4" w:rsidRPr="006C0923" w:rsidRDefault="00D674E4" w:rsidP="003D19C8">
      <w:pPr>
        <w:pStyle w:val="Prrafodelista"/>
        <w:numPr>
          <w:ilvl w:val="0"/>
          <w:numId w:val="3"/>
        </w:numPr>
        <w:autoSpaceDE w:val="0"/>
        <w:autoSpaceDN w:val="0"/>
        <w:adjustRightInd w:val="0"/>
        <w:spacing w:before="240" w:line="360" w:lineRule="auto"/>
        <w:jc w:val="both"/>
        <w:rPr>
          <w:rFonts w:ascii="Palatino Linotype" w:hAnsi="Palatino Linotype" w:cs="Arial"/>
          <w:lang w:val="es-MX"/>
        </w:rPr>
      </w:pPr>
      <w:r w:rsidRPr="006C0923">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6C0923">
        <w:rPr>
          <w:rFonts w:ascii="Palatino Linotype" w:hAnsi="Palatino Linotype" w:cs="Arial"/>
          <w:b/>
          <w:bCs/>
          <w:lang w:val="es-MX"/>
        </w:rPr>
        <w:t xml:space="preserve">Sujetos Obligados. </w:t>
      </w:r>
    </w:p>
    <w:p w14:paraId="7C322582" w14:textId="47F022FC" w:rsidR="004D09FF" w:rsidRPr="004D09FF" w:rsidRDefault="00D674E4" w:rsidP="003D19C8">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6C0923">
        <w:rPr>
          <w:rFonts w:ascii="Palatino Linotype" w:hAnsi="Palatino Linotype" w:cs="Arial"/>
          <w:lang w:val="es-MX"/>
        </w:rPr>
        <w:t xml:space="preserve">Que, de una interpretación literal a la solicitud de información, se advierte que </w:t>
      </w:r>
      <w:r w:rsidR="004D09FF">
        <w:rPr>
          <w:rFonts w:ascii="Palatino Linotype" w:hAnsi="Palatino Linotype" w:cs="Arial"/>
          <w:lang w:val="es-MX"/>
        </w:rPr>
        <w:t>fue</w:t>
      </w:r>
      <w:r w:rsidR="00B76EC1">
        <w:rPr>
          <w:rFonts w:ascii="Palatino Linotype" w:hAnsi="Palatino Linotype" w:cs="Arial"/>
          <w:lang w:val="es-MX"/>
        </w:rPr>
        <w:t>ron</w:t>
      </w:r>
      <w:r w:rsidR="004D09FF">
        <w:rPr>
          <w:rFonts w:ascii="Palatino Linotype" w:hAnsi="Palatino Linotype" w:cs="Arial"/>
          <w:lang w:val="es-MX"/>
        </w:rPr>
        <w:t xml:space="preserve"> formulad</w:t>
      </w:r>
      <w:r w:rsidR="00B76EC1">
        <w:rPr>
          <w:rFonts w:ascii="Palatino Linotype" w:hAnsi="Palatino Linotype" w:cs="Arial"/>
          <w:lang w:val="es-MX"/>
        </w:rPr>
        <w:t xml:space="preserve">os </w:t>
      </w:r>
      <w:r w:rsidR="00B76EC1">
        <w:rPr>
          <w:rFonts w:ascii="Palatino Linotype" w:hAnsi="Palatino Linotype" w:cs="Arial"/>
          <w:b/>
          <w:bCs/>
          <w:lang w:val="es-MX"/>
        </w:rPr>
        <w:t>2</w:t>
      </w:r>
      <w:r w:rsidR="004D09FF">
        <w:rPr>
          <w:rFonts w:ascii="Palatino Linotype" w:hAnsi="Palatino Linotype" w:cs="Arial"/>
          <w:b/>
          <w:bCs/>
          <w:lang w:val="es-MX"/>
        </w:rPr>
        <w:t xml:space="preserve"> -</w:t>
      </w:r>
      <w:r w:rsidR="00B76EC1">
        <w:rPr>
          <w:rFonts w:ascii="Palatino Linotype" w:hAnsi="Palatino Linotype" w:cs="Arial"/>
          <w:b/>
          <w:bCs/>
          <w:lang w:val="es-MX"/>
        </w:rPr>
        <w:t>dos</w:t>
      </w:r>
      <w:r w:rsidR="004D09FF">
        <w:rPr>
          <w:rFonts w:ascii="Palatino Linotype" w:hAnsi="Palatino Linotype" w:cs="Arial"/>
          <w:b/>
          <w:bCs/>
          <w:lang w:val="es-MX"/>
        </w:rPr>
        <w:t xml:space="preserve">- </w:t>
      </w:r>
      <w:r w:rsidR="004D09FF">
        <w:rPr>
          <w:rFonts w:ascii="Palatino Linotype" w:hAnsi="Palatino Linotype" w:cs="Arial"/>
          <w:lang w:val="es-MX"/>
        </w:rPr>
        <w:t>requerimiento</w:t>
      </w:r>
      <w:r w:rsidR="00B76EC1">
        <w:rPr>
          <w:rFonts w:ascii="Palatino Linotype" w:hAnsi="Palatino Linotype" w:cs="Arial"/>
          <w:lang w:val="es-MX"/>
        </w:rPr>
        <w:t>s</w:t>
      </w:r>
      <w:r w:rsidR="004D09FF">
        <w:rPr>
          <w:rFonts w:ascii="Palatino Linotype" w:hAnsi="Palatino Linotype" w:cs="Arial"/>
          <w:lang w:val="es-MX"/>
        </w:rPr>
        <w:t xml:space="preserve"> (</w:t>
      </w:r>
      <w:r w:rsidR="00D67F43">
        <w:rPr>
          <w:rFonts w:ascii="Palatino Linotype" w:hAnsi="Palatino Linotype" w:cs="Arial"/>
          <w:lang w:val="es-MX"/>
        </w:rPr>
        <w:t xml:space="preserve">cada uno de ellos </w:t>
      </w:r>
      <w:r w:rsidR="004D09FF">
        <w:rPr>
          <w:rFonts w:ascii="Palatino Linotype" w:hAnsi="Palatino Linotype" w:cs="Arial"/>
          <w:lang w:val="es-MX"/>
        </w:rPr>
        <w:t xml:space="preserve">por duplicado), respecto </w:t>
      </w:r>
      <w:r w:rsidR="00B76EC1">
        <w:rPr>
          <w:rFonts w:ascii="Palatino Linotype" w:hAnsi="Palatino Linotype" w:cs="Arial"/>
          <w:lang w:val="es-MX"/>
        </w:rPr>
        <w:t>de los cuales no</w:t>
      </w:r>
      <w:r w:rsidR="004D09FF">
        <w:rPr>
          <w:rFonts w:ascii="Palatino Linotype" w:hAnsi="Palatino Linotype" w:cs="Arial"/>
          <w:lang w:val="es-MX"/>
        </w:rPr>
        <w:t xml:space="preserve"> fue señalado un parámetro de inicio y conclusión para efectos de búsqueda de la información, es decir, debe de ser fijado al dos de septiembre de dos veinticuatro, al corresponder a la fecha en que se ejerció la multicitada prerrogativa constitucional.  </w:t>
      </w:r>
      <w:r w:rsidRPr="006C0923">
        <w:rPr>
          <w:rFonts w:ascii="Palatino Linotype" w:hAnsi="Palatino Linotype" w:cs="Arial"/>
          <w:lang w:val="es-MX"/>
        </w:rPr>
        <w:t xml:space="preserve"> </w:t>
      </w:r>
    </w:p>
    <w:p w14:paraId="0DD650C3" w14:textId="77777777" w:rsidR="004D09FF" w:rsidRPr="003A665D" w:rsidRDefault="004D09FF" w:rsidP="003D19C8">
      <w:pPr>
        <w:pStyle w:val="Prrafodelista"/>
        <w:numPr>
          <w:ilvl w:val="0"/>
          <w:numId w:val="2"/>
        </w:numPr>
        <w:autoSpaceDE w:val="0"/>
        <w:autoSpaceDN w:val="0"/>
        <w:adjustRightInd w:val="0"/>
        <w:spacing w:before="240" w:line="360" w:lineRule="auto"/>
        <w:jc w:val="both"/>
        <w:rPr>
          <w:rFonts w:ascii="Palatino Linotype" w:hAnsi="Palatino Linotype"/>
        </w:rPr>
      </w:pPr>
      <w:r w:rsidRPr="003A665D">
        <w:rPr>
          <w:rFonts w:ascii="Palatino Linotype" w:hAnsi="Palatino Linotype" w:cs="Arial"/>
          <w:lang w:val="es-MX"/>
        </w:rPr>
        <w:lastRenderedPageBreak/>
        <w:t xml:space="preserve">Por otra parte, </w:t>
      </w:r>
      <w:r w:rsidRPr="003A665D">
        <w:rPr>
          <w:rFonts w:ascii="Palatino Linotype" w:hAnsi="Palatino Linotype" w:cs="Arial"/>
        </w:rPr>
        <w:t xml:space="preserve">resulta oportuno destacar que cuando los particulares no identifican de forma precisa el documento requerido, bastará con que </w:t>
      </w:r>
      <w:r w:rsidRPr="003A665D">
        <w:rPr>
          <w:rFonts w:ascii="Palatino Linotype" w:hAnsi="Palatino Linotype"/>
        </w:rPr>
        <w:t xml:space="preserve">se remita cualquiera que refleje la información requerida. Al respecto, cobra relevancia el criterio emitido por el Órgano Garante Nacional con número </w:t>
      </w:r>
      <w:r w:rsidRPr="003A665D">
        <w:rPr>
          <w:rFonts w:ascii="Palatino Linotype" w:hAnsi="Palatino Linotype"/>
          <w:b/>
          <w:bCs/>
        </w:rPr>
        <w:t xml:space="preserve">16/17 </w:t>
      </w:r>
      <w:r w:rsidRPr="003A665D">
        <w:rPr>
          <w:rFonts w:ascii="Palatino Linotype" w:hAnsi="Palatino Linotype"/>
        </w:rPr>
        <w:t>cuyo rubro y texto disponen a la literalidad lo siguiente:</w:t>
      </w:r>
    </w:p>
    <w:p w14:paraId="71E4FF89" w14:textId="77777777" w:rsidR="004D09FF" w:rsidRPr="00AB5B4A" w:rsidRDefault="004D09FF" w:rsidP="004D09FF">
      <w:pPr>
        <w:pStyle w:val="Citas"/>
        <w:jc w:val="center"/>
        <w:rPr>
          <w:b/>
          <w:bCs/>
          <w:sz w:val="24"/>
          <w:szCs w:val="24"/>
        </w:rPr>
      </w:pPr>
      <w:r w:rsidRPr="00AB5B4A">
        <w:rPr>
          <w:b/>
          <w:bCs/>
          <w:sz w:val="24"/>
          <w:szCs w:val="24"/>
        </w:rPr>
        <w:t>“EXPRESIÓN DOCUMENTAL.</w:t>
      </w:r>
    </w:p>
    <w:p w14:paraId="792C1B89" w14:textId="77777777" w:rsidR="004D09FF" w:rsidRPr="00AB5B4A" w:rsidRDefault="004D09FF" w:rsidP="004D09FF">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2C293ED9" w14:textId="77777777" w:rsidR="004D09FF" w:rsidRPr="00AB5B4A" w:rsidRDefault="004D09FF" w:rsidP="004D09FF">
      <w:pPr>
        <w:pStyle w:val="Citas"/>
        <w:rPr>
          <w:b/>
        </w:rPr>
      </w:pPr>
      <w:r w:rsidRPr="00AB5B4A">
        <w:rPr>
          <w:b/>
        </w:rPr>
        <w:t>Precedentes:</w:t>
      </w:r>
    </w:p>
    <w:p w14:paraId="455CC9D9" w14:textId="77777777" w:rsidR="004D09FF" w:rsidRPr="00AB5B4A" w:rsidRDefault="004D09FF" w:rsidP="003D19C8">
      <w:pPr>
        <w:pStyle w:val="Citas"/>
        <w:numPr>
          <w:ilvl w:val="0"/>
          <w:numId w:val="1"/>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13B85A75" w14:textId="77777777" w:rsidR="004D09FF" w:rsidRPr="00AB5B4A" w:rsidRDefault="004D09FF" w:rsidP="003D19C8">
      <w:pPr>
        <w:pStyle w:val="Citas"/>
        <w:numPr>
          <w:ilvl w:val="0"/>
          <w:numId w:val="1"/>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2272FF11" w14:textId="77777777" w:rsidR="004D09FF" w:rsidRPr="00AB5B4A" w:rsidRDefault="004D09FF" w:rsidP="003D19C8">
      <w:pPr>
        <w:pStyle w:val="Citas"/>
        <w:numPr>
          <w:ilvl w:val="0"/>
          <w:numId w:val="1"/>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w:t>
      </w:r>
      <w:r w:rsidRPr="00AB5B4A">
        <w:lastRenderedPageBreak/>
        <w:t xml:space="preserve">Secretaría de Economía. Comisionado Ponente Francisco Javier Acuña Llamas. “ </w:t>
      </w:r>
      <w:r w:rsidRPr="00AB5B4A">
        <w:rPr>
          <w:b/>
          <w:bCs/>
        </w:rPr>
        <w:t>(Sic)</w:t>
      </w:r>
    </w:p>
    <w:p w14:paraId="69D6A0FC" w14:textId="77777777" w:rsidR="004D09FF" w:rsidRDefault="004D09FF" w:rsidP="004D09FF">
      <w:pPr>
        <w:autoSpaceDE w:val="0"/>
        <w:autoSpaceDN w:val="0"/>
        <w:adjustRightInd w:val="0"/>
        <w:spacing w:before="240" w:line="360" w:lineRule="auto"/>
        <w:jc w:val="both"/>
        <w:rPr>
          <w:rFonts w:ascii="Palatino Linotype" w:hAnsi="Palatino Linotype"/>
          <w:color w:val="000000"/>
        </w:rPr>
      </w:pPr>
    </w:p>
    <w:p w14:paraId="3D542A94" w14:textId="77777777" w:rsidR="004D09FF" w:rsidRPr="0051062B" w:rsidRDefault="004D09FF" w:rsidP="004D09FF">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60F243C2" w14:textId="77777777" w:rsidR="004D09FF" w:rsidRPr="0051062B" w:rsidRDefault="004D09FF" w:rsidP="004D09FF">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491E5B11" w14:textId="77777777" w:rsidR="004D09FF" w:rsidRPr="0051062B" w:rsidRDefault="004D09FF" w:rsidP="004D09FF">
      <w:pPr>
        <w:pStyle w:val="Citas"/>
        <w:rPr>
          <w:b/>
        </w:rPr>
      </w:pPr>
      <w:r w:rsidRPr="0051062B">
        <w:rPr>
          <w:b/>
        </w:rPr>
        <w:t xml:space="preserve">Artículo 181. … </w:t>
      </w:r>
    </w:p>
    <w:p w14:paraId="2C98831A" w14:textId="77777777" w:rsidR="004D09FF" w:rsidRDefault="004D09FF" w:rsidP="004D09FF">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158E3A53" w14:textId="77777777" w:rsidR="004D09FF" w:rsidRDefault="004D09FF" w:rsidP="004D09FF">
      <w:pPr>
        <w:spacing w:before="240" w:line="360" w:lineRule="auto"/>
        <w:jc w:val="both"/>
        <w:rPr>
          <w:rFonts w:ascii="Palatino Linotype" w:hAnsi="Palatino Linotype"/>
          <w:sz w:val="24"/>
          <w:szCs w:val="24"/>
        </w:rPr>
      </w:pPr>
    </w:p>
    <w:p w14:paraId="7F5A6EC7" w14:textId="7C6B364C" w:rsidR="004D09FF" w:rsidRDefault="004D09FF" w:rsidP="004D09F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3E59A5">
        <w:rPr>
          <w:rFonts w:ascii="Palatino Linotype" w:hAnsi="Palatino Linotype"/>
          <w:sz w:val="24"/>
          <w:szCs w:val="24"/>
        </w:rPr>
        <w:t>el</w:t>
      </w:r>
      <w:r>
        <w:rPr>
          <w:rFonts w:ascii="Palatino Linotype" w:hAnsi="Palatino Linotype"/>
          <w:sz w:val="24"/>
          <w:szCs w:val="24"/>
        </w:rPr>
        <w:t xml:space="preserve">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a través del </w:t>
      </w:r>
      <w:r>
        <w:rPr>
          <w:rFonts w:ascii="Palatino Linotype" w:hAnsi="Palatino Linotype"/>
          <w:b/>
          <w:bCs/>
          <w:sz w:val="24"/>
          <w:szCs w:val="24"/>
        </w:rPr>
        <w:t xml:space="preserve">SAIMEX, </w:t>
      </w:r>
      <w:r>
        <w:rPr>
          <w:rFonts w:ascii="Palatino Linotype" w:hAnsi="Palatino Linotype"/>
          <w:sz w:val="24"/>
          <w:szCs w:val="24"/>
        </w:rPr>
        <w:t>la siguiente información:</w:t>
      </w:r>
    </w:p>
    <w:p w14:paraId="65F54A66" w14:textId="0C1CA2CE" w:rsidR="000D1EB2" w:rsidRDefault="004D09FF" w:rsidP="003D19C8">
      <w:pPr>
        <w:pStyle w:val="Prrafodelista"/>
        <w:numPr>
          <w:ilvl w:val="0"/>
          <w:numId w:val="7"/>
        </w:numPr>
        <w:autoSpaceDE w:val="0"/>
        <w:autoSpaceDN w:val="0"/>
        <w:adjustRightInd w:val="0"/>
        <w:spacing w:before="240" w:line="360" w:lineRule="auto"/>
        <w:jc w:val="both"/>
        <w:rPr>
          <w:rFonts w:ascii="Palatino Linotype" w:hAnsi="Palatino Linotype"/>
          <w:color w:val="000000"/>
        </w:rPr>
      </w:pPr>
      <w:r>
        <w:rPr>
          <w:rFonts w:ascii="Palatino Linotype" w:hAnsi="Palatino Linotype"/>
          <w:color w:val="000000"/>
        </w:rPr>
        <w:t xml:space="preserve">El o los documentos donde </w:t>
      </w:r>
      <w:r w:rsidR="000D1EB2">
        <w:rPr>
          <w:rFonts w:ascii="Palatino Linotype" w:hAnsi="Palatino Linotype"/>
          <w:color w:val="000000"/>
        </w:rPr>
        <w:t>conste el listado de directores de todas las áreas, adscritos al dos de septiembre de dos mil veinticuatro.</w:t>
      </w:r>
    </w:p>
    <w:p w14:paraId="697031D3" w14:textId="23DE6C46" w:rsidR="004D09FF" w:rsidRPr="004D09FF" w:rsidRDefault="000D1EB2" w:rsidP="003D19C8">
      <w:pPr>
        <w:pStyle w:val="Prrafodelista"/>
        <w:numPr>
          <w:ilvl w:val="0"/>
          <w:numId w:val="7"/>
        </w:numPr>
        <w:autoSpaceDE w:val="0"/>
        <w:autoSpaceDN w:val="0"/>
        <w:adjustRightInd w:val="0"/>
        <w:spacing w:before="240" w:line="360" w:lineRule="auto"/>
        <w:jc w:val="both"/>
        <w:rPr>
          <w:rFonts w:ascii="Palatino Linotype" w:hAnsi="Palatino Linotype"/>
          <w:color w:val="000000"/>
        </w:rPr>
      </w:pPr>
      <w:r>
        <w:rPr>
          <w:rFonts w:ascii="Palatino Linotype" w:hAnsi="Palatino Linotype"/>
          <w:color w:val="000000"/>
        </w:rPr>
        <w:lastRenderedPageBreak/>
        <w:t xml:space="preserve">El o los documentos donde conste el cumplimiento de requisitos respecto de los directores de todas las áreas, adscritos al dos de septiembre de dos mil veinticuatro.  </w:t>
      </w:r>
      <w:r w:rsidR="004D09FF">
        <w:rPr>
          <w:rFonts w:ascii="Palatino Linotype" w:hAnsi="Palatino Linotype"/>
          <w:color w:val="000000"/>
        </w:rPr>
        <w:t xml:space="preserve"> </w:t>
      </w:r>
    </w:p>
    <w:p w14:paraId="5B1A23E9" w14:textId="77777777" w:rsidR="000D1EB2" w:rsidRDefault="000D1EB2" w:rsidP="00C716A0">
      <w:pPr>
        <w:spacing w:after="0" w:line="360" w:lineRule="auto"/>
        <w:jc w:val="both"/>
        <w:rPr>
          <w:rFonts w:ascii="Palatino Linotype" w:hAnsi="Palatino Linotype" w:cs="Arial"/>
          <w:sz w:val="24"/>
          <w:szCs w:val="24"/>
        </w:rPr>
      </w:pPr>
      <w:bookmarkStart w:id="2" w:name="_Hlk152065703"/>
    </w:p>
    <w:p w14:paraId="17E79B24" w14:textId="26EC8795" w:rsidR="00C716A0" w:rsidRDefault="00C716A0" w:rsidP="00C716A0">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B378407" w14:textId="77777777" w:rsidR="00C716A0" w:rsidRPr="009535E0" w:rsidRDefault="00C716A0" w:rsidP="00C716A0">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0BD0D31E" w14:textId="77777777" w:rsidR="00C716A0" w:rsidRPr="009535E0" w:rsidRDefault="00C716A0" w:rsidP="00C716A0">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5E7A3E6C" w14:textId="77777777" w:rsidR="00C716A0" w:rsidRPr="009535E0" w:rsidRDefault="00C716A0" w:rsidP="00C716A0">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B9ABD9" w14:textId="77777777" w:rsidR="00C716A0" w:rsidRDefault="00C716A0" w:rsidP="00C716A0">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8026BE9" w14:textId="77777777" w:rsidR="00C716A0" w:rsidRDefault="00C716A0" w:rsidP="00C716A0">
      <w:pPr>
        <w:pStyle w:val="INFOEM"/>
        <w:rPr>
          <w:b/>
        </w:rPr>
      </w:pPr>
      <w:r>
        <w:lastRenderedPageBreak/>
        <w:t xml:space="preserve"> (…)” </w:t>
      </w:r>
      <w:r>
        <w:rPr>
          <w:b/>
        </w:rPr>
        <w:t xml:space="preserve">[Sic] </w:t>
      </w:r>
    </w:p>
    <w:p w14:paraId="0FF2BFCF" w14:textId="77777777" w:rsidR="00C716A0" w:rsidRDefault="00C716A0" w:rsidP="00C716A0">
      <w:pPr>
        <w:spacing w:before="240" w:line="360" w:lineRule="auto"/>
        <w:jc w:val="both"/>
        <w:rPr>
          <w:rFonts w:ascii="Palatino Linotype" w:hAnsi="Palatino Linotype"/>
          <w:sz w:val="24"/>
          <w:szCs w:val="24"/>
        </w:rPr>
      </w:pPr>
    </w:p>
    <w:p w14:paraId="2F9671A0" w14:textId="04F12D73" w:rsidR="0040360C" w:rsidRDefault="00275AF9" w:rsidP="00C716A0">
      <w:pPr>
        <w:pStyle w:val="CitasINFOEM"/>
        <w:ind w:left="0"/>
        <w:rPr>
          <w:i w:val="0"/>
          <w:iCs/>
          <w:sz w:val="24"/>
        </w:rPr>
      </w:pPr>
      <w:r>
        <w:rPr>
          <w:i w:val="0"/>
          <w:iCs/>
          <w:noProof/>
          <w:sz w:val="24"/>
          <w:lang w:eastAsia="es-MX"/>
        </w:rPr>
        <w:drawing>
          <wp:anchor distT="0" distB="0" distL="114300" distR="114300" simplePos="0" relativeHeight="251658239" behindDoc="0" locked="0" layoutInCell="1" allowOverlap="1" wp14:anchorId="23AF46B2" wp14:editId="34FC9315">
            <wp:simplePos x="0" y="0"/>
            <wp:positionH relativeFrom="page">
              <wp:align>center</wp:align>
            </wp:positionH>
            <wp:positionV relativeFrom="paragraph">
              <wp:posOffset>706267</wp:posOffset>
            </wp:positionV>
            <wp:extent cx="5756275" cy="3502025"/>
            <wp:effectExtent l="19050" t="19050" r="15875" b="22225"/>
            <wp:wrapThrough wrapText="bothSides">
              <wp:wrapPolygon edited="0">
                <wp:start x="-71" y="-117"/>
                <wp:lineTo x="-71" y="21620"/>
                <wp:lineTo x="21588" y="21620"/>
                <wp:lineTo x="21588" y="-117"/>
                <wp:lineTo x="-71" y="-117"/>
              </wp:wrapPolygon>
            </wp:wrapThrough>
            <wp:docPr id="9045699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387" cy="350379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716A0" w:rsidRPr="00C716A0">
        <w:rPr>
          <w:i w:val="0"/>
          <w:iCs/>
          <w:sz w:val="24"/>
        </w:rPr>
        <w:t>Sirven de sustento las siguientes imágenes ilustrativas</w:t>
      </w:r>
      <w:r w:rsidR="00C716A0">
        <w:rPr>
          <w:i w:val="0"/>
          <w:iCs/>
          <w:sz w:val="24"/>
        </w:rPr>
        <w:t xml:space="preserve">: </w:t>
      </w:r>
    </w:p>
    <w:p w14:paraId="5965E9E2" w14:textId="16357566" w:rsidR="00C716A0" w:rsidRDefault="00275AF9" w:rsidP="00C716A0">
      <w:pPr>
        <w:pStyle w:val="CitasINFOEM"/>
        <w:ind w:left="0"/>
        <w:rPr>
          <w:i w:val="0"/>
          <w:iCs/>
          <w:sz w:val="24"/>
        </w:rPr>
      </w:pPr>
      <w:r>
        <w:rPr>
          <w:i w:val="0"/>
          <w:iCs/>
          <w:noProof/>
          <w:sz w:val="24"/>
          <w:lang w:eastAsia="es-MX"/>
        </w:rPr>
        <w:drawing>
          <wp:anchor distT="0" distB="0" distL="114300" distR="114300" simplePos="0" relativeHeight="251667456" behindDoc="0" locked="0" layoutInCell="1" allowOverlap="1" wp14:anchorId="0724F593" wp14:editId="65E8221D">
            <wp:simplePos x="0" y="0"/>
            <wp:positionH relativeFrom="page">
              <wp:align>center</wp:align>
            </wp:positionH>
            <wp:positionV relativeFrom="paragraph">
              <wp:posOffset>3894211</wp:posOffset>
            </wp:positionV>
            <wp:extent cx="2423160" cy="1059180"/>
            <wp:effectExtent l="19050" t="19050" r="15240" b="26670"/>
            <wp:wrapThrough wrapText="bothSides">
              <wp:wrapPolygon edited="0">
                <wp:start x="-170" y="-388"/>
                <wp:lineTo x="-170" y="21755"/>
                <wp:lineTo x="21566" y="21755"/>
                <wp:lineTo x="21566" y="-388"/>
                <wp:lineTo x="-170" y="-388"/>
              </wp:wrapPolygon>
            </wp:wrapThrough>
            <wp:docPr id="10629276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10591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EB2C2DB" w14:textId="2931FB00" w:rsidR="00C716A0" w:rsidRDefault="00C716A0" w:rsidP="00C716A0">
      <w:pPr>
        <w:pStyle w:val="CitasINFOEM"/>
        <w:ind w:left="0"/>
        <w:rPr>
          <w:i w:val="0"/>
          <w:iCs/>
          <w:sz w:val="24"/>
        </w:rPr>
      </w:pPr>
    </w:p>
    <w:p w14:paraId="7B1B51DC" w14:textId="3A3ECC6E" w:rsidR="00C716A0" w:rsidRDefault="00C716A0" w:rsidP="00C716A0">
      <w:pPr>
        <w:pStyle w:val="CitasINFOEM"/>
        <w:ind w:left="0"/>
        <w:rPr>
          <w:i w:val="0"/>
          <w:iCs/>
          <w:sz w:val="24"/>
        </w:rPr>
      </w:pPr>
    </w:p>
    <w:p w14:paraId="42AF9331" w14:textId="26B95BC8" w:rsidR="00275AF9" w:rsidRPr="007F53B7" w:rsidRDefault="00275AF9" w:rsidP="00275AF9">
      <w:pPr>
        <w:spacing w:after="0" w:line="360" w:lineRule="auto"/>
        <w:jc w:val="both"/>
        <w:rPr>
          <w:rFonts w:ascii="Palatino Linotype" w:hAnsi="Palatino Linotype"/>
          <w:sz w:val="24"/>
          <w:szCs w:val="24"/>
        </w:rPr>
      </w:pPr>
      <w:r w:rsidRPr="007F53B7">
        <w:rPr>
          <w:rFonts w:ascii="Palatino Linotype" w:hAnsi="Palatino Linotype"/>
          <w:sz w:val="24"/>
          <w:szCs w:val="24"/>
        </w:rPr>
        <w:t xml:space="preserve">De lo expuesto con anterioridad, se desprende que </w:t>
      </w:r>
      <w:r w:rsidRPr="007F53B7">
        <w:rPr>
          <w:rFonts w:ascii="Palatino Linotype" w:hAnsi="Palatino Linotype"/>
          <w:b/>
          <w:bCs/>
          <w:sz w:val="24"/>
          <w:szCs w:val="24"/>
        </w:rPr>
        <w:t xml:space="preserve">El Sujeto Obligado </w:t>
      </w:r>
      <w:r w:rsidRPr="007F53B7">
        <w:rPr>
          <w:rFonts w:ascii="Palatino Linotype" w:hAnsi="Palatino Linotype"/>
          <w:sz w:val="24"/>
          <w:szCs w:val="24"/>
        </w:rPr>
        <w:t xml:space="preserve">se auxilia de diversas Direcciones, Subdirecciones, Departamentos, Unidades Administrativas y </w:t>
      </w:r>
      <w:r w:rsidRPr="007F53B7">
        <w:rPr>
          <w:rFonts w:ascii="Palatino Linotype" w:hAnsi="Palatino Linotype"/>
          <w:sz w:val="24"/>
          <w:szCs w:val="24"/>
        </w:rPr>
        <w:lastRenderedPageBreak/>
        <w:t xml:space="preserve">Órganos Descentralizados para cumplir con sus fines y objetivos, resultando competente la dirección de administración. </w:t>
      </w:r>
    </w:p>
    <w:p w14:paraId="16DB1782" w14:textId="77777777" w:rsidR="00275AF9" w:rsidRDefault="00275AF9" w:rsidP="00275AF9">
      <w:pPr>
        <w:spacing w:after="0" w:line="360" w:lineRule="auto"/>
        <w:jc w:val="both"/>
        <w:rPr>
          <w:rFonts w:ascii="Palatino Linotype" w:hAnsi="Palatino Linotype"/>
          <w:sz w:val="24"/>
          <w:szCs w:val="24"/>
        </w:rPr>
      </w:pPr>
    </w:p>
    <w:p w14:paraId="01288CF4" w14:textId="4EF23FF5" w:rsidR="0015308E" w:rsidRDefault="007F53B7" w:rsidP="001128AF">
      <w:pPr>
        <w:spacing w:after="0" w:line="360" w:lineRule="auto"/>
        <w:jc w:val="both"/>
      </w:pPr>
      <w:r w:rsidRPr="00B71087">
        <w:rPr>
          <w:rFonts w:ascii="Palatino Linotype" w:hAnsi="Palatino Linotype" w:cs="Arial"/>
          <w:sz w:val="24"/>
          <w:szCs w:val="24"/>
        </w:rPr>
        <w:t xml:space="preserve">De forma complementaria, a efecto de ilustrar la esfera competencial de </w:t>
      </w:r>
      <w:r>
        <w:rPr>
          <w:rFonts w:ascii="Palatino Linotype" w:hAnsi="Palatino Linotype" w:cs="Arial"/>
          <w:sz w:val="24"/>
          <w:szCs w:val="24"/>
        </w:rPr>
        <w:t xml:space="preserve">la unidad administrativa en cita, resulta oportuno traer a colación </w:t>
      </w:r>
      <w:r w:rsidR="00790C2D">
        <w:rPr>
          <w:rFonts w:ascii="Palatino Linotype" w:hAnsi="Palatino Linotype" w:cs="Arial"/>
          <w:sz w:val="24"/>
          <w:szCs w:val="24"/>
        </w:rPr>
        <w:t>el apartado VIII “Objetivo y funciones por unidad administrativa” del Manual de organización de la Dirección de Administración</w:t>
      </w:r>
      <w:r w:rsidR="00B76EC1">
        <w:rPr>
          <w:rFonts w:ascii="Palatino Linotype" w:hAnsi="Palatino Linotype" w:cs="Arial"/>
          <w:sz w:val="24"/>
          <w:szCs w:val="24"/>
        </w:rPr>
        <w:t>;</w:t>
      </w:r>
      <w:r w:rsidR="00790C2D">
        <w:rPr>
          <w:rFonts w:ascii="Palatino Linotype" w:hAnsi="Palatino Linotype" w:cs="Arial"/>
          <w:sz w:val="24"/>
          <w:szCs w:val="24"/>
        </w:rPr>
        <w:t xml:space="preserve"> </w:t>
      </w:r>
      <w:r w:rsidR="00B76EC1">
        <w:rPr>
          <w:rFonts w:ascii="Palatino Linotype" w:hAnsi="Palatino Linotype" w:cs="Arial"/>
          <w:sz w:val="24"/>
          <w:szCs w:val="24"/>
        </w:rPr>
        <w:t>los numerales</w:t>
      </w:r>
      <w:r w:rsidR="001128AF">
        <w:rPr>
          <w:rFonts w:ascii="Palatino Linotype" w:hAnsi="Palatino Linotype" w:cs="Arial"/>
          <w:sz w:val="24"/>
          <w:szCs w:val="24"/>
        </w:rPr>
        <w:t xml:space="preserve"> 47 y 98 de la Ley del trabajo de los servidores públicos del Estado y Municipios</w:t>
      </w:r>
      <w:r w:rsidR="00CC4341">
        <w:rPr>
          <w:rFonts w:ascii="Palatino Linotype" w:hAnsi="Palatino Linotype" w:cs="Arial"/>
          <w:sz w:val="24"/>
          <w:szCs w:val="24"/>
        </w:rPr>
        <w:t xml:space="preserve">; así como el artículo 44 del Bando municipal de </w:t>
      </w:r>
      <w:proofErr w:type="spellStart"/>
      <w:r w:rsidR="00D67F43">
        <w:rPr>
          <w:rFonts w:ascii="Palatino Linotype" w:hAnsi="Palatino Linotype" w:cs="Arial"/>
          <w:sz w:val="24"/>
          <w:szCs w:val="24"/>
        </w:rPr>
        <w:t>Temamatla</w:t>
      </w:r>
      <w:proofErr w:type="spellEnd"/>
      <w:r w:rsidR="00D67F43">
        <w:rPr>
          <w:rFonts w:ascii="Palatino Linotype" w:hAnsi="Palatino Linotype" w:cs="Arial"/>
          <w:sz w:val="24"/>
          <w:szCs w:val="24"/>
        </w:rPr>
        <w:t>, porciones</w:t>
      </w:r>
      <w:r w:rsidR="001128AF">
        <w:rPr>
          <w:rFonts w:ascii="Palatino Linotype" w:hAnsi="Palatino Linotype" w:cs="Arial"/>
          <w:sz w:val="24"/>
          <w:szCs w:val="24"/>
        </w:rPr>
        <w:t xml:space="preserve"> normativas que disponen a la literalidad lo siguiente: </w:t>
      </w:r>
    </w:p>
    <w:p w14:paraId="17103E48" w14:textId="217AECD1" w:rsidR="0015308E" w:rsidRPr="00790C2D" w:rsidRDefault="00790C2D" w:rsidP="00790C2D">
      <w:pPr>
        <w:pStyle w:val="Citas"/>
        <w:jc w:val="center"/>
        <w:rPr>
          <w:b/>
          <w:bCs/>
          <w:i w:val="0"/>
          <w:iCs/>
        </w:rPr>
      </w:pPr>
      <w:r w:rsidRPr="00790C2D">
        <w:rPr>
          <w:b/>
          <w:bCs/>
          <w:i w:val="0"/>
          <w:iCs/>
        </w:rPr>
        <w:t>MANUAL DE ORGANIZACIÓN DE LA DIRECCIÓN DE ADMINISTRACIÓN</w:t>
      </w:r>
    </w:p>
    <w:p w14:paraId="4732CE43" w14:textId="466F286B" w:rsidR="007F53B7" w:rsidRDefault="00790C2D" w:rsidP="00790C2D">
      <w:pPr>
        <w:pStyle w:val="Citas"/>
      </w:pPr>
      <w:r>
        <w:t>“</w:t>
      </w:r>
      <w:r w:rsidR="0015308E">
        <w:t>VIII. “OBJETIVO Y FUNCIONES POR UNIDAD ADMINISTRATIVA</w:t>
      </w:r>
    </w:p>
    <w:p w14:paraId="03539579" w14:textId="7DE10886" w:rsidR="007F53B7" w:rsidRDefault="007F53B7" w:rsidP="00790C2D">
      <w:pPr>
        <w:pStyle w:val="Citas"/>
      </w:pPr>
      <w:r>
        <w:t>Dirección de administración</w:t>
      </w:r>
    </w:p>
    <w:p w14:paraId="32FDD1E5" w14:textId="2866EA3B" w:rsidR="007F53B7" w:rsidRDefault="007F53B7" w:rsidP="00790C2D">
      <w:pPr>
        <w:pStyle w:val="Citas"/>
      </w:pPr>
      <w:r>
        <w:t>Objetivo:</w:t>
      </w:r>
    </w:p>
    <w:p w14:paraId="259C1147" w14:textId="73DAEC89" w:rsidR="007F53B7" w:rsidRDefault="007F53B7" w:rsidP="00790C2D">
      <w:pPr>
        <w:pStyle w:val="Citas"/>
      </w:pPr>
      <w:r>
        <w:t>Planear, organizar, dirigir y controlar la adquisición, eventos, el suministro de materiales e informáticos</w:t>
      </w:r>
      <w:r w:rsidR="0015308E">
        <w:t>, así como la presentación de servicios requeridos por las áreas administrativas del Ayuntamiento para el cumplimiento de sus funciones y programas institucionales, basándonos en el marco jurídico ya establecido, dando seguimiento al control de asistencia de los servidores públicos, así como las incapacidades, faltas y justificantes para el mejoramiento laboral.</w:t>
      </w:r>
    </w:p>
    <w:p w14:paraId="1AD74139" w14:textId="77777777" w:rsidR="0015308E" w:rsidRDefault="0015308E" w:rsidP="00790C2D">
      <w:pPr>
        <w:pStyle w:val="Citas"/>
      </w:pPr>
    </w:p>
    <w:p w14:paraId="1AC414C9" w14:textId="374764CC" w:rsidR="0015308E" w:rsidRDefault="0015308E" w:rsidP="00790C2D">
      <w:pPr>
        <w:pStyle w:val="Citas"/>
      </w:pPr>
      <w:r>
        <w:lastRenderedPageBreak/>
        <w:t>FUNCIONES:</w:t>
      </w:r>
    </w:p>
    <w:p w14:paraId="535D3899" w14:textId="3F230155" w:rsidR="0015308E" w:rsidRDefault="0015308E" w:rsidP="00790C2D">
      <w:pPr>
        <w:pStyle w:val="Citas"/>
      </w:pPr>
      <w:r>
        <w:t>(…)</w:t>
      </w:r>
    </w:p>
    <w:p w14:paraId="6B047397" w14:textId="089F40B1" w:rsidR="0015308E" w:rsidRDefault="0015308E" w:rsidP="00790C2D">
      <w:pPr>
        <w:pStyle w:val="Citas"/>
      </w:pPr>
      <w:r>
        <w:t>Integrar y mantener actualizada la información estadística sobre las adquisiciones, apoyos, patrimonio y demás aspectos de su competencia; y</w:t>
      </w:r>
    </w:p>
    <w:p w14:paraId="654E74C0" w14:textId="00A5FD88" w:rsidR="0015308E" w:rsidRDefault="0015308E" w:rsidP="00790C2D">
      <w:pPr>
        <w:pStyle w:val="Citas"/>
      </w:pPr>
      <w:r>
        <w:t>Las demás que le confieran a este manual y otros ordenamientos legales aplicables.</w:t>
      </w:r>
    </w:p>
    <w:p w14:paraId="31E58627" w14:textId="25D90871" w:rsidR="0015308E" w:rsidRDefault="0015308E" w:rsidP="00790C2D">
      <w:pPr>
        <w:pStyle w:val="Citas"/>
      </w:pPr>
      <w:r>
        <w:t>Coordinar con la Tesorería Municipal, la distribución oportuna de la nómina para el pago al personal que labora en la Administración, apegándose a la normatividad en la materia y al presupuesto autorizado.</w:t>
      </w:r>
    </w:p>
    <w:p w14:paraId="48AFC724" w14:textId="22E05E7D" w:rsidR="0015308E" w:rsidRDefault="0015308E" w:rsidP="00790C2D">
      <w:pPr>
        <w:pStyle w:val="Citas"/>
        <w:rPr>
          <w:b/>
          <w:bCs/>
          <w:u w:val="single"/>
        </w:rPr>
      </w:pPr>
      <w:r w:rsidRPr="0015308E">
        <w:rPr>
          <w:b/>
          <w:bCs/>
          <w:u w:val="single"/>
        </w:rPr>
        <w:t>Recibir, revisar, integrar, analizar y canalizar la documentación recibida, para el debido control y trámite.</w:t>
      </w:r>
    </w:p>
    <w:p w14:paraId="4D54ADE8" w14:textId="7BD4E056" w:rsidR="0015308E" w:rsidRDefault="0015308E" w:rsidP="00790C2D">
      <w:pPr>
        <w:pStyle w:val="Citas"/>
      </w:pPr>
      <w:r>
        <w:t>Efectuar los trabajos de logística para la realización de cada uno de los eventos de las distintas dependencias y entidades del Ayuntamiento</w:t>
      </w:r>
    </w:p>
    <w:p w14:paraId="4D28D044" w14:textId="071BDD06" w:rsidR="0015308E" w:rsidRDefault="0015308E" w:rsidP="00790C2D">
      <w:pPr>
        <w:pStyle w:val="Citas"/>
        <w:rPr>
          <w:b/>
          <w:bCs/>
        </w:rPr>
      </w:pPr>
      <w:r>
        <w:t xml:space="preserve">(…)” </w:t>
      </w:r>
      <w:r>
        <w:rPr>
          <w:b/>
          <w:bCs/>
        </w:rPr>
        <w:t>(Sic)</w:t>
      </w:r>
    </w:p>
    <w:p w14:paraId="7F124A79" w14:textId="77777777" w:rsidR="0015308E" w:rsidRDefault="0015308E" w:rsidP="00275AF9">
      <w:pPr>
        <w:spacing w:after="0" w:line="360" w:lineRule="auto"/>
        <w:jc w:val="both"/>
        <w:rPr>
          <w:rFonts w:ascii="Palatino Linotype" w:hAnsi="Palatino Linotype" w:cs="Arial"/>
          <w:b/>
          <w:bCs/>
          <w:sz w:val="24"/>
          <w:szCs w:val="24"/>
        </w:rPr>
      </w:pPr>
    </w:p>
    <w:p w14:paraId="4EF44BD8" w14:textId="3E8C7DA9" w:rsidR="007F53B7" w:rsidRPr="001128AF" w:rsidRDefault="007F53B7" w:rsidP="00D67F43">
      <w:pPr>
        <w:pStyle w:val="Citas"/>
        <w:jc w:val="center"/>
        <w:rPr>
          <w:b/>
          <w:bCs/>
          <w:i w:val="0"/>
          <w:iCs/>
        </w:rPr>
      </w:pPr>
      <w:r w:rsidRPr="001128AF">
        <w:rPr>
          <w:b/>
          <w:bCs/>
          <w:i w:val="0"/>
          <w:iCs/>
        </w:rPr>
        <w:t>LEY DEL TRABAJO DE LOS SERVIDORES PÚBLICOS DEL ESTADO Y MUNICIPIOS</w:t>
      </w:r>
    </w:p>
    <w:p w14:paraId="0D0E8480" w14:textId="77777777" w:rsidR="007F53B7" w:rsidRDefault="007F53B7" w:rsidP="007F53B7">
      <w:pPr>
        <w:pStyle w:val="Citas"/>
      </w:pPr>
      <w:r>
        <w:t xml:space="preserve">“ARTÍCULO 47. Para ingresar al servicio público se requiere: </w:t>
      </w:r>
    </w:p>
    <w:p w14:paraId="00FDCC9D" w14:textId="77777777" w:rsidR="007F53B7" w:rsidRDefault="007F53B7" w:rsidP="007F53B7">
      <w:pPr>
        <w:pStyle w:val="Citas"/>
      </w:pPr>
      <w:r>
        <w:t xml:space="preserve">I. Presentar una solicitud utilizando la forma oficial que se autorice por la institución pública o dependencia correspondiente; </w:t>
      </w:r>
    </w:p>
    <w:p w14:paraId="239F59A9" w14:textId="77777777" w:rsidR="007F53B7" w:rsidRDefault="007F53B7" w:rsidP="007F53B7">
      <w:pPr>
        <w:pStyle w:val="Citas"/>
      </w:pPr>
      <w:r>
        <w:lastRenderedPageBreak/>
        <w:t>II. Ser de nacionalidad mexicana, con la excepción prevista en el artículo 17 de la presente ley;</w:t>
      </w:r>
    </w:p>
    <w:p w14:paraId="333F6BD5" w14:textId="77777777" w:rsidR="007F53B7" w:rsidRDefault="007F53B7" w:rsidP="007F53B7">
      <w:pPr>
        <w:pStyle w:val="Citas"/>
      </w:pPr>
      <w:r>
        <w:t xml:space="preserve"> III. Estar en pleno ejercicio de sus derechos civiles y políticos, en su caso; </w:t>
      </w:r>
    </w:p>
    <w:p w14:paraId="23189BA4" w14:textId="77777777" w:rsidR="007F53B7" w:rsidRDefault="007F53B7" w:rsidP="007F53B7">
      <w:pPr>
        <w:pStyle w:val="Citas"/>
      </w:pPr>
      <w:r>
        <w:t xml:space="preserve">IV. Acreditar, cuando proceda, el cumplimiento de la Ley del Servicio Militar Nacional; </w:t>
      </w:r>
    </w:p>
    <w:p w14:paraId="0217A8D4" w14:textId="77777777" w:rsidR="007F53B7" w:rsidRPr="00D67F43" w:rsidRDefault="007F53B7" w:rsidP="007F53B7">
      <w:pPr>
        <w:pStyle w:val="Citas"/>
      </w:pPr>
      <w:r w:rsidRPr="00D67F43">
        <w:t xml:space="preserve">V. Derogada; </w:t>
      </w:r>
    </w:p>
    <w:p w14:paraId="60B4785C" w14:textId="77777777" w:rsidR="007F53B7" w:rsidRDefault="007F53B7" w:rsidP="007F53B7">
      <w:pPr>
        <w:pStyle w:val="Citas"/>
      </w:pPr>
      <w:r>
        <w:t xml:space="preserve">VI. No haber sido separado anteriormente del servicio por las causas previstas en el artículo 93 de la presente ley; </w:t>
      </w:r>
    </w:p>
    <w:p w14:paraId="067A517C" w14:textId="77777777" w:rsidR="007F53B7" w:rsidRDefault="007F53B7" w:rsidP="007F53B7">
      <w:pPr>
        <w:pStyle w:val="Citas"/>
      </w:pPr>
      <w:r>
        <w:t xml:space="preserve">VII. Tener buena salud, lo que se comprobará con los certificados médicos correspondientes, en la forma en que se establezca en cada institución pública; </w:t>
      </w:r>
    </w:p>
    <w:p w14:paraId="1D94ABA2" w14:textId="77777777" w:rsidR="007F53B7" w:rsidRDefault="007F53B7" w:rsidP="007F53B7">
      <w:pPr>
        <w:pStyle w:val="Citas"/>
      </w:pPr>
      <w:r>
        <w:t xml:space="preserve">VIII. Cumplir con los requisitos que se establezcan para los diferentes puestos; </w:t>
      </w:r>
    </w:p>
    <w:p w14:paraId="6B89386C" w14:textId="77777777" w:rsidR="007F53B7" w:rsidRDefault="007F53B7" w:rsidP="007F53B7">
      <w:pPr>
        <w:pStyle w:val="Citas"/>
      </w:pPr>
      <w:r>
        <w:t xml:space="preserve">IX. Acreditar por medio de los exámenes correspondientes los conocimientos y aptitudes necesarios para el desempeño del puesto; y </w:t>
      </w:r>
    </w:p>
    <w:p w14:paraId="0A466785" w14:textId="77777777" w:rsidR="007F53B7" w:rsidRDefault="007F53B7" w:rsidP="007F53B7">
      <w:pPr>
        <w:pStyle w:val="Citas"/>
      </w:pPr>
      <w:r>
        <w:t xml:space="preserve">X. No estar inhabilitado para el ejercicio del servicio público. </w:t>
      </w:r>
    </w:p>
    <w:p w14:paraId="49FE1C87" w14:textId="77777777" w:rsidR="007F53B7" w:rsidRDefault="007F53B7" w:rsidP="007F53B7">
      <w:pPr>
        <w:pStyle w:val="Citas"/>
      </w:pPr>
      <w:r>
        <w:t>XI. Presentar certificado expedido por la Unidad del Registro de Deudores Alimentarios Morosos en el que conste, si se encuentra inscrito o no en el mismo.</w:t>
      </w:r>
    </w:p>
    <w:p w14:paraId="34993E43" w14:textId="77777777" w:rsidR="007F53B7" w:rsidRPr="0058505F" w:rsidRDefault="007F53B7" w:rsidP="007F53B7">
      <w:pPr>
        <w:pStyle w:val="Citas"/>
        <w:rPr>
          <w:b/>
          <w:bCs/>
        </w:rPr>
      </w:pPr>
      <w: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r>
        <w:rPr>
          <w:b/>
          <w:bCs/>
        </w:rPr>
        <w:t>(Sic)</w:t>
      </w:r>
    </w:p>
    <w:p w14:paraId="75F6544C" w14:textId="77777777" w:rsidR="007F53B7" w:rsidRDefault="007F53B7" w:rsidP="007F53B7">
      <w:pPr>
        <w:pStyle w:val="Citas"/>
      </w:pPr>
      <w:r>
        <w:lastRenderedPageBreak/>
        <w:t>ARTÍCULO 98. Son obligaciones de las instituciones públicas:</w:t>
      </w:r>
    </w:p>
    <w:p w14:paraId="060CDE26" w14:textId="77777777" w:rsidR="007F53B7" w:rsidRDefault="007F53B7" w:rsidP="007F53B7">
      <w:pPr>
        <w:pStyle w:val="Citas"/>
      </w:pPr>
      <w:r>
        <w:t>(…)</w:t>
      </w:r>
    </w:p>
    <w:p w14:paraId="36B31911" w14:textId="77777777" w:rsidR="007F53B7" w:rsidRPr="006969B5" w:rsidRDefault="007F53B7" w:rsidP="007F53B7">
      <w:pPr>
        <w:pStyle w:val="Citas"/>
        <w:rPr>
          <w:b/>
          <w:bCs/>
          <w:u w:val="single"/>
        </w:rPr>
      </w:pPr>
      <w:r w:rsidRPr="006969B5">
        <w:rPr>
          <w:b/>
          <w:bCs/>
          <w:u w:val="single"/>
        </w:rPr>
        <w:t>XVII. Integrar los expedientes de los servidores públicos y proporcionar las constancias que éstos soliciten para el trámite de los asuntos de su interés en los términos que señalen los ordenamientos respectivos</w:t>
      </w:r>
    </w:p>
    <w:p w14:paraId="0FD58309" w14:textId="77777777" w:rsidR="007F53B7" w:rsidRPr="0058505F" w:rsidRDefault="007F53B7" w:rsidP="007F53B7">
      <w:pPr>
        <w:pStyle w:val="Citas"/>
        <w:rPr>
          <w:b/>
          <w:bCs/>
        </w:rPr>
      </w:pPr>
      <w:r>
        <w:t xml:space="preserve">(…)” </w:t>
      </w:r>
      <w:r>
        <w:rPr>
          <w:b/>
          <w:bCs/>
        </w:rPr>
        <w:t>(Sic)</w:t>
      </w:r>
    </w:p>
    <w:p w14:paraId="0D10AC4A" w14:textId="77777777" w:rsidR="007F53B7" w:rsidRDefault="007F53B7" w:rsidP="007F53B7">
      <w:pPr>
        <w:autoSpaceDE w:val="0"/>
        <w:autoSpaceDN w:val="0"/>
        <w:adjustRightInd w:val="0"/>
        <w:spacing w:before="240" w:line="360" w:lineRule="auto"/>
        <w:jc w:val="both"/>
      </w:pPr>
    </w:p>
    <w:p w14:paraId="2DB753BB" w14:textId="64F61E96" w:rsidR="00CC4341" w:rsidRPr="00B76EC1" w:rsidRDefault="00B76EC1" w:rsidP="00B76EC1">
      <w:pPr>
        <w:pStyle w:val="Citas"/>
        <w:jc w:val="center"/>
        <w:rPr>
          <w:b/>
          <w:bCs/>
          <w:i w:val="0"/>
          <w:iCs/>
        </w:rPr>
      </w:pPr>
      <w:r w:rsidRPr="00B76EC1">
        <w:rPr>
          <w:b/>
          <w:bCs/>
          <w:i w:val="0"/>
          <w:iCs/>
        </w:rPr>
        <w:t>BANDO MUNICIPAL DE TEMAMATLA</w:t>
      </w:r>
    </w:p>
    <w:p w14:paraId="015402DE" w14:textId="77777777" w:rsidR="00B76EC1" w:rsidRDefault="00B76EC1" w:rsidP="00CC4341">
      <w:pPr>
        <w:pStyle w:val="Citas"/>
      </w:pPr>
      <w:r>
        <w:t>“</w:t>
      </w:r>
      <w:r w:rsidR="00CC4341" w:rsidRPr="00CC4341">
        <w:t>Artículo 44.- Para el despacho, estudio y planeación de los diversos asuntos de la Administración</w:t>
      </w:r>
      <w:r>
        <w:t xml:space="preserve"> </w:t>
      </w:r>
      <w:r w:rsidR="00CC4341" w:rsidRPr="00CC4341">
        <w:t xml:space="preserve">Pública Municipal centralizada del Ayuntamiento de </w:t>
      </w:r>
      <w:proofErr w:type="spellStart"/>
      <w:r w:rsidR="00CC4341" w:rsidRPr="00CC4341">
        <w:t>Temamatla</w:t>
      </w:r>
      <w:proofErr w:type="spellEnd"/>
      <w:r w:rsidR="00CC4341" w:rsidRPr="00CC4341">
        <w:t xml:space="preserve">, Estado de México contará con las siguientes Dependencias Administrativas Centralizadas: </w:t>
      </w:r>
    </w:p>
    <w:p w14:paraId="5C158685" w14:textId="77777777" w:rsidR="00B76EC1" w:rsidRDefault="00CC4341" w:rsidP="00CC4341">
      <w:pPr>
        <w:pStyle w:val="Citas"/>
      </w:pPr>
      <w:r w:rsidRPr="00CC4341">
        <w:t xml:space="preserve">I. Secretaría del Ayuntamiento; </w:t>
      </w:r>
    </w:p>
    <w:p w14:paraId="2D7021C3" w14:textId="77777777" w:rsidR="00B76EC1" w:rsidRDefault="00CC4341" w:rsidP="00CC4341">
      <w:pPr>
        <w:pStyle w:val="Citas"/>
      </w:pPr>
      <w:r w:rsidRPr="00CC4341">
        <w:t xml:space="preserve">II. Tesorería Municipal; </w:t>
      </w:r>
    </w:p>
    <w:p w14:paraId="499CB940" w14:textId="77777777" w:rsidR="00B76EC1" w:rsidRDefault="00CC4341" w:rsidP="00CC4341">
      <w:pPr>
        <w:pStyle w:val="Citas"/>
      </w:pPr>
      <w:r w:rsidRPr="00CC4341">
        <w:t xml:space="preserve">III. Dirección de Obra Pública, Desarrollo Urbano y Ecología; </w:t>
      </w:r>
    </w:p>
    <w:p w14:paraId="4CEAA5AF" w14:textId="77777777" w:rsidR="00B76EC1" w:rsidRDefault="00CC4341" w:rsidP="00CC4341">
      <w:pPr>
        <w:pStyle w:val="Citas"/>
      </w:pPr>
      <w:r w:rsidRPr="00CC4341">
        <w:t xml:space="preserve">IV. Dirección de Desarrollo Económico; </w:t>
      </w:r>
    </w:p>
    <w:p w14:paraId="01FED33C" w14:textId="77777777" w:rsidR="00B76EC1" w:rsidRDefault="00CC4341" w:rsidP="00CC4341">
      <w:pPr>
        <w:pStyle w:val="Citas"/>
      </w:pPr>
      <w:r w:rsidRPr="00CC4341">
        <w:t xml:space="preserve">V. Contraloría Interna Municipal; </w:t>
      </w:r>
    </w:p>
    <w:p w14:paraId="47B7E285" w14:textId="77777777" w:rsidR="00B76EC1" w:rsidRDefault="00CC4341" w:rsidP="00CC4341">
      <w:pPr>
        <w:pStyle w:val="Citas"/>
      </w:pPr>
      <w:r w:rsidRPr="00CC4341">
        <w:t xml:space="preserve">VI. Dirección de Servicios Públicos; </w:t>
      </w:r>
    </w:p>
    <w:p w14:paraId="04F9B248" w14:textId="77777777" w:rsidR="00B76EC1" w:rsidRDefault="00CC4341" w:rsidP="00CC4341">
      <w:pPr>
        <w:pStyle w:val="Citas"/>
      </w:pPr>
      <w:r w:rsidRPr="00CC4341">
        <w:t>VII. Dirección de Seguridad Pública Municipal;</w:t>
      </w:r>
      <w:r>
        <w:t xml:space="preserve"> </w:t>
      </w:r>
    </w:p>
    <w:p w14:paraId="7E5EBBC3" w14:textId="77777777" w:rsidR="00B76EC1" w:rsidRDefault="00CC4341" w:rsidP="00CC4341">
      <w:pPr>
        <w:pStyle w:val="Citas"/>
      </w:pPr>
      <w:r w:rsidRPr="00CC4341">
        <w:lastRenderedPageBreak/>
        <w:t>VIII. Dirección de Administración;</w:t>
      </w:r>
    </w:p>
    <w:p w14:paraId="68B01DBF" w14:textId="77777777" w:rsidR="00B76EC1" w:rsidRDefault="00CC4341" w:rsidP="00CC4341">
      <w:pPr>
        <w:pStyle w:val="Citas"/>
      </w:pPr>
      <w:r w:rsidRPr="00CC4341">
        <w:t xml:space="preserve"> IX. Dirección de Desarrollo Social; </w:t>
      </w:r>
    </w:p>
    <w:p w14:paraId="7C5356A9" w14:textId="77777777" w:rsidR="00B76EC1" w:rsidRDefault="00CC4341" w:rsidP="00CC4341">
      <w:pPr>
        <w:pStyle w:val="Citas"/>
      </w:pPr>
      <w:r w:rsidRPr="00CC4341">
        <w:t xml:space="preserve">X. Dirección de Educación y Cultura; </w:t>
      </w:r>
    </w:p>
    <w:p w14:paraId="75F55043" w14:textId="77777777" w:rsidR="00B76EC1" w:rsidRDefault="00CC4341" w:rsidP="00CC4341">
      <w:pPr>
        <w:pStyle w:val="Citas"/>
      </w:pPr>
      <w:r w:rsidRPr="00CC4341">
        <w:t xml:space="preserve">XI. Dirección Jurídica Municipal; </w:t>
      </w:r>
    </w:p>
    <w:p w14:paraId="43BCE574" w14:textId="77777777" w:rsidR="00B76EC1" w:rsidRDefault="00CC4341" w:rsidP="00CC4341">
      <w:pPr>
        <w:pStyle w:val="Citas"/>
      </w:pPr>
      <w:r w:rsidRPr="00CC4341">
        <w:t xml:space="preserve">XII. Dirección de Salud; </w:t>
      </w:r>
    </w:p>
    <w:p w14:paraId="7067D554" w14:textId="77777777" w:rsidR="00B76EC1" w:rsidRDefault="00CC4341" w:rsidP="00CC4341">
      <w:pPr>
        <w:pStyle w:val="Citas"/>
      </w:pPr>
      <w:r w:rsidRPr="00CC4341">
        <w:t xml:space="preserve">XIII. Oficialía Mediadora, Conciliadora y Calificadora; </w:t>
      </w:r>
    </w:p>
    <w:p w14:paraId="12B61415" w14:textId="77777777" w:rsidR="00B76EC1" w:rsidRDefault="00CC4341" w:rsidP="00CC4341">
      <w:pPr>
        <w:pStyle w:val="Citas"/>
      </w:pPr>
      <w:r w:rsidRPr="00CC4341">
        <w:t xml:space="preserve">XIV. Dirección General de Mejora Regulatoria e Información, Planeación, Programación, Evaluación; y </w:t>
      </w:r>
    </w:p>
    <w:p w14:paraId="542701F4" w14:textId="77777777" w:rsidR="00B76EC1" w:rsidRDefault="00CC4341" w:rsidP="00CC4341">
      <w:pPr>
        <w:pStyle w:val="Citas"/>
      </w:pPr>
      <w:r w:rsidRPr="00CC4341">
        <w:t xml:space="preserve">XV. Dirección de Protección Civil; </w:t>
      </w:r>
    </w:p>
    <w:p w14:paraId="707EBC18" w14:textId="77777777" w:rsidR="00B76EC1" w:rsidRDefault="00CC4341" w:rsidP="00CC4341">
      <w:pPr>
        <w:pStyle w:val="Citas"/>
      </w:pPr>
      <w:r w:rsidRPr="00CC4341">
        <w:t xml:space="preserve">XVI. Unidad Municipal de Transparencia y Acceso a la Información; </w:t>
      </w:r>
    </w:p>
    <w:p w14:paraId="0B213102" w14:textId="77777777" w:rsidR="00B76EC1" w:rsidRDefault="00CC4341" w:rsidP="00CC4341">
      <w:pPr>
        <w:pStyle w:val="Citas"/>
      </w:pPr>
      <w:r w:rsidRPr="00CC4341">
        <w:t xml:space="preserve">XVII. Secretario Técnico del Consejo Municipal de Seguridad Pública; </w:t>
      </w:r>
    </w:p>
    <w:p w14:paraId="29F036BA" w14:textId="77777777" w:rsidR="00B76EC1" w:rsidRDefault="00CC4341" w:rsidP="00CC4341">
      <w:pPr>
        <w:pStyle w:val="Citas"/>
      </w:pPr>
      <w:r w:rsidRPr="00CC4341">
        <w:t xml:space="preserve">XVIII. Instituto Municipal de la Juventud; </w:t>
      </w:r>
    </w:p>
    <w:p w14:paraId="13940BCB" w14:textId="77777777" w:rsidR="00B76EC1" w:rsidRDefault="00CC4341" w:rsidP="00CC4341">
      <w:pPr>
        <w:pStyle w:val="Citas"/>
      </w:pPr>
      <w:r w:rsidRPr="00CC4341">
        <w:t xml:space="preserve">XIX. Oficialía del Registro Civil; </w:t>
      </w:r>
    </w:p>
    <w:p w14:paraId="435BA3DC" w14:textId="77777777" w:rsidR="00B76EC1" w:rsidRDefault="00CC4341" w:rsidP="00CC4341">
      <w:pPr>
        <w:pStyle w:val="Citas"/>
      </w:pPr>
      <w:r w:rsidRPr="00CC4341">
        <w:t xml:space="preserve">XX. Área Coordinadora de Archivos; y </w:t>
      </w:r>
    </w:p>
    <w:p w14:paraId="1C9A1EB7" w14:textId="31952FE8" w:rsidR="00CC4341" w:rsidRPr="00B76EC1" w:rsidRDefault="00CC4341" w:rsidP="00CC4341">
      <w:pPr>
        <w:pStyle w:val="Citas"/>
        <w:rPr>
          <w:b/>
          <w:bCs/>
        </w:rPr>
      </w:pPr>
      <w:r w:rsidRPr="00CC4341">
        <w:t>XXI. Unidad Municipal de Bienestar y Protección Animal.</w:t>
      </w:r>
      <w:r w:rsidR="00B76EC1">
        <w:t xml:space="preserve">” </w:t>
      </w:r>
      <w:r w:rsidR="00B76EC1">
        <w:rPr>
          <w:b/>
          <w:bCs/>
        </w:rPr>
        <w:t>(Sic)</w:t>
      </w:r>
    </w:p>
    <w:p w14:paraId="6D084A90" w14:textId="77777777" w:rsidR="00B76EC1" w:rsidRDefault="00B76EC1" w:rsidP="007F53B7">
      <w:pPr>
        <w:spacing w:line="360" w:lineRule="auto"/>
        <w:jc w:val="both"/>
        <w:rPr>
          <w:rFonts w:ascii="Palatino Linotype" w:hAnsi="Palatino Linotype"/>
          <w:bCs/>
          <w:sz w:val="24"/>
          <w:szCs w:val="24"/>
        </w:rPr>
      </w:pPr>
    </w:p>
    <w:p w14:paraId="53AE5951" w14:textId="2DA9FAD3" w:rsidR="007F53B7" w:rsidRDefault="007F53B7" w:rsidP="007F53B7">
      <w:pPr>
        <w:spacing w:line="360" w:lineRule="auto"/>
        <w:jc w:val="both"/>
        <w:rPr>
          <w:rFonts w:ascii="Palatino Linotype" w:hAnsi="Palatino Linotype"/>
          <w:bCs/>
          <w:sz w:val="24"/>
          <w:szCs w:val="24"/>
        </w:rPr>
      </w:pPr>
      <w:r>
        <w:rPr>
          <w:rFonts w:ascii="Palatino Linotype" w:hAnsi="Palatino Linotype"/>
          <w:bCs/>
          <w:sz w:val="24"/>
          <w:szCs w:val="24"/>
        </w:rPr>
        <w:lastRenderedPageBreak/>
        <w:t>De ahí que deba arribarse a la premisa de que la Dirección de Administración y algunas de sus unidades administrativas se encargan de regular diversas aristas de los servidores públicos, tales como:</w:t>
      </w:r>
    </w:p>
    <w:p w14:paraId="62A5485F" w14:textId="77777777" w:rsidR="007F53B7" w:rsidRDefault="007F53B7" w:rsidP="003D19C8">
      <w:pPr>
        <w:pStyle w:val="Prrafodelista"/>
        <w:numPr>
          <w:ilvl w:val="0"/>
          <w:numId w:val="4"/>
        </w:numPr>
        <w:spacing w:line="360" w:lineRule="auto"/>
        <w:jc w:val="both"/>
        <w:rPr>
          <w:rFonts w:ascii="Palatino Linotype" w:hAnsi="Palatino Linotype"/>
          <w:bCs/>
        </w:rPr>
      </w:pPr>
      <w:r>
        <w:rPr>
          <w:rFonts w:ascii="Palatino Linotype" w:hAnsi="Palatino Linotype"/>
          <w:bCs/>
        </w:rPr>
        <w:t>Alta</w:t>
      </w:r>
    </w:p>
    <w:p w14:paraId="79D65D71" w14:textId="77777777" w:rsidR="007F53B7" w:rsidRDefault="007F53B7" w:rsidP="003D19C8">
      <w:pPr>
        <w:pStyle w:val="Prrafodelista"/>
        <w:numPr>
          <w:ilvl w:val="0"/>
          <w:numId w:val="4"/>
        </w:numPr>
        <w:spacing w:line="360" w:lineRule="auto"/>
        <w:jc w:val="both"/>
        <w:rPr>
          <w:rFonts w:ascii="Palatino Linotype" w:hAnsi="Palatino Linotype"/>
          <w:bCs/>
        </w:rPr>
      </w:pPr>
      <w:r>
        <w:rPr>
          <w:rFonts w:ascii="Palatino Linotype" w:hAnsi="Palatino Linotype"/>
          <w:bCs/>
        </w:rPr>
        <w:t>Baja</w:t>
      </w:r>
    </w:p>
    <w:p w14:paraId="2FCBBEB3" w14:textId="77777777" w:rsidR="007F53B7" w:rsidRDefault="007F53B7" w:rsidP="003D19C8">
      <w:pPr>
        <w:pStyle w:val="Prrafodelista"/>
        <w:numPr>
          <w:ilvl w:val="0"/>
          <w:numId w:val="4"/>
        </w:numPr>
        <w:spacing w:line="360" w:lineRule="auto"/>
        <w:jc w:val="both"/>
        <w:rPr>
          <w:rFonts w:ascii="Palatino Linotype" w:hAnsi="Palatino Linotype"/>
          <w:bCs/>
        </w:rPr>
      </w:pPr>
      <w:r>
        <w:rPr>
          <w:rFonts w:ascii="Palatino Linotype" w:hAnsi="Palatino Linotype"/>
          <w:bCs/>
        </w:rPr>
        <w:t>Pago de remuneraciones</w:t>
      </w:r>
    </w:p>
    <w:p w14:paraId="365F9C3D" w14:textId="77777777" w:rsidR="007F53B7" w:rsidRPr="006969B5" w:rsidRDefault="007F53B7" w:rsidP="003D19C8">
      <w:pPr>
        <w:pStyle w:val="Prrafodelista"/>
        <w:numPr>
          <w:ilvl w:val="0"/>
          <w:numId w:val="4"/>
        </w:numPr>
        <w:spacing w:line="360" w:lineRule="auto"/>
        <w:jc w:val="both"/>
        <w:rPr>
          <w:rFonts w:ascii="Palatino Linotype" w:hAnsi="Palatino Linotype"/>
          <w:b/>
          <w:u w:val="single"/>
        </w:rPr>
      </w:pPr>
      <w:r w:rsidRPr="006969B5">
        <w:rPr>
          <w:rFonts w:ascii="Palatino Linotype" w:hAnsi="Palatino Linotype"/>
          <w:b/>
          <w:u w:val="single"/>
        </w:rPr>
        <w:t>Integración y actualización de expedientes laborales</w:t>
      </w:r>
    </w:p>
    <w:p w14:paraId="0CF9A761" w14:textId="77777777" w:rsidR="007F53B7" w:rsidRDefault="007F53B7" w:rsidP="003D19C8">
      <w:pPr>
        <w:pStyle w:val="Prrafodelista"/>
        <w:numPr>
          <w:ilvl w:val="0"/>
          <w:numId w:val="4"/>
        </w:numPr>
        <w:spacing w:line="360" w:lineRule="auto"/>
        <w:jc w:val="both"/>
        <w:rPr>
          <w:rFonts w:ascii="Palatino Linotype" w:hAnsi="Palatino Linotype"/>
          <w:bCs/>
        </w:rPr>
      </w:pPr>
      <w:r>
        <w:rPr>
          <w:rFonts w:ascii="Palatino Linotype" w:hAnsi="Palatino Linotype"/>
          <w:bCs/>
        </w:rPr>
        <w:t>Formalización de relaciones laborales</w:t>
      </w:r>
    </w:p>
    <w:p w14:paraId="6096F832" w14:textId="77777777" w:rsidR="007F53B7" w:rsidRPr="00410789" w:rsidRDefault="007F53B7" w:rsidP="003D19C8">
      <w:pPr>
        <w:pStyle w:val="Prrafodelista"/>
        <w:numPr>
          <w:ilvl w:val="0"/>
          <w:numId w:val="4"/>
        </w:numPr>
        <w:spacing w:line="360" w:lineRule="auto"/>
        <w:jc w:val="both"/>
        <w:rPr>
          <w:rFonts w:ascii="Palatino Linotype" w:hAnsi="Palatino Linotype"/>
          <w:bCs/>
        </w:rPr>
      </w:pPr>
      <w:r>
        <w:rPr>
          <w:rFonts w:ascii="Palatino Linotype" w:hAnsi="Palatino Linotype"/>
          <w:bCs/>
        </w:rPr>
        <w:t xml:space="preserve">Otras. </w:t>
      </w:r>
    </w:p>
    <w:p w14:paraId="04989D20" w14:textId="77777777" w:rsidR="007F53B7" w:rsidRDefault="007F53B7" w:rsidP="00275AF9">
      <w:pPr>
        <w:spacing w:after="0" w:line="360" w:lineRule="auto"/>
        <w:jc w:val="both"/>
        <w:rPr>
          <w:rFonts w:ascii="Palatino Linotype" w:hAnsi="Palatino Linotype" w:cs="Arial"/>
          <w:sz w:val="24"/>
          <w:szCs w:val="24"/>
        </w:rPr>
      </w:pPr>
    </w:p>
    <w:p w14:paraId="29D144B7" w14:textId="77777777" w:rsidR="00AC2DE3" w:rsidRDefault="00AC2DE3" w:rsidP="00AC2DE3">
      <w:pPr>
        <w:spacing w:line="360" w:lineRule="auto"/>
        <w:jc w:val="both"/>
        <w:rPr>
          <w:rFonts w:ascii="Palatino Linotype" w:eastAsia="Calibri" w:hAnsi="Palatino Linotype" w:cs="Arial"/>
          <w:sz w:val="24"/>
          <w:szCs w:val="24"/>
        </w:rPr>
      </w:pPr>
      <w:r>
        <w:rPr>
          <w:rFonts w:ascii="Palatino Linotype" w:hAnsi="Palatino Linotype"/>
          <w:bCs/>
          <w:sz w:val="24"/>
          <w:szCs w:val="24"/>
        </w:rPr>
        <w:t xml:space="preserve">De manera complementaria, </w:t>
      </w:r>
      <w:r w:rsidRPr="00842DFC">
        <w:rPr>
          <w:rFonts w:ascii="Palatino Linotype" w:eastAsia="Calibri" w:hAnsi="Palatino Linotype" w:cs="Arial"/>
          <w:sz w:val="24"/>
          <w:szCs w:val="24"/>
        </w:rPr>
        <w:t>se puede observar que las instituciones públicas tienen la obligación de integrar los expedientes laborales de cada servidor público, dentro de los cuales puede constar la solicitud de empleo</w:t>
      </w:r>
      <w:r w:rsidRPr="00842DFC">
        <w:rPr>
          <w:rFonts w:ascii="Palatino Linotype" w:eastAsia="Calibri" w:hAnsi="Palatino Linotype"/>
          <w:sz w:val="24"/>
          <w:szCs w:val="24"/>
        </w:rPr>
        <w:t xml:space="preserve">, carta bajo protesta de decir verdad, constancia de no inhabilitación, entre otros. Sin embargo, </w:t>
      </w:r>
      <w:r w:rsidRPr="00842DFC">
        <w:rPr>
          <w:rFonts w:ascii="Palatino Linotype" w:eastAsia="Calibri" w:hAnsi="Palatino Linotype" w:cs="Arial"/>
          <w:sz w:val="24"/>
          <w:szCs w:val="24"/>
        </w:rPr>
        <w:t xml:space="preserve">dichos documentos pueden tener en su contenido datos personales que puedan ser afectados al momento de dar a conocer la información, para lo cual </w:t>
      </w:r>
      <w:r w:rsidRPr="00842DFC">
        <w:rPr>
          <w:rFonts w:ascii="Palatino Linotype" w:eastAsia="Calibri" w:hAnsi="Palatino Linotype" w:cs="Arial"/>
          <w:b/>
          <w:sz w:val="24"/>
          <w:szCs w:val="24"/>
        </w:rPr>
        <w:t>el Sujeto Obligado</w:t>
      </w:r>
      <w:r w:rsidRPr="00842DFC">
        <w:rPr>
          <w:rFonts w:ascii="Palatino Linotype" w:eastAsia="Calibri" w:hAnsi="Palatino Linotype" w:cs="Arial"/>
          <w:sz w:val="24"/>
          <w:szCs w:val="24"/>
        </w:rPr>
        <w:t xml:space="preserve"> deberá proteger toda aquella información que conlleve a un riesgo grave a los servidores públicos en comento.</w:t>
      </w:r>
    </w:p>
    <w:p w14:paraId="5C45DB26" w14:textId="77777777" w:rsidR="00AC2DE3" w:rsidRDefault="00AC2DE3" w:rsidP="00AC2DE3">
      <w:pPr>
        <w:spacing w:line="360" w:lineRule="auto"/>
        <w:jc w:val="both"/>
        <w:rPr>
          <w:rFonts w:ascii="Palatino Linotype" w:eastAsia="Calibri" w:hAnsi="Palatino Linotype" w:cs="Tahoma"/>
          <w:bCs/>
          <w:sz w:val="24"/>
          <w:szCs w:val="24"/>
        </w:rPr>
      </w:pPr>
      <w:r w:rsidRPr="0023148A">
        <w:rPr>
          <w:rFonts w:ascii="Palatino Linotype" w:eastAsia="Calibri" w:hAnsi="Palatino Linotype" w:cs="Tahoma"/>
          <w:bCs/>
          <w:sz w:val="24"/>
          <w:szCs w:val="24"/>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w:t>
      </w:r>
      <w:r w:rsidRPr="0023148A">
        <w:rPr>
          <w:rFonts w:ascii="Palatino Linotype" w:eastAsia="Calibri" w:hAnsi="Palatino Linotype" w:cs="Tahoma"/>
          <w:bCs/>
          <w:sz w:val="24"/>
          <w:szCs w:val="24"/>
        </w:rPr>
        <w:lastRenderedPageBreak/>
        <w:t>otra permita hacer identificable a una persona, es un dato personal, susceptible de ser clasificado.</w:t>
      </w:r>
    </w:p>
    <w:p w14:paraId="7EF52342" w14:textId="77777777" w:rsidR="00AC2DE3" w:rsidRPr="0023148A" w:rsidRDefault="00AC2DE3" w:rsidP="00AC2DE3">
      <w:pPr>
        <w:spacing w:line="360" w:lineRule="auto"/>
        <w:contextualSpacing/>
        <w:jc w:val="both"/>
        <w:rPr>
          <w:rFonts w:ascii="Palatino Linotype" w:eastAsia="Calibri" w:hAnsi="Palatino Linotype" w:cs="Tahoma"/>
          <w:bCs/>
          <w:sz w:val="24"/>
          <w:szCs w:val="24"/>
        </w:rPr>
      </w:pPr>
      <w:r w:rsidRPr="0023148A">
        <w:rPr>
          <w:rFonts w:ascii="Palatino Linotype" w:eastAsia="Calibri" w:hAnsi="Palatino Linotype" w:cs="Tahoma"/>
          <w:bCs/>
          <w:sz w:val="24"/>
          <w:szCs w:val="24"/>
        </w:rPr>
        <w:t xml:space="preserve">En </w:t>
      </w:r>
      <w:r w:rsidRPr="00143ABC">
        <w:rPr>
          <w:rFonts w:ascii="Palatino Linotype" w:eastAsia="Calibri" w:hAnsi="Palatino Linotype" w:cs="Tahoma"/>
          <w:bCs/>
          <w:sz w:val="24"/>
          <w:szCs w:val="24"/>
        </w:rPr>
        <w:t>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w:t>
      </w:r>
      <w:r w:rsidRPr="0023148A">
        <w:rPr>
          <w:rFonts w:ascii="Palatino Linotype" w:eastAsia="Calibri" w:hAnsi="Palatino Linotype" w:cs="Tahoma"/>
          <w:bCs/>
          <w:sz w:val="24"/>
          <w:szCs w:val="24"/>
        </w:rPr>
        <w:t>: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D568EBE" w14:textId="77777777" w:rsidR="00AC2DE3" w:rsidRPr="0023148A" w:rsidRDefault="00AC2DE3" w:rsidP="00AC2DE3">
      <w:pPr>
        <w:shd w:val="clear" w:color="auto" w:fill="FFFFFF"/>
        <w:spacing w:line="360" w:lineRule="auto"/>
        <w:contextualSpacing/>
        <w:jc w:val="both"/>
        <w:rPr>
          <w:rFonts w:ascii="Palatino Linotype" w:eastAsia="Calibri" w:hAnsi="Palatino Linotype" w:cs="Tahoma"/>
          <w:bCs/>
          <w:sz w:val="24"/>
          <w:szCs w:val="24"/>
        </w:rPr>
      </w:pPr>
    </w:p>
    <w:p w14:paraId="1CAEDAEE" w14:textId="77777777" w:rsidR="00AC2DE3" w:rsidRPr="0023148A" w:rsidRDefault="00AC2DE3" w:rsidP="00AC2DE3">
      <w:pPr>
        <w:shd w:val="clear" w:color="auto" w:fill="FFFFFF"/>
        <w:spacing w:line="360" w:lineRule="auto"/>
        <w:contextualSpacing/>
        <w:jc w:val="both"/>
        <w:rPr>
          <w:rFonts w:ascii="Palatino Linotype" w:eastAsia="Calibri" w:hAnsi="Palatino Linotype" w:cs="Tahoma"/>
          <w:bCs/>
          <w:sz w:val="24"/>
          <w:szCs w:val="24"/>
        </w:rPr>
      </w:pPr>
      <w:r w:rsidRPr="0023148A">
        <w:rPr>
          <w:rFonts w:ascii="Palatino Linotype" w:eastAsia="Calibri" w:hAnsi="Palatino Linotype" w:cs="Tahoma"/>
          <w:bCs/>
          <w:sz w:val="24"/>
          <w:szCs w:val="24"/>
        </w:rPr>
        <w:t xml:space="preserve">En este orden de ideas, toda la </w:t>
      </w:r>
      <w:r w:rsidRPr="00143ABC">
        <w:rPr>
          <w:rFonts w:ascii="Palatino Linotype" w:eastAsia="Calibri" w:hAnsi="Palatino Linotype" w:cs="Tahoma"/>
          <w:bCs/>
          <w:sz w:val="24"/>
          <w:szCs w:val="24"/>
        </w:rPr>
        <w:t>información que transparente la gestión pública, favorezca la rendición de cuentas y contribuya a la democratización del Estado Mexicano es, sin excepción, de naturaleza pública; tal es</w:t>
      </w:r>
      <w:r w:rsidRPr="0023148A">
        <w:rPr>
          <w:rFonts w:ascii="Palatino Linotype" w:eastAsia="Calibri" w:hAnsi="Palatino Linotype" w:cs="Tahoma"/>
          <w:bCs/>
          <w:sz w:val="24"/>
          <w:szCs w:val="24"/>
        </w:rPr>
        <w:t xml:space="preserve">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23148A">
        <w:rPr>
          <w:rFonts w:ascii="Palatino Linotype" w:eastAsia="Calibri" w:hAnsi="Palatino Linotype" w:cs="Tahoma"/>
          <w:bCs/>
          <w:i/>
          <w:sz w:val="24"/>
          <w:szCs w:val="24"/>
        </w:rPr>
        <w:t>(no por eso dejan de ser datos personales, sólo que no están protegidos en la confidencialidad)</w:t>
      </w:r>
      <w:r w:rsidRPr="0023148A">
        <w:rPr>
          <w:rFonts w:ascii="Palatino Linotype" w:eastAsia="Calibri" w:hAnsi="Palatino Linotype" w:cs="Tahoma"/>
          <w:bCs/>
          <w:sz w:val="24"/>
          <w:szCs w:val="24"/>
        </w:rPr>
        <w:t>.</w:t>
      </w:r>
    </w:p>
    <w:p w14:paraId="7B119002" w14:textId="77777777" w:rsidR="00AC2DE3" w:rsidRPr="0023148A" w:rsidRDefault="00AC2DE3" w:rsidP="00AC2DE3">
      <w:pPr>
        <w:shd w:val="clear" w:color="auto" w:fill="FFFFFF"/>
        <w:spacing w:line="360" w:lineRule="auto"/>
        <w:contextualSpacing/>
        <w:jc w:val="both"/>
        <w:rPr>
          <w:rFonts w:ascii="Palatino Linotype" w:eastAsia="Calibri" w:hAnsi="Palatino Linotype" w:cs="Tahoma"/>
          <w:bCs/>
          <w:sz w:val="24"/>
          <w:szCs w:val="24"/>
        </w:rPr>
      </w:pPr>
    </w:p>
    <w:p w14:paraId="6BCE9BBA" w14:textId="77777777" w:rsidR="00AC2DE3" w:rsidRDefault="00AC2DE3" w:rsidP="00AC2DE3">
      <w:pPr>
        <w:spacing w:line="360" w:lineRule="auto"/>
        <w:contextualSpacing/>
        <w:jc w:val="both"/>
        <w:rPr>
          <w:rFonts w:ascii="Palatino Linotype" w:eastAsia="Calibri" w:hAnsi="Palatino Linotype" w:cs="Tahoma"/>
          <w:bCs/>
          <w:sz w:val="24"/>
          <w:szCs w:val="24"/>
        </w:rPr>
      </w:pPr>
      <w:r w:rsidRPr="0023148A">
        <w:rPr>
          <w:rFonts w:ascii="Palatino Linotype" w:eastAsia="Calibri" w:hAnsi="Palatino Linotype" w:cs="Tahoma"/>
          <w:bCs/>
          <w:sz w:val="24"/>
          <w:szCs w:val="24"/>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w:t>
      </w:r>
      <w:r w:rsidRPr="0023148A">
        <w:rPr>
          <w:rFonts w:ascii="Palatino Linotype" w:eastAsia="Calibri" w:hAnsi="Palatino Linotype" w:cs="Tahoma"/>
          <w:bCs/>
          <w:sz w:val="24"/>
          <w:szCs w:val="24"/>
        </w:rPr>
        <w:lastRenderedPageBreak/>
        <w:t>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0392A46" w14:textId="77777777" w:rsidR="00AC2DE3" w:rsidRPr="0023148A" w:rsidRDefault="00AC2DE3" w:rsidP="00AC2DE3">
      <w:pPr>
        <w:spacing w:line="360" w:lineRule="auto"/>
        <w:contextualSpacing/>
        <w:jc w:val="both"/>
        <w:rPr>
          <w:rFonts w:ascii="Palatino Linotype" w:eastAsia="Calibri" w:hAnsi="Palatino Linotype" w:cs="Tahoma"/>
          <w:bCs/>
          <w:sz w:val="24"/>
          <w:szCs w:val="24"/>
        </w:rPr>
      </w:pPr>
    </w:p>
    <w:p w14:paraId="5C17BB6F" w14:textId="77777777" w:rsidR="00AC2DE3" w:rsidRPr="0023148A" w:rsidRDefault="00AC2DE3" w:rsidP="00AC2DE3">
      <w:pPr>
        <w:spacing w:line="360" w:lineRule="auto"/>
        <w:contextualSpacing/>
        <w:jc w:val="both"/>
        <w:rPr>
          <w:rFonts w:ascii="Palatino Linotype" w:eastAsia="Calibri" w:hAnsi="Palatino Linotype" w:cs="Tahoma"/>
          <w:bCs/>
          <w:sz w:val="24"/>
          <w:szCs w:val="24"/>
        </w:rPr>
      </w:pPr>
      <w:r w:rsidRPr="0023148A">
        <w:rPr>
          <w:rFonts w:ascii="Palatino Linotype" w:eastAsia="Calibri" w:hAnsi="Palatino Linotype" w:cs="Tahoma"/>
          <w:bCs/>
          <w:sz w:val="24"/>
          <w:szCs w:val="24"/>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316E5310" w14:textId="77777777" w:rsidR="00AC2DE3" w:rsidRPr="0023148A" w:rsidRDefault="00AC2DE3" w:rsidP="00AC2DE3">
      <w:pPr>
        <w:tabs>
          <w:tab w:val="left" w:pos="709"/>
        </w:tabs>
        <w:spacing w:line="360" w:lineRule="auto"/>
        <w:jc w:val="both"/>
        <w:rPr>
          <w:rFonts w:ascii="Palatino Linotype" w:eastAsia="Calibri" w:hAnsi="Palatino Linotype" w:cs="Arial"/>
          <w:sz w:val="24"/>
          <w:szCs w:val="24"/>
        </w:rPr>
      </w:pPr>
      <w:r w:rsidRPr="0023148A">
        <w:rPr>
          <w:rFonts w:ascii="Palatino Linotype" w:eastAsia="Calibri" w:hAnsi="Palatino Linotype" w:cs="Arial"/>
          <w:sz w:val="24"/>
          <w:szCs w:val="24"/>
        </w:rPr>
        <w:t xml:space="preserve">Ya que toda la información en posesión de cualquier </w:t>
      </w:r>
      <w:r w:rsidRPr="0023148A">
        <w:rPr>
          <w:rFonts w:ascii="Palatino Linotype" w:eastAsia="Calibri" w:hAnsi="Palatino Linotype" w:cs="Arial"/>
          <w:b/>
          <w:sz w:val="24"/>
          <w:szCs w:val="24"/>
        </w:rPr>
        <w:t>Sujeto Obligado</w:t>
      </w:r>
      <w:r w:rsidRPr="0023148A">
        <w:rPr>
          <w:rFonts w:ascii="Palatino Linotype" w:eastAsia="Calibri" w:hAnsi="Palatino Linotype" w:cs="Arial"/>
          <w:sz w:val="24"/>
          <w:szCs w:val="24"/>
        </w:rPr>
        <w:t xml:space="preserve"> es pública, existen excepciones establecidas en los artículos 91 y 143, de la Ley de Transparencia y Acceso a la Información Pública del Estado de México y Municipios.</w:t>
      </w:r>
    </w:p>
    <w:p w14:paraId="7075684C" w14:textId="77777777" w:rsidR="00AC2DE3" w:rsidRPr="0023148A" w:rsidRDefault="00AC2DE3" w:rsidP="00AC2DE3">
      <w:pPr>
        <w:tabs>
          <w:tab w:val="left" w:pos="709"/>
        </w:tabs>
        <w:spacing w:line="360" w:lineRule="auto"/>
        <w:jc w:val="both"/>
        <w:rPr>
          <w:rFonts w:ascii="Palatino Linotype" w:eastAsia="Calibri" w:hAnsi="Palatino Linotype" w:cs="Arial"/>
          <w:sz w:val="24"/>
          <w:szCs w:val="24"/>
        </w:rPr>
      </w:pPr>
      <w:r w:rsidRPr="0023148A">
        <w:rPr>
          <w:rFonts w:ascii="Palatino Linotype" w:eastAsia="Calibri" w:hAnsi="Palatino Linotype" w:cs="Arial"/>
          <w:sz w:val="24"/>
          <w:szCs w:val="24"/>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632F237E" w14:textId="61B53F51" w:rsidR="00AC2DE3" w:rsidRPr="0023148A" w:rsidRDefault="00AC2DE3" w:rsidP="00AC2DE3">
      <w:pPr>
        <w:tabs>
          <w:tab w:val="left" w:pos="709"/>
        </w:tabs>
        <w:spacing w:line="360" w:lineRule="auto"/>
        <w:jc w:val="both"/>
        <w:rPr>
          <w:rFonts w:ascii="Palatino Linotype" w:eastAsia="Calibri" w:hAnsi="Palatino Linotype" w:cs="Arial"/>
          <w:sz w:val="24"/>
          <w:szCs w:val="24"/>
        </w:rPr>
      </w:pPr>
      <w:r w:rsidRPr="0023148A">
        <w:rPr>
          <w:rFonts w:ascii="Palatino Linotype" w:eastAsia="Calibri" w:hAnsi="Palatino Linotype" w:cs="Arial"/>
          <w:sz w:val="24"/>
          <w:szCs w:val="24"/>
        </w:rPr>
        <w:lastRenderedPageBreak/>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w:t>
      </w:r>
      <w:r w:rsidR="001128AF">
        <w:rPr>
          <w:rFonts w:ascii="Palatino Linotype" w:eastAsia="Calibri" w:hAnsi="Palatino Linotype" w:cs="Arial"/>
          <w:sz w:val="24"/>
          <w:szCs w:val="24"/>
        </w:rPr>
        <w:t>r</w:t>
      </w:r>
      <w:r w:rsidRPr="0023148A">
        <w:rPr>
          <w:rFonts w:ascii="Palatino Linotype" w:eastAsia="Calibri" w:hAnsi="Palatino Linotype" w:cs="Arial"/>
          <w:sz w:val="24"/>
          <w:szCs w:val="24"/>
        </w:rPr>
        <w:t xml:space="preserve"> el derecho al honor y privacidad de las personas, así como también el acceso a la información que sobre los mismos se registre.</w:t>
      </w:r>
    </w:p>
    <w:p w14:paraId="22718A97" w14:textId="77777777" w:rsidR="00AC2DE3" w:rsidRPr="0023148A" w:rsidRDefault="00AC2DE3" w:rsidP="00AC2DE3">
      <w:pPr>
        <w:tabs>
          <w:tab w:val="left" w:pos="709"/>
        </w:tabs>
        <w:spacing w:line="360" w:lineRule="auto"/>
        <w:jc w:val="both"/>
        <w:rPr>
          <w:rFonts w:ascii="Palatino Linotype" w:eastAsia="Calibri" w:hAnsi="Palatino Linotype" w:cs="Arial"/>
          <w:sz w:val="24"/>
          <w:szCs w:val="24"/>
        </w:rPr>
      </w:pPr>
      <w:r w:rsidRPr="0023148A">
        <w:rPr>
          <w:rFonts w:ascii="Palatino Linotype" w:eastAsia="Calibri" w:hAnsi="Palatino Linotype" w:cs="Arial"/>
          <w:sz w:val="24"/>
          <w:szCs w:val="24"/>
        </w:rPr>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78DE9952" w14:textId="77777777" w:rsidR="00AC2DE3" w:rsidRPr="0023148A" w:rsidRDefault="00AC2DE3" w:rsidP="00AC2DE3">
      <w:pPr>
        <w:tabs>
          <w:tab w:val="left" w:pos="709"/>
        </w:tabs>
        <w:spacing w:line="360" w:lineRule="auto"/>
        <w:jc w:val="both"/>
        <w:rPr>
          <w:rFonts w:ascii="Palatino Linotype" w:eastAsia="Calibri" w:hAnsi="Palatino Linotype"/>
          <w:sz w:val="24"/>
          <w:szCs w:val="24"/>
        </w:rPr>
      </w:pPr>
      <w:r w:rsidRPr="0023148A">
        <w:rPr>
          <w:rFonts w:ascii="Palatino Linotype" w:eastAsia="Calibri" w:hAnsi="Palatino Linotype"/>
          <w:sz w:val="24"/>
          <w:szCs w:val="24"/>
        </w:rPr>
        <w:t xml:space="preserve">En estos casos, debe corroborar una conexión patente entre </w:t>
      </w:r>
      <w:r w:rsidRPr="0023148A">
        <w:rPr>
          <w:rFonts w:ascii="Palatino Linotype" w:eastAsia="Calibri" w:hAnsi="Palatino Linotype"/>
          <w:b/>
          <w:sz w:val="24"/>
          <w:szCs w:val="24"/>
        </w:rPr>
        <w:t>la información confidencial y un tema de interés público</w:t>
      </w:r>
      <w:r w:rsidRPr="0023148A">
        <w:rPr>
          <w:rFonts w:ascii="Palatino Linotype" w:eastAsia="Calibri" w:hAnsi="Palatino Linotype"/>
          <w:sz w:val="24"/>
          <w:szCs w:val="24"/>
        </w:rPr>
        <w:t xml:space="preserve">. La </w:t>
      </w:r>
      <w:r w:rsidRPr="0023148A">
        <w:rPr>
          <w:rFonts w:ascii="Palatino Linotype" w:hAnsi="Palatino Linotype" w:cs="Arial"/>
          <w:color w:val="000000"/>
          <w:sz w:val="24"/>
          <w:szCs w:val="24"/>
        </w:rPr>
        <w:t xml:space="preserve">fecha y lugar de nacimiento, edad, domicilio, teléfono, correo electrónico y </w:t>
      </w:r>
      <w:r w:rsidRPr="0023148A">
        <w:rPr>
          <w:rFonts w:ascii="Palatino Linotype" w:eastAsia="Calibri" w:hAnsi="Palatino Linotype"/>
          <w:sz w:val="24"/>
          <w:szCs w:val="24"/>
        </w:rPr>
        <w:t xml:space="preserve">fotografía de un servidor público contenidos en un currículum vitae son datos personales susceptibles de ser clasificados como confidenciales. </w:t>
      </w:r>
    </w:p>
    <w:p w14:paraId="0EACD029" w14:textId="77777777" w:rsidR="00AC2DE3" w:rsidRDefault="00AC2DE3" w:rsidP="00AC2DE3">
      <w:pPr>
        <w:spacing w:after="0" w:line="360" w:lineRule="auto"/>
        <w:jc w:val="both"/>
        <w:rPr>
          <w:rFonts w:ascii="Palatino Linotype" w:hAnsi="Palatino Linotype" w:cs="Arial"/>
          <w:sz w:val="24"/>
          <w:szCs w:val="24"/>
        </w:rPr>
      </w:pPr>
      <w:r>
        <w:rPr>
          <w:rFonts w:ascii="Palatino Linotype" w:eastAsia="Calibri" w:hAnsi="Palatino Linotype" w:cs="Arial"/>
          <w:sz w:val="24"/>
          <w:szCs w:val="24"/>
        </w:rPr>
        <w:t xml:space="preserve">A mayor abundamiento, </w:t>
      </w:r>
      <w:r>
        <w:rPr>
          <w:rFonts w:ascii="Palatino Linotype" w:hAnsi="Palatino Linotype" w:cs="Arial"/>
          <w:sz w:val="24"/>
          <w:szCs w:val="24"/>
        </w:rPr>
        <w:t xml:space="preserve">resulta oportuno referir que el título profesional es el documento expedido por instituciones del Estado o descentralizadas, y por instituciones particulares que tengan reconocimiento de validez oficial de estudios, a </w:t>
      </w:r>
      <w:r>
        <w:rPr>
          <w:rFonts w:ascii="Palatino Linotype" w:hAnsi="Palatino Linotype" w:cs="Arial"/>
          <w:sz w:val="24"/>
          <w:szCs w:val="24"/>
        </w:rPr>
        <w:lastRenderedPageBreak/>
        <w:t xml:space="preserve">favor de la persona que haya concluido </w:t>
      </w:r>
      <w:proofErr w:type="gramStart"/>
      <w:r>
        <w:rPr>
          <w:rFonts w:ascii="Palatino Linotype" w:hAnsi="Palatino Linotype" w:cs="Arial"/>
          <w:sz w:val="24"/>
          <w:szCs w:val="24"/>
        </w:rPr>
        <w:t>los estudios correspondientes o demostrado</w:t>
      </w:r>
      <w:proofErr w:type="gramEnd"/>
      <w:r>
        <w:rPr>
          <w:rFonts w:ascii="Palatino Linotype" w:hAnsi="Palatino Linotype" w:cs="Arial"/>
          <w:sz w:val="24"/>
          <w:szCs w:val="24"/>
        </w:rPr>
        <w:t xml:space="preserve"> tener los conocimientos necesarios de conformidad con la normatividad aplicable. </w:t>
      </w:r>
    </w:p>
    <w:p w14:paraId="16BA61A1" w14:textId="77777777" w:rsidR="00AC2DE3" w:rsidRDefault="00AC2DE3" w:rsidP="00AC2DE3">
      <w:pPr>
        <w:spacing w:after="0" w:line="360" w:lineRule="auto"/>
        <w:jc w:val="both"/>
        <w:rPr>
          <w:rFonts w:ascii="Palatino Linotype" w:hAnsi="Palatino Linotype" w:cs="Arial"/>
          <w:sz w:val="24"/>
          <w:szCs w:val="24"/>
        </w:rPr>
      </w:pPr>
    </w:p>
    <w:p w14:paraId="074021D4" w14:textId="77777777" w:rsidR="00AC2DE3" w:rsidRDefault="00AC2DE3" w:rsidP="00AC2DE3">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425E684E" w14:textId="77777777" w:rsidR="00AC2DE3" w:rsidRDefault="00AC2DE3" w:rsidP="00AC2DE3">
      <w:pPr>
        <w:spacing w:after="0" w:line="360" w:lineRule="auto"/>
        <w:jc w:val="both"/>
        <w:rPr>
          <w:rFonts w:ascii="Palatino Linotype" w:hAnsi="Palatino Linotype" w:cs="Arial"/>
          <w:sz w:val="24"/>
          <w:szCs w:val="24"/>
        </w:rPr>
      </w:pPr>
      <w:r>
        <w:rPr>
          <w:rFonts w:ascii="Palatino Linotype" w:hAnsi="Palatino Linotype" w:cs="Arial"/>
          <w:sz w:val="24"/>
          <w:szCs w:val="24"/>
        </w:rPr>
        <w:t>En este sentido, los documentos en cita son susceptibles de reflejar algunos de los siguientes atributos:</w:t>
      </w:r>
    </w:p>
    <w:p w14:paraId="3AD44B35" w14:textId="77777777" w:rsidR="00AC2DE3" w:rsidRPr="00A0356C" w:rsidRDefault="00AC2DE3" w:rsidP="00AC2DE3">
      <w:pPr>
        <w:pStyle w:val="Encabezado"/>
        <w:tabs>
          <w:tab w:val="clear" w:pos="4419"/>
          <w:tab w:val="clear" w:pos="8838"/>
          <w:tab w:val="left" w:pos="7770"/>
        </w:tabs>
        <w:jc w:val="both"/>
        <w:rPr>
          <w:rFonts w:ascii="Palatino Linotype" w:hAnsi="Palatino Linotype"/>
          <w:bCs/>
          <w:sz w:val="22"/>
          <w:szCs w:val="22"/>
        </w:rPr>
      </w:pPr>
    </w:p>
    <w:p w14:paraId="7D56060B" w14:textId="77777777" w:rsidR="00AC2DE3" w:rsidRDefault="00AC2DE3" w:rsidP="003D19C8">
      <w:pPr>
        <w:pStyle w:val="Encabezado"/>
        <w:numPr>
          <w:ilvl w:val="0"/>
          <w:numId w:val="8"/>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Número de cédula profesional:</w:t>
      </w:r>
      <w:r w:rsidRPr="00EE40D9">
        <w:rPr>
          <w:rFonts w:ascii="Palatino Linotype" w:hAnsi="Palatino Linotype"/>
          <w:bCs/>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6832D35F" w14:textId="77777777" w:rsidR="00AC2DE3" w:rsidRPr="00EE40D9" w:rsidRDefault="00AC2DE3" w:rsidP="00AC2DE3">
      <w:pPr>
        <w:pStyle w:val="Encabezado"/>
        <w:tabs>
          <w:tab w:val="clear" w:pos="4419"/>
          <w:tab w:val="clear" w:pos="8838"/>
          <w:tab w:val="left" w:pos="7770"/>
        </w:tabs>
        <w:spacing w:line="360" w:lineRule="auto"/>
        <w:ind w:left="720"/>
        <w:jc w:val="both"/>
        <w:rPr>
          <w:rFonts w:ascii="Palatino Linotype" w:hAnsi="Palatino Linotype"/>
          <w:bCs/>
        </w:rPr>
      </w:pPr>
    </w:p>
    <w:p w14:paraId="00E3DBA0" w14:textId="77777777" w:rsidR="00AC2DE3" w:rsidRPr="00344BDE" w:rsidRDefault="00AC2DE3" w:rsidP="003D19C8">
      <w:pPr>
        <w:pStyle w:val="Encabezado"/>
        <w:numPr>
          <w:ilvl w:val="0"/>
          <w:numId w:val="8"/>
        </w:numPr>
        <w:tabs>
          <w:tab w:val="clear" w:pos="4419"/>
          <w:tab w:val="clear" w:pos="8838"/>
          <w:tab w:val="left" w:pos="7770"/>
        </w:tabs>
        <w:spacing w:before="240" w:line="360" w:lineRule="auto"/>
        <w:jc w:val="both"/>
        <w:rPr>
          <w:rFonts w:ascii="Palatino Linotype" w:hAnsi="Palatino Linotype"/>
        </w:rPr>
      </w:pPr>
      <w:r w:rsidRPr="00344BDE">
        <w:rPr>
          <w:rFonts w:ascii="Palatino Linotype" w:hAnsi="Palatino Linotype"/>
          <w:b/>
          <w:bCs/>
        </w:rPr>
        <w:t>Fotografía:</w:t>
      </w:r>
      <w:r w:rsidRPr="00344BDE">
        <w:rPr>
          <w:rFonts w:ascii="Palatino Linotype" w:hAnsi="Palatino Linotype"/>
          <w:bCs/>
        </w:rPr>
        <w:t xml:space="preserve"> Tratándose de servidores públicos se cuenta con un espectro menor de protección a sus datos personales en comparación con cualquier otra persona física, en razón del interés público que revisten sus funciones, por lo que, </w:t>
      </w:r>
      <w:r w:rsidRPr="00344BDE">
        <w:rPr>
          <w:rFonts w:ascii="Palatino Linotype" w:hAnsi="Palatino Linotype" w:cs="Arial"/>
          <w:color w:val="44444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406D431F" w14:textId="77777777" w:rsidR="00AC2DE3" w:rsidRPr="00344BDE" w:rsidRDefault="00AC2DE3" w:rsidP="00AC2DE3">
      <w:pPr>
        <w:pStyle w:val="Prrafodelista"/>
        <w:spacing w:before="240" w:line="360" w:lineRule="auto"/>
        <w:ind w:left="709" w:firstLine="11"/>
        <w:jc w:val="both"/>
        <w:rPr>
          <w:rFonts w:ascii="Palatino Linotype" w:hAnsi="Palatino Linotype" w:cs="Arial"/>
          <w:color w:val="333333"/>
        </w:rPr>
      </w:pPr>
      <w:r w:rsidRPr="00344BDE">
        <w:rPr>
          <w:rFonts w:ascii="Palatino Linotype" w:hAnsi="Palatino Linotype"/>
        </w:rPr>
        <w:lastRenderedPageBreak/>
        <w:t xml:space="preserve">Conforme a lo anterior, resulta necesario señalar que el Pleno del Órgano Garante local sustentó el criterio </w:t>
      </w:r>
      <w:r w:rsidRPr="00344BDE">
        <w:rPr>
          <w:rFonts w:ascii="Palatino Linotype" w:hAnsi="Palatino Linotype"/>
          <w:b/>
          <w:bCs/>
        </w:rPr>
        <w:t xml:space="preserve">03/2019 </w:t>
      </w:r>
      <w:r w:rsidRPr="00344BDE">
        <w:rPr>
          <w:rFonts w:ascii="Palatino Linotype" w:hAnsi="Palatino Linotype"/>
        </w:rPr>
        <w:t xml:space="preserve">cuyo rubro dispone a la literalidad lo siguiente: </w:t>
      </w:r>
      <w:r w:rsidRPr="00344BDE">
        <w:rPr>
          <w:rFonts w:ascii="Palatino Linotype" w:hAnsi="Palatino Linotype"/>
          <w:b/>
          <w:bCs/>
          <w:i/>
          <w:iCs/>
        </w:rPr>
        <w:t>“SERVIDORES PÚBLICOS CON CATEGORÍA DE MANDO MEDIO Y SUPERIOR. LA FOTOGRAFÍA DE AQUELLOS ES DE CARÁCTER PÚBLICO.</w:t>
      </w:r>
      <w:r w:rsidRPr="00344BDE">
        <w:rPr>
          <w:b/>
          <w:bCs/>
        </w:rPr>
        <w:t xml:space="preserve">”, </w:t>
      </w:r>
      <w:r w:rsidRPr="00344BDE">
        <w:rPr>
          <w:rFonts w:ascii="Palatino Linotype" w:hAnsi="Palatino Linotype"/>
        </w:rPr>
        <w:t xml:space="preserve">mismo que fue interrumpido en términos del artículo </w:t>
      </w:r>
      <w:r w:rsidRPr="00344BDE">
        <w:rPr>
          <w:rFonts w:ascii="Palatino Linotype" w:hAnsi="Palatino Linotype" w:cs="Arial"/>
          <w:color w:val="333333"/>
        </w:rPr>
        <w:t>9, fracción XXVII del Reglamento Interior del Instituto de Transparencia, Acceso a la Información Pública y Protección de Datos Personales del Estado de México y Municipios.</w:t>
      </w:r>
    </w:p>
    <w:p w14:paraId="3AB4C65E" w14:textId="77777777" w:rsidR="00AC2DE3" w:rsidRPr="00083A47" w:rsidRDefault="00AC2DE3" w:rsidP="00AC2DE3">
      <w:pPr>
        <w:pStyle w:val="Prrafodelista"/>
        <w:spacing w:before="240" w:line="360" w:lineRule="auto"/>
        <w:ind w:left="709" w:firstLine="11"/>
        <w:jc w:val="both"/>
        <w:rPr>
          <w:rFonts w:ascii="Palatino Linotype" w:hAnsi="Palatino Linotype"/>
        </w:rPr>
      </w:pPr>
      <w:r w:rsidRPr="00344BDE">
        <w:rPr>
          <w:rFonts w:ascii="Palatino Linotype" w:hAnsi="Palatino Linotype" w:cs="Arial"/>
          <w:color w:val="333333"/>
        </w:rPr>
        <w:t xml:space="preserve">Debido a lo anterior, </w:t>
      </w:r>
      <w:r w:rsidRPr="00344BDE">
        <w:rPr>
          <w:rFonts w:ascii="Palatino Linotype" w:eastAsia="Calibri" w:hAnsi="Palatino Linotype" w:cs="Tahoma"/>
          <w:bCs/>
          <w:lang w:eastAsia="en-US"/>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344BDE">
        <w:rPr>
          <w:rFonts w:ascii="Palatino Linotype" w:eastAsia="Calibri" w:hAnsi="Palatino Linotype" w:cs="Tahoma"/>
          <w:b/>
          <w:bCs/>
          <w:lang w:eastAsia="en-US"/>
        </w:rPr>
        <w:t>Cabe hacer la aclaración</w:t>
      </w:r>
      <w:r w:rsidRPr="00344BDE">
        <w:rPr>
          <w:rFonts w:ascii="Palatino Linotype" w:eastAsia="Calibri" w:hAnsi="Palatino Linotype" w:cs="Tahoma"/>
          <w:b/>
          <w:bCs/>
          <w:lang w:val="x-none" w:eastAsia="en-US"/>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p>
    <w:p w14:paraId="442ADBBD" w14:textId="77777777" w:rsidR="00AC2DE3" w:rsidRPr="00EE40D9" w:rsidRDefault="00AC2DE3" w:rsidP="00AC2DE3">
      <w:pPr>
        <w:pStyle w:val="Encabezado"/>
        <w:tabs>
          <w:tab w:val="clear" w:pos="4419"/>
          <w:tab w:val="clear" w:pos="8838"/>
          <w:tab w:val="left" w:pos="7770"/>
        </w:tabs>
        <w:spacing w:line="360" w:lineRule="auto"/>
        <w:ind w:left="720"/>
        <w:jc w:val="both"/>
        <w:rPr>
          <w:rFonts w:ascii="Palatino Linotype" w:hAnsi="Palatino Linotype"/>
          <w:bCs/>
        </w:rPr>
      </w:pPr>
    </w:p>
    <w:p w14:paraId="3B3CC876" w14:textId="77777777" w:rsidR="00AC2DE3" w:rsidRPr="00056DFC" w:rsidRDefault="00AC2DE3" w:rsidP="003D19C8">
      <w:pPr>
        <w:pStyle w:val="Encabezado"/>
        <w:numPr>
          <w:ilvl w:val="0"/>
          <w:numId w:val="8"/>
        </w:numPr>
        <w:tabs>
          <w:tab w:val="clear" w:pos="4419"/>
          <w:tab w:val="clear" w:pos="8838"/>
          <w:tab w:val="left" w:pos="7770"/>
        </w:tabs>
        <w:spacing w:line="360" w:lineRule="auto"/>
        <w:jc w:val="both"/>
        <w:rPr>
          <w:rFonts w:ascii="Palatino Linotype" w:hAnsi="Palatino Linotype"/>
          <w:b/>
          <w:bCs/>
        </w:rPr>
      </w:pPr>
      <w:r w:rsidRPr="00EE40D9">
        <w:rPr>
          <w:rFonts w:ascii="Palatino Linotype" w:hAnsi="Palatino Linotype"/>
          <w:b/>
          <w:bCs/>
        </w:rPr>
        <w:t xml:space="preserve">Nombre del titular: </w:t>
      </w:r>
      <w:r w:rsidRPr="00EE40D9">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w:t>
      </w:r>
      <w:r w:rsidRPr="00EE40D9">
        <w:rPr>
          <w:rFonts w:ascii="Palatino Linotype" w:hAnsi="Palatino Linotype"/>
          <w:bCs/>
        </w:rPr>
        <w:lastRenderedPageBreak/>
        <w:t xml:space="preserve">sentido contrario, tratándose de servidores públicos, el nombre no goza de protección, al ser un dato público. </w:t>
      </w:r>
    </w:p>
    <w:p w14:paraId="25E338CD" w14:textId="77777777" w:rsidR="00AC2DE3" w:rsidRDefault="00AC2DE3" w:rsidP="00AC2DE3">
      <w:pPr>
        <w:pStyle w:val="Prrafodelista"/>
        <w:rPr>
          <w:rFonts w:ascii="Palatino Linotype" w:hAnsi="Palatino Linotype"/>
          <w:b/>
          <w:bCs/>
        </w:rPr>
      </w:pPr>
    </w:p>
    <w:p w14:paraId="1906D376" w14:textId="77777777" w:rsidR="00AC2DE3" w:rsidRPr="00EE40D9" w:rsidRDefault="00AC2DE3" w:rsidP="003D19C8">
      <w:pPr>
        <w:pStyle w:val="Encabezado"/>
        <w:numPr>
          <w:ilvl w:val="0"/>
          <w:numId w:val="8"/>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Clave Única de Registro de Población:</w:t>
      </w:r>
      <w:r w:rsidRPr="00EE40D9">
        <w:rPr>
          <w:rFonts w:ascii="Palatino Linotype" w:hAnsi="Palatino Linotype"/>
          <w:bCs/>
        </w:rPr>
        <w:t xml:space="preserve"> </w:t>
      </w:r>
      <w:r w:rsidRPr="00EE40D9">
        <w:rPr>
          <w:rFonts w:ascii="Palatino Linotype" w:eastAsia="Times New Roman" w:hAnsi="Palatino Linotype" w:cs="Arial"/>
          <w:bCs/>
          <w:lang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5EB182E" w14:textId="77777777" w:rsidR="00AC2DE3" w:rsidRPr="00EE40D9" w:rsidRDefault="00AC2DE3" w:rsidP="00AC2DE3">
      <w:pPr>
        <w:pStyle w:val="Prrafodelista"/>
        <w:spacing w:line="360" w:lineRule="auto"/>
        <w:jc w:val="both"/>
        <w:rPr>
          <w:rFonts w:ascii="Palatino Linotype" w:hAnsi="Palatino Linotype"/>
          <w:bCs/>
        </w:rPr>
      </w:pPr>
    </w:p>
    <w:p w14:paraId="170B6D09" w14:textId="77777777" w:rsidR="00AC2DE3" w:rsidRPr="00EE40D9" w:rsidRDefault="00AC2DE3" w:rsidP="003D19C8">
      <w:pPr>
        <w:pStyle w:val="Encabezado"/>
        <w:numPr>
          <w:ilvl w:val="0"/>
          <w:numId w:val="8"/>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Nombre y firma del Director General de Profesiones de la Secretaría de Educación Pública:</w:t>
      </w:r>
      <w:r w:rsidRPr="00EE40D9">
        <w:rPr>
          <w:rFonts w:ascii="Palatino Linotype" w:hAnsi="Palatino Linotype"/>
          <w:bCs/>
        </w:rPr>
        <w:t xml:space="preserve"> Se estima como un dato de carácter público, al dar fe de que la expedición de la cédula profesional fue en ejercicio de las facultades conferidas. </w:t>
      </w:r>
    </w:p>
    <w:p w14:paraId="2C62C152" w14:textId="77777777" w:rsidR="00AC2DE3" w:rsidRPr="00EE40D9" w:rsidRDefault="00AC2DE3" w:rsidP="00AC2DE3">
      <w:pPr>
        <w:pStyle w:val="Prrafodelista"/>
        <w:spacing w:line="360" w:lineRule="auto"/>
        <w:jc w:val="both"/>
        <w:rPr>
          <w:rFonts w:ascii="Palatino Linotype" w:hAnsi="Palatino Linotype"/>
          <w:bCs/>
        </w:rPr>
      </w:pPr>
    </w:p>
    <w:p w14:paraId="639F3277" w14:textId="77777777" w:rsidR="00AC2DE3" w:rsidRPr="00EE40D9" w:rsidRDefault="00AC2DE3" w:rsidP="003D19C8">
      <w:pPr>
        <w:pStyle w:val="Encabezado"/>
        <w:numPr>
          <w:ilvl w:val="0"/>
          <w:numId w:val="8"/>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 xml:space="preserve">Firma del titular: </w:t>
      </w:r>
      <w:r w:rsidRPr="00EE40D9">
        <w:rPr>
          <w:rFonts w:ascii="Palatino Linotype" w:hAnsi="Palatino Linotype"/>
          <w:bCs/>
        </w:rPr>
        <w:t xml:space="preserve">Tratándose de personas físicas en el rol de ciudadanos, es </w:t>
      </w:r>
      <w:r w:rsidRPr="00EE40D9">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6D5FEA9A" w14:textId="77777777" w:rsidR="00AC2DE3" w:rsidRPr="00EE40D9" w:rsidRDefault="00AC2DE3" w:rsidP="00AC2DE3">
      <w:pPr>
        <w:pStyle w:val="Prrafodelista"/>
        <w:spacing w:line="360" w:lineRule="auto"/>
        <w:jc w:val="both"/>
        <w:rPr>
          <w:rFonts w:ascii="Palatino Linotype" w:hAnsi="Palatino Linotype"/>
          <w:bCs/>
        </w:rPr>
      </w:pPr>
    </w:p>
    <w:p w14:paraId="13B7FAF4" w14:textId="77777777" w:rsidR="00AC2DE3" w:rsidRPr="00EE40D9" w:rsidRDefault="00AC2DE3" w:rsidP="00AC2DE3">
      <w:pPr>
        <w:pStyle w:val="Encabezado"/>
        <w:tabs>
          <w:tab w:val="clear" w:pos="4419"/>
          <w:tab w:val="clear" w:pos="8838"/>
          <w:tab w:val="left" w:pos="7770"/>
        </w:tabs>
        <w:spacing w:line="360" w:lineRule="auto"/>
        <w:ind w:left="720"/>
        <w:jc w:val="both"/>
        <w:rPr>
          <w:rFonts w:ascii="Palatino Linotype" w:hAnsi="Palatino Linotype"/>
          <w:bCs/>
        </w:rPr>
      </w:pPr>
      <w:r w:rsidRPr="00EE40D9">
        <w:rPr>
          <w:rFonts w:ascii="Palatino Linotype"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w:t>
      </w:r>
      <w:r w:rsidRPr="00EE40D9">
        <w:rPr>
          <w:rFonts w:ascii="Palatino Linotype" w:hAnsi="Palatino Linotype"/>
          <w:bCs/>
        </w:rPr>
        <w:lastRenderedPageBreak/>
        <w:t xml:space="preserve">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1423106D" w14:textId="77777777" w:rsidR="00AC2DE3" w:rsidRDefault="00AC2DE3" w:rsidP="00AC2DE3">
      <w:pPr>
        <w:spacing w:line="360" w:lineRule="auto"/>
        <w:jc w:val="both"/>
        <w:rPr>
          <w:rFonts w:ascii="Palatino Linotype" w:eastAsia="Calibri" w:hAnsi="Palatino Linotype" w:cs="Arial"/>
          <w:sz w:val="24"/>
          <w:szCs w:val="24"/>
        </w:rPr>
      </w:pPr>
    </w:p>
    <w:p w14:paraId="2039D867" w14:textId="77777777" w:rsidR="00AC2DE3" w:rsidRDefault="00AC2DE3" w:rsidP="00AC2DE3">
      <w:pPr>
        <w:spacing w:line="360" w:lineRule="auto"/>
        <w:jc w:val="both"/>
        <w:rPr>
          <w:rFonts w:ascii="Palatino Linotype" w:eastAsia="Calibri" w:hAnsi="Palatino Linotype" w:cs="Arial"/>
          <w:sz w:val="24"/>
          <w:szCs w:val="24"/>
        </w:rPr>
      </w:pPr>
      <w:r>
        <w:rPr>
          <w:rFonts w:ascii="Palatino Linotype" w:eastAsia="Calibri" w:hAnsi="Palatino Linotype" w:cs="Arial"/>
          <w:sz w:val="24"/>
          <w:szCs w:val="24"/>
        </w:rPr>
        <w:t>Ahora bien, tocante a los documentos solicitados por el particular, se abordan a la luz de los artículos 47, 48 y 49 de la Ley del Trabajo de los Servidores Públicos del Estado de México y Municipios, así como el documento idóneo con el que se pudiera acreditar son los siguientes:</w:t>
      </w:r>
    </w:p>
    <w:p w14:paraId="5A5FEB5A" w14:textId="77777777" w:rsidR="00AC2DE3" w:rsidRDefault="00AC2DE3" w:rsidP="00AC2DE3">
      <w:pPr>
        <w:spacing w:line="360" w:lineRule="auto"/>
        <w:jc w:val="both"/>
        <w:rPr>
          <w:rFonts w:ascii="Palatino Linotype" w:hAnsi="Palatino Linotype"/>
          <w:sz w:val="24"/>
          <w:szCs w:val="24"/>
        </w:rPr>
      </w:pPr>
    </w:p>
    <w:tbl>
      <w:tblPr>
        <w:tblStyle w:val="Tablaconcuadrcula"/>
        <w:tblW w:w="0" w:type="auto"/>
        <w:tblLook w:val="04A0" w:firstRow="1" w:lastRow="0" w:firstColumn="1" w:lastColumn="0" w:noHBand="0" w:noVBand="1"/>
      </w:tblPr>
      <w:tblGrid>
        <w:gridCol w:w="626"/>
        <w:gridCol w:w="3911"/>
        <w:gridCol w:w="2572"/>
        <w:gridCol w:w="1953"/>
      </w:tblGrid>
      <w:tr w:rsidR="00AC2DE3" w:rsidRPr="007C7650" w14:paraId="457FDA7D" w14:textId="77777777" w:rsidTr="00A76D59">
        <w:tc>
          <w:tcPr>
            <w:tcW w:w="626" w:type="dxa"/>
            <w:shd w:val="clear" w:color="auto" w:fill="D9D9D9" w:themeFill="background1" w:themeFillShade="D9"/>
          </w:tcPr>
          <w:p w14:paraId="11E3E585"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No.</w:t>
            </w:r>
          </w:p>
        </w:tc>
        <w:tc>
          <w:tcPr>
            <w:tcW w:w="3911" w:type="dxa"/>
            <w:shd w:val="clear" w:color="auto" w:fill="D9D9D9" w:themeFill="background1" w:themeFillShade="D9"/>
            <w:vAlign w:val="center"/>
          </w:tcPr>
          <w:p w14:paraId="6EE8E7D8"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Requisito establecido en la Ley del Trabajo de los Servidores Públicos del Estado y Municipios</w:t>
            </w:r>
          </w:p>
        </w:tc>
        <w:tc>
          <w:tcPr>
            <w:tcW w:w="2572" w:type="dxa"/>
            <w:shd w:val="clear" w:color="auto" w:fill="D9D9D9" w:themeFill="background1" w:themeFillShade="D9"/>
            <w:vAlign w:val="center"/>
          </w:tcPr>
          <w:p w14:paraId="78134313"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Documento que lo acredita</w:t>
            </w:r>
          </w:p>
        </w:tc>
        <w:tc>
          <w:tcPr>
            <w:tcW w:w="1953" w:type="dxa"/>
            <w:shd w:val="clear" w:color="auto" w:fill="D9D9D9" w:themeFill="background1" w:themeFillShade="D9"/>
            <w:vAlign w:val="center"/>
          </w:tcPr>
          <w:p w14:paraId="1601289D"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Clasificación de la Información</w:t>
            </w:r>
          </w:p>
        </w:tc>
      </w:tr>
      <w:tr w:rsidR="00AC2DE3" w:rsidRPr="007C7650" w14:paraId="7F58DE57" w14:textId="77777777" w:rsidTr="00A76D59">
        <w:tc>
          <w:tcPr>
            <w:tcW w:w="626" w:type="dxa"/>
            <w:vAlign w:val="center"/>
          </w:tcPr>
          <w:p w14:paraId="54EDC3E0"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1</w:t>
            </w:r>
          </w:p>
        </w:tc>
        <w:tc>
          <w:tcPr>
            <w:tcW w:w="3911" w:type="dxa"/>
            <w:vAlign w:val="center"/>
          </w:tcPr>
          <w:p w14:paraId="408059BE"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Presentar una solicitud utilizando la forma oficial que se autorice por la institución pública o dependencia correspondiente.</w:t>
            </w:r>
          </w:p>
        </w:tc>
        <w:tc>
          <w:tcPr>
            <w:tcW w:w="2572" w:type="dxa"/>
            <w:vAlign w:val="center"/>
          </w:tcPr>
          <w:p w14:paraId="16FFA10C"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Solicitud de empleo, ficha curricular, curr</w:t>
            </w:r>
            <w:r>
              <w:rPr>
                <w:rFonts w:ascii="Palatino Linotype" w:hAnsi="Palatino Linotype" w:cs="Arial"/>
                <w:sz w:val="22"/>
                <w:szCs w:val="22"/>
              </w:rPr>
              <w:t>í</w:t>
            </w:r>
            <w:r w:rsidRPr="007C7650">
              <w:rPr>
                <w:rFonts w:ascii="Palatino Linotype" w:hAnsi="Palatino Linotype" w:cs="Arial"/>
                <w:sz w:val="22"/>
                <w:szCs w:val="22"/>
              </w:rPr>
              <w:t>culum vitae o documento análogo</w:t>
            </w:r>
          </w:p>
        </w:tc>
        <w:tc>
          <w:tcPr>
            <w:tcW w:w="1953" w:type="dxa"/>
            <w:vAlign w:val="center"/>
          </w:tcPr>
          <w:p w14:paraId="67D206B9"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r w:rsidR="00AC2DE3" w:rsidRPr="007C7650" w14:paraId="49EFFDBC" w14:textId="77777777" w:rsidTr="00A76D59">
        <w:trPr>
          <w:trHeight w:val="517"/>
        </w:trPr>
        <w:tc>
          <w:tcPr>
            <w:tcW w:w="626" w:type="dxa"/>
            <w:vAlign w:val="center"/>
          </w:tcPr>
          <w:p w14:paraId="0F56A878"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2</w:t>
            </w:r>
          </w:p>
        </w:tc>
        <w:tc>
          <w:tcPr>
            <w:tcW w:w="3911" w:type="dxa"/>
            <w:vAlign w:val="center"/>
          </w:tcPr>
          <w:p w14:paraId="0A89B6A0"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Ser de nacionalidad mexicana.</w:t>
            </w:r>
          </w:p>
        </w:tc>
        <w:tc>
          <w:tcPr>
            <w:tcW w:w="2572" w:type="dxa"/>
            <w:vAlign w:val="center"/>
          </w:tcPr>
          <w:p w14:paraId="602FBFFC"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Acta de nacimiento</w:t>
            </w:r>
          </w:p>
        </w:tc>
        <w:tc>
          <w:tcPr>
            <w:tcW w:w="1953" w:type="dxa"/>
            <w:vAlign w:val="center"/>
          </w:tcPr>
          <w:p w14:paraId="22E518AA"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Confidencial</w:t>
            </w:r>
          </w:p>
        </w:tc>
      </w:tr>
      <w:tr w:rsidR="00AC2DE3" w:rsidRPr="007C7650" w14:paraId="0232B3F6" w14:textId="77777777" w:rsidTr="00A76D59">
        <w:tc>
          <w:tcPr>
            <w:tcW w:w="626" w:type="dxa"/>
            <w:vAlign w:val="center"/>
          </w:tcPr>
          <w:p w14:paraId="16E5F62F"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3</w:t>
            </w:r>
          </w:p>
        </w:tc>
        <w:tc>
          <w:tcPr>
            <w:tcW w:w="3911" w:type="dxa"/>
            <w:vAlign w:val="center"/>
          </w:tcPr>
          <w:p w14:paraId="0F22173C"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Estar en pleno ejercicio de sus derechos civiles y políticos.</w:t>
            </w:r>
          </w:p>
        </w:tc>
        <w:tc>
          <w:tcPr>
            <w:tcW w:w="2572" w:type="dxa"/>
            <w:vAlign w:val="center"/>
          </w:tcPr>
          <w:p w14:paraId="29E20814"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Derogado</w:t>
            </w:r>
          </w:p>
        </w:tc>
        <w:tc>
          <w:tcPr>
            <w:tcW w:w="1953" w:type="dxa"/>
            <w:vAlign w:val="center"/>
          </w:tcPr>
          <w:p w14:paraId="5F5CB258"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N/A</w:t>
            </w:r>
          </w:p>
        </w:tc>
      </w:tr>
      <w:tr w:rsidR="00AC2DE3" w:rsidRPr="007C7650" w14:paraId="3747F1E4" w14:textId="77777777" w:rsidTr="00A76D59">
        <w:tc>
          <w:tcPr>
            <w:tcW w:w="626" w:type="dxa"/>
            <w:vAlign w:val="center"/>
          </w:tcPr>
          <w:p w14:paraId="6E2E9D9C"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4</w:t>
            </w:r>
          </w:p>
        </w:tc>
        <w:tc>
          <w:tcPr>
            <w:tcW w:w="3911" w:type="dxa"/>
            <w:vAlign w:val="center"/>
          </w:tcPr>
          <w:p w14:paraId="0D616130"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Acreditar, cuando proceda, el cumplimiento de la Ley del Servicio Militar Nacional.</w:t>
            </w:r>
          </w:p>
        </w:tc>
        <w:tc>
          <w:tcPr>
            <w:tcW w:w="2572" w:type="dxa"/>
            <w:vAlign w:val="center"/>
          </w:tcPr>
          <w:p w14:paraId="6BDA2E0D"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Cartilla de Servicio Militar</w:t>
            </w:r>
          </w:p>
        </w:tc>
        <w:tc>
          <w:tcPr>
            <w:tcW w:w="1953" w:type="dxa"/>
            <w:vAlign w:val="center"/>
          </w:tcPr>
          <w:p w14:paraId="2C258ABB"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Confidencial</w:t>
            </w:r>
          </w:p>
        </w:tc>
      </w:tr>
      <w:tr w:rsidR="00AC2DE3" w:rsidRPr="007C7650" w14:paraId="72379924" w14:textId="77777777" w:rsidTr="00A76D59">
        <w:tc>
          <w:tcPr>
            <w:tcW w:w="626" w:type="dxa"/>
            <w:vAlign w:val="center"/>
          </w:tcPr>
          <w:p w14:paraId="5E177604"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lastRenderedPageBreak/>
              <w:t>5</w:t>
            </w:r>
          </w:p>
        </w:tc>
        <w:tc>
          <w:tcPr>
            <w:tcW w:w="3911" w:type="dxa"/>
            <w:vAlign w:val="center"/>
          </w:tcPr>
          <w:p w14:paraId="45176E84"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No haber sido separado anteriormente del servicio por las causas previstas en el artículo 93 de la presente ley.</w:t>
            </w:r>
          </w:p>
        </w:tc>
        <w:tc>
          <w:tcPr>
            <w:tcW w:w="2572" w:type="dxa"/>
            <w:vAlign w:val="center"/>
          </w:tcPr>
          <w:p w14:paraId="2EF7897B"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Manifestación bajo protesta de decir verdad.</w:t>
            </w:r>
          </w:p>
        </w:tc>
        <w:tc>
          <w:tcPr>
            <w:tcW w:w="1953" w:type="dxa"/>
            <w:vAlign w:val="center"/>
          </w:tcPr>
          <w:p w14:paraId="6962111E"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Documento íntegro</w:t>
            </w:r>
          </w:p>
        </w:tc>
      </w:tr>
      <w:tr w:rsidR="00AC2DE3" w:rsidRPr="007C7650" w14:paraId="073191F4" w14:textId="77777777" w:rsidTr="00A76D59">
        <w:tc>
          <w:tcPr>
            <w:tcW w:w="626" w:type="dxa"/>
            <w:vAlign w:val="center"/>
          </w:tcPr>
          <w:p w14:paraId="59FAF3D6"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6</w:t>
            </w:r>
          </w:p>
        </w:tc>
        <w:tc>
          <w:tcPr>
            <w:tcW w:w="3911" w:type="dxa"/>
            <w:vAlign w:val="center"/>
          </w:tcPr>
          <w:p w14:paraId="0B693907"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Tener buena salud, lo que se comprobará con los certificados médicos.</w:t>
            </w:r>
          </w:p>
        </w:tc>
        <w:tc>
          <w:tcPr>
            <w:tcW w:w="2572" w:type="dxa"/>
            <w:vAlign w:val="center"/>
          </w:tcPr>
          <w:p w14:paraId="5EBD84AD"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Certificado Médico</w:t>
            </w:r>
          </w:p>
        </w:tc>
        <w:tc>
          <w:tcPr>
            <w:tcW w:w="1953" w:type="dxa"/>
            <w:vAlign w:val="center"/>
          </w:tcPr>
          <w:p w14:paraId="2797D776"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Confidencial</w:t>
            </w:r>
          </w:p>
        </w:tc>
      </w:tr>
      <w:tr w:rsidR="00AC2DE3" w:rsidRPr="007C7650" w14:paraId="2DE37EBF" w14:textId="77777777" w:rsidTr="00A76D59">
        <w:tc>
          <w:tcPr>
            <w:tcW w:w="626" w:type="dxa"/>
            <w:vAlign w:val="center"/>
          </w:tcPr>
          <w:p w14:paraId="13B8E714"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7</w:t>
            </w:r>
          </w:p>
        </w:tc>
        <w:tc>
          <w:tcPr>
            <w:tcW w:w="3911" w:type="dxa"/>
            <w:vAlign w:val="center"/>
          </w:tcPr>
          <w:p w14:paraId="3785AEE7"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Cumplir con los requisitos que se establezcan para los diferentes puestos.</w:t>
            </w:r>
          </w:p>
        </w:tc>
        <w:tc>
          <w:tcPr>
            <w:tcW w:w="2572" w:type="dxa"/>
            <w:vAlign w:val="center"/>
          </w:tcPr>
          <w:p w14:paraId="1E939615"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En este caso, son aplicables los documentos previstos por la Ley Orgánica Municipal del Estado de México y Municipios, en virtud de que se trata de ayuntamientos.</w:t>
            </w:r>
          </w:p>
        </w:tc>
        <w:tc>
          <w:tcPr>
            <w:tcW w:w="1953" w:type="dxa"/>
            <w:vAlign w:val="center"/>
          </w:tcPr>
          <w:p w14:paraId="1EF16605"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Documento íntegro</w:t>
            </w:r>
          </w:p>
        </w:tc>
      </w:tr>
      <w:tr w:rsidR="00AC2DE3" w:rsidRPr="007C7650" w14:paraId="3A52D89F" w14:textId="77777777" w:rsidTr="00A76D59">
        <w:tc>
          <w:tcPr>
            <w:tcW w:w="626" w:type="dxa"/>
            <w:vAlign w:val="center"/>
          </w:tcPr>
          <w:p w14:paraId="0B823052"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8</w:t>
            </w:r>
          </w:p>
        </w:tc>
        <w:tc>
          <w:tcPr>
            <w:tcW w:w="3911" w:type="dxa"/>
            <w:vAlign w:val="center"/>
          </w:tcPr>
          <w:p w14:paraId="1C845F7B"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Acreditar por medio de los exámenes correspondientes los conocimientos y aptitudes necesarios para el desempeño del puesto.</w:t>
            </w:r>
          </w:p>
        </w:tc>
        <w:tc>
          <w:tcPr>
            <w:tcW w:w="2572" w:type="dxa"/>
            <w:vAlign w:val="center"/>
          </w:tcPr>
          <w:p w14:paraId="1D4FB32C"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El documento obtenido por haber acreditado los exámenes de oposición o de conocimientos o aptitudes necesarios para ejercer el cargo.</w:t>
            </w:r>
          </w:p>
        </w:tc>
        <w:tc>
          <w:tcPr>
            <w:tcW w:w="1953" w:type="dxa"/>
            <w:vAlign w:val="center"/>
          </w:tcPr>
          <w:p w14:paraId="15996F63"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r w:rsidR="00AC2DE3" w:rsidRPr="007C7650" w14:paraId="4F63C862" w14:textId="77777777" w:rsidTr="00A76D59">
        <w:tc>
          <w:tcPr>
            <w:tcW w:w="626" w:type="dxa"/>
            <w:vAlign w:val="center"/>
          </w:tcPr>
          <w:p w14:paraId="174D1352"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9</w:t>
            </w:r>
          </w:p>
        </w:tc>
        <w:tc>
          <w:tcPr>
            <w:tcW w:w="3911" w:type="dxa"/>
            <w:vAlign w:val="center"/>
          </w:tcPr>
          <w:p w14:paraId="02EAF62D"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No estar inhabilitado para el ejercicio del servicio público.</w:t>
            </w:r>
          </w:p>
        </w:tc>
        <w:tc>
          <w:tcPr>
            <w:tcW w:w="2572" w:type="dxa"/>
            <w:vAlign w:val="center"/>
          </w:tcPr>
          <w:p w14:paraId="0AF2D778"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Constancia de no inhabilitación.</w:t>
            </w:r>
          </w:p>
        </w:tc>
        <w:tc>
          <w:tcPr>
            <w:tcW w:w="1953" w:type="dxa"/>
            <w:vAlign w:val="center"/>
          </w:tcPr>
          <w:p w14:paraId="2140D623"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Documento íntegro</w:t>
            </w:r>
          </w:p>
        </w:tc>
      </w:tr>
      <w:tr w:rsidR="00AC2DE3" w:rsidRPr="007C7650" w14:paraId="137FA39C" w14:textId="77777777" w:rsidTr="00A76D59">
        <w:tc>
          <w:tcPr>
            <w:tcW w:w="626" w:type="dxa"/>
            <w:vAlign w:val="center"/>
          </w:tcPr>
          <w:p w14:paraId="420B33BA"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10</w:t>
            </w:r>
          </w:p>
        </w:tc>
        <w:tc>
          <w:tcPr>
            <w:tcW w:w="3911" w:type="dxa"/>
            <w:vAlign w:val="center"/>
          </w:tcPr>
          <w:p w14:paraId="42CC39BE"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Presentar certificado expedido por la Unidad del Registro de Deudores Alimentarios Morosos en el que conste, si se encuentra inscrito o no en el mismo.</w:t>
            </w:r>
          </w:p>
        </w:tc>
        <w:tc>
          <w:tcPr>
            <w:tcW w:w="2572" w:type="dxa"/>
            <w:vAlign w:val="center"/>
          </w:tcPr>
          <w:p w14:paraId="2FCFF954"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Certificado de No Deudor Alimentario Moroso.</w:t>
            </w:r>
          </w:p>
        </w:tc>
        <w:tc>
          <w:tcPr>
            <w:tcW w:w="1953" w:type="dxa"/>
            <w:vAlign w:val="center"/>
          </w:tcPr>
          <w:p w14:paraId="589CD40C"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r w:rsidR="00AC2DE3" w:rsidRPr="007C7650" w14:paraId="6A0CFA86" w14:textId="77777777" w:rsidTr="00A76D59">
        <w:tc>
          <w:tcPr>
            <w:tcW w:w="626" w:type="dxa"/>
            <w:shd w:val="clear" w:color="auto" w:fill="auto"/>
            <w:vAlign w:val="center"/>
          </w:tcPr>
          <w:p w14:paraId="22B44395"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11</w:t>
            </w:r>
          </w:p>
        </w:tc>
        <w:tc>
          <w:tcPr>
            <w:tcW w:w="3911" w:type="dxa"/>
            <w:shd w:val="clear" w:color="auto" w:fill="auto"/>
            <w:vAlign w:val="center"/>
          </w:tcPr>
          <w:p w14:paraId="78916F89"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Para iniciar la prestación de los servicios</w:t>
            </w:r>
          </w:p>
        </w:tc>
        <w:tc>
          <w:tcPr>
            <w:tcW w:w="2572" w:type="dxa"/>
            <w:shd w:val="clear" w:color="auto" w:fill="auto"/>
            <w:vAlign w:val="center"/>
          </w:tcPr>
          <w:p w14:paraId="7E70D4C0" w14:textId="77777777" w:rsidR="00AC2DE3" w:rsidRPr="007C7650" w:rsidRDefault="00AC2DE3" w:rsidP="00A76D59">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Nombramiento, contrato o formato único de Movimientos de Personal.</w:t>
            </w:r>
          </w:p>
        </w:tc>
        <w:tc>
          <w:tcPr>
            <w:tcW w:w="1953" w:type="dxa"/>
            <w:vAlign w:val="center"/>
          </w:tcPr>
          <w:p w14:paraId="499EBEDD" w14:textId="77777777" w:rsidR="00AC2DE3" w:rsidRPr="007C7650" w:rsidRDefault="00AC2DE3" w:rsidP="00A76D59">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bl>
    <w:p w14:paraId="4CD491A3" w14:textId="77777777" w:rsidR="00AC2DE3" w:rsidRDefault="00AC2DE3" w:rsidP="00AC2DE3">
      <w:pPr>
        <w:spacing w:line="360" w:lineRule="auto"/>
        <w:jc w:val="both"/>
        <w:rPr>
          <w:rFonts w:ascii="Palatino Linotype" w:hAnsi="Palatino Linotype"/>
          <w:sz w:val="24"/>
          <w:szCs w:val="24"/>
        </w:rPr>
      </w:pPr>
    </w:p>
    <w:p w14:paraId="01B450A7" w14:textId="77777777" w:rsidR="00AC2DE3" w:rsidRPr="007C7650" w:rsidRDefault="00AC2DE3" w:rsidP="00AC2DE3">
      <w:pPr>
        <w:tabs>
          <w:tab w:val="left" w:pos="709"/>
        </w:tabs>
        <w:spacing w:after="0" w:line="360" w:lineRule="auto"/>
        <w:jc w:val="both"/>
        <w:rPr>
          <w:rFonts w:ascii="Palatino Linotype" w:eastAsia="Times New Roman" w:hAnsi="Palatino Linotype" w:cs="Arial"/>
          <w:sz w:val="24"/>
          <w:lang w:val="es-ES"/>
        </w:rPr>
      </w:pPr>
      <w:r w:rsidRPr="007C7650">
        <w:rPr>
          <w:rFonts w:ascii="Palatino Linotype" w:eastAsia="Times New Roman" w:hAnsi="Palatino Linotype" w:cs="Arial"/>
          <w:sz w:val="24"/>
          <w:lang w:val="es-ES"/>
        </w:rPr>
        <w:lastRenderedPageBreak/>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p>
    <w:p w14:paraId="7D86BB9B" w14:textId="77777777" w:rsidR="00AC2DE3" w:rsidRPr="007C7650" w:rsidRDefault="00AC2DE3" w:rsidP="00AC2DE3">
      <w:pPr>
        <w:tabs>
          <w:tab w:val="left" w:pos="709"/>
        </w:tabs>
        <w:spacing w:after="0" w:line="360" w:lineRule="auto"/>
        <w:jc w:val="both"/>
        <w:rPr>
          <w:rFonts w:ascii="Palatino Linotype" w:eastAsia="Times New Roman" w:hAnsi="Palatino Linotype" w:cs="Arial"/>
          <w:sz w:val="24"/>
          <w:lang w:val="es-ES"/>
        </w:rPr>
      </w:pPr>
    </w:p>
    <w:p w14:paraId="34D81835" w14:textId="77777777" w:rsidR="00AC2DE3" w:rsidRPr="007C7650" w:rsidRDefault="00AC2DE3" w:rsidP="00AC2DE3">
      <w:pPr>
        <w:tabs>
          <w:tab w:val="left" w:pos="709"/>
        </w:tabs>
        <w:spacing w:after="0" w:line="360" w:lineRule="auto"/>
        <w:jc w:val="both"/>
        <w:rPr>
          <w:rFonts w:ascii="Palatino Linotype" w:hAnsi="Palatino Linotype" w:cs="Arial"/>
          <w:sz w:val="24"/>
        </w:rPr>
      </w:pPr>
      <w:r w:rsidRPr="007C7650">
        <w:rPr>
          <w:rFonts w:ascii="Palatino Linotype" w:hAnsi="Palatino Linotype" w:cs="Arial"/>
          <w:sz w:val="24"/>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7C7650">
        <w:rPr>
          <w:rFonts w:ascii="Palatino Linotype" w:hAnsi="Palatino Linotype" w:cs="Arial"/>
          <w:b/>
          <w:sz w:val="24"/>
        </w:rPr>
        <w:t>Sujeto Obligado</w:t>
      </w:r>
      <w:r w:rsidRPr="007C7650">
        <w:rPr>
          <w:rFonts w:ascii="Palatino Linotype" w:hAnsi="Palatino Linotype" w:cs="Arial"/>
          <w:sz w:val="24"/>
        </w:rPr>
        <w:t xml:space="preserve">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14:paraId="61256D36" w14:textId="77777777" w:rsidR="00AC2DE3" w:rsidRPr="007C7650" w:rsidRDefault="00AC2DE3" w:rsidP="00AC2DE3">
      <w:pPr>
        <w:tabs>
          <w:tab w:val="left" w:pos="709"/>
        </w:tabs>
        <w:spacing w:after="0" w:line="360" w:lineRule="auto"/>
        <w:jc w:val="both"/>
        <w:rPr>
          <w:rFonts w:ascii="Palatino Linotype" w:hAnsi="Palatino Linotype" w:cs="Arial"/>
          <w:sz w:val="24"/>
        </w:rPr>
      </w:pPr>
    </w:p>
    <w:p w14:paraId="73DBA727" w14:textId="77777777" w:rsidR="00AC2DE3" w:rsidRPr="007C7650" w:rsidRDefault="00AC2DE3" w:rsidP="00AC2DE3">
      <w:pPr>
        <w:pStyle w:val="Prrafodelista"/>
        <w:tabs>
          <w:tab w:val="left" w:pos="284"/>
          <w:tab w:val="left" w:pos="426"/>
        </w:tabs>
        <w:spacing w:line="360" w:lineRule="auto"/>
        <w:ind w:left="0" w:right="49"/>
        <w:contextualSpacing/>
        <w:jc w:val="both"/>
        <w:rPr>
          <w:rFonts w:ascii="Palatino Linotype" w:hAnsi="Palatino Linotype" w:cs="Arial"/>
        </w:rPr>
      </w:pPr>
      <w:r w:rsidRPr="007C7650">
        <w:rPr>
          <w:rFonts w:ascii="Palatino Linotype" w:hAnsi="Palatino Linotype" w:cs="Arial"/>
        </w:rPr>
        <w:t>Ahora bien, del análisis de las documentales que integran dichos apartados en un expediente laboral, se destaca que en ambos se incluyen documentales personales, que solo son del interés del servidor público y que su difusión o apertura, no contribuiría a la transparencia, ni a la rendición de cuentas, por lo que no resultaría justificada la publicidad de estos; sin embargo también se conforma de documentos que son públicos y que si bien contienen datos personales, los mismos podrían hacerse del conocimiento de la sociedad en sus respectivas versiones públicas.</w:t>
      </w:r>
    </w:p>
    <w:p w14:paraId="74100FEF" w14:textId="77777777" w:rsidR="00AC2DE3" w:rsidRPr="007C7650" w:rsidRDefault="00AC2DE3" w:rsidP="00AC2DE3">
      <w:pPr>
        <w:pStyle w:val="Prrafodelista"/>
        <w:tabs>
          <w:tab w:val="left" w:pos="284"/>
          <w:tab w:val="left" w:pos="426"/>
        </w:tabs>
        <w:spacing w:line="360" w:lineRule="auto"/>
        <w:ind w:left="0" w:right="49"/>
        <w:contextualSpacing/>
        <w:jc w:val="both"/>
        <w:rPr>
          <w:rFonts w:ascii="Palatino Linotype" w:hAnsi="Palatino Linotype" w:cs="Arial"/>
        </w:rPr>
      </w:pPr>
      <w:r w:rsidRPr="007C7650">
        <w:rPr>
          <w:rFonts w:ascii="Palatino Linotype" w:hAnsi="Palatino Linotype" w:cs="Arial"/>
        </w:rPr>
        <w:lastRenderedPageBreak/>
        <w:t>Para robustecer lo anterior, es de considerar el Criterio 16/2006 emitido por el Comité de Acceso a la Información y Protección de Datos Personales de la suprema Corte de Justicia de la Nación, que dispone lo siguiente:</w:t>
      </w:r>
    </w:p>
    <w:p w14:paraId="2740356B" w14:textId="77777777" w:rsidR="00AC2DE3" w:rsidRPr="007C7650" w:rsidRDefault="00AC2DE3" w:rsidP="00AC2DE3">
      <w:pPr>
        <w:pStyle w:val="Sinespaciado"/>
      </w:pPr>
    </w:p>
    <w:p w14:paraId="654E0B6E" w14:textId="77777777" w:rsidR="00AC2DE3" w:rsidRPr="00402831" w:rsidRDefault="00AC2DE3" w:rsidP="00AC2DE3">
      <w:pPr>
        <w:pStyle w:val="Citas"/>
        <w:rPr>
          <w:b/>
          <w:bCs/>
          <w:lang w:val="es-ES"/>
        </w:rPr>
      </w:pPr>
      <w:r w:rsidRPr="00402831">
        <w:rPr>
          <w:b/>
          <w:bCs/>
          <w:lang w:val="es-ES"/>
        </w:rPr>
        <w:t xml:space="preserve">“EXPEDIENTES LABORALES ADMINISTRATIVOS DE LOS SERVIDORES PÚBLICOS DE LA SUPREMA CORTE DE JUSTICIA DE LA NACIÓN. ES PÚBLICA LA INFORMACIÓN QUE EN ELLOS SE CONTIENE, SALVO LOS DATOS PERSONALES. </w:t>
      </w:r>
    </w:p>
    <w:p w14:paraId="7E1978B0" w14:textId="67978058" w:rsidR="00AC2DE3" w:rsidRPr="003E59A5" w:rsidRDefault="00AC2DE3" w:rsidP="00AC2DE3">
      <w:pPr>
        <w:pStyle w:val="Citas"/>
        <w:rPr>
          <w:b/>
          <w:bCs/>
          <w:lang w:val="es-ES"/>
        </w:rPr>
      </w:pPr>
      <w:r w:rsidRPr="007C7650">
        <w:rPr>
          <w:lang w:val="es-ES"/>
        </w:rPr>
        <w:t>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r w:rsidR="003E59A5">
        <w:rPr>
          <w:b/>
          <w:bCs/>
          <w:lang w:val="es-ES"/>
        </w:rPr>
        <w:t>(Sic)</w:t>
      </w:r>
    </w:p>
    <w:p w14:paraId="34D837F1" w14:textId="77777777" w:rsidR="00AC2DE3" w:rsidRDefault="00AC2DE3" w:rsidP="00AC2DE3">
      <w:pPr>
        <w:pStyle w:val="Prrafodelista"/>
        <w:tabs>
          <w:tab w:val="left" w:pos="284"/>
          <w:tab w:val="left" w:pos="426"/>
        </w:tabs>
        <w:spacing w:line="360" w:lineRule="auto"/>
        <w:ind w:left="0" w:right="49"/>
        <w:contextualSpacing/>
        <w:jc w:val="both"/>
        <w:rPr>
          <w:rFonts w:ascii="Palatino Linotype" w:hAnsi="Palatino Linotype" w:cs="Arial"/>
        </w:rPr>
      </w:pPr>
      <w:r w:rsidRPr="007C7650">
        <w:rPr>
          <w:rFonts w:ascii="Palatino Linotype" w:hAnsi="Palatino Linotype" w:cs="Arial"/>
        </w:rPr>
        <w:lastRenderedPageBreak/>
        <w:t>En ese tenor, de los documentos de cada uno de los Servidores Públicos adscritos a</w:t>
      </w:r>
      <w:r>
        <w:rPr>
          <w:rFonts w:ascii="Palatino Linotype" w:hAnsi="Palatino Linotype" w:cs="Arial"/>
        </w:rPr>
        <w:t xml:space="preserve">l Ayuntamiento de </w:t>
      </w:r>
      <w:proofErr w:type="spellStart"/>
      <w:r>
        <w:rPr>
          <w:rFonts w:ascii="Palatino Linotype" w:hAnsi="Palatino Linotype" w:cs="Arial"/>
        </w:rPr>
        <w:t>Temamatla</w:t>
      </w:r>
      <w:proofErr w:type="spellEnd"/>
      <w:r>
        <w:rPr>
          <w:rFonts w:ascii="Palatino Linotype" w:hAnsi="Palatino Linotype" w:cs="Arial"/>
        </w:rPr>
        <w:t xml:space="preserve">, es de señalar que derivado de la integración de los expedientes laborales, no todos son susceptibles de </w:t>
      </w:r>
      <w:r w:rsidRPr="007C7650">
        <w:rPr>
          <w:rFonts w:ascii="Palatino Linotype" w:hAnsi="Palatino Linotype" w:cs="Arial"/>
          <w:b/>
          <w:u w:val="single"/>
        </w:rPr>
        <w:t>entregarse mediante la emisión de una versión pública, esto en razón de que algunos son suscritos en el terreno de la vida privada de los servidores públicos, que no guarda relación con la transparencia o rendición de cuentas</w:t>
      </w:r>
      <w:r w:rsidRPr="007C7650">
        <w:rPr>
          <w:rFonts w:ascii="Palatino Linotype" w:hAnsi="Palatino Linotype" w:cs="Arial"/>
        </w:rPr>
        <w:t>, aunado a que de ser procedente la emisión de una versión pública estos se encontrarían con datos testados, suprimidos o eliminados en su mayoría, de conformidad con lo siguiente.</w:t>
      </w:r>
    </w:p>
    <w:p w14:paraId="315EC793" w14:textId="65E6E3ED" w:rsidR="00AC2DE3" w:rsidRDefault="00AC2DE3" w:rsidP="00AC2DE3">
      <w:pPr>
        <w:spacing w:line="360" w:lineRule="auto"/>
        <w:jc w:val="both"/>
        <w:rPr>
          <w:rFonts w:ascii="Palatino Linotype" w:hAnsi="Palatino Linotype"/>
          <w:sz w:val="24"/>
          <w:szCs w:val="24"/>
          <w:lang w:val="es-ES"/>
        </w:rPr>
      </w:pPr>
    </w:p>
    <w:p w14:paraId="02CFB15B" w14:textId="5B024C2B" w:rsidR="00AC2DE3" w:rsidRPr="00D37AD5" w:rsidRDefault="00AC2DE3" w:rsidP="00AC2DE3">
      <w:pPr>
        <w:spacing w:line="360" w:lineRule="auto"/>
        <w:jc w:val="both"/>
        <w:rPr>
          <w:rFonts w:ascii="Palatino Linotype" w:hAnsi="Palatino Linotype"/>
          <w:b/>
          <w:bCs/>
          <w:sz w:val="24"/>
          <w:szCs w:val="24"/>
        </w:rPr>
      </w:pPr>
      <w:r w:rsidRPr="00D37AD5">
        <w:rPr>
          <w:rFonts w:ascii="Palatino Linotype" w:hAnsi="Palatino Linotype"/>
          <w:sz w:val="24"/>
          <w:szCs w:val="24"/>
        </w:rPr>
        <w:t xml:space="preserve">Por otra parte, con relación </w:t>
      </w:r>
      <w:r>
        <w:rPr>
          <w:rFonts w:ascii="Palatino Linotype" w:hAnsi="Palatino Linotype"/>
          <w:sz w:val="24"/>
          <w:szCs w:val="24"/>
        </w:rPr>
        <w:t>a los requisitos de mandos medios y superiores en el ámbito municipal</w:t>
      </w:r>
      <w:r w:rsidRPr="00D37AD5">
        <w:rPr>
          <w:rFonts w:ascii="Palatino Linotype" w:hAnsi="Palatino Linotype"/>
          <w:sz w:val="24"/>
          <w:szCs w:val="24"/>
        </w:rPr>
        <w:t xml:space="preserve">, se advierte que resultan de su interés </w:t>
      </w:r>
      <w:r w:rsidRPr="007B4FB3">
        <w:rPr>
          <w:rFonts w:ascii="Palatino Linotype" w:hAnsi="Palatino Linotype"/>
          <w:sz w:val="24"/>
          <w:szCs w:val="24"/>
        </w:rPr>
        <w:t xml:space="preserve">las previstas en los artículos </w:t>
      </w:r>
      <w:r w:rsidR="00B76EC1" w:rsidRPr="00B76EC1">
        <w:rPr>
          <w:rFonts w:ascii="Palatino Linotype" w:hAnsi="Palatino Linotype"/>
          <w:sz w:val="24"/>
          <w:szCs w:val="24"/>
        </w:rPr>
        <w:t xml:space="preserve">15, 32, 81 bis, 85 </w:t>
      </w:r>
      <w:proofErr w:type="spellStart"/>
      <w:r w:rsidR="00B76EC1" w:rsidRPr="00B76EC1">
        <w:rPr>
          <w:rFonts w:ascii="Palatino Linotype" w:hAnsi="Palatino Linotype"/>
          <w:sz w:val="24"/>
          <w:szCs w:val="24"/>
        </w:rPr>
        <w:t>sexies</w:t>
      </w:r>
      <w:proofErr w:type="spellEnd"/>
      <w:r w:rsidR="00B76EC1" w:rsidRPr="00B76EC1">
        <w:rPr>
          <w:rFonts w:ascii="Palatino Linotype" w:hAnsi="Palatino Linotype"/>
          <w:sz w:val="24"/>
          <w:szCs w:val="24"/>
        </w:rPr>
        <w:t xml:space="preserve">, 92, 96, 96 ter, 96 </w:t>
      </w:r>
      <w:proofErr w:type="spellStart"/>
      <w:r w:rsidR="00B76EC1" w:rsidRPr="00B76EC1">
        <w:rPr>
          <w:rFonts w:ascii="Palatino Linotype" w:hAnsi="Palatino Linotype"/>
          <w:sz w:val="24"/>
          <w:szCs w:val="24"/>
        </w:rPr>
        <w:t>quintus</w:t>
      </w:r>
      <w:proofErr w:type="spellEnd"/>
      <w:r w:rsidR="00B76EC1" w:rsidRPr="00B76EC1">
        <w:rPr>
          <w:rFonts w:ascii="Palatino Linotype" w:hAnsi="Palatino Linotype"/>
          <w:sz w:val="24"/>
          <w:szCs w:val="24"/>
        </w:rPr>
        <w:t xml:space="preserve">, 96 </w:t>
      </w:r>
      <w:proofErr w:type="spellStart"/>
      <w:r w:rsidR="00B76EC1" w:rsidRPr="00B76EC1">
        <w:rPr>
          <w:rFonts w:ascii="Palatino Linotype" w:hAnsi="Palatino Linotype"/>
          <w:sz w:val="24"/>
          <w:szCs w:val="24"/>
        </w:rPr>
        <w:t>septies</w:t>
      </w:r>
      <w:proofErr w:type="spellEnd"/>
      <w:r w:rsidR="00B76EC1" w:rsidRPr="00B76EC1">
        <w:rPr>
          <w:rFonts w:ascii="Palatino Linotype" w:hAnsi="Palatino Linotype"/>
          <w:sz w:val="24"/>
          <w:szCs w:val="24"/>
        </w:rPr>
        <w:t xml:space="preserve">, 96 </w:t>
      </w:r>
      <w:proofErr w:type="spellStart"/>
      <w:r w:rsidR="00B76EC1" w:rsidRPr="00B76EC1">
        <w:rPr>
          <w:rFonts w:ascii="Palatino Linotype" w:hAnsi="Palatino Linotype"/>
          <w:sz w:val="24"/>
          <w:szCs w:val="24"/>
        </w:rPr>
        <w:t>nonies</w:t>
      </w:r>
      <w:proofErr w:type="spellEnd"/>
      <w:r w:rsidR="00B76EC1" w:rsidRPr="00B76EC1">
        <w:rPr>
          <w:rFonts w:ascii="Palatino Linotype" w:hAnsi="Palatino Linotype"/>
          <w:sz w:val="24"/>
          <w:szCs w:val="24"/>
        </w:rPr>
        <w:t xml:space="preserve">, 96 </w:t>
      </w:r>
      <w:proofErr w:type="spellStart"/>
      <w:r w:rsidR="00B76EC1" w:rsidRPr="00B76EC1">
        <w:rPr>
          <w:rFonts w:ascii="Palatino Linotype" w:hAnsi="Palatino Linotype"/>
          <w:sz w:val="24"/>
          <w:szCs w:val="24"/>
        </w:rPr>
        <w:t>undecies</w:t>
      </w:r>
      <w:proofErr w:type="spellEnd"/>
      <w:r w:rsidR="00B76EC1" w:rsidRPr="00B76EC1">
        <w:rPr>
          <w:rFonts w:ascii="Palatino Linotype" w:hAnsi="Palatino Linotype"/>
          <w:sz w:val="24"/>
          <w:szCs w:val="24"/>
        </w:rPr>
        <w:t xml:space="preserve">, 96 </w:t>
      </w:r>
      <w:proofErr w:type="spellStart"/>
      <w:r w:rsidR="00B76EC1" w:rsidRPr="00B76EC1">
        <w:rPr>
          <w:rFonts w:ascii="Palatino Linotype" w:hAnsi="Palatino Linotype"/>
          <w:sz w:val="24"/>
          <w:szCs w:val="24"/>
        </w:rPr>
        <w:t>terdecies</w:t>
      </w:r>
      <w:proofErr w:type="spellEnd"/>
      <w:r w:rsidR="00B76EC1" w:rsidRPr="00B76EC1">
        <w:rPr>
          <w:rFonts w:ascii="Palatino Linotype" w:hAnsi="Palatino Linotype"/>
          <w:sz w:val="24"/>
          <w:szCs w:val="24"/>
        </w:rPr>
        <w:t xml:space="preserve">, 96 </w:t>
      </w:r>
      <w:proofErr w:type="spellStart"/>
      <w:r w:rsidR="00B76EC1" w:rsidRPr="00B76EC1">
        <w:rPr>
          <w:rFonts w:ascii="Palatino Linotype" w:hAnsi="Palatino Linotype"/>
          <w:sz w:val="24"/>
          <w:szCs w:val="24"/>
        </w:rPr>
        <w:t>quindecies</w:t>
      </w:r>
      <w:proofErr w:type="spellEnd"/>
      <w:r w:rsidR="00B76EC1" w:rsidRPr="00B76EC1">
        <w:rPr>
          <w:rFonts w:ascii="Palatino Linotype" w:hAnsi="Palatino Linotype"/>
          <w:sz w:val="24"/>
          <w:szCs w:val="24"/>
        </w:rPr>
        <w:t xml:space="preserve">, </w:t>
      </w:r>
      <w:r w:rsidR="007F403A">
        <w:rPr>
          <w:rFonts w:ascii="Palatino Linotype" w:hAnsi="Palatino Linotype"/>
          <w:sz w:val="24"/>
          <w:szCs w:val="24"/>
        </w:rPr>
        <w:t xml:space="preserve">96 </w:t>
      </w:r>
      <w:proofErr w:type="spellStart"/>
      <w:r w:rsidR="007F403A">
        <w:rPr>
          <w:rFonts w:ascii="Palatino Linotype" w:hAnsi="Palatino Linotype"/>
          <w:sz w:val="24"/>
          <w:szCs w:val="24"/>
        </w:rPr>
        <w:t>sexdecies</w:t>
      </w:r>
      <w:proofErr w:type="spellEnd"/>
      <w:r w:rsidR="007F403A">
        <w:rPr>
          <w:rFonts w:ascii="Palatino Linotype" w:hAnsi="Palatino Linotype"/>
          <w:sz w:val="24"/>
          <w:szCs w:val="24"/>
        </w:rPr>
        <w:t xml:space="preserve">, </w:t>
      </w:r>
      <w:r w:rsidR="00B76EC1" w:rsidRPr="00B76EC1">
        <w:rPr>
          <w:rFonts w:ascii="Palatino Linotype" w:hAnsi="Palatino Linotype"/>
          <w:sz w:val="24"/>
          <w:szCs w:val="24"/>
        </w:rPr>
        <w:t>113, 123 bis</w:t>
      </w:r>
      <w:r w:rsidR="007F403A">
        <w:rPr>
          <w:rFonts w:ascii="Palatino Linotype" w:hAnsi="Palatino Linotype"/>
          <w:sz w:val="24"/>
          <w:szCs w:val="24"/>
        </w:rPr>
        <w:t xml:space="preserve"> y </w:t>
      </w:r>
      <w:r w:rsidR="00B76EC1" w:rsidRPr="00B76EC1">
        <w:rPr>
          <w:rFonts w:ascii="Palatino Linotype" w:hAnsi="Palatino Linotype"/>
          <w:sz w:val="24"/>
          <w:szCs w:val="24"/>
        </w:rPr>
        <w:t xml:space="preserve"> 124 </w:t>
      </w:r>
      <w:proofErr w:type="spellStart"/>
      <w:r w:rsidR="00B76EC1" w:rsidRPr="00B76EC1">
        <w:rPr>
          <w:rFonts w:ascii="Palatino Linotype" w:hAnsi="Palatino Linotype"/>
          <w:sz w:val="24"/>
          <w:szCs w:val="24"/>
        </w:rPr>
        <w:t>quater</w:t>
      </w:r>
      <w:proofErr w:type="spellEnd"/>
      <w:r w:rsidR="00B76EC1">
        <w:rPr>
          <w:rFonts w:ascii="Palatino Linotype" w:hAnsi="Palatino Linotype"/>
          <w:sz w:val="24"/>
          <w:szCs w:val="24"/>
        </w:rPr>
        <w:t xml:space="preserve"> </w:t>
      </w:r>
      <w:r w:rsidRPr="007B4FB3">
        <w:rPr>
          <w:rFonts w:ascii="Palatino Linotype" w:hAnsi="Palatino Linotype"/>
          <w:sz w:val="24"/>
          <w:szCs w:val="24"/>
        </w:rPr>
        <w:t>de la Ley Orgánica Municipal del Estado de México, porciones normativas que disponen a la literalidad lo siguiente:</w:t>
      </w:r>
    </w:p>
    <w:p w14:paraId="74D3B417" w14:textId="77777777" w:rsidR="00AC2DE3" w:rsidRPr="007B4FB3" w:rsidRDefault="00AC2DE3" w:rsidP="00AC2DE3">
      <w:pPr>
        <w:pStyle w:val="Citas"/>
      </w:pPr>
      <w:r>
        <w:t>“</w:t>
      </w:r>
      <w:r w:rsidRPr="007B4FB3">
        <w:t xml:space="preserve">Artículo 15.- Cada municipio será gobernado por un ayuntamiento de elección popular directa y no habrá ninguna autoridad intermedia entre éste y el Gobierno del Estado. </w:t>
      </w:r>
    </w:p>
    <w:p w14:paraId="78B0D3DC" w14:textId="77777777" w:rsidR="00AC2DE3" w:rsidRPr="007B4FB3" w:rsidRDefault="00AC2DE3" w:rsidP="00AC2DE3">
      <w:pPr>
        <w:pStyle w:val="Citas"/>
      </w:pPr>
      <w:r w:rsidRPr="007B4FB3">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14:paraId="32BC9948" w14:textId="77777777" w:rsidR="00AC2DE3" w:rsidRPr="007B4FB3" w:rsidRDefault="00AC2DE3" w:rsidP="00AC2DE3">
      <w:pPr>
        <w:pStyle w:val="Citas"/>
      </w:pPr>
      <w:r w:rsidRPr="007B4FB3">
        <w:lastRenderedPageBreak/>
        <w:t>Artículo 32. 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p>
    <w:p w14:paraId="08512A77" w14:textId="77777777" w:rsidR="00AC2DE3" w:rsidRPr="007B4FB3" w:rsidRDefault="00AC2DE3" w:rsidP="00AC2DE3">
      <w:pPr>
        <w:pStyle w:val="Citas"/>
      </w:pPr>
      <w:r w:rsidRPr="007B4FB3">
        <w:t>(…)</w:t>
      </w:r>
    </w:p>
    <w:p w14:paraId="2CD6B966" w14:textId="77777777" w:rsidR="00AC2DE3" w:rsidRPr="007B4FB3" w:rsidRDefault="00AC2DE3" w:rsidP="00AC2DE3">
      <w:pPr>
        <w:pStyle w:val="Citas"/>
      </w:pPr>
      <w:r w:rsidRPr="007B4FB3">
        <w:t>III. Contar con título profesional o acreditar experiencia mínima de un año en la materia, ante la o el Presidente o el Ayuntamiento, cuando sea el caso, para el desempeño de los cargos que así lo requieran;</w:t>
      </w:r>
    </w:p>
    <w:p w14:paraId="4493514D" w14:textId="77777777" w:rsidR="00AC2DE3" w:rsidRPr="007B4FB3" w:rsidRDefault="00AC2DE3" w:rsidP="00AC2DE3">
      <w:pPr>
        <w:pStyle w:val="Citas"/>
      </w:pPr>
      <w:r w:rsidRPr="007B4FB3">
        <w:t>(…)</w:t>
      </w:r>
    </w:p>
    <w:p w14:paraId="62A2C93E" w14:textId="77777777" w:rsidR="00AC2DE3" w:rsidRPr="007B4FB3" w:rsidRDefault="00AC2DE3" w:rsidP="00AC2DE3">
      <w:pPr>
        <w:pStyle w:val="Citas"/>
      </w:pPr>
      <w:r w:rsidRPr="007B4FB3">
        <w:t>Artículo 81 Bis.- Para ser titular de la Coordinación Municipal de Protección Civil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1A0F3A4D" w14:textId="77777777" w:rsidR="00AC2DE3" w:rsidRPr="007B4FB3" w:rsidRDefault="00AC2DE3" w:rsidP="00AC2DE3">
      <w:pPr>
        <w:pStyle w:val="Citas"/>
      </w:pPr>
      <w:r w:rsidRPr="007B4FB3">
        <w:t xml:space="preserve">Artículo 85 </w:t>
      </w:r>
      <w:proofErr w:type="spellStart"/>
      <w:r w:rsidRPr="007B4FB3">
        <w:t>Sexies</w:t>
      </w:r>
      <w:proofErr w:type="spellEnd"/>
      <w:r w:rsidRPr="007B4FB3">
        <w:t xml:space="preserve">. El Coordinador General Municipal de Mejora Regulatoria, además de los requisitos establecidos en el artículo 32 de esta Ley, requiere contar con título profesional, además deberá acreditar, dentro de los seis meses siguientes a la fecha en que inicie sus funciones, el diplomado en materia de mejora regulatoria </w:t>
      </w:r>
      <w:r w:rsidRPr="007B4FB3">
        <w:lastRenderedPageBreak/>
        <w:t>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553C493A" w14:textId="77777777" w:rsidR="00AC2DE3" w:rsidRPr="007B4FB3" w:rsidRDefault="00AC2DE3" w:rsidP="00AC2DE3">
      <w:pPr>
        <w:pStyle w:val="Citas"/>
      </w:pPr>
      <w:r w:rsidRPr="007B4FB3">
        <w:t>Artículo 92.- Para ser secretario del ayuntamiento se requiere, además de los requisitos establecidos en el artículo 32 de esta Ley, los siguientes:</w:t>
      </w:r>
    </w:p>
    <w:p w14:paraId="04D22B30" w14:textId="77777777" w:rsidR="00AC2DE3" w:rsidRPr="007B4FB3" w:rsidRDefault="00AC2DE3" w:rsidP="00AC2DE3">
      <w:pPr>
        <w:pStyle w:val="Citas"/>
      </w:pPr>
      <w:r w:rsidRPr="007B4FB3">
        <w:t>(…)</w:t>
      </w:r>
    </w:p>
    <w:p w14:paraId="0DCF803F" w14:textId="77777777" w:rsidR="00AC2DE3" w:rsidRPr="007B4FB3" w:rsidRDefault="00AC2DE3" w:rsidP="00AC2DE3">
      <w:pPr>
        <w:pStyle w:val="Citas"/>
      </w:pPr>
      <w:r w:rsidRPr="007B4FB3">
        <w:t>IV. 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14:paraId="6C77A004" w14:textId="77777777" w:rsidR="00AC2DE3" w:rsidRPr="007B4FB3" w:rsidRDefault="00AC2DE3" w:rsidP="00AC2DE3">
      <w:pPr>
        <w:pStyle w:val="Citas"/>
      </w:pPr>
      <w:r w:rsidRPr="007B4FB3">
        <w:t>(…)</w:t>
      </w:r>
    </w:p>
    <w:p w14:paraId="44429CF5" w14:textId="77777777" w:rsidR="00AC2DE3" w:rsidRPr="007B4FB3" w:rsidRDefault="00AC2DE3" w:rsidP="00AC2DE3">
      <w:pPr>
        <w:pStyle w:val="Citas"/>
      </w:pPr>
      <w:r w:rsidRPr="007B4FB3">
        <w:t xml:space="preserve">Artículo 96.- Para ser tesorero municipal se requiere, además de los requisitos </w:t>
      </w:r>
      <w:proofErr w:type="gramStart"/>
      <w:r w:rsidRPr="007B4FB3">
        <w:t>del</w:t>
      </w:r>
      <w:proofErr w:type="gramEnd"/>
      <w:r w:rsidRPr="007B4FB3">
        <w:t xml:space="preserve"> artículos 32 de esta Ley:</w:t>
      </w:r>
    </w:p>
    <w:p w14:paraId="4A8C453C" w14:textId="77777777" w:rsidR="00AC2DE3" w:rsidRPr="007B4FB3" w:rsidRDefault="00AC2DE3" w:rsidP="00AC2DE3">
      <w:pPr>
        <w:pStyle w:val="Citas"/>
      </w:pPr>
      <w:r w:rsidRPr="007B4FB3">
        <w:t xml:space="preserve">I. 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w:t>
      </w:r>
      <w:r w:rsidRPr="007B4FB3">
        <w:lastRenderedPageBreak/>
        <w:t>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0248EDA9" w14:textId="77777777" w:rsidR="00AC2DE3" w:rsidRPr="007B4FB3" w:rsidRDefault="00AC2DE3" w:rsidP="00AC2DE3">
      <w:pPr>
        <w:pStyle w:val="Citas"/>
      </w:pPr>
      <w:r w:rsidRPr="007B4FB3">
        <w:t>(…)</w:t>
      </w:r>
    </w:p>
    <w:p w14:paraId="22B345D7" w14:textId="77777777" w:rsidR="00B76EC1" w:rsidRDefault="00B76EC1" w:rsidP="00AC2DE3">
      <w:pPr>
        <w:pStyle w:val="Citas"/>
      </w:pPr>
      <w:r w:rsidRPr="00B76EC1">
        <w:t xml:space="preserve">Artículo 96 Ter. El Director de Obras Públicas o Titular de la Unidad Administrativa equivalente, además de los requisitos del artículo 32 de esta Ley, requiere contar con título profesional en ingeniería, arquitectura o alguna área afín, o contar con una experiencia mínima de un año, con anterioridad a la fecha de su designación. </w:t>
      </w:r>
    </w:p>
    <w:p w14:paraId="089E79C6" w14:textId="3B2201FE" w:rsidR="00B76EC1" w:rsidRDefault="00B76EC1" w:rsidP="00AC2DE3">
      <w:pPr>
        <w:pStyle w:val="Citas"/>
      </w:pPr>
      <w:r w:rsidRPr="00B76EC1">
        <w:t>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16AB3360" w14:textId="42B25036" w:rsidR="00AC2DE3" w:rsidRPr="007B4FB3" w:rsidRDefault="00AC2DE3" w:rsidP="00AC2DE3">
      <w:pPr>
        <w:pStyle w:val="Citas"/>
      </w:pPr>
      <w:r w:rsidRPr="007B4FB3">
        <w:t xml:space="preserve">Artículo 96 </w:t>
      </w:r>
      <w:proofErr w:type="spellStart"/>
      <w:r w:rsidRPr="007B4FB3">
        <w:t>Quintus</w:t>
      </w:r>
      <w:proofErr w:type="spellEnd"/>
      <w:r w:rsidRPr="007B4FB3">
        <w:t xml:space="preserve">. El Director de Desarrollo Económico o Titular de la Unidad Administrativa equivalente, además de los requisitos del artículo 32 de esta Ley, requiere contar con título profesional en el área económico-administrativa o contar con experiencia mínima de un año, con anterioridad a la fecha de su designación. </w:t>
      </w:r>
    </w:p>
    <w:p w14:paraId="40DEA6CB" w14:textId="77777777" w:rsidR="00AC2DE3" w:rsidRPr="007B4FB3" w:rsidRDefault="00AC2DE3" w:rsidP="00AC2DE3">
      <w:pPr>
        <w:pStyle w:val="Citas"/>
      </w:pPr>
      <w:r w:rsidRPr="007B4FB3">
        <w:t xml:space="preserve">Además, deberá acreditar, dentro de los seis meses siguientes a la fecha en que inicie funciones, la certificación de competencia laboral expedida por el Instituto Hacendario del Estado de México o por alguna otra institución con reconocimiento </w:t>
      </w:r>
      <w:r w:rsidRPr="007B4FB3">
        <w:lastRenderedPageBreak/>
        <w:t>de validez oficial, que asegure los conocimientos y habilidades para desempeñar el cargo, de conformidad con los aspectos técnicos y operativos aplicables al Estado de México</w:t>
      </w:r>
    </w:p>
    <w:p w14:paraId="38B18713" w14:textId="77777777" w:rsidR="00AC2DE3" w:rsidRPr="007B4FB3" w:rsidRDefault="00AC2DE3" w:rsidP="00AC2DE3">
      <w:pPr>
        <w:pStyle w:val="Citas"/>
      </w:pPr>
      <w:r w:rsidRPr="007B4FB3">
        <w:t xml:space="preserve">Artículo 96 </w:t>
      </w:r>
      <w:proofErr w:type="spellStart"/>
      <w:r w:rsidRPr="007B4FB3">
        <w:t>Septies</w:t>
      </w:r>
      <w:proofErr w:type="spellEnd"/>
      <w:r w:rsidRPr="007B4FB3">
        <w:t>. El Director de Desarrollo Urbano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0D97A8C4" w14:textId="77777777" w:rsidR="00AC2DE3" w:rsidRPr="007B4FB3" w:rsidRDefault="00AC2DE3" w:rsidP="00AC2DE3">
      <w:pPr>
        <w:pStyle w:val="Citas"/>
      </w:pPr>
      <w:r w:rsidRPr="007B4FB3">
        <w:t xml:space="preserve">Artículo 96 </w:t>
      </w:r>
      <w:proofErr w:type="spellStart"/>
      <w:r w:rsidRPr="007B4FB3">
        <w:t>Nonies</w:t>
      </w:r>
      <w:proofErr w:type="spellEnd"/>
      <w:r w:rsidRPr="007B4FB3">
        <w:t>. El Director de Ecología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0E3217E9" w14:textId="77777777" w:rsidR="00AC2DE3" w:rsidRPr="007B4FB3" w:rsidRDefault="00AC2DE3" w:rsidP="00AC2DE3">
      <w:pPr>
        <w:pStyle w:val="Citas"/>
      </w:pPr>
      <w:r w:rsidRPr="007B4FB3">
        <w:lastRenderedPageBreak/>
        <w:t xml:space="preserve">Artículo 96. </w:t>
      </w:r>
      <w:proofErr w:type="spellStart"/>
      <w:r w:rsidRPr="007B4FB3">
        <w:t>Undecies</w:t>
      </w:r>
      <w:proofErr w:type="spellEnd"/>
      <w:r w:rsidRPr="007B4FB3">
        <w:t>. El Director de Turismo, además de los requisitos establecidos en el artículo 32 de esta Ley, requiere contar con título profesional en el área de turismo o afín.</w:t>
      </w:r>
    </w:p>
    <w:p w14:paraId="32CBFBAB" w14:textId="77777777" w:rsidR="00AC2DE3" w:rsidRPr="007B4FB3" w:rsidRDefault="00AC2DE3" w:rsidP="00AC2DE3">
      <w:pPr>
        <w:pStyle w:val="Citas"/>
      </w:pPr>
      <w:r w:rsidRPr="007B4FB3">
        <w:t xml:space="preserve">Artículo 96 </w:t>
      </w:r>
      <w:proofErr w:type="spellStart"/>
      <w:r w:rsidRPr="007B4FB3">
        <w:t>Terdecies</w:t>
      </w:r>
      <w:proofErr w:type="spellEnd"/>
      <w:r w:rsidRPr="007B4FB3">
        <w:t>. El Director de Desarrollo Social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5682A789" w14:textId="77777777" w:rsidR="00AC2DE3" w:rsidRPr="007B4FB3" w:rsidRDefault="00AC2DE3" w:rsidP="00AC2DE3">
      <w:pPr>
        <w:pStyle w:val="Citas"/>
      </w:pPr>
      <w:r w:rsidRPr="007B4FB3">
        <w:t xml:space="preserve">Artículo 96 </w:t>
      </w:r>
      <w:proofErr w:type="spellStart"/>
      <w:r w:rsidRPr="007B4FB3">
        <w:t>Quindecies</w:t>
      </w:r>
      <w:proofErr w:type="spellEnd"/>
      <w:r w:rsidRPr="007B4FB3">
        <w:t xml:space="preserve">.- La persona titular de la Dirección de las Mujeres, además de los requisitos establecidos en el artículo 32 de esta Ley, deberá contar con título profesional en el área de las ciencias sociales o afines y conocimiento amplio del contexto en el municipio correspondiente. </w:t>
      </w:r>
    </w:p>
    <w:p w14:paraId="6D62197E" w14:textId="77777777" w:rsidR="00AC2DE3" w:rsidRDefault="00AC2DE3" w:rsidP="00AC2DE3">
      <w:pPr>
        <w:pStyle w:val="Citas"/>
      </w:pPr>
      <w:r w:rsidRPr="007B4FB3">
        <w:t>Además 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 que asegure los conocimientos y habilidades para desempeñar el cargo</w:t>
      </w:r>
    </w:p>
    <w:p w14:paraId="0922FFE5" w14:textId="77777777" w:rsidR="007F403A" w:rsidRDefault="007F403A" w:rsidP="00AC2DE3">
      <w:pPr>
        <w:pStyle w:val="Citas"/>
      </w:pPr>
      <w:r w:rsidRPr="007F403A">
        <w:t xml:space="preserve">Artículo 96 </w:t>
      </w:r>
      <w:proofErr w:type="spellStart"/>
      <w:r w:rsidRPr="007F403A">
        <w:t>Sexdecies</w:t>
      </w:r>
      <w:proofErr w:type="spellEnd"/>
      <w:r w:rsidRPr="007F403A">
        <w:t>.- La persona titular de la Dirección del Campo o equivalente, preferentemente contara con estudios de Ingeniería en agronomía con las siguientes atribuciones:</w:t>
      </w:r>
    </w:p>
    <w:p w14:paraId="39C3DA77" w14:textId="77777777" w:rsidR="007F403A" w:rsidRDefault="007F403A" w:rsidP="00AC2DE3">
      <w:pPr>
        <w:pStyle w:val="Citas"/>
      </w:pPr>
      <w:r w:rsidRPr="007F403A">
        <w:lastRenderedPageBreak/>
        <w:t xml:space="preserve"> I. Fomentar el desarrollo rural de las actividades agrícolas, pecuarias, acuícolas, forestales, pesquera, agroindustriales, y de la sanidad por acuerdo del Ayuntamiento en coordinación con las autoridades estatales y federales correspondientes, establecidas en la ley de la materia. Así como realizar la programación y ejecución de asesorías y servicios relacionados; y</w:t>
      </w:r>
    </w:p>
    <w:p w14:paraId="7A01400F" w14:textId="1EBFA905" w:rsidR="007F403A" w:rsidRPr="007B4FB3" w:rsidRDefault="007F403A" w:rsidP="00AC2DE3">
      <w:pPr>
        <w:pStyle w:val="Citas"/>
      </w:pPr>
      <w:r w:rsidRPr="007F403A">
        <w:t xml:space="preserve"> II. Las demás que les señalen las disposiciones aplicables.</w:t>
      </w:r>
    </w:p>
    <w:p w14:paraId="6778F819" w14:textId="77777777" w:rsidR="00AC2DE3" w:rsidRPr="007B4FB3" w:rsidRDefault="00AC2DE3" w:rsidP="00AC2DE3">
      <w:pPr>
        <w:pStyle w:val="Citas"/>
      </w:pPr>
      <w:r w:rsidRPr="007B4FB3">
        <w:t>Artículo 113.- Para ser contralor se requiere cumplir con los requisitos que se exigen para ser tesorero municipal, a excepción de la caución correspondiente.</w:t>
      </w:r>
    </w:p>
    <w:p w14:paraId="26D2C4B4" w14:textId="77777777" w:rsidR="00AC2DE3" w:rsidRPr="007B4FB3" w:rsidRDefault="00AC2DE3" w:rsidP="00AC2DE3">
      <w:pPr>
        <w:pStyle w:val="Citas"/>
      </w:pPr>
      <w:r w:rsidRPr="007B4FB3">
        <w:t>Artículo 123 Bis.-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p>
    <w:p w14:paraId="7ED0FD43" w14:textId="3D0DC381" w:rsidR="00AC2DE3" w:rsidRPr="007B4FB3" w:rsidRDefault="00AC2DE3" w:rsidP="00AC2DE3">
      <w:pPr>
        <w:pStyle w:val="Citas"/>
      </w:pPr>
      <w:r w:rsidRPr="007B4FB3">
        <w:t xml:space="preserve">Para acceder al cargo, la titular del Instituto Municipal de la </w:t>
      </w:r>
      <w:r w:rsidR="00B76EC1" w:rsidRPr="007B4FB3">
        <w:t>Mujer</w:t>
      </w:r>
      <w:r w:rsidRPr="007B4FB3">
        <w:t xml:space="preserve"> deberá cumplir con los requisitos previstos en el artículo 96 </w:t>
      </w:r>
      <w:proofErr w:type="spellStart"/>
      <w:r w:rsidRPr="007B4FB3">
        <w:t>Quindecies</w:t>
      </w:r>
      <w:proofErr w:type="spellEnd"/>
      <w:r w:rsidRPr="007B4FB3">
        <w:t>.</w:t>
      </w:r>
    </w:p>
    <w:p w14:paraId="3290E54F" w14:textId="3A721DAF" w:rsidR="00AC2DE3" w:rsidRPr="007F403A" w:rsidRDefault="00AC2DE3" w:rsidP="00AC2DE3">
      <w:pPr>
        <w:pStyle w:val="Citas"/>
        <w:rPr>
          <w:b/>
          <w:bCs/>
        </w:rPr>
      </w:pPr>
      <w:r w:rsidRPr="007B4FB3">
        <w:t xml:space="preserve">Artículo 124 </w:t>
      </w:r>
      <w:proofErr w:type="spellStart"/>
      <w:r w:rsidRPr="007B4FB3">
        <w:t>Quater</w:t>
      </w:r>
      <w:proofErr w:type="spellEnd"/>
      <w:r w:rsidRPr="007B4FB3">
        <w:t>.-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r w:rsidR="007F403A">
        <w:t xml:space="preserve">” </w:t>
      </w:r>
      <w:r w:rsidR="007F403A">
        <w:rPr>
          <w:b/>
          <w:bCs/>
        </w:rPr>
        <w:t>(Sic)</w:t>
      </w:r>
    </w:p>
    <w:p w14:paraId="79B4CD2C" w14:textId="77777777" w:rsidR="007F403A" w:rsidRPr="007B4FB3" w:rsidRDefault="007F403A" w:rsidP="00AC2DE3">
      <w:pPr>
        <w:pStyle w:val="Citas"/>
      </w:pPr>
    </w:p>
    <w:p w14:paraId="3B96F829" w14:textId="1AA3122A" w:rsidR="001128AF" w:rsidRDefault="00AC2DE3" w:rsidP="00AC2DE3">
      <w:pPr>
        <w:spacing w:line="360" w:lineRule="auto"/>
        <w:jc w:val="both"/>
        <w:rPr>
          <w:rFonts w:ascii="Palatino Linotype" w:hAnsi="Palatino Linotype"/>
          <w:sz w:val="24"/>
          <w:szCs w:val="24"/>
        </w:rPr>
      </w:pPr>
      <w:r>
        <w:rPr>
          <w:rFonts w:ascii="Palatino Linotype" w:hAnsi="Palatino Linotype"/>
          <w:sz w:val="24"/>
          <w:szCs w:val="24"/>
        </w:rPr>
        <w:t xml:space="preserve">Con base en lo anteriormente expuesto, se desprende que la esfera competencial del </w:t>
      </w:r>
      <w:r>
        <w:rPr>
          <w:rFonts w:ascii="Palatino Linotype" w:hAnsi="Palatino Linotype"/>
          <w:b/>
          <w:bCs/>
          <w:sz w:val="24"/>
          <w:szCs w:val="24"/>
        </w:rPr>
        <w:t xml:space="preserve">Sujeto Obligado </w:t>
      </w:r>
      <w:r w:rsidRPr="00AC2DE3">
        <w:rPr>
          <w:rFonts w:ascii="Palatino Linotype" w:hAnsi="Palatino Linotype"/>
          <w:sz w:val="24"/>
          <w:szCs w:val="24"/>
        </w:rPr>
        <w:t>le constriñe a generar, poseer y administrar divers</w:t>
      </w:r>
      <w:r w:rsidR="001128AF">
        <w:rPr>
          <w:rFonts w:ascii="Palatino Linotype" w:hAnsi="Palatino Linotype"/>
          <w:sz w:val="24"/>
          <w:szCs w:val="24"/>
        </w:rPr>
        <w:t xml:space="preserve">os soportes documentales vinculados con requisitos para ejercer un cargo. </w:t>
      </w:r>
    </w:p>
    <w:p w14:paraId="018EC985" w14:textId="1EC0F2B3" w:rsidR="001128AF" w:rsidRDefault="001128AF" w:rsidP="00AC2DE3">
      <w:pPr>
        <w:spacing w:line="360" w:lineRule="auto"/>
        <w:jc w:val="both"/>
        <w:rPr>
          <w:rFonts w:ascii="Palatino Linotype" w:hAnsi="Palatino Linotype"/>
          <w:sz w:val="24"/>
          <w:szCs w:val="24"/>
        </w:rPr>
      </w:pPr>
      <w:r>
        <w:rPr>
          <w:rFonts w:ascii="Palatino Linotype" w:hAnsi="Palatino Linotype"/>
          <w:sz w:val="24"/>
          <w:szCs w:val="24"/>
        </w:rPr>
        <w:lastRenderedPageBreak/>
        <w:t>De forma complementaria, con relación al titular de la unidad de transparencia, resulta oportuno traer a colación el numeral 57 de la Ley de Transparencia y Acceso a la Información Pública del Estado de México y Municipios, que dispone a la letra lo siguiente:</w:t>
      </w:r>
    </w:p>
    <w:p w14:paraId="6BC24293" w14:textId="43B06A63" w:rsidR="001128AF" w:rsidRDefault="001128AF" w:rsidP="001128AF">
      <w:pPr>
        <w:pStyle w:val="Citas"/>
      </w:pPr>
      <w:r>
        <w:t>“</w:t>
      </w:r>
      <w:r w:rsidRPr="001128AF">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6ADD2F05" w14:textId="77777777" w:rsidR="001128AF" w:rsidRDefault="001128AF" w:rsidP="001128AF">
      <w:pPr>
        <w:pStyle w:val="Citas"/>
      </w:pPr>
      <w:r w:rsidRPr="001128AF">
        <w:t xml:space="preserve">I. Contar con conocimiento o, tratándose de las entidades gubernamentales estatales y los municipios certificación en materia de acceso a la información, transparencia y protección de datos personales, que para tal efecto emita el Instituto; </w:t>
      </w:r>
    </w:p>
    <w:p w14:paraId="4ECE418B" w14:textId="1E109607" w:rsidR="001128AF" w:rsidRDefault="001128AF" w:rsidP="001128AF">
      <w:pPr>
        <w:pStyle w:val="Citas"/>
      </w:pPr>
      <w:r w:rsidRPr="001128AF">
        <w:t>II. Experiencia en materia de acceso a la información y protección de datos</w:t>
      </w:r>
      <w:r>
        <w:t xml:space="preserve"> </w:t>
      </w:r>
      <w:r w:rsidRPr="001128AF">
        <w:t xml:space="preserve">personales; y </w:t>
      </w:r>
    </w:p>
    <w:p w14:paraId="09D6F6CD" w14:textId="43E81951" w:rsidR="001128AF" w:rsidRPr="001128AF" w:rsidRDefault="001128AF" w:rsidP="001128AF">
      <w:pPr>
        <w:pStyle w:val="Citas"/>
        <w:rPr>
          <w:b/>
          <w:bCs/>
        </w:rPr>
      </w:pPr>
      <w:r w:rsidRPr="001128AF">
        <w:t>III. Habilidades de organización y comunicación, así como visión y liderazgo.</w:t>
      </w:r>
      <w:r>
        <w:t>”</w:t>
      </w:r>
      <w:r>
        <w:rPr>
          <w:b/>
          <w:bCs/>
        </w:rPr>
        <w:t>(Sic)</w:t>
      </w:r>
    </w:p>
    <w:p w14:paraId="61781562" w14:textId="77777777" w:rsidR="001128AF" w:rsidRDefault="001128AF" w:rsidP="00AC2DE3">
      <w:pPr>
        <w:spacing w:line="360" w:lineRule="auto"/>
        <w:jc w:val="both"/>
        <w:rPr>
          <w:rFonts w:ascii="Palatino Linotype" w:hAnsi="Palatino Linotype"/>
          <w:sz w:val="24"/>
          <w:szCs w:val="24"/>
        </w:rPr>
      </w:pPr>
    </w:p>
    <w:p w14:paraId="7BBCE89F" w14:textId="43A76967" w:rsidR="001128AF" w:rsidRDefault="007F403A" w:rsidP="00AC2DE3">
      <w:pPr>
        <w:spacing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670528" behindDoc="0" locked="0" layoutInCell="1" allowOverlap="1" wp14:anchorId="08836053" wp14:editId="3D616619">
                <wp:simplePos x="0" y="0"/>
                <wp:positionH relativeFrom="column">
                  <wp:posOffset>-158421</wp:posOffset>
                </wp:positionH>
                <wp:positionV relativeFrom="paragraph">
                  <wp:posOffset>690372</wp:posOffset>
                </wp:positionV>
                <wp:extent cx="6049671" cy="1558138"/>
                <wp:effectExtent l="0" t="0" r="27305" b="23495"/>
                <wp:wrapNone/>
                <wp:docPr id="2100972947" name="Straight Connector 1"/>
                <wp:cNvGraphicFramePr/>
                <a:graphic xmlns:a="http://schemas.openxmlformats.org/drawingml/2006/main">
                  <a:graphicData uri="http://schemas.microsoft.com/office/word/2010/wordprocessingShape">
                    <wps:wsp>
                      <wps:cNvCnPr/>
                      <wps:spPr>
                        <a:xfrm>
                          <a:off x="0" y="0"/>
                          <a:ext cx="6049671" cy="15581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CAA392"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45pt,54.35pt" to="463.9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" strokecolor="#5b9bd5 [3204]" strokeweight=".5pt">
                <v:stroke joinstyle="miter"/>
              </v:line>
            </w:pict>
          </mc:Fallback>
        </mc:AlternateContent>
      </w:r>
      <w:r w:rsidR="001128AF">
        <w:rPr>
          <w:rFonts w:ascii="Palatino Linotype" w:hAnsi="Palatino Linotype"/>
          <w:sz w:val="24"/>
          <w:szCs w:val="24"/>
        </w:rPr>
        <w:t>De manera complementaria, respecto de las certificaciones en materia de transparencia, resulta de nuestro interés lo siguiente:</w:t>
      </w:r>
    </w:p>
    <w:p w14:paraId="089E7D27" w14:textId="77777777" w:rsidR="007F403A" w:rsidRDefault="007F403A" w:rsidP="00AC2DE3">
      <w:pPr>
        <w:spacing w:line="360" w:lineRule="auto"/>
        <w:jc w:val="both"/>
        <w:rPr>
          <w:rFonts w:ascii="Palatino Linotype" w:hAnsi="Palatino Linotype"/>
          <w:sz w:val="24"/>
          <w:szCs w:val="24"/>
        </w:rPr>
      </w:pPr>
    </w:p>
    <w:p w14:paraId="3B87EC40" w14:textId="77777777" w:rsidR="007F403A" w:rsidRDefault="007F403A" w:rsidP="00AC2DE3">
      <w:pPr>
        <w:spacing w:line="360" w:lineRule="auto"/>
        <w:jc w:val="both"/>
        <w:rPr>
          <w:rFonts w:ascii="Palatino Linotype" w:hAnsi="Palatino Linotype"/>
          <w:sz w:val="24"/>
          <w:szCs w:val="24"/>
        </w:rPr>
      </w:pPr>
    </w:p>
    <w:p w14:paraId="73111018" w14:textId="77777777" w:rsidR="007F403A" w:rsidRDefault="007F403A" w:rsidP="00AC2DE3">
      <w:pPr>
        <w:spacing w:line="360" w:lineRule="auto"/>
        <w:jc w:val="both"/>
        <w:rPr>
          <w:rFonts w:ascii="Palatino Linotype" w:hAnsi="Palatino Linotype"/>
          <w:sz w:val="24"/>
          <w:szCs w:val="24"/>
        </w:rPr>
      </w:pPr>
    </w:p>
    <w:tbl>
      <w:tblPr>
        <w:tblStyle w:val="Tablaconcuadrcula"/>
        <w:tblW w:w="10065" w:type="dxa"/>
        <w:tblInd w:w="-714" w:type="dxa"/>
        <w:tblLayout w:type="fixed"/>
        <w:tblLook w:val="04A0" w:firstRow="1" w:lastRow="0" w:firstColumn="1" w:lastColumn="0" w:noHBand="0" w:noVBand="1"/>
      </w:tblPr>
      <w:tblGrid>
        <w:gridCol w:w="2836"/>
        <w:gridCol w:w="1701"/>
        <w:gridCol w:w="1984"/>
        <w:gridCol w:w="3544"/>
      </w:tblGrid>
      <w:tr w:rsidR="00361098" w:rsidRPr="00F445C3" w14:paraId="5F884295" w14:textId="77777777" w:rsidTr="00B76EC1">
        <w:tc>
          <w:tcPr>
            <w:tcW w:w="2836" w:type="dxa"/>
            <w:shd w:val="clear" w:color="auto" w:fill="000000" w:themeFill="text1"/>
          </w:tcPr>
          <w:p w14:paraId="041563E3" w14:textId="08296290" w:rsidR="00361098" w:rsidRPr="00361098" w:rsidRDefault="00361098" w:rsidP="00A76D59">
            <w:pPr>
              <w:jc w:val="both"/>
              <w:rPr>
                <w:rFonts w:ascii="Palatino Linotype" w:hAnsi="Palatino Linotype"/>
                <w:b/>
                <w:bCs/>
                <w:color w:val="FFFFFF" w:themeColor="background1"/>
                <w:sz w:val="18"/>
                <w:szCs w:val="18"/>
              </w:rPr>
            </w:pPr>
            <w:r w:rsidRPr="00361098">
              <w:rPr>
                <w:rFonts w:ascii="Palatino Linotype" w:hAnsi="Palatino Linotype"/>
                <w:b/>
                <w:bCs/>
                <w:color w:val="FFFFFF" w:themeColor="background1"/>
                <w:sz w:val="18"/>
                <w:szCs w:val="18"/>
              </w:rPr>
              <w:lastRenderedPageBreak/>
              <w:t>CONVOCATORIA</w:t>
            </w:r>
          </w:p>
        </w:tc>
        <w:tc>
          <w:tcPr>
            <w:tcW w:w="1701" w:type="dxa"/>
            <w:shd w:val="clear" w:color="auto" w:fill="000000" w:themeFill="text1"/>
          </w:tcPr>
          <w:p w14:paraId="43A5B66F" w14:textId="23AFD526" w:rsidR="00361098" w:rsidRPr="00361098" w:rsidRDefault="00361098" w:rsidP="00A76D59">
            <w:pPr>
              <w:jc w:val="both"/>
              <w:rPr>
                <w:rFonts w:ascii="Palatino Linotype" w:hAnsi="Palatino Linotype" w:cs="Arial"/>
                <w:b/>
                <w:bCs/>
                <w:color w:val="FFFFFF" w:themeColor="background1"/>
                <w:sz w:val="18"/>
                <w:szCs w:val="18"/>
                <w:lang w:val="es-419"/>
              </w:rPr>
            </w:pPr>
            <w:r w:rsidRPr="00361098">
              <w:rPr>
                <w:rFonts w:ascii="Palatino Linotype" w:hAnsi="Palatino Linotype" w:cs="Arial"/>
                <w:b/>
                <w:bCs/>
                <w:color w:val="FFFFFF" w:themeColor="background1"/>
                <w:sz w:val="18"/>
                <w:szCs w:val="18"/>
                <w:lang w:val="es-419"/>
              </w:rPr>
              <w:t>FECHA DE APROBACIÓN DE CONVOCATORIA POR EL PLENO DEL INSTITUTO</w:t>
            </w:r>
          </w:p>
        </w:tc>
        <w:tc>
          <w:tcPr>
            <w:tcW w:w="1984" w:type="dxa"/>
            <w:shd w:val="clear" w:color="auto" w:fill="000000" w:themeFill="text1"/>
          </w:tcPr>
          <w:p w14:paraId="4754984A" w14:textId="3ACE8621" w:rsidR="00361098" w:rsidRPr="00361098" w:rsidRDefault="00361098" w:rsidP="00A76D59">
            <w:pPr>
              <w:jc w:val="both"/>
              <w:rPr>
                <w:rFonts w:ascii="Palatino Linotype" w:hAnsi="Palatino Linotype" w:cs="Arial"/>
                <w:b/>
                <w:bCs/>
                <w:color w:val="FFFFFF" w:themeColor="background1"/>
                <w:sz w:val="18"/>
                <w:szCs w:val="18"/>
                <w:lang w:val="es-419"/>
              </w:rPr>
            </w:pPr>
            <w:r w:rsidRPr="00361098">
              <w:rPr>
                <w:rFonts w:ascii="Palatino Linotype" w:hAnsi="Palatino Linotype" w:cs="Arial"/>
                <w:b/>
                <w:bCs/>
                <w:color w:val="FFFFFF" w:themeColor="background1"/>
                <w:sz w:val="18"/>
                <w:szCs w:val="18"/>
                <w:lang w:val="es-419"/>
              </w:rPr>
              <w:t>PUBLICACIÓN EN EL PERIÓDICO OFICIAL GACETA DEL GOBIERNO</w:t>
            </w:r>
          </w:p>
        </w:tc>
        <w:tc>
          <w:tcPr>
            <w:tcW w:w="3544" w:type="dxa"/>
            <w:shd w:val="clear" w:color="auto" w:fill="000000" w:themeFill="text1"/>
          </w:tcPr>
          <w:p w14:paraId="1363322A" w14:textId="02C45BFC" w:rsidR="00361098" w:rsidRPr="00361098" w:rsidRDefault="00361098" w:rsidP="00A76D59">
            <w:pPr>
              <w:jc w:val="both"/>
              <w:rPr>
                <w:rFonts w:ascii="Palatino Linotype" w:hAnsi="Palatino Linotype" w:cs="Arial"/>
                <w:b/>
                <w:bCs/>
                <w:color w:val="FFFFFF" w:themeColor="background1"/>
                <w:sz w:val="18"/>
                <w:szCs w:val="18"/>
                <w:lang w:val="es-419"/>
              </w:rPr>
            </w:pPr>
            <w:r w:rsidRPr="00361098">
              <w:rPr>
                <w:rFonts w:ascii="Palatino Linotype" w:hAnsi="Palatino Linotype" w:cs="Arial"/>
                <w:b/>
                <w:bCs/>
                <w:color w:val="FFFFFF" w:themeColor="background1"/>
                <w:sz w:val="18"/>
                <w:szCs w:val="18"/>
                <w:lang w:val="es-419"/>
              </w:rPr>
              <w:t xml:space="preserve">MEDIOS A TRAVÉS DE LOS QUE SE HIZO DEL CONOCIMIENTO LA CONVOCATORIA. </w:t>
            </w:r>
          </w:p>
        </w:tc>
      </w:tr>
      <w:tr w:rsidR="00361098" w:rsidRPr="00F445C3" w14:paraId="4573DB6F" w14:textId="77777777" w:rsidTr="00B76EC1">
        <w:tc>
          <w:tcPr>
            <w:tcW w:w="2836" w:type="dxa"/>
          </w:tcPr>
          <w:p w14:paraId="373E3427"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sz w:val="18"/>
                <w:szCs w:val="18"/>
              </w:rPr>
              <w:t>Convocatoria para el Proceso de Certificación 2022, dirigida a las y los Titulares de las Unidades de Transparencia de los Sujetos Obligados del Estado de México, de conformidad con el artículo 36, fracción XI de la Ley de Transparencia y Acceso a la Información Pública del Estado de México y Municipios.</w:t>
            </w:r>
          </w:p>
        </w:tc>
        <w:tc>
          <w:tcPr>
            <w:tcW w:w="1701" w:type="dxa"/>
          </w:tcPr>
          <w:p w14:paraId="68637AE1"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12 de enero de 2022</w:t>
            </w:r>
          </w:p>
        </w:tc>
        <w:tc>
          <w:tcPr>
            <w:tcW w:w="1984" w:type="dxa"/>
          </w:tcPr>
          <w:p w14:paraId="4B6E0B37"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26 de enero de 2022</w:t>
            </w:r>
          </w:p>
        </w:tc>
        <w:tc>
          <w:tcPr>
            <w:tcW w:w="3544" w:type="dxa"/>
          </w:tcPr>
          <w:p w14:paraId="57B11206"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1era. Sesión pública del Pleno del INFOEM.</w:t>
            </w:r>
          </w:p>
          <w:p w14:paraId="3F0D503D" w14:textId="77777777" w:rsidR="00361098" w:rsidRPr="003B4AD0" w:rsidRDefault="006E2D6B" w:rsidP="00A76D59">
            <w:pPr>
              <w:jc w:val="both"/>
              <w:rPr>
                <w:rFonts w:ascii="Palatino Linotype" w:hAnsi="Palatino Linotype" w:cs="Arial"/>
                <w:sz w:val="18"/>
                <w:szCs w:val="18"/>
                <w:lang w:val="es-419"/>
              </w:rPr>
            </w:pPr>
            <w:hyperlink r:id="rId10" w:history="1">
              <w:r w:rsidR="00361098" w:rsidRPr="003B4AD0">
                <w:rPr>
                  <w:rStyle w:val="Hipervnculo"/>
                  <w:rFonts w:ascii="Palatino Linotype" w:hAnsi="Palatino Linotype" w:cs="Arial"/>
                  <w:sz w:val="18"/>
                  <w:szCs w:val="18"/>
                  <w:lang w:val="es-419"/>
                </w:rPr>
                <w:t>https://www.youtube.com/watch?v=4UVy6672D5g</w:t>
              </w:r>
            </w:hyperlink>
          </w:p>
          <w:p w14:paraId="7CCC08C0" w14:textId="77777777" w:rsidR="00361098" w:rsidRPr="003B4AD0" w:rsidRDefault="00361098" w:rsidP="00A76D59">
            <w:pPr>
              <w:jc w:val="both"/>
              <w:rPr>
                <w:rFonts w:ascii="Palatino Linotype" w:hAnsi="Palatino Linotype" w:cs="Arial"/>
                <w:sz w:val="18"/>
                <w:szCs w:val="18"/>
                <w:lang w:val="es-419"/>
              </w:rPr>
            </w:pPr>
          </w:p>
          <w:p w14:paraId="3A78B0BA"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 xml:space="preserve">Página de internet del Instituto. </w:t>
            </w:r>
            <w:hyperlink r:id="rId11" w:history="1">
              <w:r w:rsidRPr="003B4AD0">
                <w:rPr>
                  <w:rStyle w:val="Hipervnculo"/>
                  <w:rFonts w:ascii="Palatino Linotype" w:hAnsi="Palatino Linotype" w:cs="Arial"/>
                  <w:sz w:val="18"/>
                  <w:szCs w:val="18"/>
                  <w:lang w:val="es-419"/>
                </w:rPr>
                <w:t>https://www.infoem.org.mx/</w:t>
              </w:r>
            </w:hyperlink>
          </w:p>
          <w:p w14:paraId="43209687" w14:textId="77777777" w:rsidR="00361098" w:rsidRPr="003B4AD0" w:rsidRDefault="00361098" w:rsidP="00A76D59">
            <w:pPr>
              <w:jc w:val="both"/>
              <w:rPr>
                <w:rFonts w:ascii="Palatino Linotype" w:hAnsi="Palatino Linotype" w:cs="Arial"/>
                <w:sz w:val="18"/>
                <w:szCs w:val="18"/>
                <w:lang w:val="es-419"/>
              </w:rPr>
            </w:pPr>
          </w:p>
          <w:p w14:paraId="543B9368"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 xml:space="preserve">Periódico Oficial  Gaceta del Gobierno. Gobierno del Estado Libre y Soberano de México </w:t>
            </w:r>
          </w:p>
          <w:p w14:paraId="0C92D8DF" w14:textId="77777777" w:rsidR="00361098" w:rsidRPr="003B4AD0" w:rsidRDefault="006E2D6B" w:rsidP="00A76D59">
            <w:pPr>
              <w:jc w:val="both"/>
              <w:rPr>
                <w:rFonts w:ascii="Palatino Linotype" w:hAnsi="Palatino Linotype" w:cs="Arial"/>
                <w:sz w:val="18"/>
                <w:szCs w:val="18"/>
                <w:lang w:val="es-419"/>
              </w:rPr>
            </w:pPr>
            <w:hyperlink r:id="rId12" w:history="1">
              <w:r w:rsidR="00361098" w:rsidRPr="003B4AD0">
                <w:rPr>
                  <w:rStyle w:val="Hipervnculo"/>
                  <w:rFonts w:ascii="Palatino Linotype" w:hAnsi="Palatino Linotype" w:cs="Arial"/>
                  <w:sz w:val="18"/>
                  <w:szCs w:val="18"/>
                  <w:lang w:val="es-419"/>
                </w:rPr>
                <w:t>https://legislacion.edomex.gob.mx/sites/legislacion.edomex.gob.mx/files/files/pdf/gct/2022/enero/ene261/ene261j.pdf</w:t>
              </w:r>
            </w:hyperlink>
          </w:p>
          <w:p w14:paraId="78969F8D" w14:textId="77777777" w:rsidR="00361098" w:rsidRPr="003B4AD0" w:rsidRDefault="00361098" w:rsidP="00A76D59">
            <w:pPr>
              <w:jc w:val="both"/>
              <w:rPr>
                <w:rFonts w:ascii="Palatino Linotype" w:hAnsi="Palatino Linotype" w:cs="Arial"/>
                <w:sz w:val="18"/>
                <w:szCs w:val="18"/>
                <w:lang w:val="es-419"/>
              </w:rPr>
            </w:pPr>
          </w:p>
        </w:tc>
      </w:tr>
      <w:tr w:rsidR="00361098" w:rsidRPr="00F445C3" w14:paraId="3F39C6CF" w14:textId="77777777" w:rsidTr="00B76EC1">
        <w:tc>
          <w:tcPr>
            <w:tcW w:w="2836" w:type="dxa"/>
          </w:tcPr>
          <w:p w14:paraId="08B60ADE" w14:textId="77777777" w:rsidR="00361098" w:rsidRPr="00833A74" w:rsidRDefault="00361098" w:rsidP="00A76D59">
            <w:pPr>
              <w:jc w:val="both"/>
              <w:rPr>
                <w:rFonts w:ascii="Palatino Linotype" w:hAnsi="Palatino Linotype"/>
                <w:sz w:val="18"/>
                <w:szCs w:val="18"/>
              </w:rPr>
            </w:pPr>
            <w:r w:rsidRPr="00833A74">
              <w:rPr>
                <w:rFonts w:ascii="Palatino Linotype" w:hAnsi="Palatino Linotype"/>
                <w:sz w:val="18"/>
                <w:szCs w:val="18"/>
              </w:rPr>
              <w:t>Convocatoria para el Proceso de Certificación, bajo el modelo estándar de competencia laboral denominado “Garantizar el derecho a la protección de datos personales”, dirigida a las y los Titulares de las Unidades de Transparencia de los Sujetos Obligados del Estado de México.</w:t>
            </w:r>
          </w:p>
        </w:tc>
        <w:tc>
          <w:tcPr>
            <w:tcW w:w="1701" w:type="dxa"/>
          </w:tcPr>
          <w:p w14:paraId="4ACB9C72" w14:textId="77777777" w:rsidR="00361098" w:rsidRPr="003B4AD0"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04 de febrero de 2022</w:t>
            </w:r>
          </w:p>
        </w:tc>
        <w:tc>
          <w:tcPr>
            <w:tcW w:w="1984" w:type="dxa"/>
          </w:tcPr>
          <w:p w14:paraId="003DAB4B" w14:textId="77777777" w:rsidR="00361098" w:rsidRPr="003B4AD0"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14 de febrero de 2022</w:t>
            </w:r>
          </w:p>
        </w:tc>
        <w:tc>
          <w:tcPr>
            <w:tcW w:w="3544" w:type="dxa"/>
          </w:tcPr>
          <w:p w14:paraId="58E1029C"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 xml:space="preserve">4ª. </w:t>
            </w:r>
            <w:r w:rsidRPr="003B4AD0">
              <w:rPr>
                <w:rFonts w:ascii="Palatino Linotype" w:hAnsi="Palatino Linotype" w:cs="Arial"/>
                <w:sz w:val="18"/>
                <w:szCs w:val="18"/>
                <w:lang w:val="es-419"/>
              </w:rPr>
              <w:t>Sesión pública del Pleno del INFOEM.</w:t>
            </w:r>
          </w:p>
          <w:p w14:paraId="4B2DF483" w14:textId="77777777" w:rsidR="00361098" w:rsidRDefault="006E2D6B" w:rsidP="00A76D59">
            <w:pPr>
              <w:jc w:val="both"/>
              <w:rPr>
                <w:rFonts w:ascii="Palatino Linotype" w:hAnsi="Palatino Linotype" w:cs="Arial"/>
                <w:sz w:val="18"/>
                <w:szCs w:val="18"/>
                <w:lang w:val="es-419"/>
              </w:rPr>
            </w:pPr>
            <w:hyperlink r:id="rId13" w:history="1">
              <w:r w:rsidR="00361098" w:rsidRPr="008E357C">
                <w:rPr>
                  <w:rStyle w:val="Hipervnculo"/>
                  <w:rFonts w:ascii="Palatino Linotype" w:hAnsi="Palatino Linotype" w:cs="Arial"/>
                  <w:sz w:val="18"/>
                  <w:szCs w:val="18"/>
                  <w:lang w:val="es-419"/>
                </w:rPr>
                <w:t>https://www.youtube.com/watch?v=Jaw-npFJ2Hw</w:t>
              </w:r>
            </w:hyperlink>
          </w:p>
          <w:p w14:paraId="3D0A25A6" w14:textId="77777777" w:rsidR="00361098" w:rsidRDefault="00361098" w:rsidP="00A76D59">
            <w:pPr>
              <w:jc w:val="both"/>
              <w:rPr>
                <w:rFonts w:ascii="Palatino Linotype" w:hAnsi="Palatino Linotype" w:cs="Arial"/>
                <w:sz w:val="18"/>
                <w:szCs w:val="18"/>
                <w:lang w:val="es-419"/>
              </w:rPr>
            </w:pPr>
          </w:p>
          <w:p w14:paraId="495325E6"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Página de internet del Instituto.</w:t>
            </w:r>
            <w:r w:rsidRPr="003B4AD0">
              <w:rPr>
                <w:rFonts w:ascii="Palatino Linotype" w:hAnsi="Palatino Linotype"/>
                <w:sz w:val="18"/>
                <w:szCs w:val="18"/>
              </w:rPr>
              <w:t xml:space="preserve"> </w:t>
            </w:r>
            <w:hyperlink r:id="rId14" w:history="1">
              <w:r w:rsidRPr="003B4AD0">
                <w:rPr>
                  <w:rStyle w:val="Hipervnculo"/>
                  <w:rFonts w:ascii="Palatino Linotype" w:hAnsi="Palatino Linotype" w:cs="Arial"/>
                  <w:sz w:val="18"/>
                  <w:szCs w:val="18"/>
                  <w:lang w:val="es-419"/>
                </w:rPr>
                <w:t>https://www.infoem.org.mx/</w:t>
              </w:r>
            </w:hyperlink>
          </w:p>
          <w:p w14:paraId="15E1C52B" w14:textId="77777777" w:rsidR="00361098" w:rsidRPr="003B4AD0" w:rsidRDefault="00361098" w:rsidP="00A76D59">
            <w:pPr>
              <w:jc w:val="both"/>
              <w:rPr>
                <w:rFonts w:ascii="Palatino Linotype" w:hAnsi="Palatino Linotype" w:cs="Arial"/>
                <w:sz w:val="18"/>
                <w:szCs w:val="18"/>
                <w:lang w:val="es-419"/>
              </w:rPr>
            </w:pPr>
          </w:p>
          <w:p w14:paraId="1155C995"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Periódico Oficial  Gaceta del Gobierno. Gobierno del Estado Libre y Soberano de México</w:t>
            </w:r>
          </w:p>
          <w:p w14:paraId="23230D22" w14:textId="77777777" w:rsidR="00361098" w:rsidRDefault="006E2D6B" w:rsidP="00A76D59">
            <w:pPr>
              <w:jc w:val="both"/>
              <w:rPr>
                <w:rFonts w:ascii="Palatino Linotype" w:hAnsi="Palatino Linotype" w:cs="Arial"/>
                <w:sz w:val="18"/>
                <w:szCs w:val="18"/>
                <w:lang w:val="es-419"/>
              </w:rPr>
            </w:pPr>
            <w:hyperlink r:id="rId15" w:history="1">
              <w:r w:rsidR="00361098" w:rsidRPr="008E357C">
                <w:rPr>
                  <w:rStyle w:val="Hipervnculo"/>
                  <w:rFonts w:ascii="Palatino Linotype" w:hAnsi="Palatino Linotype" w:cs="Arial"/>
                  <w:sz w:val="18"/>
                  <w:szCs w:val="18"/>
                  <w:lang w:val="es-419"/>
                </w:rPr>
                <w:t>https://legislacion.edomex.gob.mx/sites/legislacion.edomex.gob.mx/files/files/pdf/gct/2022/febrero/feb141/feb141b.pdf</w:t>
              </w:r>
            </w:hyperlink>
          </w:p>
          <w:p w14:paraId="12BB8714" w14:textId="77777777" w:rsidR="00361098" w:rsidRPr="003B4AD0" w:rsidRDefault="00361098" w:rsidP="00A76D59">
            <w:pPr>
              <w:jc w:val="both"/>
              <w:rPr>
                <w:rFonts w:ascii="Palatino Linotype" w:hAnsi="Palatino Linotype" w:cs="Arial"/>
                <w:sz w:val="18"/>
                <w:szCs w:val="18"/>
                <w:lang w:val="es-419"/>
              </w:rPr>
            </w:pPr>
          </w:p>
        </w:tc>
      </w:tr>
      <w:tr w:rsidR="00361098" w:rsidRPr="00F445C3" w14:paraId="16B18BB7" w14:textId="77777777" w:rsidTr="00B76EC1">
        <w:tc>
          <w:tcPr>
            <w:tcW w:w="2836" w:type="dxa"/>
          </w:tcPr>
          <w:p w14:paraId="268CC40C" w14:textId="77777777" w:rsidR="00361098" w:rsidRPr="00833A74" w:rsidRDefault="00361098" w:rsidP="00A76D59">
            <w:pPr>
              <w:jc w:val="both"/>
              <w:rPr>
                <w:rFonts w:ascii="Palatino Linotype" w:hAnsi="Palatino Linotype" w:cs="Arial"/>
                <w:sz w:val="18"/>
                <w:szCs w:val="18"/>
                <w:lang w:val="es-419"/>
              </w:rPr>
            </w:pPr>
            <w:r w:rsidRPr="00833A74">
              <w:rPr>
                <w:rFonts w:ascii="Palatino Linotype" w:hAnsi="Palatino Linotype"/>
                <w:sz w:val="18"/>
                <w:szCs w:val="18"/>
              </w:rPr>
              <w:t>Convocatoria para el Segundo Proceso de Certificación del año 2022, bajo el modelo estándar de competencia laboral</w:t>
            </w:r>
            <w:r w:rsidRPr="00833A74">
              <w:rPr>
                <w:rFonts w:ascii="Palatino Linotype" w:hAnsi="Palatino Linotype"/>
                <w:sz w:val="18"/>
                <w:szCs w:val="18"/>
                <w:lang w:val="es-419"/>
              </w:rPr>
              <w:t xml:space="preserve"> </w:t>
            </w:r>
            <w:r w:rsidRPr="00833A74">
              <w:rPr>
                <w:rFonts w:ascii="Palatino Linotype" w:hAnsi="Palatino Linotype"/>
                <w:sz w:val="18"/>
                <w:szCs w:val="18"/>
              </w:rPr>
              <w:t>denominado “Garantizar el Derecho de Acceso a la Información Pública”, dirigida a las y los Titulares de las Unidades de Transparencia de los Sujetos Obligados del Estado de México.</w:t>
            </w:r>
          </w:p>
        </w:tc>
        <w:tc>
          <w:tcPr>
            <w:tcW w:w="1701" w:type="dxa"/>
          </w:tcPr>
          <w:p w14:paraId="0149D9D4"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04 de mayo de 2022</w:t>
            </w:r>
          </w:p>
        </w:tc>
        <w:tc>
          <w:tcPr>
            <w:tcW w:w="1984" w:type="dxa"/>
          </w:tcPr>
          <w:p w14:paraId="093648D9"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17 de mayo de 2022</w:t>
            </w:r>
          </w:p>
        </w:tc>
        <w:tc>
          <w:tcPr>
            <w:tcW w:w="3544" w:type="dxa"/>
          </w:tcPr>
          <w:p w14:paraId="02957478"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16a. Sesión pública del Pleno del INFOEM.</w:t>
            </w:r>
          </w:p>
          <w:p w14:paraId="3AA1D116" w14:textId="77777777" w:rsidR="00361098" w:rsidRPr="003B4AD0" w:rsidRDefault="006E2D6B" w:rsidP="00A76D59">
            <w:pPr>
              <w:jc w:val="both"/>
              <w:rPr>
                <w:rFonts w:ascii="Palatino Linotype" w:hAnsi="Palatino Linotype" w:cs="Arial"/>
                <w:sz w:val="18"/>
                <w:szCs w:val="18"/>
                <w:lang w:val="es-419"/>
              </w:rPr>
            </w:pPr>
            <w:hyperlink r:id="rId16" w:history="1">
              <w:r w:rsidR="00361098" w:rsidRPr="003B4AD0">
                <w:rPr>
                  <w:rStyle w:val="Hipervnculo"/>
                  <w:rFonts w:ascii="Palatino Linotype" w:hAnsi="Palatino Linotype" w:cs="Arial"/>
                  <w:sz w:val="18"/>
                  <w:szCs w:val="18"/>
                  <w:lang w:val="es-419"/>
                </w:rPr>
                <w:t>https://www.youtube.com/watch?v=8_zJWCtA4Ws</w:t>
              </w:r>
            </w:hyperlink>
          </w:p>
          <w:p w14:paraId="6CDEFEA3" w14:textId="77777777" w:rsidR="00361098" w:rsidRPr="003B4AD0" w:rsidRDefault="00361098" w:rsidP="00A76D59">
            <w:pPr>
              <w:jc w:val="both"/>
              <w:rPr>
                <w:rFonts w:ascii="Palatino Linotype" w:hAnsi="Palatino Linotype" w:cs="Arial"/>
                <w:sz w:val="18"/>
                <w:szCs w:val="18"/>
                <w:lang w:val="es-419"/>
              </w:rPr>
            </w:pPr>
          </w:p>
          <w:p w14:paraId="41DBB0DF"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Página de internet del Instituto.</w:t>
            </w:r>
            <w:r w:rsidRPr="003B4AD0">
              <w:rPr>
                <w:rFonts w:ascii="Palatino Linotype" w:hAnsi="Palatino Linotype"/>
                <w:sz w:val="18"/>
                <w:szCs w:val="18"/>
              </w:rPr>
              <w:t xml:space="preserve"> </w:t>
            </w:r>
            <w:hyperlink r:id="rId17" w:history="1">
              <w:r w:rsidRPr="003B4AD0">
                <w:rPr>
                  <w:rStyle w:val="Hipervnculo"/>
                  <w:rFonts w:ascii="Palatino Linotype" w:hAnsi="Palatino Linotype" w:cs="Arial"/>
                  <w:sz w:val="18"/>
                  <w:szCs w:val="18"/>
                  <w:lang w:val="es-419"/>
                </w:rPr>
                <w:t>https://www.infoem.org.mx/</w:t>
              </w:r>
            </w:hyperlink>
          </w:p>
          <w:p w14:paraId="241D2604" w14:textId="77777777" w:rsidR="00361098" w:rsidRPr="003B4AD0" w:rsidRDefault="00361098" w:rsidP="00A76D59">
            <w:pPr>
              <w:jc w:val="both"/>
              <w:rPr>
                <w:rFonts w:ascii="Palatino Linotype" w:hAnsi="Palatino Linotype" w:cs="Arial"/>
                <w:sz w:val="18"/>
                <w:szCs w:val="18"/>
                <w:lang w:val="es-419"/>
              </w:rPr>
            </w:pPr>
          </w:p>
          <w:p w14:paraId="0D483A7A"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Periódico Oficial  Gaceta del Gobierno. Gobierno del Estado Libre y Soberano de México</w:t>
            </w:r>
          </w:p>
          <w:p w14:paraId="26F817B0" w14:textId="77777777" w:rsidR="00361098" w:rsidRPr="003B4AD0" w:rsidRDefault="006E2D6B" w:rsidP="00A76D59">
            <w:pPr>
              <w:jc w:val="both"/>
              <w:rPr>
                <w:rFonts w:ascii="Palatino Linotype" w:hAnsi="Palatino Linotype" w:cs="Arial"/>
                <w:sz w:val="18"/>
                <w:szCs w:val="18"/>
                <w:lang w:val="es-419"/>
              </w:rPr>
            </w:pPr>
            <w:hyperlink r:id="rId18" w:history="1">
              <w:r w:rsidR="00361098" w:rsidRPr="003B4AD0">
                <w:rPr>
                  <w:rStyle w:val="Hipervnculo"/>
                  <w:rFonts w:ascii="Palatino Linotype" w:hAnsi="Palatino Linotype" w:cs="Arial"/>
                  <w:sz w:val="18"/>
                  <w:szCs w:val="18"/>
                  <w:lang w:val="es-419"/>
                </w:rPr>
                <w:t>https://legislacion.edomex.gob.mx/sites/legislacion.edomex.gob.mx/files/files/pdf/gct/2022/mayo/may171/may171d.pdf</w:t>
              </w:r>
            </w:hyperlink>
          </w:p>
        </w:tc>
      </w:tr>
      <w:tr w:rsidR="00361098" w:rsidRPr="00F445C3" w14:paraId="1A043479" w14:textId="77777777" w:rsidTr="00B76EC1">
        <w:tc>
          <w:tcPr>
            <w:tcW w:w="2836" w:type="dxa"/>
          </w:tcPr>
          <w:p w14:paraId="3449979D"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sz w:val="18"/>
                <w:szCs w:val="18"/>
              </w:rPr>
              <w:lastRenderedPageBreak/>
              <w:t>Convocatoria para la Tercera Promoción del Proceso de Certificación 2022, bajo el modelo estándar de competencia laboral denominado “Garantizar el Derecho de Acceso a la Información Pública”, dirigida a las y los Titulares de las Unidades de Transparencia y Servidores Públicos Habilitados de los Sujetos Obligados del Estado de México.</w:t>
            </w:r>
          </w:p>
        </w:tc>
        <w:tc>
          <w:tcPr>
            <w:tcW w:w="1701" w:type="dxa"/>
          </w:tcPr>
          <w:p w14:paraId="064A3B5B"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28 de septiembre de 2022</w:t>
            </w:r>
          </w:p>
        </w:tc>
        <w:tc>
          <w:tcPr>
            <w:tcW w:w="1984" w:type="dxa"/>
          </w:tcPr>
          <w:p w14:paraId="68D3B2F3"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11 de octubre de 2022</w:t>
            </w:r>
          </w:p>
        </w:tc>
        <w:tc>
          <w:tcPr>
            <w:tcW w:w="3544" w:type="dxa"/>
          </w:tcPr>
          <w:p w14:paraId="1C850A84"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35a. Sesión pública del Pleno del INFOEM.</w:t>
            </w:r>
          </w:p>
          <w:p w14:paraId="36F1358F" w14:textId="77777777" w:rsidR="00361098" w:rsidRPr="0042419B" w:rsidRDefault="006E2D6B" w:rsidP="00A76D59">
            <w:pPr>
              <w:jc w:val="both"/>
              <w:rPr>
                <w:rFonts w:ascii="Palatino Linotype" w:hAnsi="Palatino Linotype" w:cs="Arial"/>
                <w:color w:val="5B9BD5" w:themeColor="accent1"/>
                <w:sz w:val="18"/>
                <w:szCs w:val="18"/>
                <w:u w:val="single"/>
                <w:lang w:val="es-419"/>
              </w:rPr>
            </w:pPr>
            <w:hyperlink r:id="rId19" w:history="1">
              <w:r w:rsidR="00361098" w:rsidRPr="0042419B">
                <w:rPr>
                  <w:rStyle w:val="Hipervnculo"/>
                  <w:rFonts w:ascii="Palatino Linotype" w:hAnsi="Palatino Linotype" w:cs="Arial"/>
                  <w:color w:val="5B9BD5" w:themeColor="accent1"/>
                  <w:sz w:val="18"/>
                  <w:szCs w:val="18"/>
                  <w:lang w:val="es-419"/>
                </w:rPr>
                <w:t>https://www.youtube.com/watch?v=qTtGO5ZUd5w</w:t>
              </w:r>
            </w:hyperlink>
          </w:p>
          <w:p w14:paraId="5EA06CFD" w14:textId="77777777" w:rsidR="00361098" w:rsidRPr="003B4AD0" w:rsidRDefault="00361098" w:rsidP="00A76D59">
            <w:pPr>
              <w:jc w:val="both"/>
              <w:rPr>
                <w:rFonts w:ascii="Palatino Linotype" w:hAnsi="Palatino Linotype" w:cs="Arial"/>
                <w:sz w:val="18"/>
                <w:szCs w:val="18"/>
                <w:lang w:val="es-419"/>
              </w:rPr>
            </w:pPr>
          </w:p>
          <w:p w14:paraId="4B820F09"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Página de internet del Instituto.</w:t>
            </w:r>
          </w:p>
          <w:p w14:paraId="5787A00A" w14:textId="77777777" w:rsidR="00361098" w:rsidRPr="003B4AD0" w:rsidRDefault="006E2D6B" w:rsidP="00A76D59">
            <w:pPr>
              <w:jc w:val="both"/>
              <w:rPr>
                <w:rFonts w:ascii="Palatino Linotype" w:hAnsi="Palatino Linotype" w:cs="Arial"/>
                <w:sz w:val="18"/>
                <w:szCs w:val="18"/>
                <w:lang w:val="es-419"/>
              </w:rPr>
            </w:pPr>
            <w:hyperlink r:id="rId20" w:history="1">
              <w:r w:rsidR="00361098" w:rsidRPr="003B4AD0">
                <w:rPr>
                  <w:rStyle w:val="Hipervnculo"/>
                  <w:rFonts w:ascii="Palatino Linotype" w:hAnsi="Palatino Linotype" w:cs="Arial"/>
                  <w:sz w:val="18"/>
                  <w:szCs w:val="18"/>
                  <w:lang w:val="es-419"/>
                </w:rPr>
                <w:t>https://www.infoem.org.mx/</w:t>
              </w:r>
            </w:hyperlink>
          </w:p>
          <w:p w14:paraId="09137C53" w14:textId="77777777" w:rsidR="00361098" w:rsidRPr="003B4AD0" w:rsidRDefault="00361098" w:rsidP="00A76D59">
            <w:pPr>
              <w:jc w:val="both"/>
              <w:rPr>
                <w:rFonts w:ascii="Palatino Linotype" w:hAnsi="Palatino Linotype" w:cs="Arial"/>
                <w:sz w:val="18"/>
                <w:szCs w:val="18"/>
                <w:lang w:val="es-419"/>
              </w:rPr>
            </w:pPr>
          </w:p>
          <w:p w14:paraId="4B9523B7"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Periódico Oficial  Gaceta del Gobierno. Gobierno del Estado Libre y Soberano de México</w:t>
            </w:r>
          </w:p>
          <w:p w14:paraId="3387F9B9" w14:textId="77777777" w:rsidR="00361098" w:rsidRPr="003B4AD0" w:rsidRDefault="006E2D6B" w:rsidP="00A76D59">
            <w:pPr>
              <w:jc w:val="both"/>
              <w:rPr>
                <w:rFonts w:ascii="Palatino Linotype" w:hAnsi="Palatino Linotype" w:cs="Arial"/>
                <w:sz w:val="18"/>
                <w:szCs w:val="18"/>
                <w:lang w:val="es-419"/>
              </w:rPr>
            </w:pPr>
            <w:hyperlink r:id="rId21" w:history="1">
              <w:r w:rsidR="00361098" w:rsidRPr="003B4AD0">
                <w:rPr>
                  <w:rStyle w:val="Hipervnculo"/>
                  <w:rFonts w:ascii="Palatino Linotype" w:hAnsi="Palatino Linotype" w:cs="Arial"/>
                  <w:sz w:val="18"/>
                  <w:szCs w:val="18"/>
                  <w:lang w:val="es-419"/>
                </w:rPr>
                <w:t>https://legislacion.edomex.gob.mx/sites/legislacion.edomex.gob.mx/files/files/pdf/gct/2022/octubre/oct111/oct111d.pdf</w:t>
              </w:r>
            </w:hyperlink>
          </w:p>
          <w:p w14:paraId="02840AAC" w14:textId="77777777" w:rsidR="00361098" w:rsidRPr="003B4AD0" w:rsidRDefault="00361098" w:rsidP="00A76D59">
            <w:pPr>
              <w:jc w:val="both"/>
              <w:rPr>
                <w:rFonts w:ascii="Palatino Linotype" w:hAnsi="Palatino Linotype" w:cs="Arial"/>
                <w:sz w:val="18"/>
                <w:szCs w:val="18"/>
                <w:lang w:val="es-419"/>
              </w:rPr>
            </w:pPr>
          </w:p>
          <w:p w14:paraId="1E9A2182" w14:textId="77777777" w:rsidR="00361098" w:rsidRPr="003B4AD0" w:rsidRDefault="00361098" w:rsidP="00A76D59">
            <w:pPr>
              <w:jc w:val="both"/>
              <w:rPr>
                <w:rFonts w:ascii="Palatino Linotype" w:hAnsi="Palatino Linotype" w:cs="Arial"/>
                <w:sz w:val="18"/>
                <w:szCs w:val="18"/>
                <w:lang w:val="es-419"/>
              </w:rPr>
            </w:pPr>
          </w:p>
        </w:tc>
      </w:tr>
      <w:tr w:rsidR="00361098" w:rsidRPr="00F445C3" w14:paraId="4B1238F0" w14:textId="77777777" w:rsidTr="00B76EC1">
        <w:tc>
          <w:tcPr>
            <w:tcW w:w="2836" w:type="dxa"/>
          </w:tcPr>
          <w:p w14:paraId="2E5DD1F0" w14:textId="77777777" w:rsidR="00361098" w:rsidRPr="003B4AD0" w:rsidRDefault="00361098" w:rsidP="00A76D59">
            <w:pPr>
              <w:jc w:val="both"/>
              <w:rPr>
                <w:rFonts w:ascii="Palatino Linotype" w:hAnsi="Palatino Linotype"/>
                <w:sz w:val="18"/>
                <w:szCs w:val="18"/>
              </w:rPr>
            </w:pPr>
            <w:r w:rsidRPr="00C77E1C">
              <w:rPr>
                <w:rFonts w:ascii="Palatino Linotype" w:hAnsi="Palatino Linotype"/>
                <w:sz w:val="18"/>
                <w:szCs w:val="18"/>
              </w:rPr>
              <w:t>Aprobación de la Convocatoria para el Proceso de Certificación bajo el Modelo del Estándar de Competencia Laboral denominado EC1171, Garantizar el Derecho a la Protección de Datos Personales.</w:t>
            </w:r>
          </w:p>
        </w:tc>
        <w:tc>
          <w:tcPr>
            <w:tcW w:w="1701" w:type="dxa"/>
          </w:tcPr>
          <w:p w14:paraId="604B9EB4" w14:textId="77777777" w:rsidR="00361098" w:rsidRPr="003B4AD0"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15 de marzo de 2023</w:t>
            </w:r>
          </w:p>
        </w:tc>
        <w:tc>
          <w:tcPr>
            <w:tcW w:w="1984" w:type="dxa"/>
          </w:tcPr>
          <w:p w14:paraId="50145A46" w14:textId="77777777" w:rsidR="00361098" w:rsidRPr="003B4AD0"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27 de marzo de 2023</w:t>
            </w:r>
          </w:p>
        </w:tc>
        <w:tc>
          <w:tcPr>
            <w:tcW w:w="3544" w:type="dxa"/>
          </w:tcPr>
          <w:p w14:paraId="37D80513"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10ª Sesión Pública del Pleno del INFOEM</w:t>
            </w:r>
          </w:p>
          <w:p w14:paraId="754774FA" w14:textId="77777777" w:rsidR="00361098" w:rsidRDefault="006E2D6B" w:rsidP="00A76D59">
            <w:pPr>
              <w:jc w:val="both"/>
              <w:rPr>
                <w:rFonts w:ascii="Palatino Linotype" w:hAnsi="Palatino Linotype" w:cs="Arial"/>
                <w:sz w:val="18"/>
                <w:szCs w:val="18"/>
                <w:lang w:val="es-419"/>
              </w:rPr>
            </w:pPr>
            <w:hyperlink r:id="rId22" w:history="1">
              <w:r w:rsidR="00361098" w:rsidRPr="00A01DD7">
                <w:rPr>
                  <w:rStyle w:val="Hipervnculo"/>
                  <w:rFonts w:ascii="Palatino Linotype" w:hAnsi="Palatino Linotype" w:cs="Arial"/>
                  <w:sz w:val="18"/>
                  <w:szCs w:val="18"/>
                  <w:lang w:val="es-419"/>
                </w:rPr>
                <w:t>https://www.youtube.com/watch?v=W4WDQOHN-jg&amp;list=PLAQyTKf3zBOyhwpkaab4h0uxQsGHhZONX&amp;index=17</w:t>
              </w:r>
            </w:hyperlink>
          </w:p>
          <w:p w14:paraId="515F9B2C" w14:textId="77777777" w:rsidR="00361098" w:rsidRDefault="00361098" w:rsidP="00A76D59">
            <w:pPr>
              <w:jc w:val="both"/>
              <w:rPr>
                <w:rFonts w:ascii="Palatino Linotype" w:hAnsi="Palatino Linotype" w:cs="Arial"/>
                <w:sz w:val="18"/>
                <w:szCs w:val="18"/>
                <w:lang w:val="es-419"/>
              </w:rPr>
            </w:pPr>
          </w:p>
          <w:p w14:paraId="5BD0C6AB"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Página de internet del Instituto</w:t>
            </w:r>
          </w:p>
          <w:p w14:paraId="7362663C" w14:textId="77777777" w:rsidR="00361098" w:rsidRDefault="006E2D6B" w:rsidP="00A76D59">
            <w:pPr>
              <w:jc w:val="both"/>
              <w:rPr>
                <w:rFonts w:ascii="Palatino Linotype" w:hAnsi="Palatino Linotype" w:cs="Arial"/>
                <w:sz w:val="18"/>
                <w:szCs w:val="18"/>
                <w:lang w:val="es-419"/>
              </w:rPr>
            </w:pPr>
            <w:hyperlink r:id="rId23" w:history="1">
              <w:r w:rsidR="00361098" w:rsidRPr="003B4AD0">
                <w:rPr>
                  <w:rStyle w:val="Hipervnculo"/>
                  <w:rFonts w:ascii="Palatino Linotype" w:hAnsi="Palatino Linotype" w:cs="Arial"/>
                  <w:sz w:val="18"/>
                  <w:szCs w:val="18"/>
                  <w:lang w:val="es-419"/>
                </w:rPr>
                <w:t>https://www.infoem.org.mx/</w:t>
              </w:r>
            </w:hyperlink>
          </w:p>
          <w:p w14:paraId="20F8FD04" w14:textId="77777777" w:rsidR="00361098" w:rsidRDefault="00361098" w:rsidP="00A76D59">
            <w:pPr>
              <w:jc w:val="both"/>
              <w:rPr>
                <w:rFonts w:ascii="Palatino Linotype" w:hAnsi="Palatino Linotype" w:cs="Arial"/>
                <w:sz w:val="18"/>
                <w:szCs w:val="18"/>
                <w:lang w:val="es-419"/>
              </w:rPr>
            </w:pPr>
          </w:p>
          <w:p w14:paraId="0B0F479E"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Periódico Oficial  Gaceta del Gobierno. Gobierno del Estado Libre y Soberano de México</w:t>
            </w:r>
          </w:p>
          <w:p w14:paraId="643B1E9C" w14:textId="77777777" w:rsidR="00361098" w:rsidRPr="003B4AD0" w:rsidRDefault="00361098" w:rsidP="00A76D59">
            <w:pPr>
              <w:jc w:val="both"/>
              <w:rPr>
                <w:rFonts w:ascii="Palatino Linotype" w:hAnsi="Palatino Linotype" w:cs="Arial"/>
                <w:sz w:val="18"/>
                <w:szCs w:val="18"/>
                <w:lang w:val="es-419"/>
              </w:rPr>
            </w:pPr>
          </w:p>
        </w:tc>
      </w:tr>
      <w:tr w:rsidR="00361098" w:rsidRPr="00F445C3" w14:paraId="67612F31" w14:textId="77777777" w:rsidTr="00B76EC1">
        <w:tc>
          <w:tcPr>
            <w:tcW w:w="2836" w:type="dxa"/>
          </w:tcPr>
          <w:p w14:paraId="151F291B" w14:textId="77777777" w:rsidR="00361098" w:rsidRPr="00AA6B14" w:rsidRDefault="00361098" w:rsidP="00A76D59">
            <w:pPr>
              <w:jc w:val="both"/>
              <w:rPr>
                <w:lang w:val="es-419"/>
              </w:rPr>
            </w:pPr>
            <w:r w:rsidRPr="00C77E1C">
              <w:rPr>
                <w:rFonts w:ascii="Palatino Linotype" w:hAnsi="Palatino Linotype"/>
                <w:sz w:val="18"/>
                <w:szCs w:val="18"/>
              </w:rPr>
              <w:t>Aprobación de la Convocatoria para el Primer Proceso de Evaluación para Obtener la Certificación  en el Estándar de Competencia Laboral EC 1057 “Garantizar el Derecho de Acceso a la Información Pública” 2023.</w:t>
            </w:r>
          </w:p>
        </w:tc>
        <w:tc>
          <w:tcPr>
            <w:tcW w:w="1701" w:type="dxa"/>
          </w:tcPr>
          <w:p w14:paraId="6778A315"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16 de agosto de 2023</w:t>
            </w:r>
          </w:p>
        </w:tc>
        <w:tc>
          <w:tcPr>
            <w:tcW w:w="1984" w:type="dxa"/>
          </w:tcPr>
          <w:p w14:paraId="1A155843"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31 de agosto de 2023</w:t>
            </w:r>
          </w:p>
        </w:tc>
        <w:tc>
          <w:tcPr>
            <w:tcW w:w="3544" w:type="dxa"/>
          </w:tcPr>
          <w:p w14:paraId="3FE7D0F1"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29 Sesión Pública del Pleno del INFOEM</w:t>
            </w:r>
          </w:p>
          <w:p w14:paraId="3B4775C8" w14:textId="77777777" w:rsidR="00361098" w:rsidRDefault="006E2D6B" w:rsidP="00A76D59">
            <w:pPr>
              <w:jc w:val="both"/>
              <w:rPr>
                <w:rFonts w:ascii="Palatino Linotype" w:hAnsi="Palatino Linotype" w:cs="Arial"/>
                <w:sz w:val="18"/>
                <w:szCs w:val="18"/>
                <w:lang w:val="es-419"/>
              </w:rPr>
            </w:pPr>
            <w:hyperlink r:id="rId24" w:history="1">
              <w:r w:rsidR="00361098" w:rsidRPr="002A3877">
                <w:rPr>
                  <w:rStyle w:val="Hipervnculo"/>
                  <w:rFonts w:ascii="Palatino Linotype" w:hAnsi="Palatino Linotype" w:cs="Arial"/>
                  <w:sz w:val="18"/>
                  <w:szCs w:val="18"/>
                  <w:lang w:val="es-419"/>
                </w:rPr>
                <w:t>https://www.youtube.com/watch?v=Oj1fkx-R2eU&amp;list=PLAQyTKf3zBOyhwpkaab4h0uxQsGHhZONX&amp;index=55</w:t>
              </w:r>
            </w:hyperlink>
          </w:p>
          <w:p w14:paraId="3F7E5764" w14:textId="77777777" w:rsidR="00361098" w:rsidRDefault="00361098" w:rsidP="00A76D59">
            <w:pPr>
              <w:jc w:val="both"/>
              <w:rPr>
                <w:rFonts w:ascii="Palatino Linotype" w:hAnsi="Palatino Linotype" w:cs="Arial"/>
                <w:sz w:val="18"/>
                <w:szCs w:val="18"/>
                <w:lang w:val="es-419"/>
              </w:rPr>
            </w:pPr>
          </w:p>
          <w:p w14:paraId="6CEB7A15"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Página de internet del Instituto</w:t>
            </w:r>
          </w:p>
          <w:p w14:paraId="20B760E8" w14:textId="77777777" w:rsidR="00361098" w:rsidRDefault="006E2D6B" w:rsidP="00A76D59">
            <w:pPr>
              <w:jc w:val="both"/>
              <w:rPr>
                <w:rStyle w:val="Hipervnculo"/>
                <w:rFonts w:ascii="Palatino Linotype" w:hAnsi="Palatino Linotype" w:cs="Arial"/>
                <w:sz w:val="18"/>
                <w:szCs w:val="18"/>
                <w:lang w:val="es-419"/>
              </w:rPr>
            </w:pPr>
            <w:hyperlink r:id="rId25" w:history="1">
              <w:r w:rsidR="00361098" w:rsidRPr="003B4AD0">
                <w:rPr>
                  <w:rStyle w:val="Hipervnculo"/>
                  <w:rFonts w:ascii="Palatino Linotype" w:hAnsi="Palatino Linotype" w:cs="Arial"/>
                  <w:sz w:val="18"/>
                  <w:szCs w:val="18"/>
                  <w:lang w:val="es-419"/>
                </w:rPr>
                <w:t>https://www.infoem.org.mx/</w:t>
              </w:r>
            </w:hyperlink>
          </w:p>
          <w:p w14:paraId="360D5FB3" w14:textId="77777777" w:rsidR="00361098" w:rsidRDefault="00361098" w:rsidP="00A76D59">
            <w:pPr>
              <w:jc w:val="both"/>
              <w:rPr>
                <w:rStyle w:val="Hipervnculo"/>
                <w:rFonts w:ascii="Palatino Linotype" w:hAnsi="Palatino Linotype" w:cs="Arial"/>
                <w:sz w:val="18"/>
                <w:szCs w:val="18"/>
                <w:lang w:val="es-419"/>
              </w:rPr>
            </w:pPr>
          </w:p>
          <w:p w14:paraId="3A1D3171" w14:textId="77777777" w:rsidR="00361098" w:rsidRPr="003B4AD0"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Periódico Oficial  Gaceta del Gobierno. Gobierno del Estado Libre y Soberano de México</w:t>
            </w:r>
          </w:p>
          <w:p w14:paraId="0CFE869C" w14:textId="77777777" w:rsidR="00361098" w:rsidRDefault="006E2D6B" w:rsidP="00A76D59">
            <w:pPr>
              <w:jc w:val="both"/>
              <w:rPr>
                <w:rFonts w:ascii="Palatino Linotype" w:hAnsi="Palatino Linotype" w:cs="Arial"/>
                <w:sz w:val="18"/>
                <w:szCs w:val="18"/>
                <w:lang w:val="es-419"/>
              </w:rPr>
            </w:pPr>
            <w:hyperlink r:id="rId26" w:history="1">
              <w:r w:rsidR="00361098" w:rsidRPr="00040EE9">
                <w:rPr>
                  <w:rStyle w:val="Hipervnculo"/>
                  <w:rFonts w:ascii="Palatino Linotype" w:hAnsi="Palatino Linotype" w:cs="Arial"/>
                  <w:sz w:val="18"/>
                  <w:szCs w:val="18"/>
                  <w:lang w:val="es-419"/>
                </w:rPr>
                <w:t>https://legislacion.edomex.gob.mx/sites/legislacion.edomex.gob.mx/files/files/pdf/gct/2023/agosto/ago311/ago311e.pdf</w:t>
              </w:r>
            </w:hyperlink>
          </w:p>
          <w:p w14:paraId="1B7EB7E3" w14:textId="77777777" w:rsidR="00361098" w:rsidRDefault="00361098" w:rsidP="00A76D59">
            <w:pPr>
              <w:jc w:val="both"/>
              <w:rPr>
                <w:rFonts w:ascii="Palatino Linotype" w:hAnsi="Palatino Linotype" w:cs="Arial"/>
                <w:sz w:val="18"/>
                <w:szCs w:val="18"/>
                <w:lang w:val="es-419"/>
              </w:rPr>
            </w:pPr>
          </w:p>
        </w:tc>
      </w:tr>
      <w:tr w:rsidR="00361098" w:rsidRPr="00F445C3" w14:paraId="5447996C" w14:textId="77777777" w:rsidTr="00B76EC1">
        <w:tc>
          <w:tcPr>
            <w:tcW w:w="2836" w:type="dxa"/>
          </w:tcPr>
          <w:p w14:paraId="165C5FB1" w14:textId="77777777" w:rsidR="00361098" w:rsidRPr="00C77E1C" w:rsidRDefault="00361098" w:rsidP="00A76D59">
            <w:pPr>
              <w:jc w:val="both"/>
              <w:rPr>
                <w:rFonts w:ascii="Palatino Linotype" w:hAnsi="Palatino Linotype"/>
                <w:sz w:val="18"/>
                <w:szCs w:val="18"/>
              </w:rPr>
            </w:pPr>
            <w:r w:rsidRPr="00C77E1C">
              <w:rPr>
                <w:rFonts w:ascii="Palatino Linotype" w:hAnsi="Palatino Linotype"/>
                <w:sz w:val="18"/>
                <w:szCs w:val="18"/>
              </w:rPr>
              <w:lastRenderedPageBreak/>
              <w:t>EC 1057 “Garantizar el Derecho de Acceso a la Información Pública”</w:t>
            </w:r>
            <w:r>
              <w:rPr>
                <w:rFonts w:ascii="Palatino Linotype" w:hAnsi="Palatino Linotype"/>
                <w:sz w:val="18"/>
                <w:szCs w:val="18"/>
              </w:rPr>
              <w:t>2024</w:t>
            </w:r>
          </w:p>
        </w:tc>
        <w:tc>
          <w:tcPr>
            <w:tcW w:w="1701" w:type="dxa"/>
          </w:tcPr>
          <w:p w14:paraId="70CFCA90"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24 de enero de 2024</w:t>
            </w:r>
          </w:p>
        </w:tc>
        <w:tc>
          <w:tcPr>
            <w:tcW w:w="1984" w:type="dxa"/>
          </w:tcPr>
          <w:p w14:paraId="6E9AD82B"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06 de febrero de 2024</w:t>
            </w:r>
          </w:p>
        </w:tc>
        <w:tc>
          <w:tcPr>
            <w:tcW w:w="3544" w:type="dxa"/>
          </w:tcPr>
          <w:p w14:paraId="4563CC27" w14:textId="77777777" w:rsidR="00361098" w:rsidRPr="003E59A5"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 xml:space="preserve">2 </w:t>
            </w:r>
            <w:r w:rsidRPr="003E59A5">
              <w:rPr>
                <w:rFonts w:ascii="Palatino Linotype" w:hAnsi="Palatino Linotype" w:cs="Arial"/>
                <w:sz w:val="18"/>
                <w:szCs w:val="18"/>
                <w:lang w:val="es-419"/>
              </w:rPr>
              <w:t>Sesión Ordinaria Pública del Pleno del INFOEM</w:t>
            </w:r>
          </w:p>
          <w:p w14:paraId="209BC89D" w14:textId="77777777" w:rsidR="00361098" w:rsidRPr="003E59A5" w:rsidRDefault="006E2D6B" w:rsidP="00A76D59">
            <w:pPr>
              <w:jc w:val="both"/>
              <w:rPr>
                <w:rFonts w:ascii="Palatino Linotype" w:hAnsi="Palatino Linotype" w:cs="Arial"/>
                <w:sz w:val="18"/>
                <w:szCs w:val="18"/>
                <w:lang w:val="es-419"/>
              </w:rPr>
            </w:pPr>
            <w:hyperlink r:id="rId27" w:history="1">
              <w:r w:rsidR="00361098" w:rsidRPr="003E59A5">
                <w:rPr>
                  <w:rStyle w:val="Hipervnculo"/>
                  <w:sz w:val="18"/>
                  <w:szCs w:val="18"/>
                </w:rPr>
                <w:t>2 a SESIÓN ORDINARIA 24 DE ENERO 2024 (youtube.com)</w:t>
              </w:r>
            </w:hyperlink>
          </w:p>
          <w:p w14:paraId="136BFDB7" w14:textId="77777777" w:rsidR="00361098" w:rsidRPr="003E59A5" w:rsidRDefault="00361098" w:rsidP="00A76D59">
            <w:pPr>
              <w:jc w:val="both"/>
              <w:rPr>
                <w:rFonts w:ascii="Palatino Linotype" w:hAnsi="Palatino Linotype" w:cs="Arial"/>
                <w:sz w:val="18"/>
                <w:szCs w:val="18"/>
                <w:lang w:val="es-419"/>
              </w:rPr>
            </w:pPr>
          </w:p>
          <w:p w14:paraId="30F0FE51" w14:textId="77777777" w:rsidR="00361098" w:rsidRPr="003E59A5" w:rsidRDefault="00361098" w:rsidP="00A76D59">
            <w:pPr>
              <w:jc w:val="both"/>
              <w:rPr>
                <w:rFonts w:ascii="Palatino Linotype" w:hAnsi="Palatino Linotype" w:cs="Arial"/>
                <w:sz w:val="18"/>
                <w:szCs w:val="18"/>
                <w:lang w:val="es-419"/>
              </w:rPr>
            </w:pPr>
            <w:r w:rsidRPr="003E59A5">
              <w:rPr>
                <w:rFonts w:ascii="Palatino Linotype" w:hAnsi="Palatino Linotype" w:cs="Arial"/>
                <w:sz w:val="18"/>
                <w:szCs w:val="18"/>
                <w:lang w:val="es-419"/>
              </w:rPr>
              <w:t>Página de internet del Instituto</w:t>
            </w:r>
          </w:p>
          <w:p w14:paraId="2859430B" w14:textId="77777777" w:rsidR="00361098" w:rsidRPr="003E59A5" w:rsidRDefault="006E2D6B" w:rsidP="00A76D59">
            <w:pPr>
              <w:jc w:val="both"/>
              <w:rPr>
                <w:rStyle w:val="Hipervnculo"/>
                <w:rFonts w:ascii="Palatino Linotype" w:hAnsi="Palatino Linotype" w:cs="Arial"/>
                <w:sz w:val="18"/>
                <w:szCs w:val="18"/>
                <w:lang w:val="es-419"/>
              </w:rPr>
            </w:pPr>
            <w:hyperlink r:id="rId28" w:history="1">
              <w:r w:rsidR="00361098" w:rsidRPr="003E59A5">
                <w:rPr>
                  <w:rStyle w:val="Hipervnculo"/>
                  <w:rFonts w:ascii="Palatino Linotype" w:hAnsi="Palatino Linotype" w:cs="Arial"/>
                  <w:sz w:val="18"/>
                  <w:szCs w:val="18"/>
                  <w:lang w:val="es-419"/>
                </w:rPr>
                <w:t>https://www.infoem.org.mx/</w:t>
              </w:r>
            </w:hyperlink>
          </w:p>
          <w:p w14:paraId="036DB9C4" w14:textId="77777777" w:rsidR="00361098" w:rsidRPr="003E59A5" w:rsidRDefault="00361098" w:rsidP="00A76D59">
            <w:pPr>
              <w:jc w:val="both"/>
              <w:rPr>
                <w:rFonts w:ascii="Palatino Linotype" w:hAnsi="Palatino Linotype" w:cs="Arial"/>
                <w:sz w:val="18"/>
                <w:szCs w:val="18"/>
                <w:lang w:val="es-419"/>
              </w:rPr>
            </w:pPr>
          </w:p>
          <w:p w14:paraId="237C5398" w14:textId="77777777" w:rsidR="00361098" w:rsidRPr="003E59A5" w:rsidRDefault="00361098" w:rsidP="00A76D59">
            <w:pPr>
              <w:jc w:val="both"/>
              <w:rPr>
                <w:rFonts w:ascii="Palatino Linotype" w:hAnsi="Palatino Linotype" w:cs="Arial"/>
                <w:sz w:val="18"/>
                <w:szCs w:val="18"/>
                <w:lang w:val="es-419"/>
              </w:rPr>
            </w:pPr>
            <w:r w:rsidRPr="003E59A5">
              <w:rPr>
                <w:rFonts w:ascii="Palatino Linotype" w:hAnsi="Palatino Linotype" w:cs="Arial"/>
                <w:sz w:val="18"/>
                <w:szCs w:val="18"/>
                <w:lang w:val="es-419"/>
              </w:rPr>
              <w:t>Periódico Oficial  Gaceta del Gobierno. Gobierno del Estado Libre y Soberano de México</w:t>
            </w:r>
          </w:p>
          <w:p w14:paraId="739FBB51" w14:textId="77777777" w:rsidR="00361098" w:rsidRPr="003E59A5" w:rsidRDefault="006E2D6B" w:rsidP="00A76D59">
            <w:pPr>
              <w:jc w:val="both"/>
              <w:rPr>
                <w:sz w:val="18"/>
                <w:szCs w:val="18"/>
              </w:rPr>
            </w:pPr>
            <w:hyperlink r:id="rId29" w:history="1">
              <w:r w:rsidR="00361098" w:rsidRPr="003E59A5">
                <w:rPr>
                  <w:rStyle w:val="Hipervnculo"/>
                  <w:sz w:val="18"/>
                  <w:szCs w:val="18"/>
                </w:rPr>
                <w:t>https://legislacion.edomex.gob.mx/sites/legislacion.edomex.gob.mx/files/files/pdf/gct/2024/febrero/feb061/feb061g.pdf</w:t>
              </w:r>
            </w:hyperlink>
          </w:p>
          <w:p w14:paraId="51E20F1B" w14:textId="77777777" w:rsidR="00361098" w:rsidRDefault="00361098" w:rsidP="00A76D59">
            <w:pPr>
              <w:jc w:val="both"/>
              <w:rPr>
                <w:rFonts w:ascii="Palatino Linotype" w:hAnsi="Palatino Linotype" w:cs="Arial"/>
                <w:sz w:val="18"/>
                <w:szCs w:val="18"/>
                <w:lang w:val="es-419"/>
              </w:rPr>
            </w:pPr>
          </w:p>
          <w:p w14:paraId="686A623C" w14:textId="77777777" w:rsidR="00361098" w:rsidRDefault="00361098" w:rsidP="00A76D59">
            <w:pPr>
              <w:jc w:val="both"/>
              <w:rPr>
                <w:rFonts w:ascii="Palatino Linotype" w:hAnsi="Palatino Linotype" w:cs="Arial"/>
                <w:sz w:val="18"/>
                <w:szCs w:val="18"/>
                <w:lang w:val="es-419"/>
              </w:rPr>
            </w:pPr>
          </w:p>
        </w:tc>
      </w:tr>
      <w:tr w:rsidR="00361098" w:rsidRPr="00F445C3" w14:paraId="33AD1CEB" w14:textId="77777777" w:rsidTr="00B76EC1">
        <w:tc>
          <w:tcPr>
            <w:tcW w:w="2836" w:type="dxa"/>
          </w:tcPr>
          <w:p w14:paraId="59D5A737" w14:textId="77777777" w:rsidR="00361098" w:rsidRPr="00C77E1C" w:rsidRDefault="00361098" w:rsidP="00A76D59">
            <w:pPr>
              <w:jc w:val="both"/>
              <w:rPr>
                <w:rFonts w:ascii="Palatino Linotype" w:hAnsi="Palatino Linotype"/>
                <w:sz w:val="18"/>
                <w:szCs w:val="18"/>
              </w:rPr>
            </w:pPr>
            <w:r w:rsidRPr="00495F9A">
              <w:rPr>
                <w:rFonts w:ascii="Palatino Linotype" w:hAnsi="Palatino Linotype"/>
                <w:sz w:val="18"/>
                <w:szCs w:val="18"/>
              </w:rPr>
              <w:t>ACUERDO MEDIANTE EL CUAL SE APRUEBA LA CONVOCATORIA AL SEGUNDO PROCESO DE EVALUACIÓN PARA OBTENER LA CERTIFICACIÓN EN EL ESTÁNDAR DE COMPETENCIA LABORAL EC 1171 “GARANTIZAR EL DERECHO A LA PROTECCIÓN DE DATOS PERSONALES” 2024.</w:t>
            </w:r>
          </w:p>
        </w:tc>
        <w:tc>
          <w:tcPr>
            <w:tcW w:w="1701" w:type="dxa"/>
          </w:tcPr>
          <w:p w14:paraId="747CC0CB"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09 de mayo de 2024</w:t>
            </w:r>
          </w:p>
        </w:tc>
        <w:tc>
          <w:tcPr>
            <w:tcW w:w="1984" w:type="dxa"/>
          </w:tcPr>
          <w:p w14:paraId="70FD2773"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23 de mayo de 2024</w:t>
            </w:r>
          </w:p>
        </w:tc>
        <w:tc>
          <w:tcPr>
            <w:tcW w:w="3544" w:type="dxa"/>
          </w:tcPr>
          <w:p w14:paraId="3ADF62C9"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16a Sesión Ordinaria Pública del Pleno del INFOEM</w:t>
            </w:r>
          </w:p>
          <w:p w14:paraId="26DD842D" w14:textId="77777777" w:rsidR="00361098" w:rsidRDefault="006E2D6B" w:rsidP="00A76D59">
            <w:pPr>
              <w:jc w:val="both"/>
              <w:rPr>
                <w:rFonts w:ascii="Palatino Linotype" w:hAnsi="Palatino Linotype" w:cs="Arial"/>
                <w:sz w:val="18"/>
                <w:szCs w:val="18"/>
                <w:lang w:val="es-419"/>
              </w:rPr>
            </w:pPr>
            <w:hyperlink r:id="rId30" w:history="1">
              <w:r w:rsidR="00361098" w:rsidRPr="00B67239">
                <w:rPr>
                  <w:rStyle w:val="Hipervnculo"/>
                  <w:rFonts w:ascii="Palatino Linotype" w:hAnsi="Palatino Linotype" w:cs="Arial"/>
                  <w:sz w:val="18"/>
                  <w:szCs w:val="18"/>
                  <w:lang w:val="es-419"/>
                </w:rPr>
                <w:t>https://www.youtube.com/watch?v=PqKet5fmYHs&amp;t=13s</w:t>
              </w:r>
            </w:hyperlink>
          </w:p>
          <w:p w14:paraId="1B246CF2" w14:textId="77777777" w:rsidR="00361098" w:rsidRDefault="00361098" w:rsidP="00A76D59">
            <w:pPr>
              <w:jc w:val="both"/>
              <w:rPr>
                <w:rFonts w:ascii="Palatino Linotype" w:hAnsi="Palatino Linotype" w:cs="Arial"/>
                <w:sz w:val="18"/>
                <w:szCs w:val="18"/>
                <w:lang w:val="es-419"/>
              </w:rPr>
            </w:pPr>
          </w:p>
          <w:p w14:paraId="5F743509" w14:textId="77777777" w:rsidR="00361098" w:rsidRDefault="00361098" w:rsidP="00A76D59">
            <w:pPr>
              <w:jc w:val="both"/>
              <w:rPr>
                <w:rFonts w:ascii="Palatino Linotype" w:hAnsi="Palatino Linotype" w:cs="Arial"/>
                <w:sz w:val="18"/>
                <w:szCs w:val="18"/>
                <w:lang w:val="es-419"/>
              </w:rPr>
            </w:pPr>
            <w:r>
              <w:rPr>
                <w:rFonts w:ascii="Palatino Linotype" w:hAnsi="Palatino Linotype" w:cs="Arial"/>
                <w:sz w:val="18"/>
                <w:szCs w:val="18"/>
                <w:lang w:val="es-419"/>
              </w:rPr>
              <w:t>Página de internet del Instituto</w:t>
            </w:r>
          </w:p>
          <w:p w14:paraId="08239229" w14:textId="77777777" w:rsidR="00361098" w:rsidRDefault="006E2D6B" w:rsidP="00A76D59">
            <w:pPr>
              <w:jc w:val="both"/>
              <w:rPr>
                <w:rStyle w:val="Hipervnculo"/>
                <w:rFonts w:ascii="Palatino Linotype" w:hAnsi="Palatino Linotype" w:cs="Arial"/>
                <w:sz w:val="18"/>
                <w:szCs w:val="18"/>
                <w:lang w:val="es-419"/>
              </w:rPr>
            </w:pPr>
            <w:hyperlink r:id="rId31" w:history="1">
              <w:r w:rsidR="00361098" w:rsidRPr="003B4AD0">
                <w:rPr>
                  <w:rStyle w:val="Hipervnculo"/>
                  <w:rFonts w:ascii="Palatino Linotype" w:hAnsi="Palatino Linotype" w:cs="Arial"/>
                  <w:sz w:val="18"/>
                  <w:szCs w:val="18"/>
                  <w:lang w:val="es-419"/>
                </w:rPr>
                <w:t>https://www.infoem.org.mx/</w:t>
              </w:r>
            </w:hyperlink>
          </w:p>
          <w:p w14:paraId="57AAD3FC" w14:textId="77777777" w:rsidR="00361098" w:rsidRDefault="00361098" w:rsidP="00A76D59">
            <w:pPr>
              <w:jc w:val="both"/>
              <w:rPr>
                <w:rFonts w:ascii="Palatino Linotype" w:hAnsi="Palatino Linotype" w:cs="Arial"/>
                <w:sz w:val="18"/>
                <w:szCs w:val="18"/>
                <w:lang w:val="es-419"/>
              </w:rPr>
            </w:pPr>
          </w:p>
          <w:p w14:paraId="4F934103" w14:textId="77777777" w:rsidR="00361098" w:rsidRDefault="00361098" w:rsidP="00A76D59">
            <w:pPr>
              <w:jc w:val="both"/>
              <w:rPr>
                <w:rFonts w:ascii="Palatino Linotype" w:hAnsi="Palatino Linotype" w:cs="Arial"/>
                <w:sz w:val="18"/>
                <w:szCs w:val="18"/>
                <w:lang w:val="es-419"/>
              </w:rPr>
            </w:pPr>
            <w:r w:rsidRPr="003B4AD0">
              <w:rPr>
                <w:rFonts w:ascii="Palatino Linotype" w:hAnsi="Palatino Linotype" w:cs="Arial"/>
                <w:sz w:val="18"/>
                <w:szCs w:val="18"/>
                <w:lang w:val="es-419"/>
              </w:rPr>
              <w:t>Periódico Oficial  Gaceta del Gobierno. Gobierno del Estado Libre y Soberano de México</w:t>
            </w:r>
          </w:p>
          <w:p w14:paraId="5F320174" w14:textId="77777777" w:rsidR="00361098" w:rsidRDefault="006E2D6B" w:rsidP="00A76D59">
            <w:pPr>
              <w:jc w:val="both"/>
              <w:rPr>
                <w:rFonts w:ascii="Palatino Linotype" w:hAnsi="Palatino Linotype" w:cs="Arial"/>
                <w:sz w:val="18"/>
                <w:szCs w:val="18"/>
                <w:lang w:val="es-419"/>
              </w:rPr>
            </w:pPr>
            <w:hyperlink r:id="rId32" w:history="1">
              <w:r w:rsidR="00361098" w:rsidRPr="00B67239">
                <w:rPr>
                  <w:rStyle w:val="Hipervnculo"/>
                  <w:rFonts w:ascii="Palatino Linotype" w:hAnsi="Palatino Linotype" w:cs="Arial"/>
                  <w:sz w:val="18"/>
                  <w:szCs w:val="18"/>
                  <w:lang w:val="es-419"/>
                </w:rPr>
                <w:t>https://legislacion.edomex.gob.mx/sites/legislacion.edomex.gob.mx/files/files/pdf/gct/2024/mayo/may231/may231g.pdf</w:t>
              </w:r>
            </w:hyperlink>
          </w:p>
          <w:p w14:paraId="1C6EB887" w14:textId="77777777" w:rsidR="00361098" w:rsidRDefault="00361098" w:rsidP="00A76D59">
            <w:pPr>
              <w:jc w:val="both"/>
              <w:rPr>
                <w:rFonts w:ascii="Palatino Linotype" w:hAnsi="Palatino Linotype" w:cs="Arial"/>
                <w:sz w:val="18"/>
                <w:szCs w:val="18"/>
                <w:lang w:val="es-419"/>
              </w:rPr>
            </w:pPr>
          </w:p>
          <w:p w14:paraId="5EA9D068" w14:textId="77777777" w:rsidR="00361098" w:rsidRDefault="00361098" w:rsidP="00A76D59">
            <w:pPr>
              <w:jc w:val="both"/>
              <w:rPr>
                <w:rFonts w:ascii="Palatino Linotype" w:hAnsi="Palatino Linotype" w:cs="Arial"/>
                <w:sz w:val="18"/>
                <w:szCs w:val="18"/>
                <w:lang w:val="es-419"/>
              </w:rPr>
            </w:pPr>
          </w:p>
        </w:tc>
      </w:tr>
    </w:tbl>
    <w:p w14:paraId="5073D40F" w14:textId="77777777" w:rsidR="00361098" w:rsidRDefault="00361098" w:rsidP="00AC2DE3">
      <w:pPr>
        <w:spacing w:line="360" w:lineRule="auto"/>
        <w:jc w:val="both"/>
        <w:rPr>
          <w:rFonts w:ascii="Palatino Linotype" w:hAnsi="Palatino Linotype"/>
          <w:sz w:val="24"/>
          <w:szCs w:val="24"/>
        </w:rPr>
      </w:pPr>
    </w:p>
    <w:p w14:paraId="11748846" w14:textId="61C1750B" w:rsidR="00AC2DE3" w:rsidRDefault="00AC2DE3" w:rsidP="00AC2DE3">
      <w:pPr>
        <w:spacing w:line="360" w:lineRule="auto"/>
        <w:jc w:val="both"/>
        <w:rPr>
          <w:rFonts w:ascii="Palatino Linotype" w:hAnsi="Palatino Linotype" w:cs="Arial"/>
          <w:sz w:val="24"/>
          <w:szCs w:val="24"/>
        </w:rPr>
      </w:pPr>
      <w:r w:rsidRPr="00AC2DE3">
        <w:rPr>
          <w:rFonts w:ascii="Palatino Linotype" w:hAnsi="Palatino Linotype" w:cs="Arial"/>
          <w:sz w:val="24"/>
          <w:szCs w:val="24"/>
        </w:rPr>
        <w:t>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w:t>
      </w:r>
      <w:r>
        <w:rPr>
          <w:rFonts w:ascii="Palatino Linotype" w:hAnsi="Palatino Linotype" w:cs="Arial"/>
          <w:sz w:val="24"/>
          <w:szCs w:val="24"/>
        </w:rPr>
        <w:t xml:space="preserve"> </w:t>
      </w:r>
    </w:p>
    <w:p w14:paraId="3E9CAFD5" w14:textId="77777777" w:rsidR="00AC2DE3" w:rsidRDefault="00AC2DE3" w:rsidP="00AC2DE3">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1C126662" w14:textId="77777777" w:rsidR="00AC2DE3" w:rsidRDefault="00AC2DE3" w:rsidP="00AC2DE3">
      <w:pPr>
        <w:pStyle w:val="Citas"/>
      </w:pPr>
      <w:r>
        <w:t xml:space="preserve">Artículo 19. Se presume que la información debe existir si se refiere a las facultades, competencias y funciones que los ordenamientos jurídicos aplicables otorgan a los sujetos obligados. </w:t>
      </w:r>
    </w:p>
    <w:p w14:paraId="08EE7594" w14:textId="77777777" w:rsidR="00AC2DE3" w:rsidRDefault="00AC2DE3" w:rsidP="00AC2DE3">
      <w:pPr>
        <w:pStyle w:val="Citas"/>
      </w:pPr>
      <w:r>
        <w:t xml:space="preserve">En los casos en que ciertas facultades, competencias o funciones no se hayan ejercido, se debe motivar la respuesta en función de las causas que motiven tal circunstancia. </w:t>
      </w:r>
    </w:p>
    <w:p w14:paraId="3F21562E" w14:textId="77777777" w:rsidR="00AC2DE3" w:rsidRPr="00407C65" w:rsidRDefault="00AC2DE3" w:rsidP="00AC2DE3">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73024AA0" w14:textId="77777777" w:rsidR="007F53B7" w:rsidRDefault="007F53B7" w:rsidP="00275AF9">
      <w:pPr>
        <w:spacing w:after="0" w:line="360" w:lineRule="auto"/>
        <w:jc w:val="both"/>
        <w:rPr>
          <w:rFonts w:ascii="Palatino Linotype" w:hAnsi="Palatino Linotype" w:cs="Arial"/>
          <w:sz w:val="24"/>
          <w:szCs w:val="24"/>
        </w:rPr>
      </w:pPr>
    </w:p>
    <w:p w14:paraId="4753DAD7" w14:textId="374A5737" w:rsidR="00361098" w:rsidRDefault="006C0AFD" w:rsidP="006C0AFD">
      <w:pPr>
        <w:spacing w:after="240" w:line="360" w:lineRule="auto"/>
        <w:jc w:val="both"/>
        <w:rPr>
          <w:rFonts w:ascii="Palatino Linotype" w:hAnsi="Palatino Linotype" w:cs="Arial"/>
          <w:color w:val="000000"/>
          <w:sz w:val="24"/>
          <w:lang w:val="es-ES_tradnl"/>
        </w:rPr>
      </w:pPr>
      <w:r w:rsidRPr="00361098">
        <w:rPr>
          <w:rFonts w:ascii="Palatino Linotype" w:hAnsi="Palatino Linotype" w:cs="Arial"/>
          <w:color w:val="000000"/>
          <w:sz w:val="24"/>
          <w:lang w:val="es-ES_tradnl"/>
        </w:rPr>
        <w:t xml:space="preserve">Una vez sentado lo anterior, como se mencionó en el antecedente segundo, </w:t>
      </w:r>
      <w:r w:rsidRPr="00361098">
        <w:rPr>
          <w:rFonts w:ascii="Palatino Linotype" w:hAnsi="Palatino Linotype" w:cs="Arial"/>
          <w:b/>
          <w:color w:val="000000"/>
          <w:sz w:val="24"/>
          <w:lang w:val="es-ES_tradnl"/>
        </w:rPr>
        <w:t xml:space="preserve">El Sujeto Obligado </w:t>
      </w:r>
      <w:r w:rsidRPr="00361098">
        <w:rPr>
          <w:rFonts w:ascii="Palatino Linotype" w:hAnsi="Palatino Linotype" w:cs="Arial"/>
          <w:color w:val="000000"/>
          <w:sz w:val="24"/>
          <w:lang w:val="es-ES_tradnl"/>
        </w:rPr>
        <w:t xml:space="preserve">en fecha </w:t>
      </w:r>
      <w:r w:rsidR="00361098">
        <w:rPr>
          <w:rFonts w:ascii="Palatino Linotype" w:hAnsi="Palatino Linotype" w:cs="Arial"/>
          <w:b/>
          <w:bCs/>
          <w:color w:val="000000"/>
          <w:sz w:val="24"/>
          <w:lang w:val="es-ES_tradnl"/>
        </w:rPr>
        <w:t xml:space="preserve">diez de septiembre de dos mil veinticuatro, </w:t>
      </w:r>
      <w:r w:rsidR="00361098">
        <w:rPr>
          <w:rFonts w:ascii="Palatino Linotype" w:hAnsi="Palatino Linotype" w:cs="Arial"/>
          <w:color w:val="000000"/>
          <w:sz w:val="24"/>
          <w:lang w:val="es-ES_tradnl"/>
        </w:rPr>
        <w:t>rindió sus respuestas a la solicitud de información formulada por el particular, adjuntando para tal efecto lo siguiente:</w:t>
      </w:r>
    </w:p>
    <w:p w14:paraId="7B9641E8" w14:textId="520C9281" w:rsidR="00361098" w:rsidRPr="00361098" w:rsidRDefault="00361098" w:rsidP="006C0AFD">
      <w:pPr>
        <w:spacing w:after="240" w:line="360" w:lineRule="auto"/>
        <w:jc w:val="both"/>
        <w:rPr>
          <w:rFonts w:ascii="Palatino Linotype" w:hAnsi="Palatino Linotype" w:cs="Arial"/>
          <w:b/>
          <w:bCs/>
          <w:color w:val="000000"/>
          <w:sz w:val="24"/>
          <w:lang w:val="es-ES_tradnl"/>
        </w:rPr>
      </w:pPr>
      <w:r w:rsidRPr="00361098">
        <w:rPr>
          <w:rFonts w:ascii="Palatino Linotype" w:hAnsi="Palatino Linotype" w:cs="Arial"/>
          <w:b/>
          <w:bCs/>
          <w:color w:val="000000"/>
          <w:sz w:val="24"/>
          <w:lang w:val="es-ES_tradnl"/>
        </w:rPr>
        <w:t>00201/TEMAMATL/IP/2024</w:t>
      </w:r>
    </w:p>
    <w:p w14:paraId="45271300" w14:textId="117ECA29" w:rsidR="00361098" w:rsidRPr="00361098" w:rsidRDefault="00361098" w:rsidP="003D19C8">
      <w:pPr>
        <w:pStyle w:val="Prrafodelista"/>
        <w:numPr>
          <w:ilvl w:val="0"/>
          <w:numId w:val="9"/>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“201 administración.pdf”: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ADMON/293/OI/04/09/2024 </w:t>
      </w:r>
      <w:r>
        <w:rPr>
          <w:rFonts w:ascii="Palatino Linotype" w:hAnsi="Palatino Linotype" w:cs="Arial"/>
          <w:color w:val="000000"/>
          <w:lang w:val="es-ES_tradnl"/>
        </w:rPr>
        <w:t xml:space="preserve">signado por el director de administración y dirigido a la titular de la unidad de transparencia, de fecha cuatro de septiembre de dos mil veinticuatro, en términos generales proporciona </w:t>
      </w:r>
      <w:r w:rsidR="00F53B75">
        <w:rPr>
          <w:rFonts w:ascii="Palatino Linotype" w:hAnsi="Palatino Linotype" w:cs="Arial"/>
          <w:color w:val="000000"/>
          <w:lang w:val="es-ES_tradnl"/>
        </w:rPr>
        <w:t>liga</w:t>
      </w:r>
      <w:r>
        <w:rPr>
          <w:rFonts w:ascii="Palatino Linotype" w:hAnsi="Palatino Linotype" w:cs="Arial"/>
          <w:color w:val="000000"/>
          <w:lang w:val="es-ES_tradnl"/>
        </w:rPr>
        <w:t xml:space="preserve"> en formato cerrado, correspondiente al </w:t>
      </w:r>
      <w:r>
        <w:rPr>
          <w:rFonts w:ascii="Palatino Linotype" w:hAnsi="Palatino Linotype" w:cs="Arial"/>
          <w:color w:val="000000"/>
          <w:lang w:val="es-ES_tradnl"/>
        </w:rPr>
        <w:lastRenderedPageBreak/>
        <w:t xml:space="preserve">portal IPOMEX, apartado relativo a “Perfil de los puestos de los servidores públicos”. </w:t>
      </w:r>
      <w:r w:rsidR="00F53B75">
        <w:rPr>
          <w:rFonts w:ascii="Palatino Linotype" w:hAnsi="Palatino Linotype" w:cs="Arial"/>
          <w:color w:val="000000"/>
          <w:lang w:val="es-ES_tradnl"/>
        </w:rPr>
        <w:t>Sirve de sustento la siguiente imagen ilustrativa:</w:t>
      </w:r>
    </w:p>
    <w:p w14:paraId="3AFAFFC9" w14:textId="77777777" w:rsidR="00361098" w:rsidRDefault="00361098" w:rsidP="006C0AFD">
      <w:pPr>
        <w:spacing w:after="240" w:line="360" w:lineRule="auto"/>
        <w:jc w:val="both"/>
        <w:rPr>
          <w:rFonts w:ascii="Palatino Linotype" w:hAnsi="Palatino Linotype" w:cs="Arial"/>
          <w:color w:val="000000"/>
          <w:sz w:val="24"/>
          <w:lang w:val="es-ES_tradnl"/>
        </w:rPr>
      </w:pPr>
    </w:p>
    <w:p w14:paraId="57F3D5E6" w14:textId="751B86BC" w:rsidR="00F53B75" w:rsidRDefault="00F53B75" w:rsidP="006C0AFD">
      <w:pPr>
        <w:spacing w:after="240" w:line="360" w:lineRule="auto"/>
        <w:jc w:val="both"/>
        <w:rPr>
          <w:rFonts w:ascii="Palatino Linotype" w:hAnsi="Palatino Linotype" w:cs="Arial"/>
          <w:color w:val="000000"/>
          <w:sz w:val="24"/>
          <w:lang w:val="es-ES_tradnl"/>
        </w:rPr>
      </w:pPr>
      <w:r>
        <w:rPr>
          <w:rFonts w:ascii="Palatino Linotype" w:hAnsi="Palatino Linotype" w:cs="Arial"/>
          <w:noProof/>
          <w:color w:val="000000"/>
          <w:sz w:val="24"/>
          <w:lang w:eastAsia="es-MX"/>
        </w:rPr>
        <w:drawing>
          <wp:anchor distT="0" distB="0" distL="114300" distR="114300" simplePos="0" relativeHeight="251669504" behindDoc="0" locked="0" layoutInCell="1" allowOverlap="1" wp14:anchorId="44C7884B" wp14:editId="2F7F7135">
            <wp:simplePos x="0" y="0"/>
            <wp:positionH relativeFrom="column">
              <wp:posOffset>17217</wp:posOffset>
            </wp:positionH>
            <wp:positionV relativeFrom="paragraph">
              <wp:posOffset>21051</wp:posOffset>
            </wp:positionV>
            <wp:extent cx="5753735" cy="1155700"/>
            <wp:effectExtent l="19050" t="19050" r="18415" b="25400"/>
            <wp:wrapThrough wrapText="bothSides">
              <wp:wrapPolygon edited="0">
                <wp:start x="-72" y="-356"/>
                <wp:lineTo x="-72" y="21719"/>
                <wp:lineTo x="21598" y="21719"/>
                <wp:lineTo x="21598" y="-356"/>
                <wp:lineTo x="-72" y="-356"/>
              </wp:wrapPolygon>
            </wp:wrapThrough>
            <wp:docPr id="958232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735" cy="11557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DD7B987" w14:textId="007D8CB8" w:rsidR="00F53B75" w:rsidRDefault="00F53B75" w:rsidP="00F53B75">
      <w:pPr>
        <w:spacing w:after="240" w:line="360" w:lineRule="auto"/>
        <w:jc w:val="both"/>
        <w:rPr>
          <w:rFonts w:ascii="Palatino Linotype" w:hAnsi="Palatino Linotype" w:cs="Arial"/>
          <w:b/>
          <w:bCs/>
          <w:color w:val="000000"/>
          <w:sz w:val="24"/>
          <w:lang w:val="es-ES_tradnl"/>
        </w:rPr>
      </w:pPr>
      <w:r w:rsidRPr="00361098">
        <w:rPr>
          <w:rFonts w:ascii="Palatino Linotype" w:hAnsi="Palatino Linotype" w:cs="Arial"/>
          <w:b/>
          <w:bCs/>
          <w:color w:val="000000"/>
          <w:sz w:val="24"/>
          <w:lang w:val="es-ES_tradnl"/>
        </w:rPr>
        <w:t>0020</w:t>
      </w:r>
      <w:r>
        <w:rPr>
          <w:rFonts w:ascii="Palatino Linotype" w:hAnsi="Palatino Linotype" w:cs="Arial"/>
          <w:b/>
          <w:bCs/>
          <w:color w:val="000000"/>
          <w:sz w:val="24"/>
          <w:lang w:val="es-ES_tradnl"/>
        </w:rPr>
        <w:t>0</w:t>
      </w:r>
      <w:r w:rsidRPr="00361098">
        <w:rPr>
          <w:rFonts w:ascii="Palatino Linotype" w:hAnsi="Palatino Linotype" w:cs="Arial"/>
          <w:b/>
          <w:bCs/>
          <w:color w:val="000000"/>
          <w:sz w:val="24"/>
          <w:lang w:val="es-ES_tradnl"/>
        </w:rPr>
        <w:t>/TEMAMATL/IP/2024</w:t>
      </w:r>
    </w:p>
    <w:p w14:paraId="6ED69EFB" w14:textId="1FFD373F" w:rsidR="00F53B75" w:rsidRPr="00F53B75" w:rsidRDefault="00F53B75" w:rsidP="003D19C8">
      <w:pPr>
        <w:pStyle w:val="Prrafodelista"/>
        <w:numPr>
          <w:ilvl w:val="0"/>
          <w:numId w:val="10"/>
        </w:numPr>
        <w:spacing w:after="240" w:line="360" w:lineRule="auto"/>
        <w:jc w:val="both"/>
        <w:rPr>
          <w:rFonts w:ascii="Palatino Linotype" w:hAnsi="Palatino Linotype" w:cs="Arial"/>
          <w:b/>
          <w:bCs/>
          <w:color w:val="000000"/>
          <w:lang w:val="es-ES_tradnl"/>
        </w:rPr>
      </w:pPr>
      <w:r w:rsidRPr="00F53B75">
        <w:rPr>
          <w:rFonts w:ascii="Palatino Linotype" w:hAnsi="Palatino Linotype" w:cs="Arial"/>
          <w:b/>
          <w:bCs/>
          <w:color w:val="000000"/>
          <w:lang w:val="es-ES_tradnl"/>
        </w:rPr>
        <w:t xml:space="preserve">“200 adminostraciom.pdf”: </w:t>
      </w:r>
      <w:r w:rsidRPr="00F53B75">
        <w:rPr>
          <w:rFonts w:ascii="Palatino Linotype" w:hAnsi="Palatino Linotype" w:cs="Arial"/>
          <w:color w:val="000000"/>
          <w:lang w:val="es-ES_tradnl"/>
        </w:rPr>
        <w:t xml:space="preserve">Oficio número </w:t>
      </w:r>
      <w:r w:rsidRPr="00F53B75">
        <w:rPr>
          <w:rFonts w:ascii="Palatino Linotype" w:hAnsi="Palatino Linotype" w:cs="Arial"/>
          <w:b/>
          <w:bCs/>
          <w:color w:val="000000"/>
          <w:lang w:val="es-ES_tradnl"/>
        </w:rPr>
        <w:t xml:space="preserve">ADMON/294/OI/04/09/2024 </w:t>
      </w:r>
      <w:r w:rsidRPr="00F53B75">
        <w:rPr>
          <w:rFonts w:ascii="Palatino Linotype" w:hAnsi="Palatino Linotype" w:cs="Arial"/>
          <w:color w:val="000000"/>
          <w:lang w:val="es-ES_tradnl"/>
        </w:rPr>
        <w:t xml:space="preserve">signado por el director de administración y dirigido a la titular de la unidad de transparencia, de fecha cuatro de septiembre de dos mil veinticuatro, en términos generales proporciona liga en formato cerrado, correspondiente al portal IPOMEX, apartado relativo a “Perfil de los puestos de los servidores públicos”. </w:t>
      </w:r>
    </w:p>
    <w:p w14:paraId="34D5E994" w14:textId="77777777" w:rsidR="00F53B75" w:rsidRDefault="00F53B75" w:rsidP="00F53B75">
      <w:pPr>
        <w:spacing w:after="240" w:line="360" w:lineRule="auto"/>
        <w:jc w:val="both"/>
        <w:rPr>
          <w:rFonts w:ascii="Palatino Linotype" w:hAnsi="Palatino Linotype" w:cs="Arial"/>
          <w:b/>
          <w:bCs/>
          <w:color w:val="000000"/>
          <w:lang w:val="es-ES_tradnl"/>
        </w:rPr>
      </w:pPr>
    </w:p>
    <w:p w14:paraId="28368FB8" w14:textId="782348D7" w:rsidR="00F53B75" w:rsidRPr="00002DDA" w:rsidRDefault="00F53B75" w:rsidP="00F53B75">
      <w:pPr>
        <w:spacing w:after="240" w:line="360" w:lineRule="auto"/>
        <w:jc w:val="both"/>
        <w:rPr>
          <w:rFonts w:ascii="Palatino Linotype" w:hAnsi="Palatino Linotype" w:cs="Arial"/>
          <w:color w:val="000000"/>
          <w:sz w:val="24"/>
          <w:szCs w:val="24"/>
          <w:lang w:val="es-ES_tradnl"/>
        </w:rPr>
      </w:pPr>
      <w:r w:rsidRPr="00002DDA">
        <w:rPr>
          <w:rFonts w:ascii="Palatino Linotype" w:hAnsi="Palatino Linotype" w:cs="Arial"/>
          <w:color w:val="000000"/>
          <w:sz w:val="24"/>
          <w:szCs w:val="24"/>
          <w:lang w:val="es-ES_tradnl"/>
        </w:rPr>
        <w:t xml:space="preserve">De ahí que deba arribarse a la premisa de que, para tener acceso a la liga electrónica referida por </w:t>
      </w:r>
      <w:r w:rsidRPr="00002DDA">
        <w:rPr>
          <w:rFonts w:ascii="Palatino Linotype" w:hAnsi="Palatino Linotype" w:cs="Arial"/>
          <w:b/>
          <w:bCs/>
          <w:color w:val="000000"/>
          <w:sz w:val="24"/>
          <w:szCs w:val="24"/>
          <w:lang w:val="es-ES_tradnl"/>
        </w:rPr>
        <w:t>El Sujeto Obligado</w:t>
      </w:r>
      <w:r w:rsidRPr="00002DDA">
        <w:rPr>
          <w:rFonts w:ascii="Palatino Linotype" w:hAnsi="Palatino Linotype" w:cs="Arial"/>
          <w:color w:val="000000"/>
          <w:sz w:val="24"/>
          <w:szCs w:val="24"/>
          <w:lang w:val="es-ES_tradnl"/>
        </w:rPr>
        <w:t xml:space="preserve">, es necesario un formato abierto que permita </w:t>
      </w:r>
      <w:r w:rsidR="00002DDA" w:rsidRPr="00002DDA">
        <w:rPr>
          <w:rFonts w:ascii="Palatino Linotype" w:hAnsi="Palatino Linotype" w:cs="Arial"/>
          <w:color w:val="000000"/>
          <w:sz w:val="24"/>
          <w:szCs w:val="24"/>
          <w:lang w:val="es-ES_tradnl"/>
        </w:rPr>
        <w:t xml:space="preserve">acceder a direcciones electrónicas mediante el uso de un hipervínculo. </w:t>
      </w:r>
    </w:p>
    <w:p w14:paraId="3E451458" w14:textId="6CCA327A" w:rsidR="00F53B75" w:rsidRDefault="00F53B75" w:rsidP="00F53B75">
      <w:pPr>
        <w:spacing w:after="240" w:line="360" w:lineRule="auto"/>
        <w:jc w:val="both"/>
        <w:rPr>
          <w:rFonts w:ascii="Palatino Linotype" w:hAnsi="Palatino Linotype"/>
          <w:sz w:val="24"/>
          <w:szCs w:val="24"/>
          <w:lang w:eastAsia="es-MX"/>
        </w:rPr>
      </w:pPr>
      <w:r w:rsidRPr="00002DDA">
        <w:rPr>
          <w:rFonts w:ascii="Palatino Linotype" w:hAnsi="Palatino Linotype"/>
          <w:sz w:val="24"/>
          <w:szCs w:val="24"/>
          <w:lang w:eastAsia="es-MX"/>
        </w:rPr>
        <w:lastRenderedPageBreak/>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3B575B0D" w14:textId="597A9BBA" w:rsidR="003E57CB" w:rsidRPr="003E57CB" w:rsidRDefault="003E57CB" w:rsidP="00F53B75">
      <w:pPr>
        <w:spacing w:after="240" w:line="360" w:lineRule="auto"/>
        <w:jc w:val="both"/>
        <w:rPr>
          <w:rFonts w:ascii="Palatino Linotype" w:hAnsi="Palatino Linotype" w:cs="Arial"/>
          <w:color w:val="000000"/>
          <w:sz w:val="24"/>
          <w:szCs w:val="24"/>
          <w:lang w:val="es-ES_tradnl"/>
        </w:rPr>
      </w:pPr>
      <w:r>
        <w:rPr>
          <w:rFonts w:ascii="Palatino Linotype" w:hAnsi="Palatino Linotype"/>
          <w:sz w:val="24"/>
          <w:szCs w:val="24"/>
          <w:lang w:eastAsia="es-MX"/>
        </w:rPr>
        <w:t xml:space="preserve">Por otra parte, </w:t>
      </w:r>
      <w:r>
        <w:rPr>
          <w:rFonts w:ascii="Palatino Linotype" w:hAnsi="Palatino Linotype"/>
          <w:b/>
          <w:bCs/>
          <w:sz w:val="24"/>
          <w:szCs w:val="24"/>
          <w:lang w:eastAsia="es-MX"/>
        </w:rPr>
        <w:t xml:space="preserve">El Sujeto Obligado </w:t>
      </w:r>
      <w:r>
        <w:rPr>
          <w:rFonts w:ascii="Palatino Linotype" w:hAnsi="Palatino Linotype"/>
          <w:sz w:val="24"/>
          <w:szCs w:val="24"/>
          <w:lang w:eastAsia="es-MX"/>
        </w:rPr>
        <w:t xml:space="preserve">orientó a la fracción de transparencia común relativa al perfil de puestos de servidores públicos, respecto de la cual se destaca que no refleja documentación comprobatoria presentada por los servidores públicos, únicamente es susceptible de dar cuenta en términos meramente abstractos respecto del nombre del puesto, perfil requerido, objetivo, funciones a desempeñar, requerimientos, entre otros apartados. </w:t>
      </w:r>
    </w:p>
    <w:p w14:paraId="19B8D8F6" w14:textId="750BA8D5" w:rsidR="004416EB" w:rsidRDefault="004416EB" w:rsidP="004416EB">
      <w:pPr>
        <w:spacing w:line="360" w:lineRule="auto"/>
        <w:jc w:val="both"/>
        <w:rPr>
          <w:rFonts w:ascii="Palatino Linotype" w:hAnsi="Palatino Linotype"/>
          <w:b/>
          <w:i/>
          <w:sz w:val="24"/>
          <w:szCs w:val="24"/>
        </w:rPr>
      </w:pPr>
      <w:r w:rsidRPr="006A31E8">
        <w:rPr>
          <w:rFonts w:ascii="Palatino Linotype" w:hAnsi="Palatino Linotype" w:cs="Arial"/>
          <w:bCs/>
          <w:sz w:val="24"/>
          <w:szCs w:val="24"/>
        </w:rPr>
        <w:t>Es así como, derivado de la</w:t>
      </w:r>
      <w:r w:rsidR="008863CF">
        <w:rPr>
          <w:rFonts w:ascii="Palatino Linotype" w:hAnsi="Palatino Linotype" w:cs="Arial"/>
          <w:bCs/>
          <w:sz w:val="24"/>
          <w:szCs w:val="24"/>
        </w:rPr>
        <w:t>s</w:t>
      </w:r>
      <w:r w:rsidRPr="006A31E8">
        <w:rPr>
          <w:rFonts w:ascii="Palatino Linotype" w:hAnsi="Palatino Linotype" w:cs="Arial"/>
          <w:bCs/>
          <w:sz w:val="24"/>
          <w:szCs w:val="24"/>
        </w:rPr>
        <w:t xml:space="preserve"> respuesta</w:t>
      </w:r>
      <w:r w:rsidR="00B11F85">
        <w:rPr>
          <w:rFonts w:ascii="Palatino Linotype" w:hAnsi="Palatino Linotype" w:cs="Arial"/>
          <w:bCs/>
          <w:sz w:val="24"/>
          <w:szCs w:val="24"/>
        </w:rPr>
        <w:t>s</w:t>
      </w:r>
      <w:r w:rsidRPr="006A31E8">
        <w:rPr>
          <w:rFonts w:ascii="Palatino Linotype" w:hAnsi="Palatino Linotype" w:cs="Arial"/>
          <w:bCs/>
          <w:sz w:val="24"/>
          <w:szCs w:val="24"/>
        </w:rPr>
        <w:t xml:space="preserve"> emitida</w:t>
      </w:r>
      <w:r w:rsidR="008863CF">
        <w:rPr>
          <w:rFonts w:ascii="Palatino Linotype" w:hAnsi="Palatino Linotype" w:cs="Arial"/>
          <w:bCs/>
          <w:sz w:val="24"/>
          <w:szCs w:val="24"/>
        </w:rPr>
        <w:t>s</w:t>
      </w:r>
      <w:r w:rsidRPr="006A31E8">
        <w:rPr>
          <w:rFonts w:ascii="Palatino Linotype" w:hAnsi="Palatino Linotype" w:cs="Arial"/>
          <w:bCs/>
          <w:sz w:val="24"/>
          <w:szCs w:val="24"/>
        </w:rPr>
        <w:t xml:space="preserve"> por </w:t>
      </w:r>
      <w:r w:rsidRPr="006A31E8">
        <w:rPr>
          <w:rFonts w:ascii="Palatino Linotype" w:hAnsi="Palatino Linotype" w:cs="Arial"/>
          <w:b/>
          <w:bCs/>
          <w:sz w:val="24"/>
          <w:szCs w:val="24"/>
        </w:rPr>
        <w:t>El Sujeto Obligado</w:t>
      </w:r>
      <w:r w:rsidRPr="006A31E8">
        <w:rPr>
          <w:rFonts w:ascii="Palatino Linotype" w:hAnsi="Palatino Linotype" w:cs="Arial"/>
          <w:bCs/>
          <w:sz w:val="24"/>
          <w:szCs w:val="24"/>
        </w:rPr>
        <w:t xml:space="preserve">, </w:t>
      </w:r>
      <w:r>
        <w:rPr>
          <w:rFonts w:ascii="Palatino Linotype" w:hAnsi="Palatino Linotype" w:cs="Arial"/>
          <w:b/>
          <w:bCs/>
          <w:sz w:val="24"/>
          <w:szCs w:val="24"/>
        </w:rPr>
        <w:t>El</w:t>
      </w:r>
      <w:r w:rsidRPr="006A31E8">
        <w:rPr>
          <w:rFonts w:ascii="Palatino Linotype" w:hAnsi="Palatino Linotype" w:cs="Arial"/>
          <w:b/>
          <w:bCs/>
          <w:sz w:val="24"/>
          <w:szCs w:val="24"/>
        </w:rPr>
        <w:t xml:space="preserve"> Recurrente</w:t>
      </w:r>
      <w:r w:rsidRPr="006A31E8">
        <w:rPr>
          <w:rFonts w:ascii="Palatino Linotype" w:hAnsi="Palatino Linotype" w:cs="Arial"/>
          <w:bCs/>
          <w:sz w:val="24"/>
          <w:szCs w:val="24"/>
        </w:rPr>
        <w:t xml:space="preserve">, interpuso </w:t>
      </w:r>
      <w:r w:rsidR="008863CF">
        <w:rPr>
          <w:rFonts w:ascii="Palatino Linotype" w:hAnsi="Palatino Linotype" w:cs="Arial"/>
          <w:bCs/>
          <w:sz w:val="24"/>
          <w:szCs w:val="24"/>
        </w:rPr>
        <w:t>los</w:t>
      </w:r>
      <w:r w:rsidRPr="006A31E8">
        <w:rPr>
          <w:rFonts w:ascii="Palatino Linotype" w:hAnsi="Palatino Linotype" w:cs="Arial"/>
          <w:bCs/>
          <w:sz w:val="24"/>
          <w:szCs w:val="24"/>
        </w:rPr>
        <w:t xml:space="preserve"> presente</w:t>
      </w:r>
      <w:r w:rsidR="008863CF">
        <w:rPr>
          <w:rFonts w:ascii="Palatino Linotype" w:hAnsi="Palatino Linotype" w:cs="Arial"/>
          <w:bCs/>
          <w:sz w:val="24"/>
          <w:szCs w:val="24"/>
        </w:rPr>
        <w:t>s</w:t>
      </w:r>
      <w:r w:rsidRPr="006A31E8">
        <w:rPr>
          <w:rFonts w:ascii="Palatino Linotype" w:hAnsi="Palatino Linotype" w:cs="Arial"/>
          <w:bCs/>
          <w:sz w:val="24"/>
          <w:szCs w:val="24"/>
        </w:rPr>
        <w:t xml:space="preserve"> recurso</w:t>
      </w:r>
      <w:r w:rsidR="008863CF">
        <w:rPr>
          <w:rFonts w:ascii="Palatino Linotype" w:hAnsi="Palatino Linotype" w:cs="Arial"/>
          <w:bCs/>
          <w:sz w:val="24"/>
          <w:szCs w:val="24"/>
        </w:rPr>
        <w:t>s</w:t>
      </w:r>
      <w:r w:rsidRPr="006A31E8">
        <w:rPr>
          <w:rFonts w:ascii="Palatino Linotype" w:hAnsi="Palatino Linotype" w:cs="Arial"/>
          <w:bCs/>
          <w:sz w:val="24"/>
          <w:szCs w:val="24"/>
        </w:rPr>
        <w:t xml:space="preserve"> de revisión, señalando sustancialmente como sus razones o motivos de inconformidad, lo siguiente:</w:t>
      </w:r>
      <w:r w:rsidRPr="006A31E8" w:rsidDel="00107C3B">
        <w:rPr>
          <w:rFonts w:ascii="Palatino Linotype" w:hAnsi="Palatino Linotype"/>
          <w:b/>
          <w:i/>
          <w:sz w:val="24"/>
          <w:szCs w:val="24"/>
        </w:rPr>
        <w:t xml:space="preserve"> </w:t>
      </w:r>
    </w:p>
    <w:p w14:paraId="28ECD471" w14:textId="77777777" w:rsidR="00002DDA" w:rsidRPr="00C24CA5" w:rsidRDefault="00002DDA" w:rsidP="00002DDA">
      <w:pPr>
        <w:pStyle w:val="Citas"/>
        <w:ind w:left="0"/>
        <w:rPr>
          <w:b/>
          <w:bCs/>
          <w:i w:val="0"/>
          <w:iCs/>
          <w:sz w:val="24"/>
          <w:szCs w:val="24"/>
        </w:rPr>
      </w:pPr>
      <w:r>
        <w:rPr>
          <w:b/>
          <w:bCs/>
          <w:i w:val="0"/>
          <w:iCs/>
          <w:sz w:val="24"/>
          <w:szCs w:val="24"/>
        </w:rPr>
        <w:t>05615</w:t>
      </w:r>
      <w:r w:rsidRPr="00C24CA5">
        <w:rPr>
          <w:b/>
          <w:bCs/>
          <w:i w:val="0"/>
          <w:iCs/>
          <w:sz w:val="24"/>
          <w:szCs w:val="24"/>
        </w:rPr>
        <w:t>/INFOEM/IP/RR/2024</w:t>
      </w:r>
    </w:p>
    <w:p w14:paraId="209ECACB" w14:textId="77777777" w:rsidR="00002DDA" w:rsidRPr="00C24CA5" w:rsidRDefault="00002DDA" w:rsidP="00002DDA">
      <w:pPr>
        <w:pStyle w:val="Citas"/>
        <w:ind w:left="0"/>
        <w:rPr>
          <w:b/>
          <w:bCs/>
          <w:i w:val="0"/>
          <w:iCs/>
          <w:sz w:val="24"/>
          <w:szCs w:val="24"/>
        </w:rPr>
      </w:pPr>
      <w:r w:rsidRPr="00C24CA5">
        <w:rPr>
          <w:b/>
          <w:bCs/>
          <w:i w:val="0"/>
          <w:iCs/>
          <w:sz w:val="24"/>
          <w:szCs w:val="24"/>
        </w:rPr>
        <w:t xml:space="preserve">Acto impugnado: </w:t>
      </w:r>
    </w:p>
    <w:p w14:paraId="06D69C20" w14:textId="77777777" w:rsidR="00002DDA" w:rsidRPr="00C24CA5" w:rsidRDefault="00002DDA" w:rsidP="00002DDA">
      <w:pPr>
        <w:pStyle w:val="Citas"/>
        <w:rPr>
          <w:b/>
          <w:bCs/>
        </w:rPr>
      </w:pPr>
      <w:r w:rsidRPr="00C24CA5">
        <w:t>“</w:t>
      </w:r>
      <w:r w:rsidRPr="00E86A1E">
        <w:t>No entrega la información solicitada</w:t>
      </w:r>
      <w:r w:rsidRPr="00C24CA5">
        <w:t xml:space="preserve">” </w:t>
      </w:r>
      <w:r w:rsidRPr="00C24CA5">
        <w:rPr>
          <w:b/>
          <w:bCs/>
        </w:rPr>
        <w:t>(Sic)</w:t>
      </w:r>
    </w:p>
    <w:p w14:paraId="72302AF3" w14:textId="77777777" w:rsidR="00002DDA" w:rsidRPr="00C24CA5" w:rsidRDefault="00002DDA" w:rsidP="00002DDA">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3CEC9660" w14:textId="77777777" w:rsidR="00002DDA" w:rsidRPr="00C24CA5" w:rsidRDefault="00002DDA" w:rsidP="00002DDA">
      <w:pPr>
        <w:pStyle w:val="Citas"/>
        <w:rPr>
          <w:b/>
          <w:bCs/>
        </w:rPr>
      </w:pPr>
      <w:r>
        <w:t>“</w:t>
      </w:r>
      <w:r w:rsidRPr="00E86A1E">
        <w:t>No entrega la información solicitada</w:t>
      </w:r>
      <w:r w:rsidRPr="00C24CA5">
        <w:t xml:space="preserve">” </w:t>
      </w:r>
      <w:r w:rsidRPr="00C24CA5">
        <w:rPr>
          <w:b/>
          <w:bCs/>
        </w:rPr>
        <w:t>(Sic)</w:t>
      </w:r>
    </w:p>
    <w:p w14:paraId="5B51C281" w14:textId="77777777" w:rsidR="00002DDA" w:rsidRDefault="00002DDA" w:rsidP="00002DDA">
      <w:pPr>
        <w:pStyle w:val="Citas"/>
        <w:ind w:left="0" w:right="72"/>
        <w:rPr>
          <w:b/>
          <w:bCs/>
          <w:i w:val="0"/>
          <w:iCs/>
          <w:sz w:val="24"/>
          <w:szCs w:val="24"/>
        </w:rPr>
      </w:pPr>
    </w:p>
    <w:p w14:paraId="6A9FC2B3" w14:textId="77777777" w:rsidR="00002DDA" w:rsidRPr="005F1FC1" w:rsidRDefault="00002DDA" w:rsidP="00002DDA">
      <w:pPr>
        <w:pStyle w:val="Citas"/>
        <w:ind w:left="0" w:right="72"/>
        <w:rPr>
          <w:rFonts w:ascii="Verdana" w:hAnsi="Verdana"/>
          <w:i w:val="0"/>
          <w:iCs/>
          <w:color w:val="000000"/>
          <w:sz w:val="14"/>
          <w:szCs w:val="14"/>
          <w:highlight w:val="yellow"/>
        </w:rPr>
      </w:pPr>
      <w:r>
        <w:rPr>
          <w:b/>
          <w:bCs/>
          <w:i w:val="0"/>
          <w:iCs/>
          <w:sz w:val="24"/>
          <w:szCs w:val="24"/>
        </w:rPr>
        <w:lastRenderedPageBreak/>
        <w:t>05618</w:t>
      </w:r>
      <w:r w:rsidRPr="005F1FC1">
        <w:rPr>
          <w:b/>
          <w:bCs/>
          <w:i w:val="0"/>
          <w:iCs/>
          <w:sz w:val="24"/>
          <w:szCs w:val="24"/>
        </w:rPr>
        <w:t>/INFOEM/IP/RR/2024</w:t>
      </w:r>
    </w:p>
    <w:p w14:paraId="0DFD4631" w14:textId="77777777" w:rsidR="00002DDA" w:rsidRPr="00C24CA5" w:rsidRDefault="00002DDA" w:rsidP="00002DDA">
      <w:pPr>
        <w:pStyle w:val="Citas"/>
        <w:ind w:left="0" w:right="72"/>
        <w:rPr>
          <w:b/>
          <w:bCs/>
          <w:i w:val="0"/>
          <w:iCs/>
          <w:color w:val="000000"/>
          <w:sz w:val="24"/>
          <w:szCs w:val="24"/>
        </w:rPr>
      </w:pPr>
      <w:r w:rsidRPr="00C24CA5">
        <w:rPr>
          <w:b/>
          <w:bCs/>
          <w:i w:val="0"/>
          <w:iCs/>
          <w:color w:val="000000"/>
          <w:sz w:val="24"/>
          <w:szCs w:val="24"/>
        </w:rPr>
        <w:t xml:space="preserve">Acto impugnado: </w:t>
      </w:r>
    </w:p>
    <w:p w14:paraId="487A6E43" w14:textId="77777777" w:rsidR="00002DDA" w:rsidRPr="00C24CA5" w:rsidRDefault="00002DDA" w:rsidP="00002DDA">
      <w:pPr>
        <w:pStyle w:val="Citas"/>
        <w:rPr>
          <w:b/>
          <w:bCs/>
        </w:rPr>
      </w:pPr>
      <w:r w:rsidRPr="00C24CA5">
        <w:t>“</w:t>
      </w:r>
      <w:r w:rsidRPr="00E86A1E">
        <w:t>Listado de directores de las áreas con sus documentos que comprueben que cumplen con los requisitos para ser</w:t>
      </w:r>
      <w:r>
        <w:t xml:space="preserve"> directores</w:t>
      </w:r>
      <w:r w:rsidRPr="00C24CA5">
        <w:t xml:space="preserve">” </w:t>
      </w:r>
      <w:r w:rsidRPr="00C24CA5">
        <w:rPr>
          <w:b/>
          <w:bCs/>
        </w:rPr>
        <w:t>(Sic)</w:t>
      </w:r>
    </w:p>
    <w:p w14:paraId="1BE4DD7A" w14:textId="77777777" w:rsidR="00002DDA" w:rsidRPr="00C24CA5" w:rsidRDefault="00002DDA" w:rsidP="00002DDA">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361162B2" w14:textId="77777777" w:rsidR="00002DDA" w:rsidRPr="00C24CA5" w:rsidRDefault="00002DDA" w:rsidP="00002DDA">
      <w:pPr>
        <w:pStyle w:val="Citas"/>
        <w:rPr>
          <w:b/>
          <w:bCs/>
        </w:rPr>
      </w:pPr>
      <w:r w:rsidRPr="00C24CA5">
        <w:t>“</w:t>
      </w:r>
      <w:r w:rsidRPr="00E86A1E">
        <w:t>No entrega la información solicitada</w:t>
      </w:r>
      <w:r w:rsidRPr="00C24CA5">
        <w:t xml:space="preserve">” </w:t>
      </w:r>
      <w:r w:rsidRPr="00C24CA5">
        <w:rPr>
          <w:b/>
          <w:bCs/>
        </w:rPr>
        <w:t>(Sic)</w:t>
      </w:r>
    </w:p>
    <w:p w14:paraId="7114C7D3" w14:textId="77777777" w:rsidR="00002DDA" w:rsidRDefault="00002DDA" w:rsidP="00BA1B53">
      <w:pPr>
        <w:pStyle w:val="infoemcitas"/>
        <w:tabs>
          <w:tab w:val="left" w:pos="7655"/>
        </w:tabs>
        <w:ind w:left="0" w:right="0"/>
        <w:rPr>
          <w:i w:val="0"/>
          <w:sz w:val="24"/>
          <w:szCs w:val="24"/>
        </w:rPr>
      </w:pPr>
    </w:p>
    <w:p w14:paraId="65B8DD86" w14:textId="5EF5A66C" w:rsidR="00BA1B53" w:rsidRPr="0037314A" w:rsidRDefault="00BA1B53" w:rsidP="00BA1B53">
      <w:pPr>
        <w:pStyle w:val="infoemcitas"/>
        <w:tabs>
          <w:tab w:val="left" w:pos="7655"/>
        </w:tabs>
        <w:ind w:left="0" w:right="0"/>
        <w:rPr>
          <w:rFonts w:cs="Arial"/>
          <w:i w:val="0"/>
          <w:color w:val="000000"/>
          <w:sz w:val="24"/>
          <w:lang w:eastAsia="es-MX"/>
        </w:rPr>
      </w:pPr>
      <w:r w:rsidRPr="0037314A">
        <w:rPr>
          <w:i w:val="0"/>
          <w:sz w:val="24"/>
          <w:szCs w:val="24"/>
        </w:rPr>
        <w:t xml:space="preserve">Así las cosas, hasta aquí lo expuesto, resulta inconcuso que los motivos de inconformidad esgrimidos por el particular encuadran dentro del artículo 179, </w:t>
      </w:r>
      <w:r w:rsidR="00002DDA">
        <w:rPr>
          <w:i w:val="0"/>
          <w:sz w:val="24"/>
          <w:szCs w:val="24"/>
        </w:rPr>
        <w:t>fracción I</w:t>
      </w:r>
      <w:r w:rsidRPr="0037314A">
        <w:rPr>
          <w:i w:val="0"/>
          <w:sz w:val="24"/>
          <w:szCs w:val="24"/>
        </w:rPr>
        <w:t xml:space="preserve"> de la </w:t>
      </w:r>
      <w:r w:rsidRPr="0037314A">
        <w:rPr>
          <w:rFonts w:cs="Arial"/>
          <w:i w:val="0"/>
          <w:color w:val="000000"/>
          <w:sz w:val="24"/>
          <w:lang w:eastAsia="es-MX"/>
        </w:rPr>
        <w:t xml:space="preserve">Ley de Transparencia y Acceso a la Información Pública del Estado de México y Municipios, cuyo contenido literal es el siguiente: </w:t>
      </w:r>
    </w:p>
    <w:p w14:paraId="0017422A" w14:textId="77777777" w:rsidR="00BA1B53" w:rsidRPr="0037314A" w:rsidRDefault="00BA1B53" w:rsidP="00BA1B53">
      <w:pPr>
        <w:pStyle w:val="Citas"/>
      </w:pPr>
      <w:r w:rsidRPr="0037314A">
        <w:t xml:space="preserve"> “Artículo 179. El recurso de revisión es un medio de protección que la Ley otorga a los particulares, para hacer valer su derecho de acceso a la información pública, y procederá en contra de las siguientes causas:</w:t>
      </w:r>
    </w:p>
    <w:p w14:paraId="1751E8A0" w14:textId="77777777" w:rsidR="00BA1B53" w:rsidRDefault="00BA1B53" w:rsidP="00BA1B53">
      <w:pPr>
        <w:pStyle w:val="Citas"/>
      </w:pPr>
      <w:r w:rsidRPr="0037314A">
        <w:t>I. La negativa a la información solicitada;</w:t>
      </w:r>
    </w:p>
    <w:p w14:paraId="3C5611C7" w14:textId="0524E6AC" w:rsidR="00BA1B53" w:rsidRDefault="00BA1B53" w:rsidP="00BA1B53">
      <w:pPr>
        <w:pStyle w:val="Citas"/>
        <w:rPr>
          <w:b/>
          <w:bCs/>
        </w:rPr>
      </w:pPr>
      <w:r>
        <w:t xml:space="preserve">(…)” </w:t>
      </w:r>
      <w:r>
        <w:rPr>
          <w:b/>
          <w:bCs/>
        </w:rPr>
        <w:t>(Sic)</w:t>
      </w:r>
    </w:p>
    <w:p w14:paraId="02E7897B" w14:textId="3EB7E5C1" w:rsidR="008863CF" w:rsidRDefault="004416EB" w:rsidP="004416EB">
      <w:pPr>
        <w:spacing w:line="360" w:lineRule="auto"/>
        <w:jc w:val="both"/>
        <w:rPr>
          <w:rFonts w:ascii="Palatino Linotype" w:hAnsi="Palatino Linotype"/>
          <w:bCs/>
          <w:iCs/>
          <w:sz w:val="24"/>
          <w:szCs w:val="24"/>
        </w:rPr>
      </w:pPr>
      <w:r w:rsidRPr="006A31E8">
        <w:rPr>
          <w:rFonts w:ascii="Palatino Linotype" w:hAnsi="Palatino Linotype"/>
          <w:sz w:val="24"/>
          <w:szCs w:val="24"/>
          <w:lang w:val="es-ES_tradnl"/>
        </w:rPr>
        <w:t xml:space="preserve">Asimismo, en la etapa de manifestaciones </w:t>
      </w:r>
      <w:r w:rsidRPr="006A31E8">
        <w:rPr>
          <w:rFonts w:ascii="Palatino Linotype" w:hAnsi="Palatino Linotype"/>
          <w:sz w:val="24"/>
          <w:szCs w:val="24"/>
        </w:rPr>
        <w:t xml:space="preserve">se advierte que el </w:t>
      </w:r>
      <w:r w:rsidRPr="006A31E8">
        <w:rPr>
          <w:rFonts w:ascii="Palatino Linotype" w:hAnsi="Palatino Linotype"/>
          <w:b/>
          <w:sz w:val="24"/>
          <w:szCs w:val="24"/>
        </w:rPr>
        <w:t xml:space="preserve">Sujeto </w:t>
      </w:r>
      <w:r>
        <w:rPr>
          <w:rFonts w:ascii="Palatino Linotype" w:hAnsi="Palatino Linotype"/>
          <w:b/>
          <w:sz w:val="24"/>
          <w:szCs w:val="24"/>
        </w:rPr>
        <w:t xml:space="preserve">Obligado </w:t>
      </w:r>
      <w:r>
        <w:rPr>
          <w:rFonts w:ascii="Palatino Linotype" w:hAnsi="Palatino Linotype"/>
          <w:bCs/>
          <w:sz w:val="24"/>
          <w:szCs w:val="24"/>
        </w:rPr>
        <w:t>fue omiso en rendir sus informes justificados</w:t>
      </w:r>
      <w:r w:rsidR="00B11F85">
        <w:rPr>
          <w:rFonts w:ascii="Palatino Linotype" w:hAnsi="Palatino Linotype"/>
          <w:bCs/>
          <w:sz w:val="24"/>
          <w:szCs w:val="24"/>
        </w:rPr>
        <w:t xml:space="preserve">, es decir, no subsanó la violación al derecho de acceso a la información pública. </w:t>
      </w:r>
      <w:r w:rsidR="00BA1B53">
        <w:rPr>
          <w:rFonts w:ascii="Palatino Linotype" w:hAnsi="Palatino Linotype"/>
          <w:bCs/>
          <w:iCs/>
          <w:sz w:val="24"/>
          <w:szCs w:val="24"/>
        </w:rPr>
        <w:t>En las generalizaciones anteriores</w:t>
      </w:r>
      <w:r>
        <w:rPr>
          <w:rFonts w:ascii="Palatino Linotype" w:hAnsi="Palatino Linotype"/>
          <w:bCs/>
          <w:iCs/>
          <w:sz w:val="24"/>
          <w:szCs w:val="24"/>
        </w:rPr>
        <w:t xml:space="preserve">, a efecto de </w:t>
      </w:r>
      <w:r>
        <w:rPr>
          <w:rFonts w:ascii="Palatino Linotype" w:hAnsi="Palatino Linotype"/>
          <w:bCs/>
          <w:iCs/>
          <w:sz w:val="24"/>
          <w:szCs w:val="24"/>
        </w:rPr>
        <w:lastRenderedPageBreak/>
        <w:t xml:space="preserve">dirimir la controversia planteada, resulta </w:t>
      </w:r>
      <w:r w:rsidR="008863CF">
        <w:rPr>
          <w:rFonts w:ascii="Palatino Linotype" w:hAnsi="Palatino Linotype"/>
          <w:bCs/>
          <w:iCs/>
          <w:sz w:val="24"/>
          <w:szCs w:val="24"/>
        </w:rPr>
        <w:t>procedente ordenar la entrega</w:t>
      </w:r>
      <w:r w:rsidR="002F7973">
        <w:rPr>
          <w:rFonts w:ascii="Palatino Linotype" w:hAnsi="Palatino Linotype"/>
          <w:bCs/>
          <w:iCs/>
          <w:sz w:val="24"/>
          <w:szCs w:val="24"/>
        </w:rPr>
        <w:t xml:space="preserve">, </w:t>
      </w:r>
      <w:r w:rsidR="002F7973" w:rsidRPr="002F7973">
        <w:rPr>
          <w:rFonts w:ascii="Palatino Linotype" w:hAnsi="Palatino Linotype"/>
          <w:b/>
          <w:iCs/>
          <w:sz w:val="24"/>
          <w:szCs w:val="24"/>
          <w:u w:val="single"/>
        </w:rPr>
        <w:t>en versión íntegra,</w:t>
      </w:r>
      <w:r w:rsidR="002F7973">
        <w:rPr>
          <w:rFonts w:ascii="Palatino Linotype" w:hAnsi="Palatino Linotype"/>
          <w:bCs/>
          <w:iCs/>
          <w:sz w:val="24"/>
          <w:szCs w:val="24"/>
        </w:rPr>
        <w:t xml:space="preserve"> de</w:t>
      </w:r>
      <w:r w:rsidR="008863CF">
        <w:rPr>
          <w:rFonts w:ascii="Palatino Linotype" w:hAnsi="Palatino Linotype"/>
          <w:bCs/>
          <w:iCs/>
          <w:sz w:val="24"/>
          <w:szCs w:val="24"/>
        </w:rPr>
        <w:t xml:space="preserve"> la siguiente información: </w:t>
      </w:r>
    </w:p>
    <w:p w14:paraId="03519D22" w14:textId="77777777" w:rsidR="00002DDA" w:rsidRDefault="00002DDA" w:rsidP="003D19C8">
      <w:pPr>
        <w:pStyle w:val="Prrafodelista"/>
        <w:numPr>
          <w:ilvl w:val="0"/>
          <w:numId w:val="6"/>
        </w:numPr>
        <w:autoSpaceDE w:val="0"/>
        <w:autoSpaceDN w:val="0"/>
        <w:adjustRightInd w:val="0"/>
        <w:spacing w:before="240" w:line="360" w:lineRule="auto"/>
        <w:jc w:val="both"/>
        <w:rPr>
          <w:rFonts w:ascii="Palatino Linotype" w:hAnsi="Palatino Linotype"/>
          <w:color w:val="000000"/>
        </w:rPr>
      </w:pPr>
      <w:r>
        <w:rPr>
          <w:rFonts w:ascii="Palatino Linotype" w:hAnsi="Palatino Linotype"/>
          <w:color w:val="000000"/>
        </w:rPr>
        <w:t>El o los documentos donde conste el listado de directores de todas las áreas, adscritos al dos de septiembre de dos mil veinticuatro.</w:t>
      </w:r>
    </w:p>
    <w:p w14:paraId="6D05DB0B" w14:textId="77777777" w:rsidR="00002DDA" w:rsidRPr="004D09FF" w:rsidRDefault="00002DDA" w:rsidP="003D19C8">
      <w:pPr>
        <w:pStyle w:val="Prrafodelista"/>
        <w:numPr>
          <w:ilvl w:val="0"/>
          <w:numId w:val="6"/>
        </w:numPr>
        <w:autoSpaceDE w:val="0"/>
        <w:autoSpaceDN w:val="0"/>
        <w:adjustRightInd w:val="0"/>
        <w:spacing w:before="240" w:line="360" w:lineRule="auto"/>
        <w:jc w:val="both"/>
        <w:rPr>
          <w:rFonts w:ascii="Palatino Linotype" w:hAnsi="Palatino Linotype"/>
          <w:color w:val="000000"/>
        </w:rPr>
      </w:pPr>
      <w:r>
        <w:rPr>
          <w:rFonts w:ascii="Palatino Linotype" w:hAnsi="Palatino Linotype"/>
          <w:color w:val="000000"/>
        </w:rPr>
        <w:t xml:space="preserve">El o los documentos donde conste el cumplimiento de requisitos respecto de los directores de todas las áreas, adscritos al dos de septiembre de dos mil veinticuatro.   </w:t>
      </w:r>
    </w:p>
    <w:p w14:paraId="0440F75B" w14:textId="77777777" w:rsidR="008863CF" w:rsidRDefault="008863CF" w:rsidP="004416EB">
      <w:pPr>
        <w:spacing w:line="360" w:lineRule="auto"/>
        <w:jc w:val="both"/>
        <w:rPr>
          <w:rFonts w:ascii="Palatino Linotype" w:hAnsi="Palatino Linotype"/>
          <w:bCs/>
          <w:iCs/>
          <w:sz w:val="24"/>
          <w:szCs w:val="24"/>
          <w:lang w:val="es-ES"/>
        </w:rPr>
      </w:pPr>
    </w:p>
    <w:p w14:paraId="55DCCB8C" w14:textId="027588AB" w:rsidR="00002DDA" w:rsidRDefault="00002DDA" w:rsidP="004416EB">
      <w:pPr>
        <w:spacing w:line="360" w:lineRule="auto"/>
        <w:jc w:val="both"/>
        <w:rPr>
          <w:rFonts w:ascii="Palatino Linotype" w:hAnsi="Palatino Linotype"/>
          <w:bCs/>
          <w:iCs/>
          <w:sz w:val="24"/>
          <w:szCs w:val="24"/>
          <w:lang w:val="es-ES"/>
        </w:rPr>
      </w:pPr>
      <w:r>
        <w:rPr>
          <w:rFonts w:ascii="Palatino Linotype" w:hAnsi="Palatino Linotype"/>
          <w:bCs/>
          <w:iCs/>
          <w:sz w:val="24"/>
          <w:szCs w:val="24"/>
          <w:lang w:val="es-ES"/>
        </w:rPr>
        <w:t xml:space="preserve">Finalmente, con relación al segundo punto que será materia de cumplimiento, </w:t>
      </w:r>
      <w:r w:rsidR="00CC4341">
        <w:rPr>
          <w:rFonts w:ascii="Palatino Linotype" w:hAnsi="Palatino Linotype"/>
          <w:bCs/>
          <w:iCs/>
          <w:sz w:val="24"/>
          <w:szCs w:val="24"/>
          <w:lang w:val="es-ES"/>
        </w:rPr>
        <w:t>para el caso de no contar con título profesional del tesorero municipal, director de turismo</w:t>
      </w:r>
      <w:r w:rsidR="00161874">
        <w:rPr>
          <w:rFonts w:ascii="Palatino Linotype" w:hAnsi="Palatino Linotype"/>
          <w:bCs/>
          <w:iCs/>
          <w:sz w:val="24"/>
          <w:szCs w:val="24"/>
          <w:lang w:val="es-ES"/>
        </w:rPr>
        <w:t>, contralor</w:t>
      </w:r>
      <w:r w:rsidR="00CC4341">
        <w:rPr>
          <w:rFonts w:ascii="Palatino Linotype" w:hAnsi="Palatino Linotype"/>
          <w:bCs/>
          <w:iCs/>
          <w:sz w:val="24"/>
          <w:szCs w:val="24"/>
          <w:lang w:val="es-ES"/>
        </w:rPr>
        <w:t xml:space="preserve"> y director de la dirección de mujeres, resulta procedente la entrega de la declaratoria de inexistencia. </w:t>
      </w:r>
    </w:p>
    <w:p w14:paraId="73C51189" w14:textId="3BCDC7BC" w:rsidR="00CC4341" w:rsidRDefault="005210D4" w:rsidP="005210D4">
      <w:pPr>
        <w:spacing w:line="360" w:lineRule="auto"/>
        <w:contextualSpacing/>
        <w:jc w:val="both"/>
        <w:rPr>
          <w:rFonts w:ascii="Palatino Linotype" w:hAnsi="Palatino Linotype" w:cs="Arial"/>
          <w:iCs/>
          <w:sz w:val="24"/>
          <w:szCs w:val="24"/>
        </w:rPr>
      </w:pPr>
      <w:r w:rsidRPr="005210D4">
        <w:rPr>
          <w:rFonts w:ascii="Palatino Linotype" w:hAnsi="Palatino Linotype" w:cs="Arial"/>
          <w:iCs/>
          <w:sz w:val="24"/>
          <w:szCs w:val="24"/>
        </w:rPr>
        <w:t>En</w:t>
      </w:r>
      <w:r w:rsidR="00CC4341" w:rsidRPr="005210D4">
        <w:rPr>
          <w:rFonts w:ascii="Palatino Linotype" w:eastAsia="Palatino Linotype" w:hAnsi="Palatino Linotype" w:cs="Palatino Linotype"/>
          <w:iCs/>
          <w:sz w:val="24"/>
          <w:szCs w:val="24"/>
        </w:rPr>
        <w:t xml:space="preserve"> caso de no contar con la certificación</w:t>
      </w:r>
      <w:r w:rsidR="003E59A5">
        <w:rPr>
          <w:rFonts w:ascii="Palatino Linotype" w:eastAsia="Palatino Linotype" w:hAnsi="Palatino Linotype" w:cs="Palatino Linotype"/>
          <w:iCs/>
          <w:sz w:val="24"/>
          <w:szCs w:val="24"/>
        </w:rPr>
        <w:t xml:space="preserve"> de directores</w:t>
      </w:r>
      <w:r w:rsidR="00CC4341" w:rsidRPr="005210D4">
        <w:rPr>
          <w:rFonts w:ascii="Palatino Linotype" w:eastAsia="Palatino Linotype" w:hAnsi="Palatino Linotype" w:cs="Palatino Linotype"/>
          <w:iCs/>
          <w:sz w:val="24"/>
          <w:szCs w:val="24"/>
        </w:rPr>
        <w:t xml:space="preserve">, por no haber trascurrido el término de 6 meses a que hace alusión el artículo 32 fracción IV de la Ley Orgánica Municipal, deberá hacer del conocimiento dicha circunstancia de manera motivada del Recurrente, </w:t>
      </w:r>
      <w:r w:rsidR="00CC4341" w:rsidRPr="005210D4">
        <w:rPr>
          <w:rFonts w:ascii="Palatino Linotype" w:hAnsi="Palatino Linotype" w:cs="Arial"/>
          <w:iCs/>
          <w:sz w:val="24"/>
          <w:szCs w:val="24"/>
        </w:rPr>
        <w:t>en términos de lo señalado por el segundo párrafo del artículo 19 de la Ley en la materia</w:t>
      </w:r>
      <w:r w:rsidR="00CC4341" w:rsidRPr="005210D4">
        <w:rPr>
          <w:rFonts w:ascii="Palatino Linotype" w:eastAsia="Palatino Linotype" w:hAnsi="Palatino Linotype" w:cs="Palatino Linotype"/>
          <w:iCs/>
          <w:sz w:val="24"/>
          <w:szCs w:val="24"/>
        </w:rPr>
        <w:t xml:space="preserve">; de no ser así y ya haber transcurrido dicho término deberá emitir el acuerdo de </w:t>
      </w:r>
      <w:r w:rsidR="00CC4341" w:rsidRPr="005210D4">
        <w:rPr>
          <w:rFonts w:ascii="Palatino Linotype" w:hAnsi="Palatino Linotype" w:cs="Arial"/>
          <w:iCs/>
          <w:sz w:val="24"/>
          <w:szCs w:val="24"/>
        </w:rPr>
        <w:t>inexistencia en términos del artículo 19 párrafo tercero, 169 y 170 de la Ley de Transparencia y Acceso a la Información Pública del Estado de México y Municipios.</w:t>
      </w:r>
    </w:p>
    <w:p w14:paraId="66E9B973" w14:textId="77777777" w:rsidR="003E59A5" w:rsidRDefault="003E59A5" w:rsidP="005210D4">
      <w:pPr>
        <w:spacing w:line="360" w:lineRule="auto"/>
        <w:contextualSpacing/>
        <w:jc w:val="both"/>
        <w:rPr>
          <w:rFonts w:ascii="Palatino Linotype" w:hAnsi="Palatino Linotype" w:cs="Arial"/>
          <w:iCs/>
          <w:sz w:val="24"/>
          <w:szCs w:val="24"/>
        </w:rPr>
      </w:pPr>
    </w:p>
    <w:p w14:paraId="4FFF2D48" w14:textId="77777777" w:rsidR="003E59A5" w:rsidRPr="005210D4" w:rsidRDefault="003E59A5" w:rsidP="005210D4">
      <w:pPr>
        <w:spacing w:line="360" w:lineRule="auto"/>
        <w:contextualSpacing/>
        <w:jc w:val="both"/>
        <w:rPr>
          <w:rFonts w:ascii="Palatino Linotype" w:hAnsi="Palatino Linotype" w:cs="Arial"/>
          <w:iCs/>
          <w:sz w:val="24"/>
          <w:szCs w:val="24"/>
        </w:rPr>
      </w:pPr>
    </w:p>
    <w:p w14:paraId="4620FD7F" w14:textId="77777777" w:rsidR="005210D4" w:rsidRPr="002900CB" w:rsidRDefault="005210D4" w:rsidP="005210D4">
      <w:pPr>
        <w:tabs>
          <w:tab w:val="left" w:pos="709"/>
        </w:tabs>
        <w:spacing w:line="360" w:lineRule="auto"/>
        <w:jc w:val="both"/>
        <w:rPr>
          <w:rFonts w:ascii="Palatino Linotype" w:hAnsi="Palatino Linotype"/>
          <w:b/>
          <w:sz w:val="24"/>
          <w:szCs w:val="24"/>
        </w:rPr>
      </w:pPr>
      <w:r w:rsidRPr="002900CB">
        <w:rPr>
          <w:rFonts w:ascii="Palatino Linotype" w:hAnsi="Palatino Linotype"/>
          <w:b/>
          <w:sz w:val="24"/>
          <w:szCs w:val="24"/>
        </w:rPr>
        <w:lastRenderedPageBreak/>
        <w:t>DE LA DECLARATORIA DE INEXISTENCIA</w:t>
      </w:r>
    </w:p>
    <w:p w14:paraId="7AA9BC5D" w14:textId="77777777" w:rsidR="005210D4" w:rsidRPr="0037314A" w:rsidRDefault="005210D4" w:rsidP="005210D4">
      <w:pPr>
        <w:tabs>
          <w:tab w:val="left" w:pos="709"/>
        </w:tabs>
        <w:spacing w:line="360" w:lineRule="auto"/>
        <w:jc w:val="both"/>
        <w:rPr>
          <w:rFonts w:ascii="Palatino Linotype" w:hAnsi="Palatino Linotype"/>
          <w:sz w:val="24"/>
          <w:szCs w:val="24"/>
        </w:rPr>
      </w:pPr>
      <w:r w:rsidRPr="0037314A">
        <w:rPr>
          <w:rFonts w:ascii="Palatino Linotype" w:hAnsi="Palatino Linotype"/>
          <w:bCs/>
          <w:sz w:val="24"/>
          <w:szCs w:val="24"/>
        </w:rPr>
        <w:t xml:space="preserve">Declaratoria que </w:t>
      </w:r>
      <w:r w:rsidRPr="0037314A">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5CAC23B6"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b/>
          <w:bCs/>
          <w:i/>
          <w:iCs/>
          <w:szCs w:val="24"/>
        </w:rPr>
        <w:t xml:space="preserve">“Artículo 19. </w:t>
      </w:r>
      <w:r w:rsidRPr="0037314A">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52E2D48F"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iCs/>
          <w:szCs w:val="24"/>
        </w:rPr>
        <w:t>(…)</w:t>
      </w:r>
    </w:p>
    <w:p w14:paraId="63014AD0"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iCs/>
          <w:szCs w:val="24"/>
        </w:rPr>
        <w:t xml:space="preserve">Si el sujeto obligado, en el ejercicio de sus atribuciones, debía generar, poseer o administrar la información, pero ésta no se encuentra, </w:t>
      </w:r>
      <w:r w:rsidRPr="0037314A">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439FF7BC"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b/>
          <w:bCs/>
          <w:i/>
          <w:iCs/>
          <w:szCs w:val="24"/>
        </w:rPr>
        <w:t>Artículo 49.</w:t>
      </w:r>
      <w:r w:rsidRPr="0037314A">
        <w:rPr>
          <w:rFonts w:ascii="Palatino Linotype" w:hAnsi="Palatino Linotype"/>
          <w:i/>
          <w:iCs/>
          <w:szCs w:val="24"/>
        </w:rPr>
        <w:t xml:space="preserve"> Los </w:t>
      </w:r>
      <w:r w:rsidRPr="0037314A">
        <w:rPr>
          <w:rFonts w:ascii="Palatino Linotype" w:hAnsi="Palatino Linotype"/>
          <w:i/>
          <w:iCs/>
          <w:szCs w:val="24"/>
          <w:u w:val="single"/>
        </w:rPr>
        <w:t xml:space="preserve">Comités de Transparencia </w:t>
      </w:r>
      <w:r w:rsidRPr="0037314A">
        <w:rPr>
          <w:rFonts w:ascii="Palatino Linotype" w:hAnsi="Palatino Linotype"/>
          <w:i/>
          <w:iCs/>
          <w:szCs w:val="24"/>
        </w:rPr>
        <w:t>tendrán las siguientes atribuciones:</w:t>
      </w:r>
    </w:p>
    <w:p w14:paraId="6AEFCFE5"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szCs w:val="24"/>
        </w:rPr>
        <w:t>II. Confirmar, modificar o revocar las determinaciones que en materia de ampliación del plazo de respuesta, clasificación de la información</w:t>
      </w:r>
      <w:r w:rsidRPr="0037314A">
        <w:rPr>
          <w:rFonts w:ascii="Palatino Linotype" w:hAnsi="Palatino Linotype"/>
          <w:i/>
          <w:szCs w:val="24"/>
          <w:u w:val="single"/>
        </w:rPr>
        <w:t xml:space="preserve"> y declaración de inexistencia </w:t>
      </w:r>
      <w:r w:rsidRPr="0037314A">
        <w:rPr>
          <w:rFonts w:ascii="Palatino Linotype" w:hAnsi="Palatino Linotype"/>
          <w:i/>
          <w:szCs w:val="24"/>
        </w:rPr>
        <w:t>o de incompetencia realicen los titulares de las áreas de los sujetos obligados;</w:t>
      </w:r>
    </w:p>
    <w:p w14:paraId="0D0773EA"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szCs w:val="24"/>
        </w:rPr>
        <w:t xml:space="preserve">XIII. </w:t>
      </w:r>
      <w:r w:rsidRPr="0037314A">
        <w:rPr>
          <w:rFonts w:ascii="Palatino Linotype" w:hAnsi="Palatino Linotype"/>
          <w:i/>
          <w:szCs w:val="24"/>
          <w:u w:val="single"/>
        </w:rPr>
        <w:t>Dictaminar las declaratorias de inexistencia de la información que les remitan las unidades administrativas y resolver en consecuencia</w:t>
      </w:r>
      <w:r w:rsidRPr="0037314A">
        <w:rPr>
          <w:rFonts w:ascii="Palatino Linotype" w:hAnsi="Palatino Linotype"/>
          <w:i/>
          <w:szCs w:val="24"/>
        </w:rPr>
        <w:t>;</w:t>
      </w:r>
    </w:p>
    <w:p w14:paraId="71F684E3" w14:textId="77777777" w:rsidR="005210D4" w:rsidRPr="0037314A" w:rsidRDefault="005210D4" w:rsidP="005210D4">
      <w:pPr>
        <w:tabs>
          <w:tab w:val="left" w:pos="709"/>
        </w:tabs>
        <w:spacing w:before="240" w:line="360" w:lineRule="auto"/>
        <w:ind w:left="851" w:right="851"/>
        <w:jc w:val="both"/>
        <w:rPr>
          <w:rFonts w:ascii="Palatino Linotype" w:hAnsi="Palatino Linotype"/>
          <w:b/>
          <w:i/>
          <w:szCs w:val="24"/>
          <w:u w:val="single"/>
        </w:rPr>
      </w:pPr>
      <w:r w:rsidRPr="0037314A">
        <w:rPr>
          <w:rFonts w:ascii="Palatino Linotype" w:hAnsi="Palatino Linotype"/>
          <w:b/>
          <w:i/>
          <w:u w:val="single"/>
        </w:rPr>
        <w:t>Artículo 169. Cuando la información no se encuentre en los archivos del sujeto obligado, el Comité de Transparencia:</w:t>
      </w:r>
    </w:p>
    <w:p w14:paraId="1954F11A" w14:textId="77777777" w:rsidR="005210D4" w:rsidRPr="0037314A" w:rsidRDefault="005210D4" w:rsidP="005210D4">
      <w:pPr>
        <w:tabs>
          <w:tab w:val="left" w:pos="709"/>
        </w:tabs>
        <w:spacing w:before="240" w:line="360" w:lineRule="auto"/>
        <w:ind w:left="851" w:right="851"/>
        <w:jc w:val="both"/>
        <w:rPr>
          <w:rFonts w:ascii="Palatino Linotype" w:hAnsi="Palatino Linotype"/>
          <w:b/>
          <w:i/>
          <w:szCs w:val="24"/>
        </w:rPr>
      </w:pPr>
      <w:r w:rsidRPr="0037314A">
        <w:rPr>
          <w:rFonts w:ascii="Palatino Linotype" w:hAnsi="Palatino Linotype"/>
          <w:b/>
          <w:bCs/>
          <w:i/>
          <w:szCs w:val="24"/>
        </w:rPr>
        <w:lastRenderedPageBreak/>
        <w:t xml:space="preserve">I. </w:t>
      </w:r>
      <w:r w:rsidRPr="0037314A">
        <w:rPr>
          <w:rFonts w:ascii="Palatino Linotype" w:hAnsi="Palatino Linotype"/>
          <w:i/>
          <w:szCs w:val="24"/>
          <w:u w:val="single"/>
        </w:rPr>
        <w:t>Analizará el caso y tomará las medidas necesarias para localizar la información;</w:t>
      </w:r>
    </w:p>
    <w:p w14:paraId="6AB23701" w14:textId="77777777" w:rsidR="005210D4" w:rsidRPr="0037314A" w:rsidRDefault="005210D4" w:rsidP="005210D4">
      <w:pPr>
        <w:tabs>
          <w:tab w:val="left" w:pos="709"/>
        </w:tabs>
        <w:spacing w:before="240" w:line="360" w:lineRule="auto"/>
        <w:ind w:left="851" w:right="851"/>
        <w:jc w:val="both"/>
        <w:rPr>
          <w:rFonts w:ascii="Palatino Linotype" w:hAnsi="Palatino Linotype"/>
          <w:b/>
          <w:i/>
          <w:szCs w:val="24"/>
        </w:rPr>
      </w:pPr>
      <w:r w:rsidRPr="0037314A">
        <w:rPr>
          <w:rFonts w:ascii="Palatino Linotype" w:hAnsi="Palatino Linotype"/>
          <w:b/>
          <w:bCs/>
          <w:i/>
          <w:szCs w:val="24"/>
        </w:rPr>
        <w:t xml:space="preserve">II. </w:t>
      </w:r>
      <w:r w:rsidRPr="0037314A">
        <w:rPr>
          <w:rFonts w:ascii="Palatino Linotype" w:hAnsi="Palatino Linotype"/>
          <w:i/>
          <w:szCs w:val="24"/>
          <w:u w:val="single"/>
        </w:rPr>
        <w:t>Expedirá una resolución que confirme la inexistencia del documento;</w:t>
      </w:r>
    </w:p>
    <w:p w14:paraId="51F502EB" w14:textId="77777777" w:rsidR="005210D4" w:rsidRPr="0037314A" w:rsidRDefault="005210D4" w:rsidP="005210D4">
      <w:pPr>
        <w:tabs>
          <w:tab w:val="left" w:pos="709"/>
        </w:tabs>
        <w:spacing w:before="240" w:line="360" w:lineRule="auto"/>
        <w:ind w:left="851" w:right="851"/>
        <w:jc w:val="both"/>
        <w:rPr>
          <w:rFonts w:ascii="Palatino Linotype" w:hAnsi="Palatino Linotype"/>
          <w:b/>
          <w:i/>
          <w:szCs w:val="24"/>
        </w:rPr>
      </w:pPr>
      <w:r w:rsidRPr="0037314A">
        <w:rPr>
          <w:rFonts w:ascii="Palatino Linotype" w:hAnsi="Palatino Linotype"/>
          <w:b/>
          <w:bCs/>
          <w:i/>
          <w:szCs w:val="24"/>
        </w:rPr>
        <w:t xml:space="preserve">III. </w:t>
      </w:r>
      <w:r w:rsidRPr="0037314A">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F7DDE3E"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u w:val="single"/>
        </w:rPr>
      </w:pPr>
      <w:r w:rsidRPr="0037314A">
        <w:rPr>
          <w:rFonts w:ascii="Palatino Linotype" w:hAnsi="Palatino Linotype"/>
          <w:b/>
          <w:bCs/>
          <w:i/>
          <w:szCs w:val="24"/>
        </w:rPr>
        <w:t xml:space="preserve">IV. </w:t>
      </w:r>
      <w:r w:rsidRPr="0037314A">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5AC3C770"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u w:val="single"/>
        </w:rPr>
      </w:pPr>
      <w:r w:rsidRPr="0037314A">
        <w:rPr>
          <w:rFonts w:ascii="Palatino Linotype" w:hAnsi="Palatino Linotype"/>
          <w:i/>
          <w:szCs w:val="24"/>
          <w:u w:val="single"/>
        </w:rPr>
        <w:t>La Unidad de Transparencia deberá notificarlo al solicitante por escrito, en un plazo que no exceda de quince días hábiles contados a partir del día siguiente a la presentación de la solicitud.</w:t>
      </w:r>
    </w:p>
    <w:p w14:paraId="23C70881" w14:textId="77777777" w:rsidR="005210D4" w:rsidRPr="0037314A" w:rsidRDefault="005210D4" w:rsidP="005210D4">
      <w:pPr>
        <w:tabs>
          <w:tab w:val="left" w:pos="709"/>
        </w:tabs>
        <w:spacing w:before="240" w:line="360" w:lineRule="auto"/>
        <w:ind w:left="851" w:right="851"/>
        <w:jc w:val="both"/>
        <w:rPr>
          <w:rFonts w:ascii="Palatino Linotype" w:hAnsi="Palatino Linotype"/>
          <w:i/>
          <w:szCs w:val="24"/>
          <w:u w:val="single"/>
        </w:rPr>
      </w:pPr>
      <w:r w:rsidRPr="0037314A">
        <w:rPr>
          <w:rFonts w:ascii="Palatino Linotype" w:hAnsi="Palatino Linotype"/>
          <w:i/>
          <w:szCs w:val="24"/>
          <w:u w:val="single"/>
        </w:rPr>
        <w:t>Este plazo podrá ampliarse hasta por otros siete días hábiles, siempre que existan razones para ello, debiendo notificarse por escrito al solicitante.</w:t>
      </w:r>
    </w:p>
    <w:p w14:paraId="259DF729" w14:textId="77777777" w:rsidR="005210D4" w:rsidRPr="0037314A" w:rsidRDefault="005210D4" w:rsidP="005210D4">
      <w:pPr>
        <w:tabs>
          <w:tab w:val="left" w:pos="709"/>
        </w:tabs>
        <w:spacing w:before="240" w:line="360" w:lineRule="auto"/>
        <w:ind w:left="851" w:right="851"/>
        <w:jc w:val="both"/>
        <w:rPr>
          <w:rFonts w:ascii="Palatino Linotype" w:hAnsi="Palatino Linotype"/>
          <w:b/>
          <w:i/>
          <w:iCs/>
          <w:szCs w:val="24"/>
        </w:rPr>
      </w:pPr>
      <w:r w:rsidRPr="0037314A">
        <w:rPr>
          <w:rFonts w:ascii="Palatino Linotype" w:hAnsi="Palatino Linotype"/>
          <w:b/>
          <w:i/>
          <w:szCs w:val="24"/>
        </w:rPr>
        <w:t>Artículo 170</w:t>
      </w:r>
      <w:r w:rsidRPr="0037314A">
        <w:rPr>
          <w:rFonts w:ascii="Palatino Linotype" w:hAnsi="Palatino Linotype"/>
          <w:b/>
          <w:bCs/>
          <w:i/>
          <w:iCs/>
          <w:szCs w:val="24"/>
        </w:rPr>
        <w:t>.</w:t>
      </w:r>
      <w:r w:rsidRPr="0037314A">
        <w:rPr>
          <w:rFonts w:ascii="Palatino Linotype" w:hAnsi="Palatino Linotype"/>
          <w:i/>
          <w:iCs/>
          <w:szCs w:val="24"/>
        </w:rPr>
        <w:t xml:space="preserve"> </w:t>
      </w:r>
      <w:r w:rsidRPr="0037314A">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37314A">
        <w:rPr>
          <w:rFonts w:ascii="Palatino Linotype" w:hAnsi="Palatino Linotype"/>
          <w:i/>
          <w:iCs/>
          <w:szCs w:val="24"/>
        </w:rPr>
        <w:t xml:space="preserve">” </w:t>
      </w:r>
      <w:r w:rsidRPr="0037314A">
        <w:rPr>
          <w:rFonts w:ascii="Palatino Linotype" w:hAnsi="Palatino Linotype"/>
          <w:b/>
          <w:i/>
          <w:iCs/>
          <w:szCs w:val="24"/>
        </w:rPr>
        <w:t>[Sic]</w:t>
      </w:r>
    </w:p>
    <w:p w14:paraId="381F9F82" w14:textId="77777777" w:rsidR="005210D4" w:rsidRPr="0037314A" w:rsidRDefault="005210D4" w:rsidP="005210D4">
      <w:pPr>
        <w:tabs>
          <w:tab w:val="left" w:pos="709"/>
        </w:tabs>
        <w:spacing w:after="0" w:line="240" w:lineRule="auto"/>
        <w:ind w:left="567" w:right="567"/>
        <w:jc w:val="both"/>
        <w:rPr>
          <w:rFonts w:ascii="Palatino Linotype" w:hAnsi="Palatino Linotype"/>
          <w:i/>
          <w:szCs w:val="24"/>
        </w:rPr>
      </w:pPr>
    </w:p>
    <w:p w14:paraId="3037203C" w14:textId="77777777" w:rsidR="005210D4" w:rsidRDefault="005210D4" w:rsidP="005210D4">
      <w:pPr>
        <w:spacing w:after="0" w:line="360" w:lineRule="auto"/>
        <w:jc w:val="both"/>
        <w:rPr>
          <w:rFonts w:ascii="Palatino Linotype" w:hAnsi="Palatino Linotype" w:cs="Arial"/>
          <w:sz w:val="24"/>
          <w:szCs w:val="24"/>
        </w:rPr>
      </w:pPr>
      <w:r w:rsidRPr="0037314A">
        <w:rPr>
          <w:rFonts w:ascii="Palatino Linotype" w:hAnsi="Palatino Linotype" w:cs="Arial"/>
          <w:sz w:val="24"/>
          <w:szCs w:val="24"/>
        </w:rPr>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4DDC67C0" w14:textId="77777777" w:rsidR="005210D4" w:rsidRPr="0037314A" w:rsidRDefault="005210D4" w:rsidP="005210D4">
      <w:pPr>
        <w:spacing w:after="0" w:line="360" w:lineRule="auto"/>
        <w:jc w:val="both"/>
        <w:rPr>
          <w:rFonts w:ascii="Palatino Linotype" w:eastAsia="Times New Roman" w:hAnsi="Palatino Linotype" w:cs="Times New Roman"/>
          <w:sz w:val="24"/>
          <w:szCs w:val="24"/>
          <w:lang w:eastAsia="es-ES"/>
        </w:rPr>
      </w:pPr>
    </w:p>
    <w:p w14:paraId="1B85154E" w14:textId="77777777" w:rsidR="005210D4" w:rsidRDefault="005210D4" w:rsidP="005210D4">
      <w:pPr>
        <w:spacing w:after="0" w:line="360" w:lineRule="auto"/>
        <w:contextualSpacing/>
        <w:jc w:val="both"/>
        <w:rPr>
          <w:rFonts w:ascii="Palatino Linotype" w:eastAsia="Palatino Linotype" w:hAnsi="Palatino Linotype" w:cs="Palatino Linotype"/>
          <w:sz w:val="24"/>
          <w:szCs w:val="24"/>
        </w:rPr>
      </w:pPr>
      <w:r w:rsidRPr="0037314A">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5B8F2208" w14:textId="77777777" w:rsidR="005210D4" w:rsidRDefault="005210D4" w:rsidP="005210D4">
      <w:pPr>
        <w:spacing w:after="0" w:line="360" w:lineRule="auto"/>
        <w:contextualSpacing/>
        <w:jc w:val="both"/>
        <w:rPr>
          <w:rFonts w:ascii="Palatino Linotype" w:eastAsia="Palatino Linotype" w:hAnsi="Palatino Linotype" w:cs="Palatino Linotype"/>
          <w:sz w:val="24"/>
          <w:szCs w:val="24"/>
        </w:rPr>
      </w:pPr>
    </w:p>
    <w:p w14:paraId="1D197ECD" w14:textId="77777777" w:rsidR="005210D4" w:rsidRPr="0037314A" w:rsidRDefault="005210D4" w:rsidP="005210D4">
      <w:pPr>
        <w:pStyle w:val="Citas"/>
        <w:rPr>
          <w:b/>
        </w:rPr>
      </w:pPr>
      <w:r w:rsidRPr="0037314A">
        <w:rPr>
          <w:b/>
        </w:rPr>
        <w:t xml:space="preserve">“PROPÓSITO DE LA DECLARACIÓN FORMAL DE INEXISTENCIA. </w:t>
      </w:r>
    </w:p>
    <w:p w14:paraId="7622358B" w14:textId="77777777" w:rsidR="005210D4" w:rsidRPr="0037314A" w:rsidRDefault="005210D4" w:rsidP="005210D4">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196D02BF" w14:textId="77777777" w:rsidR="005210D4" w:rsidRPr="0037314A" w:rsidRDefault="005210D4" w:rsidP="005210D4">
      <w:pPr>
        <w:spacing w:after="0" w:line="360" w:lineRule="auto"/>
        <w:contextualSpacing/>
        <w:jc w:val="both"/>
        <w:rPr>
          <w:rFonts w:ascii="Palatino Linotype" w:eastAsia="Palatino Linotype" w:hAnsi="Palatino Linotype" w:cs="Palatino Linotype"/>
          <w:sz w:val="24"/>
          <w:szCs w:val="24"/>
        </w:rPr>
      </w:pPr>
    </w:p>
    <w:p w14:paraId="060F0693" w14:textId="09F34190" w:rsidR="005210D4" w:rsidRPr="0037314A" w:rsidRDefault="005210D4" w:rsidP="005210D4">
      <w:pPr>
        <w:spacing w:after="0" w:line="360" w:lineRule="auto"/>
        <w:contextualSpacing/>
        <w:jc w:val="both"/>
        <w:rPr>
          <w:rFonts w:ascii="Palatino Linotype" w:eastAsia="Times New Roman" w:hAnsi="Palatino Linotype" w:cs="Times New Roman"/>
          <w:sz w:val="24"/>
          <w:szCs w:val="24"/>
          <w:lang w:eastAsia="es-ES"/>
        </w:rPr>
      </w:pPr>
      <w:r w:rsidRPr="0037314A">
        <w:rPr>
          <w:rFonts w:ascii="Palatino Linotype" w:eastAsia="Palatino Linotype" w:hAnsi="Palatino Linotype" w:cs="Palatino Linotype"/>
          <w:sz w:val="24"/>
          <w:szCs w:val="24"/>
        </w:rPr>
        <w:lastRenderedPageBreak/>
        <w:t xml:space="preserve">De tal forma que, con el propósito de otorgarle certeza jurídica </w:t>
      </w:r>
      <w:r w:rsidR="003E59A5">
        <w:rPr>
          <w:rFonts w:ascii="Palatino Linotype" w:eastAsia="Palatino Linotype" w:hAnsi="Palatino Linotype" w:cs="Palatino Linotype"/>
          <w:sz w:val="24"/>
          <w:szCs w:val="24"/>
        </w:rPr>
        <w:t>al</w:t>
      </w:r>
      <w:r w:rsidRPr="009F16AF">
        <w:rPr>
          <w:rFonts w:ascii="Palatino Linotype" w:eastAsia="Palatino Linotype" w:hAnsi="Palatino Linotype" w:cs="Palatino Linotype"/>
          <w:b/>
          <w:bCs/>
          <w:sz w:val="24"/>
          <w:szCs w:val="24"/>
        </w:rPr>
        <w:t xml:space="preserve"> Recurrente</w:t>
      </w:r>
      <w:r w:rsidRPr="0037314A">
        <w:rPr>
          <w:rFonts w:ascii="Palatino Linotype" w:eastAsia="Palatino Linotype" w:hAnsi="Palatino Linotype" w:cs="Palatino Linotype"/>
          <w:sz w:val="24"/>
          <w:szCs w:val="24"/>
        </w:rPr>
        <w:t xml:space="preserve"> de que se realizaron las acciones necesarias durante la búsqueda exhaustiva y razonable de la información, sin que esta fuera localizada, resulta procedente ordenar la entrega del acuerdo en cita. </w:t>
      </w:r>
    </w:p>
    <w:p w14:paraId="097BD6D3" w14:textId="77777777" w:rsidR="005210D4" w:rsidRDefault="005210D4" w:rsidP="005210D4">
      <w:pPr>
        <w:pStyle w:val="Sinespaciado"/>
        <w:spacing w:line="360" w:lineRule="auto"/>
        <w:jc w:val="both"/>
        <w:rPr>
          <w:rFonts w:ascii="Palatino Linotype" w:hAnsi="Palatino Linotype"/>
        </w:rPr>
      </w:pPr>
    </w:p>
    <w:p w14:paraId="6EED1093" w14:textId="77777777" w:rsidR="005210D4" w:rsidRPr="007949CF" w:rsidRDefault="005210D4" w:rsidP="005210D4">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t xml:space="preserve">DE LA VERSIÓN PÚBLICA </w:t>
      </w:r>
    </w:p>
    <w:p w14:paraId="17A1D2E3"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36240F21" w14:textId="77777777" w:rsidR="005210D4" w:rsidRPr="00F42CE0" w:rsidRDefault="005210D4" w:rsidP="005210D4">
      <w:pPr>
        <w:pStyle w:val="Citas"/>
      </w:pPr>
      <w:r>
        <w:rPr>
          <w:b/>
        </w:rPr>
        <w:t>“</w:t>
      </w:r>
      <w:r w:rsidRPr="00F42CE0">
        <w:rPr>
          <w:b/>
        </w:rPr>
        <w:t>Artículo 3.</w:t>
      </w:r>
      <w:r w:rsidRPr="00F42CE0">
        <w:t xml:space="preserve"> Para los efectos de la presente Ley se entenderá por:</w:t>
      </w:r>
    </w:p>
    <w:p w14:paraId="20653577" w14:textId="77777777" w:rsidR="005210D4" w:rsidRPr="00F42CE0" w:rsidRDefault="005210D4" w:rsidP="005210D4">
      <w:pPr>
        <w:pStyle w:val="Citas"/>
      </w:pPr>
      <w:r w:rsidRPr="00F42CE0">
        <w:t>(…)</w:t>
      </w:r>
    </w:p>
    <w:p w14:paraId="65C0CCDA" w14:textId="77777777" w:rsidR="005210D4" w:rsidRPr="00F42CE0" w:rsidRDefault="005210D4" w:rsidP="005210D4">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307FB0FF" w14:textId="77777777" w:rsidR="005210D4" w:rsidRPr="00F42CE0" w:rsidRDefault="005210D4" w:rsidP="005210D4">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2DB5EC65" w14:textId="77777777" w:rsidR="005210D4" w:rsidRPr="00F42CE0" w:rsidRDefault="005210D4" w:rsidP="005210D4">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3ABCA7" w14:textId="77777777" w:rsidR="005210D4" w:rsidRPr="000F6865" w:rsidRDefault="005210D4" w:rsidP="005210D4">
      <w:pPr>
        <w:pStyle w:val="Citas"/>
        <w:rPr>
          <w:bCs/>
        </w:rPr>
      </w:pPr>
      <w:r w:rsidRPr="000F6865">
        <w:rPr>
          <w:bCs/>
        </w:rPr>
        <w:lastRenderedPageBreak/>
        <w:t>(…)</w:t>
      </w:r>
    </w:p>
    <w:p w14:paraId="636423F7" w14:textId="77777777" w:rsidR="005210D4" w:rsidRPr="00F42CE0" w:rsidRDefault="005210D4" w:rsidP="005210D4">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13C497A5" w14:textId="77777777" w:rsidR="005210D4" w:rsidRPr="00F42CE0" w:rsidRDefault="005210D4" w:rsidP="005210D4">
      <w:pPr>
        <w:pStyle w:val="Citas"/>
      </w:pPr>
      <w:r w:rsidRPr="00F42CE0">
        <w:t>(…)</w:t>
      </w:r>
    </w:p>
    <w:p w14:paraId="77FA5168" w14:textId="77777777" w:rsidR="005210D4" w:rsidRPr="00F42CE0" w:rsidRDefault="005210D4" w:rsidP="005210D4">
      <w:pPr>
        <w:pStyle w:val="Citas"/>
      </w:pPr>
      <w:r w:rsidRPr="00F42CE0">
        <w:rPr>
          <w:b/>
        </w:rPr>
        <w:t xml:space="preserve">Artículo 91. </w:t>
      </w:r>
      <w:r w:rsidRPr="00F42CE0">
        <w:t>El acceso a la información pública será restringido excepcionalmente, cuando ésta sea clasificada como reservada o confidencial.</w:t>
      </w:r>
    </w:p>
    <w:p w14:paraId="5911F306" w14:textId="77777777" w:rsidR="005210D4" w:rsidRPr="00F42CE0" w:rsidRDefault="005210D4" w:rsidP="005210D4">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0A50AEB" w14:textId="77777777" w:rsidR="005210D4" w:rsidRPr="00F42CE0" w:rsidRDefault="005210D4" w:rsidP="005210D4">
      <w:pPr>
        <w:pStyle w:val="Citas"/>
      </w:pPr>
      <w:r w:rsidRPr="00F42CE0">
        <w:rPr>
          <w:b/>
        </w:rPr>
        <w:t>I.</w:t>
      </w:r>
      <w:r w:rsidRPr="00F42CE0">
        <w:t xml:space="preserve"> Se reciba una solicitud de acceso a la información;</w:t>
      </w:r>
    </w:p>
    <w:p w14:paraId="76A095C3" w14:textId="77777777" w:rsidR="005210D4" w:rsidRPr="00F42CE0" w:rsidRDefault="005210D4" w:rsidP="005210D4">
      <w:pPr>
        <w:pStyle w:val="Citas"/>
      </w:pPr>
      <w:r w:rsidRPr="00F42CE0">
        <w:rPr>
          <w:b/>
        </w:rPr>
        <w:t>II.</w:t>
      </w:r>
      <w:r w:rsidRPr="00F42CE0">
        <w:t xml:space="preserve"> </w:t>
      </w:r>
      <w:r w:rsidRPr="00F42CE0">
        <w:rPr>
          <w:u w:val="single"/>
        </w:rPr>
        <w:t>Se determine mediante resolución de autoridad competente; o</w:t>
      </w:r>
    </w:p>
    <w:p w14:paraId="099E431E" w14:textId="77777777" w:rsidR="005210D4" w:rsidRPr="00F42CE0" w:rsidRDefault="005210D4" w:rsidP="005210D4">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17819152" w14:textId="77777777" w:rsidR="005210D4" w:rsidRPr="000F6865" w:rsidRDefault="005210D4" w:rsidP="005210D4">
      <w:pPr>
        <w:pStyle w:val="Citas"/>
        <w:rPr>
          <w:b/>
          <w:bCs/>
        </w:rPr>
      </w:pPr>
      <w:r w:rsidRPr="00F42CE0">
        <w:t>(…)</w:t>
      </w:r>
      <w:r>
        <w:t xml:space="preserve">” </w:t>
      </w:r>
      <w:r>
        <w:rPr>
          <w:b/>
          <w:bCs/>
        </w:rPr>
        <w:t xml:space="preserve"> (Sic)</w:t>
      </w:r>
    </w:p>
    <w:p w14:paraId="60B0ABD6" w14:textId="77777777" w:rsidR="005210D4" w:rsidRPr="00F42CE0" w:rsidRDefault="005210D4" w:rsidP="005210D4">
      <w:pPr>
        <w:rPr>
          <w:rFonts w:eastAsia="Palatino Linotype" w:cs="Palatino Linotype"/>
          <w:i/>
          <w:szCs w:val="24"/>
        </w:rPr>
      </w:pPr>
    </w:p>
    <w:p w14:paraId="74BD21A8"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6C11FF9"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xml:space="preserve">, emitidos por el Consejo </w:t>
      </w:r>
      <w:r w:rsidRPr="000F6865">
        <w:rPr>
          <w:rFonts w:ascii="Palatino Linotype" w:eastAsia="Palatino Linotype" w:hAnsi="Palatino Linotype" w:cs="Palatino Linotype"/>
          <w:sz w:val="24"/>
          <w:szCs w:val="24"/>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9F44357"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7AC816B3" w14:textId="77777777" w:rsidR="005210D4" w:rsidRDefault="005210D4" w:rsidP="005210D4">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691BD6C6" w14:textId="77777777" w:rsidR="005210D4" w:rsidRPr="00F42CE0" w:rsidRDefault="005210D4" w:rsidP="005210D4">
      <w:pPr>
        <w:pStyle w:val="Citas"/>
      </w:pPr>
      <w:r w:rsidRPr="00F42CE0">
        <w:rPr>
          <w:b/>
        </w:rPr>
        <w:t>Quincuagésimo séptimo.</w:t>
      </w:r>
      <w:r w:rsidRPr="00F42CE0">
        <w:t xml:space="preserve"> Se considera, en principio, como información pública y no podrá omitirse de las versiones públicas la siguiente:</w:t>
      </w:r>
    </w:p>
    <w:p w14:paraId="6C0B4C9C" w14:textId="77777777" w:rsidR="005210D4" w:rsidRPr="00F42CE0" w:rsidRDefault="005210D4" w:rsidP="005210D4">
      <w:pPr>
        <w:pStyle w:val="Citas"/>
      </w:pPr>
      <w:r w:rsidRPr="00F42CE0">
        <w:t xml:space="preserve">I. La relativa a las Obligaciones de Transparencia que contempla el Título V de la Ley General y las demás disposiciones legales aplicables; </w:t>
      </w:r>
    </w:p>
    <w:p w14:paraId="0886DEFB" w14:textId="77777777" w:rsidR="005210D4" w:rsidRPr="00F42CE0" w:rsidRDefault="005210D4" w:rsidP="005210D4">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392502A6" w14:textId="77777777" w:rsidR="005210D4" w:rsidRPr="00F42CE0" w:rsidRDefault="005210D4" w:rsidP="005210D4">
      <w:pPr>
        <w:pStyle w:val="Citas"/>
      </w:pPr>
      <w:r w:rsidRPr="00F42CE0">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BE36E5F" w14:textId="77777777" w:rsidR="005210D4" w:rsidRPr="00F42CE0" w:rsidRDefault="005210D4" w:rsidP="005210D4">
      <w:pPr>
        <w:pStyle w:val="Citas"/>
      </w:pPr>
      <w:r w:rsidRPr="00F42CE0">
        <w:t xml:space="preserve">Lo anterior, siempre y cuando no se acredite alguna causal de clasificación, prevista en las leyes o en los tratados internacionales suscritos por el Estado mexicano. </w:t>
      </w:r>
    </w:p>
    <w:p w14:paraId="3F0E2B12" w14:textId="77777777" w:rsidR="005210D4" w:rsidRPr="000F6865" w:rsidRDefault="005210D4" w:rsidP="005210D4">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1D973559" w14:textId="77777777" w:rsidR="005210D4" w:rsidRPr="00F42CE0" w:rsidRDefault="005210D4" w:rsidP="005210D4">
      <w:pPr>
        <w:pStyle w:val="Citas"/>
      </w:pPr>
    </w:p>
    <w:p w14:paraId="4CE648B6"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9803C7E"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079D8777" w14:textId="4BD9B583" w:rsidR="005210D4" w:rsidRPr="000F6865" w:rsidRDefault="005210D4" w:rsidP="005210D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lastRenderedPageBreak/>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sidR="003E59A5">
        <w:rPr>
          <w:rFonts w:ascii="Palatino Linotype" w:eastAsia="Palatino Linotype" w:hAnsi="Palatino Linotype" w:cs="Palatino Linotype"/>
          <w:color w:val="000000"/>
          <w:sz w:val="24"/>
          <w:szCs w:val="24"/>
        </w:rPr>
        <w:t>del</w:t>
      </w:r>
      <w:r w:rsidRPr="009F16AF">
        <w:rPr>
          <w:rFonts w:ascii="Palatino Linotype" w:eastAsia="Palatino Linotype" w:hAnsi="Palatino Linotype" w:cs="Palatino Linotype"/>
          <w:b/>
          <w:bCs/>
          <w:color w:val="000000"/>
          <w:sz w:val="24"/>
          <w:szCs w:val="24"/>
        </w:rPr>
        <w:t xml:space="preserve"> Recurrente.</w:t>
      </w:r>
    </w:p>
    <w:p w14:paraId="4162A3F7" w14:textId="77777777" w:rsidR="005210D4" w:rsidRDefault="005210D4" w:rsidP="005210D4">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3851B4D3" w14:textId="77777777" w:rsidR="005210D4" w:rsidRDefault="005210D4" w:rsidP="004416EB">
      <w:pPr>
        <w:spacing w:line="360" w:lineRule="auto"/>
        <w:jc w:val="both"/>
        <w:rPr>
          <w:rFonts w:ascii="Palatino Linotype" w:hAnsi="Palatino Linotype"/>
          <w:bCs/>
          <w:iCs/>
          <w:sz w:val="24"/>
          <w:szCs w:val="24"/>
        </w:rPr>
      </w:pPr>
    </w:p>
    <w:p w14:paraId="37D45D23" w14:textId="4D1A0AB4" w:rsidR="00436C81" w:rsidRPr="00436C81" w:rsidRDefault="005210D4" w:rsidP="005210D4">
      <w:pPr>
        <w:tabs>
          <w:tab w:val="left" w:pos="709"/>
        </w:tabs>
        <w:spacing w:before="240" w:line="360" w:lineRule="auto"/>
        <w:ind w:right="51"/>
        <w:jc w:val="both"/>
        <w:rPr>
          <w:rFonts w:ascii="Palatino Linotype" w:eastAsia="Times New Roman" w:hAnsi="Palatino Linotype" w:cs="Arial"/>
          <w:bCs/>
          <w:sz w:val="24"/>
          <w:szCs w:val="24"/>
          <w:lang w:eastAsia="es-ES"/>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REVOCA</w:t>
      </w:r>
      <w:r w:rsidR="00436C81">
        <w:rPr>
          <w:rFonts w:ascii="Palatino Linotype" w:eastAsia="Times New Roman" w:hAnsi="Palatino Linotype" w:cs="Arial"/>
          <w:b/>
          <w:sz w:val="24"/>
          <w:szCs w:val="24"/>
          <w:lang w:eastAsia="es-ES"/>
        </w:rPr>
        <w:t xml:space="preserve">N </w:t>
      </w:r>
      <w:r w:rsidR="00436C81">
        <w:rPr>
          <w:rFonts w:ascii="Palatino Linotype" w:eastAsia="Times New Roman" w:hAnsi="Palatino Linotype" w:cs="Arial"/>
          <w:bCs/>
          <w:sz w:val="24"/>
          <w:szCs w:val="24"/>
          <w:lang w:eastAsia="es-ES"/>
        </w:rPr>
        <w:t xml:space="preserve">las respuestas a las solicitudes de </w:t>
      </w:r>
      <w:r w:rsidR="00436C81">
        <w:rPr>
          <w:rFonts w:ascii="Palatino Linotype" w:eastAsia="Times New Roman" w:hAnsi="Palatino Linotype" w:cs="Arial"/>
          <w:bCs/>
          <w:sz w:val="24"/>
          <w:szCs w:val="24"/>
          <w:lang w:eastAsia="es-ES"/>
        </w:rPr>
        <w:lastRenderedPageBreak/>
        <w:t xml:space="preserve">información </w:t>
      </w:r>
      <w:r w:rsidR="00436C81">
        <w:rPr>
          <w:rFonts w:ascii="Palatino Linotype" w:eastAsia="Times New Roman" w:hAnsi="Palatino Linotype" w:cs="Arial"/>
          <w:b/>
          <w:sz w:val="24"/>
          <w:szCs w:val="24"/>
          <w:lang w:eastAsia="es-ES"/>
        </w:rPr>
        <w:t xml:space="preserve">00201/TEMAMATL/IP/2024 y 00200/TEMAMATL/IP/2024, </w:t>
      </w:r>
      <w:r w:rsidR="00436C81">
        <w:rPr>
          <w:rFonts w:ascii="Palatino Linotype" w:eastAsia="Times New Roman" w:hAnsi="Palatino Linotype" w:cs="Arial"/>
          <w:bCs/>
          <w:sz w:val="24"/>
          <w:szCs w:val="24"/>
          <w:lang w:eastAsia="es-ES"/>
        </w:rPr>
        <w:t xml:space="preserve">que han sido materia del presente fallo. </w:t>
      </w:r>
    </w:p>
    <w:p w14:paraId="3126850E" w14:textId="449C2207" w:rsidR="00002DDA" w:rsidRDefault="005210D4" w:rsidP="003D19C8">
      <w:pPr>
        <w:pStyle w:val="Prrafodelista"/>
        <w:spacing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3573D0BE" w14:textId="77777777" w:rsidR="003D19C8" w:rsidRPr="003D19C8" w:rsidRDefault="003D19C8" w:rsidP="003D19C8">
      <w:pPr>
        <w:pStyle w:val="Prrafodelista"/>
        <w:spacing w:line="360" w:lineRule="auto"/>
        <w:ind w:left="0"/>
        <w:jc w:val="both"/>
        <w:rPr>
          <w:rFonts w:ascii="Palatino Linotype" w:hAnsi="Palatino Linotype"/>
        </w:rPr>
      </w:pPr>
    </w:p>
    <w:bookmarkEnd w:id="2"/>
    <w:p w14:paraId="779BFA6E" w14:textId="77777777" w:rsidR="009104CA" w:rsidRDefault="009104CA" w:rsidP="003D19C8">
      <w:pPr>
        <w:spacing w:after="0" w:line="360" w:lineRule="auto"/>
        <w:jc w:val="center"/>
        <w:rPr>
          <w:rFonts w:ascii="Palatino Linotype" w:eastAsia="Times New Roman" w:hAnsi="Palatino Linotype"/>
          <w:b/>
          <w:bCs/>
          <w:spacing w:val="60"/>
          <w:sz w:val="28"/>
          <w:szCs w:val="24"/>
          <w:lang w:val="es-ES_tradnl"/>
        </w:rPr>
      </w:pPr>
      <w:r w:rsidRPr="003D19C8">
        <w:rPr>
          <w:rFonts w:ascii="Palatino Linotype" w:eastAsia="Times New Roman" w:hAnsi="Palatino Linotype"/>
          <w:b/>
          <w:bCs/>
          <w:spacing w:val="60"/>
          <w:sz w:val="28"/>
          <w:szCs w:val="24"/>
          <w:lang w:val="es-ES_tradnl"/>
        </w:rPr>
        <w:t>SE    RESUELVE</w:t>
      </w:r>
    </w:p>
    <w:p w14:paraId="2E235455" w14:textId="77777777" w:rsidR="003D19C8" w:rsidRPr="003D19C8" w:rsidRDefault="003D19C8" w:rsidP="003D19C8">
      <w:pPr>
        <w:spacing w:after="0" w:line="360" w:lineRule="auto"/>
        <w:jc w:val="center"/>
        <w:rPr>
          <w:rFonts w:ascii="Palatino Linotype" w:eastAsia="Times New Roman" w:hAnsi="Palatino Linotype"/>
          <w:b/>
          <w:bCs/>
          <w:spacing w:val="60"/>
          <w:sz w:val="28"/>
          <w:szCs w:val="24"/>
          <w:lang w:val="es-ES_tradnl"/>
        </w:rPr>
      </w:pPr>
    </w:p>
    <w:p w14:paraId="1D848AD9" w14:textId="0A0270A8" w:rsidR="005210D4" w:rsidRDefault="009104CA" w:rsidP="003D19C8">
      <w:pPr>
        <w:pStyle w:val="Prrafodelista"/>
        <w:spacing w:line="360" w:lineRule="auto"/>
        <w:ind w:left="0"/>
        <w:jc w:val="both"/>
        <w:rPr>
          <w:rFonts w:ascii="Palatino Linotype" w:hAnsi="Palatino Linotype" w:cs="Arial"/>
          <w:b/>
        </w:rPr>
      </w:pPr>
      <w:r w:rsidRPr="00D62F3F">
        <w:rPr>
          <w:rFonts w:ascii="Palatino Linotype" w:hAnsi="Palatino Linotype" w:cs="Arial"/>
          <w:b/>
          <w:sz w:val="28"/>
          <w:szCs w:val="28"/>
          <w:lang w:val="es-ES_tradnl"/>
        </w:rPr>
        <w:t>PRIMERO.</w:t>
      </w:r>
      <w:r w:rsidRPr="00413327">
        <w:rPr>
          <w:rFonts w:ascii="Palatino Linotype" w:hAnsi="Palatino Linotype" w:cs="Arial"/>
          <w:lang w:val="es-ES_tradnl"/>
        </w:rPr>
        <w:t xml:space="preserve"> </w:t>
      </w:r>
      <w:r w:rsidRPr="00413327">
        <w:rPr>
          <w:rFonts w:ascii="Palatino Linotype" w:hAnsi="Palatino Linotype" w:cs="Arial"/>
        </w:rPr>
        <w:t xml:space="preserve">Se </w:t>
      </w:r>
      <w:r w:rsidRPr="00413327">
        <w:rPr>
          <w:rFonts w:ascii="Palatino Linotype" w:hAnsi="Palatino Linotype" w:cs="Arial"/>
          <w:b/>
        </w:rPr>
        <w:t>REVOCA</w:t>
      </w:r>
      <w:r w:rsidR="00436C81">
        <w:rPr>
          <w:rFonts w:ascii="Palatino Linotype" w:hAnsi="Palatino Linotype" w:cs="Arial"/>
          <w:b/>
        </w:rPr>
        <w:t>N</w:t>
      </w:r>
      <w:r w:rsidR="005210D4">
        <w:rPr>
          <w:rFonts w:ascii="Palatino Linotype" w:hAnsi="Palatino Linotype" w:cs="Arial"/>
          <w:b/>
        </w:rPr>
        <w:t xml:space="preserve"> </w:t>
      </w:r>
      <w:r w:rsidR="00936565">
        <w:rPr>
          <w:rFonts w:ascii="Palatino Linotype" w:hAnsi="Palatino Linotype" w:cs="Arial"/>
          <w:bCs/>
        </w:rPr>
        <w:t>la</w:t>
      </w:r>
      <w:r w:rsidR="00436C81">
        <w:rPr>
          <w:rFonts w:ascii="Palatino Linotype" w:hAnsi="Palatino Linotype" w:cs="Arial"/>
          <w:bCs/>
        </w:rPr>
        <w:t>s</w:t>
      </w:r>
      <w:r w:rsidR="00936565">
        <w:rPr>
          <w:rFonts w:ascii="Palatino Linotype" w:hAnsi="Palatino Linotype" w:cs="Arial"/>
          <w:bCs/>
        </w:rPr>
        <w:t xml:space="preserve"> respuesta</w:t>
      </w:r>
      <w:r w:rsidR="00436C81">
        <w:rPr>
          <w:rFonts w:ascii="Palatino Linotype" w:hAnsi="Palatino Linotype" w:cs="Arial"/>
          <w:bCs/>
        </w:rPr>
        <w:t>s</w:t>
      </w:r>
      <w:r w:rsidR="00936565">
        <w:rPr>
          <w:rFonts w:ascii="Palatino Linotype" w:hAnsi="Palatino Linotype" w:cs="Arial"/>
          <w:bCs/>
        </w:rPr>
        <w:t xml:space="preserve"> entregada</w:t>
      </w:r>
      <w:r w:rsidR="00436C81">
        <w:rPr>
          <w:rFonts w:ascii="Palatino Linotype" w:hAnsi="Palatino Linotype" w:cs="Arial"/>
          <w:bCs/>
        </w:rPr>
        <w:t>s</w:t>
      </w:r>
      <w:r w:rsidR="00936565">
        <w:rPr>
          <w:rFonts w:ascii="Palatino Linotype" w:hAnsi="Palatino Linotype" w:cs="Arial"/>
          <w:bCs/>
        </w:rPr>
        <w:t xml:space="preserve"> por </w:t>
      </w:r>
      <w:r w:rsidR="00936565">
        <w:rPr>
          <w:rFonts w:ascii="Palatino Linotype" w:hAnsi="Palatino Linotype" w:cs="Arial"/>
          <w:b/>
        </w:rPr>
        <w:t xml:space="preserve">EL SUJETO OBLIGADO, </w:t>
      </w:r>
      <w:r w:rsidR="00936565">
        <w:rPr>
          <w:rFonts w:ascii="Palatino Linotype" w:hAnsi="Palatino Linotype" w:cs="Arial"/>
          <w:bCs/>
        </w:rPr>
        <w:t>a la</w:t>
      </w:r>
      <w:r w:rsidR="00436C81">
        <w:rPr>
          <w:rFonts w:ascii="Palatino Linotype" w:hAnsi="Palatino Linotype" w:cs="Arial"/>
          <w:bCs/>
        </w:rPr>
        <w:t>s</w:t>
      </w:r>
      <w:r w:rsidR="00936565">
        <w:rPr>
          <w:rFonts w:ascii="Palatino Linotype" w:hAnsi="Palatino Linotype" w:cs="Arial"/>
          <w:bCs/>
        </w:rPr>
        <w:t xml:space="preserve"> solicitud</w:t>
      </w:r>
      <w:r w:rsidR="00436C81">
        <w:rPr>
          <w:rFonts w:ascii="Palatino Linotype" w:hAnsi="Palatino Linotype" w:cs="Arial"/>
          <w:bCs/>
        </w:rPr>
        <w:t>es</w:t>
      </w:r>
      <w:r w:rsidR="00936565">
        <w:rPr>
          <w:rFonts w:ascii="Palatino Linotype" w:hAnsi="Palatino Linotype" w:cs="Arial"/>
          <w:bCs/>
        </w:rPr>
        <w:t xml:space="preserve"> de información número</w:t>
      </w:r>
      <w:r w:rsidR="00436C81">
        <w:rPr>
          <w:rFonts w:ascii="Palatino Linotype" w:hAnsi="Palatino Linotype" w:cs="Arial"/>
          <w:bCs/>
        </w:rPr>
        <w:t xml:space="preserve">s </w:t>
      </w:r>
      <w:r w:rsidR="00436C81">
        <w:rPr>
          <w:rFonts w:ascii="Palatino Linotype" w:hAnsi="Palatino Linotype" w:cs="Arial"/>
          <w:b/>
        </w:rPr>
        <w:t xml:space="preserve">00201/TEMAMATL/IP/2024 y 00200/TEMAMATL/IP/2024 </w:t>
      </w:r>
      <w:r w:rsidR="00936565">
        <w:rPr>
          <w:rFonts w:ascii="Palatino Linotype" w:hAnsi="Palatino Linotype" w:cs="Arial"/>
          <w:bCs/>
        </w:rPr>
        <w:t xml:space="preserve"> </w:t>
      </w:r>
      <w:r w:rsidR="00936565">
        <w:rPr>
          <w:rFonts w:ascii="Palatino Linotype" w:hAnsi="Palatino Linotype" w:cs="Arial"/>
        </w:rPr>
        <w:t xml:space="preserve">por resultar fundados los motivos de inconformidad que arguye </w:t>
      </w:r>
      <w:r w:rsidR="00936565">
        <w:rPr>
          <w:rFonts w:ascii="Palatino Linotype" w:hAnsi="Palatino Linotype" w:cs="Arial"/>
          <w:b/>
        </w:rPr>
        <w:t xml:space="preserve">EL RECURRENTE, </w:t>
      </w:r>
      <w:r w:rsidR="00936565">
        <w:rPr>
          <w:rFonts w:ascii="Palatino Linotype" w:hAnsi="Palatino Linotype" w:cs="Arial"/>
        </w:rPr>
        <w:t xml:space="preserve">en términos del considerando </w:t>
      </w:r>
      <w:r w:rsidR="00936565">
        <w:rPr>
          <w:rFonts w:ascii="Palatino Linotype" w:hAnsi="Palatino Linotype" w:cs="Arial"/>
          <w:b/>
        </w:rPr>
        <w:t xml:space="preserve">CUARTO </w:t>
      </w:r>
      <w:r w:rsidR="00936565">
        <w:rPr>
          <w:rFonts w:ascii="Palatino Linotype" w:hAnsi="Palatino Linotype" w:cs="Arial"/>
        </w:rPr>
        <w:t>de la presente resolución.</w:t>
      </w:r>
    </w:p>
    <w:p w14:paraId="2EB40FC5" w14:textId="77777777" w:rsidR="005210D4" w:rsidRDefault="005210D4" w:rsidP="003D19C8">
      <w:pPr>
        <w:spacing w:after="0" w:line="360" w:lineRule="auto"/>
        <w:jc w:val="both"/>
        <w:rPr>
          <w:rFonts w:ascii="Palatino Linotype" w:hAnsi="Palatino Linotype" w:cs="Arial"/>
          <w:b/>
          <w:sz w:val="24"/>
          <w:szCs w:val="24"/>
        </w:rPr>
      </w:pPr>
    </w:p>
    <w:p w14:paraId="69E59774" w14:textId="6D74597C" w:rsidR="009104CA" w:rsidRDefault="009104CA" w:rsidP="003D19C8">
      <w:pPr>
        <w:autoSpaceDE w:val="0"/>
        <w:autoSpaceDN w:val="0"/>
        <w:adjustRightInd w:val="0"/>
        <w:spacing w:after="0" w:line="360" w:lineRule="auto"/>
        <w:ind w:right="49"/>
        <w:jc w:val="both"/>
        <w:rPr>
          <w:rFonts w:ascii="Palatino Linotype" w:hAnsi="Palatino Linotype" w:cs="Arial"/>
          <w:sz w:val="24"/>
          <w:szCs w:val="24"/>
        </w:rPr>
      </w:pPr>
      <w:r w:rsidRPr="00570FBC">
        <w:rPr>
          <w:rFonts w:ascii="Palatino Linotype" w:hAnsi="Palatino Linotype" w:cs="Arial"/>
          <w:b/>
          <w:sz w:val="28"/>
          <w:szCs w:val="28"/>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w:t>
      </w:r>
      <w:r w:rsidR="008863CF">
        <w:rPr>
          <w:rFonts w:ascii="Palatino Linotype" w:hAnsi="Palatino Linotype" w:cs="Arial"/>
          <w:sz w:val="24"/>
          <w:szCs w:val="24"/>
        </w:rPr>
        <w:t>hacer entrega</w:t>
      </w:r>
      <w:r w:rsidRPr="00AF17B1">
        <w:rPr>
          <w:rFonts w:ascii="Palatino Linotype" w:hAnsi="Palatino Linotype" w:cs="Arial"/>
          <w:sz w:val="24"/>
          <w:szCs w:val="24"/>
        </w:rPr>
        <w:t xml:space="preserve"> al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003E59A5">
        <w:rPr>
          <w:rFonts w:ascii="Palatino Linotype" w:hAnsi="Palatino Linotype" w:cs="Arial"/>
          <w:sz w:val="24"/>
          <w:szCs w:val="24"/>
        </w:rPr>
        <w:t>en versión pública de ser procedente</w:t>
      </w:r>
      <w:r w:rsidR="002F7973" w:rsidRPr="002F7973">
        <w:rPr>
          <w:rFonts w:ascii="Palatino Linotype" w:hAnsi="Palatino Linotype" w:cs="Arial"/>
          <w:sz w:val="24"/>
          <w:szCs w:val="24"/>
        </w:rPr>
        <w:t>,</w:t>
      </w:r>
      <w:r w:rsidR="002F7973">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de lo siguiente:</w:t>
      </w:r>
    </w:p>
    <w:p w14:paraId="0B957AC1" w14:textId="77777777" w:rsidR="00936565" w:rsidRPr="00936565" w:rsidRDefault="00936565" w:rsidP="003D19C8">
      <w:pPr>
        <w:pStyle w:val="Prrafodelista"/>
        <w:numPr>
          <w:ilvl w:val="0"/>
          <w:numId w:val="11"/>
        </w:numPr>
        <w:autoSpaceDE w:val="0"/>
        <w:autoSpaceDN w:val="0"/>
        <w:adjustRightInd w:val="0"/>
        <w:spacing w:before="240" w:line="360" w:lineRule="auto"/>
        <w:jc w:val="both"/>
        <w:rPr>
          <w:rFonts w:ascii="Palatino Linotype" w:hAnsi="Palatino Linotype"/>
          <w:i/>
          <w:iCs/>
          <w:color w:val="000000"/>
        </w:rPr>
      </w:pPr>
      <w:r w:rsidRPr="00936565">
        <w:rPr>
          <w:rFonts w:ascii="Palatino Linotype" w:hAnsi="Palatino Linotype"/>
          <w:i/>
          <w:iCs/>
          <w:color w:val="000000"/>
        </w:rPr>
        <w:t>El o los documentos donde conste el listado de directores de todas las áreas, adscritos al dos de septiembre de dos mil veinticuatro.</w:t>
      </w:r>
    </w:p>
    <w:p w14:paraId="00930334" w14:textId="77777777" w:rsidR="00936565" w:rsidRPr="00936565" w:rsidRDefault="00936565" w:rsidP="003D19C8">
      <w:pPr>
        <w:pStyle w:val="Prrafodelista"/>
        <w:numPr>
          <w:ilvl w:val="0"/>
          <w:numId w:val="11"/>
        </w:numPr>
        <w:autoSpaceDE w:val="0"/>
        <w:autoSpaceDN w:val="0"/>
        <w:adjustRightInd w:val="0"/>
        <w:spacing w:before="240" w:line="360" w:lineRule="auto"/>
        <w:jc w:val="both"/>
        <w:rPr>
          <w:rFonts w:ascii="Palatino Linotype" w:hAnsi="Palatino Linotype"/>
          <w:i/>
          <w:iCs/>
          <w:color w:val="000000"/>
        </w:rPr>
      </w:pPr>
      <w:r w:rsidRPr="00936565">
        <w:rPr>
          <w:rFonts w:ascii="Palatino Linotype" w:hAnsi="Palatino Linotype"/>
          <w:i/>
          <w:iCs/>
          <w:color w:val="000000"/>
        </w:rPr>
        <w:t xml:space="preserve">El o los documentos donde conste el cumplimiento de requisitos respecto de los directores de todas las áreas, adscritos al dos de septiembre de dos mil veinticuatro.   </w:t>
      </w:r>
    </w:p>
    <w:p w14:paraId="64866B4E" w14:textId="443A6FC7" w:rsidR="00936565" w:rsidRPr="00954516" w:rsidRDefault="00936565" w:rsidP="00436C81">
      <w:pPr>
        <w:pStyle w:val="Citas"/>
        <w:rPr>
          <w:lang w:val="es-ES"/>
        </w:rPr>
      </w:pPr>
      <w:r w:rsidRPr="00954516">
        <w:rPr>
          <w:lang w:val="es-ES"/>
        </w:rPr>
        <w:lastRenderedPageBreak/>
        <w:t>Con relación al punto 2, que será materia de cumplimiento, para el caso de no contar con título profesional del tesorero municipal, director de turismo</w:t>
      </w:r>
      <w:r w:rsidR="00161874">
        <w:rPr>
          <w:lang w:val="es-ES"/>
        </w:rPr>
        <w:t>, contralor</w:t>
      </w:r>
      <w:r w:rsidRPr="00954516">
        <w:rPr>
          <w:lang w:val="es-ES"/>
        </w:rPr>
        <w:t xml:space="preserve"> y director de la dirección de mujeres</w:t>
      </w:r>
      <w:r w:rsidR="00436C81">
        <w:rPr>
          <w:lang w:val="es-ES"/>
        </w:rPr>
        <w:t xml:space="preserve"> y/o equivalentes</w:t>
      </w:r>
      <w:r w:rsidRPr="00954516">
        <w:rPr>
          <w:lang w:val="es-ES"/>
        </w:rPr>
        <w:t xml:space="preserve">, resulta procedente la entrega de la declaratoria de inexistencia. </w:t>
      </w:r>
    </w:p>
    <w:p w14:paraId="13CF8820" w14:textId="449F0DDF" w:rsidR="00936565" w:rsidRDefault="00954516" w:rsidP="00436C81">
      <w:pPr>
        <w:pStyle w:val="Citas"/>
        <w:rPr>
          <w:iCs/>
        </w:rPr>
      </w:pPr>
      <w:r w:rsidRPr="00954516">
        <w:t>Respecto del punto 2, e</w:t>
      </w:r>
      <w:r w:rsidR="00936565" w:rsidRPr="00954516">
        <w:t>n</w:t>
      </w:r>
      <w:r w:rsidR="00936565" w:rsidRPr="00954516">
        <w:rPr>
          <w:rFonts w:eastAsia="Palatino Linotype" w:cs="Palatino Linotype"/>
        </w:rPr>
        <w:t xml:space="preserve"> caso de no contar con la certificación de los directores, por no haber trascurrido el término de 6 meses a que hace alusión el artículo 32 fracción IV de la Ley Orgánica Municipal, deberá hacer del conocimiento dicha circunstancia de manera motivada del Recurrente, </w:t>
      </w:r>
      <w:r w:rsidR="00936565" w:rsidRPr="00954516">
        <w:t>en términos de lo señalado por el segundo párrafo del artículo 19 de la Ley en la materia</w:t>
      </w:r>
      <w:r w:rsidR="00936565" w:rsidRPr="00954516">
        <w:rPr>
          <w:rFonts w:eastAsia="Palatino Linotype" w:cs="Palatino Linotype"/>
        </w:rPr>
        <w:t xml:space="preserve">; de no ser así y ya haber transcurrido dicho término deberá emitir el acuerdo de </w:t>
      </w:r>
      <w:r w:rsidR="00936565" w:rsidRPr="00954516">
        <w:t>inexistencia en términos del artículo 19 párrafo tercero, 169 y 170 de la Ley de Transparencia y Acceso a la Información Pública del Estado de México y Municipios</w:t>
      </w:r>
      <w:r w:rsidR="00936565" w:rsidRPr="005210D4">
        <w:rPr>
          <w:iCs/>
        </w:rPr>
        <w:t>.</w:t>
      </w:r>
    </w:p>
    <w:p w14:paraId="344649F5" w14:textId="77777777" w:rsidR="00954516" w:rsidRPr="00954516" w:rsidRDefault="00954516" w:rsidP="00436C81">
      <w:pPr>
        <w:pStyle w:val="Citas"/>
      </w:pPr>
      <w:r w:rsidRPr="00954516">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así como la clasificación de los documentos considerados como confidenciales en su totalidad, y se ponga a disposición del recurrente.</w:t>
      </w:r>
    </w:p>
    <w:p w14:paraId="197DDFB3" w14:textId="77777777" w:rsidR="00954516" w:rsidRPr="00954516" w:rsidRDefault="00954516" w:rsidP="00936565">
      <w:pPr>
        <w:spacing w:line="360" w:lineRule="auto"/>
        <w:contextualSpacing/>
        <w:jc w:val="both"/>
        <w:rPr>
          <w:rFonts w:ascii="Palatino Linotype" w:hAnsi="Palatino Linotype" w:cs="Arial"/>
          <w:iCs/>
          <w:sz w:val="24"/>
          <w:szCs w:val="24"/>
          <w:lang w:val="es-ES"/>
        </w:rPr>
      </w:pPr>
    </w:p>
    <w:p w14:paraId="3EBCD00E" w14:textId="77777777" w:rsidR="009104CA" w:rsidRPr="00DC5E29" w:rsidRDefault="009104CA" w:rsidP="009104CA">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xml:space="preserve">, para que conforme al artículo 186 último párrafo, 189 segundo párrafo y 194 de la Ley de Transparencia y Acceso a la Información Pública del Estado de México y Municipios; </w:t>
      </w:r>
      <w:r w:rsidRPr="00DC5E29">
        <w:rPr>
          <w:rFonts w:ascii="Palatino Linotype" w:hAnsi="Palatino Linotype" w:cs="Tahoma"/>
        </w:rPr>
        <w:lastRenderedPageBreak/>
        <w:t>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4A7293">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867E94" w14:textId="77777777" w:rsidR="009104CA" w:rsidRPr="00DC5E29" w:rsidRDefault="009104CA" w:rsidP="009104CA">
      <w:pPr>
        <w:spacing w:line="360" w:lineRule="auto"/>
        <w:ind w:right="-595"/>
        <w:jc w:val="both"/>
        <w:rPr>
          <w:rFonts w:ascii="Palatino Linotype" w:hAnsi="Palatino Linotype" w:cs="Tahoma"/>
          <w:bCs/>
        </w:rPr>
      </w:pPr>
    </w:p>
    <w:p w14:paraId="7EB2D744" w14:textId="77777777" w:rsidR="009104CA" w:rsidRDefault="009104CA" w:rsidP="009104CA">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2DF9544D" w14:textId="77777777" w:rsidR="009104CA" w:rsidRDefault="009104CA" w:rsidP="009104CA">
      <w:pPr>
        <w:autoSpaceDE w:val="0"/>
        <w:autoSpaceDN w:val="0"/>
        <w:adjustRightInd w:val="0"/>
        <w:spacing w:line="360" w:lineRule="auto"/>
        <w:jc w:val="both"/>
        <w:rPr>
          <w:rFonts w:ascii="Palatino Linotype" w:hAnsi="Palatino Linotype" w:cs="Arial"/>
        </w:rPr>
      </w:pPr>
    </w:p>
    <w:p w14:paraId="5123C68B" w14:textId="77777777" w:rsidR="009104CA" w:rsidRDefault="009104CA" w:rsidP="009104CA">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23C5B23" w14:textId="77777777" w:rsidR="009104CA" w:rsidRPr="009104CA" w:rsidRDefault="009104CA" w:rsidP="006C1237">
      <w:pPr>
        <w:pStyle w:val="Sinespaciado"/>
        <w:spacing w:line="360" w:lineRule="auto"/>
        <w:jc w:val="both"/>
        <w:rPr>
          <w:rFonts w:ascii="Palatino Linotype" w:hAnsi="Palatino Linotype" w:cs="Arial"/>
        </w:rPr>
      </w:pPr>
    </w:p>
    <w:p w14:paraId="6B007139" w14:textId="49793CF6" w:rsidR="00210D86" w:rsidRDefault="00210D86" w:rsidP="00210D86">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w:t>
      </w:r>
      <w:r w:rsidR="00D06AAF">
        <w:rPr>
          <w:rFonts w:ascii="Palatino Linotype" w:hAnsi="Palatino Linotype" w:cs="Arial"/>
        </w:rPr>
        <w:t xml:space="preserve"> (EMITIENDO VOTO PARTICULAR)</w:t>
      </w:r>
      <w:r w:rsidRPr="007C3942">
        <w:rPr>
          <w:rFonts w:ascii="Palatino Linotype" w:hAnsi="Palatino Linotype" w:cs="Arial"/>
        </w:rPr>
        <w:t>, MARÍA DEL ROSARIO MEJÍA AYALA</w:t>
      </w:r>
      <w:r w:rsidR="00D06AAF">
        <w:rPr>
          <w:rFonts w:ascii="Palatino Linotype" w:hAnsi="Palatino Linotype" w:cs="Arial"/>
        </w:rPr>
        <w:t xml:space="preserve"> (EMITIENDO VOTO PARTICULAR), </w:t>
      </w:r>
      <w:r w:rsidRPr="007C3942">
        <w:rPr>
          <w:rFonts w:ascii="Palatino Linotype" w:hAnsi="Palatino Linotype" w:cs="Arial"/>
        </w:rPr>
        <w:t xml:space="preserve">SHARON CRISTINA </w:t>
      </w:r>
      <w:r w:rsidRPr="007C3942">
        <w:rPr>
          <w:rFonts w:ascii="Palatino Linotype" w:hAnsi="Palatino Linotype" w:cs="Arial"/>
        </w:rPr>
        <w:lastRenderedPageBreak/>
        <w:t>MORALES MARTÍNEZ, LUIS GUSTAVO PARRA NORIEGA</w:t>
      </w:r>
      <w:r w:rsidR="00D06AAF">
        <w:rPr>
          <w:rFonts w:ascii="Palatino Linotype" w:hAnsi="Palatino Linotype" w:cs="Arial"/>
        </w:rPr>
        <w:t xml:space="preserve"> (EMITIENDO VOTO PARTICULAR) </w:t>
      </w:r>
      <w:r w:rsidRPr="007C3942">
        <w:rPr>
          <w:rFonts w:ascii="Palatino Linotype" w:hAnsi="Palatino Linotype" w:cs="Arial"/>
        </w:rPr>
        <w:t xml:space="preserve"> Y GUADALUPE RAMÍREZ PEÑA</w:t>
      </w:r>
      <w:r w:rsidR="00D06AAF">
        <w:rPr>
          <w:rFonts w:ascii="Palatino Linotype" w:hAnsi="Palatino Linotype" w:cs="Arial"/>
        </w:rPr>
        <w:t xml:space="preserve"> (EMITIENDO VOTO PARTICULAR)</w:t>
      </w:r>
      <w:r w:rsidRPr="007C3942">
        <w:rPr>
          <w:rFonts w:ascii="Palatino Linotype" w:hAnsi="Palatino Linotype" w:cs="Arial"/>
        </w:rPr>
        <w:t xml:space="preserve">, EN LA </w:t>
      </w:r>
      <w:r>
        <w:rPr>
          <w:rFonts w:ascii="Palatino Linotype" w:hAnsi="Palatino Linotype" w:cs="Arial"/>
        </w:rPr>
        <w:t xml:space="preserve">TRIGÉSIMA </w:t>
      </w:r>
      <w:r w:rsidR="002F7973">
        <w:rPr>
          <w:rFonts w:ascii="Palatino Linotype" w:hAnsi="Palatino Linotype" w:cs="Arial"/>
        </w:rPr>
        <w:t xml:space="preserve">SÉPTIMA </w:t>
      </w:r>
      <w:r w:rsidRPr="007C3942">
        <w:rPr>
          <w:rFonts w:ascii="Palatino Linotype" w:hAnsi="Palatino Linotype" w:cs="Arial"/>
        </w:rPr>
        <w:t>SESIÓN ORDINARIA CELEBRADA EL</w:t>
      </w:r>
      <w:r>
        <w:rPr>
          <w:rFonts w:ascii="Palatino Linotype" w:hAnsi="Palatino Linotype" w:cs="Arial"/>
        </w:rPr>
        <w:t xml:space="preserve"> </w:t>
      </w:r>
      <w:r w:rsidR="002F7973">
        <w:rPr>
          <w:rFonts w:ascii="Palatino Linotype" w:hAnsi="Palatino Linotype" w:cs="Arial"/>
        </w:rPr>
        <w:t xml:space="preserve">DIECISÉIS DE OCTUBRE </w:t>
      </w:r>
      <w:r>
        <w:rPr>
          <w:rFonts w:ascii="Palatino Linotype" w:hAnsi="Palatino Linotype" w:cs="Arial"/>
        </w:rPr>
        <w:t>DE DOS MIL VEINTICUATRO</w:t>
      </w:r>
      <w:r w:rsidRPr="007C3942">
        <w:rPr>
          <w:rFonts w:ascii="Palatino Linotype" w:hAnsi="Palatino Linotype" w:cs="Arial"/>
        </w:rPr>
        <w:t xml:space="preserve">, ANTE EL SECRETARIO TÉCNICO DEL PLENO, ALEXIS TAPIA RAMÍREZ. </w:t>
      </w:r>
    </w:p>
    <w:p w14:paraId="1301B5AA" w14:textId="0E550B78" w:rsidR="00154C5F" w:rsidRDefault="00210D86" w:rsidP="00210D86">
      <w:pPr>
        <w:spacing w:before="240" w:line="360" w:lineRule="auto"/>
        <w:jc w:val="both"/>
        <w:rPr>
          <w:rFonts w:ascii="Palatino Linotype" w:hAnsi="Palatino Linotype"/>
          <w:sz w:val="24"/>
          <w:szCs w:val="24"/>
        </w:rPr>
      </w:pPr>
      <w:r w:rsidRPr="004A7293">
        <w:rPr>
          <w:rFonts w:ascii="Palatino Linotype" w:hAnsi="Palatino Linotype" w:cs="Arial"/>
          <w:sz w:val="20"/>
          <w:szCs w:val="20"/>
        </w:rPr>
        <w:t>CCR/JCMA</w:t>
      </w:r>
    </w:p>
    <w:p w14:paraId="7263DA32" w14:textId="531D0D7C" w:rsidR="003E3072" w:rsidRDefault="00436C81" w:rsidP="00B436EA">
      <w:pPr>
        <w:spacing w:before="24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671552" behindDoc="0" locked="0" layoutInCell="1" allowOverlap="1" wp14:anchorId="1C9B2604" wp14:editId="490B1676">
                <wp:simplePos x="0" y="0"/>
                <wp:positionH relativeFrom="margin">
                  <wp:align>right</wp:align>
                </wp:positionH>
                <wp:positionV relativeFrom="paragraph">
                  <wp:posOffset>60326</wp:posOffset>
                </wp:positionV>
                <wp:extent cx="5734050" cy="5505450"/>
                <wp:effectExtent l="0" t="0" r="19050" b="19050"/>
                <wp:wrapNone/>
                <wp:docPr id="619221853" name="Straight Connector 2"/>
                <wp:cNvGraphicFramePr/>
                <a:graphic xmlns:a="http://schemas.openxmlformats.org/drawingml/2006/main">
                  <a:graphicData uri="http://schemas.microsoft.com/office/word/2010/wordprocessingShape">
                    <wps:wsp>
                      <wps:cNvCnPr/>
                      <wps:spPr>
                        <a:xfrm>
                          <a:off x="0" y="0"/>
                          <a:ext cx="5734050" cy="5505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E223A" id="Straight Connector 2"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4.75pt" to="851.8pt,4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" strokecolor="#5b9bd5 [3204]" strokeweight=".5pt">
                <v:stroke joinstyle="miter"/>
                <w10:wrap anchorx="margin"/>
              </v:line>
            </w:pict>
          </mc:Fallback>
        </mc:AlternateContent>
      </w: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p w14:paraId="064A2ED6" w14:textId="77777777" w:rsidR="00E86CD6" w:rsidRDefault="00E86CD6" w:rsidP="00B436EA">
      <w:pPr>
        <w:spacing w:before="240" w:line="360" w:lineRule="auto"/>
        <w:jc w:val="both"/>
        <w:rPr>
          <w:rFonts w:ascii="Palatino Linotype" w:hAnsi="Palatino Linotype"/>
          <w:sz w:val="24"/>
          <w:szCs w:val="24"/>
        </w:rPr>
      </w:pPr>
    </w:p>
    <w:p w14:paraId="26DBF8BB" w14:textId="77777777" w:rsidR="00E86CD6" w:rsidRDefault="00E86CD6" w:rsidP="00B436EA">
      <w:pPr>
        <w:spacing w:before="240" w:line="360" w:lineRule="auto"/>
        <w:jc w:val="both"/>
        <w:rPr>
          <w:rFonts w:ascii="Palatino Linotype" w:hAnsi="Palatino Linotype"/>
          <w:sz w:val="24"/>
          <w:szCs w:val="24"/>
        </w:rPr>
      </w:pPr>
    </w:p>
    <w:p w14:paraId="79AC26F4" w14:textId="77777777" w:rsidR="00E86CD6" w:rsidRDefault="00E86CD6" w:rsidP="00B436EA">
      <w:pPr>
        <w:spacing w:before="240" w:line="360" w:lineRule="auto"/>
        <w:jc w:val="both"/>
        <w:rPr>
          <w:rFonts w:ascii="Palatino Linotype" w:hAnsi="Palatino Linotype"/>
          <w:sz w:val="24"/>
          <w:szCs w:val="24"/>
        </w:rPr>
      </w:pPr>
    </w:p>
    <w:p w14:paraId="5144FC1C" w14:textId="77777777" w:rsidR="00E86CD6" w:rsidRDefault="00E86CD6" w:rsidP="00B436EA">
      <w:pPr>
        <w:spacing w:before="240" w:line="360" w:lineRule="auto"/>
        <w:jc w:val="both"/>
        <w:rPr>
          <w:rFonts w:ascii="Palatino Linotype" w:hAnsi="Palatino Linotype"/>
          <w:sz w:val="24"/>
          <w:szCs w:val="24"/>
        </w:rPr>
      </w:pPr>
    </w:p>
    <w:sectPr w:rsidR="00E86CD6" w:rsidSect="00FB4AAD">
      <w:headerReference w:type="default" r:id="rId34"/>
      <w:footerReference w:type="default" r:id="rId35"/>
      <w:headerReference w:type="first" r:id="rId36"/>
      <w:footerReference w:type="first" r:id="rId3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8A378" w14:textId="77777777" w:rsidR="00674A69" w:rsidRDefault="00674A69" w:rsidP="006168E4">
      <w:pPr>
        <w:spacing w:after="0" w:line="240" w:lineRule="auto"/>
      </w:pPr>
      <w:r>
        <w:separator/>
      </w:r>
    </w:p>
  </w:endnote>
  <w:endnote w:type="continuationSeparator" w:id="0">
    <w:p w14:paraId="47F723CD" w14:textId="77777777" w:rsidR="00674A69" w:rsidRDefault="00674A69"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E2D6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E2D6B">
      <w:rPr>
        <w:rFonts w:ascii="Palatino Linotype" w:hAnsi="Palatino Linotype"/>
        <w:bCs/>
        <w:noProof/>
        <w:sz w:val="20"/>
      </w:rPr>
      <w:t>61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E2D6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E2D6B">
      <w:rPr>
        <w:rFonts w:ascii="Palatino Linotype" w:hAnsi="Palatino Linotype"/>
        <w:bCs/>
        <w:noProof/>
        <w:sz w:val="20"/>
      </w:rPr>
      <w:t>61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A8D20" w14:textId="77777777" w:rsidR="00674A69" w:rsidRDefault="00674A69" w:rsidP="006168E4">
      <w:pPr>
        <w:spacing w:after="0" w:line="240" w:lineRule="auto"/>
      </w:pPr>
      <w:r>
        <w:separator/>
      </w:r>
    </w:p>
  </w:footnote>
  <w:footnote w:type="continuationSeparator" w:id="0">
    <w:p w14:paraId="35F7D3AF" w14:textId="77777777" w:rsidR="00674A69" w:rsidRDefault="00674A69" w:rsidP="006168E4">
      <w:pPr>
        <w:spacing w:after="0" w:line="240" w:lineRule="auto"/>
      </w:pPr>
      <w:r>
        <w:continuationSeparator/>
      </w:r>
    </w:p>
  </w:footnote>
  <w:footnote w:id="1">
    <w:p w14:paraId="02F02ADC" w14:textId="77777777" w:rsidR="00D674E4" w:rsidRPr="007822E6" w:rsidRDefault="00D674E4" w:rsidP="00D674E4">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2A8FABC" w14:textId="77777777" w:rsidR="00D674E4" w:rsidRPr="005552A8" w:rsidRDefault="00D674E4" w:rsidP="00D674E4">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5B02DE61" w:rsidR="00C70B4A" w:rsidRPr="00B4142F" w:rsidRDefault="005F1FC1"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05615</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r w:rsidR="008D7E56">
            <w:rPr>
              <w:rFonts w:ascii="Palatino Linotype" w:hAnsi="Palatino Linotype" w:cs="Arial"/>
              <w:bCs/>
              <w:sz w:val="24"/>
              <w:lang w:eastAsia="es-MX"/>
            </w:rPr>
            <w:t>y acumulado</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7D3CA2BE" w:rsidR="00C70B4A" w:rsidRPr="00F06FED" w:rsidRDefault="00D4470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proofErr w:type="spellStart"/>
          <w:r w:rsidR="005F1FC1">
            <w:rPr>
              <w:rFonts w:ascii="Palatino Linotype" w:hAnsi="Palatino Linotype" w:cs="Arial"/>
              <w:szCs w:val="20"/>
            </w:rPr>
            <w:t>Temamatla</w:t>
          </w:r>
          <w:proofErr w:type="spellEnd"/>
          <w:r>
            <w:rPr>
              <w:rFonts w:ascii="Palatino Linotype" w:hAnsi="Palatino Linotype" w:cs="Arial"/>
              <w:szCs w:val="20"/>
            </w:rPr>
            <w:t xml:space="preserve"> </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6748086A"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F1FC1">
            <w:rPr>
              <w:rFonts w:ascii="Palatino Linotype" w:hAnsi="Palatino Linotype" w:cs="Arial"/>
              <w:bCs/>
              <w:sz w:val="24"/>
              <w:lang w:eastAsia="es-MX"/>
            </w:rPr>
            <w:t>5615</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r w:rsidR="008D7E56">
            <w:rPr>
              <w:rFonts w:ascii="Palatino Linotype" w:hAnsi="Palatino Linotype" w:cs="Arial"/>
              <w:bCs/>
              <w:sz w:val="24"/>
              <w:lang w:eastAsia="es-MX"/>
            </w:rPr>
            <w:t>y acumulado</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15B4B8CF" w:rsidR="00C70B4A" w:rsidRPr="00F06FED" w:rsidRDefault="006E2D6B" w:rsidP="00870B18">
          <w:pPr>
            <w:spacing w:after="120" w:line="256" w:lineRule="auto"/>
            <w:ind w:left="637" w:right="214"/>
            <w:jc w:val="both"/>
            <w:rPr>
              <w:rFonts w:ascii="Palatino Linotype" w:hAnsi="Palatino Linotype" w:cs="Arial"/>
            </w:rPr>
          </w:pPr>
          <w:r>
            <w:rPr>
              <w:rFonts w:ascii="Palatino Linotype" w:hAnsi="Palatino Linotype" w:cs="Arial"/>
            </w:rPr>
            <w:t>XXXXXXXXXXXXX</w:t>
          </w:r>
          <w:r w:rsidR="005F1FC1">
            <w:rPr>
              <w:rFonts w:ascii="Palatino Linotype" w:hAnsi="Palatino Linotype" w:cs="Arial"/>
            </w:rPr>
            <w:t xml:space="preserve"> </w:t>
          </w:r>
          <w:r w:rsidR="00D21472">
            <w:rPr>
              <w:rFonts w:ascii="Palatino Linotype" w:hAnsi="Palatino Linotype" w:cs="Arial"/>
            </w:rPr>
            <w:t xml:space="preserve"> </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23B7948" w:rsidR="00C70B4A" w:rsidRDefault="00D44708"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proofErr w:type="spellStart"/>
          <w:r w:rsidR="005F1FC1">
            <w:rPr>
              <w:rFonts w:ascii="Palatino Linotype" w:hAnsi="Palatino Linotype" w:cs="Arial"/>
              <w:szCs w:val="20"/>
            </w:rPr>
            <w:t>Temamatla</w:t>
          </w:r>
          <w:proofErr w:type="spellEnd"/>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4E569C0"/>
    <w:multiLevelType w:val="hybridMultilevel"/>
    <w:tmpl w:val="868E76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D344AB"/>
    <w:multiLevelType w:val="hybridMultilevel"/>
    <w:tmpl w:val="119C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5565B"/>
    <w:multiLevelType w:val="hybridMultilevel"/>
    <w:tmpl w:val="71B0E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ED1039"/>
    <w:multiLevelType w:val="hybridMultilevel"/>
    <w:tmpl w:val="B25E5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F95A80"/>
    <w:multiLevelType w:val="hybridMultilevel"/>
    <w:tmpl w:val="6D8861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852E1E"/>
    <w:multiLevelType w:val="hybridMultilevel"/>
    <w:tmpl w:val="8F460D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5D79AC"/>
    <w:multiLevelType w:val="hybridMultilevel"/>
    <w:tmpl w:val="4154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9"/>
  </w:num>
  <w:num w:numId="7">
    <w:abstractNumId w:val="5"/>
  </w:num>
  <w:num w:numId="8">
    <w:abstractNumId w:val="6"/>
  </w:num>
  <w:num w:numId="9">
    <w:abstractNumId w:val="8"/>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A"/>
    <w:rsid w:val="00002DDF"/>
    <w:rsid w:val="000037E2"/>
    <w:rsid w:val="0000573A"/>
    <w:rsid w:val="000061F8"/>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4199A"/>
    <w:rsid w:val="00045379"/>
    <w:rsid w:val="000461DF"/>
    <w:rsid w:val="00046AD8"/>
    <w:rsid w:val="00054917"/>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7739D"/>
    <w:rsid w:val="00081988"/>
    <w:rsid w:val="000848D6"/>
    <w:rsid w:val="0008582E"/>
    <w:rsid w:val="00090AFC"/>
    <w:rsid w:val="00091552"/>
    <w:rsid w:val="00091C3A"/>
    <w:rsid w:val="00093E92"/>
    <w:rsid w:val="000A157B"/>
    <w:rsid w:val="000A2D37"/>
    <w:rsid w:val="000A3486"/>
    <w:rsid w:val="000A44C7"/>
    <w:rsid w:val="000A4DD1"/>
    <w:rsid w:val="000A6313"/>
    <w:rsid w:val="000A70F8"/>
    <w:rsid w:val="000A71F4"/>
    <w:rsid w:val="000A733E"/>
    <w:rsid w:val="000A79DA"/>
    <w:rsid w:val="000B0B8F"/>
    <w:rsid w:val="000B1702"/>
    <w:rsid w:val="000B4B51"/>
    <w:rsid w:val="000B6FE9"/>
    <w:rsid w:val="000B7158"/>
    <w:rsid w:val="000B7E6D"/>
    <w:rsid w:val="000C1477"/>
    <w:rsid w:val="000C309C"/>
    <w:rsid w:val="000C3E68"/>
    <w:rsid w:val="000C5B8B"/>
    <w:rsid w:val="000C7274"/>
    <w:rsid w:val="000C797E"/>
    <w:rsid w:val="000C7E6E"/>
    <w:rsid w:val="000D0BC5"/>
    <w:rsid w:val="000D1B55"/>
    <w:rsid w:val="000D1EB2"/>
    <w:rsid w:val="000D28F9"/>
    <w:rsid w:val="000D3C75"/>
    <w:rsid w:val="000D53CB"/>
    <w:rsid w:val="000D6116"/>
    <w:rsid w:val="000D7A3D"/>
    <w:rsid w:val="000D7B04"/>
    <w:rsid w:val="000E0557"/>
    <w:rsid w:val="000E05FE"/>
    <w:rsid w:val="000E0655"/>
    <w:rsid w:val="000E0A71"/>
    <w:rsid w:val="000E686B"/>
    <w:rsid w:val="000F110B"/>
    <w:rsid w:val="000F3EDB"/>
    <w:rsid w:val="000F3EE7"/>
    <w:rsid w:val="000F68B1"/>
    <w:rsid w:val="000F6F19"/>
    <w:rsid w:val="000F7AC2"/>
    <w:rsid w:val="00100E19"/>
    <w:rsid w:val="00102B4F"/>
    <w:rsid w:val="00102D69"/>
    <w:rsid w:val="00110EDB"/>
    <w:rsid w:val="00111DCD"/>
    <w:rsid w:val="001128AF"/>
    <w:rsid w:val="001129EB"/>
    <w:rsid w:val="0011365C"/>
    <w:rsid w:val="00114CF9"/>
    <w:rsid w:val="0011564C"/>
    <w:rsid w:val="001167AA"/>
    <w:rsid w:val="00117157"/>
    <w:rsid w:val="00123898"/>
    <w:rsid w:val="00124855"/>
    <w:rsid w:val="00124EC6"/>
    <w:rsid w:val="001254F5"/>
    <w:rsid w:val="001336D3"/>
    <w:rsid w:val="00133C5A"/>
    <w:rsid w:val="001364AA"/>
    <w:rsid w:val="00136FAD"/>
    <w:rsid w:val="00140579"/>
    <w:rsid w:val="00143D5F"/>
    <w:rsid w:val="00144B4A"/>
    <w:rsid w:val="00146F0A"/>
    <w:rsid w:val="00146FFD"/>
    <w:rsid w:val="00147B36"/>
    <w:rsid w:val="00150196"/>
    <w:rsid w:val="00150A4C"/>
    <w:rsid w:val="00150D1D"/>
    <w:rsid w:val="00152124"/>
    <w:rsid w:val="00152C2B"/>
    <w:rsid w:val="0015308E"/>
    <w:rsid w:val="00153323"/>
    <w:rsid w:val="001542FC"/>
    <w:rsid w:val="00154C5F"/>
    <w:rsid w:val="00161874"/>
    <w:rsid w:val="001646D0"/>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8782B"/>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08D"/>
    <w:rsid w:val="001E1D18"/>
    <w:rsid w:val="001E2C0F"/>
    <w:rsid w:val="001E668A"/>
    <w:rsid w:val="001E6A63"/>
    <w:rsid w:val="001E7204"/>
    <w:rsid w:val="001F0A4F"/>
    <w:rsid w:val="001F2A14"/>
    <w:rsid w:val="001F3F0E"/>
    <w:rsid w:val="001F4ADC"/>
    <w:rsid w:val="001F4D04"/>
    <w:rsid w:val="001F51DC"/>
    <w:rsid w:val="001F5597"/>
    <w:rsid w:val="001F71ED"/>
    <w:rsid w:val="0020194E"/>
    <w:rsid w:val="00203D3A"/>
    <w:rsid w:val="00203FF3"/>
    <w:rsid w:val="002044B4"/>
    <w:rsid w:val="00207086"/>
    <w:rsid w:val="00210B06"/>
    <w:rsid w:val="00210D86"/>
    <w:rsid w:val="00211D60"/>
    <w:rsid w:val="0021501E"/>
    <w:rsid w:val="0021546A"/>
    <w:rsid w:val="0021572A"/>
    <w:rsid w:val="002203CC"/>
    <w:rsid w:val="002205C0"/>
    <w:rsid w:val="00223916"/>
    <w:rsid w:val="0022494A"/>
    <w:rsid w:val="00225507"/>
    <w:rsid w:val="00232223"/>
    <w:rsid w:val="0023373D"/>
    <w:rsid w:val="00233D7E"/>
    <w:rsid w:val="00233EF7"/>
    <w:rsid w:val="0023423C"/>
    <w:rsid w:val="00237F4F"/>
    <w:rsid w:val="0024112D"/>
    <w:rsid w:val="002428BA"/>
    <w:rsid w:val="00244177"/>
    <w:rsid w:val="00245B5F"/>
    <w:rsid w:val="002537F1"/>
    <w:rsid w:val="00254477"/>
    <w:rsid w:val="00257337"/>
    <w:rsid w:val="002577FE"/>
    <w:rsid w:val="0025780C"/>
    <w:rsid w:val="002609D8"/>
    <w:rsid w:val="00262BB2"/>
    <w:rsid w:val="00262CBE"/>
    <w:rsid w:val="002642D3"/>
    <w:rsid w:val="002646EF"/>
    <w:rsid w:val="00266AE6"/>
    <w:rsid w:val="00267C18"/>
    <w:rsid w:val="0027225D"/>
    <w:rsid w:val="00273D0E"/>
    <w:rsid w:val="00275AF9"/>
    <w:rsid w:val="002764D6"/>
    <w:rsid w:val="00280B8B"/>
    <w:rsid w:val="00282235"/>
    <w:rsid w:val="0029026C"/>
    <w:rsid w:val="00292350"/>
    <w:rsid w:val="00292DC0"/>
    <w:rsid w:val="00293C29"/>
    <w:rsid w:val="00294345"/>
    <w:rsid w:val="00297EF9"/>
    <w:rsid w:val="002A0E16"/>
    <w:rsid w:val="002A2034"/>
    <w:rsid w:val="002A24F4"/>
    <w:rsid w:val="002A38BF"/>
    <w:rsid w:val="002A429A"/>
    <w:rsid w:val="002A597E"/>
    <w:rsid w:val="002A7069"/>
    <w:rsid w:val="002A76AC"/>
    <w:rsid w:val="002A79A4"/>
    <w:rsid w:val="002B0FB9"/>
    <w:rsid w:val="002B4382"/>
    <w:rsid w:val="002B5DBD"/>
    <w:rsid w:val="002B72F9"/>
    <w:rsid w:val="002B7D92"/>
    <w:rsid w:val="002C498D"/>
    <w:rsid w:val="002C4FE1"/>
    <w:rsid w:val="002C6DA4"/>
    <w:rsid w:val="002C72D2"/>
    <w:rsid w:val="002D1B28"/>
    <w:rsid w:val="002D2F00"/>
    <w:rsid w:val="002D79E2"/>
    <w:rsid w:val="002D7A5D"/>
    <w:rsid w:val="002E0A4A"/>
    <w:rsid w:val="002E0BC4"/>
    <w:rsid w:val="002E21B4"/>
    <w:rsid w:val="002E2D7B"/>
    <w:rsid w:val="002E5E6A"/>
    <w:rsid w:val="002E6FBB"/>
    <w:rsid w:val="002F0FBF"/>
    <w:rsid w:val="002F22FA"/>
    <w:rsid w:val="002F37BE"/>
    <w:rsid w:val="002F41CA"/>
    <w:rsid w:val="002F4C6A"/>
    <w:rsid w:val="002F527C"/>
    <w:rsid w:val="002F70F6"/>
    <w:rsid w:val="002F7973"/>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189B"/>
    <w:rsid w:val="0033580E"/>
    <w:rsid w:val="00337F09"/>
    <w:rsid w:val="00343D1E"/>
    <w:rsid w:val="0035054D"/>
    <w:rsid w:val="00353779"/>
    <w:rsid w:val="00354258"/>
    <w:rsid w:val="00355593"/>
    <w:rsid w:val="00357548"/>
    <w:rsid w:val="00357E0E"/>
    <w:rsid w:val="003601B2"/>
    <w:rsid w:val="00360249"/>
    <w:rsid w:val="00361098"/>
    <w:rsid w:val="00361B9C"/>
    <w:rsid w:val="00361D89"/>
    <w:rsid w:val="00367265"/>
    <w:rsid w:val="003672FB"/>
    <w:rsid w:val="00370588"/>
    <w:rsid w:val="00370797"/>
    <w:rsid w:val="003707FE"/>
    <w:rsid w:val="00370C79"/>
    <w:rsid w:val="003712F3"/>
    <w:rsid w:val="00372A32"/>
    <w:rsid w:val="00372D3E"/>
    <w:rsid w:val="00374549"/>
    <w:rsid w:val="003746C6"/>
    <w:rsid w:val="00375763"/>
    <w:rsid w:val="00375BEA"/>
    <w:rsid w:val="003768BF"/>
    <w:rsid w:val="00376CEC"/>
    <w:rsid w:val="00380758"/>
    <w:rsid w:val="003810B1"/>
    <w:rsid w:val="003815E5"/>
    <w:rsid w:val="00381E2B"/>
    <w:rsid w:val="003821A1"/>
    <w:rsid w:val="003838B4"/>
    <w:rsid w:val="00384029"/>
    <w:rsid w:val="00385BBD"/>
    <w:rsid w:val="00387929"/>
    <w:rsid w:val="0039027A"/>
    <w:rsid w:val="00390988"/>
    <w:rsid w:val="0039347E"/>
    <w:rsid w:val="00393D5B"/>
    <w:rsid w:val="0039460D"/>
    <w:rsid w:val="00394873"/>
    <w:rsid w:val="00394A1E"/>
    <w:rsid w:val="003968C7"/>
    <w:rsid w:val="003A1A3B"/>
    <w:rsid w:val="003A2246"/>
    <w:rsid w:val="003A2658"/>
    <w:rsid w:val="003A4CF6"/>
    <w:rsid w:val="003A61F9"/>
    <w:rsid w:val="003A6975"/>
    <w:rsid w:val="003B0793"/>
    <w:rsid w:val="003B0D66"/>
    <w:rsid w:val="003B11BA"/>
    <w:rsid w:val="003B1208"/>
    <w:rsid w:val="003B1E88"/>
    <w:rsid w:val="003B5E96"/>
    <w:rsid w:val="003B6792"/>
    <w:rsid w:val="003C0DF8"/>
    <w:rsid w:val="003C394C"/>
    <w:rsid w:val="003C3F7B"/>
    <w:rsid w:val="003C5243"/>
    <w:rsid w:val="003C53ED"/>
    <w:rsid w:val="003D0B7E"/>
    <w:rsid w:val="003D19C8"/>
    <w:rsid w:val="003D4E0F"/>
    <w:rsid w:val="003D5C0A"/>
    <w:rsid w:val="003E16E1"/>
    <w:rsid w:val="003E1871"/>
    <w:rsid w:val="003E3072"/>
    <w:rsid w:val="003E504D"/>
    <w:rsid w:val="003E57CB"/>
    <w:rsid w:val="003E59A5"/>
    <w:rsid w:val="003E656A"/>
    <w:rsid w:val="003E78B7"/>
    <w:rsid w:val="003F0230"/>
    <w:rsid w:val="003F094C"/>
    <w:rsid w:val="003F3016"/>
    <w:rsid w:val="003F38EB"/>
    <w:rsid w:val="003F3AB2"/>
    <w:rsid w:val="003F76E5"/>
    <w:rsid w:val="003F7952"/>
    <w:rsid w:val="004012CF"/>
    <w:rsid w:val="004015EE"/>
    <w:rsid w:val="00402FF3"/>
    <w:rsid w:val="00403320"/>
    <w:rsid w:val="0040360C"/>
    <w:rsid w:val="0040673A"/>
    <w:rsid w:val="004069EB"/>
    <w:rsid w:val="00410ACB"/>
    <w:rsid w:val="00411E6F"/>
    <w:rsid w:val="00412600"/>
    <w:rsid w:val="004150FE"/>
    <w:rsid w:val="00415E43"/>
    <w:rsid w:val="00415FC1"/>
    <w:rsid w:val="004207A7"/>
    <w:rsid w:val="004210A8"/>
    <w:rsid w:val="00421D09"/>
    <w:rsid w:val="00422ED2"/>
    <w:rsid w:val="00423213"/>
    <w:rsid w:val="0042416D"/>
    <w:rsid w:val="00424487"/>
    <w:rsid w:val="00424EA1"/>
    <w:rsid w:val="00435290"/>
    <w:rsid w:val="00436802"/>
    <w:rsid w:val="00436C81"/>
    <w:rsid w:val="00437E68"/>
    <w:rsid w:val="004416EB"/>
    <w:rsid w:val="00442E45"/>
    <w:rsid w:val="00443AD4"/>
    <w:rsid w:val="0044438E"/>
    <w:rsid w:val="00445C0F"/>
    <w:rsid w:val="00446A26"/>
    <w:rsid w:val="00451448"/>
    <w:rsid w:val="004516EB"/>
    <w:rsid w:val="004529B6"/>
    <w:rsid w:val="00453DBD"/>
    <w:rsid w:val="00454699"/>
    <w:rsid w:val="00454CE6"/>
    <w:rsid w:val="00455463"/>
    <w:rsid w:val="00455C68"/>
    <w:rsid w:val="00456076"/>
    <w:rsid w:val="00457305"/>
    <w:rsid w:val="00457850"/>
    <w:rsid w:val="00457955"/>
    <w:rsid w:val="0046179C"/>
    <w:rsid w:val="00462881"/>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975F9"/>
    <w:rsid w:val="004A0517"/>
    <w:rsid w:val="004A114B"/>
    <w:rsid w:val="004A2363"/>
    <w:rsid w:val="004A290F"/>
    <w:rsid w:val="004A55D8"/>
    <w:rsid w:val="004A5FFD"/>
    <w:rsid w:val="004A6A62"/>
    <w:rsid w:val="004A7CE2"/>
    <w:rsid w:val="004B031A"/>
    <w:rsid w:val="004B1236"/>
    <w:rsid w:val="004B1ACE"/>
    <w:rsid w:val="004B234F"/>
    <w:rsid w:val="004B34F6"/>
    <w:rsid w:val="004B353F"/>
    <w:rsid w:val="004B4657"/>
    <w:rsid w:val="004B59BB"/>
    <w:rsid w:val="004B5CCC"/>
    <w:rsid w:val="004C117E"/>
    <w:rsid w:val="004C2845"/>
    <w:rsid w:val="004C3081"/>
    <w:rsid w:val="004C5149"/>
    <w:rsid w:val="004C7961"/>
    <w:rsid w:val="004D0658"/>
    <w:rsid w:val="004D08EB"/>
    <w:rsid w:val="004D09FF"/>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4F7AEE"/>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0D4"/>
    <w:rsid w:val="00521E57"/>
    <w:rsid w:val="005230F0"/>
    <w:rsid w:val="00525093"/>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513"/>
    <w:rsid w:val="00557F13"/>
    <w:rsid w:val="00561ABC"/>
    <w:rsid w:val="00562653"/>
    <w:rsid w:val="00563CE8"/>
    <w:rsid w:val="00564AD9"/>
    <w:rsid w:val="005662E2"/>
    <w:rsid w:val="00571389"/>
    <w:rsid w:val="005733EB"/>
    <w:rsid w:val="005734C5"/>
    <w:rsid w:val="00573F5C"/>
    <w:rsid w:val="0057453A"/>
    <w:rsid w:val="00575268"/>
    <w:rsid w:val="00576D51"/>
    <w:rsid w:val="0057792B"/>
    <w:rsid w:val="00580802"/>
    <w:rsid w:val="00581A22"/>
    <w:rsid w:val="00585EC8"/>
    <w:rsid w:val="005860CB"/>
    <w:rsid w:val="005867D2"/>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4EBE"/>
    <w:rsid w:val="005A5C79"/>
    <w:rsid w:val="005A6D57"/>
    <w:rsid w:val="005A71FD"/>
    <w:rsid w:val="005A7D4F"/>
    <w:rsid w:val="005B1F52"/>
    <w:rsid w:val="005B5840"/>
    <w:rsid w:val="005B595E"/>
    <w:rsid w:val="005B5B70"/>
    <w:rsid w:val="005B5F05"/>
    <w:rsid w:val="005B71EE"/>
    <w:rsid w:val="005C06AA"/>
    <w:rsid w:val="005C17BF"/>
    <w:rsid w:val="005C2E14"/>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0B24"/>
    <w:rsid w:val="005F1744"/>
    <w:rsid w:val="005F1FC1"/>
    <w:rsid w:val="005F2047"/>
    <w:rsid w:val="005F2C76"/>
    <w:rsid w:val="005F57F0"/>
    <w:rsid w:val="00601010"/>
    <w:rsid w:val="006028C9"/>
    <w:rsid w:val="0060676C"/>
    <w:rsid w:val="00606B79"/>
    <w:rsid w:val="00606FC5"/>
    <w:rsid w:val="0060721D"/>
    <w:rsid w:val="0061042F"/>
    <w:rsid w:val="00614EE0"/>
    <w:rsid w:val="006168E4"/>
    <w:rsid w:val="00621F47"/>
    <w:rsid w:val="00622359"/>
    <w:rsid w:val="0062421A"/>
    <w:rsid w:val="0062497C"/>
    <w:rsid w:val="00625200"/>
    <w:rsid w:val="006255AA"/>
    <w:rsid w:val="00630846"/>
    <w:rsid w:val="00631806"/>
    <w:rsid w:val="00636FD7"/>
    <w:rsid w:val="00637512"/>
    <w:rsid w:val="00640EE4"/>
    <w:rsid w:val="006448CE"/>
    <w:rsid w:val="006456FA"/>
    <w:rsid w:val="006466F5"/>
    <w:rsid w:val="00646C24"/>
    <w:rsid w:val="00652BC5"/>
    <w:rsid w:val="00654F5E"/>
    <w:rsid w:val="00656060"/>
    <w:rsid w:val="00661753"/>
    <w:rsid w:val="0066216F"/>
    <w:rsid w:val="00663A16"/>
    <w:rsid w:val="00663C3F"/>
    <w:rsid w:val="00664B05"/>
    <w:rsid w:val="006654F6"/>
    <w:rsid w:val="00666CAF"/>
    <w:rsid w:val="00674A69"/>
    <w:rsid w:val="00675390"/>
    <w:rsid w:val="00676CAA"/>
    <w:rsid w:val="006802CF"/>
    <w:rsid w:val="006827AB"/>
    <w:rsid w:val="006831E4"/>
    <w:rsid w:val="00683B62"/>
    <w:rsid w:val="006848B7"/>
    <w:rsid w:val="006868A7"/>
    <w:rsid w:val="00690791"/>
    <w:rsid w:val="006915EA"/>
    <w:rsid w:val="00694828"/>
    <w:rsid w:val="006A1B2A"/>
    <w:rsid w:val="006A3810"/>
    <w:rsid w:val="006A65EE"/>
    <w:rsid w:val="006A68B8"/>
    <w:rsid w:val="006A6B72"/>
    <w:rsid w:val="006A7CEB"/>
    <w:rsid w:val="006B1953"/>
    <w:rsid w:val="006B1BF1"/>
    <w:rsid w:val="006B20F0"/>
    <w:rsid w:val="006B26E3"/>
    <w:rsid w:val="006B3085"/>
    <w:rsid w:val="006B55D2"/>
    <w:rsid w:val="006B69CF"/>
    <w:rsid w:val="006B7444"/>
    <w:rsid w:val="006C00DA"/>
    <w:rsid w:val="006C0AFD"/>
    <w:rsid w:val="006C1157"/>
    <w:rsid w:val="006C1237"/>
    <w:rsid w:val="006C17FD"/>
    <w:rsid w:val="006C1884"/>
    <w:rsid w:val="006C28CA"/>
    <w:rsid w:val="006C350D"/>
    <w:rsid w:val="006C5E56"/>
    <w:rsid w:val="006C66E4"/>
    <w:rsid w:val="006D23FC"/>
    <w:rsid w:val="006D643D"/>
    <w:rsid w:val="006E063C"/>
    <w:rsid w:val="006E0EA3"/>
    <w:rsid w:val="006E2A11"/>
    <w:rsid w:val="006E2D6B"/>
    <w:rsid w:val="006E3851"/>
    <w:rsid w:val="006E53FF"/>
    <w:rsid w:val="006E7EEE"/>
    <w:rsid w:val="006F1167"/>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2931"/>
    <w:rsid w:val="00743FE4"/>
    <w:rsid w:val="00744287"/>
    <w:rsid w:val="00744EEF"/>
    <w:rsid w:val="00745444"/>
    <w:rsid w:val="00745D76"/>
    <w:rsid w:val="00747109"/>
    <w:rsid w:val="00747487"/>
    <w:rsid w:val="007505EB"/>
    <w:rsid w:val="00751B4B"/>
    <w:rsid w:val="00752A9A"/>
    <w:rsid w:val="00753B42"/>
    <w:rsid w:val="00754CAE"/>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0C2D"/>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07B4"/>
    <w:rsid w:val="007E207F"/>
    <w:rsid w:val="007E319E"/>
    <w:rsid w:val="007E4FA1"/>
    <w:rsid w:val="007E7B07"/>
    <w:rsid w:val="007E7BAB"/>
    <w:rsid w:val="007E7DCE"/>
    <w:rsid w:val="007E7FA9"/>
    <w:rsid w:val="007F20AC"/>
    <w:rsid w:val="007F403A"/>
    <w:rsid w:val="007F4BB2"/>
    <w:rsid w:val="007F53B7"/>
    <w:rsid w:val="007F6623"/>
    <w:rsid w:val="00802C56"/>
    <w:rsid w:val="008053CE"/>
    <w:rsid w:val="008056BC"/>
    <w:rsid w:val="00806EE9"/>
    <w:rsid w:val="00807750"/>
    <w:rsid w:val="00807E35"/>
    <w:rsid w:val="00811205"/>
    <w:rsid w:val="00812C48"/>
    <w:rsid w:val="00814097"/>
    <w:rsid w:val="008146F9"/>
    <w:rsid w:val="00814727"/>
    <w:rsid w:val="00814D7C"/>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70FC"/>
    <w:rsid w:val="00877C8E"/>
    <w:rsid w:val="00884054"/>
    <w:rsid w:val="008863CF"/>
    <w:rsid w:val="0089079B"/>
    <w:rsid w:val="00890B7A"/>
    <w:rsid w:val="00890C62"/>
    <w:rsid w:val="0089173B"/>
    <w:rsid w:val="008939E8"/>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1FD5"/>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D7E56"/>
    <w:rsid w:val="008E012F"/>
    <w:rsid w:val="008E6375"/>
    <w:rsid w:val="008E66BA"/>
    <w:rsid w:val="008E6B54"/>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CA"/>
    <w:rsid w:val="009104D1"/>
    <w:rsid w:val="00911863"/>
    <w:rsid w:val="00913133"/>
    <w:rsid w:val="0091317A"/>
    <w:rsid w:val="009131C3"/>
    <w:rsid w:val="0091475B"/>
    <w:rsid w:val="00914DC8"/>
    <w:rsid w:val="00915DB9"/>
    <w:rsid w:val="0092120C"/>
    <w:rsid w:val="00921AC3"/>
    <w:rsid w:val="00921D0C"/>
    <w:rsid w:val="00921DB9"/>
    <w:rsid w:val="0092403D"/>
    <w:rsid w:val="00924E40"/>
    <w:rsid w:val="0092524A"/>
    <w:rsid w:val="00925E60"/>
    <w:rsid w:val="00926C36"/>
    <w:rsid w:val="009304CD"/>
    <w:rsid w:val="00933BEE"/>
    <w:rsid w:val="00934304"/>
    <w:rsid w:val="00934415"/>
    <w:rsid w:val="0093656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4516"/>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81203"/>
    <w:rsid w:val="0098182D"/>
    <w:rsid w:val="00982A98"/>
    <w:rsid w:val="00983DDD"/>
    <w:rsid w:val="0098411C"/>
    <w:rsid w:val="009855E2"/>
    <w:rsid w:val="00987C03"/>
    <w:rsid w:val="00990E3D"/>
    <w:rsid w:val="00992977"/>
    <w:rsid w:val="00992B07"/>
    <w:rsid w:val="0099557F"/>
    <w:rsid w:val="009A148F"/>
    <w:rsid w:val="009A3511"/>
    <w:rsid w:val="009A686F"/>
    <w:rsid w:val="009A7912"/>
    <w:rsid w:val="009B0094"/>
    <w:rsid w:val="009B2777"/>
    <w:rsid w:val="009B28E9"/>
    <w:rsid w:val="009B33A8"/>
    <w:rsid w:val="009B3487"/>
    <w:rsid w:val="009B390A"/>
    <w:rsid w:val="009B42AE"/>
    <w:rsid w:val="009B7C61"/>
    <w:rsid w:val="009C22B1"/>
    <w:rsid w:val="009C3793"/>
    <w:rsid w:val="009C552E"/>
    <w:rsid w:val="009C62BD"/>
    <w:rsid w:val="009C68AC"/>
    <w:rsid w:val="009D26AD"/>
    <w:rsid w:val="009D341C"/>
    <w:rsid w:val="009D349B"/>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2047"/>
    <w:rsid w:val="00A02B9D"/>
    <w:rsid w:val="00A035C0"/>
    <w:rsid w:val="00A036BE"/>
    <w:rsid w:val="00A0575E"/>
    <w:rsid w:val="00A068CE"/>
    <w:rsid w:val="00A06A16"/>
    <w:rsid w:val="00A10F77"/>
    <w:rsid w:val="00A12205"/>
    <w:rsid w:val="00A139AF"/>
    <w:rsid w:val="00A1473D"/>
    <w:rsid w:val="00A17BE7"/>
    <w:rsid w:val="00A20113"/>
    <w:rsid w:val="00A24AA9"/>
    <w:rsid w:val="00A24B74"/>
    <w:rsid w:val="00A3248C"/>
    <w:rsid w:val="00A339E6"/>
    <w:rsid w:val="00A33EF8"/>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44DC"/>
    <w:rsid w:val="00A54E6E"/>
    <w:rsid w:val="00A55818"/>
    <w:rsid w:val="00A56153"/>
    <w:rsid w:val="00A56556"/>
    <w:rsid w:val="00A57056"/>
    <w:rsid w:val="00A5790A"/>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4C5E"/>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052B"/>
    <w:rsid w:val="00AC226E"/>
    <w:rsid w:val="00AC2DE3"/>
    <w:rsid w:val="00AC6EB2"/>
    <w:rsid w:val="00AC722C"/>
    <w:rsid w:val="00AC75C1"/>
    <w:rsid w:val="00AC7906"/>
    <w:rsid w:val="00AD1291"/>
    <w:rsid w:val="00AD134F"/>
    <w:rsid w:val="00AD18E2"/>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11F5"/>
    <w:rsid w:val="00B0749B"/>
    <w:rsid w:val="00B10050"/>
    <w:rsid w:val="00B10A1E"/>
    <w:rsid w:val="00B11866"/>
    <w:rsid w:val="00B11E08"/>
    <w:rsid w:val="00B11F85"/>
    <w:rsid w:val="00B12FF9"/>
    <w:rsid w:val="00B14039"/>
    <w:rsid w:val="00B149FA"/>
    <w:rsid w:val="00B177F4"/>
    <w:rsid w:val="00B22242"/>
    <w:rsid w:val="00B2232C"/>
    <w:rsid w:val="00B2330D"/>
    <w:rsid w:val="00B23384"/>
    <w:rsid w:val="00B25008"/>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24E8"/>
    <w:rsid w:val="00B7280E"/>
    <w:rsid w:val="00B7282C"/>
    <w:rsid w:val="00B73FE9"/>
    <w:rsid w:val="00B76EC1"/>
    <w:rsid w:val="00B7701B"/>
    <w:rsid w:val="00B87D50"/>
    <w:rsid w:val="00B91BCB"/>
    <w:rsid w:val="00B9223B"/>
    <w:rsid w:val="00B94AAC"/>
    <w:rsid w:val="00B94AE7"/>
    <w:rsid w:val="00B953BD"/>
    <w:rsid w:val="00B95905"/>
    <w:rsid w:val="00B95E96"/>
    <w:rsid w:val="00B97286"/>
    <w:rsid w:val="00B97421"/>
    <w:rsid w:val="00BA1B53"/>
    <w:rsid w:val="00BA2A94"/>
    <w:rsid w:val="00BA4D1F"/>
    <w:rsid w:val="00BA5339"/>
    <w:rsid w:val="00BA6226"/>
    <w:rsid w:val="00BA7AD1"/>
    <w:rsid w:val="00BB0F3F"/>
    <w:rsid w:val="00BB1091"/>
    <w:rsid w:val="00BB2250"/>
    <w:rsid w:val="00BB3132"/>
    <w:rsid w:val="00BB5448"/>
    <w:rsid w:val="00BB68CA"/>
    <w:rsid w:val="00BB721B"/>
    <w:rsid w:val="00BC0FDD"/>
    <w:rsid w:val="00BC130D"/>
    <w:rsid w:val="00BC22E0"/>
    <w:rsid w:val="00BC2A46"/>
    <w:rsid w:val="00BC3FA4"/>
    <w:rsid w:val="00BC5BA0"/>
    <w:rsid w:val="00BD004A"/>
    <w:rsid w:val="00BD352C"/>
    <w:rsid w:val="00BD3723"/>
    <w:rsid w:val="00BD5023"/>
    <w:rsid w:val="00BD5133"/>
    <w:rsid w:val="00BD58AB"/>
    <w:rsid w:val="00BE28ED"/>
    <w:rsid w:val="00BE2E30"/>
    <w:rsid w:val="00BE3339"/>
    <w:rsid w:val="00BF1D3A"/>
    <w:rsid w:val="00C008B2"/>
    <w:rsid w:val="00C01059"/>
    <w:rsid w:val="00C0130E"/>
    <w:rsid w:val="00C01ABC"/>
    <w:rsid w:val="00C01E1C"/>
    <w:rsid w:val="00C01F6B"/>
    <w:rsid w:val="00C02A84"/>
    <w:rsid w:val="00C07B2D"/>
    <w:rsid w:val="00C12209"/>
    <w:rsid w:val="00C135B2"/>
    <w:rsid w:val="00C14CD6"/>
    <w:rsid w:val="00C15C47"/>
    <w:rsid w:val="00C16927"/>
    <w:rsid w:val="00C16B5D"/>
    <w:rsid w:val="00C2082E"/>
    <w:rsid w:val="00C20835"/>
    <w:rsid w:val="00C22CC5"/>
    <w:rsid w:val="00C23BE8"/>
    <w:rsid w:val="00C24A09"/>
    <w:rsid w:val="00C24CA5"/>
    <w:rsid w:val="00C25084"/>
    <w:rsid w:val="00C274BE"/>
    <w:rsid w:val="00C274C6"/>
    <w:rsid w:val="00C27A37"/>
    <w:rsid w:val="00C310B6"/>
    <w:rsid w:val="00C321D9"/>
    <w:rsid w:val="00C3330D"/>
    <w:rsid w:val="00C3344C"/>
    <w:rsid w:val="00C34654"/>
    <w:rsid w:val="00C347FE"/>
    <w:rsid w:val="00C357BE"/>
    <w:rsid w:val="00C4006D"/>
    <w:rsid w:val="00C419E1"/>
    <w:rsid w:val="00C4530E"/>
    <w:rsid w:val="00C45C21"/>
    <w:rsid w:val="00C503EB"/>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6A0"/>
    <w:rsid w:val="00C71CD1"/>
    <w:rsid w:val="00C73143"/>
    <w:rsid w:val="00C7338F"/>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4158"/>
    <w:rsid w:val="00CA5334"/>
    <w:rsid w:val="00CA5732"/>
    <w:rsid w:val="00CA6A85"/>
    <w:rsid w:val="00CA6FDA"/>
    <w:rsid w:val="00CB0886"/>
    <w:rsid w:val="00CB2CC0"/>
    <w:rsid w:val="00CB3B6F"/>
    <w:rsid w:val="00CB5099"/>
    <w:rsid w:val="00CC0C13"/>
    <w:rsid w:val="00CC0C5F"/>
    <w:rsid w:val="00CC2F3D"/>
    <w:rsid w:val="00CC4341"/>
    <w:rsid w:val="00CC4CF6"/>
    <w:rsid w:val="00CC51A7"/>
    <w:rsid w:val="00CC5FF3"/>
    <w:rsid w:val="00CC6072"/>
    <w:rsid w:val="00CD1612"/>
    <w:rsid w:val="00CD262A"/>
    <w:rsid w:val="00CD365B"/>
    <w:rsid w:val="00CD4BFA"/>
    <w:rsid w:val="00CD4E49"/>
    <w:rsid w:val="00CE0E72"/>
    <w:rsid w:val="00CE161D"/>
    <w:rsid w:val="00CE2ADF"/>
    <w:rsid w:val="00CE367D"/>
    <w:rsid w:val="00CE3B78"/>
    <w:rsid w:val="00CE4289"/>
    <w:rsid w:val="00CE4560"/>
    <w:rsid w:val="00CE6D6A"/>
    <w:rsid w:val="00CF1C84"/>
    <w:rsid w:val="00CF1D7D"/>
    <w:rsid w:val="00CF45D3"/>
    <w:rsid w:val="00CF51F9"/>
    <w:rsid w:val="00CF6B6C"/>
    <w:rsid w:val="00CF7EA2"/>
    <w:rsid w:val="00D0159B"/>
    <w:rsid w:val="00D04204"/>
    <w:rsid w:val="00D042BB"/>
    <w:rsid w:val="00D05FAE"/>
    <w:rsid w:val="00D06AAF"/>
    <w:rsid w:val="00D06CA0"/>
    <w:rsid w:val="00D0731B"/>
    <w:rsid w:val="00D115BB"/>
    <w:rsid w:val="00D11797"/>
    <w:rsid w:val="00D12C68"/>
    <w:rsid w:val="00D134FB"/>
    <w:rsid w:val="00D14FEC"/>
    <w:rsid w:val="00D15546"/>
    <w:rsid w:val="00D16C97"/>
    <w:rsid w:val="00D1766B"/>
    <w:rsid w:val="00D17789"/>
    <w:rsid w:val="00D20265"/>
    <w:rsid w:val="00D21472"/>
    <w:rsid w:val="00D21565"/>
    <w:rsid w:val="00D2277C"/>
    <w:rsid w:val="00D22F7D"/>
    <w:rsid w:val="00D257C6"/>
    <w:rsid w:val="00D25BEE"/>
    <w:rsid w:val="00D27079"/>
    <w:rsid w:val="00D2737E"/>
    <w:rsid w:val="00D274A9"/>
    <w:rsid w:val="00D302CF"/>
    <w:rsid w:val="00D31397"/>
    <w:rsid w:val="00D31EFF"/>
    <w:rsid w:val="00D32644"/>
    <w:rsid w:val="00D33619"/>
    <w:rsid w:val="00D36C02"/>
    <w:rsid w:val="00D400F4"/>
    <w:rsid w:val="00D43CF1"/>
    <w:rsid w:val="00D44708"/>
    <w:rsid w:val="00D449AE"/>
    <w:rsid w:val="00D477C3"/>
    <w:rsid w:val="00D508EB"/>
    <w:rsid w:val="00D51B89"/>
    <w:rsid w:val="00D52AC7"/>
    <w:rsid w:val="00D54CA9"/>
    <w:rsid w:val="00D54D64"/>
    <w:rsid w:val="00D551A9"/>
    <w:rsid w:val="00D5567D"/>
    <w:rsid w:val="00D55FBE"/>
    <w:rsid w:val="00D604FD"/>
    <w:rsid w:val="00D61241"/>
    <w:rsid w:val="00D6165D"/>
    <w:rsid w:val="00D6283C"/>
    <w:rsid w:val="00D6340F"/>
    <w:rsid w:val="00D6535E"/>
    <w:rsid w:val="00D654EC"/>
    <w:rsid w:val="00D6681B"/>
    <w:rsid w:val="00D66C0C"/>
    <w:rsid w:val="00D674E4"/>
    <w:rsid w:val="00D67F43"/>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2F7"/>
    <w:rsid w:val="00DA0DF2"/>
    <w:rsid w:val="00DA1152"/>
    <w:rsid w:val="00DA3D5F"/>
    <w:rsid w:val="00DA41D7"/>
    <w:rsid w:val="00DA494B"/>
    <w:rsid w:val="00DA4A90"/>
    <w:rsid w:val="00DA58E1"/>
    <w:rsid w:val="00DA5B72"/>
    <w:rsid w:val="00DB0265"/>
    <w:rsid w:val="00DB0CE0"/>
    <w:rsid w:val="00DB4EE4"/>
    <w:rsid w:val="00DB5C0A"/>
    <w:rsid w:val="00DC0220"/>
    <w:rsid w:val="00DC0A85"/>
    <w:rsid w:val="00DC6B33"/>
    <w:rsid w:val="00DC6FF8"/>
    <w:rsid w:val="00DD01FC"/>
    <w:rsid w:val="00DD13E2"/>
    <w:rsid w:val="00DD435C"/>
    <w:rsid w:val="00DE2103"/>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5A1A"/>
    <w:rsid w:val="00E27CDB"/>
    <w:rsid w:val="00E353C6"/>
    <w:rsid w:val="00E371EC"/>
    <w:rsid w:val="00E37B66"/>
    <w:rsid w:val="00E43116"/>
    <w:rsid w:val="00E444DA"/>
    <w:rsid w:val="00E45623"/>
    <w:rsid w:val="00E50179"/>
    <w:rsid w:val="00E50F38"/>
    <w:rsid w:val="00E51A48"/>
    <w:rsid w:val="00E51ACE"/>
    <w:rsid w:val="00E53D3D"/>
    <w:rsid w:val="00E550AA"/>
    <w:rsid w:val="00E571F8"/>
    <w:rsid w:val="00E57E5A"/>
    <w:rsid w:val="00E6173D"/>
    <w:rsid w:val="00E6369C"/>
    <w:rsid w:val="00E63C1D"/>
    <w:rsid w:val="00E64F0A"/>
    <w:rsid w:val="00E67668"/>
    <w:rsid w:val="00E70AEE"/>
    <w:rsid w:val="00E7107E"/>
    <w:rsid w:val="00E71C93"/>
    <w:rsid w:val="00E725D5"/>
    <w:rsid w:val="00E72AE3"/>
    <w:rsid w:val="00E73937"/>
    <w:rsid w:val="00E73B51"/>
    <w:rsid w:val="00E76B98"/>
    <w:rsid w:val="00E76D0D"/>
    <w:rsid w:val="00E8151C"/>
    <w:rsid w:val="00E81A88"/>
    <w:rsid w:val="00E81E9C"/>
    <w:rsid w:val="00E8255A"/>
    <w:rsid w:val="00E82E15"/>
    <w:rsid w:val="00E83A79"/>
    <w:rsid w:val="00E83FE9"/>
    <w:rsid w:val="00E84151"/>
    <w:rsid w:val="00E85A17"/>
    <w:rsid w:val="00E86A1E"/>
    <w:rsid w:val="00E86CD6"/>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02D"/>
    <w:rsid w:val="00EB117B"/>
    <w:rsid w:val="00EB2BEB"/>
    <w:rsid w:val="00EB40D6"/>
    <w:rsid w:val="00EB4222"/>
    <w:rsid w:val="00EB5F75"/>
    <w:rsid w:val="00EB79CD"/>
    <w:rsid w:val="00EC2F75"/>
    <w:rsid w:val="00EC52A5"/>
    <w:rsid w:val="00ED4C91"/>
    <w:rsid w:val="00ED5985"/>
    <w:rsid w:val="00ED7401"/>
    <w:rsid w:val="00EE0648"/>
    <w:rsid w:val="00EE079C"/>
    <w:rsid w:val="00EE0F2E"/>
    <w:rsid w:val="00EE1868"/>
    <w:rsid w:val="00EE2610"/>
    <w:rsid w:val="00EE2A41"/>
    <w:rsid w:val="00EE354B"/>
    <w:rsid w:val="00EE3C1D"/>
    <w:rsid w:val="00EE4C43"/>
    <w:rsid w:val="00EE5F57"/>
    <w:rsid w:val="00EE6EC2"/>
    <w:rsid w:val="00EF0144"/>
    <w:rsid w:val="00EF09FB"/>
    <w:rsid w:val="00EF102E"/>
    <w:rsid w:val="00EF107D"/>
    <w:rsid w:val="00EF1553"/>
    <w:rsid w:val="00EF1925"/>
    <w:rsid w:val="00EF1FAF"/>
    <w:rsid w:val="00EF2489"/>
    <w:rsid w:val="00EF4EF0"/>
    <w:rsid w:val="00EF697A"/>
    <w:rsid w:val="00F003D2"/>
    <w:rsid w:val="00F0128E"/>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3EE1"/>
    <w:rsid w:val="00F440D8"/>
    <w:rsid w:val="00F44A7B"/>
    <w:rsid w:val="00F44FFA"/>
    <w:rsid w:val="00F45B6F"/>
    <w:rsid w:val="00F46BBF"/>
    <w:rsid w:val="00F510DB"/>
    <w:rsid w:val="00F516E3"/>
    <w:rsid w:val="00F53B75"/>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3E8"/>
    <w:rsid w:val="00F858D5"/>
    <w:rsid w:val="00F909A9"/>
    <w:rsid w:val="00F919F5"/>
    <w:rsid w:val="00F91AEE"/>
    <w:rsid w:val="00F979AF"/>
    <w:rsid w:val="00F97C07"/>
    <w:rsid w:val="00FA047C"/>
    <w:rsid w:val="00FA19D2"/>
    <w:rsid w:val="00FA2545"/>
    <w:rsid w:val="00FA2625"/>
    <w:rsid w:val="00FA7EF6"/>
    <w:rsid w:val="00FB2524"/>
    <w:rsid w:val="00FB4AAD"/>
    <w:rsid w:val="00FB4E3D"/>
    <w:rsid w:val="00FB5EBB"/>
    <w:rsid w:val="00FB5F2A"/>
    <w:rsid w:val="00FB6CF8"/>
    <w:rsid w:val="00FC16E9"/>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21A"/>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07739D"/>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6468409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05445688">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aw-npFJ2Hw" TargetMode="External"/><Relationship Id="rId18" Type="http://schemas.openxmlformats.org/officeDocument/2006/relationships/hyperlink" Target="https://legislacion.edomex.gob.mx/sites/legislacion.edomex.gob.mx/files/files/pdf/gct/2022/mayo/may171/may171d.pdf" TargetMode="External"/><Relationship Id="rId26" Type="http://schemas.openxmlformats.org/officeDocument/2006/relationships/hyperlink" Target="https://legislacion.edomex.gob.mx/sites/legislacion.edomex.gob.mx/files/files/pdf/gct/2023/agosto/ago311/ago311e.pdf" TargetMode="External"/><Relationship Id="rId39" Type="http://schemas.openxmlformats.org/officeDocument/2006/relationships/theme" Target="theme/theme1.xml"/><Relationship Id="rId21" Type="http://schemas.openxmlformats.org/officeDocument/2006/relationships/hyperlink" Target="https://legislacion.edomex.gob.mx/sites/legislacion.edomex.gob.mx/files/files/pdf/gct/2022/octubre/oct111/oct111d.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2/enero/ene261/ene261j.pdf" TargetMode="External"/><Relationship Id="rId17" Type="http://schemas.openxmlformats.org/officeDocument/2006/relationships/hyperlink" Target="https://www.infoem.org.mx/" TargetMode="External"/><Relationship Id="rId25" Type="http://schemas.openxmlformats.org/officeDocument/2006/relationships/hyperlink" Target="https://www.infoem.org.mx/"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8_zJWCtA4Ws" TargetMode="External"/><Relationship Id="rId20" Type="http://schemas.openxmlformats.org/officeDocument/2006/relationships/hyperlink" Target="https://www.infoem.org.mx/" TargetMode="External"/><Relationship Id="rId29" Type="http://schemas.openxmlformats.org/officeDocument/2006/relationships/hyperlink" Target="https://legislacion.edomex.gob.mx/sites/legislacion.edomex.gob.mx/files/files/pdf/gct/2024/febrero/feb061/feb061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em.org.mx/" TargetMode="External"/><Relationship Id="rId24" Type="http://schemas.openxmlformats.org/officeDocument/2006/relationships/hyperlink" Target="https://www.youtube.com/watch?v=Oj1fkx-R2eU&amp;list=PLAQyTKf3zBOyhwpkaab4h0uxQsGHhZONX&amp;index=55" TargetMode="External"/><Relationship Id="rId32" Type="http://schemas.openxmlformats.org/officeDocument/2006/relationships/hyperlink" Target="https://legislacion.edomex.gob.mx/sites/legislacion.edomex.gob.mx/files/files/pdf/gct/2024/mayo/may231/may231g.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islacion.edomex.gob.mx/sites/legislacion.edomex.gob.mx/files/files/pdf/gct/2022/febrero/feb141/feb141b.pdf" TargetMode="External"/><Relationship Id="rId23" Type="http://schemas.openxmlformats.org/officeDocument/2006/relationships/hyperlink" Target="https://www.infoem.org.mx/" TargetMode="External"/><Relationship Id="rId28" Type="http://schemas.openxmlformats.org/officeDocument/2006/relationships/hyperlink" Target="https://www.infoem.org.mx/" TargetMode="External"/><Relationship Id="rId36" Type="http://schemas.openxmlformats.org/officeDocument/2006/relationships/header" Target="header2.xml"/><Relationship Id="rId10" Type="http://schemas.openxmlformats.org/officeDocument/2006/relationships/hyperlink" Target="https://www.youtube.com/watch?v=4UVy6672D5g" TargetMode="External"/><Relationship Id="rId19" Type="http://schemas.openxmlformats.org/officeDocument/2006/relationships/hyperlink" Target="https://www.youtube.com/watch?v=qTtGO5ZUd5w" TargetMode="External"/><Relationship Id="rId31" Type="http://schemas.openxmlformats.org/officeDocument/2006/relationships/hyperlink" Target="https://www.infoem.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oem.org.mx/" TargetMode="External"/><Relationship Id="rId22" Type="http://schemas.openxmlformats.org/officeDocument/2006/relationships/hyperlink" Target="https://www.youtube.com/watch?v=W4WDQOHN-jg&amp;list=PLAQyTKf3zBOyhwpkaab4h0uxQsGHhZONX&amp;index=17" TargetMode="External"/><Relationship Id="rId27" Type="http://schemas.openxmlformats.org/officeDocument/2006/relationships/hyperlink" Target="https://www.youtube.com/watch?v=5ck8GlI0_Hc" TargetMode="External"/><Relationship Id="rId30" Type="http://schemas.openxmlformats.org/officeDocument/2006/relationships/hyperlink" Target="https://www.youtube.com/watch?v=PqKet5fmYHs&amp;t=13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B708-0F4E-4340-835A-DBC05D3D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61</Pages>
  <Words>12671</Words>
  <Characters>69696</Characters>
  <Application>Microsoft Office Word</Application>
  <DocSecurity>0</DocSecurity>
  <Lines>580</Lines>
  <Paragraphs>164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61</cp:revision>
  <cp:lastPrinted>2019-11-07T00:56:00Z</cp:lastPrinted>
  <dcterms:created xsi:type="dcterms:W3CDTF">2024-06-10T16:14:00Z</dcterms:created>
  <dcterms:modified xsi:type="dcterms:W3CDTF">2024-10-25T16:28:00Z</dcterms:modified>
</cp:coreProperties>
</file>