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D0A7" w14:textId="62482118" w:rsidR="00833F34" w:rsidRPr="000A4C44" w:rsidRDefault="00833F34" w:rsidP="00833F34">
      <w:pPr>
        <w:tabs>
          <w:tab w:val="left" w:pos="3465"/>
        </w:tabs>
        <w:spacing w:line="360" w:lineRule="auto"/>
        <w:jc w:val="both"/>
        <w:rPr>
          <w:rFonts w:ascii="Palatino Linotype" w:hAnsi="Palatino Linotype"/>
          <w:sz w:val="22"/>
          <w:szCs w:val="22"/>
        </w:rPr>
      </w:pPr>
      <w:r w:rsidRPr="000A4C44">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 fecha tres </w:t>
      </w:r>
      <w:r w:rsidR="00C63E95">
        <w:rPr>
          <w:rFonts w:ascii="Palatino Linotype" w:hAnsi="Palatino Linotype"/>
          <w:sz w:val="22"/>
          <w:szCs w:val="22"/>
        </w:rPr>
        <w:t xml:space="preserve">(03) </w:t>
      </w:r>
      <w:r w:rsidRPr="000A4C44">
        <w:rPr>
          <w:rFonts w:ascii="Palatino Linotype" w:hAnsi="Palatino Linotype"/>
          <w:sz w:val="22"/>
          <w:szCs w:val="22"/>
        </w:rPr>
        <w:t>de octubre de dos mil veinticuatro.</w:t>
      </w:r>
    </w:p>
    <w:p w14:paraId="6546D0A8" w14:textId="77777777" w:rsidR="00833F34" w:rsidRPr="000A4C44" w:rsidRDefault="00833F34" w:rsidP="00833F34">
      <w:pPr>
        <w:tabs>
          <w:tab w:val="left" w:pos="3465"/>
        </w:tabs>
        <w:spacing w:line="360" w:lineRule="auto"/>
        <w:jc w:val="both"/>
        <w:rPr>
          <w:rFonts w:ascii="Palatino Linotype" w:hAnsi="Palatino Linotype"/>
          <w:sz w:val="22"/>
          <w:szCs w:val="22"/>
        </w:rPr>
      </w:pPr>
    </w:p>
    <w:p w14:paraId="6546D0A9" w14:textId="219BCEDF" w:rsidR="00833F34" w:rsidRPr="000A4C44" w:rsidRDefault="00833F34" w:rsidP="00833F34">
      <w:pPr>
        <w:spacing w:line="360" w:lineRule="auto"/>
        <w:jc w:val="both"/>
        <w:rPr>
          <w:rFonts w:ascii="Palatino Linotype" w:hAnsi="Palatino Linotype"/>
          <w:sz w:val="22"/>
          <w:szCs w:val="22"/>
        </w:rPr>
      </w:pPr>
      <w:r w:rsidRPr="000A4C44">
        <w:rPr>
          <w:rFonts w:ascii="Palatino Linotype" w:hAnsi="Palatino Linotype"/>
          <w:b/>
          <w:sz w:val="22"/>
          <w:szCs w:val="22"/>
        </w:rPr>
        <w:t>VISTO</w:t>
      </w:r>
      <w:r w:rsidRPr="000A4C44">
        <w:rPr>
          <w:rFonts w:ascii="Palatino Linotype" w:hAnsi="Palatino Linotype"/>
          <w:sz w:val="22"/>
          <w:szCs w:val="22"/>
        </w:rPr>
        <w:t xml:space="preserve"> el expediente electrónico formado con motivo del recurso de revisión </w:t>
      </w:r>
      <w:r w:rsidRPr="000A4C44">
        <w:rPr>
          <w:rFonts w:ascii="Palatino Linotype" w:hAnsi="Palatino Linotype"/>
          <w:b/>
          <w:sz w:val="22"/>
          <w:szCs w:val="22"/>
        </w:rPr>
        <w:t>02243/INFOEM/IP/RR/2024</w:t>
      </w:r>
      <w:r w:rsidRPr="000A4C44">
        <w:rPr>
          <w:rFonts w:ascii="Palatino Linotype" w:hAnsi="Palatino Linotype"/>
          <w:sz w:val="22"/>
          <w:szCs w:val="22"/>
        </w:rPr>
        <w:t>,</w:t>
      </w:r>
      <w:r w:rsidRPr="000A4C44">
        <w:rPr>
          <w:rFonts w:ascii="Palatino Linotype" w:hAnsi="Palatino Linotype" w:cs="Arial"/>
          <w:b/>
          <w:bCs/>
          <w:sz w:val="22"/>
          <w:szCs w:val="22"/>
        </w:rPr>
        <w:t xml:space="preserve"> </w:t>
      </w:r>
      <w:r w:rsidRPr="000A4C44">
        <w:rPr>
          <w:rFonts w:ascii="Palatino Linotype" w:hAnsi="Palatino Linotype"/>
          <w:sz w:val="22"/>
          <w:szCs w:val="22"/>
        </w:rPr>
        <w:t xml:space="preserve">promovido por </w:t>
      </w:r>
      <w:r w:rsidR="00AC04CA">
        <w:rPr>
          <w:rFonts w:ascii="Palatino Linotype" w:hAnsi="Palatino Linotype"/>
          <w:b/>
          <w:sz w:val="22"/>
          <w:szCs w:val="22"/>
        </w:rPr>
        <w:t>XXX XXX</w:t>
      </w:r>
      <w:r w:rsidRPr="000A4C44">
        <w:rPr>
          <w:rFonts w:ascii="Palatino Linotype" w:hAnsi="Palatino Linotype"/>
          <w:b/>
          <w:sz w:val="22"/>
          <w:szCs w:val="22"/>
        </w:rPr>
        <w:t>,</w:t>
      </w:r>
      <w:r w:rsidRPr="000A4C44">
        <w:rPr>
          <w:rFonts w:ascii="Palatino Linotype" w:hAnsi="Palatino Linotype"/>
          <w:sz w:val="22"/>
          <w:szCs w:val="22"/>
        </w:rPr>
        <w:t xml:space="preserve"> a quien en lo sucesivo se le identificará como </w:t>
      </w:r>
      <w:r w:rsidRPr="000A4C44">
        <w:rPr>
          <w:rFonts w:ascii="Palatino Linotype" w:hAnsi="Palatino Linotype"/>
          <w:b/>
          <w:sz w:val="22"/>
          <w:szCs w:val="22"/>
        </w:rPr>
        <w:t>La RECURRENTE</w:t>
      </w:r>
      <w:r w:rsidRPr="000A4C44">
        <w:rPr>
          <w:rFonts w:ascii="Palatino Linotype" w:hAnsi="Palatino Linotype" w:cs="Arial"/>
          <w:sz w:val="22"/>
          <w:szCs w:val="22"/>
        </w:rPr>
        <w:t xml:space="preserve">, en contra de la respuesta del </w:t>
      </w:r>
      <w:r w:rsidRPr="000A4C44">
        <w:rPr>
          <w:rFonts w:ascii="Palatino Linotype" w:hAnsi="Palatino Linotype" w:cs="Arial"/>
          <w:b/>
          <w:sz w:val="22"/>
          <w:szCs w:val="22"/>
        </w:rPr>
        <w:t>Ayuntamiento de Coacalco de Berriozábal,</w:t>
      </w:r>
      <w:r w:rsidRPr="000A4C44">
        <w:rPr>
          <w:rFonts w:ascii="Palatino Linotype" w:hAnsi="Palatino Linotype"/>
          <w:b/>
          <w:sz w:val="22"/>
          <w:szCs w:val="22"/>
        </w:rPr>
        <w:t xml:space="preserve"> </w:t>
      </w:r>
      <w:r w:rsidRPr="000A4C44">
        <w:rPr>
          <w:rFonts w:ascii="Palatino Linotype" w:hAnsi="Palatino Linotype"/>
          <w:sz w:val="22"/>
          <w:szCs w:val="22"/>
        </w:rPr>
        <w:t>en lo sucesivo el</w:t>
      </w:r>
      <w:r w:rsidRPr="000A4C44">
        <w:rPr>
          <w:rFonts w:ascii="Palatino Linotype" w:hAnsi="Palatino Linotype"/>
          <w:b/>
          <w:sz w:val="22"/>
          <w:szCs w:val="22"/>
        </w:rPr>
        <w:t xml:space="preserve"> SUJETO OBLIGADO</w:t>
      </w:r>
      <w:r w:rsidRPr="000A4C44">
        <w:rPr>
          <w:rFonts w:ascii="Palatino Linotype" w:hAnsi="Palatino Linotype"/>
          <w:sz w:val="22"/>
          <w:szCs w:val="22"/>
        </w:rPr>
        <w:t>, se procede a dictar la presente resolución, con base en los siguientes:</w:t>
      </w:r>
    </w:p>
    <w:p w14:paraId="6546D0AA" w14:textId="77777777" w:rsidR="00833F34" w:rsidRPr="000A4C44" w:rsidRDefault="00833F34" w:rsidP="00833F34">
      <w:pPr>
        <w:spacing w:line="360" w:lineRule="auto"/>
        <w:jc w:val="both"/>
        <w:rPr>
          <w:rFonts w:ascii="Palatino Linotype" w:hAnsi="Palatino Linotype"/>
          <w:sz w:val="22"/>
          <w:szCs w:val="22"/>
        </w:rPr>
      </w:pPr>
    </w:p>
    <w:p w14:paraId="6546D0AB" w14:textId="77777777" w:rsidR="00833F34" w:rsidRPr="000A4C44" w:rsidRDefault="00833F34" w:rsidP="00833F34">
      <w:pPr>
        <w:pStyle w:val="Ttulo1"/>
        <w:spacing w:before="0" w:line="360" w:lineRule="auto"/>
        <w:jc w:val="center"/>
        <w:rPr>
          <w:rFonts w:ascii="Palatino Linotype" w:hAnsi="Palatino Linotype"/>
          <w:b/>
          <w:color w:val="000000" w:themeColor="text1"/>
          <w:sz w:val="22"/>
          <w:szCs w:val="22"/>
        </w:rPr>
      </w:pPr>
      <w:bookmarkStart w:id="0" w:name="_Toc461555884"/>
      <w:bookmarkStart w:id="1" w:name="_Toc466371847"/>
      <w:bookmarkStart w:id="2" w:name="_Toc83128575"/>
      <w:r w:rsidRPr="000A4C44">
        <w:rPr>
          <w:rFonts w:ascii="Palatino Linotype" w:hAnsi="Palatino Linotype"/>
          <w:b/>
          <w:color w:val="000000" w:themeColor="text1"/>
          <w:sz w:val="22"/>
          <w:szCs w:val="22"/>
        </w:rPr>
        <w:t>ANTECEDENTES</w:t>
      </w:r>
      <w:bookmarkEnd w:id="0"/>
      <w:bookmarkEnd w:id="1"/>
      <w:bookmarkEnd w:id="2"/>
    </w:p>
    <w:p w14:paraId="6546D0AC" w14:textId="77777777" w:rsidR="00833F34" w:rsidRPr="000A4C44" w:rsidRDefault="00833F34" w:rsidP="00833F34">
      <w:pPr>
        <w:pStyle w:val="Prrafodelista"/>
        <w:spacing w:line="360" w:lineRule="auto"/>
        <w:ind w:left="0"/>
        <w:jc w:val="both"/>
        <w:rPr>
          <w:rFonts w:ascii="Palatino Linotype" w:eastAsia="Calibri" w:hAnsi="Palatino Linotype" w:cs="Arial"/>
          <w:sz w:val="22"/>
          <w:szCs w:val="22"/>
          <w:lang w:val="es-ES"/>
        </w:rPr>
      </w:pPr>
    </w:p>
    <w:p w14:paraId="6546D0AD" w14:textId="77777777" w:rsidR="00833F34" w:rsidRPr="000A4C44" w:rsidRDefault="00833F34" w:rsidP="00833F34">
      <w:pPr>
        <w:pStyle w:val="Prrafodelista"/>
        <w:numPr>
          <w:ilvl w:val="0"/>
          <w:numId w:val="1"/>
        </w:numPr>
        <w:spacing w:line="360" w:lineRule="auto"/>
        <w:ind w:left="0" w:firstLine="0"/>
        <w:jc w:val="both"/>
        <w:rPr>
          <w:rFonts w:ascii="Palatino Linotype" w:eastAsia="Calibri" w:hAnsi="Palatino Linotype" w:cs="Arial"/>
          <w:sz w:val="22"/>
          <w:szCs w:val="22"/>
          <w:lang w:val="es-ES"/>
        </w:rPr>
      </w:pPr>
      <w:r w:rsidRPr="000A4C44">
        <w:rPr>
          <w:rFonts w:ascii="Palatino Linotype" w:eastAsia="Calibri" w:hAnsi="Palatino Linotype" w:cs="Arial"/>
          <w:sz w:val="22"/>
          <w:szCs w:val="22"/>
          <w:lang w:val="es-ES"/>
        </w:rPr>
        <w:t xml:space="preserve">El día </w:t>
      </w:r>
      <w:r w:rsidRPr="000A4C44">
        <w:rPr>
          <w:rFonts w:ascii="Palatino Linotype" w:eastAsia="Calibri" w:hAnsi="Palatino Linotype" w:cs="Arial"/>
          <w:b/>
          <w:sz w:val="22"/>
          <w:szCs w:val="22"/>
          <w:lang w:val="es-ES"/>
        </w:rPr>
        <w:t>cuatro de abril de dos mil veinticuatro</w:t>
      </w:r>
      <w:r w:rsidRPr="000A4C44">
        <w:rPr>
          <w:rFonts w:ascii="Palatino Linotype" w:hAnsi="Palatino Linotype"/>
          <w:b/>
          <w:sz w:val="22"/>
          <w:szCs w:val="22"/>
        </w:rPr>
        <w:t xml:space="preserve">, </w:t>
      </w:r>
      <w:r w:rsidRPr="000A4C44">
        <w:rPr>
          <w:rFonts w:ascii="Palatino Linotype" w:eastAsia="Calibri" w:hAnsi="Palatino Linotype" w:cs="Arial"/>
          <w:sz w:val="22"/>
          <w:szCs w:val="22"/>
          <w:lang w:val="es-ES"/>
        </w:rPr>
        <w:t xml:space="preserve">se presentó ante el </w:t>
      </w:r>
      <w:r w:rsidRPr="000A4C44">
        <w:rPr>
          <w:rFonts w:ascii="Palatino Linotype" w:eastAsia="Calibri" w:hAnsi="Palatino Linotype" w:cs="Arial"/>
          <w:b/>
          <w:sz w:val="22"/>
          <w:szCs w:val="22"/>
          <w:lang w:val="es-ES"/>
        </w:rPr>
        <w:t>SUJETO OBLIGADO</w:t>
      </w:r>
      <w:r w:rsidRPr="000A4C44">
        <w:rPr>
          <w:rFonts w:ascii="Palatino Linotype" w:eastAsia="Calibri" w:hAnsi="Palatino Linotype" w:cs="Arial"/>
          <w:sz w:val="22"/>
          <w:szCs w:val="22"/>
        </w:rPr>
        <w:t xml:space="preserve"> vía </w:t>
      </w:r>
      <w:r w:rsidRPr="000A4C44">
        <w:rPr>
          <w:rFonts w:ascii="Palatino Linotype" w:eastAsia="Calibri" w:hAnsi="Palatino Linotype" w:cs="Arial"/>
          <w:sz w:val="22"/>
          <w:szCs w:val="22"/>
          <w:lang w:val="es-ES"/>
        </w:rPr>
        <w:t>SAIMEX, la solicitud de información pública registrada con el número</w:t>
      </w:r>
      <w:r w:rsidRPr="000A4C44">
        <w:rPr>
          <w:rFonts w:ascii="Palatino Linotype" w:hAnsi="Palatino Linotype"/>
          <w:b/>
          <w:bCs/>
          <w:color w:val="000000" w:themeColor="text1"/>
          <w:sz w:val="22"/>
          <w:szCs w:val="22"/>
        </w:rPr>
        <w:t xml:space="preserve"> 00065/COACALCO/IP/2024; </w:t>
      </w:r>
      <w:r w:rsidRPr="000A4C44">
        <w:rPr>
          <w:rFonts w:ascii="Palatino Linotype" w:eastAsia="Calibri" w:hAnsi="Palatino Linotype" w:cs="Arial"/>
          <w:sz w:val="22"/>
          <w:szCs w:val="22"/>
          <w:lang w:val="es-ES"/>
        </w:rPr>
        <w:t>mediante la cual se solicitó la siguiente información:</w:t>
      </w:r>
    </w:p>
    <w:p w14:paraId="6546D0AE" w14:textId="77777777" w:rsidR="00833F34" w:rsidRPr="000A4C44" w:rsidRDefault="00833F34" w:rsidP="00833F34">
      <w:pPr>
        <w:pStyle w:val="Prrafodelista"/>
        <w:spacing w:line="360" w:lineRule="auto"/>
        <w:ind w:left="0"/>
        <w:jc w:val="both"/>
        <w:rPr>
          <w:rFonts w:ascii="Palatino Linotype" w:eastAsia="Calibri" w:hAnsi="Palatino Linotype" w:cs="Arial"/>
          <w:sz w:val="22"/>
          <w:szCs w:val="22"/>
          <w:lang w:val="es-ES"/>
        </w:rPr>
      </w:pPr>
    </w:p>
    <w:p w14:paraId="6546D0AF" w14:textId="77777777" w:rsidR="00833F34" w:rsidRPr="000A4C44" w:rsidRDefault="00833F34" w:rsidP="00833F34">
      <w:pPr>
        <w:pStyle w:val="Prrafodelista"/>
        <w:spacing w:line="360" w:lineRule="auto"/>
        <w:ind w:left="426" w:right="474"/>
        <w:jc w:val="both"/>
        <w:rPr>
          <w:rFonts w:ascii="Palatino Linotype" w:hAnsi="Palatino Linotype"/>
          <w:i/>
          <w:sz w:val="22"/>
          <w:szCs w:val="22"/>
        </w:rPr>
      </w:pPr>
      <w:r w:rsidRPr="000A4C44">
        <w:rPr>
          <w:rFonts w:ascii="Palatino Linotype" w:hAnsi="Palatino Linotype"/>
          <w:i/>
          <w:sz w:val="22"/>
          <w:szCs w:val="22"/>
        </w:rPr>
        <w:t>“requiero el número de procedimientos de investigación instaurados por la Contraloría y/u órgano interno de control en contra de servidores públicos del periodo de enero de 2022 a marzo de 2024, se precisen cuantos son hombres y cuantos mujeres; rango de edad; se me proporcione nombre del servidor público investigado, estatus del procedimiento y si fuera el caso sanción establecida”</w:t>
      </w:r>
    </w:p>
    <w:p w14:paraId="6546D0B0" w14:textId="77777777" w:rsidR="00833F34" w:rsidRPr="000A4C44" w:rsidRDefault="00833F34" w:rsidP="00833F34">
      <w:pPr>
        <w:pStyle w:val="Prrafodelista"/>
        <w:spacing w:line="360" w:lineRule="auto"/>
        <w:ind w:left="426" w:right="474"/>
        <w:jc w:val="both"/>
        <w:rPr>
          <w:rFonts w:ascii="Palatino Linotype" w:hAnsi="Palatino Linotype"/>
          <w:i/>
          <w:sz w:val="22"/>
          <w:szCs w:val="22"/>
        </w:rPr>
      </w:pPr>
    </w:p>
    <w:p w14:paraId="6546D0B1" w14:textId="77777777" w:rsidR="00833F34" w:rsidRPr="000A4C44" w:rsidRDefault="00B30701" w:rsidP="00833F34">
      <w:pPr>
        <w:pStyle w:val="Prrafodelista"/>
        <w:numPr>
          <w:ilvl w:val="0"/>
          <w:numId w:val="1"/>
        </w:numPr>
        <w:spacing w:line="360" w:lineRule="auto"/>
        <w:ind w:left="0" w:firstLine="0"/>
        <w:jc w:val="both"/>
        <w:rPr>
          <w:rFonts w:ascii="Palatino Linotype" w:hAnsi="Palatino Linotype" w:cs="Arial"/>
          <w:color w:val="000000" w:themeColor="text1"/>
          <w:sz w:val="22"/>
          <w:szCs w:val="22"/>
        </w:rPr>
      </w:pPr>
      <w:r w:rsidRPr="000A4C44">
        <w:rPr>
          <w:rFonts w:ascii="Palatino Linotype" w:hAnsi="Palatino Linotype" w:cs="Arial"/>
          <w:color w:val="000000" w:themeColor="text1"/>
          <w:sz w:val="22"/>
          <w:szCs w:val="22"/>
        </w:rPr>
        <w:t xml:space="preserve">El </w:t>
      </w:r>
      <w:r w:rsidRPr="000A4C44">
        <w:rPr>
          <w:rFonts w:ascii="Palatino Linotype" w:hAnsi="Palatino Linotype" w:cs="Arial"/>
          <w:b/>
          <w:color w:val="000000" w:themeColor="text1"/>
          <w:sz w:val="22"/>
          <w:szCs w:val="22"/>
        </w:rPr>
        <w:t xml:space="preserve">cuatro de abril de dos mil veinticuatro, </w:t>
      </w:r>
      <w:r w:rsidRPr="000A4C44">
        <w:rPr>
          <w:rFonts w:ascii="Palatino Linotype" w:hAnsi="Palatino Linotype" w:cs="Arial"/>
          <w:color w:val="000000" w:themeColor="text1"/>
          <w:sz w:val="22"/>
          <w:szCs w:val="22"/>
        </w:rPr>
        <w:t xml:space="preserve">el </w:t>
      </w:r>
      <w:r w:rsidRPr="000A4C44">
        <w:rPr>
          <w:rFonts w:ascii="Palatino Linotype" w:hAnsi="Palatino Linotype" w:cs="Arial"/>
          <w:b/>
          <w:color w:val="000000" w:themeColor="text1"/>
          <w:sz w:val="22"/>
          <w:szCs w:val="22"/>
        </w:rPr>
        <w:t xml:space="preserve">SUJETO OBLIGADO </w:t>
      </w:r>
      <w:r w:rsidRPr="000A4C44">
        <w:rPr>
          <w:rFonts w:ascii="Palatino Linotype" w:hAnsi="Palatino Linotype" w:cs="Arial"/>
          <w:color w:val="000000" w:themeColor="text1"/>
          <w:sz w:val="22"/>
          <w:szCs w:val="22"/>
        </w:rPr>
        <w:t xml:space="preserve">giro </w:t>
      </w:r>
      <w:r w:rsidR="005869F8" w:rsidRPr="000A4C44">
        <w:rPr>
          <w:rFonts w:ascii="Palatino Linotype" w:hAnsi="Palatino Linotype" w:cs="Arial"/>
          <w:color w:val="000000" w:themeColor="text1"/>
          <w:sz w:val="22"/>
          <w:szCs w:val="22"/>
        </w:rPr>
        <w:t xml:space="preserve">el requerimiento de información para que fuera atendida la solicitud de información </w:t>
      </w:r>
      <w:r w:rsidRPr="000A4C44">
        <w:rPr>
          <w:rFonts w:ascii="Palatino Linotype" w:hAnsi="Palatino Linotype" w:cs="Arial"/>
          <w:color w:val="000000" w:themeColor="text1"/>
          <w:sz w:val="22"/>
          <w:szCs w:val="22"/>
        </w:rPr>
        <w:t xml:space="preserve">de información </w:t>
      </w:r>
      <w:r w:rsidR="005869F8" w:rsidRPr="000A4C44">
        <w:rPr>
          <w:rFonts w:ascii="Palatino Linotype" w:hAnsi="Palatino Linotype"/>
          <w:b/>
          <w:bCs/>
          <w:color w:val="000000" w:themeColor="text1"/>
          <w:sz w:val="22"/>
          <w:szCs w:val="22"/>
        </w:rPr>
        <w:t xml:space="preserve">00065/COACALCO/IP/2024. </w:t>
      </w:r>
    </w:p>
    <w:p w14:paraId="6546D0B2" w14:textId="77777777" w:rsidR="00833F34" w:rsidRPr="000A4C44" w:rsidRDefault="00833F34" w:rsidP="00833F34">
      <w:pPr>
        <w:pStyle w:val="Prrafodelista"/>
        <w:spacing w:line="360" w:lineRule="auto"/>
        <w:ind w:left="0"/>
        <w:jc w:val="both"/>
        <w:rPr>
          <w:rFonts w:ascii="Palatino Linotype" w:hAnsi="Palatino Linotype" w:cs="Arial"/>
          <w:i/>
          <w:color w:val="000000" w:themeColor="text1"/>
          <w:sz w:val="22"/>
          <w:szCs w:val="22"/>
        </w:rPr>
      </w:pPr>
    </w:p>
    <w:p w14:paraId="6546D0B3" w14:textId="77777777" w:rsidR="00833F34" w:rsidRPr="000A4C44" w:rsidRDefault="00833F34" w:rsidP="005869F8">
      <w:pPr>
        <w:pStyle w:val="Prrafodelista"/>
        <w:numPr>
          <w:ilvl w:val="0"/>
          <w:numId w:val="1"/>
        </w:numPr>
        <w:spacing w:line="360" w:lineRule="auto"/>
        <w:ind w:left="0" w:firstLine="0"/>
        <w:jc w:val="both"/>
        <w:rPr>
          <w:rFonts w:ascii="Palatino Linotype" w:hAnsi="Palatino Linotype" w:cs="Arial"/>
          <w:i/>
          <w:color w:val="000000" w:themeColor="text1"/>
          <w:sz w:val="22"/>
          <w:szCs w:val="22"/>
        </w:rPr>
      </w:pPr>
      <w:r w:rsidRPr="000A4C44">
        <w:rPr>
          <w:rFonts w:ascii="Palatino Linotype" w:hAnsi="Palatino Linotype" w:cs="Arial"/>
          <w:color w:val="000000" w:themeColor="text1"/>
          <w:sz w:val="22"/>
          <w:szCs w:val="22"/>
        </w:rPr>
        <w:lastRenderedPageBreak/>
        <w:t xml:space="preserve">El </w:t>
      </w:r>
      <w:r w:rsidR="005869F8" w:rsidRPr="000A4C44">
        <w:rPr>
          <w:rFonts w:ascii="Palatino Linotype" w:hAnsi="Palatino Linotype" w:cs="Arial"/>
          <w:b/>
          <w:color w:val="000000" w:themeColor="text1"/>
          <w:sz w:val="22"/>
          <w:szCs w:val="22"/>
        </w:rPr>
        <w:t>veinticinco de abril de dos mil veinticuatro</w:t>
      </w:r>
      <w:r w:rsidRPr="000A4C44">
        <w:rPr>
          <w:rFonts w:ascii="Palatino Linotype" w:hAnsi="Palatino Linotype" w:cs="Arial"/>
          <w:color w:val="000000" w:themeColor="text1"/>
          <w:sz w:val="22"/>
          <w:szCs w:val="22"/>
        </w:rPr>
        <w:t xml:space="preserve"> el </w:t>
      </w:r>
      <w:r w:rsidRPr="000A4C44">
        <w:rPr>
          <w:rFonts w:ascii="Palatino Linotype" w:hAnsi="Palatino Linotype" w:cs="Arial"/>
          <w:b/>
          <w:color w:val="000000" w:themeColor="text1"/>
          <w:sz w:val="22"/>
          <w:szCs w:val="22"/>
        </w:rPr>
        <w:t xml:space="preserve">SUJETO OBLIGADO </w:t>
      </w:r>
      <w:r w:rsidR="005869F8" w:rsidRPr="000A4C44">
        <w:rPr>
          <w:rFonts w:ascii="Palatino Linotype" w:hAnsi="Palatino Linotype" w:cs="Arial"/>
          <w:color w:val="000000" w:themeColor="text1"/>
          <w:sz w:val="22"/>
          <w:szCs w:val="22"/>
        </w:rPr>
        <w:t>dio respuesta a la solicitud de información, mediante dos archivos electrónicos en formato pdf, cuyo contenido grosso modo es el siguiente</w:t>
      </w:r>
      <w:r w:rsidRPr="000A4C44">
        <w:rPr>
          <w:rFonts w:ascii="Palatino Linotype" w:hAnsi="Palatino Linotype" w:cs="Arial"/>
          <w:color w:val="000000" w:themeColor="text1"/>
          <w:sz w:val="22"/>
          <w:szCs w:val="22"/>
        </w:rPr>
        <w:t>:</w:t>
      </w:r>
    </w:p>
    <w:p w14:paraId="6546D0B4" w14:textId="77777777" w:rsidR="00833F34" w:rsidRPr="000A4C44" w:rsidRDefault="005869F8" w:rsidP="005869F8">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b/>
          <w:i/>
          <w:color w:val="000000" w:themeColor="text1"/>
          <w:sz w:val="22"/>
          <w:szCs w:val="22"/>
        </w:rPr>
        <w:t xml:space="preserve">65 solic .pdf: </w:t>
      </w:r>
      <w:r w:rsidRPr="000A4C44">
        <w:rPr>
          <w:rFonts w:ascii="Palatino Linotype" w:hAnsi="Palatino Linotype" w:cs="Arial"/>
          <w:i/>
          <w:color w:val="000000" w:themeColor="text1"/>
          <w:sz w:val="22"/>
          <w:szCs w:val="22"/>
        </w:rPr>
        <w:t xml:space="preserve">oficio del Titular de la Unidad de Transparencia y Protección de Datos Personales, mediante el cual informa al solicitante que el Contralor Municipal anexo su respuesta. </w:t>
      </w:r>
    </w:p>
    <w:p w14:paraId="6546D0B5" w14:textId="77777777" w:rsidR="005869F8" w:rsidRPr="000A4C44" w:rsidRDefault="005869F8" w:rsidP="005869F8">
      <w:pPr>
        <w:pStyle w:val="Prrafodelista"/>
        <w:ind w:left="1134" w:right="900"/>
        <w:jc w:val="both"/>
        <w:rPr>
          <w:rFonts w:ascii="Palatino Linotype" w:hAnsi="Palatino Linotype" w:cs="Arial"/>
          <w:b/>
          <w:i/>
          <w:color w:val="000000" w:themeColor="text1"/>
          <w:sz w:val="22"/>
          <w:szCs w:val="22"/>
        </w:rPr>
      </w:pPr>
      <w:r w:rsidRPr="000A4C44">
        <w:rPr>
          <w:rFonts w:ascii="Palatino Linotype" w:hAnsi="Palatino Linotype" w:cs="Arial"/>
          <w:b/>
          <w:i/>
          <w:color w:val="000000" w:themeColor="text1"/>
          <w:sz w:val="22"/>
          <w:szCs w:val="22"/>
        </w:rPr>
        <w:t xml:space="preserve">65 contralor .pdf: </w:t>
      </w:r>
      <w:r w:rsidRPr="000A4C44">
        <w:rPr>
          <w:rFonts w:ascii="Palatino Linotype" w:hAnsi="Palatino Linotype" w:cs="Arial"/>
          <w:i/>
          <w:color w:val="000000" w:themeColor="text1"/>
          <w:sz w:val="22"/>
          <w:szCs w:val="22"/>
        </w:rPr>
        <w:t xml:space="preserve">oficio del Contralor Municipal, mediante el cual informa que el número de procedimientos de investigación instaurados por la Contraloría Municipal de enero de dos mil veintidós al mes de marzo de dos mil veinticuatro es de </w:t>
      </w:r>
      <w:r w:rsidRPr="000A4C44">
        <w:rPr>
          <w:rFonts w:ascii="Palatino Linotype" w:hAnsi="Palatino Linotype" w:cs="Arial"/>
          <w:b/>
          <w:i/>
          <w:color w:val="000000" w:themeColor="text1"/>
          <w:sz w:val="22"/>
          <w:szCs w:val="22"/>
        </w:rPr>
        <w:t xml:space="preserve">1545 expedientes. </w:t>
      </w:r>
    </w:p>
    <w:p w14:paraId="6546D0B6" w14:textId="77777777" w:rsidR="005869F8" w:rsidRPr="000A4C44" w:rsidRDefault="005869F8" w:rsidP="005869F8">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i/>
          <w:color w:val="000000" w:themeColor="text1"/>
          <w:sz w:val="22"/>
          <w:szCs w:val="22"/>
        </w:rPr>
        <w:t xml:space="preserve">Dentro de la misma respuesta refiere que por cuanto hace a cuantos son hombres y mujeres, rango de edades y nombre del servidor público investigado, no se puede entregar, en virtud de que la información contiene datos personales protegidos, así como por la secrecía , la presunción de inocencia y el respeto a los derechos humanos, </w:t>
      </w:r>
    </w:p>
    <w:p w14:paraId="6546D0B7" w14:textId="77777777" w:rsidR="005869F8" w:rsidRPr="000A4C44" w:rsidRDefault="005869F8" w:rsidP="005869F8">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i/>
          <w:color w:val="000000" w:themeColor="text1"/>
          <w:sz w:val="22"/>
          <w:szCs w:val="22"/>
        </w:rPr>
        <w:t xml:space="preserve">Finalmente informa que respecto al estatus del procedimiento y si fuera el caso la sanción establecida, refiere que de las tablas de aplicabilidad en la fracción XXII del artículo 92 de la Ley de Transparencia y Acceso a la Información Pública del Estado de México y Municipios, no les es aplicables. </w:t>
      </w:r>
    </w:p>
    <w:p w14:paraId="6546D0B8" w14:textId="77777777" w:rsidR="00752147" w:rsidRPr="000A4C44" w:rsidRDefault="00752147" w:rsidP="005869F8">
      <w:pPr>
        <w:pStyle w:val="Prrafodelista"/>
        <w:ind w:left="1134" w:right="900"/>
        <w:jc w:val="both"/>
        <w:rPr>
          <w:rFonts w:ascii="Palatino Linotype" w:hAnsi="Palatino Linotype" w:cs="Arial"/>
          <w:i/>
          <w:color w:val="000000" w:themeColor="text1"/>
          <w:sz w:val="22"/>
          <w:szCs w:val="22"/>
        </w:rPr>
      </w:pPr>
    </w:p>
    <w:p w14:paraId="6546D0B9"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cs="Arial"/>
          <w:i/>
          <w:color w:val="000000" w:themeColor="text1"/>
          <w:sz w:val="22"/>
          <w:szCs w:val="22"/>
        </w:rPr>
      </w:pPr>
      <w:r w:rsidRPr="000A4C44">
        <w:rPr>
          <w:rFonts w:ascii="Palatino Linotype" w:hAnsi="Palatino Linotype" w:cs="Arial"/>
          <w:color w:val="000000" w:themeColor="text1"/>
          <w:sz w:val="22"/>
          <w:szCs w:val="22"/>
        </w:rPr>
        <w:t xml:space="preserve">Inconforme con la respuesta, </w:t>
      </w:r>
      <w:r w:rsidR="00752147" w:rsidRPr="000A4C44">
        <w:rPr>
          <w:rFonts w:ascii="Palatino Linotype" w:hAnsi="Palatino Linotype" w:cs="Arial"/>
          <w:color w:val="000000" w:themeColor="text1"/>
          <w:sz w:val="22"/>
          <w:szCs w:val="22"/>
        </w:rPr>
        <w:t xml:space="preserve">la entonces solicitante </w:t>
      </w:r>
      <w:r w:rsidRPr="000A4C44">
        <w:rPr>
          <w:rFonts w:ascii="Palatino Linotype" w:hAnsi="Palatino Linotype" w:cs="Arial"/>
          <w:color w:val="000000" w:themeColor="text1"/>
          <w:sz w:val="22"/>
          <w:szCs w:val="22"/>
        </w:rPr>
        <w:t>interpuso el recurso de revisión de mérito, manifestando las siguientes razones o motivos de inconformidad:</w:t>
      </w:r>
    </w:p>
    <w:p w14:paraId="6546D0BA" w14:textId="77777777" w:rsidR="00833F34" w:rsidRPr="000A4C44" w:rsidRDefault="00833F34" w:rsidP="00833F34">
      <w:pPr>
        <w:pStyle w:val="Prrafodelista"/>
        <w:tabs>
          <w:tab w:val="left" w:pos="0"/>
        </w:tabs>
        <w:spacing w:line="360" w:lineRule="auto"/>
        <w:ind w:left="0" w:right="49"/>
        <w:jc w:val="both"/>
        <w:rPr>
          <w:rFonts w:ascii="Palatino Linotype" w:hAnsi="Palatino Linotype" w:cs="Arial"/>
          <w:i/>
          <w:color w:val="000000" w:themeColor="text1"/>
          <w:sz w:val="22"/>
          <w:szCs w:val="22"/>
        </w:rPr>
      </w:pPr>
    </w:p>
    <w:p w14:paraId="6546D0BB" w14:textId="77777777" w:rsidR="00833F34" w:rsidRPr="000A4C44" w:rsidRDefault="00833F34" w:rsidP="00833F34">
      <w:pPr>
        <w:pStyle w:val="Prrafodelista"/>
        <w:numPr>
          <w:ilvl w:val="0"/>
          <w:numId w:val="2"/>
        </w:numPr>
        <w:spacing w:line="360" w:lineRule="auto"/>
        <w:jc w:val="both"/>
        <w:rPr>
          <w:rFonts w:ascii="Palatino Linotype" w:hAnsi="Palatino Linotype"/>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0A4C44">
        <w:rPr>
          <w:rStyle w:val="Ttulo2Car"/>
          <w:rFonts w:ascii="Palatino Linotype" w:hAnsi="Palatino Linotype"/>
          <w:b/>
          <w:color w:val="000000" w:themeColor="text1"/>
          <w:sz w:val="22"/>
          <w:szCs w:val="22"/>
        </w:rPr>
        <w:t>Acto impugnado</w:t>
      </w:r>
      <w:bookmarkEnd w:id="3"/>
      <w:r w:rsidRPr="000A4C44">
        <w:rPr>
          <w:rStyle w:val="Ttulo2Car"/>
          <w:rFonts w:ascii="Palatino Linotype" w:hAnsi="Palatino Linotype"/>
          <w:b/>
          <w:color w:val="000000" w:themeColor="text1"/>
          <w:sz w:val="22"/>
          <w:szCs w:val="22"/>
        </w:rPr>
        <w:t xml:space="preserve">: </w:t>
      </w:r>
      <w:r w:rsidRPr="000A4C44">
        <w:rPr>
          <w:rStyle w:val="Ttulo2Car"/>
          <w:rFonts w:ascii="Palatino Linotype" w:hAnsi="Palatino Linotype"/>
          <w:i/>
          <w:color w:val="000000" w:themeColor="text1"/>
          <w:sz w:val="22"/>
          <w:szCs w:val="22"/>
        </w:rPr>
        <w:t>“</w:t>
      </w:r>
      <w:bookmarkEnd w:id="4"/>
      <w:bookmarkEnd w:id="5"/>
      <w:bookmarkEnd w:id="6"/>
      <w:bookmarkEnd w:id="7"/>
      <w:bookmarkEnd w:id="8"/>
      <w:bookmarkEnd w:id="9"/>
      <w:bookmarkEnd w:id="10"/>
      <w:r w:rsidR="00752147" w:rsidRPr="000A4C44">
        <w:rPr>
          <w:rFonts w:ascii="Palatino Linotype" w:eastAsiaTheme="majorEastAsia" w:hAnsi="Palatino Linotype" w:cstheme="majorBidi"/>
          <w:i/>
          <w:color w:val="000000" w:themeColor="text1"/>
          <w:sz w:val="22"/>
          <w:szCs w:val="22"/>
        </w:rPr>
        <w:t>la respuesta proporcionada no satisface mi derecho de acceso a la información ni de transparencia</w:t>
      </w:r>
      <w:r w:rsidRPr="000A4C44">
        <w:rPr>
          <w:rFonts w:ascii="Palatino Linotype" w:hAnsi="Palatino Linotype"/>
          <w:sz w:val="22"/>
          <w:szCs w:val="22"/>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546D0BC" w14:textId="77777777" w:rsidR="00833F34" w:rsidRPr="000A4C44" w:rsidRDefault="00833F34" w:rsidP="00833F34">
      <w:pPr>
        <w:pStyle w:val="Prrafodelista"/>
        <w:spacing w:line="360" w:lineRule="auto"/>
        <w:ind w:left="1004"/>
        <w:jc w:val="both"/>
        <w:rPr>
          <w:rFonts w:ascii="Palatino Linotype" w:hAnsi="Palatino Linotype"/>
          <w:i/>
          <w:color w:val="000000" w:themeColor="text1"/>
          <w:sz w:val="22"/>
          <w:szCs w:val="22"/>
        </w:rPr>
      </w:pPr>
    </w:p>
    <w:p w14:paraId="6546D0BD" w14:textId="77777777" w:rsidR="00833F34" w:rsidRPr="000A4C44" w:rsidRDefault="00833F34" w:rsidP="00833F34">
      <w:pPr>
        <w:pStyle w:val="Prrafodelista"/>
        <w:numPr>
          <w:ilvl w:val="0"/>
          <w:numId w:val="2"/>
        </w:numPr>
        <w:spacing w:line="360" w:lineRule="auto"/>
        <w:jc w:val="both"/>
        <w:rPr>
          <w:rFonts w:ascii="Palatino Linotype" w:hAnsi="Palatino Linotype"/>
          <w:i/>
          <w:color w:val="000000" w:themeColor="text1"/>
          <w:sz w:val="22"/>
          <w:szCs w:val="22"/>
        </w:rPr>
      </w:pPr>
      <w:bookmarkStart w:id="127" w:name="_Toc53584977"/>
      <w:bookmarkStart w:id="128" w:name="_Toc60925404"/>
      <w:bookmarkStart w:id="129" w:name="_Toc81364834"/>
      <w:bookmarkStart w:id="130" w:name="_Toc81390611"/>
      <w:bookmarkStart w:id="131" w:name="_Toc82611034"/>
      <w:bookmarkStart w:id="132" w:name="_Toc83128577"/>
      <w:r w:rsidRPr="000A4C44">
        <w:rPr>
          <w:rStyle w:val="Ttulo2Car"/>
          <w:rFonts w:ascii="Palatino Linotype" w:hAnsi="Palatino Linotype"/>
          <w:b/>
          <w:color w:val="000000" w:themeColor="text1"/>
          <w:sz w:val="22"/>
          <w:szCs w:val="22"/>
        </w:rPr>
        <w:t>Razones o Motivos de inconformidad:</w:t>
      </w:r>
      <w:bookmarkEnd w:id="68"/>
      <w:bookmarkEnd w:id="127"/>
      <w:bookmarkEnd w:id="128"/>
      <w:bookmarkEnd w:id="129"/>
      <w:bookmarkEnd w:id="130"/>
      <w:bookmarkEnd w:id="131"/>
      <w:bookmarkEnd w:id="132"/>
      <w:r w:rsidRPr="000A4C44">
        <w:rPr>
          <w:rFonts w:ascii="Palatino Linotype" w:hAnsi="Palatino Linotype"/>
          <w:b/>
          <w:color w:val="000000" w:themeColor="text1"/>
          <w:sz w:val="22"/>
          <w:szCs w:val="22"/>
        </w:rPr>
        <w:t xml:space="preserve"> </w:t>
      </w:r>
      <w:r w:rsidRPr="000A4C44">
        <w:rPr>
          <w:rFonts w:ascii="Palatino Linotype" w:hAnsi="Palatino Linotype"/>
          <w:i/>
          <w:color w:val="000000" w:themeColor="text1"/>
          <w:sz w:val="22"/>
          <w:szCs w:val="22"/>
        </w:rPr>
        <w:t>“</w:t>
      </w:r>
      <w:r w:rsidR="00752147" w:rsidRPr="000A4C44">
        <w:rPr>
          <w:rFonts w:ascii="Palatino Linotype" w:hAnsi="Palatino Linotype"/>
          <w:i/>
          <w:color w:val="000000" w:themeColor="text1"/>
          <w:sz w:val="22"/>
          <w:szCs w:val="22"/>
        </w:rPr>
        <w:t>-------------------</w:t>
      </w:r>
      <w:r w:rsidRPr="000A4C44">
        <w:rPr>
          <w:rFonts w:ascii="Palatino Linotype" w:hAnsi="Palatino Linotype"/>
          <w:i/>
          <w:color w:val="000000" w:themeColor="text1"/>
          <w:sz w:val="22"/>
          <w:szCs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546D0BE" w14:textId="77777777" w:rsidR="00833F34" w:rsidRPr="000A4C44" w:rsidRDefault="00833F34" w:rsidP="00833F34">
      <w:pPr>
        <w:pStyle w:val="Prrafodelista"/>
        <w:spacing w:line="360" w:lineRule="auto"/>
        <w:ind w:left="1004"/>
        <w:jc w:val="both"/>
        <w:rPr>
          <w:rFonts w:ascii="Palatino Linotype" w:hAnsi="Palatino Linotype"/>
          <w:i/>
          <w:color w:val="000000" w:themeColor="text1"/>
          <w:sz w:val="22"/>
          <w:szCs w:val="22"/>
        </w:rPr>
      </w:pPr>
    </w:p>
    <w:p w14:paraId="6546D0BF"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i/>
          <w:sz w:val="22"/>
          <w:szCs w:val="22"/>
        </w:rPr>
      </w:pPr>
      <w:r w:rsidRPr="000A4C44">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 fecha </w:t>
      </w:r>
      <w:r w:rsidR="00752147" w:rsidRPr="000A4C44">
        <w:rPr>
          <w:rFonts w:ascii="Palatino Linotype" w:eastAsia="Calibri" w:hAnsi="Palatino Linotype" w:cs="Arial"/>
          <w:b/>
          <w:sz w:val="22"/>
          <w:szCs w:val="22"/>
          <w:lang w:val="es-ES"/>
        </w:rPr>
        <w:t>veintinueve de abril de dos mil veinticuatro</w:t>
      </w:r>
      <w:r w:rsidRPr="000A4C44">
        <w:rPr>
          <w:rFonts w:ascii="Palatino Linotype" w:eastAsia="Calibri" w:hAnsi="Palatino Linotype" w:cs="Arial"/>
          <w:sz w:val="22"/>
          <w:szCs w:val="22"/>
          <w:lang w:val="es-ES"/>
        </w:rPr>
        <w:t xml:space="preserve">, se puso a disposición de las partes el expediente electrónico </w:t>
      </w:r>
      <w:r w:rsidRPr="000A4C44">
        <w:rPr>
          <w:rFonts w:ascii="Palatino Linotype" w:eastAsia="Calibri" w:hAnsi="Palatino Linotype" w:cs="Arial"/>
          <w:sz w:val="22"/>
          <w:szCs w:val="22"/>
        </w:rPr>
        <w:t xml:space="preserve">vía </w:t>
      </w:r>
      <w:r w:rsidRPr="000A4C44">
        <w:rPr>
          <w:rFonts w:ascii="Palatino Linotype" w:eastAsia="Calibri" w:hAnsi="Palatino Linotype" w:cs="Arial"/>
          <w:b/>
          <w:sz w:val="22"/>
          <w:szCs w:val="22"/>
          <w:lang w:val="es-ES"/>
        </w:rPr>
        <w:t xml:space="preserve">SAIMEX </w:t>
      </w:r>
      <w:r w:rsidRPr="000A4C44">
        <w:rPr>
          <w:rFonts w:ascii="Palatino Linotype" w:eastAsia="Calibri" w:hAnsi="Palatino Linotype" w:cs="Arial"/>
          <w:sz w:val="22"/>
          <w:szCs w:val="22"/>
          <w:lang w:val="es-ES"/>
        </w:rPr>
        <w:t xml:space="preserve">a efecto de que en un plazo máximo de siete días manifestaran lo que a su derecho </w:t>
      </w:r>
      <w:r w:rsidRPr="000A4C44">
        <w:rPr>
          <w:rFonts w:ascii="Palatino Linotype" w:eastAsia="Calibri" w:hAnsi="Palatino Linotype" w:cs="Arial"/>
          <w:sz w:val="22"/>
          <w:szCs w:val="22"/>
          <w:lang w:val="es-ES"/>
        </w:rPr>
        <w:lastRenderedPageBreak/>
        <w:t xml:space="preserve">conviniera, ofrecieran pruebas y alegatos según corresponda a los casos concretos, y el </w:t>
      </w:r>
      <w:r w:rsidRPr="000A4C44">
        <w:rPr>
          <w:rFonts w:ascii="Palatino Linotype" w:eastAsia="Calibri" w:hAnsi="Palatino Linotype" w:cs="Arial"/>
          <w:b/>
          <w:sz w:val="22"/>
          <w:szCs w:val="22"/>
          <w:lang w:val="es-ES"/>
        </w:rPr>
        <w:t>SUJETO OBLIGADO</w:t>
      </w:r>
      <w:r w:rsidRPr="000A4C44">
        <w:rPr>
          <w:rFonts w:ascii="Palatino Linotype" w:eastAsia="Calibri" w:hAnsi="Palatino Linotype" w:cs="Arial"/>
          <w:sz w:val="22"/>
          <w:szCs w:val="22"/>
          <w:lang w:val="es-ES"/>
        </w:rPr>
        <w:t xml:space="preserve"> presentará el Informe Justificado procedente.</w:t>
      </w:r>
    </w:p>
    <w:p w14:paraId="6546D0C0" w14:textId="77777777" w:rsidR="00833F34" w:rsidRPr="000A4C44" w:rsidRDefault="00833F34" w:rsidP="00833F34">
      <w:pPr>
        <w:pStyle w:val="Prrafodelista"/>
        <w:spacing w:line="360" w:lineRule="auto"/>
        <w:ind w:left="0"/>
        <w:jc w:val="both"/>
        <w:rPr>
          <w:rFonts w:ascii="Palatino Linotype" w:hAnsi="Palatino Linotype"/>
          <w:sz w:val="22"/>
          <w:szCs w:val="22"/>
        </w:rPr>
      </w:pPr>
    </w:p>
    <w:p w14:paraId="6546D0C1"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sz w:val="22"/>
          <w:szCs w:val="22"/>
        </w:rPr>
      </w:pPr>
      <w:r w:rsidRPr="000A4C44">
        <w:rPr>
          <w:rFonts w:ascii="Palatino Linotype" w:hAnsi="Palatino Linotype"/>
          <w:color w:val="000000"/>
          <w:sz w:val="22"/>
          <w:szCs w:val="22"/>
        </w:rPr>
        <w:t xml:space="preserve">El </w:t>
      </w:r>
      <w:r w:rsidRPr="000A4C44">
        <w:rPr>
          <w:rFonts w:ascii="Palatino Linotype" w:hAnsi="Palatino Linotype"/>
          <w:b/>
          <w:color w:val="000000"/>
          <w:sz w:val="22"/>
          <w:szCs w:val="22"/>
        </w:rPr>
        <w:t>SUJETO OBLIGADO</w:t>
      </w:r>
      <w:r w:rsidRPr="000A4C44">
        <w:rPr>
          <w:rFonts w:ascii="Palatino Linotype" w:hAnsi="Palatino Linotype"/>
          <w:color w:val="000000"/>
          <w:sz w:val="22"/>
          <w:szCs w:val="22"/>
        </w:rPr>
        <w:t xml:space="preserve"> </w:t>
      </w:r>
      <w:r w:rsidR="00752147" w:rsidRPr="000A4C44">
        <w:rPr>
          <w:rFonts w:ascii="Palatino Linotype" w:hAnsi="Palatino Linotype"/>
          <w:color w:val="000000"/>
          <w:sz w:val="22"/>
          <w:szCs w:val="22"/>
        </w:rPr>
        <w:t>en fecha siete de mayo de dos mil veinticuatro, entrego dos documentos electrónicos en archivo pdf, cuyo contenido grosso modo es el siguiente</w:t>
      </w:r>
      <w:r w:rsidRPr="000A4C44">
        <w:rPr>
          <w:rFonts w:ascii="Palatino Linotype" w:hAnsi="Palatino Linotype"/>
          <w:color w:val="000000"/>
          <w:sz w:val="22"/>
          <w:szCs w:val="22"/>
        </w:rPr>
        <w:t xml:space="preserve"> :</w:t>
      </w:r>
    </w:p>
    <w:p w14:paraId="6546D0C2" w14:textId="77777777" w:rsidR="00833F34" w:rsidRPr="000A4C44" w:rsidRDefault="00833F34" w:rsidP="00833F34">
      <w:pPr>
        <w:pStyle w:val="Prrafodelista"/>
        <w:rPr>
          <w:rFonts w:ascii="Palatino Linotype" w:hAnsi="Palatino Linotype"/>
          <w:i/>
          <w:sz w:val="22"/>
          <w:szCs w:val="22"/>
        </w:rPr>
      </w:pPr>
    </w:p>
    <w:p w14:paraId="6546D0C3" w14:textId="77777777" w:rsidR="00833F34" w:rsidRPr="000A4C44" w:rsidRDefault="00752147" w:rsidP="00752147">
      <w:pPr>
        <w:pStyle w:val="Prrafodelista"/>
        <w:tabs>
          <w:tab w:val="left" w:pos="634"/>
        </w:tabs>
        <w:ind w:left="1134" w:right="900"/>
        <w:jc w:val="both"/>
        <w:rPr>
          <w:rFonts w:ascii="Palatino Linotype" w:hAnsi="Palatino Linotype"/>
          <w:i/>
          <w:sz w:val="22"/>
          <w:szCs w:val="22"/>
        </w:rPr>
      </w:pPr>
      <w:r w:rsidRPr="000A4C44">
        <w:rPr>
          <w:rFonts w:ascii="Palatino Linotype" w:hAnsi="Palatino Linotype"/>
          <w:b/>
          <w:i/>
          <w:sz w:val="22"/>
          <w:szCs w:val="22"/>
        </w:rPr>
        <w:t xml:space="preserve">Recurso de revisión 65 .pdf: </w:t>
      </w:r>
      <w:r w:rsidRPr="000A4C44">
        <w:rPr>
          <w:rFonts w:ascii="Palatino Linotype" w:hAnsi="Palatino Linotype"/>
          <w:i/>
          <w:sz w:val="22"/>
          <w:szCs w:val="22"/>
        </w:rPr>
        <w:t xml:space="preserve">informe justificado del Titular de la Unidad de Transparencia, mediante el cual ratifica su respuesta inicial. </w:t>
      </w:r>
    </w:p>
    <w:p w14:paraId="6546D0C4" w14:textId="77777777" w:rsidR="00752147" w:rsidRPr="000A4C44" w:rsidRDefault="00752147" w:rsidP="00752147">
      <w:pPr>
        <w:pStyle w:val="Prrafodelista"/>
        <w:tabs>
          <w:tab w:val="left" w:pos="634"/>
        </w:tabs>
        <w:ind w:left="1134" w:right="900"/>
        <w:jc w:val="both"/>
        <w:rPr>
          <w:rFonts w:ascii="Palatino Linotype" w:hAnsi="Palatino Linotype"/>
          <w:i/>
          <w:sz w:val="22"/>
          <w:szCs w:val="22"/>
        </w:rPr>
      </w:pPr>
    </w:p>
    <w:p w14:paraId="6546D0C5" w14:textId="77777777" w:rsidR="00752147" w:rsidRPr="000A4C44" w:rsidRDefault="00752147" w:rsidP="00752147">
      <w:pPr>
        <w:pStyle w:val="Prrafodelista"/>
        <w:tabs>
          <w:tab w:val="left" w:pos="634"/>
        </w:tabs>
        <w:ind w:left="1134" w:right="900"/>
        <w:jc w:val="both"/>
        <w:rPr>
          <w:rFonts w:ascii="Palatino Linotype" w:hAnsi="Palatino Linotype"/>
          <w:i/>
          <w:sz w:val="22"/>
          <w:szCs w:val="22"/>
        </w:rPr>
      </w:pPr>
      <w:r w:rsidRPr="000A4C44">
        <w:rPr>
          <w:rFonts w:ascii="Palatino Linotype" w:hAnsi="Palatino Linotype"/>
          <w:b/>
          <w:i/>
          <w:sz w:val="22"/>
          <w:szCs w:val="22"/>
        </w:rPr>
        <w:t xml:space="preserve">Respuesta contralor recurso 65 .pdf: </w:t>
      </w:r>
      <w:r w:rsidRPr="000A4C44">
        <w:rPr>
          <w:rFonts w:ascii="Palatino Linotype" w:hAnsi="Palatino Linotype"/>
          <w:i/>
          <w:sz w:val="22"/>
          <w:szCs w:val="22"/>
        </w:rPr>
        <w:t xml:space="preserve">oficio del Contralor Municipal, mediante el cual refiere que ratifica la respuesta inicial. </w:t>
      </w:r>
    </w:p>
    <w:p w14:paraId="6546D0C6" w14:textId="77777777" w:rsidR="00833F34" w:rsidRPr="000A4C44" w:rsidRDefault="00833F34" w:rsidP="00833F34">
      <w:pPr>
        <w:pStyle w:val="Prrafodelista"/>
        <w:spacing w:line="360" w:lineRule="auto"/>
        <w:ind w:left="0"/>
        <w:jc w:val="center"/>
        <w:rPr>
          <w:rFonts w:ascii="Palatino Linotype" w:hAnsi="Palatino Linotype"/>
          <w:sz w:val="22"/>
          <w:szCs w:val="22"/>
        </w:rPr>
      </w:pPr>
    </w:p>
    <w:p w14:paraId="6546D0C7"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sz w:val="22"/>
          <w:szCs w:val="22"/>
        </w:rPr>
      </w:pPr>
      <w:r w:rsidRPr="000A4C44">
        <w:rPr>
          <w:rFonts w:ascii="Palatino Linotype" w:hAnsi="Palatino Linotype"/>
          <w:color w:val="000000"/>
          <w:sz w:val="22"/>
          <w:szCs w:val="22"/>
        </w:rPr>
        <w:t xml:space="preserve">Por su parte </w:t>
      </w:r>
      <w:r w:rsidRPr="000A4C44">
        <w:rPr>
          <w:rFonts w:ascii="Palatino Linotype" w:hAnsi="Palatino Linotype"/>
          <w:b/>
          <w:color w:val="000000"/>
          <w:sz w:val="22"/>
          <w:szCs w:val="22"/>
        </w:rPr>
        <w:t xml:space="preserve">EL PARTICULAR </w:t>
      </w:r>
      <w:r w:rsidRPr="000A4C44">
        <w:rPr>
          <w:rFonts w:ascii="Palatino Linotype" w:hAnsi="Palatino Linotype"/>
          <w:color w:val="000000"/>
          <w:sz w:val="22"/>
          <w:szCs w:val="22"/>
        </w:rPr>
        <w:t>dejó de realizar manifestaciones que a su derecho c</w:t>
      </w:r>
      <w:r w:rsidR="00752147" w:rsidRPr="000A4C44">
        <w:rPr>
          <w:rFonts w:ascii="Palatino Linotype" w:hAnsi="Palatino Linotype"/>
          <w:color w:val="000000"/>
          <w:sz w:val="22"/>
          <w:szCs w:val="22"/>
        </w:rPr>
        <w:t xml:space="preserve">onviniera y asistiera. </w:t>
      </w:r>
    </w:p>
    <w:p w14:paraId="6546D0C8"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546D0C9"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 xml:space="preserve">El </w:t>
      </w:r>
      <w:r w:rsidRPr="000A4C44">
        <w:rPr>
          <w:rFonts w:ascii="Palatino Linotype" w:eastAsia="Palatino Linotype" w:hAnsi="Palatino Linotype" w:cs="Palatino Linotype"/>
          <w:b/>
          <w:color w:val="000000"/>
          <w:sz w:val="22"/>
          <w:szCs w:val="22"/>
        </w:rPr>
        <w:t>siete de junio de dos mil veinticuatro</w:t>
      </w:r>
      <w:r w:rsidRPr="000A4C44">
        <w:rPr>
          <w:rFonts w:ascii="Palatino Linotype" w:eastAsia="Palatino Linotype" w:hAnsi="Palatino Linotype" w:cs="Palatino Linotype"/>
          <w:color w:val="000000"/>
          <w:sz w:val="22"/>
          <w:szCs w:val="22"/>
        </w:rPr>
        <w:t>, la Comisionada Ponente notificó el acuerdo de ampliación para emitir resolución.</w:t>
      </w:r>
    </w:p>
    <w:p w14:paraId="6546D0CA"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CB"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546D0CC"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CD"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0A4C44">
        <w:rPr>
          <w:rFonts w:ascii="Palatino Linotype" w:eastAsia="Palatino Linotype" w:hAnsi="Palatino Linotype" w:cs="Palatino Linotype"/>
          <w:color w:val="000000"/>
          <w:sz w:val="22"/>
          <w:szCs w:val="22"/>
        </w:rPr>
        <w:lastRenderedPageBreak/>
        <w:t>asuntos conforme a los parámetros establecidos por diversos órganos jurisdiccionales federales, aplicables también en procedimientos análogos, como el que nos ocupa.</w:t>
      </w:r>
    </w:p>
    <w:p w14:paraId="6546D0CE"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CF"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546D0D0" w14:textId="77777777" w:rsidR="00752147" w:rsidRPr="000A4C44" w:rsidRDefault="00752147" w:rsidP="00752147">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546D0D1"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546D0D2"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D3"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6546D0D4"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D5" w14:textId="77777777" w:rsidR="00752147" w:rsidRPr="000A4C44" w:rsidRDefault="00752147" w:rsidP="0075214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A4C44">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6546D0D6" w14:textId="77777777" w:rsidR="00752147" w:rsidRPr="000A4C44" w:rsidRDefault="00752147" w:rsidP="0075214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A4C44">
        <w:rPr>
          <w:rFonts w:ascii="Palatino Linotype" w:eastAsia="Palatino Linotype" w:hAnsi="Palatino Linotype" w:cs="Palatino Linotype"/>
          <w:color w:val="000000"/>
          <w:sz w:val="22"/>
          <w:szCs w:val="22"/>
        </w:rPr>
        <w:t>b)     Actividad Procesal del interesado: Acciones u omisiones del interesado.</w:t>
      </w:r>
    </w:p>
    <w:p w14:paraId="6546D0D7" w14:textId="77777777" w:rsidR="00752147" w:rsidRPr="000A4C44" w:rsidRDefault="00752147" w:rsidP="0075214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A4C44">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6546D0D8" w14:textId="77777777" w:rsidR="00752147" w:rsidRPr="000A4C44" w:rsidRDefault="00752147" w:rsidP="0075214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A4C44">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6546D0D9"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DA"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 xml:space="preserve">De modo que, cuando se trate de un asunto excepcional, por alguna o todas las características mencionadas o bien, cuando el ingreso de asuntos al órgano jurisdiccional o </w:t>
      </w:r>
      <w:r w:rsidRPr="000A4C44">
        <w:rPr>
          <w:rFonts w:ascii="Palatino Linotype" w:eastAsia="Palatino Linotype" w:hAnsi="Palatino Linotype" w:cs="Palatino Linotype"/>
          <w:color w:val="000000"/>
          <w:sz w:val="22"/>
          <w:szCs w:val="22"/>
        </w:rPr>
        <w:lastRenderedPageBreak/>
        <w:t>cuasi jurisdiccional respectivo supere notoriamente al que podría considerarse normal, debe concluirse que es una excluyente de responsabilidad en relación con la actuación del funcionario, como ha acontecido en el caso que nos ocupa.</w:t>
      </w:r>
    </w:p>
    <w:p w14:paraId="6546D0DB"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DC"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0A4C44">
        <w:rPr>
          <w:rFonts w:ascii="Palatino Linotype" w:eastAsia="Palatino Linotype" w:hAnsi="Palatino Linotype" w:cs="Palatino Linotype"/>
          <w:sz w:val="22"/>
          <w:szCs w:val="22"/>
        </w:rPr>
        <w:t>del rubro</w:t>
      </w:r>
      <w:r w:rsidRPr="000A4C44">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0A4C44">
        <w:rPr>
          <w:rFonts w:ascii="Palatino Linotype" w:eastAsia="Palatino Linotype" w:hAnsi="Palatino Linotype" w:cs="Palatino Linotype"/>
          <w:sz w:val="22"/>
          <w:szCs w:val="22"/>
        </w:rPr>
        <w:t>Semanario</w:t>
      </w:r>
      <w:r w:rsidRPr="000A4C44">
        <w:rPr>
          <w:rFonts w:ascii="Palatino Linotype" w:eastAsia="Palatino Linotype" w:hAnsi="Palatino Linotype" w:cs="Palatino Linotype"/>
          <w:color w:val="000000"/>
          <w:sz w:val="22"/>
          <w:szCs w:val="22"/>
        </w:rPr>
        <w:t xml:space="preserve"> Judicial de la Federación con el registro digital 205635.</w:t>
      </w:r>
    </w:p>
    <w:p w14:paraId="6546D0DD" w14:textId="77777777" w:rsidR="00752147" w:rsidRPr="000A4C44" w:rsidRDefault="00752147" w:rsidP="00752147">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546D0DE"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46D0DF" w14:textId="77777777" w:rsidR="00752147" w:rsidRPr="000A4C44" w:rsidRDefault="00752147" w:rsidP="007521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546D0E0"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6546D0E1" w14:textId="77777777" w:rsidR="00752147" w:rsidRPr="000A4C44" w:rsidRDefault="00752147" w:rsidP="00752147">
      <w:pPr>
        <w:pStyle w:val="Prrafodelista"/>
        <w:rPr>
          <w:color w:val="000000"/>
          <w:sz w:val="22"/>
          <w:szCs w:val="22"/>
        </w:rPr>
      </w:pPr>
    </w:p>
    <w:p w14:paraId="6546D0E2" w14:textId="77777777" w:rsidR="00752147" w:rsidRPr="000A4C44" w:rsidRDefault="00752147" w:rsidP="00752147">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0A4C44">
        <w:rPr>
          <w:rFonts w:ascii="Palatino Linotype" w:eastAsia="Palatino Linotype" w:hAnsi="Palatino Linotype" w:cs="Palatino Linotype"/>
          <w:color w:val="000000"/>
          <w:sz w:val="22"/>
          <w:szCs w:val="22"/>
        </w:rPr>
        <w:t xml:space="preserve">“PLAZO RAZONABLE PARA RESOLVER. DIMENSIÓN Y EFECTOS DE ESTE CONCEPTO CUANDO SE ADUCE EXCESIVA CARGA DE TRABAJO.” </w:t>
      </w:r>
      <w:r w:rsidRPr="000A4C44">
        <w:rPr>
          <w:rFonts w:ascii="Palatino Linotype" w:eastAsia="Palatino Linotype" w:hAnsi="Palatino Linotype" w:cs="Palatino Linotype"/>
          <w:color w:val="000000"/>
          <w:sz w:val="22"/>
          <w:szCs w:val="22"/>
        </w:rPr>
        <w:lastRenderedPageBreak/>
        <w:t>consultable en el Seminario Judicial de la Federación y su gaceta, con el registro digital 2002351.</w:t>
      </w:r>
    </w:p>
    <w:p w14:paraId="6546D0E3" w14:textId="77777777" w:rsidR="00752147" w:rsidRPr="000A4C44" w:rsidRDefault="00752147" w:rsidP="00752147">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0A4C44">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6546D0E4" w14:textId="77777777" w:rsidR="00752147" w:rsidRPr="000A4C44" w:rsidRDefault="00752147" w:rsidP="00752147">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14:paraId="6546D0E5" w14:textId="77777777" w:rsidR="00752147" w:rsidRPr="000A4C44" w:rsidRDefault="00752147" w:rsidP="00752147">
      <w:pPr>
        <w:pStyle w:val="Prrafodelista"/>
        <w:numPr>
          <w:ilvl w:val="0"/>
          <w:numId w:val="1"/>
        </w:numPr>
        <w:spacing w:line="360" w:lineRule="auto"/>
        <w:ind w:left="0" w:firstLine="0"/>
        <w:contextualSpacing w:val="0"/>
        <w:jc w:val="both"/>
        <w:rPr>
          <w:color w:val="000000"/>
          <w:sz w:val="22"/>
          <w:szCs w:val="22"/>
        </w:rPr>
      </w:pPr>
      <w:r w:rsidRPr="000A4C44">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6546D0E6" w14:textId="77777777" w:rsidR="00752147" w:rsidRPr="000A4C44" w:rsidRDefault="00752147" w:rsidP="00752147">
      <w:pPr>
        <w:pStyle w:val="Prrafodelista"/>
        <w:spacing w:line="360" w:lineRule="auto"/>
        <w:ind w:left="0"/>
        <w:contextualSpacing w:val="0"/>
        <w:jc w:val="both"/>
        <w:rPr>
          <w:rFonts w:ascii="Palatino Linotype" w:hAnsi="Palatino Linotype"/>
          <w:b/>
          <w:color w:val="000000" w:themeColor="text1"/>
          <w:sz w:val="22"/>
          <w:szCs w:val="22"/>
        </w:rPr>
      </w:pPr>
    </w:p>
    <w:p w14:paraId="6546D0E7" w14:textId="77777777" w:rsidR="00752147" w:rsidRPr="000A4C44" w:rsidRDefault="00752147" w:rsidP="00752147">
      <w:pPr>
        <w:pStyle w:val="Prrafodelista"/>
        <w:rPr>
          <w:rFonts w:ascii="Palatino Linotype" w:hAnsi="Palatino Linotype"/>
          <w:sz w:val="22"/>
          <w:szCs w:val="22"/>
        </w:rPr>
      </w:pPr>
    </w:p>
    <w:p w14:paraId="6546D0E8" w14:textId="77777777" w:rsidR="00833F34" w:rsidRPr="000A4C44" w:rsidRDefault="00833F34" w:rsidP="00833F34">
      <w:pPr>
        <w:pStyle w:val="Prrafodelista"/>
        <w:numPr>
          <w:ilvl w:val="0"/>
          <w:numId w:val="1"/>
        </w:numPr>
        <w:spacing w:line="360" w:lineRule="auto"/>
        <w:ind w:left="0" w:firstLine="0"/>
        <w:contextualSpacing w:val="0"/>
        <w:jc w:val="both"/>
        <w:rPr>
          <w:rFonts w:ascii="Palatino Linotype" w:hAnsi="Palatino Linotype"/>
          <w:b/>
          <w:color w:val="000000" w:themeColor="text1"/>
          <w:sz w:val="22"/>
          <w:szCs w:val="22"/>
        </w:rPr>
      </w:pPr>
      <w:r w:rsidRPr="000A4C44">
        <w:rPr>
          <w:rFonts w:ascii="Palatino Linotype" w:hAnsi="Palatino Linotype"/>
          <w:sz w:val="22"/>
          <w:szCs w:val="22"/>
        </w:rPr>
        <w:t xml:space="preserve">Seguidamente el día </w:t>
      </w:r>
      <w:r w:rsidR="00752147" w:rsidRPr="000A4C44">
        <w:rPr>
          <w:rFonts w:ascii="Palatino Linotype" w:hAnsi="Palatino Linotype"/>
          <w:b/>
          <w:sz w:val="22"/>
          <w:szCs w:val="22"/>
        </w:rPr>
        <w:t xml:space="preserve">dos de octubre </w:t>
      </w:r>
      <w:r w:rsidRPr="000A4C44">
        <w:rPr>
          <w:rFonts w:ascii="Palatino Linotype" w:hAnsi="Palatino Linotype"/>
          <w:b/>
          <w:sz w:val="22"/>
          <w:szCs w:val="22"/>
        </w:rPr>
        <w:t xml:space="preserve">de dos mil </w:t>
      </w:r>
      <w:r w:rsidR="00752147" w:rsidRPr="000A4C44">
        <w:rPr>
          <w:rFonts w:ascii="Palatino Linotype" w:hAnsi="Palatino Linotype"/>
          <w:b/>
          <w:sz w:val="22"/>
          <w:szCs w:val="22"/>
        </w:rPr>
        <w:t>veinticuatro</w:t>
      </w:r>
      <w:r w:rsidRPr="000A4C44">
        <w:rPr>
          <w:rFonts w:ascii="Palatino Linotype" w:hAnsi="Palatino Linotype"/>
          <w:sz w:val="22"/>
          <w:szCs w:val="22"/>
        </w:rPr>
        <w:t xml:space="preserve">, se decretó el cierre de instrucción, </w:t>
      </w:r>
      <w:r w:rsidRPr="000A4C44">
        <w:rPr>
          <w:rFonts w:ascii="Palatino Linotype" w:hAnsi="Palatino Linotype" w:cs="Arial"/>
          <w:sz w:val="22"/>
          <w:szCs w:val="22"/>
        </w:rPr>
        <w:t>por lo que no habiendo más que hacer constar, y ---------------------------------------------------------------------------------------------------</w:t>
      </w:r>
    </w:p>
    <w:p w14:paraId="6546D0E9" w14:textId="77777777" w:rsidR="00833F34" w:rsidRPr="000A4C44" w:rsidRDefault="00833F34" w:rsidP="00833F34">
      <w:pPr>
        <w:pStyle w:val="Prrafodelista"/>
        <w:rPr>
          <w:rFonts w:ascii="Palatino Linotype" w:hAnsi="Palatino Linotype"/>
          <w:b/>
          <w:color w:val="000000" w:themeColor="text1"/>
          <w:sz w:val="22"/>
          <w:szCs w:val="22"/>
        </w:rPr>
      </w:pPr>
    </w:p>
    <w:p w14:paraId="6546D0EA" w14:textId="77777777" w:rsidR="00833F34" w:rsidRPr="000A4C44" w:rsidRDefault="00833F34" w:rsidP="00833F34">
      <w:pPr>
        <w:pStyle w:val="Ttulo1"/>
        <w:spacing w:before="0" w:line="360" w:lineRule="auto"/>
        <w:jc w:val="center"/>
        <w:rPr>
          <w:rFonts w:ascii="Palatino Linotype" w:hAnsi="Palatino Linotype"/>
          <w:b/>
          <w:color w:val="000000" w:themeColor="text1"/>
          <w:sz w:val="22"/>
          <w:szCs w:val="22"/>
        </w:rPr>
      </w:pPr>
      <w:bookmarkStart w:id="133" w:name="_Toc491791302"/>
      <w:bookmarkStart w:id="134" w:name="_Toc83128578"/>
      <w:r w:rsidRPr="000A4C44">
        <w:rPr>
          <w:rFonts w:ascii="Palatino Linotype" w:hAnsi="Palatino Linotype"/>
          <w:b/>
          <w:color w:val="000000" w:themeColor="text1"/>
          <w:sz w:val="22"/>
          <w:szCs w:val="22"/>
        </w:rPr>
        <w:t>CONSIDERANDO</w:t>
      </w:r>
      <w:bookmarkEnd w:id="133"/>
      <w:bookmarkEnd w:id="134"/>
    </w:p>
    <w:p w14:paraId="6546D0EB" w14:textId="77777777" w:rsidR="00833F34" w:rsidRPr="000A4C44" w:rsidRDefault="00833F34" w:rsidP="00833F34">
      <w:pPr>
        <w:pStyle w:val="Ttulo2"/>
        <w:spacing w:before="0" w:line="360" w:lineRule="auto"/>
        <w:rPr>
          <w:rFonts w:ascii="Palatino Linotype" w:hAnsi="Palatino Linotype"/>
          <w:b/>
          <w:color w:val="auto"/>
          <w:sz w:val="22"/>
          <w:szCs w:val="22"/>
        </w:rPr>
      </w:pPr>
      <w:bookmarkStart w:id="135" w:name="_Toc491791303"/>
      <w:bookmarkStart w:id="136" w:name="_Toc83128579"/>
    </w:p>
    <w:p w14:paraId="6546D0EC" w14:textId="77777777" w:rsidR="00833F34" w:rsidRPr="000A4C44" w:rsidRDefault="00833F34" w:rsidP="00833F34">
      <w:pPr>
        <w:pStyle w:val="Ttulo2"/>
        <w:spacing w:before="0" w:line="360" w:lineRule="auto"/>
        <w:rPr>
          <w:rFonts w:ascii="Palatino Linotype" w:hAnsi="Palatino Linotype"/>
          <w:b/>
          <w:color w:val="auto"/>
          <w:sz w:val="22"/>
          <w:szCs w:val="22"/>
        </w:rPr>
      </w:pPr>
      <w:r w:rsidRPr="000A4C44">
        <w:rPr>
          <w:rFonts w:ascii="Palatino Linotype" w:hAnsi="Palatino Linotype"/>
          <w:b/>
          <w:color w:val="auto"/>
          <w:sz w:val="22"/>
          <w:szCs w:val="22"/>
        </w:rPr>
        <w:t>PRIMERO. De la competencia</w:t>
      </w:r>
      <w:bookmarkEnd w:id="135"/>
      <w:bookmarkEnd w:id="136"/>
    </w:p>
    <w:p w14:paraId="6546D0ED" w14:textId="77777777" w:rsidR="00534723" w:rsidRPr="000A4C44" w:rsidRDefault="00534723" w:rsidP="00534723">
      <w:pPr>
        <w:rPr>
          <w:sz w:val="22"/>
          <w:szCs w:val="22"/>
        </w:rPr>
      </w:pPr>
    </w:p>
    <w:p w14:paraId="6546D0EE" w14:textId="77777777" w:rsidR="00534723" w:rsidRPr="000A4C44" w:rsidRDefault="00534723" w:rsidP="00534723">
      <w:pPr>
        <w:pStyle w:val="Prrafodelista"/>
        <w:numPr>
          <w:ilvl w:val="0"/>
          <w:numId w:val="1"/>
        </w:numPr>
        <w:spacing w:line="360" w:lineRule="auto"/>
        <w:ind w:left="0" w:firstLine="0"/>
        <w:contextualSpacing w:val="0"/>
        <w:jc w:val="both"/>
        <w:rPr>
          <w:rFonts w:ascii="Calibri" w:hAnsi="Calibri" w:cs="Calibri"/>
          <w:color w:val="000000"/>
          <w:sz w:val="22"/>
          <w:szCs w:val="22"/>
        </w:rPr>
      </w:pPr>
      <w:r w:rsidRPr="000A4C44">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w:t>
      </w:r>
      <w:r w:rsidRPr="000A4C44">
        <w:rPr>
          <w:rFonts w:ascii="Palatino Linotype" w:eastAsia="Palatino Linotype" w:hAnsi="Palatino Linotype" w:cs="Palatino Linotype"/>
          <w:color w:val="000000"/>
          <w:sz w:val="22"/>
          <w:szCs w:val="22"/>
        </w:rPr>
        <w:lastRenderedPageBreak/>
        <w:t>Estado de México y Municipios; y 7, 9 fracciones I y XXIV, y 11 del Reglamento Interior del Instituto de Transparencia, Acceso a la Información Pública y Protección de Datos Personales del Estado de México y Municipios.</w:t>
      </w:r>
    </w:p>
    <w:p w14:paraId="6546D0EF" w14:textId="77777777" w:rsidR="00833F34" w:rsidRPr="000A4C44" w:rsidRDefault="00833F34" w:rsidP="00833F34">
      <w:pPr>
        <w:pStyle w:val="Prrafodelista"/>
        <w:spacing w:line="360" w:lineRule="auto"/>
        <w:ind w:left="0"/>
        <w:jc w:val="both"/>
        <w:rPr>
          <w:rFonts w:ascii="Palatino Linotype" w:hAnsi="Palatino Linotype"/>
          <w:color w:val="000000" w:themeColor="text1"/>
          <w:sz w:val="22"/>
          <w:szCs w:val="22"/>
        </w:rPr>
      </w:pPr>
    </w:p>
    <w:p w14:paraId="6546D0F0" w14:textId="77777777" w:rsidR="00833F34" w:rsidRPr="000A4C44" w:rsidRDefault="00833F34" w:rsidP="00833F34">
      <w:pPr>
        <w:pStyle w:val="Ttulo2"/>
        <w:spacing w:before="0" w:line="360" w:lineRule="auto"/>
        <w:rPr>
          <w:rFonts w:ascii="Palatino Linotype" w:hAnsi="Palatino Linotype"/>
          <w:b/>
          <w:color w:val="auto"/>
          <w:sz w:val="22"/>
          <w:szCs w:val="22"/>
        </w:rPr>
      </w:pPr>
      <w:bookmarkStart w:id="137" w:name="_Toc491791304"/>
      <w:bookmarkStart w:id="138" w:name="_Toc83128580"/>
      <w:r w:rsidRPr="000A4C44">
        <w:rPr>
          <w:rFonts w:ascii="Palatino Linotype" w:hAnsi="Palatino Linotype"/>
          <w:b/>
          <w:color w:val="auto"/>
          <w:sz w:val="22"/>
          <w:szCs w:val="22"/>
        </w:rPr>
        <w:t>SEGUNDO. De la oportunidad y procedencia.</w:t>
      </w:r>
      <w:bookmarkEnd w:id="137"/>
      <w:bookmarkEnd w:id="138"/>
    </w:p>
    <w:p w14:paraId="6546D0F1" w14:textId="77777777" w:rsidR="00833F34" w:rsidRPr="000A4C44" w:rsidRDefault="00833F34" w:rsidP="00833F34">
      <w:pPr>
        <w:spacing w:line="360" w:lineRule="auto"/>
        <w:rPr>
          <w:rFonts w:ascii="Palatino Linotype" w:hAnsi="Palatino Linotype"/>
          <w:sz w:val="22"/>
          <w:szCs w:val="22"/>
          <w:lang w:val="es-MX" w:eastAsia="en-US"/>
        </w:rPr>
      </w:pPr>
    </w:p>
    <w:p w14:paraId="6546D0F2"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sz w:val="22"/>
          <w:szCs w:val="22"/>
        </w:rPr>
      </w:pPr>
      <w:r w:rsidRPr="000A4C44">
        <w:rPr>
          <w:rFonts w:ascii="Palatino Linotype" w:eastAsia="Calibri" w:hAnsi="Palatino Linotype" w:cs="Arial"/>
          <w:sz w:val="22"/>
          <w:szCs w:val="22"/>
        </w:rPr>
        <w:t xml:space="preserve">El medio de impugnación fue presentado a través del </w:t>
      </w:r>
      <w:r w:rsidRPr="000A4C44">
        <w:rPr>
          <w:rFonts w:ascii="Palatino Linotype" w:eastAsia="Calibri" w:hAnsi="Palatino Linotype" w:cs="Arial"/>
          <w:b/>
          <w:sz w:val="22"/>
          <w:szCs w:val="22"/>
        </w:rPr>
        <w:t>SAIMEX,</w:t>
      </w:r>
      <w:r w:rsidRPr="000A4C44">
        <w:rPr>
          <w:rFonts w:ascii="Palatino Linotype" w:eastAsia="Calibri" w:hAnsi="Palatino Linotype" w:cs="Arial"/>
          <w:sz w:val="22"/>
          <w:szCs w:val="22"/>
        </w:rPr>
        <w:t xml:space="preserve"> en el formato previamente aprobado para tal efecto y dentro del plazo legal de quince días hábiles otorgados; para el caso en particular es de señalar que el </w:t>
      </w:r>
      <w:r w:rsidRPr="000A4C44">
        <w:rPr>
          <w:rFonts w:ascii="Palatino Linotype" w:eastAsia="Calibri" w:hAnsi="Palatino Linotype" w:cs="Arial"/>
          <w:b/>
          <w:sz w:val="22"/>
          <w:szCs w:val="22"/>
        </w:rPr>
        <w:t>SUJETO OBLIGADO</w:t>
      </w:r>
      <w:r w:rsidRPr="000A4C44">
        <w:rPr>
          <w:rFonts w:ascii="Palatino Linotype" w:eastAsia="Calibri" w:hAnsi="Palatino Linotype" w:cs="Arial"/>
          <w:sz w:val="22"/>
          <w:szCs w:val="22"/>
        </w:rPr>
        <w:t xml:space="preserve"> entregó su respuesta el </w:t>
      </w:r>
      <w:r w:rsidR="00534723" w:rsidRPr="000A4C44">
        <w:rPr>
          <w:rFonts w:ascii="Palatino Linotype" w:eastAsia="Calibri" w:hAnsi="Palatino Linotype" w:cs="Arial"/>
          <w:b/>
          <w:sz w:val="22"/>
          <w:szCs w:val="22"/>
        </w:rPr>
        <w:t>veinticinco de abril de dos mil veinticuatro</w:t>
      </w:r>
      <w:r w:rsidRPr="000A4C44">
        <w:rPr>
          <w:rFonts w:ascii="Palatino Linotype" w:eastAsia="Calibri" w:hAnsi="Palatino Linotype" w:cs="Arial"/>
          <w:sz w:val="22"/>
          <w:szCs w:val="22"/>
        </w:rPr>
        <w:t xml:space="preserve">, </w:t>
      </w:r>
      <w:r w:rsidRPr="000A4C44">
        <w:rPr>
          <w:rFonts w:ascii="Palatino Linotype" w:hAnsi="Palatino Linotype" w:cs="Arial"/>
          <w:sz w:val="22"/>
          <w:szCs w:val="22"/>
        </w:rPr>
        <w:t xml:space="preserve">de tal forma que el plazo para interponer el recurso de revisión transcurrió del </w:t>
      </w:r>
      <w:r w:rsidR="00534723" w:rsidRPr="000A4C44">
        <w:rPr>
          <w:rFonts w:ascii="Palatino Linotype" w:hAnsi="Palatino Linotype" w:cs="Arial"/>
          <w:b/>
          <w:sz w:val="22"/>
          <w:szCs w:val="22"/>
        </w:rPr>
        <w:t>veintiséis de abril al veintiuno de mayo de dos mil veinticuatro</w:t>
      </w:r>
      <w:r w:rsidRPr="000A4C44">
        <w:rPr>
          <w:rFonts w:ascii="Palatino Linotype" w:hAnsi="Palatino Linotype" w:cs="Arial"/>
          <w:sz w:val="22"/>
          <w:szCs w:val="22"/>
        </w:rPr>
        <w:t xml:space="preserve">; en consecuencia, la ahora </w:t>
      </w:r>
      <w:r w:rsidRPr="000A4C44">
        <w:rPr>
          <w:rFonts w:ascii="Palatino Linotype" w:hAnsi="Palatino Linotype" w:cs="Arial"/>
          <w:b/>
          <w:sz w:val="22"/>
          <w:szCs w:val="22"/>
        </w:rPr>
        <w:t>RECURRENTE</w:t>
      </w:r>
      <w:r w:rsidRPr="000A4C44">
        <w:rPr>
          <w:rFonts w:ascii="Palatino Linotype" w:hAnsi="Palatino Linotype" w:cs="Arial"/>
          <w:sz w:val="22"/>
          <w:szCs w:val="22"/>
        </w:rPr>
        <w:t xml:space="preserve"> presentó su inconformidad el día </w:t>
      </w:r>
      <w:r w:rsidR="00534723" w:rsidRPr="000A4C44">
        <w:rPr>
          <w:rFonts w:ascii="Palatino Linotype" w:hAnsi="Palatino Linotype" w:cs="Arial"/>
          <w:b/>
          <w:sz w:val="22"/>
          <w:szCs w:val="22"/>
        </w:rPr>
        <w:t>veinticinco de abril de dos mil veinticuatro</w:t>
      </w:r>
      <w:r w:rsidRPr="000A4C44">
        <w:rPr>
          <w:rFonts w:ascii="Palatino Linotype" w:hAnsi="Palatino Linotype" w:cs="Arial"/>
          <w:sz w:val="22"/>
          <w:szCs w:val="22"/>
        </w:rPr>
        <w:t>; es decir dentro del lapso legalmente establecido para tal efecto.</w:t>
      </w:r>
    </w:p>
    <w:p w14:paraId="6546D0F3" w14:textId="77777777" w:rsidR="00833F34" w:rsidRPr="000A4C44" w:rsidRDefault="00833F34" w:rsidP="00833F34">
      <w:pPr>
        <w:pStyle w:val="Prrafodelista"/>
        <w:rPr>
          <w:rFonts w:ascii="Palatino Linotype" w:eastAsia="Calibri" w:hAnsi="Palatino Linotype" w:cs="Arial"/>
          <w:sz w:val="22"/>
          <w:szCs w:val="22"/>
        </w:rPr>
      </w:pPr>
    </w:p>
    <w:p w14:paraId="6546D0F4" w14:textId="77777777" w:rsidR="00D96A35" w:rsidRPr="000A4C44" w:rsidRDefault="00D96A35" w:rsidP="00D96A35">
      <w:pPr>
        <w:pStyle w:val="Prrafodelista"/>
        <w:numPr>
          <w:ilvl w:val="0"/>
          <w:numId w:val="1"/>
        </w:numPr>
        <w:spacing w:line="360" w:lineRule="auto"/>
        <w:ind w:left="0" w:firstLine="0"/>
        <w:jc w:val="both"/>
        <w:rPr>
          <w:rFonts w:ascii="Palatino Linotype" w:eastAsia="Calibri" w:hAnsi="Palatino Linotype" w:cs="Arial"/>
          <w:sz w:val="22"/>
          <w:szCs w:val="22"/>
        </w:rPr>
      </w:pPr>
      <w:r w:rsidRPr="000A4C44">
        <w:rPr>
          <w:rFonts w:ascii="Palatino Linotype" w:eastAsia="Calibri" w:hAnsi="Palatino Linotype" w:cs="Arial"/>
          <w:sz w:val="22"/>
          <w:szCs w:val="22"/>
        </w:rPr>
        <w:t>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6546D0F5" w14:textId="77777777" w:rsidR="00D96A35" w:rsidRPr="000A4C44" w:rsidRDefault="00D96A35" w:rsidP="00D96A35">
      <w:pPr>
        <w:spacing w:line="360" w:lineRule="auto"/>
        <w:ind w:left="360" w:hanging="360"/>
        <w:contextualSpacing/>
        <w:rPr>
          <w:rFonts w:ascii="Palatino Linotype" w:hAnsi="Palatino Linotype" w:cs="Arial"/>
          <w:sz w:val="22"/>
          <w:szCs w:val="22"/>
        </w:rPr>
      </w:pPr>
    </w:p>
    <w:p w14:paraId="6546D0F6" w14:textId="77777777" w:rsidR="00D96A35" w:rsidRPr="000A4C44" w:rsidRDefault="00D96A35" w:rsidP="00D96A35">
      <w:pPr>
        <w:pStyle w:val="Prrafodelista"/>
        <w:numPr>
          <w:ilvl w:val="0"/>
          <w:numId w:val="1"/>
        </w:numPr>
        <w:spacing w:line="360" w:lineRule="auto"/>
        <w:ind w:left="0" w:firstLine="0"/>
        <w:jc w:val="both"/>
        <w:rPr>
          <w:rFonts w:ascii="Palatino Linotype" w:eastAsia="Calibri" w:hAnsi="Palatino Linotype" w:cs="Arial"/>
          <w:sz w:val="22"/>
          <w:szCs w:val="22"/>
        </w:rPr>
      </w:pPr>
      <w:r w:rsidRPr="000A4C44">
        <w:rPr>
          <w:rFonts w:ascii="Palatino Linotype" w:eastAsia="Calibri" w:hAnsi="Palatino Linotype" w:cs="Arial"/>
          <w:sz w:val="22"/>
          <w:szCs w:val="22"/>
        </w:rPr>
        <w:t xml:space="preserve">Lo anterior se robustece con la jurisprudencia número 1a./J. 41/2015 (10a.), Décima época, sustentada por la Primera Sala de la Suprema Corte de Justicia de la Nación, visible </w:t>
      </w:r>
      <w:r w:rsidRPr="000A4C44">
        <w:rPr>
          <w:rFonts w:ascii="Palatino Linotype" w:eastAsia="Calibri" w:hAnsi="Palatino Linotype" w:cs="Arial"/>
          <w:sz w:val="22"/>
          <w:szCs w:val="22"/>
        </w:rPr>
        <w:lastRenderedPageBreak/>
        <w:t xml:space="preserve">en la página 569, libro 19, tomo I, de la Gaceta del Semanario Judicial de la Federación, del diecinueve de junio de 2015, cuyo rubro y texto disponen: </w:t>
      </w:r>
    </w:p>
    <w:p w14:paraId="6546D0F7" w14:textId="77777777" w:rsidR="00D96A35" w:rsidRPr="000A4C44" w:rsidRDefault="00D96A35" w:rsidP="00D96A35">
      <w:pPr>
        <w:tabs>
          <w:tab w:val="left" w:pos="3670"/>
        </w:tabs>
        <w:spacing w:line="360" w:lineRule="auto"/>
        <w:ind w:left="720"/>
        <w:contextualSpacing/>
        <w:rPr>
          <w:rFonts w:ascii="Palatino Linotype" w:hAnsi="Palatino Linotype" w:cs="Arial"/>
          <w:bCs/>
          <w:color w:val="555555"/>
          <w:sz w:val="22"/>
          <w:szCs w:val="22"/>
          <w:lang w:eastAsia="es-MX"/>
        </w:rPr>
      </w:pPr>
      <w:r w:rsidRPr="000A4C44">
        <w:rPr>
          <w:rFonts w:ascii="Palatino Linotype" w:hAnsi="Palatino Linotype" w:cs="Arial"/>
          <w:bCs/>
          <w:color w:val="555555"/>
          <w:sz w:val="22"/>
          <w:szCs w:val="22"/>
          <w:lang w:eastAsia="es-MX"/>
        </w:rPr>
        <w:tab/>
      </w:r>
    </w:p>
    <w:p w14:paraId="6546D0F8" w14:textId="77777777" w:rsidR="00D96A35" w:rsidRPr="000A4C44" w:rsidRDefault="00D96A35" w:rsidP="00D96A35">
      <w:pPr>
        <w:spacing w:line="360" w:lineRule="auto"/>
        <w:ind w:left="425" w:right="474"/>
        <w:contextualSpacing/>
        <w:jc w:val="both"/>
        <w:rPr>
          <w:rFonts w:ascii="Palatino Linotype" w:hAnsi="Palatino Linotype" w:cs="Arial"/>
          <w:i/>
          <w:sz w:val="22"/>
          <w:szCs w:val="22"/>
        </w:rPr>
      </w:pPr>
      <w:r w:rsidRPr="000A4C44">
        <w:rPr>
          <w:rFonts w:ascii="Palatino Linotype" w:hAnsi="Palatino Linotype" w:cs="Arial"/>
          <w:b/>
          <w:i/>
          <w:sz w:val="22"/>
          <w:szCs w:val="22"/>
        </w:rPr>
        <w:t>“RECURSO DE RECLAMACIÓN. SU INTERPOSICIÓN NO ES EXTEMPORÁNEA SI SE REALIZA ANTES DE QUE INICIE EL PLAZO PARA HACERLO</w:t>
      </w:r>
      <w:r w:rsidRPr="000A4C44">
        <w:rPr>
          <w:rFonts w:ascii="Palatino Linotype" w:hAnsi="Palatino Linotype" w:cs="Arial"/>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546D0F9" w14:textId="77777777" w:rsidR="00D96A35" w:rsidRPr="000A4C44" w:rsidRDefault="00D96A35" w:rsidP="00D96A35">
      <w:pPr>
        <w:spacing w:line="360" w:lineRule="auto"/>
        <w:ind w:left="426" w:right="616"/>
        <w:contextualSpacing/>
        <w:jc w:val="both"/>
        <w:rPr>
          <w:rFonts w:ascii="Palatino Linotype" w:hAnsi="Palatino Linotype" w:cs="Arial"/>
          <w:i/>
          <w:sz w:val="22"/>
          <w:szCs w:val="22"/>
        </w:rPr>
      </w:pPr>
    </w:p>
    <w:p w14:paraId="6546D0FA" w14:textId="77777777" w:rsidR="00D96A35" w:rsidRPr="000A4C44" w:rsidRDefault="00D96A35" w:rsidP="00D96A35">
      <w:pPr>
        <w:pStyle w:val="Prrafodelista"/>
        <w:numPr>
          <w:ilvl w:val="0"/>
          <w:numId w:val="1"/>
        </w:numPr>
        <w:spacing w:line="360" w:lineRule="auto"/>
        <w:ind w:left="0" w:firstLine="0"/>
        <w:jc w:val="both"/>
        <w:rPr>
          <w:rFonts w:ascii="Palatino Linotype" w:eastAsia="Calibri" w:hAnsi="Palatino Linotype" w:cs="Arial"/>
          <w:sz w:val="22"/>
          <w:szCs w:val="22"/>
        </w:rPr>
      </w:pPr>
      <w:r w:rsidRPr="000A4C44">
        <w:rPr>
          <w:rFonts w:ascii="Palatino Linotype" w:eastAsia="Calibri" w:hAnsi="Palatino Linotype" w:cs="Arial"/>
          <w:sz w:val="22"/>
          <w:szCs w:val="22"/>
        </w:rPr>
        <w:t>Esto es así porque en primer lugar es necesario que EL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6546D0FB" w14:textId="77777777" w:rsidR="00D96A35" w:rsidRPr="000A4C44" w:rsidRDefault="00D96A35" w:rsidP="00D96A35">
      <w:pPr>
        <w:tabs>
          <w:tab w:val="left" w:pos="0"/>
        </w:tabs>
        <w:spacing w:line="360" w:lineRule="auto"/>
        <w:ind w:left="360" w:right="49" w:hanging="360"/>
        <w:contextualSpacing/>
        <w:jc w:val="both"/>
        <w:rPr>
          <w:rFonts w:ascii="Palatino Linotype" w:hAnsi="Palatino Linotype" w:cs="Arial"/>
          <w:i/>
          <w:sz w:val="22"/>
          <w:szCs w:val="22"/>
        </w:rPr>
      </w:pPr>
    </w:p>
    <w:p w14:paraId="6546D0FC" w14:textId="77777777" w:rsidR="00D96A35" w:rsidRPr="000A4C44" w:rsidRDefault="00D96A35" w:rsidP="00D96A35">
      <w:pPr>
        <w:pStyle w:val="Prrafodelista"/>
        <w:numPr>
          <w:ilvl w:val="0"/>
          <w:numId w:val="1"/>
        </w:numPr>
        <w:spacing w:line="360" w:lineRule="auto"/>
        <w:ind w:left="0" w:firstLine="0"/>
        <w:jc w:val="both"/>
        <w:rPr>
          <w:rFonts w:ascii="Palatino Linotype" w:eastAsia="Calibri" w:hAnsi="Palatino Linotype" w:cs="Arial"/>
          <w:sz w:val="22"/>
          <w:szCs w:val="22"/>
        </w:rPr>
      </w:pPr>
      <w:r w:rsidRPr="000A4C44">
        <w:rPr>
          <w:rFonts w:ascii="Palatino Linotype" w:eastAsia="Calibri" w:hAnsi="Palatino Linotype" w:cs="Arial"/>
          <w:sz w:val="22"/>
          <w:szCs w:val="22"/>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6546D0FD" w14:textId="77777777" w:rsidR="00D96A35" w:rsidRPr="000A4C44" w:rsidRDefault="00D96A35" w:rsidP="00D96A35">
      <w:pPr>
        <w:spacing w:line="360" w:lineRule="auto"/>
        <w:ind w:left="360" w:hanging="360"/>
        <w:contextualSpacing/>
        <w:rPr>
          <w:rFonts w:ascii="Palatino Linotype" w:hAnsi="Palatino Linotype"/>
          <w:sz w:val="22"/>
          <w:szCs w:val="22"/>
        </w:rPr>
      </w:pPr>
    </w:p>
    <w:p w14:paraId="6546D0FE" w14:textId="77777777" w:rsidR="00534723" w:rsidRPr="000A4C44" w:rsidRDefault="00D96A35" w:rsidP="00D96A35">
      <w:pPr>
        <w:pStyle w:val="Prrafodelista"/>
        <w:numPr>
          <w:ilvl w:val="0"/>
          <w:numId w:val="1"/>
        </w:numPr>
        <w:spacing w:line="360" w:lineRule="auto"/>
        <w:ind w:left="0" w:firstLine="0"/>
        <w:jc w:val="both"/>
        <w:rPr>
          <w:rFonts w:ascii="Palatino Linotype" w:eastAsia="Calibri" w:hAnsi="Palatino Linotype" w:cs="Arial"/>
          <w:sz w:val="22"/>
          <w:szCs w:val="22"/>
        </w:rPr>
      </w:pPr>
      <w:r w:rsidRPr="000A4C44">
        <w:rPr>
          <w:rFonts w:ascii="Palatino Linotype" w:eastAsia="Calibri" w:hAnsi="Palatino Linotype" w:cs="Arial"/>
          <w:sz w:val="22"/>
          <w:szCs w:val="22"/>
        </w:rPr>
        <w:lastRenderedPageBreak/>
        <w:t>Por lo tanto, la interposición del recurso de revisión antes de que inicie el plazo para su presentación no es determinante para declararlo extemporáneo, siempre y cuando ello ocurra de manera posterior a que se ha notificado la respuesta del SUJETO OBLIGADO.</w:t>
      </w:r>
    </w:p>
    <w:p w14:paraId="6546D0FF" w14:textId="77777777" w:rsidR="00534723" w:rsidRPr="000A4C44" w:rsidRDefault="00534723" w:rsidP="00534723">
      <w:pPr>
        <w:pStyle w:val="Prrafodelista"/>
        <w:rPr>
          <w:rFonts w:ascii="Palatino Linotype" w:eastAsia="Times New Roman" w:hAnsi="Palatino Linotype" w:cs="Times New Roman"/>
          <w:sz w:val="22"/>
          <w:szCs w:val="22"/>
          <w:lang w:val="es-ES" w:eastAsia="en-US"/>
        </w:rPr>
      </w:pPr>
    </w:p>
    <w:p w14:paraId="6546D100" w14:textId="77777777" w:rsidR="00833F34" w:rsidRPr="000A4C44" w:rsidRDefault="00833F34" w:rsidP="00833F34">
      <w:pPr>
        <w:pStyle w:val="Prrafodelista"/>
        <w:numPr>
          <w:ilvl w:val="0"/>
          <w:numId w:val="1"/>
        </w:numPr>
        <w:spacing w:line="360" w:lineRule="auto"/>
        <w:ind w:left="0" w:firstLine="0"/>
        <w:jc w:val="both"/>
        <w:rPr>
          <w:rFonts w:ascii="Palatino Linotype" w:eastAsia="Palatino Linotype" w:hAnsi="Palatino Linotype" w:cs="Palatino Linotype"/>
          <w:sz w:val="22"/>
          <w:szCs w:val="22"/>
          <w:lang w:val="es-ES" w:eastAsia="en-US"/>
        </w:rPr>
      </w:pPr>
      <w:r w:rsidRPr="000A4C44">
        <w:rPr>
          <w:rFonts w:ascii="Palatino Linotype" w:eastAsia="Times New Roman" w:hAnsi="Palatino Linotype" w:cs="Times New Roman"/>
          <w:sz w:val="22"/>
          <w:szCs w:val="22"/>
          <w:lang w:val="es-ES" w:eastAsia="en-US"/>
        </w:rPr>
        <w:t xml:space="preserve">Por </w:t>
      </w:r>
      <w:r w:rsidRPr="000A4C44">
        <w:rPr>
          <w:rFonts w:ascii="Palatino Linotype" w:eastAsia="Calibri" w:hAnsi="Palatino Linotype" w:cs="Arial"/>
          <w:sz w:val="22"/>
          <w:szCs w:val="22"/>
          <w:lang w:val="es-ES" w:eastAsia="en-US"/>
        </w:rPr>
        <w:t>otro</w:t>
      </w:r>
      <w:r w:rsidRPr="000A4C44">
        <w:rPr>
          <w:rFonts w:ascii="Palatino Linotype" w:eastAsia="Times New Roman" w:hAnsi="Palatino Linotype" w:cs="Times New Roman"/>
          <w:sz w:val="22"/>
          <w:szCs w:val="22"/>
          <w:lang w:val="es-ES" w:eastAsia="en-US"/>
        </w:rPr>
        <w:t xml:space="preserve"> lado, </w:t>
      </w:r>
      <w:r w:rsidRPr="000A4C44">
        <w:rPr>
          <w:rFonts w:ascii="Palatino Linotype" w:eastAsia="Calibri" w:hAnsi="Palatino Linotype" w:cs="Arial"/>
          <w:sz w:val="22"/>
          <w:szCs w:val="22"/>
          <w:lang w:val="es-ES" w:eastAsia="en-US"/>
        </w:rPr>
        <w:t>es</w:t>
      </w:r>
      <w:r w:rsidRPr="000A4C44">
        <w:rPr>
          <w:rFonts w:ascii="Palatino Linotype" w:eastAsia="Palatino Linotype" w:hAnsi="Palatino Linotype" w:cs="Palatino Linotype"/>
          <w:sz w:val="22"/>
          <w:szCs w:val="22"/>
          <w:lang w:val="es-ES" w:eastAsia="en-US"/>
        </w:rPr>
        <w:t xml:space="preserve"> de suma importancia señalar que la parte recurrente no </w:t>
      </w:r>
      <w:r w:rsidRPr="000A4C44">
        <w:rPr>
          <w:rFonts w:ascii="Palatino Linotype" w:eastAsia="Calibri" w:hAnsi="Palatino Linotype" w:cs="Arial"/>
          <w:sz w:val="22"/>
          <w:szCs w:val="22"/>
          <w:lang w:val="es-ES" w:eastAsia="en-US"/>
        </w:rPr>
        <w:t>proporciona</w:t>
      </w:r>
      <w:r w:rsidRPr="000A4C44">
        <w:rPr>
          <w:rFonts w:ascii="Palatino Linotype" w:eastAsia="Palatino Linotype" w:hAnsi="Palatino Linotype" w:cs="Palatino Linotype"/>
          <w:sz w:val="22"/>
          <w:szCs w:val="22"/>
          <w:lang w:val="es-ES" w:eastAsia="en-US"/>
        </w:rPr>
        <w:t xml:space="preserve"> un nombre o datos de identificación como se advierte en el detalle de </w:t>
      </w:r>
      <w:r w:rsidRPr="000A4C44">
        <w:rPr>
          <w:rFonts w:ascii="Palatino Linotype" w:eastAsia="Times New Roman" w:hAnsi="Palatino Linotype" w:cs="Arial"/>
          <w:sz w:val="22"/>
          <w:szCs w:val="22"/>
          <w:lang w:val="es-ES" w:eastAsia="es-MX"/>
        </w:rPr>
        <w:t>seguimiento</w:t>
      </w:r>
      <w:r w:rsidRPr="000A4C44">
        <w:rPr>
          <w:rFonts w:ascii="Palatino Linotype" w:eastAsia="Palatino Linotype" w:hAnsi="Palatino Linotype" w:cs="Palatino Linotype"/>
          <w:sz w:val="22"/>
          <w:szCs w:val="22"/>
          <w:lang w:val="es-ES" w:eastAsia="en-US"/>
        </w:rPr>
        <w:t xml:space="preserve"> del SAIMEX, no obstante lo anterior, no proporcionar el nombre completo no es motivo para archivar la solicitud de acceso a la </w:t>
      </w:r>
      <w:r w:rsidRPr="000A4C44">
        <w:rPr>
          <w:rFonts w:ascii="Palatino Linotype" w:eastAsia="Calibri" w:hAnsi="Palatino Linotype" w:cs="Arial"/>
          <w:sz w:val="22"/>
          <w:szCs w:val="22"/>
        </w:rPr>
        <w:t>información</w:t>
      </w:r>
      <w:r w:rsidRPr="000A4C44">
        <w:rPr>
          <w:rFonts w:ascii="Palatino Linotype" w:eastAsia="Palatino Linotype" w:hAnsi="Palatino Linotype" w:cs="Palatino Linotype"/>
          <w:sz w:val="22"/>
          <w:szCs w:val="22"/>
          <w:lang w:val="es-ES" w:eastAsia="en-US"/>
        </w:rPr>
        <w:t xml:space="preserve"> pública como concluida, conforme a lo previsto en el artículo 155, penúltimo párrafo de la Ley de Transparencia y Acceso a la Información Pública del Estado de México y Municipios que establece lo siguiente:</w:t>
      </w:r>
    </w:p>
    <w:p w14:paraId="6546D101" w14:textId="77777777" w:rsidR="00833F34" w:rsidRPr="000A4C44" w:rsidRDefault="00833F34" w:rsidP="00833F34">
      <w:pPr>
        <w:spacing w:line="360" w:lineRule="auto"/>
        <w:jc w:val="both"/>
        <w:rPr>
          <w:rFonts w:ascii="Palatino Linotype" w:eastAsia="Palatino Linotype" w:hAnsi="Palatino Linotype" w:cs="Palatino Linotype"/>
          <w:sz w:val="22"/>
          <w:szCs w:val="22"/>
          <w:lang w:val="es-MX" w:eastAsia="es-MX"/>
        </w:rPr>
      </w:pPr>
    </w:p>
    <w:p w14:paraId="6546D102"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Las solicitudes anónimas</w:t>
      </w:r>
      <w:r w:rsidRPr="000A4C44">
        <w:rPr>
          <w:rFonts w:ascii="Palatino Linotype" w:eastAsia="Palatino Linotype" w:hAnsi="Palatino Linotype" w:cs="Palatino Linotype"/>
          <w:i/>
          <w:sz w:val="22"/>
          <w:szCs w:val="22"/>
          <w:lang w:val="es-MX" w:eastAsia="es-MX"/>
        </w:rPr>
        <w:t xml:space="preserve">, con nombre incompleto o seudónimo </w:t>
      </w:r>
      <w:r w:rsidRPr="000A4C44">
        <w:rPr>
          <w:rFonts w:ascii="Palatino Linotype" w:eastAsia="Palatino Linotype" w:hAnsi="Palatino Linotype" w:cs="Palatino Linotype"/>
          <w:b/>
          <w:i/>
          <w:sz w:val="22"/>
          <w:szCs w:val="22"/>
          <w:lang w:val="es-MX" w:eastAsia="es-MX"/>
        </w:rPr>
        <w:t>serán procedentes para su trámite por parte del sujeto obligado ante quien se presente</w:t>
      </w:r>
      <w:r w:rsidRPr="000A4C44">
        <w:rPr>
          <w:rFonts w:ascii="Palatino Linotype" w:eastAsia="Palatino Linotype" w:hAnsi="Palatino Linotype" w:cs="Palatino Linotype"/>
          <w:i/>
          <w:sz w:val="22"/>
          <w:szCs w:val="22"/>
          <w:lang w:val="es-MX" w:eastAsia="es-MX"/>
        </w:rPr>
        <w:t>. No podrá requerirse información adicional con motivo del nombre proporcionado por el solicitante."</w:t>
      </w:r>
    </w:p>
    <w:p w14:paraId="6546D103" w14:textId="77777777" w:rsidR="00833F34" w:rsidRPr="000A4C44" w:rsidRDefault="00833F34" w:rsidP="00833F34">
      <w:pPr>
        <w:spacing w:line="360" w:lineRule="auto"/>
        <w:jc w:val="both"/>
        <w:rPr>
          <w:rFonts w:ascii="Palatino Linotype" w:eastAsia="Palatino Linotype" w:hAnsi="Palatino Linotype" w:cs="Palatino Linotype"/>
          <w:sz w:val="22"/>
          <w:szCs w:val="22"/>
          <w:lang w:val="es-MX" w:eastAsia="es-MX"/>
        </w:rPr>
      </w:pPr>
    </w:p>
    <w:p w14:paraId="6546D104" w14:textId="77777777" w:rsidR="00833F34" w:rsidRPr="000A4C44" w:rsidRDefault="00833F34" w:rsidP="00833F34">
      <w:pPr>
        <w:numPr>
          <w:ilvl w:val="0"/>
          <w:numId w:val="1"/>
        </w:numPr>
        <w:spacing w:line="360" w:lineRule="auto"/>
        <w:ind w:left="0" w:firstLine="0"/>
        <w:jc w:val="both"/>
        <w:rPr>
          <w:rFonts w:ascii="Palatino Linotype" w:eastAsia="Palatino Linotype" w:hAnsi="Palatino Linotype" w:cs="Palatino Linotype"/>
          <w:sz w:val="22"/>
          <w:szCs w:val="22"/>
          <w:lang w:val="es-ES" w:eastAsia="en-US"/>
        </w:rPr>
      </w:pPr>
      <w:r w:rsidRPr="000A4C44">
        <w:rPr>
          <w:rFonts w:ascii="Palatino Linotype" w:eastAsia="Palatino Linotype" w:hAnsi="Palatino Linotype" w:cs="Palatino Linotype"/>
          <w:sz w:val="22"/>
          <w:szCs w:val="22"/>
          <w:lang w:val="es-ES" w:eastAsia="en-US"/>
        </w:rPr>
        <w:t xml:space="preserve">Robusteciendo lo anterior se encuentra lo dispuesto en el artículo 6, Apartado A, </w:t>
      </w:r>
      <w:r w:rsidRPr="000A4C44">
        <w:rPr>
          <w:rFonts w:ascii="Palatino Linotype" w:eastAsia="Times New Roman" w:hAnsi="Palatino Linotype" w:cs="Times New Roman"/>
          <w:sz w:val="22"/>
          <w:szCs w:val="22"/>
          <w:lang w:val="es-ES" w:eastAsia="en-US"/>
        </w:rPr>
        <w:t>fracciones</w:t>
      </w:r>
      <w:r w:rsidRPr="000A4C44">
        <w:rPr>
          <w:rFonts w:ascii="Palatino Linotype" w:eastAsia="Palatino Linotype" w:hAnsi="Palatino Linotype" w:cs="Palatino Linotype"/>
          <w:sz w:val="22"/>
          <w:szCs w:val="22"/>
          <w:lang w:val="es-ES" w:eastAsia="en-US"/>
        </w:rPr>
        <w:t xml:space="preserve"> III de la Constitución Política de los Estados Unidos Mexicanos que establece:</w:t>
      </w:r>
    </w:p>
    <w:p w14:paraId="6546D105" w14:textId="77777777" w:rsidR="00833F34" w:rsidRPr="000A4C44" w:rsidRDefault="00833F34" w:rsidP="00833F34">
      <w:pPr>
        <w:spacing w:line="360" w:lineRule="auto"/>
        <w:ind w:right="474"/>
        <w:jc w:val="both"/>
        <w:rPr>
          <w:rFonts w:ascii="Palatino Linotype" w:eastAsia="Palatino Linotype" w:hAnsi="Palatino Linotype" w:cs="Palatino Linotype"/>
          <w:i/>
          <w:sz w:val="22"/>
          <w:szCs w:val="22"/>
          <w:lang w:val="es-MX" w:eastAsia="es-MX"/>
        </w:rPr>
      </w:pPr>
    </w:p>
    <w:p w14:paraId="6546D106"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Artículo 6.-</w:t>
      </w:r>
      <w:r w:rsidRPr="000A4C44">
        <w:rPr>
          <w:rFonts w:ascii="Palatino Linotype" w:eastAsia="Palatino Linotype" w:hAnsi="Palatino Linotype" w:cs="Palatino Linotype"/>
          <w:i/>
          <w:sz w:val="22"/>
          <w:szCs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546D107"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Para efectos de lo dispuesto en el presente artículo se observará lo siguiente:</w:t>
      </w:r>
    </w:p>
    <w:p w14:paraId="6546D108"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p>
    <w:p w14:paraId="6546D109"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A. Para el ejercicio del derecho de acceso a la información, la Federación, los Estados y el Distrito Federal, en el ámbito de sus respectivas competencias, se regirán por los siguientes principios y bases:</w:t>
      </w:r>
    </w:p>
    <w:p w14:paraId="6546D10A"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p>
    <w:p w14:paraId="6546D10B"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lastRenderedPageBreak/>
        <w:t xml:space="preserve">III. Toda persona, sin necesidad de acreditar interés alguno o justificar su utilización, tendrá acceso gratuito a la información pública, a sus datos personales o a la rectificación de éstos.” </w:t>
      </w:r>
      <w:r w:rsidRPr="000A4C44">
        <w:rPr>
          <w:rFonts w:ascii="Palatino Linotype" w:eastAsia="Palatino Linotype" w:hAnsi="Palatino Linotype" w:cs="Palatino Linotype"/>
          <w:sz w:val="22"/>
          <w:szCs w:val="22"/>
          <w:lang w:val="es-MX" w:eastAsia="es-MX"/>
        </w:rPr>
        <w:t>(Sic)</w:t>
      </w:r>
    </w:p>
    <w:p w14:paraId="6546D10C" w14:textId="77777777" w:rsidR="00833F34" w:rsidRPr="000A4C44" w:rsidRDefault="00833F34" w:rsidP="00833F34">
      <w:pPr>
        <w:spacing w:line="360" w:lineRule="auto"/>
        <w:ind w:left="567" w:right="474"/>
        <w:jc w:val="both"/>
        <w:rPr>
          <w:rFonts w:ascii="Palatino Linotype" w:eastAsia="Palatino Linotype" w:hAnsi="Palatino Linotype" w:cs="Palatino Linotype"/>
          <w:i/>
          <w:sz w:val="22"/>
          <w:szCs w:val="22"/>
          <w:lang w:val="es-MX" w:eastAsia="es-MX"/>
        </w:rPr>
      </w:pPr>
    </w:p>
    <w:p w14:paraId="6546D10D" w14:textId="77777777" w:rsidR="00833F34" w:rsidRPr="000A4C44" w:rsidRDefault="00833F34" w:rsidP="00833F34">
      <w:pPr>
        <w:numPr>
          <w:ilvl w:val="0"/>
          <w:numId w:val="1"/>
        </w:numPr>
        <w:spacing w:line="360" w:lineRule="auto"/>
        <w:ind w:left="0" w:firstLine="0"/>
        <w:jc w:val="both"/>
        <w:rPr>
          <w:rFonts w:ascii="Palatino Linotype" w:eastAsia="Palatino Linotype" w:hAnsi="Palatino Linotype" w:cs="Palatino Linotype"/>
          <w:sz w:val="22"/>
          <w:szCs w:val="22"/>
          <w:lang w:val="es-ES" w:eastAsia="en-US"/>
        </w:rPr>
      </w:pPr>
      <w:r w:rsidRPr="000A4C44">
        <w:rPr>
          <w:rFonts w:ascii="Palatino Linotype" w:eastAsia="Palatino Linotype" w:hAnsi="Palatino Linotype" w:cs="Palatino Linotype"/>
          <w:sz w:val="22"/>
          <w:szCs w:val="22"/>
          <w:lang w:val="es-ES" w:eastAsia="en-US"/>
        </w:rPr>
        <w:t xml:space="preserve">Así </w:t>
      </w:r>
      <w:r w:rsidRPr="000A4C44">
        <w:rPr>
          <w:rFonts w:ascii="Palatino Linotype" w:eastAsia="Times New Roman" w:hAnsi="Palatino Linotype" w:cs="Times New Roman"/>
          <w:sz w:val="22"/>
          <w:szCs w:val="22"/>
          <w:lang w:val="es-ES" w:eastAsia="en-US"/>
        </w:rPr>
        <w:t>como</w:t>
      </w:r>
      <w:r w:rsidRPr="000A4C44">
        <w:rPr>
          <w:rFonts w:ascii="Palatino Linotype" w:eastAsia="Palatino Linotype" w:hAnsi="Palatino Linotype" w:cs="Palatino Linotype"/>
          <w:sz w:val="22"/>
          <w:szCs w:val="22"/>
          <w:lang w:val="es-ES" w:eastAsia="en-US"/>
        </w:rPr>
        <w:t xml:space="preserve"> el artículo 5 fracción III, párrafo vigésimo noveno, trigésimo y </w:t>
      </w:r>
      <w:r w:rsidRPr="000A4C44">
        <w:rPr>
          <w:rFonts w:ascii="Palatino Linotype" w:eastAsia="Times New Roman" w:hAnsi="Palatino Linotype" w:cs="Times New Roman"/>
          <w:sz w:val="22"/>
          <w:szCs w:val="22"/>
          <w:lang w:val="es-ES" w:eastAsia="en-US"/>
        </w:rPr>
        <w:t>trigésimo</w:t>
      </w:r>
      <w:r w:rsidRPr="000A4C44">
        <w:rPr>
          <w:rFonts w:ascii="Palatino Linotype" w:eastAsia="Palatino Linotype" w:hAnsi="Palatino Linotype" w:cs="Palatino Linotype"/>
          <w:sz w:val="22"/>
          <w:szCs w:val="22"/>
          <w:lang w:val="es-ES" w:eastAsia="en-US"/>
        </w:rPr>
        <w:t xml:space="preserve"> primero, de la Constitución Política del Estado Libre y Soberano de México, que determina lo siguiente:</w:t>
      </w:r>
    </w:p>
    <w:p w14:paraId="6546D10E" w14:textId="77777777" w:rsidR="00833F34" w:rsidRPr="000A4C44" w:rsidRDefault="00833F34" w:rsidP="00833F34">
      <w:pPr>
        <w:spacing w:line="360" w:lineRule="auto"/>
        <w:ind w:right="474"/>
        <w:jc w:val="both"/>
        <w:rPr>
          <w:rFonts w:ascii="Palatino Linotype" w:eastAsia="Palatino Linotype" w:hAnsi="Palatino Linotype" w:cs="Palatino Linotype"/>
          <w:i/>
          <w:sz w:val="22"/>
          <w:szCs w:val="22"/>
          <w:lang w:val="es-MX" w:eastAsia="es-MX"/>
        </w:rPr>
      </w:pPr>
    </w:p>
    <w:p w14:paraId="6546D10F"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Artículo 5.-</w:t>
      </w:r>
      <w:r w:rsidRPr="000A4C44">
        <w:rPr>
          <w:rFonts w:ascii="Palatino Linotype" w:eastAsia="Palatino Linotype" w:hAnsi="Palatino Linotype" w:cs="Palatino Linotype"/>
          <w:i/>
          <w:sz w:val="22"/>
          <w:szCs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546D110"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p>
    <w:p w14:paraId="6546D111"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Toda persona en el Estado de México, tiene derecho al libre acceso a la información plural y oportuna, así como a buscar recibir y difundir información e ideas de toda índole por cualquier medio de expresión.</w:t>
      </w:r>
    </w:p>
    <w:p w14:paraId="6546D112"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p>
    <w:p w14:paraId="6546D113"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El derecho a la información será garantizado por el Estado. La ley establecerá las previsiones que permitan asegurar la protección, el respeto y la difusión de este derecho.</w:t>
      </w:r>
    </w:p>
    <w:p w14:paraId="6546D114"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546D115"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III. Toda persona, sin necesidad de acreditar interés alguno o justificar su utilización, tendrá acceso gratuito a la información pública, a sus datos personales o a la rectificación de éstos;</w:t>
      </w:r>
    </w:p>
    <w:p w14:paraId="6546D116"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p>
    <w:p w14:paraId="6546D117"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w:t>
      </w:r>
      <w:r w:rsidRPr="000A4C44">
        <w:rPr>
          <w:rFonts w:ascii="Palatino Linotype" w:eastAsia="Palatino Linotype" w:hAnsi="Palatino Linotype" w:cs="Palatino Linotype"/>
          <w:i/>
          <w:sz w:val="22"/>
          <w:szCs w:val="22"/>
          <w:lang w:val="es-MX" w:eastAsia="es-MX"/>
        </w:rPr>
        <w:lastRenderedPageBreak/>
        <w:t xml:space="preserve">y a la protección de datos personales en posesión de los sujetos obligados en los términos que establezca la ley.” </w:t>
      </w:r>
      <w:r w:rsidRPr="000A4C44">
        <w:rPr>
          <w:rFonts w:ascii="Palatino Linotype" w:eastAsia="Palatino Linotype" w:hAnsi="Palatino Linotype" w:cs="Palatino Linotype"/>
          <w:sz w:val="22"/>
          <w:szCs w:val="22"/>
          <w:lang w:val="es-MX" w:eastAsia="es-MX"/>
        </w:rPr>
        <w:t>(Sic)</w:t>
      </w:r>
    </w:p>
    <w:p w14:paraId="6546D118" w14:textId="77777777" w:rsidR="00833F34" w:rsidRPr="000A4C44" w:rsidRDefault="00833F34" w:rsidP="00833F34">
      <w:pPr>
        <w:ind w:left="426" w:right="476"/>
        <w:jc w:val="both"/>
        <w:rPr>
          <w:rFonts w:ascii="Palatino Linotype" w:eastAsia="Palatino Linotype" w:hAnsi="Palatino Linotype" w:cs="Palatino Linotype"/>
          <w:i/>
          <w:sz w:val="22"/>
          <w:szCs w:val="22"/>
          <w:lang w:val="es-MX" w:eastAsia="es-MX"/>
        </w:rPr>
      </w:pPr>
    </w:p>
    <w:p w14:paraId="6546D119" w14:textId="77777777" w:rsidR="00833F34" w:rsidRPr="000A4C44" w:rsidRDefault="00833F34" w:rsidP="00833F34">
      <w:pPr>
        <w:numPr>
          <w:ilvl w:val="0"/>
          <w:numId w:val="1"/>
        </w:numPr>
        <w:spacing w:line="360" w:lineRule="auto"/>
        <w:ind w:left="0" w:firstLine="0"/>
        <w:jc w:val="both"/>
        <w:rPr>
          <w:rFonts w:ascii="Palatino Linotype" w:eastAsia="Palatino Linotype" w:hAnsi="Palatino Linotype" w:cs="Palatino Linotype"/>
          <w:sz w:val="22"/>
          <w:szCs w:val="22"/>
          <w:lang w:val="es-ES" w:eastAsia="en-US"/>
        </w:rPr>
      </w:pPr>
      <w:r w:rsidRPr="000A4C44">
        <w:rPr>
          <w:rFonts w:ascii="Palatino Linotype" w:eastAsia="Palatino Linotype" w:hAnsi="Palatino Linotype" w:cs="Palatino Linotype"/>
          <w:sz w:val="22"/>
          <w:szCs w:val="22"/>
          <w:lang w:val="es-ES" w:eastAsia="en-US"/>
        </w:rPr>
        <w:t>Por otra parte, del contenido del artículo 1 de la Constitución Política de los Estados Unidos mexicanos, se destaca lo siguiente:</w:t>
      </w:r>
    </w:p>
    <w:p w14:paraId="6546D11A" w14:textId="77777777" w:rsidR="00833F34" w:rsidRPr="000A4C44" w:rsidRDefault="00833F34" w:rsidP="00833F34">
      <w:pPr>
        <w:spacing w:line="360" w:lineRule="auto"/>
        <w:jc w:val="both"/>
        <w:rPr>
          <w:rFonts w:ascii="Palatino Linotype" w:eastAsia="Palatino Linotype" w:hAnsi="Palatino Linotype" w:cs="Palatino Linotype"/>
          <w:sz w:val="22"/>
          <w:szCs w:val="22"/>
          <w:lang w:val="es-ES" w:eastAsia="en-US"/>
        </w:rPr>
      </w:pPr>
    </w:p>
    <w:p w14:paraId="6546D11B"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Artículo 1</w:t>
      </w:r>
      <w:r w:rsidRPr="000A4C44">
        <w:rPr>
          <w:rFonts w:ascii="Palatino Linotype" w:eastAsia="Palatino Linotype" w:hAnsi="Palatino Linotype" w:cs="Palatino Linotype"/>
          <w:i/>
          <w:sz w:val="22"/>
          <w:szCs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546D11C"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546D11D" w14:textId="77777777" w:rsidR="00833F34" w:rsidRPr="000A4C44" w:rsidRDefault="00833F34" w:rsidP="00D96A35">
      <w:pPr>
        <w:ind w:left="1134" w:right="900"/>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546D11E" w14:textId="77777777" w:rsidR="00833F34" w:rsidRPr="000A4C44" w:rsidRDefault="00833F34" w:rsidP="00833F34">
      <w:pPr>
        <w:spacing w:line="360" w:lineRule="auto"/>
        <w:ind w:left="426" w:right="474"/>
        <w:jc w:val="both"/>
        <w:rPr>
          <w:rFonts w:ascii="Palatino Linotype" w:eastAsia="Palatino Linotype" w:hAnsi="Palatino Linotype" w:cs="Palatino Linotype"/>
          <w:i/>
          <w:sz w:val="22"/>
          <w:szCs w:val="22"/>
          <w:lang w:val="es-MX" w:eastAsia="es-MX"/>
        </w:rPr>
      </w:pPr>
    </w:p>
    <w:p w14:paraId="6546D11F" w14:textId="77777777" w:rsidR="00833F34" w:rsidRPr="000A4C44" w:rsidRDefault="00833F34" w:rsidP="00833F34">
      <w:pPr>
        <w:numPr>
          <w:ilvl w:val="0"/>
          <w:numId w:val="1"/>
        </w:numPr>
        <w:spacing w:line="360" w:lineRule="auto"/>
        <w:ind w:left="0" w:firstLine="0"/>
        <w:jc w:val="both"/>
        <w:rPr>
          <w:rFonts w:ascii="Palatino Linotype" w:eastAsia="Palatino Linotype" w:hAnsi="Palatino Linotype" w:cs="Palatino Linotype"/>
          <w:sz w:val="22"/>
          <w:szCs w:val="22"/>
          <w:lang w:val="es-ES" w:eastAsia="en-US"/>
        </w:rPr>
      </w:pPr>
      <w:r w:rsidRPr="000A4C44">
        <w:rPr>
          <w:rFonts w:ascii="Palatino Linotype" w:eastAsia="Palatino Linotype" w:hAnsi="Palatino Linotype" w:cs="Palatino Linotype"/>
          <w:sz w:val="22"/>
          <w:szCs w:val="22"/>
          <w:lang w:val="es-ES" w:eastAsia="en-US"/>
        </w:rPr>
        <w:t xml:space="preserve">Esto es, que el derecho humano de acceso a la información pública, se aprecia que toda persona, sin necesidad de acreditar interés alguno o justificar su interposición, deberá tener acceso a la información pública, es decir, dicho </w:t>
      </w:r>
      <w:r w:rsidRPr="000A4C44">
        <w:rPr>
          <w:rFonts w:ascii="Palatino Linotype" w:eastAsia="Palatino Linotype" w:hAnsi="Palatino Linotype" w:cs="Palatino Linotype"/>
          <w:i/>
          <w:sz w:val="22"/>
          <w:szCs w:val="22"/>
          <w:lang w:val="es-ES" w:eastAsia="en-US"/>
        </w:rPr>
        <w:t>derecho fundamental exime a quien lo ejerce</w:t>
      </w:r>
      <w:r w:rsidRPr="000A4C44">
        <w:rPr>
          <w:rFonts w:ascii="Palatino Linotype" w:eastAsia="Palatino Linotype" w:hAnsi="Palatino Linotype" w:cs="Palatino Linotype"/>
          <w:sz w:val="22"/>
          <w:szCs w:val="22"/>
          <w:lang w:val="es-ES" w:eastAsia="en-U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546D120" w14:textId="77777777" w:rsidR="00833F34" w:rsidRPr="000A4C44" w:rsidRDefault="00833F34" w:rsidP="00833F34">
      <w:pPr>
        <w:spacing w:line="360" w:lineRule="auto"/>
        <w:jc w:val="both"/>
        <w:rPr>
          <w:rFonts w:ascii="Palatino Linotype" w:eastAsia="Palatino Linotype" w:hAnsi="Palatino Linotype" w:cs="Palatino Linotype"/>
          <w:sz w:val="22"/>
          <w:szCs w:val="22"/>
          <w:lang w:val="es-ES" w:eastAsia="en-US"/>
        </w:rPr>
      </w:pPr>
    </w:p>
    <w:p w14:paraId="6546D121" w14:textId="77777777" w:rsidR="00833F34" w:rsidRPr="000A4C44" w:rsidRDefault="00833F34" w:rsidP="00833F34">
      <w:pPr>
        <w:numPr>
          <w:ilvl w:val="0"/>
          <w:numId w:val="1"/>
        </w:numPr>
        <w:spacing w:line="360" w:lineRule="auto"/>
        <w:ind w:left="0" w:firstLine="0"/>
        <w:jc w:val="both"/>
        <w:rPr>
          <w:rFonts w:ascii="Palatino Linotype" w:eastAsia="Palatino Linotype" w:hAnsi="Palatino Linotype" w:cs="Palatino Linotype"/>
          <w:sz w:val="22"/>
          <w:szCs w:val="22"/>
          <w:lang w:val="es-ES" w:eastAsia="en-US"/>
        </w:rPr>
      </w:pPr>
      <w:r w:rsidRPr="000A4C44">
        <w:rPr>
          <w:rFonts w:ascii="Palatino Linotype" w:eastAsia="Palatino Linotype" w:hAnsi="Palatino Linotype" w:cs="Palatino Linotype"/>
          <w:sz w:val="22"/>
          <w:szCs w:val="22"/>
          <w:lang w:val="es-ES" w:eastAsia="en-US"/>
        </w:rPr>
        <w:t xml:space="preserve">En consecuencia, dado lo expuesto y fundado con anterioridad, se estima que el requisito relativo al nombre del </w:t>
      </w:r>
      <w:r w:rsidRPr="000A4C44">
        <w:rPr>
          <w:rFonts w:ascii="Palatino Linotype" w:eastAsia="Palatino Linotype" w:hAnsi="Palatino Linotype" w:cs="Palatino Linotype"/>
          <w:b/>
          <w:sz w:val="22"/>
          <w:szCs w:val="22"/>
          <w:lang w:val="es-ES" w:eastAsia="en-US"/>
        </w:rPr>
        <w:t>RECURRENTE</w:t>
      </w:r>
      <w:r w:rsidRPr="000A4C44">
        <w:rPr>
          <w:rFonts w:ascii="Palatino Linotype" w:eastAsia="Palatino Linotype" w:hAnsi="Palatino Linotype" w:cs="Palatino Linotype"/>
          <w:sz w:val="22"/>
          <w:szCs w:val="22"/>
          <w:lang w:val="es-ES" w:eastAsia="en-US"/>
        </w:rPr>
        <w:t xml:space="preserve"> no constituye un presupuesto </w:t>
      </w:r>
      <w:r w:rsidRPr="000A4C44">
        <w:rPr>
          <w:rFonts w:ascii="Palatino Linotype" w:eastAsia="Palatino Linotype" w:hAnsi="Palatino Linotype" w:cs="Palatino Linotype"/>
          <w:sz w:val="22"/>
          <w:szCs w:val="22"/>
          <w:lang w:val="es-ES" w:eastAsia="en-US"/>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546D122" w14:textId="77777777" w:rsidR="00833F34" w:rsidRPr="000A4C44" w:rsidRDefault="00833F34" w:rsidP="00833F34">
      <w:pPr>
        <w:rPr>
          <w:rFonts w:ascii="Palatino Linotype" w:eastAsia="Calibri" w:hAnsi="Palatino Linotype" w:cs="Arial"/>
          <w:sz w:val="22"/>
          <w:szCs w:val="22"/>
        </w:rPr>
      </w:pPr>
    </w:p>
    <w:p w14:paraId="6546D123"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sz w:val="22"/>
          <w:szCs w:val="22"/>
        </w:rPr>
      </w:pPr>
      <w:r w:rsidRPr="000A4C44">
        <w:rPr>
          <w:rFonts w:ascii="Palatino Linotype" w:eastAsia="Calibri" w:hAnsi="Palatino Linotype" w:cs="Arial"/>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546D124" w14:textId="77777777" w:rsidR="00833F34" w:rsidRPr="000A4C44" w:rsidRDefault="00833F34" w:rsidP="00833F34">
      <w:pPr>
        <w:pStyle w:val="Prrafodelista"/>
        <w:rPr>
          <w:rFonts w:ascii="Palatino Linotype" w:hAnsi="Palatino Linotype"/>
          <w:sz w:val="22"/>
          <w:szCs w:val="22"/>
        </w:rPr>
      </w:pPr>
    </w:p>
    <w:p w14:paraId="6546D125" w14:textId="77777777" w:rsidR="00833F34" w:rsidRPr="000A4C44" w:rsidRDefault="00833F34" w:rsidP="00833F34">
      <w:pPr>
        <w:pStyle w:val="Prrafodelista"/>
        <w:spacing w:line="360" w:lineRule="auto"/>
        <w:ind w:left="0"/>
        <w:jc w:val="both"/>
        <w:rPr>
          <w:rFonts w:ascii="Palatino Linotype" w:hAnsi="Palatino Linotype"/>
          <w:sz w:val="22"/>
          <w:szCs w:val="22"/>
        </w:rPr>
      </w:pPr>
    </w:p>
    <w:p w14:paraId="6546D126" w14:textId="77777777" w:rsidR="00833F34" w:rsidRPr="000A4C44" w:rsidRDefault="00833F34" w:rsidP="00833F34">
      <w:pPr>
        <w:pStyle w:val="Ttulo2"/>
        <w:spacing w:before="0" w:line="360" w:lineRule="auto"/>
        <w:rPr>
          <w:rFonts w:ascii="Palatino Linotype" w:hAnsi="Palatino Linotype"/>
          <w:b/>
          <w:color w:val="000000" w:themeColor="text1"/>
          <w:sz w:val="22"/>
          <w:szCs w:val="22"/>
        </w:rPr>
      </w:pPr>
      <w:bookmarkStart w:id="139" w:name="_Toc34246179"/>
      <w:bookmarkStart w:id="140" w:name="_Toc50033991"/>
      <w:bookmarkStart w:id="141" w:name="_Toc51259588"/>
      <w:bookmarkStart w:id="142" w:name="_Toc83128581"/>
      <w:r w:rsidRPr="000A4C44">
        <w:rPr>
          <w:rFonts w:ascii="Palatino Linotype" w:hAnsi="Palatino Linotype"/>
          <w:b/>
          <w:color w:val="000000" w:themeColor="text1"/>
          <w:sz w:val="22"/>
          <w:szCs w:val="22"/>
        </w:rPr>
        <w:t xml:space="preserve">TERCERO. </w:t>
      </w:r>
      <w:bookmarkEnd w:id="139"/>
      <w:bookmarkEnd w:id="140"/>
      <w:bookmarkEnd w:id="141"/>
      <w:bookmarkEnd w:id="142"/>
      <w:r w:rsidRPr="000A4C44">
        <w:rPr>
          <w:rFonts w:ascii="Palatino Linotype" w:hAnsi="Palatino Linotype"/>
          <w:b/>
          <w:color w:val="000000" w:themeColor="text1"/>
          <w:sz w:val="22"/>
          <w:szCs w:val="22"/>
        </w:rPr>
        <w:t>Del planteamiento de la Litis</w:t>
      </w:r>
    </w:p>
    <w:p w14:paraId="6546D127" w14:textId="77777777" w:rsidR="00833F34" w:rsidRPr="000A4C44" w:rsidRDefault="00833F34" w:rsidP="00833F34">
      <w:pPr>
        <w:spacing w:line="360" w:lineRule="auto"/>
        <w:rPr>
          <w:rFonts w:ascii="Palatino Linotype" w:hAnsi="Palatino Linotype"/>
          <w:sz w:val="22"/>
          <w:szCs w:val="22"/>
          <w:lang w:val="es-MX" w:eastAsia="en-US"/>
        </w:rPr>
      </w:pPr>
    </w:p>
    <w:p w14:paraId="6546D128"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cs="Arial"/>
          <w:sz w:val="22"/>
          <w:szCs w:val="22"/>
        </w:rPr>
      </w:pPr>
      <w:r w:rsidRPr="000A4C44">
        <w:rPr>
          <w:rFonts w:ascii="Palatino Linotype" w:hAnsi="Palatino Linotype" w:cs="Arial"/>
          <w:sz w:val="22"/>
          <w:szCs w:val="22"/>
        </w:rPr>
        <w:t xml:space="preserve">Se </w:t>
      </w:r>
      <w:r w:rsidRPr="000A4C44">
        <w:rPr>
          <w:rFonts w:ascii="Palatino Linotype" w:eastAsia="Calibri" w:hAnsi="Palatino Linotype" w:cs="Arial"/>
          <w:sz w:val="22"/>
          <w:szCs w:val="22"/>
        </w:rPr>
        <w:t>solicitó</w:t>
      </w:r>
      <w:r w:rsidRPr="000A4C44">
        <w:rPr>
          <w:rFonts w:ascii="Palatino Linotype" w:hAnsi="Palatino Linotype" w:cs="Arial"/>
          <w:sz w:val="22"/>
          <w:szCs w:val="22"/>
        </w:rPr>
        <w:t xml:space="preserve"> tener acceso, a la información que a continuación se desagrega:</w:t>
      </w:r>
    </w:p>
    <w:p w14:paraId="6546D129" w14:textId="77777777" w:rsidR="00833F34" w:rsidRPr="000A4C44" w:rsidRDefault="00833F34" w:rsidP="00833F34">
      <w:pPr>
        <w:pStyle w:val="Prrafodelista"/>
        <w:spacing w:line="360" w:lineRule="auto"/>
        <w:ind w:left="0"/>
        <w:jc w:val="both"/>
        <w:rPr>
          <w:rFonts w:ascii="Palatino Linotype" w:hAnsi="Palatino Linotype" w:cs="Arial"/>
          <w:sz w:val="22"/>
          <w:szCs w:val="22"/>
        </w:rPr>
      </w:pPr>
    </w:p>
    <w:p w14:paraId="6546D12A" w14:textId="77777777" w:rsidR="00860FBB" w:rsidRPr="000A4C44" w:rsidRDefault="00D96A35" w:rsidP="00860FBB">
      <w:pPr>
        <w:pStyle w:val="Prrafodelista"/>
        <w:numPr>
          <w:ilvl w:val="0"/>
          <w:numId w:val="12"/>
        </w:numPr>
        <w:ind w:left="1134" w:right="900" w:firstLine="0"/>
        <w:jc w:val="both"/>
        <w:rPr>
          <w:rFonts w:ascii="Palatino Linotype" w:hAnsi="Palatino Linotype" w:cs="Arial"/>
          <w:b/>
          <w:i/>
          <w:sz w:val="22"/>
          <w:szCs w:val="22"/>
        </w:rPr>
      </w:pPr>
      <w:r w:rsidRPr="000A4C44">
        <w:rPr>
          <w:rFonts w:ascii="Palatino Linotype" w:hAnsi="Palatino Linotype" w:cs="Arial"/>
          <w:b/>
          <w:i/>
          <w:sz w:val="22"/>
          <w:szCs w:val="22"/>
        </w:rPr>
        <w:t>número de procedimientos de investigación instaurados por la Contraloría en contra de servidores públicos del periodo de</w:t>
      </w:r>
      <w:r w:rsidR="00860FBB" w:rsidRPr="000A4C44">
        <w:rPr>
          <w:rFonts w:ascii="Palatino Linotype" w:hAnsi="Palatino Linotype" w:cs="Arial"/>
          <w:b/>
          <w:i/>
          <w:sz w:val="22"/>
          <w:szCs w:val="22"/>
        </w:rPr>
        <w:t xml:space="preserve"> enero de 2022 a marzo de 2024</w:t>
      </w:r>
    </w:p>
    <w:p w14:paraId="6546D12B" w14:textId="77777777" w:rsidR="00860FBB" w:rsidRPr="000A4C44" w:rsidRDefault="00860FBB" w:rsidP="00860FBB">
      <w:pPr>
        <w:pStyle w:val="Prrafodelista"/>
        <w:ind w:left="1134" w:right="900"/>
        <w:jc w:val="both"/>
        <w:rPr>
          <w:rFonts w:ascii="Palatino Linotype" w:hAnsi="Palatino Linotype" w:cs="Arial"/>
          <w:b/>
          <w:i/>
          <w:sz w:val="22"/>
          <w:szCs w:val="22"/>
        </w:rPr>
      </w:pPr>
    </w:p>
    <w:p w14:paraId="6546D12C" w14:textId="77777777" w:rsidR="00860FBB" w:rsidRPr="000A4C44" w:rsidRDefault="00D96A35" w:rsidP="00860FBB">
      <w:pPr>
        <w:pStyle w:val="Prrafodelista"/>
        <w:numPr>
          <w:ilvl w:val="0"/>
          <w:numId w:val="12"/>
        </w:numPr>
        <w:ind w:left="1134" w:right="900" w:firstLine="0"/>
        <w:jc w:val="both"/>
        <w:rPr>
          <w:rFonts w:ascii="Palatino Linotype" w:hAnsi="Palatino Linotype" w:cs="Arial"/>
          <w:b/>
          <w:i/>
          <w:sz w:val="22"/>
          <w:szCs w:val="22"/>
        </w:rPr>
      </w:pPr>
      <w:r w:rsidRPr="000A4C44">
        <w:rPr>
          <w:rFonts w:ascii="Palatino Linotype" w:hAnsi="Palatino Linotype" w:cs="Arial"/>
          <w:b/>
          <w:i/>
          <w:sz w:val="22"/>
          <w:szCs w:val="22"/>
        </w:rPr>
        <w:t>cuantos son hombres y cuantos mujeres;</w:t>
      </w:r>
    </w:p>
    <w:p w14:paraId="6546D12D" w14:textId="77777777" w:rsidR="00860FBB" w:rsidRPr="000A4C44" w:rsidRDefault="00860FBB" w:rsidP="00860FBB">
      <w:pPr>
        <w:ind w:right="900"/>
        <w:jc w:val="both"/>
        <w:rPr>
          <w:rFonts w:ascii="Palatino Linotype" w:hAnsi="Palatino Linotype" w:cs="Arial"/>
          <w:b/>
          <w:i/>
          <w:sz w:val="22"/>
          <w:szCs w:val="22"/>
        </w:rPr>
      </w:pPr>
    </w:p>
    <w:p w14:paraId="6546D12E" w14:textId="77777777" w:rsidR="00860FBB" w:rsidRPr="000A4C44" w:rsidRDefault="00D96A35" w:rsidP="00860FBB">
      <w:pPr>
        <w:pStyle w:val="Prrafodelista"/>
        <w:numPr>
          <w:ilvl w:val="0"/>
          <w:numId w:val="12"/>
        </w:numPr>
        <w:ind w:left="1134" w:right="900" w:firstLine="0"/>
        <w:jc w:val="both"/>
        <w:rPr>
          <w:rFonts w:ascii="Palatino Linotype" w:hAnsi="Palatino Linotype" w:cs="Arial"/>
          <w:b/>
          <w:i/>
          <w:sz w:val="22"/>
          <w:szCs w:val="22"/>
        </w:rPr>
      </w:pPr>
      <w:r w:rsidRPr="000A4C44">
        <w:rPr>
          <w:rFonts w:ascii="Palatino Linotype" w:hAnsi="Palatino Linotype" w:cs="Arial"/>
          <w:b/>
          <w:i/>
          <w:sz w:val="22"/>
          <w:szCs w:val="22"/>
        </w:rPr>
        <w:t xml:space="preserve">rango de edad; </w:t>
      </w:r>
    </w:p>
    <w:p w14:paraId="6546D12F" w14:textId="77777777" w:rsidR="00860FBB" w:rsidRPr="000A4C44" w:rsidRDefault="00860FBB" w:rsidP="00860FBB">
      <w:pPr>
        <w:pStyle w:val="Prrafodelista"/>
        <w:ind w:left="1134" w:right="900"/>
        <w:jc w:val="both"/>
        <w:rPr>
          <w:rFonts w:ascii="Palatino Linotype" w:hAnsi="Palatino Linotype" w:cs="Arial"/>
          <w:b/>
          <w:i/>
          <w:sz w:val="22"/>
          <w:szCs w:val="22"/>
        </w:rPr>
      </w:pPr>
    </w:p>
    <w:p w14:paraId="6546D130" w14:textId="77777777" w:rsidR="00833F34" w:rsidRPr="000A4C44" w:rsidRDefault="00D96A35" w:rsidP="00860FBB">
      <w:pPr>
        <w:pStyle w:val="Prrafodelista"/>
        <w:numPr>
          <w:ilvl w:val="0"/>
          <w:numId w:val="12"/>
        </w:numPr>
        <w:ind w:left="1134" w:right="900" w:firstLine="0"/>
        <w:jc w:val="both"/>
        <w:rPr>
          <w:rFonts w:ascii="Palatino Linotype" w:hAnsi="Palatino Linotype" w:cs="Arial"/>
          <w:b/>
          <w:i/>
          <w:sz w:val="22"/>
          <w:szCs w:val="22"/>
        </w:rPr>
      </w:pPr>
      <w:r w:rsidRPr="000A4C44">
        <w:rPr>
          <w:rFonts w:ascii="Palatino Linotype" w:hAnsi="Palatino Linotype" w:cs="Arial"/>
          <w:b/>
          <w:i/>
          <w:sz w:val="22"/>
          <w:szCs w:val="22"/>
        </w:rPr>
        <w:lastRenderedPageBreak/>
        <w:t>nombre del servidor público investigado, estatus del procedimiento y si fuera el caso sanción establecida</w:t>
      </w:r>
    </w:p>
    <w:p w14:paraId="6546D131" w14:textId="77777777" w:rsidR="00860FBB" w:rsidRPr="000A4C44" w:rsidRDefault="00860FBB" w:rsidP="00860FBB">
      <w:pPr>
        <w:pStyle w:val="Prrafodelista"/>
        <w:rPr>
          <w:rFonts w:ascii="Palatino Linotype" w:hAnsi="Palatino Linotype" w:cs="Arial"/>
          <w:b/>
          <w:i/>
          <w:sz w:val="22"/>
          <w:szCs w:val="22"/>
        </w:rPr>
      </w:pPr>
    </w:p>
    <w:p w14:paraId="6546D132" w14:textId="77777777" w:rsidR="00860FBB" w:rsidRPr="000A4C44" w:rsidRDefault="00860FBB" w:rsidP="00860FBB">
      <w:pPr>
        <w:pStyle w:val="Prrafodelista"/>
        <w:ind w:left="1134" w:right="900"/>
        <w:jc w:val="both"/>
        <w:rPr>
          <w:rFonts w:ascii="Palatino Linotype" w:hAnsi="Palatino Linotype" w:cs="Arial"/>
          <w:b/>
          <w:i/>
          <w:sz w:val="22"/>
          <w:szCs w:val="22"/>
        </w:rPr>
      </w:pPr>
    </w:p>
    <w:p w14:paraId="6546D133" w14:textId="77777777" w:rsidR="00833F34" w:rsidRPr="000A4C44" w:rsidRDefault="00833F34" w:rsidP="00833F34">
      <w:pPr>
        <w:pStyle w:val="Prrafodelista"/>
        <w:numPr>
          <w:ilvl w:val="0"/>
          <w:numId w:val="1"/>
        </w:numPr>
        <w:spacing w:line="360" w:lineRule="auto"/>
        <w:ind w:left="0" w:firstLine="0"/>
        <w:jc w:val="both"/>
        <w:rPr>
          <w:rFonts w:ascii="Palatino Linotype" w:hAnsi="Palatino Linotype"/>
          <w:sz w:val="22"/>
          <w:szCs w:val="22"/>
        </w:rPr>
      </w:pPr>
      <w:r w:rsidRPr="000A4C44">
        <w:rPr>
          <w:rFonts w:ascii="Palatino Linotype" w:hAnsi="Palatino Linotype" w:cs="Arial"/>
          <w:sz w:val="22"/>
          <w:szCs w:val="22"/>
        </w:rPr>
        <w:t xml:space="preserve">En respuesta, el </w:t>
      </w:r>
      <w:r w:rsidRPr="000A4C44">
        <w:rPr>
          <w:rFonts w:ascii="Palatino Linotype" w:hAnsi="Palatino Linotype" w:cs="Arial"/>
          <w:b/>
          <w:sz w:val="22"/>
          <w:szCs w:val="22"/>
        </w:rPr>
        <w:t xml:space="preserve">SUJETO OBLIGADO </w:t>
      </w:r>
      <w:r w:rsidR="00860FBB" w:rsidRPr="000A4C44">
        <w:rPr>
          <w:rFonts w:ascii="Palatino Linotype" w:hAnsi="Palatino Linotype" w:cs="Arial"/>
          <w:sz w:val="22"/>
          <w:szCs w:val="22"/>
        </w:rPr>
        <w:t xml:space="preserve">entrego dos archivos electrónicos en formato pdf, cuyo contenido grosso modo es el siguiente. </w:t>
      </w:r>
    </w:p>
    <w:p w14:paraId="6546D134" w14:textId="77777777" w:rsidR="00860FBB" w:rsidRPr="000A4C44" w:rsidRDefault="00860FBB" w:rsidP="00860FBB">
      <w:pPr>
        <w:pStyle w:val="Prrafodelista"/>
        <w:spacing w:line="360" w:lineRule="auto"/>
        <w:ind w:left="0"/>
        <w:jc w:val="both"/>
        <w:rPr>
          <w:rFonts w:ascii="Palatino Linotype" w:hAnsi="Palatino Linotype"/>
          <w:sz w:val="22"/>
          <w:szCs w:val="22"/>
        </w:rPr>
      </w:pPr>
    </w:p>
    <w:p w14:paraId="6546D135" w14:textId="77777777" w:rsidR="00860FBB" w:rsidRPr="000A4C44" w:rsidRDefault="00860FBB" w:rsidP="00860FBB">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b/>
          <w:i/>
          <w:color w:val="000000" w:themeColor="text1"/>
          <w:sz w:val="22"/>
          <w:szCs w:val="22"/>
        </w:rPr>
        <w:t xml:space="preserve">65 solic .pdf: </w:t>
      </w:r>
      <w:r w:rsidRPr="000A4C44">
        <w:rPr>
          <w:rFonts w:ascii="Palatino Linotype" w:hAnsi="Palatino Linotype" w:cs="Arial"/>
          <w:i/>
          <w:color w:val="000000" w:themeColor="text1"/>
          <w:sz w:val="22"/>
          <w:szCs w:val="22"/>
        </w:rPr>
        <w:t xml:space="preserve">oficio del Titular de la Unidad de Transparencia y Protección de Datos Personales, mediante el cual informa al solicitante que el Contralor Municipal anexo su respuesta. </w:t>
      </w:r>
    </w:p>
    <w:p w14:paraId="6546D136" w14:textId="77777777" w:rsidR="00860FBB" w:rsidRPr="000A4C44" w:rsidRDefault="00860FBB" w:rsidP="00860FBB">
      <w:pPr>
        <w:pStyle w:val="Prrafodelista"/>
        <w:ind w:left="1134" w:right="900"/>
        <w:jc w:val="both"/>
        <w:rPr>
          <w:rFonts w:ascii="Palatino Linotype" w:hAnsi="Palatino Linotype" w:cs="Arial"/>
          <w:b/>
          <w:i/>
          <w:color w:val="000000" w:themeColor="text1"/>
          <w:sz w:val="22"/>
          <w:szCs w:val="22"/>
        </w:rPr>
      </w:pPr>
      <w:r w:rsidRPr="000A4C44">
        <w:rPr>
          <w:rFonts w:ascii="Palatino Linotype" w:hAnsi="Palatino Linotype" w:cs="Arial"/>
          <w:b/>
          <w:i/>
          <w:color w:val="000000" w:themeColor="text1"/>
          <w:sz w:val="22"/>
          <w:szCs w:val="22"/>
        </w:rPr>
        <w:t xml:space="preserve">65 contralor .pdf: </w:t>
      </w:r>
      <w:r w:rsidRPr="000A4C44">
        <w:rPr>
          <w:rFonts w:ascii="Palatino Linotype" w:hAnsi="Palatino Linotype" w:cs="Arial"/>
          <w:i/>
          <w:color w:val="000000" w:themeColor="text1"/>
          <w:sz w:val="22"/>
          <w:szCs w:val="22"/>
        </w:rPr>
        <w:t xml:space="preserve">oficio del Contralor Municipal, mediante el cual informa que el número de procedimientos de investigación instaurados por la Contraloría Municipal de enero de dos mil veintidós al mes de marzo de dos mil veinticuatro es de </w:t>
      </w:r>
      <w:r w:rsidRPr="000A4C44">
        <w:rPr>
          <w:rFonts w:ascii="Palatino Linotype" w:hAnsi="Palatino Linotype" w:cs="Arial"/>
          <w:b/>
          <w:i/>
          <w:color w:val="000000" w:themeColor="text1"/>
          <w:sz w:val="22"/>
          <w:szCs w:val="22"/>
        </w:rPr>
        <w:t xml:space="preserve">1545 expedientes. </w:t>
      </w:r>
    </w:p>
    <w:p w14:paraId="6546D137" w14:textId="77777777" w:rsidR="00860FBB" w:rsidRPr="000A4C44" w:rsidRDefault="00860FBB" w:rsidP="00860FBB">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i/>
          <w:color w:val="000000" w:themeColor="text1"/>
          <w:sz w:val="22"/>
          <w:szCs w:val="22"/>
        </w:rPr>
        <w:t xml:space="preserve">Dentro de la misma respuesta refiere que por cuanto hace a cuantos son hombres y mujeres, rango de edades y nombre del servidor público investigado, no se puede entregar, en virtud de que la información contiene datos personales protegidos, así como por la secrecía , la presunción de inocencia y el respeto a los derechos humanos, </w:t>
      </w:r>
    </w:p>
    <w:p w14:paraId="6546D138" w14:textId="77777777" w:rsidR="00860FBB" w:rsidRPr="000A4C44" w:rsidRDefault="00860FBB" w:rsidP="00860FBB">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i/>
          <w:color w:val="000000" w:themeColor="text1"/>
          <w:sz w:val="22"/>
          <w:szCs w:val="22"/>
        </w:rPr>
        <w:t xml:space="preserve">Finalmente informa que respecto al estatus del procedimiento y si fuera el caso la sanción establecida, refiere que de las tablas de aplicabilidad en la fracción XXII del artículo 92 de la Ley de Transparencia y Acceso a la Información Pública del Estado de México y Municipios, no les es aplicables. </w:t>
      </w:r>
    </w:p>
    <w:p w14:paraId="6546D139" w14:textId="77777777" w:rsidR="00833F34" w:rsidRPr="000A4C44" w:rsidRDefault="00833F34" w:rsidP="00833F34">
      <w:pPr>
        <w:spacing w:line="360" w:lineRule="auto"/>
        <w:jc w:val="both"/>
        <w:rPr>
          <w:rFonts w:ascii="Palatino Linotype" w:hAnsi="Palatino Linotype" w:cs="Arial"/>
          <w:sz w:val="22"/>
          <w:szCs w:val="22"/>
        </w:rPr>
      </w:pPr>
    </w:p>
    <w:p w14:paraId="6546D13A" w14:textId="77777777" w:rsidR="00833F34" w:rsidRPr="000A4C44" w:rsidRDefault="00833F34" w:rsidP="00833F34">
      <w:pPr>
        <w:numPr>
          <w:ilvl w:val="0"/>
          <w:numId w:val="1"/>
        </w:numPr>
        <w:spacing w:line="360" w:lineRule="auto"/>
        <w:ind w:left="0" w:firstLine="0"/>
        <w:contextualSpacing/>
        <w:jc w:val="both"/>
        <w:rPr>
          <w:rFonts w:ascii="Palatino Linotype" w:eastAsia="MS Mincho" w:hAnsi="Palatino Linotype" w:cs="Arial"/>
          <w:sz w:val="22"/>
          <w:szCs w:val="22"/>
        </w:rPr>
      </w:pPr>
      <w:r w:rsidRPr="000A4C44">
        <w:rPr>
          <w:rFonts w:ascii="Palatino Linotype" w:eastAsia="MS Mincho" w:hAnsi="Palatino Linotype" w:cs="Arial"/>
          <w:sz w:val="22"/>
          <w:szCs w:val="22"/>
        </w:rPr>
        <w:t xml:space="preserve">En </w:t>
      </w:r>
      <w:r w:rsidRPr="000A4C44">
        <w:rPr>
          <w:rFonts w:ascii="Palatino Linotype" w:hAnsi="Palatino Linotype" w:cs="Arial"/>
          <w:sz w:val="22"/>
          <w:szCs w:val="22"/>
          <w:lang w:eastAsia="es-MX"/>
        </w:rPr>
        <w:t>dichas</w:t>
      </w:r>
      <w:r w:rsidRPr="000A4C44">
        <w:rPr>
          <w:rFonts w:ascii="Palatino Linotype" w:eastAsia="Times New Roman" w:hAnsi="Palatino Linotype" w:cs="Arial"/>
          <w:sz w:val="22"/>
          <w:szCs w:val="22"/>
        </w:rPr>
        <w:t xml:space="preserve"> condiciones, la </w:t>
      </w:r>
      <w:r w:rsidRPr="000A4C44">
        <w:rPr>
          <w:rFonts w:ascii="Palatino Linotype" w:eastAsia="Times New Roman" w:hAnsi="Palatino Linotype" w:cs="Arial"/>
          <w:i/>
          <w:sz w:val="22"/>
          <w:szCs w:val="22"/>
        </w:rPr>
        <w:t>Litis</w:t>
      </w:r>
      <w:r w:rsidRPr="000A4C44">
        <w:rPr>
          <w:rFonts w:ascii="Palatino Linotype" w:eastAsia="Times New Roman" w:hAnsi="Palatino Linotype" w:cs="Arial"/>
          <w:sz w:val="22"/>
          <w:szCs w:val="22"/>
        </w:rPr>
        <w:t xml:space="preserve"> a resolver en este recurso se circunscribe a determinar si </w:t>
      </w:r>
      <w:r w:rsidRPr="000A4C44">
        <w:rPr>
          <w:rFonts w:ascii="Palatino Linotype" w:eastAsia="MS Mincho" w:hAnsi="Palatino Linotype" w:cs="Arial"/>
          <w:sz w:val="22"/>
          <w:szCs w:val="22"/>
        </w:rPr>
        <w:t xml:space="preserve">se actualiza la causal de procedencia prevista en el artículo 179, </w:t>
      </w:r>
      <w:r w:rsidRPr="000A4C44">
        <w:rPr>
          <w:rFonts w:ascii="Palatino Linotype" w:eastAsia="MS Mincho" w:hAnsi="Palatino Linotype" w:cs="Arial"/>
          <w:b/>
          <w:sz w:val="22"/>
          <w:szCs w:val="22"/>
        </w:rPr>
        <w:t>fracc</w:t>
      </w:r>
      <w:r w:rsidR="00860FBB" w:rsidRPr="000A4C44">
        <w:rPr>
          <w:rFonts w:ascii="Palatino Linotype" w:eastAsia="MS Mincho" w:hAnsi="Palatino Linotype" w:cs="Arial"/>
          <w:b/>
          <w:sz w:val="22"/>
          <w:szCs w:val="22"/>
        </w:rPr>
        <w:t>ión</w:t>
      </w:r>
      <w:r w:rsidRPr="000A4C44">
        <w:rPr>
          <w:rFonts w:ascii="Palatino Linotype" w:eastAsia="MS Mincho" w:hAnsi="Palatino Linotype" w:cs="Arial"/>
          <w:b/>
          <w:sz w:val="22"/>
          <w:szCs w:val="22"/>
        </w:rPr>
        <w:t xml:space="preserve"> IV </w:t>
      </w:r>
      <w:r w:rsidRPr="000A4C44">
        <w:rPr>
          <w:rFonts w:ascii="Palatino Linotype" w:eastAsia="MS Mincho" w:hAnsi="Palatino Linotype" w:cs="Arial"/>
          <w:sz w:val="22"/>
          <w:szCs w:val="22"/>
        </w:rPr>
        <w:t xml:space="preserve">de la </w:t>
      </w:r>
      <w:r w:rsidRPr="000A4C44">
        <w:rPr>
          <w:rFonts w:ascii="Palatino Linotype" w:eastAsia="MS Mincho" w:hAnsi="Palatino Linotype" w:cs="Arial"/>
          <w:b/>
          <w:sz w:val="22"/>
          <w:szCs w:val="22"/>
        </w:rPr>
        <w:t>Ley de Transparencia y Acceso a la Información Pública del Estado de México y Municipios</w:t>
      </w:r>
      <w:r w:rsidRPr="000A4C44">
        <w:rPr>
          <w:rFonts w:ascii="Palatino Linotype" w:eastAsia="MS Mincho" w:hAnsi="Palatino Linotype" w:cs="Arial"/>
          <w:sz w:val="22"/>
          <w:szCs w:val="22"/>
        </w:rPr>
        <w:t xml:space="preserve">; </w:t>
      </w:r>
      <w:r w:rsidR="00860FBB" w:rsidRPr="000A4C44">
        <w:rPr>
          <w:rFonts w:ascii="Palatino Linotype" w:eastAsia="Times New Roman" w:hAnsi="Palatino Linotype" w:cs="Arial"/>
          <w:color w:val="000000" w:themeColor="text1"/>
          <w:sz w:val="22"/>
          <w:szCs w:val="22"/>
          <w:lang w:val="es-ES" w:eastAsia="es-MX"/>
        </w:rPr>
        <w:t>fracción que determina la hipótesis jurídica relativa</w:t>
      </w:r>
      <w:r w:rsidRPr="000A4C44">
        <w:rPr>
          <w:rFonts w:ascii="Palatino Linotype" w:eastAsia="Times New Roman" w:hAnsi="Palatino Linotype" w:cs="Arial"/>
          <w:color w:val="000000" w:themeColor="text1"/>
          <w:sz w:val="22"/>
          <w:szCs w:val="22"/>
          <w:lang w:val="es-ES" w:eastAsia="es-MX"/>
        </w:rPr>
        <w:t xml:space="preserve"> a la la entrega de infor</w:t>
      </w:r>
      <w:r w:rsidR="00860FBB" w:rsidRPr="000A4C44">
        <w:rPr>
          <w:rFonts w:ascii="Palatino Linotype" w:eastAsia="Times New Roman" w:hAnsi="Palatino Linotype" w:cs="Arial"/>
          <w:color w:val="000000" w:themeColor="text1"/>
          <w:sz w:val="22"/>
          <w:szCs w:val="22"/>
          <w:lang w:val="es-ES" w:eastAsia="es-MX"/>
        </w:rPr>
        <w:t>mación incompleta</w:t>
      </w:r>
      <w:r w:rsidRPr="000A4C44">
        <w:rPr>
          <w:rFonts w:ascii="Palatino Linotype" w:eastAsia="Times New Roman" w:hAnsi="Palatino Linotype" w:cs="Arial"/>
          <w:color w:val="000000" w:themeColor="text1"/>
          <w:sz w:val="22"/>
          <w:szCs w:val="22"/>
          <w:lang w:val="es-ES" w:eastAsia="es-MX"/>
        </w:rPr>
        <w:t xml:space="preserve">; </w:t>
      </w:r>
      <w:r w:rsidRPr="000A4C44">
        <w:rPr>
          <w:rFonts w:ascii="Palatino Linotype" w:eastAsia="MS Mincho" w:hAnsi="Palatino Linotype" w:cs="Arial"/>
          <w:sz w:val="22"/>
          <w:szCs w:val="22"/>
        </w:rPr>
        <w:t xml:space="preserve">contexto del cual se dolió </w:t>
      </w:r>
      <w:r w:rsidRPr="000A4C44">
        <w:rPr>
          <w:rFonts w:ascii="Palatino Linotype" w:eastAsia="MS Mincho" w:hAnsi="Palatino Linotype" w:cs="Arial"/>
          <w:b/>
          <w:sz w:val="22"/>
          <w:szCs w:val="22"/>
        </w:rPr>
        <w:t xml:space="preserve">EL RECURRENTE </w:t>
      </w:r>
      <w:r w:rsidRPr="000A4C44">
        <w:rPr>
          <w:rFonts w:ascii="Palatino Linotype" w:eastAsia="MS Mincho" w:hAnsi="Palatino Linotype" w:cs="Arial"/>
          <w:sz w:val="22"/>
          <w:szCs w:val="22"/>
        </w:rPr>
        <w:t>al momento de interponer su inconformidad.</w:t>
      </w:r>
      <w:r w:rsidRPr="000A4C44">
        <w:rPr>
          <w:rFonts w:ascii="Palatino Linotype" w:eastAsia="Times New Roman" w:hAnsi="Palatino Linotype" w:cs="Arial"/>
          <w:color w:val="000000" w:themeColor="text1"/>
          <w:sz w:val="22"/>
          <w:szCs w:val="22"/>
          <w:lang w:val="es-ES" w:eastAsia="es-MX"/>
        </w:rPr>
        <w:t xml:space="preserve"> </w:t>
      </w:r>
    </w:p>
    <w:p w14:paraId="6546D13B" w14:textId="77777777" w:rsidR="00833F34" w:rsidRPr="000A4C44" w:rsidRDefault="00833F34" w:rsidP="00833F34">
      <w:pPr>
        <w:pStyle w:val="Prrafodelista"/>
        <w:rPr>
          <w:rFonts w:ascii="Palatino Linotype" w:eastAsia="Times New Roman" w:hAnsi="Palatino Linotype" w:cs="Arial"/>
          <w:color w:val="000000" w:themeColor="text1"/>
          <w:sz w:val="22"/>
          <w:szCs w:val="22"/>
          <w:lang w:val="es-ES" w:eastAsia="es-MX"/>
        </w:rPr>
      </w:pPr>
    </w:p>
    <w:p w14:paraId="6546D13C" w14:textId="77777777" w:rsidR="00833F34" w:rsidRPr="000A4C44" w:rsidRDefault="00833F34" w:rsidP="00833F34">
      <w:pPr>
        <w:numPr>
          <w:ilvl w:val="0"/>
          <w:numId w:val="1"/>
        </w:numPr>
        <w:spacing w:line="360" w:lineRule="auto"/>
        <w:ind w:left="0" w:firstLine="0"/>
        <w:contextualSpacing/>
        <w:jc w:val="both"/>
        <w:rPr>
          <w:rFonts w:ascii="Palatino Linotype" w:eastAsia="MS Mincho" w:hAnsi="Palatino Linotype" w:cs="Arial"/>
          <w:sz w:val="22"/>
          <w:szCs w:val="22"/>
        </w:rPr>
      </w:pPr>
      <w:r w:rsidRPr="000A4C44">
        <w:rPr>
          <w:rFonts w:ascii="Palatino Linotype" w:eastAsia="Times New Roman" w:hAnsi="Palatino Linotype" w:cs="Arial"/>
          <w:color w:val="000000" w:themeColor="text1"/>
          <w:sz w:val="22"/>
          <w:szCs w:val="22"/>
          <w:lang w:val="es-ES" w:eastAsia="es-MX"/>
        </w:rPr>
        <w:t xml:space="preserve">De modo tal </w:t>
      </w:r>
      <w:r w:rsidRPr="000A4C44">
        <w:rPr>
          <w:rFonts w:ascii="Palatino Linotype" w:hAnsi="Palatino Linotype" w:cs="Arial"/>
          <w:color w:val="000000" w:themeColor="text1"/>
          <w:sz w:val="22"/>
          <w:szCs w:val="22"/>
        </w:rPr>
        <w:t xml:space="preserve">que el presente recurso de revisión se abocara en determinar si el </w:t>
      </w:r>
      <w:r w:rsidRPr="000A4C44">
        <w:rPr>
          <w:rFonts w:ascii="Palatino Linotype" w:hAnsi="Palatino Linotype" w:cs="Arial"/>
          <w:b/>
          <w:color w:val="000000" w:themeColor="text1"/>
          <w:sz w:val="22"/>
          <w:szCs w:val="22"/>
        </w:rPr>
        <w:t>SUJETO</w:t>
      </w:r>
      <w:r w:rsidRPr="000A4C44">
        <w:rPr>
          <w:rFonts w:ascii="Palatino Linotype" w:hAnsi="Palatino Linotype" w:cs="Arial"/>
          <w:color w:val="000000" w:themeColor="text1"/>
          <w:sz w:val="22"/>
          <w:szCs w:val="22"/>
        </w:rPr>
        <w:t xml:space="preserve"> </w:t>
      </w:r>
      <w:r w:rsidRPr="000A4C44">
        <w:rPr>
          <w:rFonts w:ascii="Palatino Linotype" w:hAnsi="Palatino Linotype" w:cs="Arial"/>
          <w:b/>
          <w:color w:val="000000" w:themeColor="text1"/>
          <w:sz w:val="22"/>
          <w:szCs w:val="22"/>
        </w:rPr>
        <w:t>OBLIGADO</w:t>
      </w:r>
      <w:r w:rsidRPr="000A4C44">
        <w:rPr>
          <w:rFonts w:ascii="Palatino Linotype" w:hAnsi="Palatino Linotype" w:cs="Arial"/>
          <w:color w:val="000000" w:themeColor="text1"/>
          <w:sz w:val="22"/>
          <w:szCs w:val="22"/>
        </w:rPr>
        <w:t xml:space="preserve"> con su respuesta ciertamente </w:t>
      </w:r>
      <w:r w:rsidRPr="000A4C44">
        <w:rPr>
          <w:rFonts w:ascii="Palatino Linotype" w:eastAsia="Times New Roman" w:hAnsi="Palatino Linotype"/>
          <w:color w:val="000000" w:themeColor="text1"/>
          <w:sz w:val="22"/>
          <w:szCs w:val="22"/>
        </w:rPr>
        <w:t>actualiza las causales de procedencia</w:t>
      </w:r>
      <w:r w:rsidRPr="000A4C44">
        <w:rPr>
          <w:rFonts w:ascii="Palatino Linotype" w:eastAsia="Times New Roman" w:hAnsi="Palatino Linotype"/>
          <w:b/>
          <w:color w:val="000000" w:themeColor="text1"/>
          <w:sz w:val="22"/>
          <w:szCs w:val="22"/>
        </w:rPr>
        <w:t xml:space="preserve"> </w:t>
      </w:r>
      <w:r w:rsidRPr="000A4C44">
        <w:rPr>
          <w:rFonts w:ascii="Palatino Linotype" w:eastAsia="Times New Roman" w:hAnsi="Palatino Linotype" w:cs="Arial"/>
          <w:color w:val="000000" w:themeColor="text1"/>
          <w:sz w:val="22"/>
          <w:szCs w:val="22"/>
          <w:lang w:eastAsia="es-MX"/>
        </w:rPr>
        <w:lastRenderedPageBreak/>
        <w:t>antes señaladas</w:t>
      </w:r>
      <w:r w:rsidRPr="000A4C44">
        <w:rPr>
          <w:rFonts w:ascii="Palatino Linotype" w:hAnsi="Palatino Linotype" w:cs="Arial"/>
          <w:color w:val="000000" w:themeColor="text1"/>
          <w:sz w:val="22"/>
          <w:szCs w:val="22"/>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546D13D" w14:textId="77777777" w:rsidR="00833F34" w:rsidRPr="000A4C44" w:rsidRDefault="00833F34" w:rsidP="00833F34">
      <w:pPr>
        <w:rPr>
          <w:sz w:val="22"/>
          <w:szCs w:val="22"/>
        </w:rPr>
      </w:pPr>
    </w:p>
    <w:p w14:paraId="6546D13E" w14:textId="77777777" w:rsidR="00860FBB" w:rsidRPr="000A4C44" w:rsidRDefault="00860FBB" w:rsidP="00860FBB">
      <w:pPr>
        <w:keepNext/>
        <w:keepLines/>
        <w:spacing w:line="360" w:lineRule="auto"/>
        <w:outlineLvl w:val="1"/>
        <w:rPr>
          <w:rFonts w:ascii="Palatino Linotype" w:eastAsia="Palatino Linotype" w:hAnsi="Palatino Linotype" w:cs="Palatino Linotype"/>
          <w:b/>
          <w:color w:val="000000"/>
          <w:sz w:val="22"/>
          <w:szCs w:val="22"/>
        </w:rPr>
      </w:pPr>
      <w:r w:rsidRPr="000A4C44">
        <w:rPr>
          <w:rFonts w:ascii="Palatino Linotype" w:eastAsia="Palatino Linotype" w:hAnsi="Palatino Linotype" w:cs="Palatino Linotype"/>
          <w:b/>
          <w:color w:val="000000"/>
          <w:sz w:val="22"/>
          <w:szCs w:val="22"/>
        </w:rPr>
        <w:t>CUARTO. Del estudio y resolución del asunto.</w:t>
      </w:r>
    </w:p>
    <w:p w14:paraId="6546D13F" w14:textId="77777777" w:rsidR="00860FBB" w:rsidRPr="000A4C44" w:rsidRDefault="00860FBB" w:rsidP="00860FBB">
      <w:pPr>
        <w:keepNext/>
        <w:keepLines/>
        <w:numPr>
          <w:ilvl w:val="0"/>
          <w:numId w:val="13"/>
        </w:numPr>
        <w:spacing w:after="240" w:line="360" w:lineRule="auto"/>
        <w:ind w:left="786"/>
        <w:outlineLvl w:val="0"/>
        <w:rPr>
          <w:rFonts w:ascii="Palatino Linotype" w:eastAsia="Palatino Linotype" w:hAnsi="Palatino Linotype" w:cs="Palatino Linotype"/>
          <w:b/>
          <w:color w:val="000000"/>
          <w:sz w:val="22"/>
          <w:szCs w:val="22"/>
        </w:rPr>
      </w:pPr>
      <w:bookmarkStart w:id="143" w:name="_heading=h.4d34og8" w:colFirst="0" w:colLast="0"/>
      <w:bookmarkEnd w:id="143"/>
      <w:r w:rsidRPr="000A4C44">
        <w:rPr>
          <w:rFonts w:ascii="Palatino Linotype" w:eastAsia="Palatino Linotype" w:hAnsi="Palatino Linotype" w:cs="Palatino Linotype"/>
          <w:b/>
          <w:color w:val="000000"/>
          <w:sz w:val="22"/>
          <w:szCs w:val="22"/>
        </w:rPr>
        <w:t>Del derecho de acceso a la información.</w:t>
      </w:r>
    </w:p>
    <w:p w14:paraId="6546D140" w14:textId="77777777" w:rsidR="00860FBB" w:rsidRPr="000A4C44" w:rsidRDefault="00860FBB" w:rsidP="00860FBB">
      <w:pPr>
        <w:numPr>
          <w:ilvl w:val="0"/>
          <w:numId w:val="1"/>
        </w:numPr>
        <w:spacing w:line="360" w:lineRule="auto"/>
        <w:ind w:left="0" w:firstLine="0"/>
        <w:contextualSpacing/>
        <w:jc w:val="both"/>
        <w:rPr>
          <w:rFonts w:ascii="Calibri" w:hAnsi="Calibri" w:cs="Calibri"/>
          <w:color w:val="000000"/>
          <w:sz w:val="22"/>
          <w:szCs w:val="22"/>
        </w:rPr>
      </w:pPr>
      <w:r w:rsidRPr="000A4C44">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546D141" w14:textId="77777777" w:rsidR="00860FBB" w:rsidRPr="000A4C44" w:rsidRDefault="00860FBB" w:rsidP="00860FBB">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22"/>
          <w:szCs w:val="22"/>
        </w:rPr>
      </w:pPr>
    </w:p>
    <w:p w14:paraId="6546D142" w14:textId="77777777" w:rsidR="00860FBB" w:rsidRPr="000A4C44" w:rsidRDefault="00860FBB" w:rsidP="00860FBB">
      <w:pPr>
        <w:numPr>
          <w:ilvl w:val="0"/>
          <w:numId w:val="1"/>
        </w:numPr>
        <w:spacing w:line="360" w:lineRule="auto"/>
        <w:ind w:left="0" w:firstLine="0"/>
        <w:contextualSpacing/>
        <w:jc w:val="both"/>
        <w:rPr>
          <w:rFonts w:ascii="Calibri" w:hAnsi="Calibri" w:cs="Calibri"/>
          <w:sz w:val="22"/>
          <w:szCs w:val="22"/>
        </w:rPr>
      </w:pPr>
      <w:r w:rsidRPr="000A4C44">
        <w:rPr>
          <w:rFonts w:ascii="Palatino Linotype" w:eastAsia="Palatino Linotype" w:hAnsi="Palatino Linotype" w:cs="Palatino Linotype"/>
          <w:sz w:val="22"/>
          <w:szCs w:val="22"/>
        </w:rPr>
        <w:t xml:space="preserve">Definiendo el Derecho de Acceso a la Información Pública como: </w:t>
      </w:r>
      <w:r w:rsidRPr="000A4C44">
        <w:rPr>
          <w:rFonts w:ascii="Palatino Linotype" w:eastAsia="Palatino Linotype" w:hAnsi="Palatino Linotype" w:cs="Palatino Linotype"/>
          <w:i/>
          <w:color w:val="000000"/>
          <w:sz w:val="22"/>
          <w:szCs w:val="22"/>
        </w:rPr>
        <w:t>La igualdad de oportunidades para recibir, buscar e impartir información</w:t>
      </w:r>
      <w:r w:rsidRPr="000A4C44">
        <w:rPr>
          <w:rFonts w:ascii="Palatino Linotype" w:eastAsia="Palatino Linotype" w:hAnsi="Palatino Linotype" w:cs="Palatino Linotype"/>
          <w:i/>
          <w:sz w:val="22"/>
          <w:szCs w:val="22"/>
          <w:vertAlign w:val="superscript"/>
        </w:rPr>
        <w:footnoteReference w:id="1"/>
      </w:r>
      <w:r w:rsidRPr="000A4C44">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A4C44">
        <w:rPr>
          <w:rFonts w:ascii="Palatino Linotype" w:eastAsia="Palatino Linotype" w:hAnsi="Palatino Linotype" w:cs="Palatino Linotype"/>
          <w:i/>
          <w:sz w:val="22"/>
          <w:szCs w:val="22"/>
          <w:vertAlign w:val="superscript"/>
        </w:rPr>
        <w:footnoteReference w:id="2"/>
      </w:r>
      <w:r w:rsidRPr="000A4C44">
        <w:rPr>
          <w:rFonts w:ascii="Palatino Linotype" w:eastAsia="Palatino Linotype" w:hAnsi="Palatino Linotype" w:cs="Palatino Linotype"/>
          <w:color w:val="000000"/>
          <w:sz w:val="22"/>
          <w:szCs w:val="22"/>
        </w:rPr>
        <w:t>que se constituye como una herramienta fundamental para ejercer</w:t>
      </w:r>
      <w:r w:rsidRPr="000A4C44">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0A4C44">
        <w:rPr>
          <w:rFonts w:ascii="Palatino Linotype" w:eastAsia="Palatino Linotype" w:hAnsi="Palatino Linotype" w:cs="Palatino Linotype"/>
          <w:i/>
          <w:sz w:val="22"/>
          <w:szCs w:val="22"/>
          <w:vertAlign w:val="superscript"/>
        </w:rPr>
        <w:footnoteReference w:id="3"/>
      </w:r>
      <w:r w:rsidRPr="000A4C44">
        <w:rPr>
          <w:rFonts w:ascii="Palatino Linotype" w:eastAsia="Palatino Linotype" w:hAnsi="Palatino Linotype" w:cs="Palatino Linotype"/>
          <w:color w:val="000000"/>
          <w:sz w:val="22"/>
          <w:szCs w:val="22"/>
        </w:rPr>
        <w:t>fomentando</w:t>
      </w:r>
      <w:r w:rsidRPr="000A4C44">
        <w:rPr>
          <w:rFonts w:ascii="Palatino Linotype" w:eastAsia="Palatino Linotype" w:hAnsi="Palatino Linotype" w:cs="Palatino Linotype"/>
          <w:i/>
          <w:color w:val="000000"/>
          <w:sz w:val="22"/>
          <w:szCs w:val="22"/>
        </w:rPr>
        <w:t xml:space="preserve"> la transparencia de las </w:t>
      </w:r>
      <w:r w:rsidRPr="000A4C44">
        <w:rPr>
          <w:rFonts w:ascii="Palatino Linotype" w:eastAsia="Palatino Linotype" w:hAnsi="Palatino Linotype" w:cs="Palatino Linotype"/>
          <w:i/>
          <w:color w:val="000000"/>
          <w:sz w:val="22"/>
          <w:szCs w:val="22"/>
        </w:rPr>
        <w:lastRenderedPageBreak/>
        <w:t xml:space="preserve">actividades estatales y </w:t>
      </w:r>
      <w:r w:rsidRPr="000A4C44">
        <w:rPr>
          <w:rFonts w:ascii="Palatino Linotype" w:eastAsia="Palatino Linotype" w:hAnsi="Palatino Linotype" w:cs="Palatino Linotype"/>
          <w:color w:val="000000"/>
          <w:sz w:val="22"/>
          <w:szCs w:val="22"/>
        </w:rPr>
        <w:t>promoviendo</w:t>
      </w:r>
      <w:r w:rsidRPr="000A4C44">
        <w:rPr>
          <w:rFonts w:ascii="Palatino Linotype" w:eastAsia="Palatino Linotype" w:hAnsi="Palatino Linotype" w:cs="Palatino Linotype"/>
          <w:i/>
          <w:color w:val="000000"/>
          <w:sz w:val="22"/>
          <w:szCs w:val="22"/>
        </w:rPr>
        <w:t xml:space="preserve"> la responsabilidad de los funcionarios sobre su gestión pública,</w:t>
      </w:r>
      <w:r w:rsidRPr="000A4C44">
        <w:rPr>
          <w:rFonts w:ascii="Palatino Linotype" w:eastAsia="Palatino Linotype" w:hAnsi="Palatino Linotype" w:cs="Palatino Linotype"/>
          <w:i/>
          <w:sz w:val="22"/>
          <w:szCs w:val="22"/>
          <w:vertAlign w:val="superscript"/>
        </w:rPr>
        <w:footnoteReference w:id="4"/>
      </w:r>
      <w:r w:rsidRPr="000A4C44">
        <w:rPr>
          <w:rFonts w:ascii="Palatino Linotype" w:eastAsia="Palatino Linotype" w:hAnsi="Palatino Linotype" w:cs="Palatino Linotype"/>
          <w:color w:val="000000"/>
          <w:sz w:val="22"/>
          <w:szCs w:val="22"/>
        </w:rPr>
        <w:t>que permite</w:t>
      </w:r>
      <w:r w:rsidRPr="000A4C44">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6546D143" w14:textId="77777777" w:rsidR="00860FBB" w:rsidRPr="000A4C44" w:rsidRDefault="00860FBB" w:rsidP="00860FBB">
      <w:pPr>
        <w:spacing w:line="360" w:lineRule="auto"/>
        <w:ind w:right="49"/>
        <w:jc w:val="both"/>
        <w:rPr>
          <w:rFonts w:ascii="Palatino Linotype" w:eastAsia="Palatino Linotype" w:hAnsi="Palatino Linotype" w:cs="Palatino Linotype"/>
          <w:sz w:val="22"/>
          <w:szCs w:val="22"/>
        </w:rPr>
      </w:pPr>
    </w:p>
    <w:p w14:paraId="6546D144" w14:textId="77777777" w:rsidR="00860FBB" w:rsidRPr="000A4C44" w:rsidRDefault="00860FBB" w:rsidP="00860FBB">
      <w:pPr>
        <w:numPr>
          <w:ilvl w:val="0"/>
          <w:numId w:val="1"/>
        </w:numPr>
        <w:spacing w:line="360" w:lineRule="auto"/>
        <w:ind w:left="0" w:firstLine="0"/>
        <w:contextualSpacing/>
        <w:jc w:val="both"/>
        <w:rPr>
          <w:rFonts w:ascii="Calibri" w:hAnsi="Calibri" w:cs="Calibri"/>
          <w:sz w:val="22"/>
          <w:szCs w:val="22"/>
        </w:rPr>
      </w:pPr>
      <w:r w:rsidRPr="000A4C44">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14:paraId="6546D145" w14:textId="77777777" w:rsidR="00860FBB" w:rsidRPr="000A4C44" w:rsidRDefault="00860FBB" w:rsidP="00860FBB">
      <w:pPr>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i/>
          <w:sz w:val="22"/>
          <w:szCs w:val="22"/>
        </w:rPr>
        <w:t>“</w:t>
      </w:r>
      <w:r w:rsidRPr="000A4C44">
        <w:rPr>
          <w:rFonts w:ascii="Palatino Linotype" w:eastAsia="Palatino Linotype" w:hAnsi="Palatino Linotype" w:cs="Palatino Linotype"/>
          <w:b/>
          <w:i/>
          <w:sz w:val="22"/>
          <w:szCs w:val="22"/>
        </w:rPr>
        <w:t>Artículo 1.-</w:t>
      </w:r>
      <w:r w:rsidRPr="000A4C44">
        <w:rPr>
          <w:rFonts w:ascii="Palatino Linotype" w:eastAsia="Palatino Linotype" w:hAnsi="Palatino Linotype" w:cs="Palatino Linotype"/>
          <w:i/>
          <w:sz w:val="22"/>
          <w:szCs w:val="22"/>
        </w:rPr>
        <w:t xml:space="preserve"> </w:t>
      </w:r>
    </w:p>
    <w:p w14:paraId="6546D146" w14:textId="77777777" w:rsidR="00860FBB" w:rsidRPr="000A4C44" w:rsidRDefault="00860FBB" w:rsidP="00860FBB">
      <w:pPr>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i/>
          <w:sz w:val="22"/>
          <w:szCs w:val="22"/>
        </w:rPr>
        <w:t>(…)</w:t>
      </w:r>
    </w:p>
    <w:p w14:paraId="6546D147" w14:textId="77777777" w:rsidR="00860FBB" w:rsidRPr="000A4C44" w:rsidRDefault="00860FBB" w:rsidP="00860FBB">
      <w:pPr>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i/>
          <w:sz w:val="22"/>
          <w:szCs w:val="22"/>
        </w:rPr>
        <w:t>Todas las</w:t>
      </w:r>
      <w:r w:rsidRPr="000A4C44">
        <w:rPr>
          <w:rFonts w:ascii="Palatino Linotype" w:eastAsia="Palatino Linotype" w:hAnsi="Palatino Linotype" w:cs="Palatino Linotype"/>
          <w:sz w:val="22"/>
          <w:szCs w:val="22"/>
        </w:rPr>
        <w:t xml:space="preserve"> </w:t>
      </w:r>
      <w:r w:rsidRPr="000A4C44">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46D148" w14:textId="77777777" w:rsidR="00860FBB" w:rsidRPr="000A4C44" w:rsidRDefault="00860FBB" w:rsidP="00860FBB">
      <w:pPr>
        <w:ind w:left="1134" w:right="900"/>
        <w:jc w:val="both"/>
        <w:rPr>
          <w:rFonts w:ascii="Palatino Linotype" w:eastAsia="Palatino Linotype" w:hAnsi="Palatino Linotype" w:cs="Palatino Linotype"/>
          <w:sz w:val="22"/>
          <w:szCs w:val="22"/>
        </w:rPr>
      </w:pPr>
      <w:r w:rsidRPr="000A4C44">
        <w:rPr>
          <w:rFonts w:ascii="Palatino Linotype" w:eastAsia="Palatino Linotype" w:hAnsi="Palatino Linotype" w:cs="Palatino Linotype"/>
          <w:i/>
          <w:sz w:val="22"/>
          <w:szCs w:val="22"/>
        </w:rPr>
        <w:t>(…)</w:t>
      </w:r>
      <w:r w:rsidRPr="000A4C44">
        <w:rPr>
          <w:rFonts w:ascii="Palatino Linotype" w:eastAsia="Palatino Linotype" w:hAnsi="Palatino Linotype" w:cs="Palatino Linotype"/>
          <w:sz w:val="22"/>
          <w:szCs w:val="22"/>
        </w:rPr>
        <w:t>”.</w:t>
      </w:r>
    </w:p>
    <w:p w14:paraId="6546D149" w14:textId="77777777" w:rsidR="00860FBB" w:rsidRPr="000A4C44" w:rsidRDefault="00860FBB" w:rsidP="00860FBB">
      <w:pPr>
        <w:ind w:right="567"/>
        <w:jc w:val="both"/>
        <w:rPr>
          <w:rFonts w:ascii="Palatino Linotype" w:eastAsia="Palatino Linotype" w:hAnsi="Palatino Linotype" w:cs="Palatino Linotype"/>
          <w:b/>
          <w:sz w:val="22"/>
          <w:szCs w:val="22"/>
        </w:rPr>
      </w:pPr>
    </w:p>
    <w:p w14:paraId="6546D14A" w14:textId="77777777" w:rsidR="00860FBB" w:rsidRPr="000A4C44" w:rsidRDefault="00860FBB" w:rsidP="00860FBB">
      <w:pPr>
        <w:numPr>
          <w:ilvl w:val="0"/>
          <w:numId w:val="1"/>
        </w:numPr>
        <w:spacing w:line="360" w:lineRule="auto"/>
        <w:ind w:left="0" w:firstLine="0"/>
        <w:contextualSpacing/>
        <w:jc w:val="both"/>
        <w:rPr>
          <w:rFonts w:ascii="Calibri" w:hAnsi="Calibri" w:cs="Calibri"/>
          <w:sz w:val="22"/>
          <w:szCs w:val="22"/>
        </w:rPr>
      </w:pPr>
      <w:r w:rsidRPr="000A4C44">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6546D14B" w14:textId="77777777" w:rsidR="00860FBB" w:rsidRPr="000A4C44" w:rsidRDefault="00860FBB" w:rsidP="00860FBB">
      <w:pPr>
        <w:spacing w:line="360" w:lineRule="auto"/>
        <w:ind w:right="49"/>
        <w:jc w:val="both"/>
        <w:rPr>
          <w:rFonts w:ascii="Palatino Linotype" w:eastAsia="Palatino Linotype" w:hAnsi="Palatino Linotype" w:cs="Palatino Linotype"/>
          <w:sz w:val="22"/>
          <w:szCs w:val="22"/>
        </w:rPr>
      </w:pPr>
    </w:p>
    <w:p w14:paraId="6546D14C" w14:textId="77777777" w:rsidR="00860FBB" w:rsidRPr="000A4C44" w:rsidRDefault="00860FBB" w:rsidP="00860FBB">
      <w:pPr>
        <w:numPr>
          <w:ilvl w:val="0"/>
          <w:numId w:val="1"/>
        </w:numPr>
        <w:spacing w:line="360" w:lineRule="auto"/>
        <w:ind w:left="0" w:firstLine="0"/>
        <w:contextualSpacing/>
        <w:jc w:val="both"/>
        <w:rPr>
          <w:rFonts w:ascii="Calibri" w:hAnsi="Calibri" w:cs="Calibri"/>
          <w:sz w:val="22"/>
          <w:szCs w:val="22"/>
        </w:rPr>
      </w:pPr>
      <w:r w:rsidRPr="000A4C44">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6546D14D" w14:textId="77777777" w:rsidR="00860FBB" w:rsidRPr="000A4C44" w:rsidRDefault="00860FBB" w:rsidP="00860FBB">
      <w:pPr>
        <w:spacing w:after="240"/>
        <w:ind w:left="1134" w:right="900"/>
        <w:jc w:val="both"/>
        <w:rPr>
          <w:rFonts w:ascii="Palatino Linotype" w:eastAsia="Palatino Linotype" w:hAnsi="Palatino Linotype" w:cs="Palatino Linotype"/>
          <w:b/>
          <w:i/>
          <w:sz w:val="22"/>
          <w:szCs w:val="22"/>
        </w:rPr>
      </w:pPr>
      <w:r w:rsidRPr="000A4C44">
        <w:rPr>
          <w:rFonts w:ascii="Palatino Linotype" w:eastAsia="Palatino Linotype" w:hAnsi="Palatino Linotype" w:cs="Palatino Linotype"/>
          <w:b/>
          <w:i/>
          <w:sz w:val="22"/>
          <w:szCs w:val="22"/>
        </w:rPr>
        <w:t>Constitución Política de los Estados Unidos Mexicanos</w:t>
      </w:r>
    </w:p>
    <w:p w14:paraId="6546D14E" w14:textId="77777777" w:rsidR="00860FBB" w:rsidRPr="000A4C44" w:rsidRDefault="00860FBB" w:rsidP="00860FBB">
      <w:pPr>
        <w:spacing w:before="240" w:after="240"/>
        <w:ind w:left="1134" w:right="900"/>
        <w:jc w:val="both"/>
        <w:rPr>
          <w:rFonts w:ascii="Palatino Linotype" w:eastAsia="Palatino Linotype" w:hAnsi="Palatino Linotype" w:cs="Palatino Linotype"/>
          <w:b/>
          <w:i/>
          <w:sz w:val="22"/>
          <w:szCs w:val="22"/>
        </w:rPr>
      </w:pPr>
      <w:r w:rsidRPr="000A4C44">
        <w:rPr>
          <w:rFonts w:ascii="Palatino Linotype" w:eastAsia="Palatino Linotype" w:hAnsi="Palatino Linotype" w:cs="Palatino Linotype"/>
          <w:b/>
          <w:i/>
          <w:sz w:val="22"/>
          <w:szCs w:val="22"/>
        </w:rPr>
        <w:lastRenderedPageBreak/>
        <w:t>“Artículo 6.</w:t>
      </w:r>
    </w:p>
    <w:p w14:paraId="6546D14F"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i/>
          <w:sz w:val="22"/>
          <w:szCs w:val="22"/>
        </w:rPr>
        <w:t>(…)</w:t>
      </w:r>
    </w:p>
    <w:p w14:paraId="6546D150"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i/>
          <w:sz w:val="22"/>
          <w:szCs w:val="22"/>
        </w:rPr>
        <w:t>Para efectos de lo dispuesto en el presente artículo se observará lo siguiente:</w:t>
      </w:r>
    </w:p>
    <w:p w14:paraId="6546D151" w14:textId="77777777" w:rsidR="00860FBB" w:rsidRPr="000A4C44" w:rsidRDefault="00860FBB" w:rsidP="00860FBB">
      <w:pPr>
        <w:spacing w:before="240" w:after="240"/>
        <w:ind w:left="1134" w:right="900"/>
        <w:jc w:val="both"/>
        <w:rPr>
          <w:rFonts w:ascii="Palatino Linotype" w:eastAsia="Palatino Linotype" w:hAnsi="Palatino Linotype" w:cs="Palatino Linotype"/>
          <w:b/>
          <w:i/>
          <w:sz w:val="22"/>
          <w:szCs w:val="22"/>
        </w:rPr>
      </w:pPr>
      <w:r w:rsidRPr="000A4C44">
        <w:rPr>
          <w:rFonts w:ascii="Palatino Linotype" w:eastAsia="Palatino Linotype" w:hAnsi="Palatino Linotype" w:cs="Palatino Linotype"/>
          <w:b/>
          <w:i/>
          <w:sz w:val="22"/>
          <w:szCs w:val="22"/>
        </w:rPr>
        <w:t>A</w:t>
      </w:r>
      <w:r w:rsidRPr="000A4C44">
        <w:rPr>
          <w:rFonts w:ascii="Palatino Linotype" w:eastAsia="Palatino Linotype" w:hAnsi="Palatino Linotype" w:cs="Palatino Linotype"/>
          <w:i/>
          <w:sz w:val="22"/>
          <w:szCs w:val="22"/>
        </w:rPr>
        <w:t xml:space="preserve">. </w:t>
      </w:r>
      <w:r w:rsidRPr="000A4C44">
        <w:rPr>
          <w:rFonts w:ascii="Palatino Linotype" w:eastAsia="Palatino Linotype" w:hAnsi="Palatino Linotype" w:cs="Palatino Linotype"/>
          <w:b/>
          <w:i/>
          <w:sz w:val="22"/>
          <w:szCs w:val="22"/>
        </w:rPr>
        <w:t>Para el ejercicio del derecho de acceso a la información</w:t>
      </w:r>
      <w:r w:rsidRPr="000A4C44">
        <w:rPr>
          <w:rFonts w:ascii="Palatino Linotype" w:eastAsia="Palatino Linotype" w:hAnsi="Palatino Linotype" w:cs="Palatino Linotype"/>
          <w:i/>
          <w:sz w:val="22"/>
          <w:szCs w:val="22"/>
        </w:rPr>
        <w:t xml:space="preserve">, la Federación y </w:t>
      </w:r>
      <w:r w:rsidRPr="000A4C44">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6546D152"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b/>
          <w:i/>
          <w:sz w:val="22"/>
          <w:szCs w:val="22"/>
        </w:rPr>
        <w:t xml:space="preserve">I. </w:t>
      </w:r>
      <w:r w:rsidRPr="000A4C44">
        <w:rPr>
          <w:rFonts w:ascii="Palatino Linotype" w:eastAsia="Palatino Linotype" w:hAnsi="Palatino Linotype" w:cs="Palatino Linotype"/>
          <w:b/>
          <w:i/>
          <w:sz w:val="22"/>
          <w:szCs w:val="22"/>
        </w:rPr>
        <w:tab/>
        <w:t>Toda la información en posesión de cualquier</w:t>
      </w:r>
      <w:r w:rsidRPr="000A4C44">
        <w:rPr>
          <w:rFonts w:ascii="Palatino Linotype" w:eastAsia="Palatino Linotype" w:hAnsi="Palatino Linotype" w:cs="Palatino Linotype"/>
          <w:i/>
          <w:sz w:val="22"/>
          <w:szCs w:val="22"/>
        </w:rPr>
        <w:t xml:space="preserve"> </w:t>
      </w:r>
      <w:r w:rsidRPr="000A4C44">
        <w:rPr>
          <w:rFonts w:ascii="Palatino Linotype" w:eastAsia="Palatino Linotype" w:hAnsi="Palatino Linotype" w:cs="Palatino Linotype"/>
          <w:b/>
          <w:i/>
          <w:sz w:val="22"/>
          <w:szCs w:val="22"/>
        </w:rPr>
        <w:t>autoridad</w:t>
      </w:r>
      <w:r w:rsidRPr="000A4C44">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A4C44">
        <w:rPr>
          <w:rFonts w:ascii="Palatino Linotype" w:eastAsia="Palatino Linotype" w:hAnsi="Palatino Linotype" w:cs="Palatino Linotype"/>
          <w:b/>
          <w:i/>
          <w:sz w:val="22"/>
          <w:szCs w:val="22"/>
        </w:rPr>
        <w:t>municipal</w:t>
      </w:r>
      <w:r w:rsidRPr="000A4C44">
        <w:rPr>
          <w:rFonts w:ascii="Palatino Linotype" w:eastAsia="Palatino Linotype" w:hAnsi="Palatino Linotype" w:cs="Palatino Linotype"/>
          <w:i/>
          <w:sz w:val="22"/>
          <w:szCs w:val="22"/>
        </w:rPr>
        <w:t xml:space="preserve">, </w:t>
      </w:r>
      <w:r w:rsidRPr="000A4C44">
        <w:rPr>
          <w:rFonts w:ascii="Palatino Linotype" w:eastAsia="Palatino Linotype" w:hAnsi="Palatino Linotype" w:cs="Palatino Linotype"/>
          <w:b/>
          <w:i/>
          <w:sz w:val="22"/>
          <w:szCs w:val="22"/>
        </w:rPr>
        <w:t>es pública</w:t>
      </w:r>
      <w:r w:rsidRPr="000A4C44">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0A4C44">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0A4C4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546D153" w14:textId="77777777" w:rsidR="00860FBB" w:rsidRPr="000A4C44" w:rsidRDefault="00860FBB" w:rsidP="00860FBB">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6546D154" w14:textId="77777777" w:rsidR="00860FBB" w:rsidRPr="000A4C44" w:rsidRDefault="00860FBB" w:rsidP="00860FBB">
      <w:pPr>
        <w:spacing w:before="240" w:after="240"/>
        <w:ind w:left="1134" w:right="900"/>
        <w:jc w:val="both"/>
        <w:rPr>
          <w:rFonts w:ascii="Palatino Linotype" w:eastAsia="Palatino Linotype" w:hAnsi="Palatino Linotype" w:cs="Palatino Linotype"/>
          <w:b/>
          <w:i/>
          <w:sz w:val="22"/>
          <w:szCs w:val="22"/>
        </w:rPr>
      </w:pPr>
      <w:r w:rsidRPr="000A4C44">
        <w:rPr>
          <w:rFonts w:ascii="Palatino Linotype" w:eastAsia="Palatino Linotype" w:hAnsi="Palatino Linotype" w:cs="Palatino Linotype"/>
          <w:b/>
          <w:i/>
          <w:sz w:val="22"/>
          <w:szCs w:val="22"/>
        </w:rPr>
        <w:t>Constitución Política del Estado Libre y Soberano de México</w:t>
      </w:r>
    </w:p>
    <w:p w14:paraId="6546D155"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b/>
          <w:i/>
          <w:sz w:val="22"/>
          <w:szCs w:val="22"/>
        </w:rPr>
        <w:t>“Artículo 5</w:t>
      </w:r>
      <w:r w:rsidRPr="000A4C44">
        <w:rPr>
          <w:rFonts w:ascii="Palatino Linotype" w:eastAsia="Palatino Linotype" w:hAnsi="Palatino Linotype" w:cs="Palatino Linotype"/>
          <w:i/>
          <w:sz w:val="22"/>
          <w:szCs w:val="22"/>
        </w:rPr>
        <w:t xml:space="preserve">.- </w:t>
      </w:r>
    </w:p>
    <w:p w14:paraId="6546D156"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i/>
          <w:sz w:val="22"/>
          <w:szCs w:val="22"/>
        </w:rPr>
        <w:t>(…)</w:t>
      </w:r>
    </w:p>
    <w:p w14:paraId="6546D157"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0A4C44">
        <w:rPr>
          <w:rFonts w:ascii="Palatino Linotype" w:eastAsia="Palatino Linotype" w:hAnsi="Palatino Linotype" w:cs="Palatino Linotype"/>
          <w:i/>
          <w:sz w:val="22"/>
          <w:szCs w:val="22"/>
        </w:rPr>
        <w:t>.</w:t>
      </w:r>
    </w:p>
    <w:p w14:paraId="6546D158"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546D159"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b/>
          <w:i/>
          <w:sz w:val="22"/>
          <w:szCs w:val="22"/>
        </w:rPr>
        <w:t>Este derecho se regirá por los principios y bases siguientes</w:t>
      </w:r>
      <w:r w:rsidRPr="000A4C44">
        <w:rPr>
          <w:rFonts w:ascii="Palatino Linotype" w:eastAsia="Palatino Linotype" w:hAnsi="Palatino Linotype" w:cs="Palatino Linotype"/>
          <w:i/>
          <w:sz w:val="22"/>
          <w:szCs w:val="22"/>
        </w:rPr>
        <w:t>:</w:t>
      </w:r>
    </w:p>
    <w:p w14:paraId="6546D15A"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r w:rsidRPr="000A4C44">
        <w:rPr>
          <w:rFonts w:ascii="Palatino Linotype" w:eastAsia="Palatino Linotype" w:hAnsi="Palatino Linotype" w:cs="Palatino Linotype"/>
          <w:b/>
          <w:i/>
          <w:sz w:val="22"/>
          <w:szCs w:val="22"/>
        </w:rPr>
        <w:lastRenderedPageBreak/>
        <w:t>I. Toda la información en posesión de cualquier autoridad, entidad, órgano y organismos de los</w:t>
      </w:r>
      <w:r w:rsidRPr="000A4C44">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0A4C44">
        <w:rPr>
          <w:rFonts w:ascii="Palatino Linotype" w:eastAsia="Palatino Linotype" w:hAnsi="Palatino Linotype" w:cs="Palatino Linotype"/>
          <w:b/>
          <w:i/>
          <w:sz w:val="22"/>
          <w:szCs w:val="22"/>
        </w:rPr>
        <w:t>municipales</w:t>
      </w:r>
      <w:r w:rsidRPr="000A4C44">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A4C44">
        <w:rPr>
          <w:rFonts w:ascii="Palatino Linotype" w:eastAsia="Palatino Linotype" w:hAnsi="Palatino Linotype" w:cs="Palatino Linotype"/>
          <w:b/>
          <w:i/>
          <w:sz w:val="22"/>
          <w:szCs w:val="22"/>
        </w:rPr>
        <w:t>es pública</w:t>
      </w:r>
      <w:r w:rsidRPr="000A4C44">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0A4C44">
        <w:rPr>
          <w:rFonts w:ascii="Palatino Linotype" w:eastAsia="Palatino Linotype" w:hAnsi="Palatino Linotype" w:cs="Palatino Linotype"/>
          <w:b/>
          <w:i/>
          <w:sz w:val="22"/>
          <w:szCs w:val="22"/>
        </w:rPr>
        <w:t>En la interpretación de este derecho deberá prevalecer el principio de máxima publicidad</w:t>
      </w:r>
      <w:r w:rsidRPr="000A4C44">
        <w:rPr>
          <w:rFonts w:ascii="Palatino Linotype" w:eastAsia="Palatino Linotype" w:hAnsi="Palatino Linotype" w:cs="Palatino Linotype"/>
          <w:i/>
          <w:sz w:val="22"/>
          <w:szCs w:val="22"/>
        </w:rPr>
        <w:t xml:space="preserve">. </w:t>
      </w:r>
      <w:r w:rsidRPr="000A4C44">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0A4C4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546D15B" w14:textId="77777777" w:rsidR="00860FBB" w:rsidRPr="000A4C44" w:rsidRDefault="00860FBB" w:rsidP="00860FBB">
      <w:pPr>
        <w:spacing w:before="240" w:after="240"/>
        <w:ind w:left="1134" w:right="900"/>
        <w:jc w:val="both"/>
        <w:rPr>
          <w:rFonts w:ascii="Palatino Linotype" w:eastAsia="Palatino Linotype" w:hAnsi="Palatino Linotype" w:cs="Palatino Linotype"/>
          <w:i/>
          <w:sz w:val="22"/>
          <w:szCs w:val="22"/>
        </w:rPr>
      </w:pPr>
    </w:p>
    <w:p w14:paraId="6546D15C" w14:textId="77777777" w:rsidR="00860FBB" w:rsidRPr="000A4C44" w:rsidRDefault="00860FBB" w:rsidP="00860FBB">
      <w:pPr>
        <w:numPr>
          <w:ilvl w:val="0"/>
          <w:numId w:val="1"/>
        </w:numPr>
        <w:spacing w:line="360" w:lineRule="auto"/>
        <w:ind w:left="0" w:firstLine="0"/>
        <w:contextualSpacing/>
        <w:jc w:val="both"/>
        <w:rPr>
          <w:rFonts w:ascii="Calibri" w:hAnsi="Calibri" w:cs="Calibri"/>
          <w:sz w:val="22"/>
          <w:szCs w:val="22"/>
        </w:rPr>
      </w:pPr>
      <w:r w:rsidRPr="000A4C44">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0A4C44">
        <w:rPr>
          <w:rFonts w:ascii="Palatino Linotype" w:eastAsia="Palatino Linotype" w:hAnsi="Palatino Linotype" w:cs="Palatino Linotype"/>
          <w:i/>
          <w:sz w:val="22"/>
          <w:szCs w:val="22"/>
        </w:rPr>
        <w:t>por los principios de simplicidad, rapidez gratuidad del procedimiento, auxilio y orientación a los particulares</w:t>
      </w:r>
      <w:r w:rsidRPr="000A4C44">
        <w:rPr>
          <w:rFonts w:ascii="Palatino Linotype" w:eastAsia="Palatino Linotype" w:hAnsi="Palatino Linotype" w:cs="Palatino Linotype"/>
          <w:sz w:val="22"/>
          <w:szCs w:val="22"/>
        </w:rPr>
        <w:t>, contemplando el derecho de las personas con discapacidad y hablantes de lengua indígena.</w:t>
      </w:r>
    </w:p>
    <w:p w14:paraId="6546D15D" w14:textId="77777777" w:rsidR="00860FBB" w:rsidRPr="000A4C44" w:rsidRDefault="00860FBB" w:rsidP="00860FBB">
      <w:pPr>
        <w:spacing w:line="360" w:lineRule="auto"/>
        <w:ind w:right="49"/>
        <w:jc w:val="both"/>
        <w:rPr>
          <w:rFonts w:ascii="Palatino Linotype" w:eastAsia="Palatino Linotype" w:hAnsi="Palatino Linotype" w:cs="Palatino Linotype"/>
          <w:sz w:val="22"/>
          <w:szCs w:val="22"/>
        </w:rPr>
      </w:pPr>
    </w:p>
    <w:p w14:paraId="6546D15E" w14:textId="77777777" w:rsidR="00860FBB" w:rsidRPr="000A4C44" w:rsidRDefault="00860FBB" w:rsidP="00860FBB">
      <w:pPr>
        <w:numPr>
          <w:ilvl w:val="0"/>
          <w:numId w:val="1"/>
        </w:numPr>
        <w:spacing w:line="360" w:lineRule="auto"/>
        <w:ind w:left="0" w:firstLine="0"/>
        <w:contextualSpacing/>
        <w:jc w:val="both"/>
        <w:rPr>
          <w:rFonts w:ascii="Calibri" w:hAnsi="Calibri" w:cs="Calibri"/>
          <w:sz w:val="22"/>
          <w:szCs w:val="22"/>
        </w:rPr>
      </w:pPr>
      <w:r w:rsidRPr="000A4C44">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0A4C44">
        <w:rPr>
          <w:rFonts w:ascii="Palatino Linotype" w:eastAsia="Palatino Linotype" w:hAnsi="Palatino Linotype" w:cs="Palatino Linotype"/>
          <w:i/>
          <w:sz w:val="22"/>
          <w:szCs w:val="22"/>
        </w:rPr>
        <w:t>solicitudes de acceso a la información</w:t>
      </w:r>
      <w:r w:rsidRPr="000A4C44">
        <w:rPr>
          <w:rFonts w:ascii="Palatino Linotype" w:eastAsia="Palatino Linotype" w:hAnsi="Palatino Linotype" w:cs="Palatino Linotype"/>
          <w:sz w:val="22"/>
          <w:szCs w:val="22"/>
        </w:rPr>
        <w:t>.</w:t>
      </w:r>
    </w:p>
    <w:p w14:paraId="6546D15F" w14:textId="77777777" w:rsidR="00860FBB" w:rsidRPr="000A4C44" w:rsidRDefault="00860FBB" w:rsidP="00860FBB">
      <w:pPr>
        <w:spacing w:line="360" w:lineRule="auto"/>
        <w:ind w:right="49"/>
        <w:jc w:val="both"/>
        <w:rPr>
          <w:rFonts w:ascii="Palatino Linotype" w:eastAsia="Palatino Linotype" w:hAnsi="Palatino Linotype" w:cs="Palatino Linotype"/>
          <w:sz w:val="22"/>
          <w:szCs w:val="22"/>
        </w:rPr>
      </w:pPr>
    </w:p>
    <w:p w14:paraId="6546D160" w14:textId="77777777" w:rsidR="00860FBB" w:rsidRPr="000A4C44" w:rsidRDefault="00860FBB" w:rsidP="00860FBB">
      <w:pPr>
        <w:numPr>
          <w:ilvl w:val="0"/>
          <w:numId w:val="1"/>
        </w:numPr>
        <w:spacing w:line="360" w:lineRule="auto"/>
        <w:ind w:left="0" w:firstLine="0"/>
        <w:contextualSpacing/>
        <w:jc w:val="both"/>
        <w:rPr>
          <w:rFonts w:ascii="Calibri" w:hAnsi="Calibri" w:cs="Calibri"/>
          <w:sz w:val="22"/>
          <w:szCs w:val="22"/>
        </w:rPr>
      </w:pPr>
      <w:bookmarkStart w:id="144" w:name="_heading=h.2s8eyo1" w:colFirst="0" w:colLast="0"/>
      <w:bookmarkEnd w:id="144"/>
      <w:r w:rsidRPr="000A4C44">
        <w:rPr>
          <w:rFonts w:ascii="Palatino Linotype" w:eastAsia="Palatino Linotype" w:hAnsi="Palatino Linotype" w:cs="Palatino Linotype"/>
          <w:sz w:val="22"/>
          <w:szCs w:val="22"/>
        </w:rPr>
        <w:t xml:space="preserve">Así entonces, se procede analizar, en primer lugar, si el </w:t>
      </w:r>
      <w:r w:rsidRPr="000A4C44">
        <w:rPr>
          <w:rFonts w:ascii="Palatino Linotype" w:eastAsia="Palatino Linotype" w:hAnsi="Palatino Linotype" w:cs="Palatino Linotype"/>
          <w:b/>
          <w:sz w:val="22"/>
          <w:szCs w:val="22"/>
        </w:rPr>
        <w:t>SUJETO OBLIGADO</w:t>
      </w:r>
      <w:r w:rsidRPr="000A4C44">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546D161" w14:textId="77777777" w:rsidR="00860FBB" w:rsidRPr="000A4C44" w:rsidRDefault="00860FBB" w:rsidP="00860FBB">
      <w:pPr>
        <w:spacing w:line="360" w:lineRule="auto"/>
        <w:ind w:right="49"/>
        <w:jc w:val="both"/>
        <w:rPr>
          <w:rFonts w:ascii="Palatino Linotype" w:eastAsia="Palatino Linotype" w:hAnsi="Palatino Linotype" w:cs="Palatino Linotype"/>
          <w:sz w:val="22"/>
          <w:szCs w:val="22"/>
        </w:rPr>
      </w:pPr>
    </w:p>
    <w:p w14:paraId="6546D162" w14:textId="77777777" w:rsidR="00860FBB" w:rsidRPr="000A4C44" w:rsidRDefault="00860FBB" w:rsidP="00860FBB">
      <w:pPr>
        <w:keepNext/>
        <w:keepLines/>
        <w:spacing w:after="240" w:line="360" w:lineRule="auto"/>
        <w:outlineLvl w:val="0"/>
        <w:rPr>
          <w:rFonts w:ascii="Palatino Linotype" w:eastAsia="Palatino Linotype" w:hAnsi="Palatino Linotype" w:cs="Palatino Linotype"/>
          <w:b/>
          <w:color w:val="000000"/>
          <w:sz w:val="22"/>
          <w:szCs w:val="22"/>
        </w:rPr>
      </w:pPr>
      <w:bookmarkStart w:id="145" w:name="_heading=h.17dp8vu" w:colFirst="0" w:colLast="0"/>
      <w:bookmarkEnd w:id="145"/>
      <w:r w:rsidRPr="000A4C44">
        <w:rPr>
          <w:rFonts w:ascii="Palatino Linotype" w:eastAsia="Palatino Linotype" w:hAnsi="Palatino Linotype" w:cs="Palatino Linotype"/>
          <w:b/>
          <w:color w:val="000000"/>
          <w:sz w:val="22"/>
          <w:szCs w:val="22"/>
        </w:rPr>
        <w:lastRenderedPageBreak/>
        <w:t>II. De la información solicitada y la respuesta del SUJETO OBLIGADO</w:t>
      </w:r>
    </w:p>
    <w:p w14:paraId="6546D163" w14:textId="77777777" w:rsidR="00860FBB" w:rsidRPr="000A4C44" w:rsidRDefault="00860FBB" w:rsidP="00860FBB">
      <w:pPr>
        <w:numPr>
          <w:ilvl w:val="0"/>
          <w:numId w:val="1"/>
        </w:numPr>
        <w:spacing w:line="360" w:lineRule="auto"/>
        <w:ind w:left="0" w:firstLine="0"/>
        <w:contextualSpacing/>
        <w:jc w:val="both"/>
        <w:rPr>
          <w:sz w:val="22"/>
          <w:szCs w:val="22"/>
        </w:rPr>
      </w:pPr>
      <w:r w:rsidRPr="000A4C44">
        <w:rPr>
          <w:rFonts w:ascii="Palatino Linotype" w:eastAsia="Palatino Linotype" w:hAnsi="Palatino Linotype" w:cs="Palatino Linotype"/>
          <w:color w:val="000000"/>
          <w:sz w:val="22"/>
          <w:szCs w:val="22"/>
        </w:rPr>
        <w:t xml:space="preserve">Acotada la </w:t>
      </w:r>
      <w:r w:rsidRPr="000A4C44">
        <w:rPr>
          <w:rFonts w:ascii="Palatino Linotype" w:eastAsia="Palatino Linotype" w:hAnsi="Palatino Linotype" w:cs="Palatino Linotype"/>
          <w:i/>
          <w:color w:val="000000"/>
          <w:sz w:val="22"/>
          <w:szCs w:val="22"/>
        </w:rPr>
        <w:t>Litis</w:t>
      </w:r>
      <w:r w:rsidRPr="000A4C44">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porque no se entrega toda la información solicitada por parte del </w:t>
      </w:r>
      <w:r w:rsidRPr="000A4C44">
        <w:rPr>
          <w:rFonts w:ascii="Palatino Linotype" w:eastAsia="Palatino Linotype" w:hAnsi="Palatino Linotype" w:cs="Palatino Linotype"/>
          <w:b/>
          <w:color w:val="000000"/>
          <w:sz w:val="22"/>
          <w:szCs w:val="22"/>
        </w:rPr>
        <w:t xml:space="preserve">SUJETO OBLIGADO, </w:t>
      </w:r>
      <w:r w:rsidRPr="000A4C44">
        <w:rPr>
          <w:rFonts w:ascii="Palatino Linotype" w:eastAsia="Palatino Linotype" w:hAnsi="Palatino Linotype" w:cs="Palatino Linotype"/>
          <w:color w:val="000000"/>
          <w:sz w:val="22"/>
          <w:szCs w:val="22"/>
        </w:rPr>
        <w:t>situación que será el motivo de análisis del presente recurso de revisión</w:t>
      </w:r>
    </w:p>
    <w:p w14:paraId="6546D164" w14:textId="77777777" w:rsidR="00860FBB" w:rsidRPr="000A4C44" w:rsidRDefault="00860FBB" w:rsidP="00860FBB">
      <w:pPr>
        <w:spacing w:line="360" w:lineRule="auto"/>
        <w:jc w:val="both"/>
        <w:rPr>
          <w:rFonts w:ascii="Palatino Linotype" w:eastAsia="Palatino Linotype" w:hAnsi="Palatino Linotype" w:cs="Palatino Linotype"/>
          <w:sz w:val="22"/>
          <w:szCs w:val="22"/>
        </w:rPr>
      </w:pPr>
    </w:p>
    <w:p w14:paraId="6546D165" w14:textId="77777777" w:rsidR="00860FBB" w:rsidRPr="000A4C44" w:rsidRDefault="00860FBB" w:rsidP="00860FBB">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eastAsia="Palatino Linotype" w:hAnsi="Palatino Linotype" w:cs="Palatino Linotype"/>
          <w:sz w:val="22"/>
          <w:szCs w:val="22"/>
        </w:rPr>
        <w:t xml:space="preserve">En ese sentido, es importante recordar la información que fue solicitada por el </w:t>
      </w:r>
      <w:r w:rsidRPr="000A4C44">
        <w:rPr>
          <w:rFonts w:ascii="Palatino Linotype" w:eastAsia="Palatino Linotype" w:hAnsi="Palatino Linotype" w:cs="Palatino Linotype"/>
          <w:b/>
          <w:sz w:val="22"/>
          <w:szCs w:val="22"/>
        </w:rPr>
        <w:t>RECURRENTE</w:t>
      </w:r>
    </w:p>
    <w:p w14:paraId="6546D166" w14:textId="77777777" w:rsidR="00860FBB" w:rsidRPr="000A4C44" w:rsidRDefault="00860FBB" w:rsidP="00860FBB">
      <w:pPr>
        <w:pStyle w:val="Prrafodelista"/>
        <w:rPr>
          <w:rFonts w:ascii="Palatino Linotype" w:hAnsi="Palatino Linotype"/>
          <w:color w:val="000000"/>
          <w:sz w:val="22"/>
          <w:szCs w:val="22"/>
        </w:rPr>
      </w:pPr>
    </w:p>
    <w:p w14:paraId="6546D167" w14:textId="77777777" w:rsidR="00860FBB" w:rsidRPr="000A4C44" w:rsidRDefault="001121FB" w:rsidP="001121FB">
      <w:pPr>
        <w:spacing w:line="360" w:lineRule="auto"/>
        <w:ind w:left="1134" w:right="900"/>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“requiero el número de procedimientos de investigación instaurados por la Contraloría y/u órgano interno de control en contra de servidores públicos del periodo de enero de 2022 a marzo de 2024, se precisen cuantos son hombres y cuantos mujeres; rango de edad; se me proporcione nombre del servidor público investigado, estatus del procedimiento y si fuera el caso sanción establecida”</w:t>
      </w:r>
    </w:p>
    <w:p w14:paraId="6546D168" w14:textId="77777777" w:rsidR="001121FB" w:rsidRPr="000A4C44" w:rsidRDefault="001121FB" w:rsidP="001121FB">
      <w:pPr>
        <w:spacing w:line="360" w:lineRule="auto"/>
        <w:ind w:left="1134" w:right="900"/>
        <w:contextualSpacing/>
        <w:jc w:val="both"/>
        <w:rPr>
          <w:rFonts w:ascii="Palatino Linotype" w:hAnsi="Palatino Linotype"/>
          <w:i/>
          <w:color w:val="000000"/>
          <w:sz w:val="22"/>
          <w:szCs w:val="22"/>
        </w:rPr>
      </w:pPr>
    </w:p>
    <w:p w14:paraId="6546D169" w14:textId="77777777" w:rsidR="001121FB" w:rsidRPr="000A4C44" w:rsidRDefault="001121FB"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De la información solicitada el </w:t>
      </w:r>
      <w:r w:rsidRPr="000A4C44">
        <w:rPr>
          <w:rFonts w:ascii="Palatino Linotype" w:hAnsi="Palatino Linotype"/>
          <w:b/>
          <w:color w:val="000000"/>
          <w:sz w:val="22"/>
          <w:szCs w:val="22"/>
        </w:rPr>
        <w:t xml:space="preserve">SUJETO OBLIGADO </w:t>
      </w:r>
      <w:r w:rsidRPr="000A4C44">
        <w:rPr>
          <w:rFonts w:ascii="Palatino Linotype" w:hAnsi="Palatino Linotype"/>
          <w:color w:val="000000"/>
          <w:sz w:val="22"/>
          <w:szCs w:val="22"/>
        </w:rPr>
        <w:t xml:space="preserve">entrego dos archivos electrónicos en formato pdf, cuyo contenido grosso modo es el siguiente. </w:t>
      </w:r>
    </w:p>
    <w:p w14:paraId="6546D16A" w14:textId="77777777" w:rsidR="001121FB" w:rsidRPr="000A4C44" w:rsidRDefault="001121FB" w:rsidP="001121FB">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b/>
          <w:i/>
          <w:color w:val="000000" w:themeColor="text1"/>
          <w:sz w:val="22"/>
          <w:szCs w:val="22"/>
        </w:rPr>
        <w:t xml:space="preserve">65 solic .pdf: </w:t>
      </w:r>
      <w:r w:rsidRPr="000A4C44">
        <w:rPr>
          <w:rFonts w:ascii="Palatino Linotype" w:hAnsi="Palatino Linotype" w:cs="Arial"/>
          <w:i/>
          <w:color w:val="000000" w:themeColor="text1"/>
          <w:sz w:val="22"/>
          <w:szCs w:val="22"/>
        </w:rPr>
        <w:t xml:space="preserve">oficio del Titular de la Unidad de Transparencia y Protección de Datos Personales, mediante el cual informa al solicitante que el Contralor Municipal anexo su respuesta. </w:t>
      </w:r>
    </w:p>
    <w:p w14:paraId="6546D16B" w14:textId="77777777" w:rsidR="001121FB" w:rsidRPr="000A4C44" w:rsidRDefault="001121FB" w:rsidP="001121FB">
      <w:pPr>
        <w:pStyle w:val="Prrafodelista"/>
        <w:ind w:left="1134" w:right="900"/>
        <w:jc w:val="both"/>
        <w:rPr>
          <w:rFonts w:ascii="Palatino Linotype" w:hAnsi="Palatino Linotype" w:cs="Arial"/>
          <w:b/>
          <w:i/>
          <w:color w:val="000000" w:themeColor="text1"/>
          <w:sz w:val="22"/>
          <w:szCs w:val="22"/>
        </w:rPr>
      </w:pPr>
      <w:r w:rsidRPr="000A4C44">
        <w:rPr>
          <w:rFonts w:ascii="Palatino Linotype" w:hAnsi="Palatino Linotype" w:cs="Arial"/>
          <w:b/>
          <w:i/>
          <w:color w:val="000000" w:themeColor="text1"/>
          <w:sz w:val="22"/>
          <w:szCs w:val="22"/>
        </w:rPr>
        <w:t xml:space="preserve">65 contralor .pdf: </w:t>
      </w:r>
      <w:r w:rsidRPr="000A4C44">
        <w:rPr>
          <w:rFonts w:ascii="Palatino Linotype" w:hAnsi="Palatino Linotype" w:cs="Arial"/>
          <w:i/>
          <w:color w:val="000000" w:themeColor="text1"/>
          <w:sz w:val="22"/>
          <w:szCs w:val="22"/>
        </w:rPr>
        <w:t xml:space="preserve">oficio del Contralor Municipal, mediante el cual informa que el número de procedimientos de investigación instaurados por la Contraloría Municipal de enero de dos mil veintidós al mes de marzo de dos mil veinticuatro es de </w:t>
      </w:r>
      <w:r w:rsidRPr="000A4C44">
        <w:rPr>
          <w:rFonts w:ascii="Palatino Linotype" w:hAnsi="Palatino Linotype" w:cs="Arial"/>
          <w:b/>
          <w:i/>
          <w:color w:val="000000" w:themeColor="text1"/>
          <w:sz w:val="22"/>
          <w:szCs w:val="22"/>
        </w:rPr>
        <w:t xml:space="preserve">1545 expedientes. </w:t>
      </w:r>
    </w:p>
    <w:p w14:paraId="6546D16C" w14:textId="77777777" w:rsidR="001121FB" w:rsidRPr="000A4C44" w:rsidRDefault="001121FB" w:rsidP="001121FB">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i/>
          <w:color w:val="000000" w:themeColor="text1"/>
          <w:sz w:val="22"/>
          <w:szCs w:val="22"/>
        </w:rPr>
        <w:t xml:space="preserve">Dentro de la misma respuesta refiere que por cuanto hace a cuantos son hombres y mujeres, rango de edades y nombre del servidor público investigado, no se puede entregar, en virtud de que la información contiene datos personales protegidos, así como por la secrecía , la presunción de inocencia y el respeto a los derechos humanos, </w:t>
      </w:r>
    </w:p>
    <w:p w14:paraId="6546D16D" w14:textId="77777777" w:rsidR="001121FB" w:rsidRPr="000A4C44" w:rsidRDefault="001121FB" w:rsidP="001121FB">
      <w:pPr>
        <w:pStyle w:val="Prrafodelista"/>
        <w:ind w:left="1134" w:right="900"/>
        <w:jc w:val="both"/>
        <w:rPr>
          <w:rFonts w:ascii="Palatino Linotype" w:hAnsi="Palatino Linotype" w:cs="Arial"/>
          <w:i/>
          <w:color w:val="000000" w:themeColor="text1"/>
          <w:sz w:val="22"/>
          <w:szCs w:val="22"/>
        </w:rPr>
      </w:pPr>
      <w:r w:rsidRPr="000A4C44">
        <w:rPr>
          <w:rFonts w:ascii="Palatino Linotype" w:hAnsi="Palatino Linotype" w:cs="Arial"/>
          <w:i/>
          <w:color w:val="000000" w:themeColor="text1"/>
          <w:sz w:val="22"/>
          <w:szCs w:val="22"/>
        </w:rPr>
        <w:lastRenderedPageBreak/>
        <w:t xml:space="preserve">Finalmente informa que respecto al estatus del procedimiento y si fuera el caso la sanción establecida, refiere que de las tablas de aplicabilidad en la fracción XXII del artículo 92 de la Ley de Transparencia y Acceso a la Información Pública del Estado de México y Municipios, no les es aplicables. </w:t>
      </w:r>
    </w:p>
    <w:p w14:paraId="6546D16E" w14:textId="77777777" w:rsidR="001121FB" w:rsidRPr="000A4C44" w:rsidRDefault="001121FB" w:rsidP="001121FB">
      <w:pPr>
        <w:spacing w:line="360" w:lineRule="auto"/>
        <w:contextualSpacing/>
        <w:jc w:val="both"/>
        <w:rPr>
          <w:rFonts w:ascii="Palatino Linotype" w:hAnsi="Palatino Linotype"/>
          <w:color w:val="000000"/>
          <w:sz w:val="22"/>
          <w:szCs w:val="22"/>
        </w:rPr>
      </w:pPr>
    </w:p>
    <w:p w14:paraId="6546D16F" w14:textId="77777777" w:rsidR="00D24AAA" w:rsidRPr="000A4C44" w:rsidRDefault="001121FB"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De la información entregada la entonces </w:t>
      </w:r>
      <w:r w:rsidRPr="000A4C44">
        <w:rPr>
          <w:rFonts w:ascii="Palatino Linotype" w:hAnsi="Palatino Linotype"/>
          <w:b/>
          <w:color w:val="000000"/>
          <w:sz w:val="22"/>
          <w:szCs w:val="22"/>
        </w:rPr>
        <w:t xml:space="preserve">SOLICITANTE </w:t>
      </w:r>
      <w:r w:rsidRPr="000A4C44">
        <w:rPr>
          <w:rFonts w:ascii="Palatino Linotype" w:hAnsi="Palatino Linotype"/>
          <w:color w:val="000000"/>
          <w:sz w:val="22"/>
          <w:szCs w:val="22"/>
        </w:rPr>
        <w:t xml:space="preserve">interpuso en el </w:t>
      </w:r>
      <w:r w:rsidR="00D24AAA" w:rsidRPr="000A4C44">
        <w:rPr>
          <w:rFonts w:ascii="Palatino Linotype" w:hAnsi="Palatino Linotype"/>
          <w:color w:val="000000"/>
          <w:sz w:val="22"/>
          <w:szCs w:val="22"/>
        </w:rPr>
        <w:t xml:space="preserve">recurso de revisión manifestando la entrega de información incompleta, situación por la cual el </w:t>
      </w:r>
      <w:r w:rsidR="00D24AAA" w:rsidRPr="000A4C44">
        <w:rPr>
          <w:rFonts w:ascii="Palatino Linotype" w:hAnsi="Palatino Linotype"/>
          <w:b/>
          <w:color w:val="000000"/>
          <w:sz w:val="22"/>
          <w:szCs w:val="22"/>
        </w:rPr>
        <w:t xml:space="preserve">SUJETO OBLIGADO </w:t>
      </w:r>
      <w:r w:rsidR="00D24AAA" w:rsidRPr="000A4C44">
        <w:rPr>
          <w:rFonts w:ascii="Palatino Linotype" w:hAnsi="Palatino Linotype"/>
          <w:color w:val="000000"/>
          <w:sz w:val="22"/>
          <w:szCs w:val="22"/>
        </w:rPr>
        <w:t xml:space="preserve">en la etapa de manifestaciones entrego dos archivos electrónicos en formato pdf, cuyo contenido grosso modo es el siguiente. </w:t>
      </w:r>
    </w:p>
    <w:p w14:paraId="6546D170" w14:textId="77777777" w:rsidR="00D24AAA" w:rsidRPr="000A4C44" w:rsidRDefault="00D24AAA" w:rsidP="00D24AAA">
      <w:pPr>
        <w:spacing w:line="360" w:lineRule="auto"/>
        <w:contextualSpacing/>
        <w:jc w:val="both"/>
        <w:rPr>
          <w:rFonts w:ascii="Palatino Linotype" w:hAnsi="Palatino Linotype"/>
          <w:color w:val="000000"/>
          <w:sz w:val="22"/>
          <w:szCs w:val="22"/>
        </w:rPr>
      </w:pPr>
    </w:p>
    <w:p w14:paraId="6546D171" w14:textId="77777777" w:rsidR="00D24AAA" w:rsidRPr="000A4C44" w:rsidRDefault="00D24AAA" w:rsidP="00D24AAA">
      <w:pPr>
        <w:pStyle w:val="Prrafodelista"/>
        <w:tabs>
          <w:tab w:val="left" w:pos="634"/>
        </w:tabs>
        <w:ind w:left="1134" w:right="900"/>
        <w:jc w:val="both"/>
        <w:rPr>
          <w:rFonts w:ascii="Palatino Linotype" w:hAnsi="Palatino Linotype"/>
          <w:i/>
          <w:sz w:val="22"/>
          <w:szCs w:val="22"/>
        </w:rPr>
      </w:pPr>
      <w:r w:rsidRPr="000A4C44">
        <w:rPr>
          <w:rFonts w:ascii="Palatino Linotype" w:hAnsi="Palatino Linotype"/>
          <w:b/>
          <w:i/>
          <w:sz w:val="22"/>
          <w:szCs w:val="22"/>
        </w:rPr>
        <w:t xml:space="preserve">Recurso de revisión 65 .pdf: </w:t>
      </w:r>
      <w:r w:rsidRPr="000A4C44">
        <w:rPr>
          <w:rFonts w:ascii="Palatino Linotype" w:hAnsi="Palatino Linotype"/>
          <w:i/>
          <w:sz w:val="22"/>
          <w:szCs w:val="22"/>
        </w:rPr>
        <w:t xml:space="preserve">informe justificado del Titular de la Unidad de Transparencia, mediante el cual ratifica su respuesta inicial. </w:t>
      </w:r>
    </w:p>
    <w:p w14:paraId="6546D172" w14:textId="77777777" w:rsidR="00D24AAA" w:rsidRPr="000A4C44" w:rsidRDefault="00D24AAA" w:rsidP="00D24AAA">
      <w:pPr>
        <w:pStyle w:val="Prrafodelista"/>
        <w:tabs>
          <w:tab w:val="left" w:pos="634"/>
        </w:tabs>
        <w:ind w:left="1134" w:right="900"/>
        <w:jc w:val="both"/>
        <w:rPr>
          <w:rFonts w:ascii="Palatino Linotype" w:hAnsi="Palatino Linotype"/>
          <w:i/>
          <w:sz w:val="22"/>
          <w:szCs w:val="22"/>
        </w:rPr>
      </w:pPr>
    </w:p>
    <w:p w14:paraId="6546D173" w14:textId="77777777" w:rsidR="00D24AAA" w:rsidRPr="000A4C44" w:rsidRDefault="00D24AAA" w:rsidP="00D24AAA">
      <w:pPr>
        <w:pStyle w:val="Prrafodelista"/>
        <w:tabs>
          <w:tab w:val="left" w:pos="634"/>
        </w:tabs>
        <w:ind w:left="1134" w:right="900"/>
        <w:jc w:val="both"/>
        <w:rPr>
          <w:rFonts w:ascii="Palatino Linotype" w:hAnsi="Palatino Linotype"/>
          <w:i/>
          <w:sz w:val="22"/>
          <w:szCs w:val="22"/>
        </w:rPr>
      </w:pPr>
      <w:r w:rsidRPr="000A4C44">
        <w:rPr>
          <w:rFonts w:ascii="Palatino Linotype" w:hAnsi="Palatino Linotype"/>
          <w:b/>
          <w:i/>
          <w:sz w:val="22"/>
          <w:szCs w:val="22"/>
        </w:rPr>
        <w:t xml:space="preserve">Respuesta contralor recurso 65 .pdf: </w:t>
      </w:r>
      <w:r w:rsidRPr="000A4C44">
        <w:rPr>
          <w:rFonts w:ascii="Palatino Linotype" w:hAnsi="Palatino Linotype"/>
          <w:i/>
          <w:sz w:val="22"/>
          <w:szCs w:val="22"/>
        </w:rPr>
        <w:t xml:space="preserve">oficio del Contralor Municipal, mediante el cual refiere que ratifica la respuesta inicial. </w:t>
      </w:r>
    </w:p>
    <w:p w14:paraId="6546D174" w14:textId="77777777" w:rsidR="00D24AAA" w:rsidRPr="000A4C44" w:rsidRDefault="00D24AAA" w:rsidP="00D24AAA">
      <w:pPr>
        <w:spacing w:line="360" w:lineRule="auto"/>
        <w:contextualSpacing/>
        <w:jc w:val="both"/>
        <w:rPr>
          <w:rFonts w:ascii="Palatino Linotype" w:hAnsi="Palatino Linotype"/>
          <w:color w:val="000000"/>
          <w:sz w:val="22"/>
          <w:szCs w:val="22"/>
        </w:rPr>
      </w:pPr>
    </w:p>
    <w:p w14:paraId="6546D175" w14:textId="77777777" w:rsidR="00D24AAA" w:rsidRPr="000A4C44" w:rsidRDefault="00D24AAA"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 En ese sentido, se debe de precisar en una tabla la información solicitada por el </w:t>
      </w:r>
      <w:r w:rsidRPr="000A4C44">
        <w:rPr>
          <w:rFonts w:ascii="Palatino Linotype" w:hAnsi="Palatino Linotype"/>
          <w:b/>
          <w:color w:val="000000"/>
          <w:sz w:val="22"/>
          <w:szCs w:val="22"/>
        </w:rPr>
        <w:t xml:space="preserve">RECURRENTE </w:t>
      </w:r>
      <w:r w:rsidRPr="000A4C44">
        <w:rPr>
          <w:rFonts w:ascii="Palatino Linotype" w:hAnsi="Palatino Linotype"/>
          <w:color w:val="000000"/>
          <w:sz w:val="22"/>
          <w:szCs w:val="22"/>
        </w:rPr>
        <w:t xml:space="preserve">y la información entregada por el </w:t>
      </w:r>
      <w:r w:rsidRPr="000A4C44">
        <w:rPr>
          <w:rFonts w:ascii="Palatino Linotype" w:hAnsi="Palatino Linotype"/>
          <w:b/>
          <w:color w:val="000000"/>
          <w:sz w:val="22"/>
          <w:szCs w:val="22"/>
        </w:rPr>
        <w:t xml:space="preserve">SUJETO OBLIGADO </w:t>
      </w:r>
      <w:r w:rsidRPr="000A4C44">
        <w:rPr>
          <w:rFonts w:ascii="Palatino Linotype" w:hAnsi="Palatino Linotype"/>
          <w:color w:val="000000"/>
          <w:sz w:val="22"/>
          <w:szCs w:val="22"/>
        </w:rPr>
        <w:t xml:space="preserve">en la siguiente tabla para establecer si se colmó el derecho de acceso a la información. </w:t>
      </w:r>
    </w:p>
    <w:p w14:paraId="6546D176" w14:textId="77777777" w:rsidR="00D24AAA" w:rsidRPr="000A4C44" w:rsidRDefault="00D24AAA" w:rsidP="00D24AAA">
      <w:pPr>
        <w:spacing w:line="360" w:lineRule="auto"/>
        <w:contextualSpacing/>
        <w:jc w:val="both"/>
        <w:rPr>
          <w:rFonts w:ascii="Palatino Linotype" w:hAnsi="Palatino Linotype"/>
          <w:color w:val="000000"/>
          <w:sz w:val="22"/>
          <w:szCs w:val="22"/>
        </w:rPr>
      </w:pPr>
    </w:p>
    <w:tbl>
      <w:tblPr>
        <w:tblStyle w:val="Tablaconcuadrcula"/>
        <w:tblW w:w="0" w:type="auto"/>
        <w:tblLook w:val="04A0" w:firstRow="1" w:lastRow="0" w:firstColumn="1" w:lastColumn="0" w:noHBand="0" w:noVBand="1"/>
      </w:tblPr>
      <w:tblGrid>
        <w:gridCol w:w="562"/>
        <w:gridCol w:w="3261"/>
        <w:gridCol w:w="3118"/>
        <w:gridCol w:w="1724"/>
      </w:tblGrid>
      <w:tr w:rsidR="00C113B5" w:rsidRPr="000A4C44" w14:paraId="6546D17B" w14:textId="77777777" w:rsidTr="00C113B5">
        <w:tc>
          <w:tcPr>
            <w:tcW w:w="562" w:type="dxa"/>
          </w:tcPr>
          <w:p w14:paraId="6546D177"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No. </w:t>
            </w:r>
          </w:p>
        </w:tc>
        <w:tc>
          <w:tcPr>
            <w:tcW w:w="3261" w:type="dxa"/>
          </w:tcPr>
          <w:p w14:paraId="6546D178"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Información solicitada</w:t>
            </w:r>
          </w:p>
        </w:tc>
        <w:tc>
          <w:tcPr>
            <w:tcW w:w="3118" w:type="dxa"/>
          </w:tcPr>
          <w:p w14:paraId="6546D179"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Respuesta </w:t>
            </w:r>
          </w:p>
        </w:tc>
        <w:tc>
          <w:tcPr>
            <w:tcW w:w="1701" w:type="dxa"/>
          </w:tcPr>
          <w:p w14:paraId="6546D17A"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Colmo </w:t>
            </w:r>
          </w:p>
        </w:tc>
      </w:tr>
      <w:tr w:rsidR="00C113B5" w:rsidRPr="000A4C44" w14:paraId="6546D181" w14:textId="77777777" w:rsidTr="00C113B5">
        <w:tc>
          <w:tcPr>
            <w:tcW w:w="562" w:type="dxa"/>
          </w:tcPr>
          <w:p w14:paraId="6546D17C"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1</w:t>
            </w:r>
          </w:p>
        </w:tc>
        <w:tc>
          <w:tcPr>
            <w:tcW w:w="3261" w:type="dxa"/>
          </w:tcPr>
          <w:p w14:paraId="6546D17D" w14:textId="77777777" w:rsidR="00D24AAA" w:rsidRPr="000A4C44" w:rsidRDefault="00D24AAA" w:rsidP="00D24AAA">
            <w:pPr>
              <w:spacing w:line="276" w:lineRule="auto"/>
              <w:contextualSpacing/>
              <w:jc w:val="both"/>
              <w:rPr>
                <w:rFonts w:ascii="Palatino Linotype" w:hAnsi="Palatino Linotype"/>
                <w:b/>
                <w:i/>
                <w:color w:val="000000"/>
                <w:sz w:val="22"/>
                <w:szCs w:val="22"/>
              </w:rPr>
            </w:pPr>
            <w:r w:rsidRPr="000A4C44">
              <w:rPr>
                <w:rFonts w:ascii="Palatino Linotype" w:hAnsi="Palatino Linotype"/>
                <w:b/>
                <w:i/>
                <w:color w:val="000000"/>
                <w:sz w:val="22"/>
                <w:szCs w:val="22"/>
              </w:rPr>
              <w:t>número de procedimientos de investigación instaurados por la Contraloría en contra de servidores públicos del periodo de enero de 2022 a marzo de 2024</w:t>
            </w:r>
          </w:p>
          <w:p w14:paraId="6546D17E" w14:textId="77777777" w:rsidR="00D24AAA" w:rsidRPr="000A4C44" w:rsidRDefault="00D24AAA" w:rsidP="00D24AAA">
            <w:pPr>
              <w:spacing w:line="276" w:lineRule="auto"/>
              <w:contextualSpacing/>
              <w:jc w:val="both"/>
              <w:rPr>
                <w:rFonts w:ascii="Palatino Linotype" w:hAnsi="Palatino Linotype"/>
                <w:i/>
                <w:color w:val="000000"/>
                <w:sz w:val="22"/>
                <w:szCs w:val="22"/>
              </w:rPr>
            </w:pPr>
          </w:p>
        </w:tc>
        <w:tc>
          <w:tcPr>
            <w:tcW w:w="3118" w:type="dxa"/>
          </w:tcPr>
          <w:p w14:paraId="6546D17F" w14:textId="77777777" w:rsidR="00D24AAA" w:rsidRPr="000A4C44" w:rsidRDefault="00C113B5" w:rsidP="00C113B5">
            <w:pPr>
              <w:ind w:right="900"/>
              <w:contextualSpacing/>
              <w:jc w:val="both"/>
              <w:rPr>
                <w:rFonts w:ascii="Palatino Linotype" w:hAnsi="Palatino Linotype"/>
                <w:i/>
                <w:color w:val="000000"/>
                <w:sz w:val="22"/>
                <w:szCs w:val="22"/>
              </w:rPr>
            </w:pPr>
            <w:r w:rsidRPr="000A4C44">
              <w:rPr>
                <w:rFonts w:ascii="Palatino Linotype" w:hAnsi="Palatino Linotype" w:cs="Arial"/>
                <w:i/>
                <w:color w:val="000000" w:themeColor="text1"/>
                <w:sz w:val="22"/>
                <w:szCs w:val="22"/>
              </w:rPr>
              <w:t xml:space="preserve">El contralor Municipal informa que enero dos mil veintidós al cuatro de marzo de dos mil veinticuatro, tiene registrados 1545 expedientes. </w:t>
            </w:r>
          </w:p>
        </w:tc>
        <w:tc>
          <w:tcPr>
            <w:tcW w:w="1701" w:type="dxa"/>
          </w:tcPr>
          <w:p w14:paraId="6546D180" w14:textId="77777777" w:rsidR="00D24AAA" w:rsidRPr="000A4C44" w:rsidRDefault="00C113B5"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Si colmo</w:t>
            </w:r>
          </w:p>
        </w:tc>
      </w:tr>
      <w:tr w:rsidR="00C113B5" w:rsidRPr="000A4C44" w14:paraId="6546D187" w14:textId="77777777" w:rsidTr="00C113B5">
        <w:tc>
          <w:tcPr>
            <w:tcW w:w="562" w:type="dxa"/>
          </w:tcPr>
          <w:p w14:paraId="6546D182"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2</w:t>
            </w:r>
          </w:p>
        </w:tc>
        <w:tc>
          <w:tcPr>
            <w:tcW w:w="3261" w:type="dxa"/>
          </w:tcPr>
          <w:p w14:paraId="6546D183"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cs="Arial"/>
                <w:b/>
                <w:i/>
                <w:sz w:val="22"/>
                <w:szCs w:val="22"/>
              </w:rPr>
              <w:t>cuantos son hombres y cuantos mujeres</w:t>
            </w:r>
          </w:p>
        </w:tc>
        <w:tc>
          <w:tcPr>
            <w:tcW w:w="3118" w:type="dxa"/>
          </w:tcPr>
          <w:p w14:paraId="6546D184" w14:textId="77777777" w:rsidR="00C113B5" w:rsidRPr="000A4C44" w:rsidRDefault="00C113B5" w:rsidP="00C113B5">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El Contralor Municipal refiere que por cuanto hace a cuantos son hombres y mujeres, rango de edades y nombre del servidor </w:t>
            </w:r>
            <w:r w:rsidRPr="000A4C44">
              <w:rPr>
                <w:rFonts w:ascii="Palatino Linotype" w:hAnsi="Palatino Linotype"/>
                <w:i/>
                <w:color w:val="000000"/>
                <w:sz w:val="22"/>
                <w:szCs w:val="22"/>
              </w:rPr>
              <w:lastRenderedPageBreak/>
              <w:t xml:space="preserve">público investigado, no se puede entregar, en virtud de que la información contiene datos personales protegidos, así como por la secrecía , la presunción de inocencia y el respeto a los derechos humanos, </w:t>
            </w:r>
          </w:p>
          <w:p w14:paraId="6546D185" w14:textId="77777777" w:rsidR="00D24AAA" w:rsidRPr="000A4C44" w:rsidRDefault="00D24AAA" w:rsidP="00D24AAA">
            <w:pPr>
              <w:spacing w:line="276" w:lineRule="auto"/>
              <w:contextualSpacing/>
              <w:jc w:val="both"/>
              <w:rPr>
                <w:rFonts w:ascii="Palatino Linotype" w:hAnsi="Palatino Linotype"/>
                <w:i/>
                <w:color w:val="000000"/>
                <w:sz w:val="22"/>
                <w:szCs w:val="22"/>
              </w:rPr>
            </w:pPr>
          </w:p>
        </w:tc>
        <w:tc>
          <w:tcPr>
            <w:tcW w:w="1701" w:type="dxa"/>
          </w:tcPr>
          <w:p w14:paraId="6546D186" w14:textId="77777777" w:rsidR="00D24AAA" w:rsidRPr="000A4C44" w:rsidRDefault="00C113B5"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lastRenderedPageBreak/>
              <w:t xml:space="preserve">No colma, toda vez que de registro de los expedientes </w:t>
            </w:r>
            <w:r w:rsidRPr="000A4C44">
              <w:rPr>
                <w:rFonts w:ascii="Palatino Linotype" w:hAnsi="Palatino Linotype"/>
                <w:i/>
                <w:color w:val="000000"/>
                <w:sz w:val="22"/>
                <w:szCs w:val="22"/>
              </w:rPr>
              <w:lastRenderedPageBreak/>
              <w:t xml:space="preserve">puede conocer el la cantidad, refiriendo que es un dato estadístico. </w:t>
            </w:r>
          </w:p>
        </w:tc>
      </w:tr>
      <w:tr w:rsidR="00C113B5" w:rsidRPr="000A4C44" w14:paraId="6546D18D" w14:textId="77777777" w:rsidTr="00C113B5">
        <w:tc>
          <w:tcPr>
            <w:tcW w:w="562" w:type="dxa"/>
          </w:tcPr>
          <w:p w14:paraId="6546D188"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lastRenderedPageBreak/>
              <w:t>3</w:t>
            </w:r>
          </w:p>
        </w:tc>
        <w:tc>
          <w:tcPr>
            <w:tcW w:w="3261" w:type="dxa"/>
          </w:tcPr>
          <w:p w14:paraId="6546D189"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cs="Arial"/>
                <w:b/>
                <w:i/>
                <w:sz w:val="22"/>
                <w:szCs w:val="22"/>
              </w:rPr>
              <w:t>rango de edad</w:t>
            </w:r>
          </w:p>
        </w:tc>
        <w:tc>
          <w:tcPr>
            <w:tcW w:w="3118" w:type="dxa"/>
          </w:tcPr>
          <w:p w14:paraId="6546D18A" w14:textId="77777777" w:rsidR="00C113B5" w:rsidRPr="000A4C44" w:rsidRDefault="00C113B5" w:rsidP="00C113B5">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Dentro de la misma respuesta refiere que por cuanto hace a cuantos son hombres y mujeres, rango de edades y nombre del servidor público investigado, no se puede entregar, en virtud de que la información contiene datos personales protegidos, así como por la secrecía , la presunción de inocencia y el respeto a los derechos humanos, </w:t>
            </w:r>
          </w:p>
          <w:p w14:paraId="6546D18B" w14:textId="77777777" w:rsidR="00D24AAA" w:rsidRPr="000A4C44" w:rsidRDefault="00D24AAA" w:rsidP="00D24AAA">
            <w:pPr>
              <w:spacing w:line="276" w:lineRule="auto"/>
              <w:contextualSpacing/>
              <w:jc w:val="both"/>
              <w:rPr>
                <w:rFonts w:ascii="Palatino Linotype" w:hAnsi="Palatino Linotype"/>
                <w:i/>
                <w:color w:val="000000"/>
                <w:sz w:val="22"/>
                <w:szCs w:val="22"/>
              </w:rPr>
            </w:pPr>
          </w:p>
        </w:tc>
        <w:tc>
          <w:tcPr>
            <w:tcW w:w="1701" w:type="dxa"/>
          </w:tcPr>
          <w:p w14:paraId="6546D18C" w14:textId="77777777" w:rsidR="00D24AAA" w:rsidRPr="000A4C44" w:rsidRDefault="00B4334D" w:rsidP="00D24AAA">
            <w:pPr>
              <w:spacing w:line="276" w:lineRule="auto"/>
              <w:contextualSpacing/>
              <w:jc w:val="both"/>
              <w:rPr>
                <w:rFonts w:ascii="Palatino Linotype" w:hAnsi="Palatino Linotype"/>
                <w:b/>
                <w:i/>
                <w:color w:val="000000"/>
                <w:sz w:val="22"/>
                <w:szCs w:val="22"/>
              </w:rPr>
            </w:pPr>
            <w:r w:rsidRPr="000A4C44">
              <w:rPr>
                <w:rFonts w:ascii="Palatino Linotype" w:hAnsi="Palatino Linotype"/>
                <w:i/>
                <w:color w:val="000000"/>
                <w:sz w:val="22"/>
                <w:szCs w:val="22"/>
              </w:rPr>
              <w:t xml:space="preserve">Colma, toda vez que el </w:t>
            </w:r>
            <w:r w:rsidRPr="000A4C44">
              <w:rPr>
                <w:rFonts w:ascii="Palatino Linotype" w:hAnsi="Palatino Linotype"/>
                <w:b/>
                <w:i/>
                <w:color w:val="000000"/>
                <w:sz w:val="22"/>
                <w:szCs w:val="22"/>
              </w:rPr>
              <w:t xml:space="preserve">RECURRENTE </w:t>
            </w:r>
            <w:r w:rsidRPr="000A4C44">
              <w:rPr>
                <w:rFonts w:ascii="Palatino Linotype" w:hAnsi="Palatino Linotype"/>
                <w:i/>
                <w:color w:val="000000"/>
                <w:sz w:val="22"/>
                <w:szCs w:val="22"/>
              </w:rPr>
              <w:t xml:space="preserve">esta solicitando información procesada y el </w:t>
            </w:r>
            <w:r w:rsidRPr="000A4C44">
              <w:rPr>
                <w:rFonts w:ascii="Palatino Linotype" w:hAnsi="Palatino Linotype"/>
                <w:b/>
                <w:i/>
                <w:color w:val="000000"/>
                <w:sz w:val="22"/>
                <w:szCs w:val="22"/>
              </w:rPr>
              <w:t xml:space="preserve">SUJETO OBLIGADO no cuenta con la información como se está pidiendo. </w:t>
            </w:r>
          </w:p>
        </w:tc>
      </w:tr>
      <w:tr w:rsidR="00C113B5" w:rsidRPr="000A4C44" w14:paraId="6546D195" w14:textId="77777777" w:rsidTr="00C113B5">
        <w:tc>
          <w:tcPr>
            <w:tcW w:w="562" w:type="dxa"/>
          </w:tcPr>
          <w:p w14:paraId="6546D18E" w14:textId="77777777" w:rsidR="00D24AAA" w:rsidRPr="000A4C44" w:rsidRDefault="00D24AAA"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4</w:t>
            </w:r>
          </w:p>
        </w:tc>
        <w:tc>
          <w:tcPr>
            <w:tcW w:w="3261" w:type="dxa"/>
          </w:tcPr>
          <w:p w14:paraId="6546D18F" w14:textId="77777777" w:rsidR="00D24AAA" w:rsidRPr="000A4C44" w:rsidRDefault="00D24AAA" w:rsidP="00D24AAA">
            <w:pPr>
              <w:ind w:right="900"/>
              <w:jc w:val="both"/>
              <w:rPr>
                <w:rFonts w:ascii="Palatino Linotype" w:hAnsi="Palatino Linotype" w:cs="Arial"/>
                <w:b/>
                <w:i/>
                <w:sz w:val="22"/>
                <w:szCs w:val="22"/>
              </w:rPr>
            </w:pPr>
            <w:r w:rsidRPr="000A4C44">
              <w:rPr>
                <w:rFonts w:ascii="Palatino Linotype" w:hAnsi="Palatino Linotype" w:cs="Arial"/>
                <w:b/>
                <w:i/>
                <w:sz w:val="22"/>
                <w:szCs w:val="22"/>
              </w:rPr>
              <w:t>nombre del servidor público investigado, estatus del procedimiento y si fuera el caso sanción establecida</w:t>
            </w:r>
          </w:p>
          <w:p w14:paraId="6546D190" w14:textId="77777777" w:rsidR="00D24AAA" w:rsidRPr="000A4C44" w:rsidRDefault="00D24AAA" w:rsidP="00D24AAA">
            <w:pPr>
              <w:spacing w:line="276" w:lineRule="auto"/>
              <w:contextualSpacing/>
              <w:jc w:val="both"/>
              <w:rPr>
                <w:rFonts w:ascii="Palatino Linotype" w:hAnsi="Palatino Linotype"/>
                <w:i/>
                <w:color w:val="000000"/>
                <w:sz w:val="22"/>
                <w:szCs w:val="22"/>
              </w:rPr>
            </w:pPr>
          </w:p>
        </w:tc>
        <w:tc>
          <w:tcPr>
            <w:tcW w:w="3118" w:type="dxa"/>
          </w:tcPr>
          <w:p w14:paraId="6546D191" w14:textId="77777777" w:rsidR="00D24AAA" w:rsidRPr="000A4C44" w:rsidRDefault="00C113B5" w:rsidP="00952FDC">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Respecto del Nombre </w:t>
            </w:r>
            <w:r w:rsidR="00952FDC" w:rsidRPr="000A4C44">
              <w:rPr>
                <w:rFonts w:ascii="Palatino Linotype" w:hAnsi="Palatino Linotype"/>
                <w:i/>
                <w:color w:val="000000"/>
                <w:sz w:val="22"/>
                <w:szCs w:val="22"/>
              </w:rPr>
              <w:t xml:space="preserve">refiere que no se puede brindar porque es un dato personal. </w:t>
            </w:r>
          </w:p>
          <w:p w14:paraId="6546D192" w14:textId="77777777" w:rsidR="00952FDC" w:rsidRPr="000A4C44" w:rsidRDefault="00952FDC" w:rsidP="00952FDC">
            <w:pPr>
              <w:spacing w:line="276" w:lineRule="auto"/>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Por cuanto hace al estatus del procedimiento y la sanción refiere que de las tablas de aplicabilidad en la fracción XXII del artículo 92 de la Ley de Transparencia y Acceso a la Información Pública del Estado de México y Municipios, no les es aplicables. </w:t>
            </w:r>
          </w:p>
          <w:p w14:paraId="6546D193" w14:textId="77777777" w:rsidR="00952FDC" w:rsidRPr="000A4C44" w:rsidRDefault="00952FDC" w:rsidP="00D24AAA">
            <w:pPr>
              <w:spacing w:line="276" w:lineRule="auto"/>
              <w:contextualSpacing/>
              <w:jc w:val="both"/>
              <w:rPr>
                <w:rFonts w:ascii="Palatino Linotype" w:hAnsi="Palatino Linotype"/>
                <w:i/>
                <w:color w:val="000000"/>
                <w:sz w:val="22"/>
                <w:szCs w:val="22"/>
              </w:rPr>
            </w:pPr>
          </w:p>
        </w:tc>
        <w:tc>
          <w:tcPr>
            <w:tcW w:w="1701" w:type="dxa"/>
          </w:tcPr>
          <w:p w14:paraId="6546D194" w14:textId="77777777" w:rsidR="00D24AAA" w:rsidRPr="000A4C44" w:rsidRDefault="00952FDC" w:rsidP="00D24AAA">
            <w:pPr>
              <w:spacing w:line="276" w:lineRule="auto"/>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No colma, toda vez que el </w:t>
            </w:r>
            <w:r w:rsidRPr="000A4C44">
              <w:rPr>
                <w:rFonts w:ascii="Palatino Linotype" w:hAnsi="Palatino Linotype"/>
                <w:b/>
                <w:i/>
                <w:color w:val="000000"/>
                <w:sz w:val="22"/>
                <w:szCs w:val="22"/>
              </w:rPr>
              <w:t xml:space="preserve">SUJETO OBLIGADO </w:t>
            </w:r>
            <w:r w:rsidRPr="000A4C44">
              <w:rPr>
                <w:rFonts w:ascii="Palatino Linotype" w:hAnsi="Palatino Linotype"/>
                <w:i/>
                <w:color w:val="000000"/>
                <w:sz w:val="22"/>
                <w:szCs w:val="22"/>
              </w:rPr>
              <w:t xml:space="preserve">tuvo que haber analizado el estado de sus expedientes y se trata de falta graves que tengan relación con violaciones graves a derechos humanos, delitos </w:t>
            </w:r>
            <w:r w:rsidRPr="000A4C44">
              <w:rPr>
                <w:rFonts w:ascii="Palatino Linotype" w:hAnsi="Palatino Linotype"/>
                <w:i/>
                <w:color w:val="000000"/>
                <w:sz w:val="22"/>
                <w:szCs w:val="22"/>
              </w:rPr>
              <w:lastRenderedPageBreak/>
              <w:t xml:space="preserve">de lesa humanidad y actos de corrupción. </w:t>
            </w:r>
          </w:p>
        </w:tc>
      </w:tr>
    </w:tbl>
    <w:p w14:paraId="6546D196" w14:textId="77777777" w:rsidR="00D24AAA" w:rsidRPr="000A4C44" w:rsidRDefault="00D24AAA" w:rsidP="00D24AAA">
      <w:pPr>
        <w:spacing w:line="360" w:lineRule="auto"/>
        <w:contextualSpacing/>
        <w:jc w:val="both"/>
        <w:rPr>
          <w:rFonts w:ascii="Palatino Linotype" w:hAnsi="Palatino Linotype"/>
          <w:color w:val="000000"/>
          <w:sz w:val="22"/>
          <w:szCs w:val="22"/>
        </w:rPr>
      </w:pPr>
    </w:p>
    <w:p w14:paraId="6546D197" w14:textId="77777777" w:rsidR="00952FDC" w:rsidRPr="000A4C44" w:rsidRDefault="00952FDC"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Ahora bien, una vez precisado lo anterior se debe de establecer la fuente obligacional del porque el </w:t>
      </w:r>
      <w:r w:rsidRPr="000A4C44">
        <w:rPr>
          <w:rFonts w:ascii="Palatino Linotype" w:hAnsi="Palatino Linotype"/>
          <w:b/>
          <w:color w:val="000000"/>
          <w:sz w:val="22"/>
          <w:szCs w:val="22"/>
        </w:rPr>
        <w:t xml:space="preserve">SUJETO OBLIGADO </w:t>
      </w:r>
      <w:r w:rsidRPr="000A4C44">
        <w:rPr>
          <w:rFonts w:ascii="Palatino Linotype" w:hAnsi="Palatino Linotype"/>
          <w:color w:val="000000"/>
          <w:sz w:val="22"/>
          <w:szCs w:val="22"/>
        </w:rPr>
        <w:t xml:space="preserve">debe de contar con la información solicitada. </w:t>
      </w:r>
    </w:p>
    <w:p w14:paraId="6546D198" w14:textId="77777777" w:rsidR="00952FDC" w:rsidRPr="000A4C44" w:rsidRDefault="00952FDC" w:rsidP="00952FDC">
      <w:pPr>
        <w:spacing w:line="360" w:lineRule="auto"/>
        <w:contextualSpacing/>
        <w:jc w:val="both"/>
        <w:rPr>
          <w:rFonts w:ascii="Palatino Linotype" w:hAnsi="Palatino Linotype"/>
          <w:color w:val="000000"/>
          <w:sz w:val="22"/>
          <w:szCs w:val="22"/>
        </w:rPr>
      </w:pPr>
    </w:p>
    <w:p w14:paraId="6546D199" w14:textId="77777777" w:rsidR="00A71713" w:rsidRPr="000A4C44" w:rsidRDefault="00952FDC" w:rsidP="00A21EC3">
      <w:pPr>
        <w:numPr>
          <w:ilvl w:val="0"/>
          <w:numId w:val="1"/>
        </w:numPr>
        <w:spacing w:line="360" w:lineRule="auto"/>
        <w:ind w:left="0" w:firstLine="0"/>
        <w:contextualSpacing/>
        <w:jc w:val="both"/>
        <w:rPr>
          <w:rFonts w:ascii="Palatino Linotype" w:hAnsi="Palatino Linotype"/>
          <w:b/>
          <w:i/>
          <w:color w:val="000000"/>
          <w:sz w:val="22"/>
          <w:szCs w:val="22"/>
        </w:rPr>
      </w:pPr>
      <w:r w:rsidRPr="000A4C44">
        <w:rPr>
          <w:rFonts w:ascii="Palatino Linotype" w:hAnsi="Palatino Linotype"/>
          <w:color w:val="000000"/>
          <w:sz w:val="22"/>
          <w:szCs w:val="22"/>
        </w:rPr>
        <w:t>En</w:t>
      </w:r>
      <w:r w:rsidR="0094425F" w:rsidRPr="000A4C44">
        <w:rPr>
          <w:rFonts w:ascii="Palatino Linotype" w:hAnsi="Palatino Linotype"/>
          <w:color w:val="000000"/>
          <w:sz w:val="22"/>
          <w:szCs w:val="22"/>
        </w:rPr>
        <w:t xml:space="preserve"> ese sentido, para </w:t>
      </w:r>
      <w:r w:rsidR="00A21EC3" w:rsidRPr="000A4C44">
        <w:rPr>
          <w:rFonts w:ascii="Palatino Linotype" w:hAnsi="Palatino Linotype"/>
          <w:color w:val="000000"/>
          <w:sz w:val="22"/>
          <w:szCs w:val="22"/>
        </w:rPr>
        <w:t xml:space="preserve"> el punto de la solicitud de información “</w:t>
      </w:r>
      <w:r w:rsidR="00A21EC3" w:rsidRPr="000A4C44">
        <w:rPr>
          <w:rFonts w:ascii="Palatino Linotype" w:hAnsi="Palatino Linotype"/>
          <w:b/>
          <w:i/>
          <w:color w:val="000000"/>
          <w:sz w:val="22"/>
          <w:szCs w:val="22"/>
        </w:rPr>
        <w:t xml:space="preserve">nombre del servidor público investigado, estatus del procedimiento y si fuera el caso sanción establecida”,  </w:t>
      </w:r>
      <w:r w:rsidR="00A71713" w:rsidRPr="000A4C44">
        <w:rPr>
          <w:rFonts w:ascii="Palatino Linotype" w:hAnsi="Palatino Linotype"/>
          <w:color w:val="000000"/>
          <w:sz w:val="22"/>
          <w:szCs w:val="22"/>
        </w:rPr>
        <w:t xml:space="preserve">es aplicable el siguiente análisis. </w:t>
      </w:r>
    </w:p>
    <w:p w14:paraId="6546D19A" w14:textId="77777777" w:rsidR="00A71713" w:rsidRPr="000A4C44" w:rsidRDefault="00A71713" w:rsidP="00A71713">
      <w:pPr>
        <w:pStyle w:val="Prrafodelista"/>
        <w:rPr>
          <w:rFonts w:ascii="Palatino Linotype" w:hAnsi="Palatino Linotype"/>
          <w:color w:val="000000"/>
          <w:sz w:val="22"/>
          <w:szCs w:val="22"/>
        </w:rPr>
      </w:pPr>
    </w:p>
    <w:p w14:paraId="6546D19B" w14:textId="77777777" w:rsidR="00B21126" w:rsidRPr="000A4C44" w:rsidRDefault="00A71713" w:rsidP="00A21EC3">
      <w:pPr>
        <w:numPr>
          <w:ilvl w:val="0"/>
          <w:numId w:val="1"/>
        </w:numPr>
        <w:spacing w:line="360" w:lineRule="auto"/>
        <w:ind w:left="0" w:firstLine="0"/>
        <w:contextualSpacing/>
        <w:jc w:val="both"/>
        <w:rPr>
          <w:rFonts w:ascii="Palatino Linotype" w:hAnsi="Palatino Linotype"/>
          <w:b/>
          <w:i/>
          <w:color w:val="000000"/>
          <w:sz w:val="22"/>
          <w:szCs w:val="22"/>
        </w:rPr>
      </w:pPr>
      <w:r w:rsidRPr="000A4C44">
        <w:rPr>
          <w:rFonts w:ascii="Palatino Linotype" w:hAnsi="Palatino Linotype"/>
          <w:color w:val="000000"/>
          <w:sz w:val="22"/>
          <w:szCs w:val="22"/>
        </w:rPr>
        <w:t xml:space="preserve">De </w:t>
      </w:r>
      <w:r w:rsidR="00952FDC" w:rsidRPr="000A4C44">
        <w:rPr>
          <w:rFonts w:ascii="Palatino Linotype" w:hAnsi="Palatino Linotype"/>
          <w:color w:val="000000"/>
          <w:sz w:val="22"/>
          <w:szCs w:val="22"/>
        </w:rPr>
        <w:t>conformidad con el</w:t>
      </w:r>
      <w:r w:rsidR="00B21126" w:rsidRPr="000A4C44">
        <w:rPr>
          <w:rFonts w:ascii="Palatino Linotype" w:hAnsi="Palatino Linotype"/>
          <w:color w:val="000000"/>
          <w:sz w:val="22"/>
          <w:szCs w:val="22"/>
        </w:rPr>
        <w:t xml:space="preserve"> artículo 40 del</w:t>
      </w:r>
      <w:r w:rsidR="00952FDC" w:rsidRPr="000A4C44">
        <w:rPr>
          <w:rFonts w:ascii="Palatino Linotype" w:hAnsi="Palatino Linotype"/>
          <w:color w:val="000000"/>
          <w:sz w:val="22"/>
          <w:szCs w:val="22"/>
        </w:rPr>
        <w:t xml:space="preserve"> Bando Municipal de Coacalco de Berriozábal</w:t>
      </w:r>
      <w:r w:rsidR="00B21126" w:rsidRPr="000A4C44">
        <w:rPr>
          <w:rFonts w:ascii="Palatino Linotype" w:hAnsi="Palatino Linotype"/>
          <w:color w:val="000000"/>
          <w:sz w:val="22"/>
          <w:szCs w:val="22"/>
        </w:rPr>
        <w:t>, la administración pública municipal se integra por las siguientes dependencias.</w:t>
      </w:r>
    </w:p>
    <w:p w14:paraId="6546D19C"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Artículo 40. La Administración Pública Municipal estará integrada por la Presidencia Municipal, las Dependencias y Entidades siguientes: </w:t>
      </w:r>
    </w:p>
    <w:p w14:paraId="6546D19D"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I. PRESIDENCIA MUNICIPAL: </w:t>
      </w:r>
    </w:p>
    <w:p w14:paraId="6546D19E"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a) Secretaría Particular; </w:t>
      </w:r>
    </w:p>
    <w:p w14:paraId="6546D19F"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b) Secretaría Técnica; </w:t>
      </w:r>
    </w:p>
    <w:p w14:paraId="6546D1A0"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c) Unidad de Transparencia y Protección de Datos Personales; </w:t>
      </w:r>
    </w:p>
    <w:p w14:paraId="6546D1A1"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d) Coordinación de Mejora Regulatoria; </w:t>
      </w:r>
    </w:p>
    <w:p w14:paraId="6546D1A2"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e) Coordinación de Giras y Eventos; </w:t>
      </w:r>
    </w:p>
    <w:p w14:paraId="6546D1A3"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f) Coordinación de Logística; </w:t>
      </w:r>
    </w:p>
    <w:p w14:paraId="6546D1A4"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g) Coordinación de Protección Civil y Bomberos. </w:t>
      </w:r>
    </w:p>
    <w:p w14:paraId="6546D1A5"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II. DEPENDENCIAS: </w:t>
      </w:r>
    </w:p>
    <w:p w14:paraId="6546D1A6"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a) Secretaría del Ayuntamiento; </w:t>
      </w:r>
    </w:p>
    <w:p w14:paraId="6546D1A7" w14:textId="77777777" w:rsidR="00B21126" w:rsidRPr="000A4C44" w:rsidRDefault="00B21126" w:rsidP="00B21126">
      <w:pPr>
        <w:pStyle w:val="Prrafodelista"/>
        <w:ind w:left="1134" w:right="900"/>
        <w:jc w:val="both"/>
        <w:rPr>
          <w:rFonts w:ascii="Palatino Linotype" w:hAnsi="Palatino Linotype"/>
          <w:i/>
          <w:sz w:val="22"/>
          <w:szCs w:val="22"/>
        </w:rPr>
      </w:pPr>
      <w:r w:rsidRPr="000A4C44">
        <w:rPr>
          <w:rFonts w:ascii="Palatino Linotype" w:hAnsi="Palatino Linotype"/>
          <w:i/>
          <w:sz w:val="22"/>
          <w:szCs w:val="22"/>
        </w:rPr>
        <w:t xml:space="preserve">b) Tesorería Municipal; </w:t>
      </w:r>
    </w:p>
    <w:p w14:paraId="6546D1A8" w14:textId="77777777" w:rsidR="00B21126" w:rsidRPr="000A4C44" w:rsidRDefault="00B21126" w:rsidP="00B21126">
      <w:pPr>
        <w:pStyle w:val="Prrafodelista"/>
        <w:ind w:left="1134" w:right="900"/>
        <w:jc w:val="both"/>
        <w:rPr>
          <w:rFonts w:ascii="Palatino Linotype" w:hAnsi="Palatino Linotype"/>
          <w:b/>
          <w:i/>
          <w:sz w:val="22"/>
          <w:szCs w:val="22"/>
        </w:rPr>
      </w:pPr>
      <w:r w:rsidRPr="000A4C44">
        <w:rPr>
          <w:rFonts w:ascii="Palatino Linotype" w:hAnsi="Palatino Linotype"/>
          <w:b/>
          <w:i/>
          <w:sz w:val="22"/>
          <w:szCs w:val="22"/>
        </w:rPr>
        <w:t xml:space="preserve">c) Contraloría Municipal; </w:t>
      </w:r>
    </w:p>
    <w:p w14:paraId="6546D1A9" w14:textId="77777777" w:rsidR="00B21126" w:rsidRPr="000A4C44" w:rsidRDefault="00B21126" w:rsidP="00B21126">
      <w:pPr>
        <w:pStyle w:val="Prrafodelista"/>
        <w:ind w:left="1134" w:right="900"/>
        <w:jc w:val="both"/>
        <w:rPr>
          <w:rFonts w:ascii="Palatino Linotype" w:hAnsi="Palatino Linotype"/>
          <w:b/>
          <w:i/>
          <w:color w:val="000000"/>
          <w:sz w:val="22"/>
          <w:szCs w:val="22"/>
        </w:rPr>
      </w:pPr>
    </w:p>
    <w:p w14:paraId="6546D1AA" w14:textId="77777777" w:rsidR="00B21126" w:rsidRPr="000A4C44" w:rsidRDefault="00B21126"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De lo anterior, se observa que el Ayuntamiento de Coacalco de Berriozábal, se integra por la Contraloría Municipal, quien de acuerdo con el Bando Municipal se encarga de lo siguiente. </w:t>
      </w:r>
    </w:p>
    <w:p w14:paraId="6546D1AB" w14:textId="77777777" w:rsidR="00B21126" w:rsidRPr="000A4C44" w:rsidRDefault="00B21126" w:rsidP="00B21126">
      <w:pPr>
        <w:ind w:left="1134" w:right="900"/>
        <w:contextualSpacing/>
        <w:jc w:val="both"/>
        <w:rPr>
          <w:rFonts w:ascii="Palatino Linotype" w:hAnsi="Palatino Linotype"/>
          <w:b/>
          <w:i/>
          <w:color w:val="000000"/>
          <w:sz w:val="22"/>
          <w:szCs w:val="22"/>
        </w:rPr>
      </w:pPr>
      <w:r w:rsidRPr="000A4C44">
        <w:rPr>
          <w:rFonts w:ascii="Palatino Linotype" w:hAnsi="Palatino Linotype"/>
          <w:b/>
          <w:i/>
          <w:color w:val="000000"/>
          <w:sz w:val="22"/>
          <w:szCs w:val="22"/>
        </w:rPr>
        <w:lastRenderedPageBreak/>
        <w:t>Artículo 50.</w:t>
      </w:r>
      <w:r w:rsidRPr="000A4C44">
        <w:rPr>
          <w:rFonts w:ascii="Palatino Linotype" w:hAnsi="Palatino Linotype"/>
          <w:i/>
          <w:color w:val="000000"/>
          <w:sz w:val="22"/>
          <w:szCs w:val="22"/>
        </w:rPr>
        <w:t xml:space="preserve"> La Contraloría Municipal es el Órgano Interno de supervisión, control y vigilancia de la Administración Pública Municipal y tiene a su cargo las funciones y facultades establecidas en la Ley Orgánica; la Ley del Sistema Anticorrupción del Estado de México y Municipios; la Ley de Responsabilidades Administrativas del Estado de México y Municipios, y demás relativos aplicables en materia de prevención, revisión, evaluación, análisis, fiscalización de recursos públicos, </w:t>
      </w:r>
      <w:r w:rsidRPr="000A4C44">
        <w:rPr>
          <w:rFonts w:ascii="Palatino Linotype" w:hAnsi="Palatino Linotype"/>
          <w:b/>
          <w:i/>
          <w:color w:val="000000"/>
          <w:sz w:val="22"/>
          <w:szCs w:val="22"/>
        </w:rPr>
        <w:t xml:space="preserve">responsabilidades de servidores públicos, combate a la corrupción, investigación, detección y sanciones por faltas administrativas no graves. </w:t>
      </w:r>
    </w:p>
    <w:p w14:paraId="6546D1AC" w14:textId="77777777" w:rsidR="00B21126" w:rsidRPr="000A4C44" w:rsidRDefault="00B21126" w:rsidP="00B21126">
      <w:pPr>
        <w:ind w:left="1134" w:right="900"/>
        <w:contextualSpacing/>
        <w:jc w:val="both"/>
        <w:rPr>
          <w:i/>
          <w:sz w:val="22"/>
          <w:szCs w:val="22"/>
        </w:rPr>
      </w:pPr>
      <w:r w:rsidRPr="000A4C44">
        <w:rPr>
          <w:rFonts w:ascii="Palatino Linotype" w:hAnsi="Palatino Linotype"/>
          <w:b/>
          <w:i/>
          <w:color w:val="000000"/>
          <w:sz w:val="22"/>
          <w:szCs w:val="22"/>
        </w:rPr>
        <w:t>Artículo 51.</w:t>
      </w:r>
      <w:r w:rsidRPr="000A4C44">
        <w:rPr>
          <w:rFonts w:ascii="Palatino Linotype" w:hAnsi="Palatino Linotype"/>
          <w:i/>
          <w:color w:val="000000"/>
          <w:sz w:val="22"/>
          <w:szCs w:val="22"/>
        </w:rPr>
        <w:t xml:space="preserve"> </w:t>
      </w:r>
      <w:r w:rsidRPr="000A4C44">
        <w:rPr>
          <w:rFonts w:ascii="Palatino Linotype" w:hAnsi="Palatino Linotype"/>
          <w:b/>
          <w:i/>
          <w:color w:val="000000"/>
          <w:sz w:val="22"/>
          <w:szCs w:val="22"/>
        </w:rPr>
        <w:t>La Contraloría Municipal es la responsable de recibir quejas y denuncias públicas por presuntas faltas administrativas y actos de corrupción de servidores públicos</w:t>
      </w:r>
      <w:r w:rsidRPr="000A4C44">
        <w:rPr>
          <w:rFonts w:ascii="Palatino Linotype" w:hAnsi="Palatino Linotype"/>
          <w:i/>
          <w:color w:val="000000"/>
          <w:sz w:val="22"/>
          <w:szCs w:val="22"/>
        </w:rPr>
        <w:t>, siendo permanente promotor de la cultura de la denuncia y de la participación social como medio para su prevención y erradicación. Además, es el órgano garante de la conformación e integración de los Comités Ciudadanos de Control y Vigilancia (COCICOVI`S), facultado para dar seguimiento, asesoramiento, supervisión y entrega de cada obra o acción que se realice con recursos públicos en beneficio de la ciudadanía en el Municipio, de acuerdo a lo establecido en la Ley Orgánica y demás relativos aplicables en materia vigente.</w:t>
      </w:r>
      <w:r w:rsidRPr="000A4C44">
        <w:rPr>
          <w:i/>
          <w:sz w:val="22"/>
          <w:szCs w:val="22"/>
        </w:rPr>
        <w:t xml:space="preserve"> </w:t>
      </w:r>
    </w:p>
    <w:p w14:paraId="6546D1AD" w14:textId="77777777" w:rsidR="00B21126" w:rsidRPr="000A4C44" w:rsidRDefault="00B21126" w:rsidP="00B21126">
      <w:pPr>
        <w:ind w:left="1134" w:right="900"/>
        <w:contextualSpacing/>
        <w:jc w:val="both"/>
        <w:rPr>
          <w:rFonts w:ascii="Palatino Linotype" w:hAnsi="Palatino Linotype"/>
          <w:i/>
          <w:color w:val="000000"/>
          <w:sz w:val="22"/>
          <w:szCs w:val="22"/>
        </w:rPr>
      </w:pPr>
      <w:r w:rsidRPr="000A4C44">
        <w:rPr>
          <w:rFonts w:ascii="Palatino Linotype" w:hAnsi="Palatino Linotype"/>
          <w:b/>
          <w:i/>
          <w:color w:val="000000"/>
          <w:sz w:val="22"/>
          <w:szCs w:val="22"/>
        </w:rPr>
        <w:t xml:space="preserve">Artículo 52. </w:t>
      </w:r>
      <w:r w:rsidRPr="000A4C44">
        <w:rPr>
          <w:rFonts w:ascii="Palatino Linotype" w:hAnsi="Palatino Linotype"/>
          <w:i/>
          <w:color w:val="000000"/>
          <w:sz w:val="22"/>
          <w:szCs w:val="22"/>
        </w:rPr>
        <w:t>Para el mejor desempeño y resultado de las funciones de la Contraloría Municipal, las Dependencias, Entidades y ciudadanos deberán proporcionar los datos, información y documentación que les requiera dicha autoridad en la forma y plazos que establece el marco normativo aplicable.</w:t>
      </w:r>
    </w:p>
    <w:p w14:paraId="6546D1AE" w14:textId="77777777" w:rsidR="00B21126" w:rsidRPr="000A4C44" w:rsidRDefault="00B21126" w:rsidP="00B21126">
      <w:pPr>
        <w:ind w:left="1134" w:right="900"/>
        <w:contextualSpacing/>
        <w:jc w:val="both"/>
        <w:rPr>
          <w:rFonts w:ascii="Palatino Linotype" w:hAnsi="Palatino Linotype"/>
          <w:i/>
          <w:color w:val="000000"/>
          <w:sz w:val="22"/>
          <w:szCs w:val="22"/>
        </w:rPr>
      </w:pPr>
    </w:p>
    <w:p w14:paraId="6546D1AF" w14:textId="77777777" w:rsidR="00833F34" w:rsidRPr="000A4C44" w:rsidRDefault="00B21126"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 De lo anterior, se observa que la Contraloría Municipal es el área encargada de recibir las quejas y denuncias públicas por presuntas faltas administrativas y actos de corrupción de los </w:t>
      </w:r>
      <w:r w:rsidR="0026478F" w:rsidRPr="000A4C44">
        <w:rPr>
          <w:rFonts w:ascii="Palatino Linotype" w:hAnsi="Palatino Linotype"/>
          <w:color w:val="000000"/>
          <w:sz w:val="22"/>
          <w:szCs w:val="22"/>
        </w:rPr>
        <w:t>servidores públicos adscritos a</w:t>
      </w:r>
      <w:r w:rsidRPr="000A4C44">
        <w:rPr>
          <w:rFonts w:ascii="Palatino Linotype" w:hAnsi="Palatino Linotype"/>
          <w:color w:val="000000"/>
          <w:sz w:val="22"/>
          <w:szCs w:val="22"/>
        </w:rPr>
        <w:t xml:space="preserve">l Ayuntamiento de Coacalco de Berriozábal.  </w:t>
      </w:r>
    </w:p>
    <w:p w14:paraId="6546D1B0" w14:textId="77777777" w:rsidR="00833F34" w:rsidRPr="000A4C44" w:rsidRDefault="00833F34" w:rsidP="00833F34">
      <w:pPr>
        <w:pStyle w:val="Prrafodelista"/>
        <w:spacing w:line="360" w:lineRule="auto"/>
        <w:ind w:left="360"/>
        <w:jc w:val="both"/>
        <w:rPr>
          <w:rFonts w:ascii="Palatino Linotype" w:hAnsi="Palatino Linotype"/>
          <w:color w:val="000000"/>
          <w:sz w:val="22"/>
          <w:szCs w:val="22"/>
        </w:rPr>
      </w:pPr>
    </w:p>
    <w:p w14:paraId="6546D1B1" w14:textId="77777777" w:rsidR="00255022" w:rsidRPr="000A4C44" w:rsidRDefault="00255022"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Situación que se refuerza con el artículo 112 de la Ley Orgánica Municipal del Estado de México, que establece lo siguiente. </w:t>
      </w:r>
    </w:p>
    <w:p w14:paraId="6546D1B2" w14:textId="77777777" w:rsidR="00255022" w:rsidRPr="000A4C44" w:rsidRDefault="00255022" w:rsidP="00255022">
      <w:pPr>
        <w:pStyle w:val="Prrafodelista"/>
        <w:ind w:left="1134" w:right="900"/>
        <w:jc w:val="both"/>
        <w:rPr>
          <w:rFonts w:ascii="Palatino Linotype" w:hAnsi="Palatino Linotype"/>
          <w:b/>
          <w:i/>
          <w:color w:val="000000"/>
          <w:sz w:val="22"/>
          <w:szCs w:val="22"/>
        </w:rPr>
      </w:pPr>
      <w:r w:rsidRPr="000A4C44">
        <w:rPr>
          <w:rFonts w:ascii="Palatino Linotype" w:hAnsi="Palatino Linotype"/>
          <w:b/>
          <w:i/>
          <w:color w:val="000000"/>
          <w:sz w:val="22"/>
          <w:szCs w:val="22"/>
        </w:rPr>
        <w:t xml:space="preserve">Artículo 112. El órgano interno de control municipal tendrá a su cargo las funciones siguientes: </w:t>
      </w:r>
    </w:p>
    <w:p w14:paraId="6546D1B3" w14:textId="77777777" w:rsidR="00255022" w:rsidRPr="000A4C44" w:rsidRDefault="00255022" w:rsidP="00255022">
      <w:pPr>
        <w:pStyle w:val="Prrafodelista"/>
        <w:numPr>
          <w:ilvl w:val="0"/>
          <w:numId w:val="14"/>
        </w:numPr>
        <w:ind w:left="1134" w:right="900" w:firstLine="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Planear, programar, organizar y coordinar el sistema de control y evaluación municipal; </w:t>
      </w:r>
    </w:p>
    <w:p w14:paraId="6546D1B4"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lastRenderedPageBreak/>
        <w:t xml:space="preserve">II. Fiscalizar el ingreso y ejercicio del gasto público municipal y su congruencia con el presupuesto de egresos; </w:t>
      </w:r>
    </w:p>
    <w:p w14:paraId="6546D1B5"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III. Aplicar las normas y criterios en materia de control y evaluación; </w:t>
      </w:r>
    </w:p>
    <w:p w14:paraId="6546D1B6"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IV. Asesorar a los órganos de control interno de los organismos auxiliares y fideicomisos de la administración pública municipal; </w:t>
      </w:r>
    </w:p>
    <w:p w14:paraId="6546D1B7"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 Establecer las bases generales para la realización de auditorías e inspecciones; </w:t>
      </w:r>
    </w:p>
    <w:p w14:paraId="6546D1B8"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 Vigilar que los recursos federales y estatales asignados a los ayuntamientos se apliquen en los términos estipulados en las leyes, los reglamentos y los convenios respectivos; </w:t>
      </w:r>
    </w:p>
    <w:p w14:paraId="6546D1B9"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VII. Vigilar el cumplimiento de las obligaciones de proveedores y contratistas de la administración pública municipal; </w:t>
      </w:r>
    </w:p>
    <w:p w14:paraId="6546D1BA"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VIII. Coordinarse con el Órgano Superior de Fiscalización del Estado de México y la Contraloría del Poder Legislativo y con la Secretaría de la Contraloría del Estado para el cumplimiento de sus funciones; </w:t>
      </w:r>
    </w:p>
    <w:p w14:paraId="6546D1BB"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IX. Designar a los auditores externos y proponer al ayuntamiento, en su caso, a los Comisarios de los Organismos Auxiliares; </w:t>
      </w:r>
    </w:p>
    <w:p w14:paraId="6546D1BC"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 Establecer y operar un sistema de atención de quejas, denuncias y sugerencias; </w:t>
      </w:r>
    </w:p>
    <w:p w14:paraId="6546D1BD"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 Realizar auditorías y evaluaciones e informar del resultado de las mismas al ayuntamiento; </w:t>
      </w:r>
    </w:p>
    <w:p w14:paraId="6546D1BE"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XII. Participar en la entrega-recepción de las unidades administrativas de las dependencias, organismos auxiliares y fideicomisos del municipio;</w:t>
      </w:r>
      <w:r w:rsidRPr="000A4C44">
        <w:rPr>
          <w:i/>
          <w:sz w:val="22"/>
          <w:szCs w:val="22"/>
        </w:rPr>
        <w:t xml:space="preserve"> </w:t>
      </w:r>
    </w:p>
    <w:p w14:paraId="6546D1BF"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XIII. Dictaminar los estados financieros de la tesorería municipal y verificar que se remitan los informes correspondientes al Órgano Superior de Fiscalización del Estado de México; </w:t>
      </w:r>
    </w:p>
    <w:p w14:paraId="6546D1C0"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XIV. Vigilar que los ingresos municipales se enteren a la tesorería municipal conforme a los procedimientos contables y disposiciones legales aplicables; </w:t>
      </w:r>
    </w:p>
    <w:p w14:paraId="6546D1C1"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XV. Participar en la elaboración y actualización del inventario general de los bienes muebles e inmuebles propiedad del municipio, que expresará las características de identificación y destino de los mismos; </w:t>
      </w:r>
    </w:p>
    <w:p w14:paraId="6546D1C2"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XVI. Verificar que los servidores públicos municipales cumplan con la obligación de presentar oportunamente la declaración de situación patrimonial y de intereses, en términos de la Ley de Responsabilidades Administrativas del Estado de México y Municipios; </w:t>
      </w:r>
    </w:p>
    <w:p w14:paraId="6546D1C3" w14:textId="77777777" w:rsidR="00255022" w:rsidRPr="000A4C44" w:rsidRDefault="00255022" w:rsidP="00255022">
      <w:pPr>
        <w:pStyle w:val="Prrafodelista"/>
        <w:ind w:left="1134" w:right="900"/>
        <w:jc w:val="both"/>
        <w:rPr>
          <w:rFonts w:ascii="Palatino Linotype" w:hAnsi="Palatino Linotype"/>
          <w:b/>
          <w:i/>
          <w:color w:val="000000"/>
          <w:sz w:val="22"/>
          <w:szCs w:val="22"/>
        </w:rPr>
      </w:pPr>
      <w:r w:rsidRPr="000A4C44">
        <w:rPr>
          <w:rFonts w:ascii="Palatino Linotype" w:hAnsi="Palatino Linotype"/>
          <w:b/>
          <w:i/>
          <w:color w:val="000000"/>
          <w:sz w:val="22"/>
          <w:szCs w:val="22"/>
        </w:rPr>
        <w:t xml:space="preserve">XVII. Recibir las denuncias que se formulen por presuntas infracciones o faltas administrativas derivadas de actos u omisiones cometidos por las personas servidoras públicas de sus municipios, o de particulares vinculados con faltas administrativas graves; así como </w:t>
      </w:r>
      <w:r w:rsidRPr="000A4C44">
        <w:rPr>
          <w:rFonts w:ascii="Palatino Linotype" w:hAnsi="Palatino Linotype"/>
          <w:b/>
          <w:i/>
          <w:color w:val="000000"/>
          <w:sz w:val="22"/>
          <w:szCs w:val="22"/>
        </w:rPr>
        <w:lastRenderedPageBreak/>
        <w:t xml:space="preserve">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 </w:t>
      </w:r>
    </w:p>
    <w:p w14:paraId="6546D1C4"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XVIII. Supervisar el cumplimiento de los acuerdos tomados por el Consejo Municipal de Seguridad Pública; </w:t>
      </w:r>
    </w:p>
    <w:p w14:paraId="6546D1C5"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XIX. Vigilar el cumplimiento de los programas y acciones para la prevención, atención y en su caso, el pago de las responsabilidades económicas de los Ayuntamientos por los conflictos laborales; y</w:t>
      </w:r>
    </w:p>
    <w:p w14:paraId="6546D1C6" w14:textId="77777777" w:rsidR="00255022" w:rsidRPr="000A4C44" w:rsidRDefault="00255022" w:rsidP="0025502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 XX. Las demás que le señalen las disposiciones relativas</w:t>
      </w:r>
    </w:p>
    <w:p w14:paraId="6546D1C7" w14:textId="77777777" w:rsidR="00255022" w:rsidRPr="000A4C44" w:rsidRDefault="00255022" w:rsidP="00255022">
      <w:pPr>
        <w:rPr>
          <w:rFonts w:ascii="Palatino Linotype" w:eastAsia="MS Mincho" w:hAnsi="Palatino Linotype" w:cs="Arial"/>
          <w:sz w:val="22"/>
          <w:szCs w:val="22"/>
        </w:rPr>
      </w:pPr>
    </w:p>
    <w:p w14:paraId="6546D1C8" w14:textId="77777777" w:rsidR="00200A8D" w:rsidRPr="000A4C44" w:rsidRDefault="00200A8D"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De lo anterior, se colige que la Contraloría Municipal es el área de los municipios que recibe </w:t>
      </w:r>
      <w:r w:rsidRPr="000A4C44">
        <w:rPr>
          <w:rFonts w:ascii="Palatino Linotype" w:hAnsi="Palatino Linotype"/>
          <w:b/>
          <w:i/>
          <w:color w:val="000000"/>
          <w:sz w:val="22"/>
          <w:szCs w:val="22"/>
        </w:rPr>
        <w:t xml:space="preserve"> </w:t>
      </w:r>
      <w:r w:rsidRPr="000A4C44">
        <w:rPr>
          <w:rFonts w:ascii="Palatino Linotype" w:hAnsi="Palatino Linotype"/>
          <w:color w:val="000000"/>
          <w:sz w:val="22"/>
          <w:szCs w:val="22"/>
        </w:rPr>
        <w:t>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así como de  substanciar los procedimientos de responsabilidad administrativa y emitir en su caso, las resoluciones que son de su competencia, imponiendo cuando proceda, las sanciones</w:t>
      </w:r>
    </w:p>
    <w:p w14:paraId="6546D1C9" w14:textId="77777777" w:rsidR="00200A8D" w:rsidRPr="000A4C44" w:rsidRDefault="00200A8D" w:rsidP="00200A8D">
      <w:pPr>
        <w:spacing w:line="360" w:lineRule="auto"/>
        <w:contextualSpacing/>
        <w:jc w:val="both"/>
        <w:rPr>
          <w:rFonts w:ascii="Palatino Linotype" w:hAnsi="Palatino Linotype"/>
          <w:color w:val="000000"/>
          <w:sz w:val="22"/>
          <w:szCs w:val="22"/>
        </w:rPr>
      </w:pPr>
    </w:p>
    <w:p w14:paraId="6546D1CA" w14:textId="77777777" w:rsidR="00200A8D" w:rsidRPr="000A4C44" w:rsidRDefault="00200A8D" w:rsidP="00200A8D">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eastAsia="MS Mincho" w:hAnsi="Palatino Linotype" w:cs="Arial"/>
          <w:sz w:val="22"/>
          <w:szCs w:val="22"/>
        </w:rPr>
        <w:t xml:space="preserve">En esa línea, es necesario precisar que dentro de las facultades y atribuciones que tiene la Contraloría Municipal están las de investigar las quejas o denuncias interpuestas </w:t>
      </w:r>
      <w:r w:rsidRPr="000A4C44">
        <w:rPr>
          <w:rFonts w:ascii="Palatino Linotype" w:eastAsia="MS Mincho" w:hAnsi="Palatino Linotype" w:cs="Arial"/>
          <w:sz w:val="22"/>
          <w:szCs w:val="22"/>
        </w:rPr>
        <w:lastRenderedPageBreak/>
        <w:t xml:space="preserve">por las presuntas faltas administrativas cometidas por acción u omisión por parte de los servidores públicos y de ello determinar si existe o no la presunción de dicha falta por medio de un acuerdo de calificación y  un informe de presunta responsabilidad administrativa que es turnado al titular del Área de Responsabilidades o Substanciación (en su caso), siendo está el área encargada de llevar el procedimiento administrativo donde se acredita la responsabilidad y comisión u omisión  de la falta, con el objetivo principal de que una vez agotadas todas las partes del procedimiento administrativo el Titular del Órgano Interno de Control, quien es la Autoridad Resolutora, concluya con la totalidad del procedimiento dictando la resolución correspondiente. </w:t>
      </w:r>
    </w:p>
    <w:p w14:paraId="6546D1CB" w14:textId="77777777" w:rsidR="00200A8D" w:rsidRPr="000A4C44" w:rsidRDefault="00200A8D" w:rsidP="00200A8D">
      <w:pPr>
        <w:spacing w:line="360" w:lineRule="auto"/>
        <w:contextualSpacing/>
        <w:jc w:val="both"/>
        <w:rPr>
          <w:rFonts w:ascii="Palatino Linotype" w:hAnsi="Palatino Linotype"/>
          <w:color w:val="000000"/>
          <w:sz w:val="22"/>
          <w:szCs w:val="22"/>
        </w:rPr>
      </w:pPr>
    </w:p>
    <w:p w14:paraId="6546D1CC" w14:textId="77777777" w:rsidR="00200A8D" w:rsidRPr="000A4C44" w:rsidRDefault="00200A8D" w:rsidP="00200A8D">
      <w:pPr>
        <w:pStyle w:val="Prrafodelista"/>
        <w:rPr>
          <w:rFonts w:ascii="Palatino Linotype" w:eastAsia="MS Mincho" w:hAnsi="Palatino Linotype" w:cs="Arial"/>
          <w:sz w:val="22"/>
          <w:szCs w:val="22"/>
        </w:rPr>
      </w:pPr>
    </w:p>
    <w:p w14:paraId="6546D1CD" w14:textId="77777777" w:rsidR="00200A8D" w:rsidRPr="000A4C44" w:rsidRDefault="00200A8D"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eastAsia="MS Mincho" w:hAnsi="Palatino Linotype" w:cs="Arial"/>
          <w:sz w:val="22"/>
          <w:szCs w:val="22"/>
        </w:rPr>
        <w:t xml:space="preserve">Una vez precisada la fuente obligacional del porque la Contraloría Municipal es el área competente, se debe se establecer que de acuerdo con la  Ley Orgánica Municipal del Estado de México, los procedimientos administrativos por la comisión u omisión de los servidores públicos puede ser sancionados por falta administrativas graves y no graves, situación por la cual se debe de precisar el estudio para que cada una de ellas, así como establecer la procedencia de la clasificación de la información. </w:t>
      </w:r>
    </w:p>
    <w:p w14:paraId="6546D1CE" w14:textId="77777777" w:rsidR="00200A8D" w:rsidRPr="000A4C44" w:rsidRDefault="00200A8D" w:rsidP="00200A8D">
      <w:pPr>
        <w:pStyle w:val="Prrafodelista"/>
        <w:rPr>
          <w:rFonts w:ascii="Palatino Linotype" w:eastAsia="MS Mincho" w:hAnsi="Palatino Linotype" w:cs="Arial"/>
          <w:sz w:val="22"/>
          <w:szCs w:val="22"/>
        </w:rPr>
      </w:pPr>
    </w:p>
    <w:p w14:paraId="6546D1CF" w14:textId="77777777" w:rsidR="008E3C10" w:rsidRPr="000A4C44" w:rsidRDefault="008E3C10" w:rsidP="008E3C10">
      <w:pPr>
        <w:pStyle w:val="Prrafodelista"/>
        <w:rPr>
          <w:rFonts w:ascii="Palatino Linotype" w:eastAsia="MS Mincho" w:hAnsi="Palatino Linotype" w:cs="Arial"/>
          <w:sz w:val="22"/>
          <w:szCs w:val="22"/>
        </w:rPr>
      </w:pPr>
    </w:p>
    <w:p w14:paraId="6546D1D0" w14:textId="77777777" w:rsidR="00F4755B" w:rsidRPr="000A4C44" w:rsidRDefault="00F4755B"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Dicho lo anterior, el servidor público incurre en una falta administrativa no grave de acuerdo con lo regulado por el artículo 50 de la Ley de Responsabilidades Administrativas del Estado de México y Municipios. </w:t>
      </w:r>
    </w:p>
    <w:p w14:paraId="6546D1D1" w14:textId="77777777" w:rsidR="00F4755B" w:rsidRPr="000A4C44" w:rsidRDefault="00F4755B" w:rsidP="00F4755B">
      <w:pPr>
        <w:ind w:left="1134" w:right="900"/>
        <w:contextualSpacing/>
        <w:jc w:val="both"/>
        <w:rPr>
          <w:rFonts w:ascii="Palatino Linotype" w:hAnsi="Palatino Linotype"/>
          <w:i/>
          <w:color w:val="000000"/>
          <w:sz w:val="22"/>
          <w:szCs w:val="22"/>
        </w:rPr>
      </w:pPr>
      <w:r w:rsidRPr="000A4C44">
        <w:rPr>
          <w:rFonts w:ascii="Palatino Linotype" w:hAnsi="Palatino Linotype"/>
          <w:b/>
          <w:i/>
          <w:color w:val="000000"/>
          <w:sz w:val="22"/>
          <w:szCs w:val="22"/>
        </w:rPr>
        <w:t>Artículo 50. Incurre en falta administrativa no grave, el servidor público que con sus actos u omisiones, incumpla o transgreda las obligaciones siguientes</w:t>
      </w:r>
      <w:r w:rsidRPr="000A4C44">
        <w:rPr>
          <w:rFonts w:ascii="Palatino Linotype" w:hAnsi="Palatino Linotype"/>
          <w:i/>
          <w:color w:val="000000"/>
          <w:sz w:val="22"/>
          <w:szCs w:val="22"/>
        </w:rPr>
        <w:t xml:space="preserve">: </w:t>
      </w:r>
    </w:p>
    <w:p w14:paraId="6546D1D2" w14:textId="77777777" w:rsidR="00F4755B" w:rsidRPr="000A4C44" w:rsidRDefault="00F4755B" w:rsidP="00F4755B">
      <w:pPr>
        <w:ind w:left="1134" w:right="900"/>
        <w:contextualSpacing/>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6546D1D3" w14:textId="77777777" w:rsidR="00F4755B" w:rsidRPr="000A4C44" w:rsidRDefault="00F4755B" w:rsidP="00F4755B">
      <w:pPr>
        <w:pStyle w:val="Prrafodelista"/>
        <w:numPr>
          <w:ilvl w:val="0"/>
          <w:numId w:val="14"/>
        </w:numPr>
        <w:ind w:left="1134" w:right="900" w:firstLine="0"/>
        <w:jc w:val="both"/>
        <w:rPr>
          <w:rFonts w:ascii="Palatino Linotype" w:hAnsi="Palatino Linotype"/>
          <w:i/>
          <w:color w:val="000000"/>
          <w:sz w:val="22"/>
          <w:szCs w:val="22"/>
        </w:rPr>
      </w:pPr>
      <w:r w:rsidRPr="000A4C44">
        <w:rPr>
          <w:rFonts w:ascii="Palatino Linotype" w:hAnsi="Palatino Linotype"/>
          <w:i/>
          <w:color w:val="000000"/>
          <w:sz w:val="22"/>
          <w:szCs w:val="22"/>
        </w:rPr>
        <w:lastRenderedPageBreak/>
        <w:t xml:space="preserve">Denunciar los actos u omisiones que en ejercicio de sus funciones llegare a advertir, que puedan constituir faltas administrativas en términos del artículo 95 de la presente Ley. </w:t>
      </w:r>
    </w:p>
    <w:p w14:paraId="6546D1D4"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III.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6546D1D5"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IV. Presentar en tiempo y forma la declaración de situación patrimonial y la de intereses que, en su caso, considere se actualice, en los términos establecidos por esta Ley. </w:t>
      </w:r>
    </w:p>
    <w:p w14:paraId="6546D1D6"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 Rendir cuentas sobre el ejercicio de las funciones, en términos de las normas aplicables. </w:t>
      </w:r>
    </w:p>
    <w:p w14:paraId="6546D1D7"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 Colaborar en los procedimientos judiciales y administrativos en los que sea parte. </w:t>
      </w:r>
    </w:p>
    <w:p w14:paraId="6546D1D8"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jurídicas colectivas. </w:t>
      </w:r>
    </w:p>
    <w:p w14:paraId="6546D1D9"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14:paraId="6546D1DA"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IX.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6546D1DB"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 Observar buena conducta en su empleo, cargo o comisión tratando con respeto, diligencia, imparcialidad y rectitud a las personas y servidores públicos con los que tenga relación con motivo de éste. </w:t>
      </w:r>
    </w:p>
    <w:p w14:paraId="6546D1DC"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 Observar un trato respetuoso con sus subalternos. </w:t>
      </w:r>
    </w:p>
    <w:p w14:paraId="6546D1DD"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lastRenderedPageBreak/>
        <w:t xml:space="preserve">XII. Supervisar que los servidores públicos sujetos a su dirección, cumplan con las disposiciones de esta Ley. </w:t>
      </w:r>
    </w:p>
    <w:p w14:paraId="6546D1DE"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XIII.Cumplir con la entrega de índole administrativo del despacho y de toda aquella documentación inherente a su cargo, en los términos que establezcan las disposiciones legales o administrativas que al efecto se señalen. </w:t>
      </w:r>
    </w:p>
    <w:p w14:paraId="6546D1DF"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XIV. Proporcionar, en su caso, en tiempo y forma ante las dependencias competentes, la documentación comprobatoria de la aplicación de recursos económicos federales, estatales o municipales, asignados a través de los programas respectivos. </w:t>
      </w:r>
    </w:p>
    <w:p w14:paraId="6546D1E0"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14:paraId="6546D1E1"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XVI. Cumplir con las disposiciones en materia de Gobierno Digital que impongan la Ley de la materia, su reglamento y demás disposiciones aplicables. </w:t>
      </w:r>
    </w:p>
    <w:p w14:paraId="6546D1E2"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XVII. Utilizar las medidas de seguridad informática y protección de datos e información personal recomendada por las instancias competentes. </w:t>
      </w:r>
    </w:p>
    <w:p w14:paraId="6546D1E3"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14:paraId="6546D1E4" w14:textId="77777777" w:rsidR="00F4755B" w:rsidRPr="000A4C44" w:rsidRDefault="00F4755B" w:rsidP="00F4755B">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XIX. Las demás que le impongan las leyes, reglamentos o disposiciones administrativas aplicables. </w:t>
      </w:r>
    </w:p>
    <w:p w14:paraId="6546D1E5" w14:textId="77777777" w:rsidR="00F4755B" w:rsidRPr="000A4C44" w:rsidRDefault="00F4755B" w:rsidP="00F4755B">
      <w:pPr>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Artículo 51.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 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resolutora. 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La autoridad resolutora podrá abstenerse de imponer la sanción que corresponda conforme al artículo 79 de esta Ley cuando el daño o perjuicio a </w:t>
      </w:r>
      <w:r w:rsidRPr="000A4C44">
        <w:rPr>
          <w:rFonts w:ascii="Palatino Linotype" w:hAnsi="Palatino Linotype"/>
          <w:i/>
          <w:color w:val="000000"/>
          <w:sz w:val="22"/>
          <w:szCs w:val="22"/>
        </w:rPr>
        <w:lastRenderedPageBreak/>
        <w:t>la Hacienda Pública Estatal o Municipal o al patrimonio de los entes públicos no exceda de dos mil veces el valor diario de la unidad de medida y actualización y el daño haya sido resarcido o recuperado.</w:t>
      </w:r>
    </w:p>
    <w:p w14:paraId="6546D1E6" w14:textId="77777777" w:rsidR="00F4755B" w:rsidRPr="000A4C44" w:rsidRDefault="00F4755B" w:rsidP="00F4755B">
      <w:pPr>
        <w:ind w:left="1134" w:right="900"/>
        <w:jc w:val="both"/>
        <w:rPr>
          <w:rFonts w:ascii="Palatino Linotype" w:hAnsi="Palatino Linotype"/>
          <w:i/>
          <w:color w:val="000000"/>
          <w:sz w:val="22"/>
          <w:szCs w:val="22"/>
        </w:rPr>
      </w:pPr>
    </w:p>
    <w:p w14:paraId="6546D1E7" w14:textId="77777777" w:rsidR="00F4755B" w:rsidRPr="000A4C44" w:rsidRDefault="00F4755B"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hAnsi="Palatino Linotype"/>
          <w:color w:val="000000"/>
          <w:sz w:val="22"/>
          <w:szCs w:val="22"/>
        </w:rPr>
        <w:t xml:space="preserve">Ahora bien, en cuanto a las faltas graves la Ley de Responsabilidades Administrativas del Estado de México y Municipios, regula que incurra en una falta grave el servidor público que cometa u omita lo siguiente. </w:t>
      </w:r>
    </w:p>
    <w:p w14:paraId="6546D1E8" w14:textId="77777777" w:rsidR="00F4755B" w:rsidRPr="000A4C44" w:rsidRDefault="00F4755B" w:rsidP="00F4755B">
      <w:pPr>
        <w:ind w:left="1134" w:right="900"/>
        <w:contextualSpacing/>
        <w:jc w:val="both"/>
        <w:rPr>
          <w:rFonts w:ascii="Palatino Linotype" w:hAnsi="Palatino Linotype"/>
          <w:b/>
          <w:i/>
          <w:color w:val="000000"/>
          <w:sz w:val="22"/>
          <w:szCs w:val="22"/>
        </w:rPr>
      </w:pPr>
      <w:r w:rsidRPr="000A4C44">
        <w:rPr>
          <w:rFonts w:ascii="Palatino Linotype" w:hAnsi="Palatino Linotype"/>
          <w:b/>
          <w:i/>
          <w:color w:val="000000"/>
          <w:sz w:val="22"/>
          <w:szCs w:val="22"/>
        </w:rPr>
        <w:t xml:space="preserve">Artículo 52. Para efectos de la presente Ley, se consideran faltas administrativas graves de los servidores públicos, mediante cualquier acto u omisión, las siguientes: </w:t>
      </w:r>
    </w:p>
    <w:p w14:paraId="6546D1E9" w14:textId="77777777" w:rsidR="00F4755B" w:rsidRPr="000A4C44" w:rsidRDefault="00F4755B" w:rsidP="00C34232">
      <w:pPr>
        <w:pStyle w:val="Prrafodelista"/>
        <w:numPr>
          <w:ilvl w:val="0"/>
          <w:numId w:val="15"/>
        </w:numPr>
        <w:ind w:left="1134" w:right="900" w:firstLine="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El cohecho. </w:t>
      </w:r>
    </w:p>
    <w:p w14:paraId="6546D1EA"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II. El peculado. </w:t>
      </w:r>
    </w:p>
    <w:p w14:paraId="6546D1EB"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III. El desvío de recursos públicos. </w:t>
      </w:r>
    </w:p>
    <w:p w14:paraId="6546D1EC"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IV. La utilización indebida de información. </w:t>
      </w:r>
    </w:p>
    <w:p w14:paraId="6546D1ED"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 El abuso de funciones. </w:t>
      </w:r>
    </w:p>
    <w:p w14:paraId="6546D1EE"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 Cometer o tolerar conductas de hostigamiento y acoso sexual. </w:t>
      </w:r>
    </w:p>
    <w:p w14:paraId="6546D1EF"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VII. El actuar bajo conflicto de interés. </w:t>
      </w:r>
    </w:p>
    <w:p w14:paraId="6546D1F0"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VIII. La contratación indebida. </w:t>
      </w:r>
    </w:p>
    <w:p w14:paraId="6546D1F1"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IX. El enriquecimiento oculto u ocultamiento de conflicto de interés. </w:t>
      </w:r>
    </w:p>
    <w:p w14:paraId="6546D1F2"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 El tráfico de influencias. </w:t>
      </w:r>
    </w:p>
    <w:p w14:paraId="6546D1F3"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 El encubrimiento. </w:t>
      </w:r>
    </w:p>
    <w:p w14:paraId="6546D1F4"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 xml:space="preserve">XII. El desacato. </w:t>
      </w:r>
    </w:p>
    <w:p w14:paraId="6546D1F5" w14:textId="77777777" w:rsidR="00F4755B" w:rsidRPr="000A4C44" w:rsidRDefault="00F4755B" w:rsidP="00C34232">
      <w:pPr>
        <w:pStyle w:val="Prrafodelista"/>
        <w:ind w:left="1134" w:right="900"/>
        <w:jc w:val="both"/>
        <w:rPr>
          <w:rFonts w:ascii="Palatino Linotype" w:hAnsi="Palatino Linotype"/>
          <w:i/>
          <w:color w:val="000000"/>
          <w:sz w:val="22"/>
          <w:szCs w:val="22"/>
        </w:rPr>
      </w:pPr>
      <w:r w:rsidRPr="000A4C44">
        <w:rPr>
          <w:rFonts w:ascii="Palatino Linotype" w:hAnsi="Palatino Linotype"/>
          <w:i/>
          <w:color w:val="000000"/>
          <w:sz w:val="22"/>
          <w:szCs w:val="22"/>
        </w:rPr>
        <w:t>XIII.La obstrucción de la Justicia.</w:t>
      </w:r>
    </w:p>
    <w:p w14:paraId="6546D1F6" w14:textId="77777777" w:rsidR="00C34232" w:rsidRPr="000A4C44" w:rsidRDefault="00C34232" w:rsidP="00C34232">
      <w:pPr>
        <w:pStyle w:val="Prrafodelista"/>
        <w:ind w:left="1134" w:right="900"/>
        <w:jc w:val="both"/>
        <w:rPr>
          <w:rFonts w:ascii="Palatino Linotype" w:hAnsi="Palatino Linotype"/>
          <w:i/>
          <w:color w:val="000000"/>
          <w:sz w:val="22"/>
          <w:szCs w:val="22"/>
        </w:rPr>
      </w:pPr>
    </w:p>
    <w:p w14:paraId="6546D1F7" w14:textId="77777777" w:rsidR="00833F34" w:rsidRPr="000A4C44" w:rsidRDefault="00C34232" w:rsidP="00833F34">
      <w:pPr>
        <w:numPr>
          <w:ilvl w:val="0"/>
          <w:numId w:val="1"/>
        </w:numPr>
        <w:spacing w:line="360" w:lineRule="auto"/>
        <w:ind w:left="0" w:firstLine="0"/>
        <w:contextualSpacing/>
        <w:jc w:val="both"/>
        <w:rPr>
          <w:rFonts w:ascii="Palatino Linotype" w:hAnsi="Palatino Linotype"/>
          <w:color w:val="000000"/>
          <w:sz w:val="22"/>
          <w:szCs w:val="22"/>
        </w:rPr>
      </w:pPr>
      <w:r w:rsidRPr="000A4C44">
        <w:rPr>
          <w:rFonts w:ascii="Palatino Linotype" w:eastAsia="MS Mincho" w:hAnsi="Palatino Linotype" w:cs="Arial"/>
          <w:sz w:val="22"/>
          <w:szCs w:val="22"/>
        </w:rPr>
        <w:t xml:space="preserve">En esa línea, una vez que fue precisado lo anterior respecto de las faltas graves y no graves, se debe de indicar </w:t>
      </w:r>
      <w:r w:rsidR="008E3C10" w:rsidRPr="000A4C44">
        <w:rPr>
          <w:rFonts w:ascii="Palatino Linotype" w:eastAsia="MS Mincho" w:hAnsi="Palatino Linotype" w:cs="Arial"/>
          <w:sz w:val="22"/>
          <w:szCs w:val="22"/>
        </w:rPr>
        <w:t xml:space="preserve">que </w:t>
      </w:r>
      <w:r w:rsidR="00833F34" w:rsidRPr="000A4C44">
        <w:rPr>
          <w:rFonts w:ascii="Palatino Linotype" w:hAnsi="Palatino Linotype"/>
          <w:color w:val="000000"/>
          <w:sz w:val="22"/>
          <w:szCs w:val="22"/>
        </w:rPr>
        <w:t xml:space="preserve">las autoridades investigadores, substanciadores y resolutoras tienen la obligación como servidores públicos de manejar la reserva y la secrecía de las quejas, denuncias o actuaciones de oficio que se encuentren en su poder, por lo que, dichas autoridades no pueden publicar o dar información de los procedimientos que no han causado ejecución de sentencia. </w:t>
      </w:r>
    </w:p>
    <w:p w14:paraId="6546D1F8" w14:textId="77777777" w:rsidR="000A4C44" w:rsidRPr="000A4C44" w:rsidRDefault="000A4C44" w:rsidP="000A4C44">
      <w:pPr>
        <w:spacing w:line="360" w:lineRule="auto"/>
        <w:contextualSpacing/>
        <w:jc w:val="both"/>
        <w:rPr>
          <w:rFonts w:ascii="Palatino Linotype" w:hAnsi="Palatino Linotype"/>
          <w:color w:val="000000"/>
          <w:sz w:val="22"/>
          <w:szCs w:val="22"/>
        </w:rPr>
      </w:pPr>
    </w:p>
    <w:p w14:paraId="6546D1F9"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rPr>
      </w:pPr>
      <w:r w:rsidRPr="000A4C44">
        <w:rPr>
          <w:rFonts w:ascii="Palatino Linotype" w:eastAsia="Palatino Linotype" w:hAnsi="Palatino Linotype" w:cs="Palatino Linotype"/>
          <w:sz w:val="22"/>
          <w:szCs w:val="22"/>
        </w:rPr>
        <w:t xml:space="preserve">Con lo anterior queda de manifiesto que </w:t>
      </w:r>
      <w:r w:rsidRPr="000A4C44">
        <w:rPr>
          <w:rFonts w:ascii="Palatino Linotype" w:eastAsia="Palatino Linotype" w:hAnsi="Palatino Linotype" w:cs="Palatino Linotype"/>
          <w:b/>
          <w:sz w:val="22"/>
          <w:szCs w:val="22"/>
        </w:rPr>
        <w:t xml:space="preserve">EL </w:t>
      </w:r>
      <w:r w:rsidRPr="000A4C44">
        <w:rPr>
          <w:rFonts w:ascii="Palatino Linotype" w:eastAsia="Palatino Linotype" w:hAnsi="Palatino Linotype" w:cs="Palatino Linotype"/>
          <w:b/>
          <w:color w:val="000000" w:themeColor="text1"/>
          <w:sz w:val="22"/>
          <w:szCs w:val="22"/>
        </w:rPr>
        <w:t>SUJETO OBLIGADO</w:t>
      </w:r>
      <w:r w:rsidRPr="000A4C44">
        <w:rPr>
          <w:rFonts w:ascii="Palatino Linotype" w:eastAsia="Palatino Linotype" w:hAnsi="Palatino Linotype" w:cs="Palatino Linotype"/>
          <w:color w:val="000000" w:themeColor="text1"/>
          <w:sz w:val="22"/>
          <w:szCs w:val="22"/>
        </w:rPr>
        <w:t xml:space="preserve"> </w:t>
      </w:r>
      <w:r w:rsidRPr="000A4C44">
        <w:rPr>
          <w:rFonts w:ascii="Palatino Linotype" w:eastAsia="Palatino Linotype" w:hAnsi="Palatino Linotype" w:cs="Palatino Linotype"/>
          <w:sz w:val="22"/>
          <w:szCs w:val="22"/>
        </w:rPr>
        <w:t xml:space="preserve">a través de su Órgano de Control Interno, es competente para conocer la información de mérito, en este </w:t>
      </w:r>
      <w:r w:rsidRPr="000A4C44">
        <w:rPr>
          <w:rFonts w:ascii="Palatino Linotype" w:eastAsia="Palatino Linotype" w:hAnsi="Palatino Linotype" w:cs="Palatino Linotype"/>
          <w:sz w:val="22"/>
          <w:szCs w:val="22"/>
        </w:rPr>
        <w:lastRenderedPageBreak/>
        <w:t xml:space="preserve">sentido, se procede al análisis </w:t>
      </w:r>
      <w:r w:rsidRPr="000A4C44">
        <w:rPr>
          <w:rFonts w:ascii="Palatino Linotype" w:eastAsia="Palatino Linotype" w:hAnsi="Palatino Linotype" w:cs="Palatino Linotype"/>
          <w:b/>
          <w:sz w:val="22"/>
          <w:szCs w:val="22"/>
        </w:rPr>
        <w:t>de los supuestos de los procedimientos administrativos en los que procede la entrega de la información.</w:t>
      </w:r>
    </w:p>
    <w:p w14:paraId="6546D1FA" w14:textId="77777777" w:rsidR="000A4C44" w:rsidRPr="000A4C44" w:rsidRDefault="000A4C44" w:rsidP="000A4C44">
      <w:pPr>
        <w:spacing w:line="360" w:lineRule="auto"/>
        <w:contextualSpacing/>
        <w:jc w:val="both"/>
        <w:rPr>
          <w:rFonts w:ascii="Palatino Linotype" w:hAnsi="Palatino Linotype"/>
          <w:color w:val="000000"/>
          <w:sz w:val="22"/>
          <w:szCs w:val="22"/>
        </w:rPr>
      </w:pPr>
    </w:p>
    <w:p w14:paraId="6546D1FB" w14:textId="77777777" w:rsidR="00C34232" w:rsidRPr="000A4C44" w:rsidRDefault="000A4C44" w:rsidP="00833F34">
      <w:pPr>
        <w:numPr>
          <w:ilvl w:val="0"/>
          <w:numId w:val="1"/>
        </w:numPr>
        <w:spacing w:line="360" w:lineRule="auto"/>
        <w:ind w:left="0" w:firstLine="0"/>
        <w:contextualSpacing/>
        <w:jc w:val="both"/>
        <w:rPr>
          <w:rFonts w:ascii="Palatino Linotype" w:hAnsi="Palatino Linotype"/>
          <w:sz w:val="22"/>
          <w:szCs w:val="22"/>
        </w:rPr>
      </w:pPr>
      <w:r w:rsidRPr="000A4C44">
        <w:rPr>
          <w:rFonts w:ascii="Palatino Linotype" w:hAnsi="Palatino Linotype"/>
          <w:sz w:val="22"/>
          <w:szCs w:val="22"/>
        </w:rPr>
        <w:t xml:space="preserve">Lo anterior, toda vez que </w:t>
      </w:r>
      <w:r w:rsidR="008E3C10" w:rsidRPr="000A4C44">
        <w:rPr>
          <w:rFonts w:ascii="Palatino Linotype" w:hAnsi="Palatino Linotype"/>
          <w:sz w:val="22"/>
          <w:szCs w:val="22"/>
        </w:rPr>
        <w:t xml:space="preserve">existen excepciones para que se entregue la </w:t>
      </w:r>
      <w:r w:rsidR="00CF6AEA" w:rsidRPr="000A4C44">
        <w:rPr>
          <w:rFonts w:ascii="Palatino Linotype" w:hAnsi="Palatino Linotype"/>
          <w:sz w:val="22"/>
          <w:szCs w:val="22"/>
        </w:rPr>
        <w:t>información</w:t>
      </w:r>
      <w:r w:rsidR="008E3C10" w:rsidRPr="000A4C44">
        <w:rPr>
          <w:rFonts w:ascii="Palatino Linotype" w:hAnsi="Palatino Linotype"/>
          <w:sz w:val="22"/>
          <w:szCs w:val="22"/>
        </w:rPr>
        <w:t xml:space="preserve"> </w:t>
      </w:r>
      <w:r w:rsidR="00C34232" w:rsidRPr="000A4C44">
        <w:rPr>
          <w:rFonts w:ascii="Palatino Linotype" w:hAnsi="Palatino Linotype"/>
          <w:sz w:val="22"/>
          <w:szCs w:val="22"/>
        </w:rPr>
        <w:t>solicitada con los procedimientos de investigación relacionados</w:t>
      </w:r>
      <w:r w:rsidR="00833F34" w:rsidRPr="000A4C44">
        <w:rPr>
          <w:rFonts w:ascii="Palatino Linotype" w:hAnsi="Palatino Linotype"/>
          <w:sz w:val="22"/>
          <w:szCs w:val="22"/>
        </w:rPr>
        <w:t xml:space="preserve"> con actas administrativas, denuncias</w:t>
      </w:r>
      <w:r w:rsidR="00CF6AEA" w:rsidRPr="000A4C44">
        <w:rPr>
          <w:rFonts w:ascii="Palatino Linotype" w:hAnsi="Palatino Linotype"/>
          <w:sz w:val="22"/>
          <w:szCs w:val="22"/>
        </w:rPr>
        <w:t xml:space="preserve"> o actuaciones de oficio</w:t>
      </w:r>
      <w:r w:rsidR="00C34232" w:rsidRPr="000A4C44">
        <w:rPr>
          <w:rFonts w:ascii="Palatino Linotype" w:hAnsi="Palatino Linotype"/>
          <w:sz w:val="22"/>
          <w:szCs w:val="22"/>
        </w:rPr>
        <w:t xml:space="preserve">, como a continuación se precisa en el estudio. </w:t>
      </w:r>
    </w:p>
    <w:p w14:paraId="6546D1FC" w14:textId="77777777" w:rsidR="00C34232" w:rsidRPr="000A4C44" w:rsidRDefault="00C34232" w:rsidP="00C34232">
      <w:pPr>
        <w:pStyle w:val="Prrafodelista"/>
        <w:rPr>
          <w:rFonts w:ascii="Palatino Linotype" w:hAnsi="Palatino Linotype"/>
          <w:sz w:val="22"/>
          <w:szCs w:val="22"/>
        </w:rPr>
      </w:pPr>
    </w:p>
    <w:p w14:paraId="6546D1FD" w14:textId="77777777" w:rsidR="000A4C44" w:rsidRPr="000A4C44" w:rsidRDefault="000A4C44" w:rsidP="000A4C44">
      <w:pPr>
        <w:numPr>
          <w:ilvl w:val="0"/>
          <w:numId w:val="17"/>
        </w:numPr>
        <w:spacing w:after="160" w:line="360" w:lineRule="auto"/>
        <w:ind w:right="51"/>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b/>
          <w:sz w:val="22"/>
          <w:szCs w:val="22"/>
          <w:lang w:val="es-MX" w:eastAsia="es-MX"/>
        </w:rPr>
        <w:t>Procedimiento de responsabilidad administrativa en trámite.</w:t>
      </w:r>
    </w:p>
    <w:p w14:paraId="6546D1FE"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trike/>
          <w:sz w:val="22"/>
          <w:szCs w:val="22"/>
          <w:lang w:val="es-MX" w:eastAsia="es-MX"/>
        </w:rPr>
      </w:pPr>
      <w:r w:rsidRPr="000A4C44">
        <w:rPr>
          <w:rFonts w:ascii="Palatino Linotype" w:eastAsia="Palatino Linotype" w:hAnsi="Palatino Linotype" w:cs="Palatino Linotype"/>
          <w:sz w:val="22"/>
          <w:szCs w:val="22"/>
          <w:lang w:val="es-MX" w:eastAsia="es-MX"/>
        </w:rPr>
        <w:t xml:space="preserve">En principio es de señalar </w:t>
      </w:r>
      <w:r w:rsidRPr="000A4C44">
        <w:rPr>
          <w:rFonts w:ascii="Palatino Linotype" w:eastAsia="Palatino Linotype" w:hAnsi="Palatino Linotype" w:cs="Palatino Linotype"/>
          <w:color w:val="000000" w:themeColor="text1"/>
          <w:sz w:val="22"/>
          <w:szCs w:val="22"/>
          <w:lang w:val="es-MX" w:eastAsia="es-MX"/>
        </w:rPr>
        <w:t xml:space="preserve">que </w:t>
      </w:r>
      <w:r w:rsidRPr="000A4C44">
        <w:rPr>
          <w:rFonts w:ascii="Palatino Linotype" w:eastAsia="Palatino Linotype" w:hAnsi="Palatino Linotype" w:cs="Palatino Linotype"/>
          <w:sz w:val="22"/>
          <w:szCs w:val="22"/>
          <w:lang w:val="es-MX" w:eastAsia="es-MX"/>
        </w:rPr>
        <w:t xml:space="preserve">el realizar un pronunciamiento sobre la existencia de un procedimiento de posibles responsabilidades en trámite, podría afectar a los posibles responsables, </w:t>
      </w:r>
      <w:r w:rsidRPr="000A4C44">
        <w:rPr>
          <w:rFonts w:ascii="Palatino Linotype" w:eastAsia="Palatino Linotype" w:hAnsi="Palatino Linotype" w:cs="Palatino Linotype"/>
          <w:b/>
          <w:sz w:val="22"/>
          <w:szCs w:val="22"/>
          <w:u w:val="single"/>
          <w:lang w:val="es-MX" w:eastAsia="es-MX"/>
        </w:rPr>
        <w:t xml:space="preserve">ya que se daría a conocer la existencia de una investigación en su contra, lo cual, generaría una percepción negativa de estos, sin que se hubiere probado su responsabilidad o culpabilidad, lo cual dañaría, su honor y su derecho a la presunción de inocencia e inclusive su actividad profesional. </w:t>
      </w:r>
    </w:p>
    <w:p w14:paraId="6546D1FF"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00"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En otras palabras, dar a conocer la existencia de un procedimiento de posibles responsabilidades en trámite, vulneraría la protección de su privacidad, honor y presunción de inocencia, ya que podría generar un juicio a priori por parte de la sociedad, sin que se tenga una determinación firme, donde haya quedada acreditada su responsabilidad.</w:t>
      </w:r>
    </w:p>
    <w:p w14:paraId="6546D201"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02"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Respecto del </w:t>
      </w:r>
      <w:r w:rsidRPr="000A4C44">
        <w:rPr>
          <w:rFonts w:ascii="Palatino Linotype" w:eastAsia="Palatino Linotype" w:hAnsi="Palatino Linotype" w:cs="Palatino Linotype"/>
          <w:b/>
          <w:sz w:val="22"/>
          <w:szCs w:val="22"/>
          <w:lang w:val="es-MX" w:eastAsia="es-MX"/>
        </w:rPr>
        <w:t>derecho a la privacidad</w:t>
      </w:r>
      <w:r w:rsidRPr="000A4C44">
        <w:rPr>
          <w:rFonts w:ascii="Palatino Linotype" w:eastAsia="Palatino Linotype" w:hAnsi="Palatino Linotype" w:cs="Palatino Linotype"/>
          <w:sz w:val="22"/>
          <w:szCs w:val="22"/>
          <w:lang w:val="es-MX" w:eastAsia="es-MX"/>
        </w:rPr>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6546D203" w14:textId="77777777" w:rsidR="000A4C44" w:rsidRPr="000A4C44" w:rsidRDefault="000A4C44" w:rsidP="000A4C44">
      <w:pPr>
        <w:tabs>
          <w:tab w:val="left" w:pos="3962"/>
        </w:tabs>
        <w:spacing w:after="160" w:line="360" w:lineRule="auto"/>
        <w:jc w:val="both"/>
        <w:rPr>
          <w:rFonts w:ascii="Palatino Linotype" w:eastAsia="Palatino Linotype" w:hAnsi="Palatino Linotype" w:cs="Palatino Linotype"/>
          <w:sz w:val="22"/>
          <w:szCs w:val="22"/>
          <w:lang w:val="es-MX" w:eastAsia="es-MX"/>
        </w:rPr>
      </w:pPr>
    </w:p>
    <w:p w14:paraId="6546D204" w14:textId="77777777" w:rsidR="000A4C44" w:rsidRPr="000A4C44" w:rsidRDefault="000A4C44" w:rsidP="000A4C44">
      <w:pPr>
        <w:tabs>
          <w:tab w:val="left" w:pos="3962"/>
        </w:tabs>
        <w:spacing w:after="16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 xml:space="preserve">DERECHO A LA PRIVACIDAD O INTIMIDAD. ESTÁ PROTEGIDO POR EL ARTÍCULO 16, PRIMER PÁRRAFO, DE LA </w:t>
      </w:r>
      <w:r w:rsidRPr="000A4C44">
        <w:rPr>
          <w:rFonts w:ascii="Palatino Linotype" w:eastAsia="Palatino Linotype" w:hAnsi="Palatino Linotype" w:cs="Palatino Linotype"/>
          <w:b/>
          <w:i/>
          <w:sz w:val="22"/>
          <w:szCs w:val="22"/>
          <w:lang w:val="es-MX" w:eastAsia="es-MX"/>
        </w:rPr>
        <w:lastRenderedPageBreak/>
        <w:t>CONSTITUCIÓN POLÍTICA DE LOS ESTADOS UNIDOS MEXICANOS</w:t>
      </w:r>
      <w:r w:rsidRPr="000A4C44">
        <w:rPr>
          <w:rFonts w:ascii="Palatino Linotype" w:eastAsia="Palatino Linotype" w:hAnsi="Palatino Linotype" w:cs="Palatino Linotype"/>
          <w:i/>
          <w:sz w:val="22"/>
          <w:szCs w:val="22"/>
          <w:lang w:val="es-MX" w:eastAsia="es-MX"/>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6546D205" w14:textId="77777777" w:rsidR="000A4C44" w:rsidRPr="000A4C44" w:rsidRDefault="000A4C44" w:rsidP="000A4C44">
      <w:pPr>
        <w:tabs>
          <w:tab w:val="left" w:pos="3962"/>
        </w:tabs>
        <w:spacing w:after="160" w:line="360" w:lineRule="auto"/>
        <w:ind w:left="851" w:right="902"/>
        <w:contextualSpacing/>
        <w:jc w:val="both"/>
        <w:rPr>
          <w:rFonts w:ascii="Palatino Linotype" w:eastAsia="Palatino Linotype" w:hAnsi="Palatino Linotype" w:cs="Palatino Linotype"/>
          <w:i/>
          <w:sz w:val="22"/>
          <w:szCs w:val="22"/>
          <w:lang w:val="es-MX" w:eastAsia="es-MX"/>
        </w:rPr>
      </w:pPr>
    </w:p>
    <w:p w14:paraId="6546D206"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Como se observa, de la garantía de seguridad jurídica de los individuos a no ser molestados en su persona, familia, papeles o posesiones, salvo cuando medie mandato de autoridad competente debidamente fundado y motivado, de lo que deriva el respeto a un ámbito de la vida privada personal y familiar que debe quedar excluido del conocimiento ajeno y de las intromisiones de los demás, con la limitante prevista en la Constitución Política de los Estados Unidos Mexicanos. </w:t>
      </w:r>
    </w:p>
    <w:p w14:paraId="6546D207"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08"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6546D209" w14:textId="77777777" w:rsidR="000A4C44" w:rsidRPr="000A4C44" w:rsidRDefault="000A4C44" w:rsidP="000A4C44">
      <w:pPr>
        <w:spacing w:line="360" w:lineRule="auto"/>
        <w:contextualSpacing/>
        <w:jc w:val="both"/>
        <w:rPr>
          <w:rFonts w:ascii="Palatino Linotype" w:eastAsia="Palatino Linotype" w:hAnsi="Palatino Linotype" w:cs="Palatino Linotype"/>
          <w:sz w:val="22"/>
          <w:szCs w:val="22"/>
          <w:lang w:val="es-MX" w:eastAsia="es-MX"/>
        </w:rPr>
      </w:pPr>
    </w:p>
    <w:p w14:paraId="6546D20A"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hAnsi="Palatino Linotype"/>
          <w:sz w:val="22"/>
          <w:szCs w:val="22"/>
        </w:rPr>
        <w:lastRenderedPageBreak/>
        <w:t>Por lo que hace al derecho al honor, la jurisprudencia número 1a./J. 118/2013 (10a.), emitida</w:t>
      </w:r>
      <w:r w:rsidRPr="000A4C44">
        <w:rPr>
          <w:rFonts w:ascii="Palatino Linotype" w:eastAsia="Palatino Linotype" w:hAnsi="Palatino Linotype" w:cs="Palatino Linotype"/>
          <w:sz w:val="22"/>
          <w:szCs w:val="22"/>
          <w:lang w:val="es-MX" w:eastAsia="es-MX"/>
        </w:rPr>
        <w:t xml:space="preserve"> por la Primera Sala de la Suprema Corte de Justicia de la Nación, publicada en la Gaceta del Semanario Judicial de la Federación, Tomo I, Libro 3, de febrero de 2014, página 470, de la Décima Época, materia constitucional, señala: </w:t>
      </w:r>
    </w:p>
    <w:p w14:paraId="6546D20B"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0C" w14:textId="77777777" w:rsidR="000A4C44" w:rsidRPr="000A4C44" w:rsidRDefault="000A4C44" w:rsidP="000A4C44">
      <w:pPr>
        <w:spacing w:after="160" w:line="276" w:lineRule="auto"/>
        <w:ind w:left="851"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t xml:space="preserve">“DERECHO FUNDAMENTAL AL HONOR. SU DIMENSIÓN SUBJETIVA Y OBJETIVA. </w:t>
      </w:r>
      <w:r w:rsidRPr="000A4C44">
        <w:rPr>
          <w:rFonts w:ascii="Palatino Linotype" w:eastAsia="Palatino Linotype" w:hAnsi="Palatino Linotype" w:cs="Palatino Linotype"/>
          <w:i/>
          <w:sz w:val="22"/>
          <w:szCs w:val="22"/>
          <w:lang w:val="es-MX" w:eastAsia="es-MX"/>
        </w:rPr>
        <w:t xml:space="preserve">A juicio de esta Primera Sala de la Suprema Corte de Justicia de la Nación, es posible definir al honor como el </w:t>
      </w:r>
      <w:r w:rsidRPr="000A4C44">
        <w:rPr>
          <w:rFonts w:ascii="Palatino Linotype" w:eastAsia="Palatino Linotype" w:hAnsi="Palatino Linotype" w:cs="Palatino Linotype"/>
          <w:b/>
          <w:i/>
          <w:sz w:val="22"/>
          <w:szCs w:val="22"/>
          <w:lang w:val="es-MX" w:eastAsia="es-MX"/>
        </w:rPr>
        <w:t>concepto que la persona tiene de sí misma o que los demás se han formado de ella, en virtud de su proceder o de la expresión de su calidad ética y social</w:t>
      </w:r>
      <w:r w:rsidRPr="000A4C44">
        <w:rPr>
          <w:rFonts w:ascii="Palatino Linotype" w:eastAsia="Palatino Linotype" w:hAnsi="Palatino Linotype" w:cs="Palatino Linotype"/>
          <w:i/>
          <w:sz w:val="22"/>
          <w:szCs w:val="22"/>
          <w:lang w:val="es-MX" w:eastAsia="es-MX"/>
        </w:rPr>
        <w:t>.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6546D20D" w14:textId="77777777" w:rsidR="000A4C44" w:rsidRPr="000A4C44" w:rsidRDefault="000A4C44" w:rsidP="000A4C44">
      <w:pPr>
        <w:spacing w:after="160" w:line="360" w:lineRule="auto"/>
        <w:ind w:left="851" w:right="902"/>
        <w:contextualSpacing/>
        <w:jc w:val="both"/>
        <w:rPr>
          <w:rFonts w:ascii="Palatino Linotype" w:eastAsia="Palatino Linotype" w:hAnsi="Palatino Linotype" w:cs="Palatino Linotype"/>
          <w:sz w:val="22"/>
          <w:szCs w:val="22"/>
          <w:lang w:val="es-MX" w:eastAsia="es-MX"/>
        </w:rPr>
      </w:pPr>
    </w:p>
    <w:p w14:paraId="6546D20E"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hAnsi="Palatino Linotype"/>
          <w:sz w:val="22"/>
          <w:szCs w:val="22"/>
        </w:rPr>
        <w:t>Como</w:t>
      </w:r>
      <w:r w:rsidRPr="000A4C44">
        <w:rPr>
          <w:rFonts w:ascii="Palatino Linotype" w:eastAsia="Palatino Linotype" w:hAnsi="Palatino Linotype" w:cs="Palatino Linotype"/>
          <w:sz w:val="22"/>
          <w:szCs w:val="22"/>
          <w:lang w:val="es-MX" w:eastAsia="es-MX"/>
        </w:rPr>
        <w:t xml:space="preserve"> se observa, el honor es el concepto que la persona tiene de sí misma o que los demás se han formado de ella, en virtud de su proceder o de la expresión de su calidad ética y social. </w:t>
      </w:r>
    </w:p>
    <w:p w14:paraId="6546D20F"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10"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lang w:val="es-MX" w:eastAsia="es-MX"/>
        </w:rPr>
      </w:pPr>
      <w:r w:rsidRPr="000A4C44">
        <w:rPr>
          <w:rFonts w:ascii="Palatino Linotype" w:hAnsi="Palatino Linotype"/>
          <w:sz w:val="22"/>
          <w:szCs w:val="22"/>
        </w:rPr>
        <w:t>En</w:t>
      </w:r>
      <w:r w:rsidRPr="000A4C44">
        <w:rPr>
          <w:rFonts w:ascii="Palatino Linotype" w:eastAsia="Palatino Linotype" w:hAnsi="Palatino Linotype" w:cs="Palatino Linotype"/>
          <w:sz w:val="22"/>
          <w:szCs w:val="22"/>
          <w:lang w:val="es-MX" w:eastAsia="es-MX"/>
        </w:rPr>
        <w:t xml:space="preserve"> el ámbito de lo jurídico, es un Derecho humano que involucra la facultad de cada individuo de ser tratado de forma decorosa. Este derecho tiene dos elementos, el subjetivo, </w:t>
      </w:r>
      <w:r w:rsidRPr="000A4C44">
        <w:rPr>
          <w:rFonts w:ascii="Palatino Linotype" w:eastAsia="Palatino Linotype" w:hAnsi="Palatino Linotype" w:cs="Palatino Linotype"/>
          <w:sz w:val="22"/>
          <w:szCs w:val="22"/>
          <w:lang w:val="es-MX" w:eastAsia="es-MX"/>
        </w:rPr>
        <w:lastRenderedPageBreak/>
        <w:t xml:space="preserve">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0A4C44">
        <w:rPr>
          <w:rFonts w:ascii="Palatino Linotype" w:eastAsia="Palatino Linotype" w:hAnsi="Palatino Linotype" w:cs="Palatino Linotype"/>
          <w:b/>
          <w:sz w:val="22"/>
          <w:szCs w:val="22"/>
          <w:lang w:val="es-MX" w:eastAsia="es-MX"/>
        </w:rPr>
        <w:t>En el aspecto objetivo, el honor es lesionado por todo aquello que afecta a la reputación que la persona merece.</w:t>
      </w:r>
    </w:p>
    <w:p w14:paraId="6546D211"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12"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Adicionalmente, en relación a este derecho [al honor],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6546D213"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14" w14:textId="77777777" w:rsidR="000A4C44" w:rsidRPr="000A4C44" w:rsidRDefault="000A4C44" w:rsidP="000A4C44">
      <w:pPr>
        <w:tabs>
          <w:tab w:val="left" w:pos="7938"/>
        </w:tabs>
        <w:spacing w:after="160" w:line="276" w:lineRule="auto"/>
        <w:ind w:left="851"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 xml:space="preserve">DERECHOS AL HONOR, A LA INTIMIDAD Y A LA PROPIA IMAGEN. CONSTITUYEN DERECHOS HUMANOS QUE SE PROTEGEN A TRAVÉS DEL ACTUAL MARCO CONSTITUCIONAL. </w:t>
      </w:r>
      <w:r w:rsidRPr="000A4C44">
        <w:rPr>
          <w:rFonts w:ascii="Palatino Linotype" w:eastAsia="Palatino Linotype" w:hAnsi="Palatino Linotype" w:cs="Palatino Linotype"/>
          <w:i/>
          <w:sz w:val="22"/>
          <w:szCs w:val="22"/>
          <w:lang w:val="es-MX" w:eastAsia="es-MX"/>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w:t>
      </w:r>
      <w:r w:rsidRPr="000A4C44">
        <w:rPr>
          <w:rFonts w:ascii="Palatino Linotype" w:eastAsia="Palatino Linotype" w:hAnsi="Palatino Linotype" w:cs="Palatino Linotype"/>
          <w:i/>
          <w:sz w:val="22"/>
          <w:szCs w:val="22"/>
          <w:lang w:val="es-MX" w:eastAsia="es-MX"/>
        </w:rPr>
        <w:lastRenderedPageBreak/>
        <w:t>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Mexicano.”(Sic)</w:t>
      </w:r>
    </w:p>
    <w:p w14:paraId="6546D215" w14:textId="77777777" w:rsidR="000A4C44" w:rsidRPr="000A4C44" w:rsidRDefault="000A4C44" w:rsidP="000A4C44">
      <w:pPr>
        <w:tabs>
          <w:tab w:val="left" w:pos="7938"/>
        </w:tabs>
        <w:spacing w:after="160" w:line="276" w:lineRule="auto"/>
        <w:ind w:left="851" w:right="902"/>
        <w:contextualSpacing/>
        <w:jc w:val="both"/>
        <w:rPr>
          <w:rFonts w:ascii="Palatino Linotype" w:eastAsia="Palatino Linotype" w:hAnsi="Palatino Linotype" w:cs="Palatino Linotype"/>
          <w:sz w:val="22"/>
          <w:szCs w:val="22"/>
          <w:lang w:val="es-MX" w:eastAsia="es-MX"/>
        </w:rPr>
      </w:pPr>
    </w:p>
    <w:p w14:paraId="6546D216"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Tocante a la </w:t>
      </w:r>
      <w:r w:rsidRPr="000A4C44">
        <w:rPr>
          <w:rFonts w:ascii="Palatino Linotype" w:eastAsia="Palatino Linotype" w:hAnsi="Palatino Linotype" w:cs="Palatino Linotype"/>
          <w:b/>
          <w:sz w:val="22"/>
          <w:szCs w:val="22"/>
          <w:lang w:val="es-MX" w:eastAsia="es-MX"/>
        </w:rPr>
        <w:t xml:space="preserve">presunción de inocencia, </w:t>
      </w:r>
      <w:r w:rsidRPr="000A4C44">
        <w:rPr>
          <w:rFonts w:ascii="Palatino Linotype" w:eastAsia="Palatino Linotype" w:hAnsi="Palatino Linotype" w:cs="Palatino Linotype"/>
          <w:sz w:val="22"/>
          <w:szCs w:val="22"/>
          <w:lang w:val="es-MX" w:eastAsia="es-MX"/>
        </w:rPr>
        <w:t>es de mencionar que toda persona imputada tiene, entre otros, el derecho a que se presuma su inocencia mientras no se declare su responsabilidad mediante sentencia emitida por el juez de la causa, donde compruebe su culpabilidad.  tal como lo prevé la fracción I del apartado B, del artículo 20, de la Constitución Política de los Estados Unidos Mexicanos.</w:t>
      </w:r>
    </w:p>
    <w:p w14:paraId="6546D217"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18"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Sostiene lo anterior, la jurisprudencia 1a./J. 24/2014 (10a.), emitida por la Primera Sala de la Suprema Corte de Justicia de la Nación, publicada en la Gaceta del Semanario Judicial de la Federación, Tomo I, Libro 5, página 497, de abril de 2014, Décima Época, materia constitucional, de rubro y texto siguiente:</w:t>
      </w:r>
    </w:p>
    <w:p w14:paraId="6546D219"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1A" w14:textId="77777777" w:rsidR="000A4C44" w:rsidRPr="000A4C44" w:rsidRDefault="000A4C44" w:rsidP="00BC19A4">
      <w:pPr>
        <w:tabs>
          <w:tab w:val="left" w:pos="3962"/>
        </w:tabs>
        <w:spacing w:after="16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lastRenderedPageBreak/>
        <w:t>“</w:t>
      </w:r>
      <w:r w:rsidRPr="000A4C44">
        <w:rPr>
          <w:rFonts w:ascii="Palatino Linotype" w:eastAsia="Palatino Linotype" w:hAnsi="Palatino Linotype" w:cs="Palatino Linotype"/>
          <w:b/>
          <w:i/>
          <w:sz w:val="22"/>
          <w:szCs w:val="22"/>
          <w:lang w:val="es-MX" w:eastAsia="es-MX"/>
        </w:rPr>
        <w:t>PRESUNCIÓN DE INOCENCIA COMO REGLA DE TRATO PROCESAL</w:t>
      </w:r>
      <w:r w:rsidRPr="000A4C44">
        <w:rPr>
          <w:rFonts w:ascii="Palatino Linotype" w:eastAsia="Palatino Linotype" w:hAnsi="Palatino Linotype" w:cs="Palatino Linotype"/>
          <w:i/>
          <w:sz w:val="22"/>
          <w:szCs w:val="22"/>
          <w:lang w:val="es-MX" w:eastAsia="es-MX"/>
        </w:rPr>
        <w:t>.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6546D21B" w14:textId="77777777" w:rsidR="000A4C44" w:rsidRPr="000A4C44" w:rsidRDefault="000A4C44" w:rsidP="000A4C44">
      <w:pPr>
        <w:tabs>
          <w:tab w:val="left" w:pos="3962"/>
        </w:tabs>
        <w:spacing w:after="160" w:line="360" w:lineRule="auto"/>
        <w:ind w:left="992" w:right="902"/>
        <w:contextualSpacing/>
        <w:jc w:val="both"/>
        <w:rPr>
          <w:rFonts w:ascii="Palatino Linotype" w:eastAsia="Palatino Linotype" w:hAnsi="Palatino Linotype" w:cs="Palatino Linotype"/>
          <w:sz w:val="22"/>
          <w:szCs w:val="22"/>
          <w:lang w:val="es-MX" w:eastAsia="es-MX"/>
        </w:rPr>
      </w:pPr>
    </w:p>
    <w:p w14:paraId="6546D21C"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dicho Derecho se encuentra regulado, de la misma manera, en Declaración Universal de los Derechos Humanos, así como, el Pacto Internacional de Derechos Civiles y Políticos y la Convención Americana sobre Derechos Humanos.</w:t>
      </w:r>
    </w:p>
    <w:p w14:paraId="6546D21D"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1E"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6546D21F"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20" w14:textId="77777777" w:rsidR="000A4C44" w:rsidRPr="000A4C44" w:rsidRDefault="000A4C44" w:rsidP="00BC19A4">
      <w:pPr>
        <w:spacing w:after="160" w:line="276" w:lineRule="auto"/>
        <w:ind w:left="1134" w:right="1134"/>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lastRenderedPageBreak/>
        <w:t xml:space="preserve">“PRESUNCIÓN DE INOCENCIA. ALCANCES DE ESE PRINCIPIO CONSTITUCIONAL. </w:t>
      </w:r>
      <w:r w:rsidRPr="000A4C44">
        <w:rPr>
          <w:rFonts w:ascii="Palatino Linotype" w:eastAsia="Palatino Linotype" w:hAnsi="Palatino Linotype" w:cs="Palatino Linotype"/>
          <w:i/>
          <w:sz w:val="22"/>
          <w:szCs w:val="22"/>
          <w:lang w:val="es-MX" w:eastAsia="es-MX"/>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6546D221" w14:textId="77777777" w:rsidR="000A4C44" w:rsidRPr="000A4C44" w:rsidRDefault="000A4C44" w:rsidP="000A4C44">
      <w:pPr>
        <w:spacing w:after="120" w:line="360" w:lineRule="auto"/>
        <w:ind w:left="851" w:right="1134"/>
        <w:contextualSpacing/>
        <w:jc w:val="both"/>
        <w:rPr>
          <w:rFonts w:ascii="Palatino Linotype" w:eastAsia="Palatino Linotype" w:hAnsi="Palatino Linotype" w:cs="Palatino Linotype"/>
          <w:i/>
          <w:sz w:val="22"/>
          <w:szCs w:val="22"/>
          <w:lang w:val="es-MX" w:eastAsia="es-MX"/>
        </w:rPr>
      </w:pPr>
    </w:p>
    <w:p w14:paraId="6546D222"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6546D223"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sz w:val="22"/>
          <w:szCs w:val="22"/>
          <w:lang w:val="es-MX" w:eastAsia="es-MX"/>
        </w:rPr>
      </w:pPr>
    </w:p>
    <w:p w14:paraId="6546D224"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u w:val="single"/>
          <w:lang w:val="es-MX" w:eastAsia="es-MX"/>
        </w:rPr>
      </w:pPr>
      <w:r w:rsidRPr="000A4C44">
        <w:rPr>
          <w:rFonts w:ascii="Palatino Linotype" w:eastAsia="Palatino Linotype" w:hAnsi="Palatino Linotype" w:cs="Palatino Linotype"/>
          <w:sz w:val="22"/>
          <w:szCs w:val="22"/>
          <w:lang w:val="es-MX" w:eastAsia="es-MX"/>
        </w:rPr>
        <w:t xml:space="preserve">Conforme a lo expuesto, </w:t>
      </w:r>
      <w:r w:rsidRPr="000A4C44">
        <w:rPr>
          <w:rFonts w:ascii="Palatino Linotype" w:eastAsia="Palatino Linotype" w:hAnsi="Palatino Linotype" w:cs="Palatino Linotype"/>
          <w:b/>
          <w:sz w:val="22"/>
          <w:szCs w:val="22"/>
          <w:u w:val="single"/>
          <w:lang w:val="es-MX" w:eastAsia="es-MX"/>
        </w:rPr>
        <w:t>el clasificar como confidencial los nombres y cargos de los servidores públicos cuyos procedimientos se encuentre en trámite de probable responsabilidad, generaría un juicio a priori o un juicio negativo en contra de los servidores públicos por parte de la sociedad, sin que se hayan reunido los elementos para establecer si son o no responsables, vulnerando así la protección de su intimidad, su honor, la buena imagen y su derecho a la presunción de inocencia.</w:t>
      </w:r>
    </w:p>
    <w:p w14:paraId="6546D225"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b/>
          <w:sz w:val="22"/>
          <w:szCs w:val="22"/>
          <w:u w:val="single"/>
          <w:lang w:val="es-MX" w:eastAsia="es-MX"/>
        </w:rPr>
      </w:pPr>
    </w:p>
    <w:p w14:paraId="6546D226"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lastRenderedPageBreak/>
        <w:t>Bajo lo previo, se considera que</w:t>
      </w:r>
      <w:r w:rsidRPr="000A4C44">
        <w:rPr>
          <w:rFonts w:ascii="Palatino Linotype" w:eastAsia="Palatino Linotype" w:hAnsi="Palatino Linotype" w:cs="Palatino Linotype"/>
          <w:b/>
          <w:sz w:val="22"/>
          <w:szCs w:val="22"/>
          <w:lang w:val="es-MX" w:eastAsia="es-MX"/>
        </w:rPr>
        <w:t xml:space="preserve"> </w:t>
      </w:r>
      <w:r w:rsidRPr="000A4C44">
        <w:rPr>
          <w:rFonts w:ascii="Palatino Linotype" w:eastAsia="Palatino Linotype" w:hAnsi="Palatino Linotype" w:cs="Palatino Linotype"/>
          <w:b/>
          <w:sz w:val="22"/>
          <w:szCs w:val="22"/>
          <w:u w:val="single"/>
          <w:lang w:val="es-MX" w:eastAsia="es-MX"/>
        </w:rPr>
        <w:t>la clasificación del nombre y cargo sobre la existencia de algún procedimiento en trámite de responsabilidad por faltas graves o no graves que se hubiera iniciado en contra de algún servidor público, deberá clasificarse en términos del artículo 143, fracción I, de la Ley de Transparencia y Acceso a la Información Pública del Estado de México y Municipios</w:t>
      </w:r>
      <w:r w:rsidRPr="000A4C44">
        <w:rPr>
          <w:rFonts w:ascii="Palatino Linotype" w:eastAsia="Palatino Linotype" w:hAnsi="Palatino Linotype" w:cs="Palatino Linotype"/>
          <w:b/>
          <w:sz w:val="22"/>
          <w:szCs w:val="22"/>
          <w:lang w:val="es-MX" w:eastAsia="es-MX"/>
        </w:rPr>
        <w:t xml:space="preserve">, </w:t>
      </w:r>
      <w:r w:rsidRPr="000A4C44">
        <w:rPr>
          <w:rFonts w:ascii="Palatino Linotype" w:eastAsia="Palatino Linotype" w:hAnsi="Palatino Linotype" w:cs="Palatino Linotype"/>
          <w:sz w:val="22"/>
          <w:szCs w:val="22"/>
          <w:lang w:val="es-MX" w:eastAsia="es-MX"/>
        </w:rPr>
        <w:t>que es del tenor literal siguiente:</w:t>
      </w:r>
    </w:p>
    <w:p w14:paraId="6546D227" w14:textId="77777777" w:rsidR="000A4C44" w:rsidRPr="000A4C44" w:rsidRDefault="000A4C44" w:rsidP="000A4C44">
      <w:pPr>
        <w:tabs>
          <w:tab w:val="left" w:pos="3962"/>
        </w:tabs>
        <w:spacing w:after="160" w:line="360" w:lineRule="auto"/>
        <w:contextualSpacing/>
        <w:jc w:val="both"/>
        <w:rPr>
          <w:rFonts w:ascii="Palatino Linotype" w:eastAsia="Palatino Linotype" w:hAnsi="Palatino Linotype" w:cs="Palatino Linotype"/>
          <w:b/>
          <w:sz w:val="22"/>
          <w:szCs w:val="22"/>
          <w:u w:val="single"/>
          <w:lang w:val="es-MX" w:eastAsia="es-MX"/>
        </w:rPr>
      </w:pPr>
    </w:p>
    <w:p w14:paraId="6546D228" w14:textId="77777777" w:rsidR="000A4C44" w:rsidRPr="000A4C44" w:rsidRDefault="000A4C44" w:rsidP="00BC19A4">
      <w:pPr>
        <w:tabs>
          <w:tab w:val="left" w:pos="3962"/>
        </w:tabs>
        <w:spacing w:after="12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Artículo 143</w:t>
      </w:r>
      <w:r w:rsidRPr="000A4C44">
        <w:rPr>
          <w:rFonts w:ascii="Palatino Linotype" w:eastAsia="Palatino Linotype" w:hAnsi="Palatino Linotype" w:cs="Palatino Linotype"/>
          <w:i/>
          <w:sz w:val="22"/>
          <w:szCs w:val="22"/>
          <w:lang w:val="es-MX" w:eastAsia="es-MX"/>
        </w:rPr>
        <w:t>. Para los efectos de esta Ley se considera información confidencial, la clasificada como tal, de manera permanente, por su naturaleza, cuando:</w:t>
      </w:r>
    </w:p>
    <w:p w14:paraId="6546D229" w14:textId="77777777" w:rsidR="000A4C44" w:rsidRPr="000A4C44" w:rsidRDefault="000A4C44" w:rsidP="00BC19A4">
      <w:pPr>
        <w:tabs>
          <w:tab w:val="left" w:pos="3962"/>
        </w:tabs>
        <w:spacing w:before="120" w:after="12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t>I.</w:t>
      </w:r>
      <w:r w:rsidRPr="000A4C44">
        <w:rPr>
          <w:rFonts w:ascii="Palatino Linotype" w:eastAsia="Palatino Linotype" w:hAnsi="Palatino Linotype" w:cs="Palatino Linotype"/>
          <w:i/>
          <w:sz w:val="22"/>
          <w:szCs w:val="22"/>
          <w:lang w:val="es-MX" w:eastAsia="es-MX"/>
        </w:rPr>
        <w:t xml:space="preserve"> Se refiera a la información privada y los datos personales concernientes a una persona física o jurídico colectiva identificada o identificable;”</w:t>
      </w:r>
    </w:p>
    <w:p w14:paraId="6546D22A" w14:textId="77777777" w:rsidR="000A4C44" w:rsidRPr="000A4C44" w:rsidRDefault="000A4C44" w:rsidP="000A4C44">
      <w:pPr>
        <w:tabs>
          <w:tab w:val="left" w:pos="3962"/>
        </w:tabs>
        <w:spacing w:before="120" w:after="120" w:line="360" w:lineRule="auto"/>
        <w:ind w:left="851" w:right="902"/>
        <w:contextualSpacing/>
        <w:jc w:val="both"/>
        <w:rPr>
          <w:rFonts w:ascii="Palatino Linotype" w:eastAsia="Palatino Linotype" w:hAnsi="Palatino Linotype" w:cs="Palatino Linotype"/>
          <w:i/>
          <w:sz w:val="22"/>
          <w:szCs w:val="22"/>
          <w:lang w:val="es-MX" w:eastAsia="es-MX"/>
        </w:rPr>
      </w:pPr>
    </w:p>
    <w:p w14:paraId="6546D22B"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No obstante, de lo anterior se estima necesario traer a colación el contenido del artículo 142, fracción IV, de la Ley de Transparencia y Acceso a la Información Pública del Estado de México y Municipios, a saber: </w:t>
      </w:r>
    </w:p>
    <w:p w14:paraId="6546D22C" w14:textId="77777777" w:rsidR="000A4C44" w:rsidRPr="000A4C44" w:rsidRDefault="000A4C44" w:rsidP="00BC19A4">
      <w:pPr>
        <w:spacing w:before="240" w:after="240" w:line="360" w:lineRule="auto"/>
        <w:ind w:left="1134" w:right="900"/>
        <w:contextualSpacing/>
        <w:jc w:val="both"/>
        <w:rPr>
          <w:rFonts w:ascii="Palatino Linotype" w:eastAsia="Palatino Linotype" w:hAnsi="Palatino Linotype" w:cs="Palatino Linotype"/>
          <w:sz w:val="22"/>
          <w:szCs w:val="22"/>
          <w:lang w:val="es-MX" w:eastAsia="es-MX"/>
        </w:rPr>
      </w:pPr>
    </w:p>
    <w:p w14:paraId="6546D22D" w14:textId="77777777" w:rsidR="000A4C44" w:rsidRPr="000A4C44" w:rsidRDefault="000A4C44" w:rsidP="00BC19A4">
      <w:pPr>
        <w:spacing w:after="16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t>“Artículo 142.</w:t>
      </w:r>
      <w:r w:rsidRPr="000A4C44">
        <w:rPr>
          <w:rFonts w:ascii="Palatino Linotype" w:eastAsia="Palatino Linotype" w:hAnsi="Palatino Linotype" w:cs="Palatino Linotype"/>
          <w:i/>
          <w:sz w:val="22"/>
          <w:szCs w:val="22"/>
          <w:lang w:val="es-MX" w:eastAsia="es-MX"/>
        </w:rPr>
        <w:t xml:space="preserve"> </w:t>
      </w:r>
      <w:r w:rsidRPr="000A4C44">
        <w:rPr>
          <w:rFonts w:ascii="Palatino Linotype" w:eastAsia="Palatino Linotype" w:hAnsi="Palatino Linotype" w:cs="Palatino Linotype"/>
          <w:b/>
          <w:i/>
          <w:sz w:val="22"/>
          <w:szCs w:val="22"/>
          <w:lang w:val="es-MX" w:eastAsia="es-MX"/>
        </w:rPr>
        <w:t xml:space="preserve">Bajo ninguna circunstancia podrá invocarse el carácter de reservado </w:t>
      </w:r>
      <w:r w:rsidRPr="000A4C44">
        <w:rPr>
          <w:rFonts w:ascii="Palatino Linotype" w:eastAsia="Palatino Linotype" w:hAnsi="Palatino Linotype" w:cs="Palatino Linotype"/>
          <w:i/>
          <w:sz w:val="22"/>
          <w:szCs w:val="22"/>
          <w:lang w:val="es-MX" w:eastAsia="es-MX"/>
        </w:rPr>
        <w:t xml:space="preserve">cuando: </w:t>
      </w:r>
    </w:p>
    <w:p w14:paraId="6546D22E" w14:textId="77777777" w:rsidR="000A4C44" w:rsidRPr="000A4C44" w:rsidRDefault="000A4C44" w:rsidP="00BC19A4">
      <w:pPr>
        <w:spacing w:after="16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p>
    <w:p w14:paraId="6546D22F" w14:textId="77777777" w:rsidR="000A4C44" w:rsidRPr="000A4C44" w:rsidRDefault="000A4C44" w:rsidP="00BC19A4">
      <w:pPr>
        <w:spacing w:after="16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t>IV</w:t>
      </w:r>
      <w:r w:rsidRPr="000A4C44">
        <w:rPr>
          <w:rFonts w:ascii="Palatino Linotype" w:eastAsia="Palatino Linotype" w:hAnsi="Palatino Linotype" w:cs="Palatino Linotype"/>
          <w:i/>
          <w:sz w:val="22"/>
          <w:szCs w:val="22"/>
          <w:lang w:val="es-MX" w:eastAsia="es-MX"/>
        </w:rPr>
        <w:t xml:space="preserve">. </w:t>
      </w:r>
      <w:r w:rsidRPr="000A4C44">
        <w:rPr>
          <w:rFonts w:ascii="Palatino Linotype" w:eastAsia="Palatino Linotype" w:hAnsi="Palatino Linotype" w:cs="Palatino Linotype"/>
          <w:b/>
          <w:i/>
          <w:sz w:val="22"/>
          <w:szCs w:val="22"/>
          <w:lang w:val="es-MX" w:eastAsia="es-MX"/>
        </w:rPr>
        <w:t xml:space="preserve">Se trate de información </w:t>
      </w:r>
      <w:r w:rsidRPr="000A4C44">
        <w:rPr>
          <w:rFonts w:ascii="Palatino Linotype" w:eastAsia="Palatino Linotype" w:hAnsi="Palatino Linotype" w:cs="Palatino Linotype"/>
          <w:b/>
          <w:i/>
          <w:sz w:val="22"/>
          <w:szCs w:val="22"/>
          <w:u w:val="single"/>
          <w:lang w:val="es-MX" w:eastAsia="es-MX"/>
        </w:rPr>
        <w:t>relacionada con actos de corrupción</w:t>
      </w:r>
      <w:r w:rsidRPr="000A4C44">
        <w:rPr>
          <w:rFonts w:ascii="Palatino Linotype" w:eastAsia="Palatino Linotype" w:hAnsi="Palatino Linotype" w:cs="Palatino Linotype"/>
          <w:i/>
          <w:sz w:val="22"/>
          <w:szCs w:val="22"/>
          <w:lang w:val="es-MX" w:eastAsia="es-MX"/>
        </w:rPr>
        <w:t xml:space="preserve"> de conformidad con las disposiciones jurídicas aplicables.”</w:t>
      </w:r>
    </w:p>
    <w:p w14:paraId="6546D230" w14:textId="77777777" w:rsidR="000A4C44" w:rsidRPr="000A4C44" w:rsidRDefault="000A4C44" w:rsidP="000A4C44">
      <w:pPr>
        <w:spacing w:after="160" w:line="360" w:lineRule="auto"/>
        <w:ind w:left="1134" w:right="900"/>
        <w:contextualSpacing/>
        <w:jc w:val="both"/>
        <w:rPr>
          <w:rFonts w:ascii="Palatino Linotype" w:eastAsia="Palatino Linotype" w:hAnsi="Palatino Linotype" w:cs="Palatino Linotype"/>
          <w:i/>
          <w:sz w:val="22"/>
          <w:szCs w:val="22"/>
          <w:lang w:val="es-MX" w:eastAsia="es-MX"/>
        </w:rPr>
      </w:pPr>
    </w:p>
    <w:p w14:paraId="6546D231"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Del precepto citado se desprende que aquella información que se relacione con actos de corrupción, no puede actualizar alguno de los supuestos de clasificación como información reservada establecidos en el artículo 140 de la Ley de Transparencia y Acceso a la Información Pública del Estado de México y Municipios.</w:t>
      </w:r>
    </w:p>
    <w:p w14:paraId="6546D232" w14:textId="77777777" w:rsidR="000A4C44" w:rsidRPr="000A4C44" w:rsidRDefault="000A4C44" w:rsidP="000A4C44">
      <w:pPr>
        <w:spacing w:after="160" w:line="360" w:lineRule="auto"/>
        <w:contextualSpacing/>
        <w:jc w:val="both"/>
        <w:rPr>
          <w:rFonts w:ascii="Palatino Linotype" w:eastAsia="Palatino Linotype" w:hAnsi="Palatino Linotype" w:cs="Palatino Linotype"/>
          <w:i/>
          <w:sz w:val="22"/>
          <w:szCs w:val="22"/>
          <w:lang w:val="es-MX" w:eastAsia="es-MX"/>
        </w:rPr>
      </w:pPr>
    </w:p>
    <w:p w14:paraId="6546D233"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En el mismo tenor, el Lineamiento Trigésimo Séptimo de los Lineamientos Generales en materia de clasificación y desclasificación de la información, así como para la elaboración </w:t>
      </w:r>
      <w:r w:rsidRPr="000A4C44">
        <w:rPr>
          <w:rFonts w:ascii="Palatino Linotype" w:eastAsia="Palatino Linotype" w:hAnsi="Palatino Linotype" w:cs="Palatino Linotype"/>
          <w:sz w:val="22"/>
          <w:szCs w:val="22"/>
          <w:lang w:val="es-MX" w:eastAsia="es-MX"/>
        </w:rPr>
        <w:lastRenderedPageBreak/>
        <w:t xml:space="preserve">de versiones públicas, dispone que no puede invocarse el carácter de reservado de la información </w:t>
      </w:r>
      <w:r w:rsidRPr="000A4C44">
        <w:rPr>
          <w:rFonts w:ascii="Palatino Linotype" w:eastAsia="Palatino Linotype" w:hAnsi="Palatino Linotype" w:cs="Palatino Linotype"/>
          <w:b/>
          <w:sz w:val="22"/>
          <w:szCs w:val="22"/>
          <w:lang w:val="es-MX" w:eastAsia="es-MX"/>
        </w:rPr>
        <w:t>cuando esta se relacione con actos de corrupción,</w:t>
      </w:r>
      <w:r w:rsidRPr="000A4C44">
        <w:rPr>
          <w:rFonts w:ascii="Palatino Linotype" w:eastAsia="Palatino Linotype" w:hAnsi="Palatino Linotype" w:cs="Palatino Linotype"/>
          <w:sz w:val="22"/>
          <w:szCs w:val="22"/>
          <w:lang w:val="es-MX" w:eastAsia="es-MX"/>
        </w:rPr>
        <w:t xml:space="preserve">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w:t>
      </w:r>
    </w:p>
    <w:p w14:paraId="6546D234"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35"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Dicho lo anterior, cobra relevancia señalar que México ha participado, firmado y ratificado tres convenciones internacionales de combate contra la corrupción, a saber: la Convención Interamericana contra la Corrupción (OEA 1997), la Convención para Combatir el Cohecho de Servidores Públicos en Transacciones Comerciales Internacionales (OCDE 1999) y la Convención de las Naciones Unidas contra la Corrupción (ONU 2004).</w:t>
      </w:r>
    </w:p>
    <w:p w14:paraId="6546D236"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37"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En ese sentido, la Convención Interamericana contra la Corrupción, señala que </w:t>
      </w:r>
      <w:r w:rsidRPr="000A4C44">
        <w:rPr>
          <w:rFonts w:ascii="Palatino Linotype" w:eastAsia="Palatino Linotype" w:hAnsi="Palatino Linotype" w:cs="Palatino Linotype"/>
          <w:b/>
          <w:sz w:val="22"/>
          <w:szCs w:val="22"/>
          <w:u w:val="single"/>
          <w:lang w:val="es-MX" w:eastAsia="es-MX"/>
        </w:rPr>
        <w:t>la corrupción socava la legitimidad de las instituciones públicas, atenta contra la sociedad, el orden moral y la justicia, así como contra el desarrollo integral de los pueblos</w:t>
      </w:r>
      <w:r w:rsidRPr="000A4C44">
        <w:rPr>
          <w:rFonts w:ascii="Palatino Linotype" w:eastAsia="Palatino Linotype" w:hAnsi="Palatino Linotype" w:cs="Palatino Linotype"/>
          <w:sz w:val="22"/>
          <w:szCs w:val="22"/>
          <w:lang w:val="es-MX" w:eastAsia="es-MX"/>
        </w:rPr>
        <w:t>; asimismo, considera que el combate contra la corrupción fortalece las instituciones democráticas, evita distorsiones de la economía, vicios en la gestión pública y el deterioro de la moral social.</w:t>
      </w:r>
    </w:p>
    <w:p w14:paraId="6546D238" w14:textId="77777777" w:rsidR="000A4C44" w:rsidRPr="000A4C44" w:rsidRDefault="000A4C44" w:rsidP="000A4C44">
      <w:pPr>
        <w:spacing w:after="160" w:line="360" w:lineRule="auto"/>
        <w:contextualSpacing/>
        <w:jc w:val="both"/>
        <w:rPr>
          <w:rFonts w:ascii="Palatino Linotype" w:eastAsia="Palatino Linotype" w:hAnsi="Palatino Linotype" w:cs="Palatino Linotype"/>
          <w:i/>
          <w:sz w:val="22"/>
          <w:szCs w:val="22"/>
          <w:lang w:val="es-MX" w:eastAsia="es-MX"/>
        </w:rPr>
      </w:pPr>
    </w:p>
    <w:p w14:paraId="6546D239"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En específico, en el artículo VI de dicha Convención se señalan las siguientes conductas como actos de corrupción:</w:t>
      </w:r>
    </w:p>
    <w:p w14:paraId="6546D23A"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3B"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a. El requerimiento o la aceptación, directa o indirectamente, por un funcionario público o una persona que ejerza funciones públicas, de cualquier objeto de valor pecuniario u </w:t>
      </w:r>
      <w:r w:rsidRPr="000A4C44">
        <w:rPr>
          <w:rFonts w:ascii="Palatino Linotype" w:eastAsia="Palatino Linotype" w:hAnsi="Palatino Linotype" w:cs="Palatino Linotype"/>
          <w:sz w:val="22"/>
          <w:szCs w:val="22"/>
          <w:lang w:val="es-MX" w:eastAsia="es-MX"/>
        </w:rPr>
        <w:lastRenderedPageBreak/>
        <w:t xml:space="preserve">otros beneficios como dádivas, favores, promesas o ventajas para sí mismo o para otra persona o entidad a cambio de la realización u omisión de cualquier acto en el ejercicio de sus funciones públicas; </w:t>
      </w:r>
    </w:p>
    <w:p w14:paraId="6546D23C"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p>
    <w:p w14:paraId="6546D23D"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b. El ofrecimiento o el otorgamiento, directa o indirectamente, a un funcionario público o a una persona que ejerza funciones públicas, de cualquier objeto de valor pecuniario u otros beneficios como dádivas, favores, promesas o ventajas para ese funcionario público o para otra persona o entidad a cambio de la realización u omisión de cualquier acto en el ejercicio de sus funciones públicas; </w:t>
      </w:r>
    </w:p>
    <w:p w14:paraId="6546D23E"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p>
    <w:p w14:paraId="6546D23F"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c. La realización por parte de un funcionario público o una persona que ejerza funciones públicas de cualquier acto u omisión en el ejercicio de sus funciones, con el fin de obtener ilícitamente beneficios para sí mismo o para un tercero;</w:t>
      </w:r>
    </w:p>
    <w:p w14:paraId="6546D240"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p>
    <w:p w14:paraId="6546D241"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d. El aprovechamiento doloso u ocultación de bienes provenientes de cualesquiera de los actos a los que se refiere el presente artículo; y</w:t>
      </w:r>
    </w:p>
    <w:p w14:paraId="6546D242"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p>
    <w:p w14:paraId="6546D243"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e. La participación como autor, coautor, instigador, cómplice, encubridor o en cualquier otra forma en la comisión, tentativa de comisión, asociación o confabulación para la comisión de cualquiera de los actos a los que se refiere el presente artículo.</w:t>
      </w:r>
    </w:p>
    <w:p w14:paraId="6546D244" w14:textId="77777777" w:rsidR="000A4C44" w:rsidRPr="000A4C44" w:rsidRDefault="000A4C44" w:rsidP="000A4C44">
      <w:pPr>
        <w:spacing w:after="160" w:line="360" w:lineRule="auto"/>
        <w:ind w:left="284"/>
        <w:contextualSpacing/>
        <w:jc w:val="both"/>
        <w:rPr>
          <w:rFonts w:ascii="Palatino Linotype" w:eastAsia="Palatino Linotype" w:hAnsi="Palatino Linotype" w:cs="Palatino Linotype"/>
          <w:sz w:val="22"/>
          <w:szCs w:val="22"/>
          <w:lang w:val="es-MX" w:eastAsia="es-MX"/>
        </w:rPr>
      </w:pPr>
    </w:p>
    <w:p w14:paraId="6546D245"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En ese orden de ideas, es posible reflexionar que </w:t>
      </w:r>
      <w:r w:rsidRPr="000A4C44">
        <w:rPr>
          <w:rFonts w:ascii="Palatino Linotype" w:eastAsia="Palatino Linotype" w:hAnsi="Palatino Linotype" w:cs="Palatino Linotype"/>
          <w:b/>
          <w:sz w:val="22"/>
          <w:szCs w:val="22"/>
          <w:lang w:val="es-MX" w:eastAsia="es-MX"/>
        </w:rPr>
        <w:t>la corrupción no solo es un fenómeno que debilita a las instituciones democráticas y a la gobernabilidad, sino que también, fomenta la impunidad, socava el Estado de derecho y exacerba la desigualdad, además de que afecta a los derechos humanos</w:t>
      </w:r>
      <w:r w:rsidRPr="000A4C44">
        <w:rPr>
          <w:rFonts w:ascii="Palatino Linotype" w:eastAsia="Palatino Linotype" w:hAnsi="Palatino Linotype" w:cs="Palatino Linotype"/>
          <w:sz w:val="22"/>
          <w:szCs w:val="22"/>
          <w:lang w:val="es-MX" w:eastAsia="es-MX"/>
        </w:rPr>
        <w:t xml:space="preserve">, por lo que, </w:t>
      </w:r>
      <w:r w:rsidRPr="000A4C44">
        <w:rPr>
          <w:rFonts w:ascii="Palatino Linotype" w:eastAsia="Palatino Linotype" w:hAnsi="Palatino Linotype" w:cs="Palatino Linotype"/>
          <w:b/>
          <w:sz w:val="22"/>
          <w:szCs w:val="22"/>
          <w:lang w:val="es-MX" w:eastAsia="es-MX"/>
        </w:rPr>
        <w:t xml:space="preserve">cobra una relevancia social la </w:t>
      </w:r>
      <w:r w:rsidRPr="000A4C44">
        <w:rPr>
          <w:rFonts w:ascii="Palatino Linotype" w:eastAsia="Palatino Linotype" w:hAnsi="Palatino Linotype" w:cs="Palatino Linotype"/>
          <w:b/>
          <w:sz w:val="22"/>
          <w:szCs w:val="22"/>
          <w:lang w:val="es-MX" w:eastAsia="es-MX"/>
        </w:rPr>
        <w:lastRenderedPageBreak/>
        <w:t>rendición de cuentas respecto a información o hechos que estén vinculados o relacionados con actos de corrupción.</w:t>
      </w:r>
    </w:p>
    <w:p w14:paraId="6546D246"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47"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u w:val="single"/>
          <w:lang w:val="es-MX" w:eastAsia="es-MX"/>
        </w:rPr>
      </w:pPr>
      <w:r w:rsidRPr="000A4C44">
        <w:rPr>
          <w:rFonts w:ascii="Palatino Linotype" w:eastAsia="Palatino Linotype" w:hAnsi="Palatino Linotype" w:cs="Palatino Linotype"/>
          <w:sz w:val="22"/>
          <w:szCs w:val="22"/>
          <w:lang w:val="es-MX" w:eastAsia="es-MX"/>
        </w:rPr>
        <w:t xml:space="preserve">Tomando en cuenta lo anterior, el artículo 108 de nuestra Constitución como el artículo 212 del Código Penal Federal reformado, es posible considerar como </w:t>
      </w:r>
      <w:r w:rsidRPr="000A4C44">
        <w:rPr>
          <w:rFonts w:ascii="Palatino Linotype" w:eastAsia="Palatino Linotype" w:hAnsi="Palatino Linotype" w:cs="Palatino Linotype"/>
          <w:b/>
          <w:i/>
          <w:sz w:val="22"/>
          <w:szCs w:val="22"/>
          <w:lang w:val="es-MX" w:eastAsia="es-MX"/>
        </w:rPr>
        <w:t>acto de corrupción</w:t>
      </w:r>
      <w:r w:rsidRPr="000A4C44">
        <w:rPr>
          <w:rFonts w:ascii="Palatino Linotype" w:eastAsia="Palatino Linotype" w:hAnsi="Palatino Linotype" w:cs="Palatino Linotype"/>
          <w:sz w:val="22"/>
          <w:szCs w:val="22"/>
          <w:lang w:val="es-MX" w:eastAsia="es-MX"/>
        </w:rPr>
        <w:t xml:space="preserve">, la </w:t>
      </w:r>
      <w:r w:rsidRPr="000A4C44">
        <w:rPr>
          <w:rFonts w:ascii="Palatino Linotype" w:eastAsia="Palatino Linotype" w:hAnsi="Palatino Linotype" w:cs="Palatino Linotype"/>
          <w:b/>
          <w:sz w:val="22"/>
          <w:szCs w:val="22"/>
          <w:lang w:val="es-MX" w:eastAsia="es-MX"/>
        </w:rPr>
        <w:t xml:space="preserve">acción u omisión que llevé a cabo una persona que desempeñe un empleo, cargo o comisión en las instituciones gubernamentales, así como por particulares con funciones públicas, en la cual, en pleno ejercicio de sus funciones, </w:t>
      </w:r>
      <w:r w:rsidRPr="000A4C44">
        <w:rPr>
          <w:rFonts w:ascii="Palatino Linotype" w:eastAsia="Palatino Linotype" w:hAnsi="Palatino Linotype" w:cs="Palatino Linotype"/>
          <w:b/>
          <w:sz w:val="22"/>
          <w:szCs w:val="22"/>
          <w:u w:val="single"/>
          <w:lang w:val="es-MX" w:eastAsia="es-MX"/>
        </w:rPr>
        <w:t>obtenga un beneficio o una ventaja de cualquier naturaleza para sí o un tercero</w:t>
      </w:r>
      <w:r w:rsidRPr="000A4C44">
        <w:rPr>
          <w:rFonts w:ascii="Palatino Linotype" w:eastAsia="Palatino Linotype" w:hAnsi="Palatino Linotype" w:cs="Palatino Linotype"/>
          <w:b/>
          <w:sz w:val="22"/>
          <w:szCs w:val="22"/>
          <w:lang w:val="es-MX" w:eastAsia="es-MX"/>
        </w:rPr>
        <w:t xml:space="preserve"> sobre algún hecho que no sea permisible en las normas vigentes, </w:t>
      </w:r>
      <w:r w:rsidRPr="000A4C44">
        <w:rPr>
          <w:rFonts w:ascii="Palatino Linotype" w:eastAsia="Palatino Linotype" w:hAnsi="Palatino Linotype" w:cs="Palatino Linotype"/>
          <w:b/>
          <w:sz w:val="22"/>
          <w:szCs w:val="22"/>
          <w:u w:val="single"/>
          <w:lang w:val="es-MX" w:eastAsia="es-MX"/>
        </w:rPr>
        <w:t>o bien, incurra en una conducta catalogada por la Ley como acto de corrupción.</w:t>
      </w:r>
    </w:p>
    <w:p w14:paraId="6546D248" w14:textId="77777777" w:rsidR="000A4C44" w:rsidRPr="000A4C44" w:rsidRDefault="000A4C44" w:rsidP="000A4C44">
      <w:pPr>
        <w:spacing w:after="160" w:line="360" w:lineRule="auto"/>
        <w:contextualSpacing/>
        <w:jc w:val="both"/>
        <w:rPr>
          <w:rFonts w:ascii="Palatino Linotype" w:eastAsia="Palatino Linotype" w:hAnsi="Palatino Linotype" w:cs="Palatino Linotype"/>
          <w:b/>
          <w:sz w:val="22"/>
          <w:szCs w:val="22"/>
          <w:u w:val="single"/>
          <w:lang w:val="es-MX" w:eastAsia="es-MX"/>
        </w:rPr>
      </w:pPr>
    </w:p>
    <w:p w14:paraId="6546D249"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Mientras que el Código Penal Federal establece en su Título Decimo “Delitos por hechos de corrupción” a los siguientes: </w:t>
      </w:r>
    </w:p>
    <w:p w14:paraId="6546D24A"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Ejercicio ilícito de servicio público (artículo 214)</w:t>
      </w:r>
    </w:p>
    <w:p w14:paraId="6546D24B"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Abuso de autoridad (artículo 215)</w:t>
      </w:r>
    </w:p>
    <w:p w14:paraId="6546D24C"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Coalición de servidores públicos (artículo 216)</w:t>
      </w:r>
    </w:p>
    <w:p w14:paraId="6546D24D"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Uso ilícito de atribuciones y facultades (artículo 217) </w:t>
      </w:r>
    </w:p>
    <w:p w14:paraId="6546D24E"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Del pago y recibo indebido de remuneraciones de los servidores públicos (artículo 217 Ter) </w:t>
      </w:r>
    </w:p>
    <w:p w14:paraId="6546D24F"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Concusión (artículo 218) </w:t>
      </w:r>
    </w:p>
    <w:p w14:paraId="6546D250"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Intimidación (artículo 219) </w:t>
      </w:r>
    </w:p>
    <w:p w14:paraId="6546D251"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Ejercicio abusivo de funciones (artículo 220) </w:t>
      </w:r>
    </w:p>
    <w:p w14:paraId="6546D252"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Tráfico de Influencia (artículo 221)</w:t>
      </w:r>
    </w:p>
    <w:p w14:paraId="6546D253"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Cohecho (artículo 222)</w:t>
      </w:r>
    </w:p>
    <w:p w14:paraId="6546D254"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Cohecho a servidores públicos extranjeros (artículo 222 bis) </w:t>
      </w:r>
    </w:p>
    <w:p w14:paraId="6546D255"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lastRenderedPageBreak/>
        <w:t xml:space="preserve">Peculado (artículo 223) </w:t>
      </w:r>
    </w:p>
    <w:p w14:paraId="6546D256" w14:textId="77777777" w:rsidR="000A4C44" w:rsidRPr="000A4C44" w:rsidRDefault="000A4C44" w:rsidP="000A4C44">
      <w:pPr>
        <w:numPr>
          <w:ilvl w:val="0"/>
          <w:numId w:val="18"/>
        </w:numPr>
        <w:pBdr>
          <w:top w:val="nil"/>
          <w:left w:val="nil"/>
          <w:bottom w:val="nil"/>
          <w:right w:val="nil"/>
          <w:between w:val="nil"/>
        </w:pBdr>
        <w:spacing w:after="160" w:line="360" w:lineRule="auto"/>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Enriquecimiento Ilícito (artículo 224)</w:t>
      </w:r>
    </w:p>
    <w:p w14:paraId="6546D257" w14:textId="77777777" w:rsidR="000A4C44" w:rsidRPr="000A4C44" w:rsidRDefault="000A4C44" w:rsidP="000A4C44">
      <w:pPr>
        <w:pBdr>
          <w:top w:val="nil"/>
          <w:left w:val="nil"/>
          <w:bottom w:val="nil"/>
          <w:right w:val="nil"/>
          <w:between w:val="nil"/>
        </w:pBdr>
        <w:spacing w:after="160" w:line="360" w:lineRule="auto"/>
        <w:ind w:left="720"/>
        <w:contextualSpacing/>
        <w:jc w:val="both"/>
        <w:rPr>
          <w:rFonts w:ascii="Palatino Linotype" w:eastAsia="Palatino Linotype" w:hAnsi="Palatino Linotype" w:cs="Palatino Linotype"/>
          <w:b/>
          <w:sz w:val="22"/>
          <w:szCs w:val="22"/>
          <w:lang w:val="es-MX" w:eastAsia="es-MX"/>
        </w:rPr>
      </w:pPr>
    </w:p>
    <w:p w14:paraId="6546D258"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Siendo dicha información de gran trascendencia, ya que al estar involucrados servidores públicos existe una afectación directa al interés público en torno a las atribuciones de los entes públicos, como lo es, de manera enunciativa, más no limitativa, la administración de su patrimonio, la erogación de recursos públicos o la recaudación de contribuciones, derechos, impuestos, etcétera, lo cual afecta no sólo al ente público sino a toda la sociedad en general.</w:t>
      </w:r>
    </w:p>
    <w:p w14:paraId="6546D259"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5A"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En función de lo expuesto, y considerando las conductas que pudieran ser investigadas, es que el derecho de acceso a la información cobra una relevancia trascendental para la sociedad en general, ya que a través del ejercicio de éste se puede conocer información relacionada con hechos de corrupción, que además por la importancia que ésta tiene para el erario municipal, resulta de mayor interés el impacto que dichas conductas pudieron tener en su detrimento, encuadrando en los artículos 3, fracción XXII y 9, fracción VII, de la Ley de Transparencia y Acceso a la Información Pública del Estado de México, este Instituto establece como:</w:t>
      </w:r>
    </w:p>
    <w:p w14:paraId="6546D25B"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5C" w14:textId="77777777" w:rsidR="000A4C44" w:rsidRPr="000A4C44" w:rsidRDefault="000A4C44" w:rsidP="000A4C44">
      <w:pPr>
        <w:pBdr>
          <w:top w:val="nil"/>
          <w:left w:val="nil"/>
          <w:bottom w:val="nil"/>
          <w:right w:val="nil"/>
          <w:between w:val="nil"/>
        </w:pBdr>
        <w:spacing w:after="12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t>“Artículo 3.</w:t>
      </w:r>
      <w:r w:rsidRPr="000A4C44">
        <w:rPr>
          <w:rFonts w:ascii="Palatino Linotype" w:eastAsia="Palatino Linotype" w:hAnsi="Palatino Linotype" w:cs="Palatino Linotype"/>
          <w:i/>
          <w:sz w:val="22"/>
          <w:szCs w:val="22"/>
          <w:lang w:val="es-MX" w:eastAsia="es-MX"/>
        </w:rPr>
        <w:t xml:space="preserve"> Para los efectos de la presente Ley se entenderá por:</w:t>
      </w:r>
    </w:p>
    <w:p w14:paraId="6546D25D" w14:textId="77777777" w:rsidR="000A4C44" w:rsidRPr="000A4C44" w:rsidRDefault="000A4C44" w:rsidP="000A4C44">
      <w:pPr>
        <w:pBdr>
          <w:top w:val="nil"/>
          <w:left w:val="nil"/>
          <w:bottom w:val="nil"/>
          <w:right w:val="nil"/>
          <w:between w:val="nil"/>
        </w:pBdr>
        <w:spacing w:before="120" w:after="12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p>
    <w:p w14:paraId="6546D25E" w14:textId="77777777" w:rsidR="000A4C44" w:rsidRPr="000A4C44" w:rsidRDefault="000A4C44" w:rsidP="000A4C44">
      <w:pPr>
        <w:pBdr>
          <w:top w:val="nil"/>
          <w:left w:val="nil"/>
          <w:bottom w:val="nil"/>
          <w:right w:val="nil"/>
          <w:between w:val="nil"/>
        </w:pBdr>
        <w:spacing w:before="120" w:after="120" w:line="276" w:lineRule="auto"/>
        <w:ind w:left="1134" w:right="902"/>
        <w:contextualSpacing/>
        <w:jc w:val="both"/>
        <w:rPr>
          <w:rFonts w:ascii="Palatino Linotype" w:eastAsia="Palatino Linotype" w:hAnsi="Palatino Linotype" w:cs="Palatino Linotype"/>
          <w:b/>
          <w:i/>
          <w:sz w:val="22"/>
          <w:szCs w:val="22"/>
          <w:lang w:val="es-MX" w:eastAsia="es-MX"/>
        </w:rPr>
      </w:pPr>
      <w:r w:rsidRPr="000A4C44">
        <w:rPr>
          <w:rFonts w:ascii="Palatino Linotype" w:eastAsia="Palatino Linotype" w:hAnsi="Palatino Linotype" w:cs="Palatino Linotype"/>
          <w:b/>
          <w:i/>
          <w:sz w:val="22"/>
          <w:szCs w:val="22"/>
          <w:lang w:val="es-MX" w:eastAsia="es-MX"/>
        </w:rPr>
        <w:t>XXII. Información de interés público:</w:t>
      </w:r>
      <w:r w:rsidRPr="000A4C44">
        <w:rPr>
          <w:rFonts w:ascii="Palatino Linotype" w:eastAsia="Palatino Linotype" w:hAnsi="Palatino Linotype" w:cs="Palatino Linotype"/>
          <w:i/>
          <w:sz w:val="22"/>
          <w:szCs w:val="22"/>
          <w:lang w:val="es-MX" w:eastAsia="es-MX"/>
        </w:rPr>
        <w:t xml:space="preserve"> Se refiere a la información que resulta relevante o beneficiosa para la sociedad y no simplemente de interés individual, cuya divulgación resulta útil para que el público comprenda las actividades que llevan a cabo los sujetos obligados</w:t>
      </w:r>
    </w:p>
    <w:p w14:paraId="6546D25F" w14:textId="77777777" w:rsidR="000A4C44" w:rsidRPr="000A4C44" w:rsidRDefault="000A4C44" w:rsidP="000A4C44">
      <w:pPr>
        <w:pBdr>
          <w:top w:val="nil"/>
          <w:left w:val="nil"/>
          <w:bottom w:val="nil"/>
          <w:right w:val="nil"/>
          <w:between w:val="nil"/>
        </w:pBdr>
        <w:spacing w:before="120" w:after="120" w:line="276" w:lineRule="auto"/>
        <w:ind w:left="1134" w:right="902"/>
        <w:contextualSpacing/>
        <w:jc w:val="both"/>
        <w:rPr>
          <w:rFonts w:ascii="Palatino Linotype" w:eastAsia="Palatino Linotype" w:hAnsi="Palatino Linotype" w:cs="Palatino Linotype"/>
          <w:b/>
          <w:i/>
          <w:sz w:val="22"/>
          <w:szCs w:val="22"/>
          <w:lang w:val="es-MX" w:eastAsia="es-MX"/>
        </w:rPr>
      </w:pPr>
      <w:r w:rsidRPr="000A4C44">
        <w:rPr>
          <w:rFonts w:ascii="Palatino Linotype" w:eastAsia="Palatino Linotype" w:hAnsi="Palatino Linotype" w:cs="Palatino Linotype"/>
          <w:i/>
          <w:sz w:val="22"/>
          <w:szCs w:val="22"/>
          <w:lang w:val="es-MX" w:eastAsia="es-MX"/>
        </w:rPr>
        <w:t>…</w:t>
      </w:r>
    </w:p>
    <w:p w14:paraId="6546D260" w14:textId="77777777" w:rsidR="000A4C44" w:rsidRPr="000A4C44" w:rsidRDefault="000A4C44" w:rsidP="000A4C44">
      <w:pPr>
        <w:pBdr>
          <w:top w:val="nil"/>
          <w:left w:val="nil"/>
          <w:bottom w:val="nil"/>
          <w:right w:val="nil"/>
          <w:between w:val="nil"/>
        </w:pBdr>
        <w:spacing w:before="120" w:after="120" w:line="276" w:lineRule="auto"/>
        <w:ind w:left="1134" w:right="902"/>
        <w:contextualSpacing/>
        <w:jc w:val="both"/>
        <w:rPr>
          <w:rFonts w:ascii="Palatino Linotype" w:eastAsia="Palatino Linotype" w:hAnsi="Palatino Linotype" w:cs="Palatino Linotype"/>
          <w:b/>
          <w:i/>
          <w:sz w:val="22"/>
          <w:szCs w:val="22"/>
          <w:lang w:val="es-MX" w:eastAsia="es-MX"/>
        </w:rPr>
      </w:pPr>
      <w:r w:rsidRPr="000A4C44">
        <w:rPr>
          <w:rFonts w:ascii="Palatino Linotype" w:eastAsia="Palatino Linotype" w:hAnsi="Palatino Linotype" w:cs="Palatino Linotype"/>
          <w:b/>
          <w:i/>
          <w:sz w:val="22"/>
          <w:szCs w:val="22"/>
          <w:lang w:val="es-MX" w:eastAsia="es-MX"/>
        </w:rPr>
        <w:t>Artículo 9.</w:t>
      </w:r>
      <w:r w:rsidRPr="000A4C44">
        <w:rPr>
          <w:rFonts w:ascii="Palatino Linotype" w:eastAsia="Palatino Linotype" w:hAnsi="Palatino Linotype" w:cs="Palatino Linotype"/>
          <w:i/>
          <w:sz w:val="22"/>
          <w:szCs w:val="22"/>
          <w:lang w:val="es-MX" w:eastAsia="es-MX"/>
        </w:rPr>
        <w:t xml:space="preserve"> El Instituto deberá regir su funcionamiento de acuerdo a los siguientes principios:</w:t>
      </w:r>
    </w:p>
    <w:p w14:paraId="6546D261" w14:textId="77777777" w:rsidR="000A4C44" w:rsidRPr="000A4C44" w:rsidRDefault="000A4C44" w:rsidP="000A4C44">
      <w:pPr>
        <w:pBdr>
          <w:top w:val="nil"/>
          <w:left w:val="nil"/>
          <w:bottom w:val="nil"/>
          <w:right w:val="nil"/>
          <w:between w:val="nil"/>
        </w:pBdr>
        <w:spacing w:before="120" w:after="12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lastRenderedPageBreak/>
        <w:t>…</w:t>
      </w:r>
    </w:p>
    <w:p w14:paraId="6546D262" w14:textId="77777777" w:rsidR="000A4C44" w:rsidRPr="000A4C44" w:rsidRDefault="000A4C44" w:rsidP="000A4C44">
      <w:pPr>
        <w:pBdr>
          <w:top w:val="nil"/>
          <w:left w:val="nil"/>
          <w:bottom w:val="nil"/>
          <w:right w:val="nil"/>
          <w:between w:val="nil"/>
        </w:pBdr>
        <w:spacing w:before="120" w:after="12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t>VII. Máxima Publicidad:</w:t>
      </w:r>
      <w:r w:rsidRPr="000A4C44">
        <w:rPr>
          <w:rFonts w:ascii="Palatino Linotype" w:eastAsia="Palatino Linotype" w:hAnsi="Palatino Linotype" w:cs="Palatino Linotype"/>
          <w:i/>
          <w:sz w:val="22"/>
          <w:szCs w:val="22"/>
          <w:lang w:val="es-MX" w:eastAsia="es-MX"/>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14:paraId="6546D263" w14:textId="77777777" w:rsidR="000A4C44" w:rsidRPr="000A4C44" w:rsidRDefault="000A4C44" w:rsidP="000A4C44">
      <w:pPr>
        <w:pBdr>
          <w:top w:val="nil"/>
          <w:left w:val="nil"/>
          <w:bottom w:val="nil"/>
          <w:right w:val="nil"/>
          <w:between w:val="nil"/>
        </w:pBdr>
        <w:spacing w:before="120" w:after="120" w:line="360" w:lineRule="auto"/>
        <w:ind w:left="1134" w:right="902"/>
        <w:contextualSpacing/>
        <w:jc w:val="both"/>
        <w:rPr>
          <w:rFonts w:ascii="Palatino Linotype" w:eastAsia="Palatino Linotype" w:hAnsi="Palatino Linotype" w:cs="Palatino Linotype"/>
          <w:sz w:val="22"/>
          <w:szCs w:val="22"/>
          <w:lang w:val="es-MX" w:eastAsia="es-MX"/>
        </w:rPr>
      </w:pPr>
    </w:p>
    <w:p w14:paraId="6546D264"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De lo anterior, se colige que, el interés público está relacionado con el principio de máxima publicidad y las excepciones a la clasificación de la información; pues existe un interés general de la sociedad de conocer sobre los posibles actos de corrupción al no ser afectaciones que se dan en lo individual, sino que existe un detrimento en un grupo o en la población en general.</w:t>
      </w:r>
    </w:p>
    <w:p w14:paraId="6546D265"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66"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u w:val="single"/>
          <w:lang w:val="es-MX" w:eastAsia="es-MX"/>
        </w:rPr>
      </w:pPr>
      <w:r w:rsidRPr="000A4C44">
        <w:rPr>
          <w:rFonts w:ascii="Palatino Linotype" w:eastAsia="Palatino Linotype" w:hAnsi="Palatino Linotype" w:cs="Palatino Linotype"/>
          <w:sz w:val="22"/>
          <w:szCs w:val="22"/>
          <w:lang w:val="es-MX" w:eastAsia="es-MX"/>
        </w:rPr>
        <w:t xml:space="preserve">Por tal motivo, se considera para el caso de que existiera algún expediente relacionado con faltas administrativas en trámite, y que estén relacionados con alguna excepción de las establecidas en el artículo 142 de la Ley de Transparencia y Acceso a la Información Pública del Estado de México y Municipios, tales como actos de corrupción, se </w:t>
      </w:r>
      <w:r w:rsidRPr="000A4C44">
        <w:rPr>
          <w:rFonts w:ascii="Palatino Linotype" w:eastAsia="Palatino Linotype" w:hAnsi="Palatino Linotype" w:cs="Palatino Linotype"/>
          <w:b/>
          <w:sz w:val="22"/>
          <w:szCs w:val="22"/>
          <w:u w:val="single"/>
          <w:lang w:val="es-MX" w:eastAsia="es-MX"/>
        </w:rPr>
        <w:t>deberá entregar el soporte documental correspondiente que dé cuenta del nombre y cargo de los servidores públicos cuyos procedimientos se encuentren concluidos y que hayan causado estado, por faltas administrativas graves condenatorias, así como de aquellos que se encuentren en trámite relacionados con actos de corrupción, de conformidad con el artículo 142 de la Ley de Transparencia Local, del primero de enero al veintinueve de mayo de dos mil veintitrés, en versión pública, conforme al considerando quinto del presente fallo.</w:t>
      </w:r>
    </w:p>
    <w:p w14:paraId="6546D267" w14:textId="77777777" w:rsidR="000A4C44" w:rsidRPr="000A4C44" w:rsidRDefault="000A4C44" w:rsidP="000A4C44">
      <w:pPr>
        <w:spacing w:after="160" w:line="360" w:lineRule="auto"/>
        <w:contextualSpacing/>
        <w:jc w:val="both"/>
        <w:rPr>
          <w:rFonts w:ascii="Palatino Linotype" w:eastAsia="Palatino Linotype" w:hAnsi="Palatino Linotype" w:cs="Palatino Linotype"/>
          <w:sz w:val="22"/>
          <w:szCs w:val="22"/>
          <w:lang w:val="es-MX" w:eastAsia="es-MX"/>
        </w:rPr>
      </w:pPr>
    </w:p>
    <w:p w14:paraId="6546D268"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u w:val="single"/>
          <w:lang w:val="es-MX" w:eastAsia="es-MX"/>
        </w:rPr>
      </w:pPr>
      <w:r w:rsidRPr="000A4C44">
        <w:rPr>
          <w:rFonts w:ascii="Palatino Linotype" w:hAnsi="Palatino Linotype"/>
          <w:sz w:val="22"/>
          <w:szCs w:val="22"/>
        </w:rPr>
        <w:t>Siendo</w:t>
      </w:r>
      <w:r w:rsidRPr="000A4C44">
        <w:rPr>
          <w:rFonts w:ascii="Palatino Linotype" w:eastAsia="Palatino Linotype" w:hAnsi="Palatino Linotype" w:cs="Palatino Linotype"/>
          <w:sz w:val="22"/>
          <w:szCs w:val="22"/>
          <w:lang w:val="es-MX" w:eastAsia="es-MX"/>
        </w:rPr>
        <w:t xml:space="preserve"> importante mencionar que si bien entregar el nombre y cargo respecto a la existencia de un procedimiento de sanción administrativa, podría generar una percepción negativa de éste, ocasionando un perjuicio en su </w:t>
      </w:r>
      <w:r w:rsidRPr="000A4C44">
        <w:rPr>
          <w:rFonts w:ascii="Palatino Linotype" w:eastAsia="Palatino Linotype" w:hAnsi="Palatino Linotype" w:cs="Palatino Linotype"/>
          <w:b/>
          <w:sz w:val="22"/>
          <w:szCs w:val="22"/>
          <w:lang w:val="es-MX" w:eastAsia="es-MX"/>
        </w:rPr>
        <w:t xml:space="preserve">honor, intimidad, buena imagen y nombre, así como a su vida privada, </w:t>
      </w:r>
      <w:r w:rsidRPr="000A4C44">
        <w:rPr>
          <w:rFonts w:ascii="Palatino Linotype" w:eastAsia="Palatino Linotype" w:hAnsi="Palatino Linotype" w:cs="Palatino Linotype"/>
          <w:sz w:val="22"/>
          <w:szCs w:val="22"/>
          <w:lang w:val="es-MX" w:eastAsia="es-MX"/>
        </w:rPr>
        <w:t xml:space="preserve">también lo es, que </w:t>
      </w:r>
      <w:r w:rsidRPr="000A4C44">
        <w:rPr>
          <w:rFonts w:ascii="Palatino Linotype" w:eastAsia="Palatino Linotype" w:hAnsi="Palatino Linotype" w:cs="Palatino Linotype"/>
          <w:b/>
          <w:sz w:val="22"/>
          <w:szCs w:val="22"/>
          <w:u w:val="single"/>
          <w:lang w:val="es-MX" w:eastAsia="es-MX"/>
        </w:rPr>
        <w:t xml:space="preserve">tratándose de asuntos relacionados </w:t>
      </w:r>
      <w:r w:rsidRPr="000A4C44">
        <w:rPr>
          <w:rFonts w:ascii="Palatino Linotype" w:eastAsia="Palatino Linotype" w:hAnsi="Palatino Linotype" w:cs="Palatino Linotype"/>
          <w:b/>
          <w:sz w:val="22"/>
          <w:szCs w:val="22"/>
          <w:u w:val="single"/>
          <w:lang w:val="es-MX" w:eastAsia="es-MX"/>
        </w:rPr>
        <w:lastRenderedPageBreak/>
        <w:t>con actos de corrupción, se trataría de una falta grave</w:t>
      </w:r>
      <w:r w:rsidRPr="000A4C44">
        <w:rPr>
          <w:rFonts w:ascii="Palatino Linotype" w:eastAsia="Palatino Linotype" w:hAnsi="Palatino Linotype" w:cs="Palatino Linotype"/>
          <w:b/>
          <w:sz w:val="22"/>
          <w:szCs w:val="22"/>
          <w:lang w:val="es-MX" w:eastAsia="es-MX"/>
        </w:rPr>
        <w:t xml:space="preserve">, </w:t>
      </w:r>
      <w:r w:rsidRPr="000A4C44">
        <w:rPr>
          <w:rFonts w:ascii="Palatino Linotype" w:eastAsia="Palatino Linotype" w:hAnsi="Palatino Linotype" w:cs="Palatino Linotype"/>
          <w:b/>
          <w:sz w:val="22"/>
          <w:szCs w:val="22"/>
          <w:u w:val="single"/>
          <w:lang w:val="es-MX" w:eastAsia="es-MX"/>
        </w:rPr>
        <w:t>por lo que tales prerrogativas quedan supeditadas al interés mayor de conocer tales eventualidades y por lo tanto no procede su clasificación en términos del artículo 143, fracción I de la Ley de la materia.</w:t>
      </w:r>
    </w:p>
    <w:p w14:paraId="6546D269" w14:textId="77777777" w:rsidR="000A4C44" w:rsidRPr="000A4C44" w:rsidRDefault="000A4C44" w:rsidP="000A4C44">
      <w:pPr>
        <w:spacing w:after="160" w:line="360" w:lineRule="auto"/>
        <w:contextualSpacing/>
        <w:jc w:val="both"/>
        <w:rPr>
          <w:rFonts w:ascii="Palatino Linotype" w:eastAsia="Palatino Linotype" w:hAnsi="Palatino Linotype" w:cs="Palatino Linotype"/>
          <w:b/>
          <w:sz w:val="22"/>
          <w:szCs w:val="22"/>
          <w:u w:val="single"/>
          <w:lang w:val="es-MX" w:eastAsia="es-MX"/>
        </w:rPr>
      </w:pPr>
    </w:p>
    <w:p w14:paraId="6546D26A"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Aunado a lo anterior, cierto es que toda persona tiene derecho a la presunción de inocencia hasta en tanto se demuestre lo contrario, sin embargo, en el caso de actos de corrupción nos encontramos ante un caso de trascendencia social e interés público, sobreviniendo una colisión entre derechos fundamentales, esto es, por una parte, se busca mantener la secrecía de los nombres de los servidores públicos denunciados, es decir, el nombre de las personas que enfrentan acusaciones sobre esos actos y; por otro, se pretende dar acceso a información que es de interés de los ciudadanos porque versa sobre una afectación económica al erario público.</w:t>
      </w:r>
    </w:p>
    <w:p w14:paraId="6546D26B" w14:textId="77777777" w:rsidR="000A4C44" w:rsidRPr="000A4C44" w:rsidRDefault="000A4C44" w:rsidP="000A4C44">
      <w:pPr>
        <w:spacing w:before="240" w:after="240" w:line="360" w:lineRule="auto"/>
        <w:contextualSpacing/>
        <w:jc w:val="both"/>
        <w:rPr>
          <w:rFonts w:ascii="Palatino Linotype" w:eastAsia="Palatino Linotype" w:hAnsi="Palatino Linotype" w:cs="Palatino Linotype"/>
          <w:sz w:val="22"/>
          <w:szCs w:val="22"/>
          <w:lang w:val="es-MX" w:eastAsia="es-MX"/>
        </w:rPr>
      </w:pPr>
    </w:p>
    <w:p w14:paraId="6546D26C"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sz w:val="22"/>
          <w:szCs w:val="22"/>
          <w:lang w:val="es-MX" w:eastAsia="es-MX"/>
        </w:rPr>
        <w:t xml:space="preserve">En tal contexto, si los hechos investigados son en razón de conductas presuntamente ilegales, el ejercicio ilícito de servicio público, el uso ilícito de funciones, el cohecho, peculado y enriquecimiento ilícito, de personas que en el ejercicio de sus funciones públicas, causaron un detrimento y se presume obtuvieron un beneficio personal, luego entonces </w:t>
      </w:r>
      <w:r w:rsidRPr="000A4C44">
        <w:rPr>
          <w:rFonts w:ascii="Palatino Linotype" w:eastAsia="Palatino Linotype" w:hAnsi="Palatino Linotype" w:cs="Palatino Linotype"/>
          <w:b/>
          <w:sz w:val="22"/>
          <w:szCs w:val="22"/>
          <w:lang w:val="es-MX" w:eastAsia="es-MX"/>
        </w:rPr>
        <w:t>existe una preferencia social mayor que trasciende para dar a conocer, precisamente los nombres de los servidores o ex servidores que enfrentan acusaciones sobre este caso, debiendo por tanto darse a conocer dicho dato, en caso de actualizarse la excepción a la excepción, prevista en el artículo 142 dela Ley de la materia, por lo que en el presente caso no se vulneran los derechos de la persona, aun cuando es plenamente identificada.</w:t>
      </w:r>
    </w:p>
    <w:p w14:paraId="6546D26D" w14:textId="77777777" w:rsidR="000A4C44" w:rsidRPr="000A4C44" w:rsidRDefault="000A4C44" w:rsidP="000A4C44">
      <w:pPr>
        <w:spacing w:before="240" w:after="240" w:line="360" w:lineRule="auto"/>
        <w:contextualSpacing/>
        <w:jc w:val="both"/>
        <w:rPr>
          <w:rFonts w:ascii="Palatino Linotype" w:eastAsia="Palatino Linotype" w:hAnsi="Palatino Linotype" w:cs="Palatino Linotype"/>
          <w:b/>
          <w:sz w:val="22"/>
          <w:szCs w:val="22"/>
          <w:lang w:val="es-MX" w:eastAsia="es-MX"/>
        </w:rPr>
      </w:pPr>
    </w:p>
    <w:p w14:paraId="6546D26E"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A efecto de sustentar lo anterior, es aplicable por analogía la determinación del Instituto Nacional de Transparencia, Acceso a la Información y Protección de Datos </w:t>
      </w:r>
      <w:r w:rsidRPr="000A4C44">
        <w:rPr>
          <w:rFonts w:ascii="Palatino Linotype" w:eastAsia="Palatino Linotype" w:hAnsi="Palatino Linotype" w:cs="Palatino Linotype"/>
          <w:sz w:val="22"/>
          <w:szCs w:val="22"/>
          <w:lang w:val="es-MX" w:eastAsia="es-MX"/>
        </w:rPr>
        <w:lastRenderedPageBreak/>
        <w:t>Personales, INAI, en la Resolución del Recurso de Revisión de Acceso con número de folio RRA 12225/22, que en su parte conducente, señala lo siguiente:</w:t>
      </w:r>
    </w:p>
    <w:p w14:paraId="6546D26F" w14:textId="77777777" w:rsidR="000A4C44" w:rsidRPr="000A4C44" w:rsidRDefault="000A4C44" w:rsidP="000A4C44">
      <w:pPr>
        <w:spacing w:before="240" w:after="240" w:line="360" w:lineRule="auto"/>
        <w:contextualSpacing/>
        <w:jc w:val="both"/>
        <w:rPr>
          <w:rFonts w:ascii="Palatino Linotype" w:eastAsia="Palatino Linotype" w:hAnsi="Palatino Linotype" w:cs="Palatino Linotype"/>
          <w:sz w:val="22"/>
          <w:szCs w:val="22"/>
          <w:lang w:val="es-MX" w:eastAsia="es-MX"/>
        </w:rPr>
      </w:pPr>
    </w:p>
    <w:p w14:paraId="6546D270" w14:textId="77777777" w:rsidR="000A4C44" w:rsidRPr="000A4C44" w:rsidRDefault="000A4C44" w:rsidP="000A4C44">
      <w:pPr>
        <w:spacing w:before="120" w:after="120" w:line="276" w:lineRule="auto"/>
        <w:ind w:left="426" w:right="474"/>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r w:rsidRPr="000A4C44">
        <w:rPr>
          <w:rFonts w:ascii="Palatino Linotype" w:eastAsia="Palatino Linotype" w:hAnsi="Palatino Linotype" w:cs="Palatino Linotype"/>
          <w:b/>
          <w:i/>
          <w:sz w:val="22"/>
          <w:szCs w:val="22"/>
          <w:lang w:val="es-MX" w:eastAsia="es-MX"/>
        </w:rPr>
        <w:t>ANÁLISIS DE INTERÉS PÚBLICO</w:t>
      </w:r>
    </w:p>
    <w:p w14:paraId="6546D271" w14:textId="77777777" w:rsidR="000A4C44" w:rsidRPr="000A4C44" w:rsidRDefault="000A4C44" w:rsidP="000A4C44">
      <w:pPr>
        <w:spacing w:before="120" w:after="120" w:line="276" w:lineRule="auto"/>
        <w:ind w:left="426" w:right="474"/>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w:t>
      </w:r>
    </w:p>
    <w:p w14:paraId="6546D272" w14:textId="77777777" w:rsidR="000A4C44" w:rsidRPr="000A4C44" w:rsidRDefault="000A4C44" w:rsidP="000A4C44">
      <w:pPr>
        <w:spacing w:before="120" w:after="120" w:line="276" w:lineRule="auto"/>
        <w:ind w:left="426" w:right="474"/>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Señalado lo anterior, resulta necesario realizar una ponderación de los dos intereses jurídicos tutelados que convergen en la controversia que se dirime, para lo cual, resulta pertinente traer al estudio lo señalado en el artículo 155 de la Ley Federal de Transparencia y Acceso a la Información Pública, el cual prevé que cuando exista una colisión de derechos, este Instituto, al resolver el recurso de revisión, deberá aplicar una prueba de interés público con base en elementos de idoneidad, necesidad y proporcionalidad. Para estos efectos, se entenderá por: </w:t>
      </w:r>
    </w:p>
    <w:p w14:paraId="6546D273" w14:textId="77777777" w:rsidR="000A4C44" w:rsidRPr="000A4C44" w:rsidRDefault="000A4C44" w:rsidP="000A4C44">
      <w:pPr>
        <w:spacing w:before="120" w:after="120" w:line="276" w:lineRule="auto"/>
        <w:ind w:left="851" w:right="474"/>
        <w:contextualSpacing/>
        <w:jc w:val="both"/>
        <w:rPr>
          <w:rFonts w:ascii="Palatino Linotype" w:eastAsia="Palatino Linotype" w:hAnsi="Palatino Linotype" w:cs="Palatino Linotype"/>
          <w:i/>
          <w:sz w:val="22"/>
          <w:szCs w:val="22"/>
          <w:lang w:val="es-MX" w:eastAsia="es-MX"/>
        </w:rPr>
      </w:pPr>
      <w:r w:rsidRPr="000A4C44">
        <w:rPr>
          <w:rFonts w:ascii="Palatino Linotype" w:eastAsia="Symbol" w:hAnsi="Palatino Linotype" w:cs="Symbol"/>
          <w:i/>
          <w:sz w:val="22"/>
          <w:szCs w:val="22"/>
          <w:lang w:val="es-MX" w:eastAsia="es-MX"/>
        </w:rPr>
        <w:t>∙</w:t>
      </w:r>
      <w:r w:rsidRPr="000A4C44">
        <w:rPr>
          <w:rFonts w:ascii="Palatino Linotype" w:eastAsia="Palatino Linotype" w:hAnsi="Palatino Linotype" w:cs="Palatino Linotype"/>
          <w:i/>
          <w:sz w:val="22"/>
          <w:szCs w:val="22"/>
          <w:lang w:val="es-MX" w:eastAsia="es-MX"/>
        </w:rPr>
        <w:t xml:space="preserve"> </w:t>
      </w:r>
      <w:r w:rsidRPr="000A4C44">
        <w:rPr>
          <w:rFonts w:ascii="Palatino Linotype" w:eastAsia="Palatino Linotype" w:hAnsi="Palatino Linotype" w:cs="Palatino Linotype"/>
          <w:b/>
          <w:i/>
          <w:sz w:val="22"/>
          <w:szCs w:val="22"/>
          <w:lang w:val="es-MX" w:eastAsia="es-MX"/>
        </w:rPr>
        <w:t>Idoneidad:</w:t>
      </w:r>
      <w:r w:rsidRPr="000A4C44">
        <w:rPr>
          <w:rFonts w:ascii="Palatino Linotype" w:eastAsia="Palatino Linotype" w:hAnsi="Palatino Linotype" w:cs="Palatino Linotype"/>
          <w:i/>
          <w:sz w:val="22"/>
          <w:szCs w:val="22"/>
          <w:lang w:val="es-MX" w:eastAsia="es-MX"/>
        </w:rPr>
        <w:t xml:space="preserve"> La legitimidad del derecho adoptado como preferente, que sea el adecuado para el logro de un fin constitucionalmente válido o apto para conseguir el fin pretendido; </w:t>
      </w:r>
    </w:p>
    <w:p w14:paraId="6546D274" w14:textId="77777777" w:rsidR="000A4C44" w:rsidRPr="000A4C44" w:rsidRDefault="000A4C44" w:rsidP="000A4C44">
      <w:pPr>
        <w:spacing w:before="120" w:after="120" w:line="276" w:lineRule="auto"/>
        <w:ind w:left="851" w:right="474"/>
        <w:contextualSpacing/>
        <w:jc w:val="both"/>
        <w:rPr>
          <w:rFonts w:ascii="Palatino Linotype" w:eastAsia="Palatino Linotype" w:hAnsi="Palatino Linotype" w:cs="Palatino Linotype"/>
          <w:i/>
          <w:sz w:val="22"/>
          <w:szCs w:val="22"/>
          <w:lang w:val="es-MX" w:eastAsia="es-MX"/>
        </w:rPr>
      </w:pPr>
      <w:r w:rsidRPr="000A4C44">
        <w:rPr>
          <w:rFonts w:ascii="Palatino Linotype" w:eastAsia="Symbol" w:hAnsi="Palatino Linotype" w:cs="Symbol"/>
          <w:i/>
          <w:sz w:val="22"/>
          <w:szCs w:val="22"/>
          <w:lang w:val="es-MX" w:eastAsia="es-MX"/>
        </w:rPr>
        <w:t>∙</w:t>
      </w:r>
      <w:r w:rsidRPr="000A4C44">
        <w:rPr>
          <w:rFonts w:ascii="Palatino Linotype" w:eastAsia="Palatino Linotype" w:hAnsi="Palatino Linotype" w:cs="Palatino Linotype"/>
          <w:i/>
          <w:sz w:val="22"/>
          <w:szCs w:val="22"/>
          <w:lang w:val="es-MX" w:eastAsia="es-MX"/>
        </w:rPr>
        <w:t xml:space="preserve"> </w:t>
      </w:r>
      <w:r w:rsidRPr="000A4C44">
        <w:rPr>
          <w:rFonts w:ascii="Palatino Linotype" w:eastAsia="Palatino Linotype" w:hAnsi="Palatino Linotype" w:cs="Palatino Linotype"/>
          <w:b/>
          <w:i/>
          <w:sz w:val="22"/>
          <w:szCs w:val="22"/>
          <w:lang w:val="es-MX" w:eastAsia="es-MX"/>
        </w:rPr>
        <w:t>Necesidad:</w:t>
      </w:r>
      <w:r w:rsidRPr="000A4C44">
        <w:rPr>
          <w:rFonts w:ascii="Palatino Linotype" w:eastAsia="Palatino Linotype" w:hAnsi="Palatino Linotype" w:cs="Palatino Linotype"/>
          <w:i/>
          <w:sz w:val="22"/>
          <w:szCs w:val="22"/>
          <w:lang w:val="es-MX" w:eastAsia="es-MX"/>
        </w:rPr>
        <w:t xml:space="preserve"> La falta de un medio alternativo menos lesivo a la apertura de la información, para satisfacer el interés público, y </w:t>
      </w:r>
    </w:p>
    <w:p w14:paraId="6546D275" w14:textId="77777777" w:rsidR="000A4C44" w:rsidRPr="000A4C44" w:rsidRDefault="000A4C44" w:rsidP="000A4C44">
      <w:pPr>
        <w:spacing w:before="120" w:after="120" w:line="276" w:lineRule="auto"/>
        <w:ind w:left="851" w:right="474"/>
        <w:contextualSpacing/>
        <w:jc w:val="both"/>
        <w:rPr>
          <w:rFonts w:ascii="Palatino Linotype" w:eastAsia="Palatino Linotype" w:hAnsi="Palatino Linotype" w:cs="Palatino Linotype"/>
          <w:i/>
          <w:sz w:val="22"/>
          <w:szCs w:val="22"/>
          <w:lang w:val="es-MX" w:eastAsia="es-MX"/>
        </w:rPr>
      </w:pPr>
      <w:r w:rsidRPr="000A4C44">
        <w:rPr>
          <w:rFonts w:ascii="Palatino Linotype" w:eastAsia="Symbol" w:hAnsi="Palatino Linotype" w:cs="Symbol"/>
          <w:i/>
          <w:sz w:val="22"/>
          <w:szCs w:val="22"/>
          <w:lang w:val="es-MX" w:eastAsia="es-MX"/>
        </w:rPr>
        <w:t>∙</w:t>
      </w:r>
      <w:r w:rsidRPr="000A4C44">
        <w:rPr>
          <w:rFonts w:ascii="Palatino Linotype" w:eastAsia="Palatino Linotype" w:hAnsi="Palatino Linotype" w:cs="Palatino Linotype"/>
          <w:i/>
          <w:sz w:val="22"/>
          <w:szCs w:val="22"/>
          <w:lang w:val="es-MX" w:eastAsia="es-MX"/>
        </w:rPr>
        <w:t xml:space="preserve"> </w:t>
      </w:r>
      <w:r w:rsidRPr="000A4C44">
        <w:rPr>
          <w:rFonts w:ascii="Palatino Linotype" w:eastAsia="Palatino Linotype" w:hAnsi="Palatino Linotype" w:cs="Palatino Linotype"/>
          <w:b/>
          <w:i/>
          <w:sz w:val="22"/>
          <w:szCs w:val="22"/>
          <w:lang w:val="es-MX" w:eastAsia="es-MX"/>
        </w:rPr>
        <w:t>Proporcionalidad:</w:t>
      </w:r>
      <w:r w:rsidRPr="000A4C44">
        <w:rPr>
          <w:rFonts w:ascii="Palatino Linotype" w:eastAsia="Palatino Linotype" w:hAnsi="Palatino Linotype" w:cs="Palatino Linotype"/>
          <w:i/>
          <w:sz w:val="22"/>
          <w:szCs w:val="22"/>
          <w:lang w:val="es-MX" w:eastAsia="es-MX"/>
        </w:rPr>
        <w:t xml:space="preserve"> El equilibrio entre perjuicio y beneficio a favor del interés público, a fin de que la decisión tomada represente un beneficio mayor al perjuicio que podría causar a la población.</w:t>
      </w:r>
    </w:p>
    <w:p w14:paraId="6546D276" w14:textId="77777777" w:rsidR="000A4C44" w:rsidRPr="000A4C44" w:rsidRDefault="000A4C44" w:rsidP="000A4C44">
      <w:pPr>
        <w:spacing w:before="120" w:after="120" w:line="276" w:lineRule="auto"/>
        <w:ind w:left="425" w:right="476"/>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En el mismo sentido, resulta aplicable la tesis I.4o.A.70 K, emitida por Tribunales Colegiados de Circuito, publicada en el Semanario Judicial de la Federación y su Gaceta, Tomo XXIV, página 2346, de agosto de 2006, Novena Época, materia común: </w:t>
      </w:r>
    </w:p>
    <w:p w14:paraId="6546D277" w14:textId="77777777" w:rsidR="000A4C44" w:rsidRPr="000A4C44" w:rsidRDefault="000A4C44" w:rsidP="000A4C44">
      <w:pPr>
        <w:spacing w:before="120" w:after="120" w:line="276" w:lineRule="auto"/>
        <w:ind w:left="425" w:right="476"/>
        <w:contextualSpacing/>
        <w:jc w:val="both"/>
        <w:rPr>
          <w:rFonts w:ascii="Palatino Linotype" w:eastAsia="Palatino Linotype" w:hAnsi="Palatino Linotype" w:cs="Palatino Linotype"/>
          <w:sz w:val="22"/>
          <w:szCs w:val="22"/>
          <w:lang w:val="es-MX" w:eastAsia="es-MX"/>
        </w:rPr>
      </w:pPr>
    </w:p>
    <w:p w14:paraId="6546D278" w14:textId="77777777" w:rsidR="000A4C44" w:rsidRPr="000A4C44" w:rsidRDefault="000A4C44" w:rsidP="00BC19A4">
      <w:pPr>
        <w:spacing w:before="120" w:after="120" w:line="276" w:lineRule="auto"/>
        <w:ind w:left="1134" w:right="902"/>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b/>
          <w:i/>
          <w:sz w:val="22"/>
          <w:szCs w:val="22"/>
          <w:lang w:val="es-MX" w:eastAsia="es-MX"/>
        </w:rPr>
        <w:t>“SUSPENSIÓN EN EL AMPARO. CONFORME A LA TEORÍA DE PONDERACIÓN DE PRINCIPIOS DEBE NEGARSE SI EL INTERÉS SOCIAL CONSTITUCIONALMENTE TUTELADO ES PREFERENTE AL DEL PARTICULAR. Cuando dos derechos fundamentales entran en colisión, se debe resolver el problema atendiendo a las características y naturaleza del caso concreto, conforme al criterio de proporcionalidad, ponderando los elementos o subprincipios siguientes: a) idoneidad</w:t>
      </w:r>
      <w:r w:rsidRPr="000A4C44">
        <w:rPr>
          <w:rFonts w:ascii="Palatino Linotype" w:eastAsia="Palatino Linotype" w:hAnsi="Palatino Linotype" w:cs="Palatino Linotype"/>
          <w:i/>
          <w:sz w:val="22"/>
          <w:szCs w:val="22"/>
          <w:lang w:val="es-MX" w:eastAsia="es-MX"/>
        </w:rPr>
        <w:t xml:space="preserve">, la cual es la legitimidad constitucional del principio adoptado como preferente, por resultar ser el adecuado para el logro </w:t>
      </w:r>
      <w:r w:rsidRPr="000A4C44">
        <w:rPr>
          <w:rFonts w:ascii="Palatino Linotype" w:eastAsia="Palatino Linotype" w:hAnsi="Palatino Linotype" w:cs="Palatino Linotype"/>
          <w:i/>
          <w:sz w:val="22"/>
          <w:szCs w:val="22"/>
          <w:lang w:val="es-MX" w:eastAsia="es-MX"/>
        </w:rPr>
        <w:lastRenderedPageBreak/>
        <w:t xml:space="preserve">de un fin constitucionalmente válido o apto para conseguir el objetivo pretendido; </w:t>
      </w:r>
      <w:r w:rsidRPr="000A4C44">
        <w:rPr>
          <w:rFonts w:ascii="Palatino Linotype" w:eastAsia="Palatino Linotype" w:hAnsi="Palatino Linotype" w:cs="Palatino Linotype"/>
          <w:b/>
          <w:i/>
          <w:sz w:val="22"/>
          <w:szCs w:val="22"/>
          <w:lang w:val="es-MX" w:eastAsia="es-MX"/>
        </w:rPr>
        <w:t>b) necesidad</w:t>
      </w:r>
      <w:r w:rsidRPr="000A4C44">
        <w:rPr>
          <w:rFonts w:ascii="Palatino Linotype" w:eastAsia="Palatino Linotype" w:hAnsi="Palatino Linotype" w:cs="Palatino Linotype"/>
          <w:i/>
          <w:sz w:val="22"/>
          <w:szCs w:val="22"/>
          <w:lang w:val="es-MX" w:eastAsia="es-MX"/>
        </w:rPr>
        <w:t xml:space="preserve">, consistente en que no exista otro medio menos limitativo para satisfacer el fin del interés público y que sacrifique, en menor medida, los principios constitucionales afectados por el uso de esos medios; o sea, que resulte imprescindible la restricción, porque no exista un medio menos oneroso, en términos del sacrificio de otros principios constitucionales, para alcanzar el fin deseado y que afecten en menor grado los derechos fundamentales de los implicados; y </w:t>
      </w:r>
      <w:r w:rsidRPr="000A4C44">
        <w:rPr>
          <w:rFonts w:ascii="Palatino Linotype" w:eastAsia="Palatino Linotype" w:hAnsi="Palatino Linotype" w:cs="Palatino Linotype"/>
          <w:b/>
          <w:i/>
          <w:sz w:val="22"/>
          <w:szCs w:val="22"/>
          <w:lang w:val="es-MX" w:eastAsia="es-MX"/>
        </w:rPr>
        <w:t>c) el mandato de proporcionalidad entre medios y fines implica que al elegir entre un perjuicio y un beneficio a favor de dos bienes tutelados, el principio satisfecho o que resulta privilegiado lo sea en mayor proporción que el sacrificado</w:t>
      </w:r>
      <w:r w:rsidRPr="000A4C44">
        <w:rPr>
          <w:rFonts w:ascii="Palatino Linotype" w:eastAsia="Palatino Linotype" w:hAnsi="Palatino Linotype" w:cs="Palatino Linotype"/>
          <w:i/>
          <w:sz w:val="22"/>
          <w:szCs w:val="22"/>
          <w:lang w:val="es-MX" w:eastAsia="es-MX"/>
        </w:rPr>
        <w:t>. Esto es que no se renuncie o sacrifiquen valores y principios con mayor peso o medida a aquel que se desea satisfacer. Así, el derecho o principio que debe prevalecer, en el caso, es aquel que optimice los intereses en conflicto y, por ende, privilegiándose el que resulte indispensable y que conlleve a un mayor beneficio o cause un menor daño. Consecuentemente, tratándose de la suspensión debe negarse dicha medida cautelar cuando el interés social constitucionalmente tutelado es preferente al del particular, ya que el derecho o principio a primar debe ser aquel que cause un menor daño y el que resulta indispensable privilegiarse, o sea, el que evidentemente conlleve a un mayor beneficio.”</w:t>
      </w:r>
    </w:p>
    <w:p w14:paraId="6546D279"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Como se aprecia de la tesis citada, cuando dos derechos fundamentales entran en colisión, el problema se debe resolver atendiendo a las características y naturaleza del caso concreto, conforme al criterio de proporcionalidad, ponderando los elementos o subprincipios de idoneidad, necesidad y proporcionalidad, antes descritos.</w:t>
      </w:r>
    </w:p>
    <w:p w14:paraId="6546D27A"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En ese orden de ideas, resulta procedente analizar cada uno de los elementos referidos, partiendo de que, en el caso concreto, se estima como preferente el derecho de acceso a la información, bajo las consideraciones que se verterán a continuación.</w:t>
      </w:r>
    </w:p>
    <w:p w14:paraId="6546D27B" w14:textId="77777777" w:rsidR="000A4C44" w:rsidRPr="000A4C44" w:rsidRDefault="000A4C44" w:rsidP="00BC19A4">
      <w:pPr>
        <w:numPr>
          <w:ilvl w:val="0"/>
          <w:numId w:val="19"/>
        </w:numPr>
        <w:pBdr>
          <w:top w:val="nil"/>
          <w:left w:val="nil"/>
          <w:bottom w:val="nil"/>
          <w:right w:val="nil"/>
          <w:between w:val="nil"/>
        </w:pBdr>
        <w:spacing w:before="120" w:after="120" w:line="276" w:lineRule="auto"/>
        <w:ind w:left="1134" w:right="900" w:firstLine="0"/>
        <w:contextualSpacing/>
        <w:jc w:val="both"/>
        <w:rPr>
          <w:rFonts w:ascii="Palatino Linotype" w:eastAsia="Palatino Linotype" w:hAnsi="Palatino Linotype" w:cs="Palatino Linotype"/>
          <w:i/>
          <w:color w:val="000000"/>
          <w:sz w:val="22"/>
          <w:szCs w:val="22"/>
          <w:lang w:val="es-MX" w:eastAsia="es-MX"/>
        </w:rPr>
      </w:pPr>
      <w:r w:rsidRPr="000A4C44">
        <w:rPr>
          <w:rFonts w:ascii="Palatino Linotype" w:eastAsia="Palatino Linotype" w:hAnsi="Palatino Linotype" w:cs="Palatino Linotype"/>
          <w:b/>
          <w:i/>
          <w:color w:val="000000"/>
          <w:sz w:val="22"/>
          <w:szCs w:val="22"/>
          <w:u w:val="single"/>
          <w:lang w:val="es-MX" w:eastAsia="es-MX"/>
        </w:rPr>
        <w:t>IDONEIDAD</w:t>
      </w:r>
      <w:r w:rsidRPr="000A4C44">
        <w:rPr>
          <w:rFonts w:ascii="Palatino Linotype" w:eastAsia="Palatino Linotype" w:hAnsi="Palatino Linotype" w:cs="Palatino Linotype"/>
          <w:b/>
          <w:i/>
          <w:color w:val="000000"/>
          <w:sz w:val="22"/>
          <w:szCs w:val="22"/>
          <w:lang w:val="es-MX" w:eastAsia="es-MX"/>
        </w:rPr>
        <w:t>.</w:t>
      </w:r>
      <w:r w:rsidRPr="000A4C44">
        <w:rPr>
          <w:rFonts w:ascii="Palatino Linotype" w:eastAsia="Palatino Linotype" w:hAnsi="Palatino Linotype" w:cs="Palatino Linotype"/>
          <w:i/>
          <w:color w:val="000000"/>
          <w:sz w:val="22"/>
          <w:szCs w:val="22"/>
          <w:lang w:val="es-MX" w:eastAsia="es-MX"/>
        </w:rPr>
        <w:t xml:space="preserve"> La legitimidad del derecho adoptado como preferente, que sea el adecuado para el logro de una finalidad constitucionalmente válida o apta para conseguir el fin pretendido. </w:t>
      </w:r>
    </w:p>
    <w:p w14:paraId="6546D27C"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lastRenderedPageBreak/>
        <w:t xml:space="preserve">El artículo 6 constitucional, apartado A, fracción I estipula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6546D27D"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Conforme a dicho precepto, el Estado Mexicano está constreñido a publicitar sus actos, pues se reconoce el derecho fundamental de los ciudadanos a acceder a la información que obra en poder de la autoridad, que como lo ha expuesto el Pleno de la Suprema Corte de Justicia de la Nación en la tesis "ACCESO A LA INFORMACIÓN. SU NATURALEZA COMO GARANTÍAS INDIVIDUAL Y SOCIAL.", el cual contiene una doble dimensión: individual y social. </w:t>
      </w:r>
    </w:p>
    <w:p w14:paraId="6546D27E" w14:textId="77777777" w:rsidR="000A4C44" w:rsidRPr="000A4C44" w:rsidRDefault="000A4C44" w:rsidP="00BC19A4">
      <w:pPr>
        <w:spacing w:before="120" w:after="120" w:line="276" w:lineRule="auto"/>
        <w:ind w:left="1134" w:right="476"/>
        <w:contextualSpacing/>
        <w:jc w:val="both"/>
        <w:rPr>
          <w:rFonts w:ascii="Palatino Linotype" w:eastAsia="Palatino Linotype" w:hAnsi="Palatino Linotype" w:cs="Palatino Linotype"/>
          <w:i/>
          <w:sz w:val="22"/>
          <w:szCs w:val="22"/>
          <w:lang w:val="es-MX" w:eastAsia="es-MX"/>
        </w:rPr>
      </w:pPr>
      <w:r w:rsidRPr="000A4C44">
        <w:rPr>
          <w:rFonts w:ascii="Palatino Linotype" w:eastAsia="Symbol" w:hAnsi="Palatino Linotype" w:cs="Symbol"/>
          <w:i/>
          <w:sz w:val="22"/>
          <w:szCs w:val="22"/>
          <w:lang w:val="es-MX" w:eastAsia="es-MX"/>
        </w:rPr>
        <w:t>∙</w:t>
      </w:r>
      <w:r w:rsidRPr="000A4C44">
        <w:rPr>
          <w:rFonts w:ascii="Palatino Linotype" w:eastAsia="Palatino Linotype" w:hAnsi="Palatino Linotype" w:cs="Palatino Linotype"/>
          <w:i/>
          <w:sz w:val="22"/>
          <w:szCs w:val="22"/>
          <w:lang w:val="es-MX" w:eastAsia="es-MX"/>
        </w:rPr>
        <w:t xml:space="preserve"> En aspecto individual, maximiza el campo de la autonomía personal, posibilita el ejercicio de la libertad de expresión en un contexto diversidad de datos, voces y opiniones. </w:t>
      </w:r>
    </w:p>
    <w:p w14:paraId="6546D27F" w14:textId="77777777" w:rsidR="000A4C44" w:rsidRPr="000A4C44" w:rsidRDefault="000A4C44" w:rsidP="00BC19A4">
      <w:pPr>
        <w:spacing w:before="120" w:after="120" w:line="276" w:lineRule="auto"/>
        <w:ind w:left="1134" w:right="476"/>
        <w:contextualSpacing/>
        <w:jc w:val="both"/>
        <w:rPr>
          <w:rFonts w:ascii="Palatino Linotype" w:eastAsia="Palatino Linotype" w:hAnsi="Palatino Linotype" w:cs="Palatino Linotype"/>
          <w:i/>
          <w:sz w:val="22"/>
          <w:szCs w:val="22"/>
          <w:lang w:val="es-MX" w:eastAsia="es-MX"/>
        </w:rPr>
      </w:pPr>
      <w:r w:rsidRPr="000A4C44">
        <w:rPr>
          <w:rFonts w:ascii="Palatino Linotype" w:eastAsia="Symbol" w:hAnsi="Palatino Linotype" w:cs="Symbol"/>
          <w:i/>
          <w:sz w:val="22"/>
          <w:szCs w:val="22"/>
          <w:lang w:val="es-MX" w:eastAsia="es-MX"/>
        </w:rPr>
        <w:t>∙</w:t>
      </w:r>
      <w:r w:rsidRPr="000A4C44">
        <w:rPr>
          <w:rFonts w:ascii="Palatino Linotype" w:eastAsia="Palatino Linotype" w:hAnsi="Palatino Linotype" w:cs="Palatino Linotype"/>
          <w:i/>
          <w:sz w:val="22"/>
          <w:szCs w:val="22"/>
          <w:lang w:val="es-MX" w:eastAsia="es-MX"/>
        </w:rPr>
        <w:t xml:space="preserve"> Mientras que, en el social, evidencia el valor instrumental de la información no sólo como factor de autorrealización personal, sino como un mecanismo de control institucional, pues se trata de un derecho fundado en la publicidad de los actos de gobierno y la transparencia en el actuar de la administración, conducente y necesaria para la rendición de cuentas. </w:t>
      </w:r>
    </w:p>
    <w:p w14:paraId="6546D280"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Así, el derecho de acceso a la información resulta ser una consecuencia directa del principio administrativo de transparencia de la información pública gubernamental y, a la vez, se vincula con el derecho de participación de los ciudadanos en la vida pública, protegido por la Constitución Política de los Estados Unidos Mexicanos. </w:t>
      </w:r>
    </w:p>
    <w:p w14:paraId="6546D281"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Al respecto, el interés de conocer los nombres de los servidores públicos que enfrentan acusaciones sobre estos casos evidencia el ejercicio del derecho de acceso a la información, en virtud de que se trata de un caso relacionado con presuntos hechos de corrupción cometidos con recursos públicos. </w:t>
      </w:r>
    </w:p>
    <w:p w14:paraId="6546D282"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b/>
          <w:i/>
          <w:sz w:val="22"/>
          <w:szCs w:val="22"/>
          <w:lang w:val="es-MX" w:eastAsia="es-MX"/>
        </w:rPr>
      </w:pPr>
      <w:r w:rsidRPr="000A4C44">
        <w:rPr>
          <w:rFonts w:ascii="Palatino Linotype" w:eastAsia="Palatino Linotype" w:hAnsi="Palatino Linotype" w:cs="Palatino Linotype"/>
          <w:i/>
          <w:sz w:val="22"/>
          <w:szCs w:val="22"/>
          <w:lang w:val="es-MX" w:eastAsia="es-MX"/>
        </w:rPr>
        <w:t xml:space="preserve">En ese orden, </w:t>
      </w:r>
      <w:r w:rsidRPr="000A4C44">
        <w:rPr>
          <w:rFonts w:ascii="Palatino Linotype" w:eastAsia="Palatino Linotype" w:hAnsi="Palatino Linotype" w:cs="Palatino Linotype"/>
          <w:b/>
          <w:i/>
          <w:sz w:val="22"/>
          <w:szCs w:val="22"/>
          <w:lang w:val="es-MX" w:eastAsia="es-MX"/>
        </w:rPr>
        <w:t xml:space="preserve">si los hechos investigados son en razón de conductas presuntamente ilegales, el ejercicio ilícito de servicio público, el uso </w:t>
      </w:r>
      <w:r w:rsidRPr="000A4C44">
        <w:rPr>
          <w:rFonts w:ascii="Palatino Linotype" w:eastAsia="Palatino Linotype" w:hAnsi="Palatino Linotype" w:cs="Palatino Linotype"/>
          <w:b/>
          <w:i/>
          <w:sz w:val="22"/>
          <w:szCs w:val="22"/>
          <w:lang w:val="es-MX" w:eastAsia="es-MX"/>
        </w:rPr>
        <w:lastRenderedPageBreak/>
        <w:t>ilícito de funciones, el cohecho, peculado y enriquecimiento ilícito, de personas que en el ejercicio de sus funciones públicas, causaron un detrimento en el erario</w:t>
      </w:r>
      <w:r w:rsidRPr="000A4C44">
        <w:rPr>
          <w:rFonts w:ascii="Palatino Linotype" w:eastAsia="Palatino Linotype" w:hAnsi="Palatino Linotype" w:cs="Palatino Linotype"/>
          <w:i/>
          <w:sz w:val="22"/>
          <w:szCs w:val="22"/>
          <w:lang w:val="es-MX" w:eastAsia="es-MX"/>
        </w:rPr>
        <w:t xml:space="preserve"> federal a través de los recursos públicos destinados al Servicio de Administración Tributaria que dejaron de ingresar con las que </w:t>
      </w:r>
      <w:r w:rsidRPr="000A4C44">
        <w:rPr>
          <w:rFonts w:ascii="Palatino Linotype" w:eastAsia="Palatino Linotype" w:hAnsi="Palatino Linotype" w:cs="Palatino Linotype"/>
          <w:b/>
          <w:i/>
          <w:sz w:val="22"/>
          <w:szCs w:val="22"/>
          <w:lang w:val="es-MX" w:eastAsia="es-MX"/>
        </w:rPr>
        <w:t>se presume obtuvieron un beneficio personal</w:t>
      </w:r>
      <w:r w:rsidRPr="000A4C44">
        <w:rPr>
          <w:rFonts w:ascii="Palatino Linotype" w:eastAsia="Palatino Linotype" w:hAnsi="Palatino Linotype" w:cs="Palatino Linotype"/>
          <w:i/>
          <w:sz w:val="22"/>
          <w:szCs w:val="22"/>
          <w:lang w:val="es-MX" w:eastAsia="es-MX"/>
        </w:rPr>
        <w:t xml:space="preserve">, luego entonces </w:t>
      </w:r>
      <w:r w:rsidRPr="000A4C44">
        <w:rPr>
          <w:rFonts w:ascii="Palatino Linotype" w:eastAsia="Palatino Linotype" w:hAnsi="Palatino Linotype" w:cs="Palatino Linotype"/>
          <w:b/>
          <w:i/>
          <w:sz w:val="22"/>
          <w:szCs w:val="22"/>
          <w:lang w:val="es-MX" w:eastAsia="es-MX"/>
        </w:rPr>
        <w:t xml:space="preserve">existe una preferencia social mayor que trasciende para dar a conocer, precisamente los nombres de los servidores que enfrentan acusaciones sobre este caso. </w:t>
      </w:r>
    </w:p>
    <w:p w14:paraId="6546D283"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Por lo tanto, en el caso, prevalece el derecho de acceso a la información sobre la protección de su intimidad, honor, imagen y presunción de inocencia, toda vez que es el medio idóneo para la rendición de cuentas sobre la efectiva investigación de hechos relacionados con el desempeño de las funciones de los servidores públicos y ex servidores públicos de en relación con los hechos investigados, lo que deja en segundo lugar la necesidad individual de proteger sus nombres. </w:t>
      </w:r>
    </w:p>
    <w:p w14:paraId="6546D284" w14:textId="77777777" w:rsidR="000A4C44" w:rsidRPr="000A4C44" w:rsidRDefault="000A4C44" w:rsidP="00BC19A4">
      <w:pPr>
        <w:numPr>
          <w:ilvl w:val="0"/>
          <w:numId w:val="19"/>
        </w:numPr>
        <w:pBdr>
          <w:top w:val="nil"/>
          <w:left w:val="nil"/>
          <w:bottom w:val="nil"/>
          <w:right w:val="nil"/>
          <w:between w:val="nil"/>
        </w:pBdr>
        <w:spacing w:before="120" w:after="120" w:line="276" w:lineRule="auto"/>
        <w:ind w:left="1134" w:right="900" w:firstLine="0"/>
        <w:contextualSpacing/>
        <w:jc w:val="both"/>
        <w:rPr>
          <w:rFonts w:ascii="Palatino Linotype" w:eastAsia="Palatino Linotype" w:hAnsi="Palatino Linotype" w:cs="Palatino Linotype"/>
          <w:i/>
          <w:color w:val="000000"/>
          <w:sz w:val="22"/>
          <w:szCs w:val="22"/>
          <w:lang w:val="es-MX" w:eastAsia="es-MX"/>
        </w:rPr>
      </w:pPr>
      <w:r w:rsidRPr="000A4C44">
        <w:rPr>
          <w:rFonts w:ascii="Palatino Linotype" w:eastAsia="Palatino Linotype" w:hAnsi="Palatino Linotype" w:cs="Palatino Linotype"/>
          <w:b/>
          <w:i/>
          <w:color w:val="000000"/>
          <w:sz w:val="22"/>
          <w:szCs w:val="22"/>
          <w:u w:val="single"/>
          <w:lang w:val="es-MX" w:eastAsia="es-MX"/>
        </w:rPr>
        <w:t>NECESIDAD</w:t>
      </w:r>
      <w:r w:rsidRPr="000A4C44">
        <w:rPr>
          <w:rFonts w:ascii="Palatino Linotype" w:eastAsia="Palatino Linotype" w:hAnsi="Palatino Linotype" w:cs="Palatino Linotype"/>
          <w:i/>
          <w:color w:val="000000"/>
          <w:sz w:val="22"/>
          <w:szCs w:val="22"/>
          <w:lang w:val="es-MX" w:eastAsia="es-MX"/>
        </w:rPr>
        <w:t xml:space="preserve">. La falta de un medio alternativo menos lesivo a la apertura de la información, para satisfacer el interés público. </w:t>
      </w:r>
    </w:p>
    <w:p w14:paraId="6546D285"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A través del ejercicio del derecho a la información se cubre la necesidad de la colectividad de estar en posibilidad de evaluar el desempeño de las autoridades que la representan, en ese sentido, constituye la vía más eficaz para que toda la sociedad conozca la información relacionada con las conductas denunciadas por parte del Servicio de Administración Tributaria que forman parte de la investigación por parte de la Fiscalía General de la República.</w:t>
      </w:r>
    </w:p>
    <w:p w14:paraId="6546D286"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Esto es, </w:t>
      </w:r>
      <w:r w:rsidRPr="000A4C44">
        <w:rPr>
          <w:rFonts w:ascii="Palatino Linotype" w:eastAsia="Palatino Linotype" w:hAnsi="Palatino Linotype" w:cs="Palatino Linotype"/>
          <w:b/>
          <w:i/>
          <w:sz w:val="22"/>
          <w:szCs w:val="22"/>
          <w:lang w:val="es-MX" w:eastAsia="es-MX"/>
        </w:rPr>
        <w:t>la necesidad de la colectividad de estar en posibilidad de evaluar el desempeño de las autoridades que la representa, constituye la vía más eficaz para que toda la sociedad conozca la información relacionada con los nombres de los servidores públicos y ex servidores públicos que enfrentan acusaciones sobre los casos denunciados, puesto que probablemente incurrieron en diversos delitos de corrupción</w:t>
      </w:r>
      <w:r w:rsidRPr="000A4C44">
        <w:rPr>
          <w:rFonts w:ascii="Palatino Linotype" w:eastAsia="Palatino Linotype" w:hAnsi="Palatino Linotype" w:cs="Palatino Linotype"/>
          <w:i/>
          <w:sz w:val="22"/>
          <w:szCs w:val="22"/>
          <w:lang w:val="es-MX" w:eastAsia="es-MX"/>
        </w:rPr>
        <w:t xml:space="preserve">, tales como cohecho, peculado y enriquecimiento ilícito, catalogados como actos de corrupción en el Código Penal Federal, así como en la Convención Interamericana contra la Corrupción. </w:t>
      </w:r>
    </w:p>
    <w:p w14:paraId="6546D287"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En este sentido, nuevamente el derecho de acceso a la información prevalece sobre la protección de la información solicitada, puesto que el sacrificio que </w:t>
      </w:r>
      <w:r w:rsidRPr="000A4C44">
        <w:rPr>
          <w:rFonts w:ascii="Palatino Linotype" w:eastAsia="Palatino Linotype" w:hAnsi="Palatino Linotype" w:cs="Palatino Linotype"/>
          <w:i/>
          <w:sz w:val="22"/>
          <w:szCs w:val="22"/>
          <w:lang w:val="es-MX" w:eastAsia="es-MX"/>
        </w:rPr>
        <w:lastRenderedPageBreak/>
        <w:t xml:space="preserve">implica la revelación de los nombres de los servidores públicos y ex servidores es el medio menos oneroso para que la sociedad conozca quiénes de los servidores públicos o ex servidores públicos, que supuestamente velan así por el manejo y la debida aplicación de fondos y recursos federales, probablemente están involucrados en el desvío de dichos recursos, lo cual, de ser el caso, indudablemente repercute en la economía del país, así como el nombre de cualquier otra persona involucrada en los hechos. </w:t>
      </w:r>
    </w:p>
    <w:p w14:paraId="6546D288"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Es decir, si se negara el derecho de acceso a los datos peticionados, -en el caso concreto- se impediría que la sociedad tuviera los elementos informativos necesarios para el debido escrutinio del ejercicio de la actividad del sujeto obligado, en cuanto a sus facultades de investigación, en este caso, respecto de los delitos catalogados como actos de corrupción en el Código Penal Federal.</w:t>
      </w:r>
      <w:r w:rsidRPr="000A4C44">
        <w:rPr>
          <w:rFonts w:ascii="Palatino Linotype" w:eastAsia="Palatino Linotype" w:hAnsi="Palatino Linotype" w:cs="Palatino Linotype"/>
          <w:b/>
          <w:i/>
          <w:sz w:val="22"/>
          <w:szCs w:val="22"/>
          <w:lang w:val="es-MX" w:eastAsia="es-MX"/>
        </w:rPr>
        <w:t xml:space="preserve"> </w:t>
      </w:r>
    </w:p>
    <w:p w14:paraId="6546D289" w14:textId="77777777" w:rsidR="000A4C44" w:rsidRPr="000A4C44" w:rsidRDefault="000A4C44" w:rsidP="00BC19A4">
      <w:pPr>
        <w:numPr>
          <w:ilvl w:val="0"/>
          <w:numId w:val="19"/>
        </w:numPr>
        <w:pBdr>
          <w:top w:val="nil"/>
          <w:left w:val="nil"/>
          <w:bottom w:val="nil"/>
          <w:right w:val="nil"/>
          <w:between w:val="nil"/>
        </w:pBdr>
        <w:spacing w:before="120" w:after="120" w:line="276" w:lineRule="auto"/>
        <w:ind w:left="1134" w:right="900" w:firstLine="0"/>
        <w:contextualSpacing/>
        <w:jc w:val="both"/>
        <w:rPr>
          <w:rFonts w:ascii="Palatino Linotype" w:eastAsia="Palatino Linotype" w:hAnsi="Palatino Linotype" w:cs="Palatino Linotype"/>
          <w:i/>
          <w:color w:val="000000"/>
          <w:sz w:val="22"/>
          <w:szCs w:val="22"/>
          <w:lang w:val="es-MX" w:eastAsia="es-MX"/>
        </w:rPr>
      </w:pPr>
      <w:r w:rsidRPr="000A4C44">
        <w:rPr>
          <w:rFonts w:ascii="Palatino Linotype" w:eastAsia="Palatino Linotype" w:hAnsi="Palatino Linotype" w:cs="Palatino Linotype"/>
          <w:b/>
          <w:i/>
          <w:color w:val="000000"/>
          <w:sz w:val="22"/>
          <w:szCs w:val="22"/>
          <w:u w:val="single"/>
          <w:lang w:val="es-MX" w:eastAsia="es-MX"/>
        </w:rPr>
        <w:t>PROPORCIONALIDAD</w:t>
      </w:r>
      <w:r w:rsidRPr="000A4C44">
        <w:rPr>
          <w:rFonts w:ascii="Palatino Linotype" w:eastAsia="Palatino Linotype" w:hAnsi="Palatino Linotype" w:cs="Palatino Linotype"/>
          <w:i/>
          <w:color w:val="000000"/>
          <w:sz w:val="22"/>
          <w:szCs w:val="22"/>
          <w:u w:val="single"/>
          <w:lang w:val="es-MX" w:eastAsia="es-MX"/>
        </w:rPr>
        <w:t>.</w:t>
      </w:r>
      <w:r w:rsidRPr="000A4C44">
        <w:rPr>
          <w:rFonts w:ascii="Palatino Linotype" w:eastAsia="Palatino Linotype" w:hAnsi="Palatino Linotype" w:cs="Palatino Linotype"/>
          <w:i/>
          <w:color w:val="000000"/>
          <w:sz w:val="22"/>
          <w:szCs w:val="22"/>
          <w:lang w:val="es-MX" w:eastAsia="es-MX"/>
        </w:rPr>
        <w:t xml:space="preserve"> El equilibrio entre perjuicio y beneficio a favor del interés público, a fin de que la decisión tomada represente un beneficio mayor al perjuicio que podría causar a la población. </w:t>
      </w:r>
    </w:p>
    <w:p w14:paraId="6546D28A"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Conforme a lo expuesto, </w:t>
      </w:r>
      <w:r w:rsidRPr="000A4C44">
        <w:rPr>
          <w:rFonts w:ascii="Palatino Linotype" w:eastAsia="Palatino Linotype" w:hAnsi="Palatino Linotype" w:cs="Palatino Linotype"/>
          <w:b/>
          <w:i/>
          <w:sz w:val="22"/>
          <w:szCs w:val="22"/>
          <w:lang w:val="es-MX" w:eastAsia="es-MX"/>
        </w:rPr>
        <w:t>si bien se causa un perjuicio a la intimidad, honor, imagen y presunción de inocencia, de los servidores y ex servidores públicos que enfrentan acusaciones sobre diversos casos</w:t>
      </w:r>
      <w:r w:rsidRPr="000A4C44">
        <w:rPr>
          <w:rFonts w:ascii="Palatino Linotype" w:eastAsia="Palatino Linotype" w:hAnsi="Palatino Linotype" w:cs="Palatino Linotype"/>
          <w:i/>
          <w:sz w:val="22"/>
          <w:szCs w:val="22"/>
          <w:lang w:val="es-MX" w:eastAsia="es-MX"/>
        </w:rPr>
        <w:t xml:space="preserve">, lo cierto es que, </w:t>
      </w:r>
      <w:r w:rsidRPr="000A4C44">
        <w:rPr>
          <w:rFonts w:ascii="Palatino Linotype" w:eastAsia="Palatino Linotype" w:hAnsi="Palatino Linotype" w:cs="Palatino Linotype"/>
          <w:b/>
          <w:i/>
          <w:sz w:val="22"/>
          <w:szCs w:val="22"/>
          <w:lang w:val="es-MX" w:eastAsia="es-MX"/>
        </w:rPr>
        <w:t>divulgar sus nombres representa un beneficio mayor para la sociedad puesto que rinde cuentas sobre quiénes están probablemente implicados en conductas relacionadas con hechos de corrupción</w:t>
      </w:r>
      <w:r w:rsidRPr="000A4C44">
        <w:rPr>
          <w:rFonts w:ascii="Palatino Linotype" w:eastAsia="Palatino Linotype" w:hAnsi="Palatino Linotype" w:cs="Palatino Linotype"/>
          <w:i/>
          <w:sz w:val="22"/>
          <w:szCs w:val="22"/>
          <w:lang w:val="es-MX" w:eastAsia="es-MX"/>
        </w:rPr>
        <w:t xml:space="preserve">. </w:t>
      </w:r>
    </w:p>
    <w:p w14:paraId="6546D28B"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Sumado a lo anterior, debemos recordar que uno de los señalamientos de la Convención Interamericana contra la Corrupción, lo cual ha sido ratificado por México, es que la corrupción atenta contra la sociedad, el orden moral y la justicia. </w:t>
      </w:r>
    </w:p>
    <w:p w14:paraId="6546D28C"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t xml:space="preserve">De manera que, si la Fiscalía General de la República aperturó diversas carpetas de investigación en contra de las personas que posiblemente cometieron actos de corrupción, el hecho de que dé a conocer sus nombres, independientemente de que se encuentre en la fase de investigación, significaría rendir cuentas del compromiso del Estado Mexicano en el combate a la corrupción ante la Comisión Interamericana de los Derechos Humanos, y frente a la sociedad nacional e internacional. </w:t>
      </w:r>
    </w:p>
    <w:p w14:paraId="6546D28D"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i/>
          <w:sz w:val="22"/>
          <w:szCs w:val="22"/>
          <w:lang w:val="es-MX" w:eastAsia="es-MX"/>
        </w:rPr>
      </w:pPr>
      <w:r w:rsidRPr="000A4C44">
        <w:rPr>
          <w:rFonts w:ascii="Palatino Linotype" w:eastAsia="Palatino Linotype" w:hAnsi="Palatino Linotype" w:cs="Palatino Linotype"/>
          <w:i/>
          <w:sz w:val="22"/>
          <w:szCs w:val="22"/>
          <w:lang w:val="es-MX" w:eastAsia="es-MX"/>
        </w:rPr>
        <w:lastRenderedPageBreak/>
        <w:t xml:space="preserve">En este sentido, se robustece la necesidad de que impere el derecho de acceso a la información sobre los principios antes referidos, toda vez que es proporcional la satisfacción de la sociedad de conocer la información de interés, toda vez que, de ser el caso, la declaración de inocencia, en su momento, los liberará de los señalamientos a que haya lugar. </w:t>
      </w:r>
    </w:p>
    <w:p w14:paraId="6546D28E" w14:textId="77777777" w:rsidR="000A4C44" w:rsidRPr="000A4C44" w:rsidRDefault="000A4C44" w:rsidP="00BC19A4">
      <w:pPr>
        <w:spacing w:before="120" w:after="120" w:line="276" w:lineRule="auto"/>
        <w:ind w:left="1134" w:right="900"/>
        <w:contextualSpacing/>
        <w:jc w:val="both"/>
        <w:rPr>
          <w:rFonts w:ascii="Palatino Linotype" w:eastAsia="Palatino Linotype" w:hAnsi="Palatino Linotype" w:cs="Palatino Linotype"/>
          <w:b/>
          <w:i/>
          <w:sz w:val="22"/>
          <w:szCs w:val="22"/>
          <w:lang w:val="es-MX" w:eastAsia="es-MX"/>
        </w:rPr>
      </w:pPr>
      <w:r w:rsidRPr="000A4C44">
        <w:rPr>
          <w:rFonts w:ascii="Palatino Linotype" w:eastAsia="Palatino Linotype" w:hAnsi="Palatino Linotype" w:cs="Palatino Linotype"/>
          <w:i/>
          <w:sz w:val="22"/>
          <w:szCs w:val="22"/>
          <w:lang w:val="es-MX" w:eastAsia="es-MX"/>
        </w:rPr>
        <w:t xml:space="preserve">Por tanto, es posible concluir que, en la ponderación realizada, se cumple con los tres elementos para dotarle de preminencia al derecho de acceso a la información, a efecto de poder entregar la información relativa a los servidores o ex servidores denunciados pues con el análisis de interés público </w:t>
      </w:r>
      <w:r w:rsidRPr="000A4C44">
        <w:rPr>
          <w:rFonts w:ascii="Palatino Linotype" w:eastAsia="Palatino Linotype" w:hAnsi="Palatino Linotype" w:cs="Palatino Linotype"/>
          <w:b/>
          <w:i/>
          <w:sz w:val="22"/>
          <w:szCs w:val="22"/>
          <w:lang w:val="es-MX" w:eastAsia="es-MX"/>
        </w:rPr>
        <w:t>no es posible clasificarla en términos del artículo 113, fracción I de la Ley de la materia.”</w:t>
      </w:r>
    </w:p>
    <w:p w14:paraId="6546D28F" w14:textId="77777777" w:rsidR="000A4C44" w:rsidRPr="000A4C44" w:rsidRDefault="000A4C44" w:rsidP="00BC19A4">
      <w:pPr>
        <w:spacing w:before="120" w:after="120" w:line="360" w:lineRule="auto"/>
        <w:ind w:left="1134" w:right="900"/>
        <w:contextualSpacing/>
        <w:jc w:val="both"/>
        <w:rPr>
          <w:rFonts w:ascii="Palatino Linotype" w:eastAsia="Palatino Linotype" w:hAnsi="Palatino Linotype" w:cs="Palatino Linotype"/>
          <w:sz w:val="22"/>
          <w:szCs w:val="22"/>
          <w:lang w:val="es-MX" w:eastAsia="es-MX"/>
        </w:rPr>
      </w:pPr>
    </w:p>
    <w:p w14:paraId="6546D290" w14:textId="77777777" w:rsidR="000A4C44" w:rsidRPr="000A4C44" w:rsidRDefault="000A4C44" w:rsidP="000A4C44">
      <w:pPr>
        <w:numPr>
          <w:ilvl w:val="0"/>
          <w:numId w:val="20"/>
        </w:numPr>
        <w:pBdr>
          <w:top w:val="nil"/>
          <w:left w:val="nil"/>
          <w:bottom w:val="nil"/>
          <w:right w:val="nil"/>
          <w:between w:val="nil"/>
        </w:pBdr>
        <w:spacing w:before="240" w:after="240" w:line="360" w:lineRule="auto"/>
        <w:ind w:right="51"/>
        <w:contextualSpacing/>
        <w:jc w:val="both"/>
        <w:rPr>
          <w:rFonts w:ascii="Palatino Linotype" w:eastAsia="Palatino Linotype" w:hAnsi="Palatino Linotype" w:cs="Palatino Linotype"/>
          <w:b/>
          <w:sz w:val="22"/>
          <w:szCs w:val="22"/>
          <w:lang w:val="es-MX" w:eastAsia="es-MX"/>
        </w:rPr>
      </w:pPr>
      <w:r w:rsidRPr="000A4C44">
        <w:rPr>
          <w:rFonts w:ascii="Palatino Linotype" w:eastAsia="Palatino Linotype" w:hAnsi="Palatino Linotype" w:cs="Palatino Linotype"/>
          <w:b/>
          <w:sz w:val="22"/>
          <w:szCs w:val="22"/>
          <w:lang w:val="es-MX" w:eastAsia="es-MX"/>
        </w:rPr>
        <w:t>De los procedimientos sobre faltas administrativas concluidas.</w:t>
      </w:r>
    </w:p>
    <w:p w14:paraId="6546D291" w14:textId="77777777" w:rsidR="000A4C44" w:rsidRPr="000A4C44" w:rsidRDefault="000A4C44" w:rsidP="000A4C44">
      <w:pPr>
        <w:pBdr>
          <w:top w:val="nil"/>
          <w:left w:val="nil"/>
          <w:bottom w:val="nil"/>
          <w:right w:val="nil"/>
          <w:between w:val="nil"/>
        </w:pBdr>
        <w:spacing w:before="240" w:after="240" w:line="360" w:lineRule="auto"/>
        <w:ind w:left="720" w:right="51"/>
        <w:contextualSpacing/>
        <w:jc w:val="both"/>
        <w:rPr>
          <w:rFonts w:ascii="Palatino Linotype" w:eastAsia="Palatino Linotype" w:hAnsi="Palatino Linotype" w:cs="Palatino Linotype"/>
          <w:b/>
          <w:sz w:val="22"/>
          <w:szCs w:val="22"/>
          <w:lang w:val="es-MX" w:eastAsia="es-MX"/>
        </w:rPr>
      </w:pPr>
    </w:p>
    <w:p w14:paraId="6546D292"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Ahora</w:t>
      </w:r>
      <w:r w:rsidR="00BC19A4">
        <w:rPr>
          <w:rFonts w:ascii="Palatino Linotype" w:eastAsia="Palatino Linotype" w:hAnsi="Palatino Linotype" w:cs="Palatino Linotype"/>
          <w:sz w:val="22"/>
          <w:szCs w:val="22"/>
          <w:lang w:val="es-MX" w:eastAsia="es-MX"/>
        </w:rPr>
        <w:t xml:space="preserve"> bien, para el caso de  que la información se encuentre </w:t>
      </w:r>
      <w:r w:rsidRPr="000A4C44">
        <w:rPr>
          <w:rFonts w:ascii="Palatino Linotype" w:eastAsia="Palatino Linotype" w:hAnsi="Palatino Linotype" w:cs="Palatino Linotype"/>
          <w:sz w:val="22"/>
          <w:szCs w:val="22"/>
          <w:lang w:val="es-MX" w:eastAsia="es-MX"/>
        </w:rPr>
        <w:t xml:space="preserve">relacionada con procedimientos por faltas administrativas concluidas, como se mencionó en líneas anteriores, solo pueden ser dadas a conocer las </w:t>
      </w:r>
      <w:r w:rsidRPr="000A4C44">
        <w:rPr>
          <w:rFonts w:ascii="Palatino Linotype" w:eastAsia="Palatino Linotype" w:hAnsi="Palatino Linotype" w:cs="Palatino Linotype"/>
          <w:b/>
          <w:bCs/>
          <w:sz w:val="22"/>
          <w:szCs w:val="22"/>
          <w:lang w:val="es-MX" w:eastAsia="es-MX"/>
        </w:rPr>
        <w:t>responsabilidades administrativas por faltas graves condenatorias</w:t>
      </w:r>
      <w:r w:rsidRPr="000A4C44">
        <w:rPr>
          <w:rFonts w:ascii="Palatino Linotype" w:eastAsia="Palatino Linotype" w:hAnsi="Palatino Linotype" w:cs="Palatino Linotype"/>
          <w:sz w:val="22"/>
          <w:szCs w:val="22"/>
          <w:lang w:val="es-MX" w:eastAsia="es-MX"/>
        </w:rPr>
        <w:t xml:space="preserve">, de conformidad con la Ley del Sistema Anticorrupción del Estado de México y Municipios que establece que </w:t>
      </w:r>
      <w:r w:rsidRPr="000A4C44">
        <w:rPr>
          <w:rFonts w:ascii="Palatino Linotype" w:eastAsia="Palatino Linotype" w:hAnsi="Palatino Linotype" w:cs="Palatino Linotype"/>
          <w:b/>
          <w:sz w:val="22"/>
          <w:szCs w:val="22"/>
          <w:u w:val="single"/>
          <w:lang w:val="es-MX" w:eastAsia="es-MX"/>
        </w:rPr>
        <w:t>las sanciones no graves no serán públicas</w:t>
      </w:r>
      <w:r w:rsidRPr="000A4C44">
        <w:rPr>
          <w:rFonts w:ascii="Palatino Linotype" w:eastAsia="Palatino Linotype" w:hAnsi="Palatino Linotype" w:cs="Palatino Linotype"/>
          <w:sz w:val="22"/>
          <w:szCs w:val="22"/>
          <w:lang w:val="es-MX" w:eastAsia="es-MX"/>
        </w:rPr>
        <w:t xml:space="preserve">, </w:t>
      </w:r>
      <w:r w:rsidRPr="000A4C44">
        <w:rPr>
          <w:rFonts w:ascii="Palatino Linotype" w:eastAsia="Palatino Linotype" w:hAnsi="Palatino Linotype" w:cs="Palatino Linotype"/>
          <w:b/>
          <w:sz w:val="22"/>
          <w:szCs w:val="22"/>
          <w:u w:val="single"/>
          <w:lang w:val="es-MX" w:eastAsia="es-MX"/>
        </w:rPr>
        <w:t>así como las graves absolutorias</w:t>
      </w:r>
      <w:r w:rsidRPr="000A4C44">
        <w:rPr>
          <w:rFonts w:ascii="Palatino Linotype" w:eastAsia="Palatino Linotype" w:hAnsi="Palatino Linotype" w:cs="Palatino Linotype"/>
          <w:sz w:val="22"/>
          <w:szCs w:val="22"/>
          <w:lang w:val="es-MX" w:eastAsia="es-MX"/>
        </w:rPr>
        <w:t xml:space="preserve">, en virtud de que dichas faltas, </w:t>
      </w:r>
      <w:r w:rsidRPr="000A4C44">
        <w:rPr>
          <w:rFonts w:ascii="Palatino Linotype" w:eastAsia="Palatino Linotype" w:hAnsi="Palatino Linotype" w:cs="Palatino Linotype"/>
          <w:b/>
          <w:sz w:val="22"/>
          <w:szCs w:val="22"/>
          <w:lang w:val="es-MX" w:eastAsia="es-MX"/>
        </w:rPr>
        <w:t xml:space="preserve">no tienen una trascendencia social, </w:t>
      </w:r>
      <w:r w:rsidRPr="000A4C44">
        <w:rPr>
          <w:rFonts w:ascii="Palatino Linotype" w:eastAsia="Palatino Linotype" w:hAnsi="Palatino Linotype" w:cs="Palatino Linotype"/>
          <w:sz w:val="22"/>
          <w:szCs w:val="22"/>
          <w:lang w:val="es-MX" w:eastAsia="es-MX"/>
        </w:rPr>
        <w:t>pues no existe un daño externo, sino que únicamente le atañe al servidor público en cuestión.</w:t>
      </w:r>
    </w:p>
    <w:p w14:paraId="6546D293" w14:textId="77777777" w:rsidR="000A4C44" w:rsidRPr="000A4C44" w:rsidRDefault="000A4C44" w:rsidP="000A4C44">
      <w:pPr>
        <w:spacing w:before="240" w:after="240" w:line="360" w:lineRule="auto"/>
        <w:contextualSpacing/>
        <w:jc w:val="both"/>
        <w:rPr>
          <w:rFonts w:ascii="Palatino Linotype" w:eastAsia="Palatino Linotype" w:hAnsi="Palatino Linotype" w:cs="Palatino Linotype"/>
          <w:sz w:val="22"/>
          <w:szCs w:val="22"/>
          <w:lang w:val="es-MX" w:eastAsia="es-MX"/>
        </w:rPr>
      </w:pPr>
    </w:p>
    <w:p w14:paraId="6546D294"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En este entendido, es evidente que, en caso de existir procedimientos concluidos instaurados en contra de los servidores públicos de las dependencias del Sujeto Obligado, </w:t>
      </w:r>
      <w:r w:rsidRPr="000A4C44">
        <w:rPr>
          <w:rFonts w:ascii="Palatino Linotype" w:eastAsia="Palatino Linotype" w:hAnsi="Palatino Linotype" w:cs="Palatino Linotype"/>
          <w:b/>
          <w:sz w:val="22"/>
          <w:szCs w:val="22"/>
          <w:lang w:val="es-MX" w:eastAsia="es-MX"/>
        </w:rPr>
        <w:t>por faltas graves absolutorias</w:t>
      </w:r>
      <w:r w:rsidRPr="000A4C44">
        <w:rPr>
          <w:rFonts w:ascii="Palatino Linotype" w:eastAsia="Palatino Linotype" w:hAnsi="Palatino Linotype" w:cs="Palatino Linotype"/>
          <w:sz w:val="22"/>
          <w:szCs w:val="22"/>
          <w:lang w:val="es-MX" w:eastAsia="es-MX"/>
        </w:rPr>
        <w:t xml:space="preserve"> y</w:t>
      </w:r>
      <w:r w:rsidRPr="000A4C44">
        <w:rPr>
          <w:rFonts w:ascii="Palatino Linotype" w:eastAsia="Palatino Linotype" w:hAnsi="Palatino Linotype" w:cs="Palatino Linotype"/>
          <w:b/>
          <w:sz w:val="22"/>
          <w:szCs w:val="22"/>
          <w:lang w:val="es-MX" w:eastAsia="es-MX"/>
        </w:rPr>
        <w:t xml:space="preserve"> no graves condenatorias o absolutorias</w:t>
      </w:r>
      <w:r w:rsidRPr="000A4C44">
        <w:rPr>
          <w:rFonts w:ascii="Palatino Linotype" w:eastAsia="Palatino Linotype" w:hAnsi="Palatino Linotype" w:cs="Palatino Linotype"/>
          <w:sz w:val="22"/>
          <w:szCs w:val="22"/>
          <w:lang w:val="es-MX" w:eastAsia="es-MX"/>
        </w:rPr>
        <w:t xml:space="preserve">, dicha información tiene el carácter de confidencial, y por tanto debe clasificarse el nombre y cargo de los servidores públicos en términos del artículo 113, fracción I de la Ley de Transparencia y Acceso a la Información Pública del Estado de México y Municipios. </w:t>
      </w:r>
    </w:p>
    <w:p w14:paraId="6546D295" w14:textId="77777777" w:rsidR="000A4C44" w:rsidRPr="000A4C44" w:rsidRDefault="000A4C44" w:rsidP="000A4C44">
      <w:pPr>
        <w:spacing w:before="240" w:after="240" w:line="360" w:lineRule="auto"/>
        <w:contextualSpacing/>
        <w:jc w:val="both"/>
        <w:rPr>
          <w:rFonts w:ascii="Palatino Linotype" w:eastAsia="Palatino Linotype" w:hAnsi="Palatino Linotype" w:cs="Palatino Linotype"/>
          <w:sz w:val="22"/>
          <w:szCs w:val="22"/>
          <w:lang w:val="es-MX" w:eastAsia="es-MX"/>
        </w:rPr>
      </w:pPr>
    </w:p>
    <w:p w14:paraId="6546D296" w14:textId="77777777" w:rsidR="000A4C44" w:rsidRP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eastAsia="Palatino Linotype" w:hAnsi="Palatino Linotype" w:cs="Palatino Linotype"/>
          <w:sz w:val="22"/>
          <w:szCs w:val="22"/>
          <w:lang w:val="es-MX" w:eastAsia="es-MX"/>
        </w:rPr>
        <w:t xml:space="preserve">No obstante, si los procedimientos concluidos se relacionan con faltas administrativas </w:t>
      </w:r>
      <w:r w:rsidRPr="000A4C44">
        <w:rPr>
          <w:rFonts w:ascii="Palatino Linotype" w:eastAsia="Palatino Linotype" w:hAnsi="Palatino Linotype" w:cs="Palatino Linotype"/>
          <w:b/>
          <w:sz w:val="22"/>
          <w:szCs w:val="22"/>
          <w:lang w:val="es-MX" w:eastAsia="es-MX"/>
        </w:rPr>
        <w:t>graves condenatorias</w:t>
      </w:r>
      <w:r w:rsidRPr="000A4C44">
        <w:rPr>
          <w:rFonts w:ascii="Palatino Linotype" w:eastAsia="Palatino Linotype" w:hAnsi="Palatino Linotype" w:cs="Palatino Linotype"/>
          <w:sz w:val="22"/>
          <w:szCs w:val="22"/>
          <w:lang w:val="es-MX" w:eastAsia="es-MX"/>
        </w:rPr>
        <w:t xml:space="preserve"> y estas han quedado firmes, es decir, que el procedimiento ya no acepta recurso o medio de defensa alguno, es procedente entregar el soporte documental a </w:t>
      </w:r>
      <w:r w:rsidRPr="000A4C44">
        <w:rPr>
          <w:rFonts w:ascii="Palatino Linotype" w:eastAsia="Palatino Linotype" w:hAnsi="Palatino Linotype" w:cs="Palatino Linotype"/>
          <w:bCs/>
          <w:sz w:val="22"/>
          <w:szCs w:val="22"/>
          <w:lang w:val="es-MX" w:eastAsia="es-MX"/>
        </w:rPr>
        <w:t>la parte</w:t>
      </w:r>
      <w:r w:rsidRPr="000A4C44">
        <w:rPr>
          <w:rFonts w:ascii="Palatino Linotype" w:eastAsia="Palatino Linotype" w:hAnsi="Palatino Linotype" w:cs="Palatino Linotype"/>
          <w:b/>
          <w:sz w:val="22"/>
          <w:szCs w:val="22"/>
          <w:lang w:val="es-MX" w:eastAsia="es-MX"/>
        </w:rPr>
        <w:t xml:space="preserve"> RECURRENTE</w:t>
      </w:r>
      <w:r w:rsidRPr="000A4C44">
        <w:rPr>
          <w:rFonts w:ascii="Palatino Linotype" w:eastAsia="Palatino Linotype" w:hAnsi="Palatino Linotype" w:cs="Palatino Linotype"/>
          <w:sz w:val="22"/>
          <w:szCs w:val="22"/>
          <w:lang w:val="es-MX" w:eastAsia="es-MX"/>
        </w:rPr>
        <w:t xml:space="preserve"> que dé cuenta del nombre y cargo de los servidores públicos cuyos procedimientos se encuentren concluidos y que hayan causado estado, por faltas administrativas graves condenatorias, así como de aquellos que se encuentren en trámite relacionados con actos de corrupción, de conformidad con el artículo 142 de la Ley de Transparencia Local, del primero de enero al veintinueve de mayo de dos mil veintitrés, en versión pública para el caso de que el mismo contenga datos personales susceptibles de protegerse, reiterando que en dicho supuesto, no se vulnera el derecho del servidor público referido, aun cuando este sea plenamente identificable.</w:t>
      </w:r>
    </w:p>
    <w:p w14:paraId="6546D297" w14:textId="77777777" w:rsidR="000A4C44" w:rsidRPr="000A4C44" w:rsidRDefault="000A4C44" w:rsidP="000A4C44">
      <w:pPr>
        <w:spacing w:before="240" w:after="240" w:line="360" w:lineRule="auto"/>
        <w:contextualSpacing/>
        <w:jc w:val="both"/>
        <w:rPr>
          <w:rFonts w:ascii="Palatino Linotype" w:eastAsia="Palatino Linotype" w:hAnsi="Palatino Linotype" w:cs="Palatino Linotype"/>
          <w:sz w:val="22"/>
          <w:szCs w:val="22"/>
          <w:lang w:val="es-MX" w:eastAsia="es-MX"/>
        </w:rPr>
      </w:pPr>
    </w:p>
    <w:p w14:paraId="6546D298" w14:textId="77777777" w:rsidR="000A4C44" w:rsidRDefault="000A4C44" w:rsidP="000A4C44">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sidRPr="000A4C44">
        <w:rPr>
          <w:rFonts w:ascii="Palatino Linotype" w:hAnsi="Palatino Linotype"/>
          <w:sz w:val="22"/>
          <w:szCs w:val="22"/>
        </w:rPr>
        <w:t>Lo anterior, ya que como se precisó en párrafos anteriores, proporcionar la información de</w:t>
      </w:r>
      <w:r w:rsidRPr="000A4C44">
        <w:rPr>
          <w:rFonts w:ascii="Palatino Linotype" w:eastAsia="Palatino Linotype" w:hAnsi="Palatino Linotype" w:cs="Palatino Linotype"/>
          <w:sz w:val="22"/>
          <w:szCs w:val="22"/>
          <w:lang w:val="es-MX" w:eastAsia="es-MX"/>
        </w:rPr>
        <w:t xml:space="preserve"> referencia, garantizaría la rendición de cuentas por parte del </w:t>
      </w:r>
      <w:r w:rsidRPr="000A4C44">
        <w:rPr>
          <w:rFonts w:ascii="Palatino Linotype" w:eastAsia="Palatino Linotype" w:hAnsi="Palatino Linotype" w:cs="Palatino Linotype"/>
          <w:b/>
          <w:sz w:val="22"/>
          <w:szCs w:val="22"/>
          <w:lang w:val="es-MX" w:eastAsia="es-MX"/>
        </w:rPr>
        <w:t>SUJETO OBLIGADO</w:t>
      </w:r>
      <w:r w:rsidRPr="000A4C44">
        <w:rPr>
          <w:rFonts w:ascii="Palatino Linotype" w:eastAsia="Palatino Linotype" w:hAnsi="Palatino Linotype" w:cs="Palatino Linotype"/>
          <w:sz w:val="22"/>
          <w:szCs w:val="22"/>
          <w:lang w:val="es-MX" w:eastAsia="es-MX"/>
        </w:rPr>
        <w:t>, relativo a su actuación, teniendo como consecuencia que los ciudadanos tengan confianza en sus autoridades, al poder conocer información derivada de los procedimientos administrativos que hayan concluido con resolución en donde se determine que un servidor público tuvo responsabilidades graves, relacionadas al ejercicio de las funciones. Además que, con dicha información, se estaría revelando que el desempeño del servidor público, en caso de haber sido sancionado, no fue conforme a derecho.</w:t>
      </w:r>
    </w:p>
    <w:p w14:paraId="6546D299" w14:textId="77777777" w:rsidR="00DB269C" w:rsidRDefault="00DB269C" w:rsidP="00DB269C">
      <w:pPr>
        <w:pStyle w:val="Prrafodelista"/>
        <w:rPr>
          <w:rFonts w:ascii="Palatino Linotype" w:eastAsia="Palatino Linotype" w:hAnsi="Palatino Linotype" w:cs="Palatino Linotype"/>
          <w:sz w:val="22"/>
          <w:szCs w:val="22"/>
          <w:lang w:val="es-MX" w:eastAsia="es-MX"/>
        </w:rPr>
      </w:pPr>
    </w:p>
    <w:p w14:paraId="22A7043F" w14:textId="706952B1" w:rsidR="004D0755" w:rsidRDefault="00DB269C" w:rsidP="004D0755">
      <w:pPr>
        <w:numPr>
          <w:ilvl w:val="0"/>
          <w:numId w:val="1"/>
        </w:numPr>
        <w:spacing w:line="360" w:lineRule="auto"/>
        <w:ind w:left="0" w:firstLine="0"/>
        <w:contextualSpacing/>
        <w:jc w:val="both"/>
        <w:rPr>
          <w:rFonts w:ascii="Palatino Linotype" w:eastAsia="Palatino Linotype" w:hAnsi="Palatino Linotype" w:cs="Palatino Linotype"/>
          <w:sz w:val="22"/>
          <w:szCs w:val="22"/>
          <w:lang w:val="es-MX" w:eastAsia="es-MX"/>
        </w:rPr>
      </w:pPr>
      <w:r>
        <w:rPr>
          <w:rFonts w:ascii="Palatino Linotype" w:eastAsia="Palatino Linotype" w:hAnsi="Palatino Linotype" w:cs="Palatino Linotype"/>
          <w:sz w:val="22"/>
          <w:szCs w:val="22"/>
          <w:lang w:val="es-MX" w:eastAsia="es-MX"/>
        </w:rPr>
        <w:t>Ahora bien, respecto de</w:t>
      </w:r>
      <w:r w:rsidR="00563E69">
        <w:rPr>
          <w:rFonts w:ascii="Palatino Linotype" w:eastAsia="Palatino Linotype" w:hAnsi="Palatino Linotype" w:cs="Palatino Linotype"/>
          <w:sz w:val="22"/>
          <w:szCs w:val="22"/>
          <w:lang w:val="es-MX" w:eastAsia="es-MX"/>
        </w:rPr>
        <w:t xml:space="preserve">l estatus del procedimiento, se entiende que con la información que entregue el </w:t>
      </w:r>
      <w:r w:rsidR="00563E69">
        <w:rPr>
          <w:rFonts w:ascii="Palatino Linotype" w:eastAsia="Palatino Linotype" w:hAnsi="Palatino Linotype" w:cs="Palatino Linotype"/>
          <w:b/>
          <w:sz w:val="22"/>
          <w:szCs w:val="22"/>
          <w:lang w:val="es-MX" w:eastAsia="es-MX"/>
        </w:rPr>
        <w:t xml:space="preserve">SUJETO OBLIGADO se tendrá por colmado este punto de la solicitud de información. </w:t>
      </w:r>
    </w:p>
    <w:p w14:paraId="09394F93" w14:textId="77777777" w:rsidR="004D0755" w:rsidRDefault="004D0755" w:rsidP="004D0755">
      <w:pPr>
        <w:pStyle w:val="Prrafodelista"/>
        <w:rPr>
          <w:rFonts w:ascii="Palatino Linotype" w:eastAsia="Palatino Linotype" w:hAnsi="Palatino Linotype" w:cs="Palatino Linotype"/>
          <w:sz w:val="22"/>
          <w:szCs w:val="22"/>
          <w:lang w:val="es-MX" w:eastAsia="es-MX"/>
        </w:rPr>
      </w:pPr>
    </w:p>
    <w:p w14:paraId="76AE7EE2" w14:textId="77777777" w:rsidR="004D0755" w:rsidRPr="004D0755" w:rsidRDefault="004D0755" w:rsidP="004D0755">
      <w:pPr>
        <w:spacing w:line="360" w:lineRule="auto"/>
        <w:contextualSpacing/>
        <w:jc w:val="both"/>
        <w:rPr>
          <w:rFonts w:ascii="Palatino Linotype" w:eastAsia="Palatino Linotype" w:hAnsi="Palatino Linotype" w:cs="Palatino Linotype"/>
          <w:sz w:val="22"/>
          <w:szCs w:val="22"/>
          <w:lang w:val="es-MX" w:eastAsia="es-MX"/>
        </w:rPr>
      </w:pPr>
    </w:p>
    <w:p w14:paraId="6546D29E" w14:textId="77777777" w:rsidR="007F70BF" w:rsidRPr="004D0755" w:rsidRDefault="007F70BF" w:rsidP="00062BC9">
      <w:pPr>
        <w:numPr>
          <w:ilvl w:val="0"/>
          <w:numId w:val="1"/>
        </w:numPr>
        <w:spacing w:line="360" w:lineRule="auto"/>
        <w:ind w:left="0" w:firstLine="0"/>
        <w:jc w:val="both"/>
        <w:rPr>
          <w:rFonts w:ascii="Palatino Linotype" w:hAnsi="Palatino Linotype"/>
          <w:sz w:val="22"/>
          <w:szCs w:val="22"/>
        </w:rPr>
      </w:pPr>
      <w:r w:rsidRPr="009B59B1">
        <w:rPr>
          <w:rFonts w:ascii="Palatino Linotype" w:hAnsi="Palatino Linotype"/>
          <w:sz w:val="22"/>
          <w:szCs w:val="22"/>
        </w:rPr>
        <w:lastRenderedPageBreak/>
        <w:t xml:space="preserve">Po último, respecto a lo solicitado </w:t>
      </w:r>
      <w:r w:rsidRPr="004D0755">
        <w:rPr>
          <w:rFonts w:ascii="Palatino Linotype" w:hAnsi="Palatino Linotype"/>
          <w:sz w:val="22"/>
          <w:szCs w:val="22"/>
        </w:rPr>
        <w:t xml:space="preserve">de </w:t>
      </w:r>
      <w:r w:rsidR="00062BC9" w:rsidRPr="004D0755">
        <w:rPr>
          <w:rFonts w:ascii="Palatino Linotype" w:hAnsi="Palatino Linotype"/>
          <w:sz w:val="22"/>
          <w:szCs w:val="22"/>
        </w:rPr>
        <w:t xml:space="preserve"> “</w:t>
      </w:r>
      <w:r w:rsidR="00062BC9" w:rsidRPr="004D0755">
        <w:rPr>
          <w:rFonts w:ascii="Palatino Linotype" w:hAnsi="Palatino Linotype"/>
          <w:b/>
          <w:i/>
          <w:sz w:val="22"/>
          <w:szCs w:val="22"/>
          <w:lang w:val="es-MX"/>
        </w:rPr>
        <w:t>cuantos son hombres y cuantos mujeres”</w:t>
      </w:r>
      <w:r w:rsidR="00062BC9" w:rsidRPr="004D0755">
        <w:rPr>
          <w:rFonts w:ascii="Palatino Linotype" w:hAnsi="Palatino Linotype"/>
          <w:sz w:val="22"/>
          <w:szCs w:val="22"/>
        </w:rPr>
        <w:t xml:space="preserve"> y </w:t>
      </w:r>
      <w:r w:rsidRPr="004D0755">
        <w:rPr>
          <w:rFonts w:ascii="Palatino Linotype" w:hAnsi="Palatino Linotype"/>
          <w:sz w:val="22"/>
          <w:szCs w:val="22"/>
        </w:rPr>
        <w:t>“</w:t>
      </w:r>
      <w:r w:rsidRPr="004D0755">
        <w:rPr>
          <w:rFonts w:ascii="Palatino Linotype" w:hAnsi="Palatino Linotype"/>
          <w:b/>
          <w:i/>
          <w:sz w:val="22"/>
          <w:szCs w:val="22"/>
          <w:lang w:val="es-MX"/>
        </w:rPr>
        <w:t>rango de edad”</w:t>
      </w:r>
      <w:r w:rsidR="00875613" w:rsidRPr="004D0755">
        <w:rPr>
          <w:rFonts w:ascii="Palatino Linotype" w:hAnsi="Palatino Linotype"/>
          <w:b/>
          <w:i/>
          <w:sz w:val="22"/>
          <w:szCs w:val="22"/>
          <w:lang w:val="es-MX"/>
        </w:rPr>
        <w:t xml:space="preserve">, </w:t>
      </w:r>
      <w:r w:rsidRPr="004D0755">
        <w:rPr>
          <w:rFonts w:ascii="Palatino Linotype" w:hAnsi="Palatino Linotype"/>
          <w:sz w:val="22"/>
          <w:szCs w:val="22"/>
          <w:lang w:val="es-MX"/>
        </w:rPr>
        <w:t xml:space="preserve">se debe de establecer que el </w:t>
      </w:r>
      <w:r w:rsidRPr="004D0755">
        <w:rPr>
          <w:rFonts w:ascii="Palatino Linotype" w:hAnsi="Palatino Linotype"/>
          <w:b/>
          <w:sz w:val="22"/>
          <w:szCs w:val="22"/>
          <w:lang w:val="es-MX"/>
        </w:rPr>
        <w:t xml:space="preserve">RECURRENTE </w:t>
      </w:r>
      <w:r w:rsidRPr="004D0755">
        <w:rPr>
          <w:rFonts w:ascii="Palatino Linotype" w:hAnsi="Palatino Linotype"/>
          <w:sz w:val="22"/>
          <w:szCs w:val="22"/>
          <w:lang w:val="es-MX"/>
        </w:rPr>
        <w:t>está sol</w:t>
      </w:r>
      <w:r w:rsidR="009B59B1" w:rsidRPr="004D0755">
        <w:rPr>
          <w:rFonts w:ascii="Palatino Linotype" w:hAnsi="Palatino Linotype"/>
          <w:sz w:val="22"/>
          <w:szCs w:val="22"/>
          <w:lang w:val="es-MX"/>
        </w:rPr>
        <w:t>icitando</w:t>
      </w:r>
      <w:r w:rsidRPr="004D0755">
        <w:rPr>
          <w:rFonts w:ascii="Palatino Linotype" w:hAnsi="Palatino Linotype"/>
          <w:sz w:val="22"/>
          <w:szCs w:val="22"/>
          <w:lang w:val="es-MX"/>
        </w:rPr>
        <w:t xml:space="preserve"> información</w:t>
      </w:r>
      <w:r w:rsidR="009B59B1" w:rsidRPr="004D0755">
        <w:rPr>
          <w:rFonts w:ascii="Palatino Linotype" w:hAnsi="Palatino Linotype"/>
          <w:sz w:val="22"/>
          <w:szCs w:val="22"/>
          <w:lang w:val="es-MX"/>
        </w:rPr>
        <w:t xml:space="preserve"> que pretende sea de manera estadística, ya que no </w:t>
      </w:r>
      <w:r w:rsidR="00DB269C" w:rsidRPr="004D0755">
        <w:rPr>
          <w:rFonts w:ascii="Palatino Linotype" w:hAnsi="Palatino Linotype"/>
          <w:sz w:val="22"/>
          <w:szCs w:val="22"/>
          <w:lang w:val="es-MX"/>
        </w:rPr>
        <w:t>está</w:t>
      </w:r>
      <w:r w:rsidR="009B59B1" w:rsidRPr="004D0755">
        <w:rPr>
          <w:rFonts w:ascii="Palatino Linotype" w:hAnsi="Palatino Linotype"/>
          <w:sz w:val="22"/>
          <w:szCs w:val="22"/>
          <w:lang w:val="es-MX"/>
        </w:rPr>
        <w:t xml:space="preserve"> solicitando un dato que se hubiera generado, poseído o administrado por parte del </w:t>
      </w:r>
      <w:r w:rsidR="009B59B1" w:rsidRPr="004D0755">
        <w:rPr>
          <w:rFonts w:ascii="Palatino Linotype" w:hAnsi="Palatino Linotype"/>
          <w:b/>
          <w:sz w:val="22"/>
          <w:szCs w:val="22"/>
          <w:lang w:val="es-MX"/>
        </w:rPr>
        <w:t xml:space="preserve">SUJETO OBLIGADO, </w:t>
      </w:r>
      <w:r w:rsidR="009B59B1" w:rsidRPr="004D0755">
        <w:rPr>
          <w:rFonts w:ascii="Palatino Linotype" w:hAnsi="Palatino Linotype"/>
          <w:sz w:val="22"/>
          <w:szCs w:val="22"/>
          <w:lang w:val="es-MX"/>
        </w:rPr>
        <w:t xml:space="preserve">toda vez que al solicitar un rango, se traduce como un intervalo, mismo que ya requiere de un procesamiento para obtener un </w:t>
      </w:r>
      <w:r w:rsidR="00DB269C" w:rsidRPr="004D0755">
        <w:rPr>
          <w:rFonts w:ascii="Palatino Linotype" w:hAnsi="Palatino Linotype"/>
          <w:sz w:val="22"/>
          <w:szCs w:val="22"/>
          <w:lang w:val="es-MX"/>
        </w:rPr>
        <w:t>cálculo</w:t>
      </w:r>
      <w:r w:rsidR="009B59B1" w:rsidRPr="004D0755">
        <w:rPr>
          <w:rFonts w:ascii="Palatino Linotype" w:hAnsi="Palatino Linotype"/>
          <w:sz w:val="22"/>
          <w:szCs w:val="22"/>
          <w:lang w:val="es-MX"/>
        </w:rPr>
        <w:t xml:space="preserve">. </w:t>
      </w:r>
      <w:r w:rsidRPr="004D0755">
        <w:rPr>
          <w:rFonts w:ascii="Palatino Linotype" w:hAnsi="Palatino Linotype"/>
          <w:sz w:val="22"/>
          <w:szCs w:val="22"/>
          <w:lang w:val="es-MX"/>
        </w:rPr>
        <w:t xml:space="preserve"> </w:t>
      </w:r>
    </w:p>
    <w:p w14:paraId="6546D29F" w14:textId="77777777" w:rsidR="009B59B1" w:rsidRPr="004D0755" w:rsidRDefault="009B59B1" w:rsidP="009B59B1">
      <w:pPr>
        <w:pStyle w:val="Prrafodelista"/>
        <w:rPr>
          <w:rFonts w:ascii="Palatino Linotype" w:hAnsi="Palatino Linotype"/>
          <w:sz w:val="22"/>
          <w:szCs w:val="22"/>
        </w:rPr>
      </w:pPr>
    </w:p>
    <w:p w14:paraId="6546D2A0" w14:textId="77777777" w:rsidR="00DB269C" w:rsidRPr="00DB2A9D" w:rsidRDefault="009B59B1" w:rsidP="00563E69">
      <w:pPr>
        <w:numPr>
          <w:ilvl w:val="0"/>
          <w:numId w:val="1"/>
        </w:numPr>
        <w:spacing w:line="360" w:lineRule="auto"/>
        <w:ind w:left="0" w:firstLine="0"/>
        <w:jc w:val="both"/>
        <w:rPr>
          <w:rFonts w:ascii="Palatino Linotype" w:hAnsi="Palatino Linotype"/>
          <w:b/>
          <w:sz w:val="20"/>
          <w:szCs w:val="22"/>
        </w:rPr>
      </w:pPr>
      <w:r w:rsidRPr="004D0755">
        <w:rPr>
          <w:rFonts w:ascii="Palatino Linotype" w:hAnsi="Palatino Linotype"/>
          <w:sz w:val="22"/>
        </w:rPr>
        <w:t xml:space="preserve">Sin embargo, no pasa desapercibido que lo solicitado versa en una estadística la cual, para ser entregada en los términos requeridos, debe ser procesada, toda vez que para el </w:t>
      </w:r>
      <w:r w:rsidRPr="004D0755">
        <w:rPr>
          <w:rFonts w:ascii="Palatino Linotype" w:hAnsi="Palatino Linotype"/>
          <w:b/>
          <w:sz w:val="22"/>
        </w:rPr>
        <w:t>SUJETO OBLIGADO</w:t>
      </w:r>
      <w:r w:rsidRPr="004D0755">
        <w:rPr>
          <w:rFonts w:ascii="Palatino Linotype" w:hAnsi="Palatino Linotype"/>
          <w:sz w:val="22"/>
        </w:rPr>
        <w:t xml:space="preserve"> pueda dar contestación en los términos planteados por el particular, debe investigar en sus archivos, la edad de los servidores públicos, </w:t>
      </w:r>
      <w:r w:rsidR="00CB157A" w:rsidRPr="004D0755">
        <w:rPr>
          <w:rFonts w:ascii="Palatino Linotype" w:hAnsi="Palatino Linotype"/>
          <w:sz w:val="22"/>
        </w:rPr>
        <w:t xml:space="preserve"> </w:t>
      </w:r>
      <w:r w:rsidR="00CB157A" w:rsidRPr="004D0755">
        <w:rPr>
          <w:rFonts w:ascii="Palatino Linotype" w:hAnsi="Palatino Linotype"/>
          <w:b/>
          <w:sz w:val="22"/>
        </w:rPr>
        <w:t>así como de precisar cuántos son hombres y mujeres,</w:t>
      </w:r>
      <w:r w:rsidR="00CB157A" w:rsidRPr="004D0755">
        <w:rPr>
          <w:rFonts w:ascii="Palatino Linotype" w:hAnsi="Palatino Linotype"/>
          <w:sz w:val="22"/>
        </w:rPr>
        <w:t xml:space="preserve"> </w:t>
      </w:r>
      <w:r w:rsidRPr="004D0755">
        <w:rPr>
          <w:rFonts w:ascii="Palatino Linotype" w:hAnsi="Palatino Linotype"/>
          <w:sz w:val="22"/>
        </w:rPr>
        <w:t xml:space="preserve">para posteriormente resumirla, a efecto de sustraer el dato estadístico </w:t>
      </w:r>
      <w:r w:rsidR="00DB269C" w:rsidRPr="004D0755">
        <w:rPr>
          <w:rFonts w:ascii="Palatino Linotype" w:hAnsi="Palatino Linotype"/>
          <w:sz w:val="22"/>
        </w:rPr>
        <w:t>de los servidores públicos que han cometido presuntamente una falta</w:t>
      </w:r>
      <w:r w:rsidR="00DB269C">
        <w:rPr>
          <w:rFonts w:ascii="Palatino Linotype" w:hAnsi="Palatino Linotype"/>
          <w:sz w:val="22"/>
        </w:rPr>
        <w:t xml:space="preserve"> administrativa grave o no grave a los que se la ha iniciado un procedimiento de investigación</w:t>
      </w:r>
      <w:r w:rsidRPr="009B59B1">
        <w:rPr>
          <w:rFonts w:ascii="Palatino Linotype" w:hAnsi="Palatino Linotype"/>
          <w:sz w:val="22"/>
        </w:rPr>
        <w:t xml:space="preserve">, </w:t>
      </w:r>
      <w:r w:rsidRPr="00DB2A9D">
        <w:rPr>
          <w:rFonts w:ascii="Palatino Linotype" w:hAnsi="Palatino Linotype"/>
          <w:b/>
          <w:sz w:val="22"/>
        </w:rPr>
        <w:t xml:space="preserve">todo ello </w:t>
      </w:r>
      <w:r w:rsidR="00DB269C" w:rsidRPr="00DB2A9D">
        <w:rPr>
          <w:rFonts w:ascii="Palatino Linotype" w:hAnsi="Palatino Linotype"/>
          <w:b/>
          <w:sz w:val="22"/>
        </w:rPr>
        <w:t xml:space="preserve">uno de enero de dos mil veintidós al mes de marzo de dos mil veinticuatro. </w:t>
      </w:r>
      <w:r w:rsidRPr="00DB2A9D">
        <w:rPr>
          <w:rFonts w:ascii="Palatino Linotype" w:hAnsi="Palatino Linotype"/>
          <w:b/>
          <w:sz w:val="22"/>
        </w:rPr>
        <w:t xml:space="preserve"> </w:t>
      </w:r>
    </w:p>
    <w:p w14:paraId="6546D2A1" w14:textId="77777777" w:rsidR="00DB269C" w:rsidRDefault="00DB269C" w:rsidP="00DB269C">
      <w:pPr>
        <w:pStyle w:val="Prrafodelista"/>
        <w:rPr>
          <w:rFonts w:ascii="Palatino Linotype" w:hAnsi="Palatino Linotype"/>
          <w:sz w:val="22"/>
        </w:rPr>
      </w:pPr>
    </w:p>
    <w:p w14:paraId="6546D2A2" w14:textId="77777777" w:rsidR="009B59B1" w:rsidRPr="009B59B1" w:rsidRDefault="009B59B1" w:rsidP="00563E69">
      <w:pPr>
        <w:numPr>
          <w:ilvl w:val="0"/>
          <w:numId w:val="1"/>
        </w:numPr>
        <w:spacing w:line="360" w:lineRule="auto"/>
        <w:ind w:left="0" w:firstLine="0"/>
        <w:jc w:val="both"/>
        <w:rPr>
          <w:rFonts w:ascii="Palatino Linotype" w:hAnsi="Palatino Linotype"/>
          <w:sz w:val="20"/>
          <w:szCs w:val="22"/>
        </w:rPr>
      </w:pPr>
      <w:r w:rsidRPr="009B59B1">
        <w:rPr>
          <w:rFonts w:ascii="Palatino Linotype" w:hAnsi="Palatino Linotype"/>
          <w:sz w:val="22"/>
        </w:rPr>
        <w:t xml:space="preserve">Al respecto, es de explorado derecho que los sujetos obligados no se encuentran obligados a generar documentos ad hoc para atender las solicitudes de información de los particulares conforme a sus intereses particulares, como apoyo a lo anterior, es aplicable por analogía el Criterio 03/17, emitido por el Pleno del Instituto Nacional de Transparencia, Acceso a la Información y Protección de Datos Personales (INAI), que a la letra dice: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w:t>
      </w:r>
      <w:r w:rsidRPr="009B59B1">
        <w:rPr>
          <w:rFonts w:ascii="Palatino Linotype" w:hAnsi="Palatino Linotype"/>
          <w:sz w:val="22"/>
        </w:rPr>
        <w:lastRenderedPageBreak/>
        <w:t>facultades, competencias o funciones, conforme a las características físicas de la información o del lugar donde se encuentre. Por lo anterior, los sujetos obligados deben garantizar el derecho de acceso a la información del particular, proporcionando</w:t>
      </w:r>
    </w:p>
    <w:p w14:paraId="6546D2A3" w14:textId="77777777" w:rsidR="007F70BF" w:rsidRPr="000A4C44" w:rsidRDefault="007F70BF" w:rsidP="007F70BF">
      <w:pPr>
        <w:spacing w:line="360" w:lineRule="auto"/>
        <w:contextualSpacing/>
        <w:jc w:val="both"/>
        <w:rPr>
          <w:rFonts w:ascii="Palatino Linotype" w:hAnsi="Palatino Linotype"/>
          <w:b/>
          <w:sz w:val="22"/>
          <w:szCs w:val="22"/>
        </w:rPr>
      </w:pPr>
    </w:p>
    <w:p w14:paraId="6546D2A4" w14:textId="77777777" w:rsidR="00833F34" w:rsidRPr="000A4C44" w:rsidRDefault="00833F34" w:rsidP="00833F34">
      <w:pPr>
        <w:keepNext/>
        <w:keepLines/>
        <w:spacing w:before="40"/>
        <w:outlineLvl w:val="1"/>
        <w:rPr>
          <w:rFonts w:ascii="Palatino Linotype" w:eastAsiaTheme="majorEastAsia" w:hAnsi="Palatino Linotype" w:cstheme="majorBidi"/>
          <w:b/>
          <w:sz w:val="22"/>
          <w:szCs w:val="22"/>
        </w:rPr>
      </w:pPr>
      <w:bookmarkStart w:id="146" w:name="_Toc83128590"/>
      <w:r w:rsidRPr="000A4C44">
        <w:rPr>
          <w:rFonts w:ascii="Palatino Linotype" w:eastAsiaTheme="majorEastAsia" w:hAnsi="Palatino Linotype" w:cstheme="majorBidi"/>
          <w:b/>
          <w:sz w:val="22"/>
          <w:szCs w:val="22"/>
        </w:rPr>
        <w:t xml:space="preserve">QUINTO. </w:t>
      </w:r>
      <w:bookmarkEnd w:id="146"/>
      <w:r w:rsidRPr="000A4C44">
        <w:rPr>
          <w:rFonts w:ascii="Palatino Linotype" w:eastAsiaTheme="majorEastAsia" w:hAnsi="Palatino Linotype" w:cstheme="majorBidi"/>
          <w:b/>
          <w:sz w:val="22"/>
          <w:szCs w:val="22"/>
        </w:rPr>
        <w:t>De la versión pública y clasificación de la información.</w:t>
      </w:r>
    </w:p>
    <w:p w14:paraId="6546D2A5" w14:textId="77777777" w:rsidR="00833F34" w:rsidRPr="000A4C44" w:rsidRDefault="00833F34" w:rsidP="00833F34">
      <w:pPr>
        <w:rPr>
          <w:sz w:val="22"/>
          <w:szCs w:val="22"/>
          <w:lang w:val="es-MX" w:eastAsia="en-US"/>
        </w:rPr>
      </w:pPr>
    </w:p>
    <w:p w14:paraId="6546D2A6"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Debe</w:t>
      </w:r>
      <w:r w:rsidRPr="000A4C44">
        <w:rPr>
          <w:rFonts w:ascii="Palatino Linotype" w:eastAsia="MS Gothic" w:hAnsi="Palatino Linotype"/>
          <w:sz w:val="22"/>
          <w:szCs w:val="22"/>
        </w:rPr>
        <w:t xml:space="preserve"> destacarse que, debido a la naturaleza de la información solicitada a la Contraloría Municipal</w:t>
      </w:r>
      <w:r w:rsidRPr="000A4C44">
        <w:rPr>
          <w:rFonts w:ascii="Palatino Linotype" w:eastAsia="MS Gothic" w:hAnsi="Palatino Linotype"/>
          <w:b/>
          <w:sz w:val="22"/>
          <w:szCs w:val="22"/>
        </w:rPr>
        <w:t xml:space="preserve">, </w:t>
      </w:r>
      <w:r w:rsidRPr="000A4C44">
        <w:rPr>
          <w:rFonts w:ascii="Palatino Linotype" w:eastAsia="MS Gothic" w:hAnsi="Palatino Linotype"/>
          <w:sz w:val="22"/>
          <w:szCs w:val="22"/>
        </w:rPr>
        <w:t>eventualmente pudieran obrar datos personales susceptibles de protegerse</w:t>
      </w:r>
      <w:r w:rsidR="001206E2" w:rsidRPr="000A4C44">
        <w:rPr>
          <w:rFonts w:ascii="Palatino Linotype" w:eastAsia="MS Gothic" w:hAnsi="Palatino Linotype"/>
          <w:sz w:val="22"/>
          <w:szCs w:val="22"/>
        </w:rPr>
        <w:t xml:space="preserve"> como reservados</w:t>
      </w:r>
      <w:r w:rsidRPr="000A4C44">
        <w:rPr>
          <w:rFonts w:ascii="Palatino Linotype" w:eastAsia="MS Gothic" w:hAnsi="Palatino Linotype"/>
          <w:sz w:val="22"/>
          <w:szCs w:val="22"/>
        </w:rPr>
        <w:t xml:space="preserve">, y toda vez que este </w:t>
      </w:r>
      <w:r w:rsidRPr="000A4C44">
        <w:rPr>
          <w:rFonts w:ascii="Palatino Linotype" w:hAnsi="Palatino Linotype" w:cs="Arial"/>
          <w:color w:val="000000"/>
          <w:sz w:val="22"/>
          <w:szCs w:val="22"/>
        </w:rPr>
        <w:t>Instituto</w:t>
      </w:r>
      <w:r w:rsidRPr="000A4C44">
        <w:rPr>
          <w:rFonts w:ascii="Palatino Linotype" w:eastAsia="MS Gothic" w:hAnsi="Palatino Linotype"/>
          <w:sz w:val="22"/>
          <w:szCs w:val="22"/>
        </w:rPr>
        <w:t xml:space="preserve"> de Transparencia, Acceso a la Información Pública y Protección de Datos Personales del Estado de México tiene el deber de velar por la protección de los datos personales aun tratándose de servidores públicos y en su caso generar la </w:t>
      </w:r>
      <w:r w:rsidRPr="000A4C44">
        <w:rPr>
          <w:rFonts w:ascii="Palatino Linotype" w:eastAsia="MS Gothic" w:hAnsi="Palatino Linotype"/>
          <w:b/>
          <w:sz w:val="22"/>
          <w:szCs w:val="22"/>
          <w:u w:val="single"/>
        </w:rPr>
        <w:t>versión pública</w:t>
      </w:r>
      <w:r w:rsidRPr="000A4C44">
        <w:rPr>
          <w:rFonts w:ascii="Palatino Linotype" w:eastAsia="MS Gothic" w:hAnsi="Palatino Linotype"/>
          <w:sz w:val="22"/>
          <w:szCs w:val="22"/>
        </w:rPr>
        <w:t xml:space="preserve"> de los documentos por las consideraciones que se estimen pertinentes.</w:t>
      </w:r>
    </w:p>
    <w:p w14:paraId="6546D2A7" w14:textId="77777777" w:rsidR="00833F34" w:rsidRPr="000A4C44" w:rsidRDefault="00833F34" w:rsidP="00833F34">
      <w:pPr>
        <w:tabs>
          <w:tab w:val="left" w:pos="0"/>
          <w:tab w:val="left" w:pos="142"/>
        </w:tabs>
        <w:spacing w:line="360" w:lineRule="auto"/>
        <w:contextualSpacing/>
        <w:jc w:val="both"/>
        <w:rPr>
          <w:rFonts w:ascii="Palatino Linotype" w:hAnsi="Palatino Linotype" w:cs="Arial"/>
          <w:sz w:val="22"/>
          <w:szCs w:val="22"/>
        </w:rPr>
      </w:pPr>
    </w:p>
    <w:p w14:paraId="6546D2A8"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eastAsia="MS Gothic" w:hAnsi="Palatino Linotype"/>
          <w:sz w:val="22"/>
          <w:szCs w:val="22"/>
        </w:rPr>
        <w:t xml:space="preserve">La </w:t>
      </w:r>
      <w:r w:rsidRPr="000A4C44">
        <w:rPr>
          <w:rFonts w:ascii="Palatino Linotype" w:hAnsi="Palatino Linotype" w:cs="Arial"/>
          <w:sz w:val="22"/>
          <w:szCs w:val="22"/>
        </w:rPr>
        <w:t>clasificación</w:t>
      </w:r>
      <w:r w:rsidRPr="000A4C44">
        <w:rPr>
          <w:rFonts w:ascii="Palatino Linotype" w:eastAsia="MS Gothic" w:hAnsi="Palatino Linotype"/>
          <w:sz w:val="22"/>
          <w:szCs w:val="22"/>
        </w:rPr>
        <w:t xml:space="preserve"> total o parcial de la información requerida, mediante solicitud de acceso a la información pública, constituye una restricción al derecho humano de acceso a la </w:t>
      </w:r>
      <w:r w:rsidRPr="000A4C44">
        <w:rPr>
          <w:rFonts w:ascii="Palatino Linotype" w:hAnsi="Palatino Linotype" w:cs="Arial"/>
          <w:sz w:val="22"/>
          <w:szCs w:val="22"/>
        </w:rPr>
        <w:t>información</w:t>
      </w:r>
      <w:r w:rsidRPr="000A4C44">
        <w:rPr>
          <w:rFonts w:ascii="Palatino Linotype" w:eastAsia="MS Gothic" w:hAnsi="Palatino Linotype"/>
          <w:sz w:val="22"/>
          <w:szCs w:val="22"/>
        </w:rPr>
        <w:t>. Como reiteradamente han dicho, diversos órganos jurisdiccionales, ningún derecho es absoluto</w:t>
      </w:r>
      <w:r w:rsidRPr="000A4C44">
        <w:rPr>
          <w:rFonts w:ascii="Palatino Linotype" w:eastAsia="MS Gothic" w:hAnsi="Palatino Linotype"/>
          <w:sz w:val="22"/>
          <w:szCs w:val="22"/>
          <w:vertAlign w:val="superscript"/>
        </w:rPr>
        <w:footnoteReference w:id="5"/>
      </w:r>
      <w:r w:rsidRPr="000A4C44">
        <w:rPr>
          <w:rFonts w:ascii="Palatino Linotype" w:eastAsia="MS Gothic" w:hAnsi="Palatino Linotype"/>
          <w:sz w:val="22"/>
          <w:szCs w:val="22"/>
        </w:rPr>
        <w:t xml:space="preserve">, aunque cualquier límite o restricción, para ser legítimo, debe reunir </w:t>
      </w:r>
      <w:r w:rsidRPr="000A4C44">
        <w:rPr>
          <w:rFonts w:ascii="Palatino Linotype" w:eastAsia="MS Gothic" w:hAnsi="Palatino Linotype"/>
          <w:sz w:val="22"/>
          <w:szCs w:val="22"/>
        </w:rPr>
        <w:lastRenderedPageBreak/>
        <w:t>con tres requisitos: primero, debe de estar establecida en un ordenamiento legal, antes de su aplicación; debe de corresponder a un fin legítimo y ser estrictamente proporcional con el principio o valor que se pretende preservar.</w:t>
      </w:r>
      <w:r w:rsidRPr="000A4C44">
        <w:rPr>
          <w:rFonts w:ascii="Palatino Linotype" w:eastAsia="MS Gothic" w:hAnsi="Palatino Linotype"/>
          <w:sz w:val="22"/>
          <w:szCs w:val="22"/>
          <w:vertAlign w:val="superscript"/>
        </w:rPr>
        <w:footnoteReference w:id="6"/>
      </w:r>
      <w:r w:rsidRPr="000A4C44">
        <w:rPr>
          <w:rFonts w:ascii="Palatino Linotype" w:eastAsia="MS Gothic" w:hAnsi="Palatino Linotype"/>
          <w:sz w:val="22"/>
          <w:szCs w:val="22"/>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6546D2A9" w14:textId="77777777" w:rsidR="00833F34" w:rsidRPr="000A4C44" w:rsidRDefault="00833F34" w:rsidP="00833F34">
      <w:pPr>
        <w:ind w:left="720"/>
        <w:contextualSpacing/>
        <w:rPr>
          <w:rFonts w:ascii="Palatino Linotype" w:hAnsi="Palatino Linotype" w:cs="Arial"/>
          <w:sz w:val="22"/>
          <w:szCs w:val="22"/>
        </w:rPr>
      </w:pPr>
    </w:p>
    <w:p w14:paraId="6546D2AA"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El </w:t>
      </w:r>
      <w:r w:rsidRPr="000A4C44">
        <w:rPr>
          <w:rFonts w:ascii="Palatino Linotype" w:eastAsia="MS Gothic" w:hAnsi="Palatino Linotype"/>
          <w:sz w:val="22"/>
          <w:szCs w:val="22"/>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6546D2AB" w14:textId="77777777" w:rsidR="00833F34" w:rsidRPr="000A4C44" w:rsidRDefault="00833F34" w:rsidP="00833F34">
      <w:pPr>
        <w:spacing w:line="360" w:lineRule="auto"/>
        <w:ind w:left="720"/>
        <w:contextualSpacing/>
        <w:rPr>
          <w:rFonts w:ascii="Palatino Linotype" w:hAnsi="Palatino Linotype" w:cs="Arial"/>
          <w:sz w:val="22"/>
          <w:szCs w:val="22"/>
        </w:rPr>
      </w:pPr>
    </w:p>
    <w:p w14:paraId="6546D2AC" w14:textId="77777777" w:rsidR="00833F34" w:rsidRPr="000A4C44" w:rsidRDefault="00833F34" w:rsidP="00833F34">
      <w:pPr>
        <w:tabs>
          <w:tab w:val="left" w:pos="142"/>
          <w:tab w:val="left" w:pos="284"/>
          <w:tab w:val="left" w:pos="426"/>
        </w:tabs>
        <w:spacing w:line="360" w:lineRule="auto"/>
        <w:contextualSpacing/>
        <w:jc w:val="both"/>
        <w:outlineLvl w:val="2"/>
        <w:rPr>
          <w:rFonts w:ascii="Palatino Linotype" w:hAnsi="Palatino Linotype" w:cs="Arial"/>
          <w:b/>
          <w:sz w:val="22"/>
          <w:szCs w:val="22"/>
        </w:rPr>
      </w:pPr>
      <w:bookmarkStart w:id="147" w:name="_Toc83901404"/>
      <w:r w:rsidRPr="000A4C44">
        <w:rPr>
          <w:rFonts w:ascii="Palatino Linotype" w:hAnsi="Palatino Linotype" w:cs="Arial"/>
          <w:b/>
          <w:sz w:val="22"/>
          <w:szCs w:val="22"/>
        </w:rPr>
        <w:t>I. Requisitos previos.</w:t>
      </w:r>
      <w:bookmarkEnd w:id="147"/>
    </w:p>
    <w:p w14:paraId="6546D2AD"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Los </w:t>
      </w:r>
      <w:r w:rsidRPr="000A4C44">
        <w:rPr>
          <w:rFonts w:ascii="Palatino Linotype" w:eastAsia="MS Gothic" w:hAnsi="Palatino Linotype"/>
          <w:sz w:val="22"/>
          <w:szCs w:val="22"/>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6546D2AE"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lastRenderedPageBreak/>
        <w:t>Además</w:t>
      </w:r>
      <w:r w:rsidRPr="000A4C44">
        <w:rPr>
          <w:rFonts w:ascii="Palatino Linotype" w:eastAsia="MS Gothic" w:hAnsi="Palatino Linotype"/>
          <w:sz w:val="22"/>
          <w:szCs w:val="22"/>
        </w:rPr>
        <w:t xml:space="preserve">, se debe señalar el procedimiento, de los tres que establecen los artículos 132 y 106 de la Ley Estatal y General, respectivamente, por el que se realiza dicha </w:t>
      </w:r>
      <w:r w:rsidRPr="000A4C44">
        <w:rPr>
          <w:rFonts w:ascii="Palatino Linotype" w:hAnsi="Palatino Linotype" w:cs="Arial"/>
          <w:sz w:val="22"/>
          <w:szCs w:val="22"/>
        </w:rPr>
        <w:t>clasificación</w:t>
      </w:r>
      <w:r w:rsidRPr="000A4C44">
        <w:rPr>
          <w:rFonts w:ascii="Palatino Linotype" w:eastAsia="MS Gothic" w:hAnsi="Palatino Linotype"/>
          <w:sz w:val="22"/>
          <w:szCs w:val="22"/>
        </w:rPr>
        <w:t>, a saber, cuando se atiende una solicitud de acceso a la información, porque lo determina una autoridad competente o porque se va a generar una versión pública para cumplir con sus obligaciones.</w:t>
      </w:r>
    </w:p>
    <w:p w14:paraId="6546D2AF" w14:textId="77777777" w:rsidR="00833F34" w:rsidRPr="000A4C44" w:rsidRDefault="00833F34" w:rsidP="00833F34">
      <w:pPr>
        <w:ind w:left="720"/>
        <w:contextualSpacing/>
        <w:rPr>
          <w:rFonts w:ascii="Palatino Linotype" w:hAnsi="Palatino Linotype" w:cs="Arial"/>
          <w:sz w:val="22"/>
          <w:szCs w:val="22"/>
        </w:rPr>
      </w:pPr>
    </w:p>
    <w:p w14:paraId="6546D2B0"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El último</w:t>
      </w:r>
      <w:r w:rsidRPr="000A4C44">
        <w:rPr>
          <w:rFonts w:ascii="Palatino Linotype" w:eastAsia="MS Gothic" w:hAnsi="Palatino Linotype"/>
          <w:sz w:val="22"/>
          <w:szCs w:val="22"/>
        </w:rPr>
        <w:t xml:space="preserve"> de estos requisitos previos consiste en que no se pueden emitir acuerdos de carácter general ni particular, según lo disponen los artículos 134 y 108 de la Ley Estatal y de la Ley General, respectivamente, esto es, </w:t>
      </w:r>
      <w:r w:rsidRPr="000A4C44">
        <w:rPr>
          <w:rFonts w:ascii="Palatino Linotype" w:eastAsia="MS Gothic" w:hAnsi="Palatino Linotype"/>
          <w:b/>
          <w:sz w:val="22"/>
          <w:szCs w:val="22"/>
          <w:u w:val="single"/>
        </w:rPr>
        <w:t xml:space="preserve">no se puede hacer </w:t>
      </w:r>
      <w:r w:rsidRPr="000A4C44">
        <w:rPr>
          <w:rFonts w:ascii="Palatino Linotype" w:hAnsi="Palatino Linotype" w:cs="Arial"/>
          <w:sz w:val="22"/>
          <w:szCs w:val="22"/>
        </w:rPr>
        <w:t>un</w:t>
      </w:r>
      <w:r w:rsidRPr="000A4C44">
        <w:rPr>
          <w:rFonts w:ascii="Palatino Linotype" w:eastAsia="MS Gothic" w:hAnsi="Palatino Linotype"/>
          <w:b/>
          <w:sz w:val="22"/>
          <w:szCs w:val="22"/>
          <w:u w:val="single"/>
        </w:rPr>
        <w:t xml:space="preserve"> acuerdo para clasificar de manera general todos los documentos de un expediente o área</w:t>
      </w:r>
      <w:r w:rsidRPr="000A4C44">
        <w:rPr>
          <w:rFonts w:ascii="Palatino Linotype" w:eastAsia="MS Gothic" w:hAnsi="Palatino Linotype"/>
          <w:b/>
          <w:sz w:val="22"/>
          <w:szCs w:val="22"/>
        </w:rPr>
        <w:t xml:space="preserve">,  </w:t>
      </w:r>
      <w:r w:rsidRPr="000A4C44">
        <w:rPr>
          <w:rFonts w:ascii="Palatino Linotype" w:eastAsia="MS Gothic" w:hAnsi="Palatino Linotype"/>
          <w:sz w:val="22"/>
          <w:szCs w:val="22"/>
        </w:rPr>
        <w:t>sin individualizar su análisis y tampoco se puede hacer un acuerdo por cada dato que se vaya a clasificar dentro de un documento con diez datos, por ejemplo, susceptibles de ser clasificados.</w:t>
      </w:r>
    </w:p>
    <w:p w14:paraId="6546D2B1" w14:textId="77777777" w:rsidR="00833F34" w:rsidRPr="000A4C44" w:rsidRDefault="00833F34" w:rsidP="00833F34">
      <w:pPr>
        <w:ind w:left="720"/>
        <w:contextualSpacing/>
        <w:rPr>
          <w:rFonts w:ascii="Palatino Linotype" w:hAnsi="Palatino Linotype" w:cs="Arial"/>
          <w:sz w:val="22"/>
          <w:szCs w:val="22"/>
        </w:rPr>
      </w:pPr>
    </w:p>
    <w:p w14:paraId="6546D2B2" w14:textId="77777777" w:rsidR="00833F34" w:rsidRPr="000A4C44" w:rsidRDefault="00833F34" w:rsidP="00833F34">
      <w:pPr>
        <w:tabs>
          <w:tab w:val="left" w:pos="142"/>
          <w:tab w:val="left" w:pos="284"/>
          <w:tab w:val="left" w:pos="426"/>
        </w:tabs>
        <w:spacing w:line="360" w:lineRule="auto"/>
        <w:contextualSpacing/>
        <w:jc w:val="both"/>
        <w:outlineLvl w:val="2"/>
        <w:rPr>
          <w:rFonts w:ascii="Palatino Linotype" w:hAnsi="Palatino Linotype" w:cs="Arial"/>
          <w:b/>
          <w:sz w:val="22"/>
          <w:szCs w:val="22"/>
        </w:rPr>
      </w:pPr>
      <w:bookmarkStart w:id="148" w:name="_Toc83901405"/>
      <w:r w:rsidRPr="000A4C44">
        <w:rPr>
          <w:rFonts w:ascii="Palatino Linotype" w:hAnsi="Palatino Linotype" w:cs="Arial"/>
          <w:b/>
          <w:sz w:val="22"/>
          <w:szCs w:val="22"/>
        </w:rPr>
        <w:t>II. Supuestos de clasificación.</w:t>
      </w:r>
      <w:bookmarkEnd w:id="148"/>
    </w:p>
    <w:p w14:paraId="6546D2B3"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Las</w:t>
      </w:r>
      <w:r w:rsidRPr="000A4C44">
        <w:rPr>
          <w:rFonts w:ascii="Palatino Linotype" w:eastAsia="MS Gothic" w:hAnsi="Palatino Linotype"/>
          <w:sz w:val="22"/>
          <w:szCs w:val="22"/>
        </w:rPr>
        <w:t xml:space="preserve"> </w:t>
      </w:r>
      <w:r w:rsidRPr="000A4C44">
        <w:rPr>
          <w:rFonts w:ascii="Palatino Linotype" w:hAnsi="Palatino Linotype" w:cs="Arial"/>
          <w:sz w:val="22"/>
          <w:szCs w:val="22"/>
        </w:rPr>
        <w:t>disposiciones</w:t>
      </w:r>
      <w:r w:rsidRPr="000A4C44">
        <w:rPr>
          <w:rFonts w:ascii="Palatino Linotype" w:eastAsia="MS Gothic" w:hAnsi="Palatino Linotype"/>
          <w:sz w:val="22"/>
          <w:szCs w:val="22"/>
        </w:rPr>
        <w:t xml:space="preserve"> constitucionales y legales en la materia establecen los dos supuestos generales para clasificar la información: por reserva y por confidencialidad.</w:t>
      </w:r>
    </w:p>
    <w:p w14:paraId="6546D2B4" w14:textId="77777777" w:rsidR="00833F34" w:rsidRPr="000A4C44" w:rsidRDefault="00833F34" w:rsidP="00833F34">
      <w:pPr>
        <w:tabs>
          <w:tab w:val="left" w:pos="284"/>
        </w:tabs>
        <w:spacing w:line="360" w:lineRule="auto"/>
        <w:ind w:right="49"/>
        <w:contextualSpacing/>
        <w:jc w:val="both"/>
        <w:rPr>
          <w:rFonts w:ascii="Palatino Linotype" w:hAnsi="Palatino Linotype" w:cs="Arial"/>
          <w:sz w:val="22"/>
          <w:szCs w:val="22"/>
        </w:rPr>
      </w:pPr>
    </w:p>
    <w:p w14:paraId="6546D2B5"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eastAsia="MS Gothic" w:hAnsi="Palatino Linotype"/>
          <w:sz w:val="22"/>
          <w:szCs w:val="22"/>
        </w:rPr>
        <w:t>Los artículos</w:t>
      </w:r>
      <w:r w:rsidRPr="000A4C44">
        <w:rPr>
          <w:rFonts w:ascii="Palatino Linotype" w:hAnsi="Palatino Linotype" w:cs="Arial"/>
          <w:sz w:val="22"/>
          <w:szCs w:val="22"/>
        </w:rPr>
        <w:t xml:space="preserve"> </w:t>
      </w:r>
      <w:r w:rsidRPr="000A4C44">
        <w:rPr>
          <w:rFonts w:ascii="Palatino Linotype" w:eastAsia="MS Gothic" w:hAnsi="Palatino Linotype"/>
          <w:sz w:val="22"/>
          <w:szCs w:val="22"/>
        </w:rPr>
        <w:t xml:space="preserve">143 y 116 de la Ley Estatal y de la Ley General, respectivamente, señalan </w:t>
      </w:r>
      <w:r w:rsidRPr="000A4C44">
        <w:rPr>
          <w:rFonts w:ascii="Palatino Linotype" w:hAnsi="Palatino Linotype" w:cs="Arial"/>
          <w:sz w:val="22"/>
          <w:szCs w:val="22"/>
        </w:rPr>
        <w:t>los</w:t>
      </w:r>
      <w:r w:rsidRPr="000A4C44">
        <w:rPr>
          <w:rFonts w:ascii="Palatino Linotype" w:eastAsia="MS Gothic" w:hAnsi="Palatino Linotype"/>
          <w:sz w:val="22"/>
          <w:szCs w:val="22"/>
        </w:rPr>
        <w:t xml:space="preserve"> supuestos para que la información pueda ser clasificada como confidencial:</w:t>
      </w:r>
    </w:p>
    <w:p w14:paraId="6546D2B6" w14:textId="77777777" w:rsidR="00833F34" w:rsidRPr="000A4C44" w:rsidRDefault="00833F34" w:rsidP="00833F34">
      <w:pPr>
        <w:ind w:left="720"/>
        <w:contextualSpacing/>
        <w:rPr>
          <w:rFonts w:ascii="Palatino Linotype" w:hAnsi="Palatino Linotype" w:cs="Arial"/>
          <w:sz w:val="22"/>
          <w:szCs w:val="22"/>
        </w:rPr>
      </w:pPr>
    </w:p>
    <w:p w14:paraId="6546D2B7" w14:textId="77777777" w:rsidR="00833F34" w:rsidRPr="000A4C44" w:rsidRDefault="00833F34" w:rsidP="001206E2">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A4C44">
        <w:rPr>
          <w:rFonts w:ascii="Palatino Linotype" w:hAnsi="Palatino Linotype" w:cs="Bookman Old Style"/>
          <w:bCs/>
          <w:i/>
          <w:color w:val="000000"/>
          <w:sz w:val="22"/>
          <w:szCs w:val="22"/>
        </w:rPr>
        <w:t xml:space="preserve">“I. </w:t>
      </w:r>
      <w:r w:rsidRPr="000A4C44">
        <w:rPr>
          <w:rFonts w:ascii="Palatino Linotype" w:hAnsi="Palatino Linotype" w:cs="Bookman Old Style"/>
          <w:i/>
          <w:color w:val="000000"/>
          <w:sz w:val="22"/>
          <w:szCs w:val="22"/>
        </w:rPr>
        <w:t xml:space="preserve">Se refiera a la información privada y los datos personales concernientes a una persona física o jurídico colectiva identificada o identificable; </w:t>
      </w:r>
    </w:p>
    <w:p w14:paraId="6546D2B8" w14:textId="77777777" w:rsidR="00833F34" w:rsidRPr="000A4C44" w:rsidRDefault="00833F34" w:rsidP="001206E2">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A4C44">
        <w:rPr>
          <w:rFonts w:ascii="Palatino Linotype" w:hAnsi="Palatino Linotype" w:cs="Bookman Old Style"/>
          <w:bCs/>
          <w:i/>
          <w:color w:val="000000"/>
          <w:sz w:val="22"/>
          <w:szCs w:val="22"/>
        </w:rPr>
        <w:t xml:space="preserve">II. </w:t>
      </w:r>
      <w:r w:rsidRPr="000A4C44">
        <w:rPr>
          <w:rFonts w:ascii="Palatino Linotype" w:hAnsi="Palatino Linotype" w:cs="Bookman Old Style"/>
          <w:i/>
          <w:color w:val="000000"/>
          <w:sz w:val="22"/>
          <w:szCs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6546D2B9" w14:textId="77777777" w:rsidR="00833F34" w:rsidRPr="000A4C44" w:rsidRDefault="00833F34" w:rsidP="001206E2">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A4C44">
        <w:rPr>
          <w:rFonts w:ascii="Palatino Linotype" w:hAnsi="Palatino Linotype" w:cs="Bookman Old Style"/>
          <w:bCs/>
          <w:i/>
          <w:color w:val="000000"/>
          <w:sz w:val="22"/>
          <w:szCs w:val="22"/>
        </w:rPr>
        <w:t xml:space="preserve">III. </w:t>
      </w:r>
      <w:r w:rsidRPr="000A4C44">
        <w:rPr>
          <w:rFonts w:ascii="Palatino Linotype" w:hAnsi="Palatino Linotype" w:cs="Bookman Old Style"/>
          <w:i/>
          <w:color w:val="000000"/>
          <w:sz w:val="22"/>
          <w:szCs w:val="22"/>
        </w:rPr>
        <w:t xml:space="preserve">La que presenten los particulares a los sujetos obligados, de conformidad con lo dispuesto por las leyes o los tratados internacionales. </w:t>
      </w:r>
    </w:p>
    <w:p w14:paraId="6546D2BA" w14:textId="77777777" w:rsidR="00833F34" w:rsidRPr="000A4C44" w:rsidRDefault="00833F34" w:rsidP="001206E2">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A4C44">
        <w:rPr>
          <w:rFonts w:ascii="Palatino Linotype" w:hAnsi="Palatino Linotype" w:cs="Bookman Old Style"/>
          <w:i/>
          <w:color w:val="000000"/>
          <w:sz w:val="22"/>
          <w:szCs w:val="22"/>
        </w:rPr>
        <w:t xml:space="preserve">La información confidencial no estará sujeta a temporalidad alguna y sólo podrán tener acceso a ella los titulares de la misma, sus representantes y los servidores públicos facultados para ello. </w:t>
      </w:r>
    </w:p>
    <w:p w14:paraId="6546D2BB" w14:textId="77777777" w:rsidR="00833F34" w:rsidRPr="000A4C44" w:rsidRDefault="00833F34" w:rsidP="001206E2">
      <w:pPr>
        <w:widowControl w:val="0"/>
        <w:tabs>
          <w:tab w:val="left" w:pos="7938"/>
        </w:tabs>
        <w:autoSpaceDE w:val="0"/>
        <w:autoSpaceDN w:val="0"/>
        <w:adjustRightInd w:val="0"/>
        <w:ind w:left="1134" w:right="900"/>
        <w:jc w:val="both"/>
        <w:rPr>
          <w:rFonts w:ascii="Palatino Linotype" w:hAnsi="Palatino Linotype" w:cs="Bookman Old Style"/>
          <w:i/>
          <w:color w:val="000000"/>
          <w:sz w:val="22"/>
          <w:szCs w:val="22"/>
        </w:rPr>
      </w:pPr>
      <w:r w:rsidRPr="000A4C44">
        <w:rPr>
          <w:rFonts w:ascii="Palatino Linotype" w:hAnsi="Palatino Linotype" w:cs="Bookman Old Style"/>
          <w:i/>
          <w:color w:val="000000"/>
          <w:sz w:val="22"/>
          <w:szCs w:val="22"/>
        </w:rPr>
        <w:lastRenderedPageBreak/>
        <w:t>No se considerará confidencial la información que se encuentre en los registros públicos o en fuentes de acceso público, ni tampoco la que sea considerada por la presente ley como información pública. “</w:t>
      </w:r>
    </w:p>
    <w:p w14:paraId="6546D2BC" w14:textId="77777777" w:rsidR="00833F34" w:rsidRPr="000A4C44" w:rsidRDefault="00833F34" w:rsidP="00833F34">
      <w:pPr>
        <w:tabs>
          <w:tab w:val="left" w:pos="0"/>
          <w:tab w:val="left" w:pos="142"/>
        </w:tabs>
        <w:spacing w:line="360" w:lineRule="auto"/>
        <w:contextualSpacing/>
        <w:jc w:val="both"/>
        <w:rPr>
          <w:rFonts w:ascii="Palatino Linotype" w:hAnsi="Palatino Linotype" w:cs="Arial"/>
          <w:sz w:val="22"/>
          <w:szCs w:val="22"/>
        </w:rPr>
      </w:pPr>
    </w:p>
    <w:p w14:paraId="6546D2BD"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Mientras </w:t>
      </w:r>
      <w:r w:rsidRPr="000A4C44">
        <w:rPr>
          <w:rFonts w:ascii="Palatino Linotype" w:eastAsia="MS Gothic" w:hAnsi="Palatino Linotype"/>
          <w:sz w:val="22"/>
          <w:szCs w:val="22"/>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6546D2BE" w14:textId="77777777" w:rsidR="00833F34" w:rsidRPr="000A4C44" w:rsidRDefault="00833F34" w:rsidP="00833F34">
      <w:pPr>
        <w:tabs>
          <w:tab w:val="left" w:pos="0"/>
          <w:tab w:val="left" w:pos="142"/>
        </w:tabs>
        <w:spacing w:line="360" w:lineRule="auto"/>
        <w:contextualSpacing/>
        <w:jc w:val="both"/>
        <w:rPr>
          <w:rFonts w:ascii="Palatino Linotype" w:hAnsi="Palatino Linotype" w:cs="Arial"/>
          <w:sz w:val="22"/>
          <w:szCs w:val="22"/>
        </w:rPr>
      </w:pPr>
    </w:p>
    <w:p w14:paraId="6546D2BF"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Como</w:t>
      </w:r>
      <w:r w:rsidRPr="000A4C44">
        <w:rPr>
          <w:rFonts w:ascii="Palatino Linotype" w:eastAsia="MS Gothic" w:hAnsi="Palatino Linotype"/>
          <w:sz w:val="22"/>
          <w:szCs w:val="22"/>
        </w:rPr>
        <w:t xml:space="preserve"> </w:t>
      </w:r>
      <w:r w:rsidRPr="000A4C44">
        <w:rPr>
          <w:rFonts w:ascii="Palatino Linotype" w:hAnsi="Palatino Linotype" w:cs="Arial"/>
          <w:sz w:val="22"/>
          <w:szCs w:val="22"/>
        </w:rPr>
        <w:t>c</w:t>
      </w:r>
      <w:r w:rsidRPr="000A4C44">
        <w:rPr>
          <w:rFonts w:ascii="Palatino Linotype" w:eastAsia="MS Gothic" w:hAnsi="Palatino Linotype"/>
          <w:sz w:val="22"/>
          <w:szCs w:val="22"/>
        </w:rPr>
        <w:t xml:space="preserve">onsecuencia de lo anterior, el </w:t>
      </w:r>
      <w:r w:rsidRPr="000A4C44">
        <w:rPr>
          <w:rFonts w:ascii="Palatino Linotype" w:eastAsia="MS Gothic" w:hAnsi="Palatino Linotype"/>
          <w:b/>
          <w:sz w:val="22"/>
          <w:szCs w:val="22"/>
        </w:rPr>
        <w:t>SUJETO OBLIGADO</w:t>
      </w:r>
      <w:r w:rsidRPr="000A4C44">
        <w:rPr>
          <w:rFonts w:ascii="Palatino Linotype" w:eastAsia="MS Gothic" w:hAnsi="Palatino Linotype"/>
          <w:sz w:val="22"/>
          <w:szCs w:val="22"/>
        </w:rPr>
        <w:t xml:space="preserve"> debe identificar </w:t>
      </w:r>
      <w:r w:rsidRPr="000A4C44">
        <w:rPr>
          <w:rFonts w:ascii="Palatino Linotype" w:hAnsi="Palatino Linotype" w:cs="Arial"/>
          <w:sz w:val="22"/>
          <w:szCs w:val="22"/>
        </w:rPr>
        <w:t>claramente</w:t>
      </w:r>
      <w:r w:rsidRPr="000A4C44">
        <w:rPr>
          <w:rFonts w:ascii="Palatino Linotype" w:eastAsia="MS Gothic" w:hAnsi="Palatino Linotype"/>
          <w:sz w:val="22"/>
          <w:szCs w:val="22"/>
        </w:rPr>
        <w:t xml:space="preserve"> el tipo de información y hacer un juicio de subsunción o encaje</w:t>
      </w:r>
      <w:r w:rsidRPr="000A4C44">
        <w:rPr>
          <w:rFonts w:ascii="Palatino Linotype" w:eastAsia="MS Gothic" w:hAnsi="Palatino Linotype"/>
          <w:sz w:val="22"/>
          <w:szCs w:val="22"/>
          <w:vertAlign w:val="superscript"/>
        </w:rPr>
        <w:footnoteReference w:id="7"/>
      </w:r>
      <w:r w:rsidRPr="000A4C44">
        <w:rPr>
          <w:rFonts w:ascii="Palatino Linotype" w:eastAsia="MS Gothic" w:hAnsi="Palatino Linotype"/>
          <w:sz w:val="22"/>
          <w:szCs w:val="22"/>
        </w:rPr>
        <w:t xml:space="preserve"> para acreditar que el supuesto de hecho corresponde estrictamente con la hipótesis jurídica. Esto también lo debe de realizar el servidor público habilitado y el titular del área que administra la información.</w:t>
      </w:r>
    </w:p>
    <w:p w14:paraId="6546D2C0" w14:textId="77777777" w:rsidR="00833F34" w:rsidRPr="000A4C44" w:rsidRDefault="00833F34" w:rsidP="00833F34">
      <w:pPr>
        <w:ind w:left="720"/>
        <w:contextualSpacing/>
        <w:rPr>
          <w:rFonts w:ascii="Palatino Linotype" w:hAnsi="Palatino Linotype" w:cs="Arial"/>
          <w:sz w:val="22"/>
          <w:szCs w:val="22"/>
        </w:rPr>
      </w:pPr>
    </w:p>
    <w:p w14:paraId="6546D2C1"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lastRenderedPageBreak/>
        <w:t>Al respecto,</w:t>
      </w:r>
      <w:r w:rsidRPr="000A4C44">
        <w:rPr>
          <w:rFonts w:ascii="Palatino Linotype" w:eastAsia="MS Gothic" w:hAnsi="Palatino Linotype"/>
          <w:sz w:val="22"/>
          <w:szCs w:val="22"/>
        </w:rPr>
        <w:t xml:space="preserve"> los Lineamientos Generales en Materia de Clasificación y </w:t>
      </w:r>
      <w:r w:rsidRPr="000A4C44">
        <w:rPr>
          <w:rFonts w:ascii="Palatino Linotype" w:hAnsi="Palatino Linotype" w:cs="Arial"/>
          <w:sz w:val="22"/>
          <w:szCs w:val="22"/>
        </w:rPr>
        <w:t>Desclasificación</w:t>
      </w:r>
      <w:r w:rsidRPr="000A4C44">
        <w:rPr>
          <w:rFonts w:ascii="Palatino Linotype" w:eastAsia="MS Gothic" w:hAnsi="Palatino Linotype"/>
          <w:sz w:val="22"/>
          <w:szCs w:val="22"/>
        </w:rPr>
        <w:t xml:space="preserve"> de la Información, así Como para la Elaboración de Versiones Públicas, por cuanto hace a la clasificación de la información, señalan lo siguiente:</w:t>
      </w:r>
    </w:p>
    <w:p w14:paraId="6546D2C2" w14:textId="77777777" w:rsidR="00833F34" w:rsidRPr="000A4C44" w:rsidRDefault="00833F34" w:rsidP="001206E2">
      <w:pPr>
        <w:ind w:left="1134" w:right="900"/>
        <w:contextualSpacing/>
        <w:rPr>
          <w:rFonts w:ascii="Palatino Linotype" w:hAnsi="Palatino Linotype" w:cs="Arial"/>
          <w:sz w:val="22"/>
          <w:szCs w:val="22"/>
        </w:rPr>
      </w:pPr>
    </w:p>
    <w:p w14:paraId="6546D2C3"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w:t>
      </w:r>
      <w:r w:rsidRPr="000A4C44">
        <w:rPr>
          <w:rFonts w:ascii="Palatino Linotype" w:hAnsi="Palatino Linotype" w:cs="Arial"/>
          <w:b/>
          <w:i/>
          <w:sz w:val="22"/>
          <w:szCs w:val="22"/>
        </w:rPr>
        <w:t>Quincuagésimo.</w:t>
      </w:r>
      <w:r w:rsidRPr="000A4C44">
        <w:rPr>
          <w:rFonts w:ascii="Palatino Linotype" w:hAnsi="Palatino Linotype" w:cs="Arial"/>
          <w:i/>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546D2C4"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p>
    <w:p w14:paraId="6546D2C5"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b/>
          <w:i/>
          <w:sz w:val="22"/>
          <w:szCs w:val="22"/>
        </w:rPr>
        <w:t>Quincuagésimo primero.</w:t>
      </w:r>
      <w:r w:rsidRPr="000A4C44">
        <w:rPr>
          <w:rFonts w:ascii="Palatino Linotype" w:hAnsi="Palatino Linotype" w:cs="Arial"/>
          <w:i/>
          <w:sz w:val="22"/>
          <w:szCs w:val="22"/>
        </w:rPr>
        <w:t xml:space="preserve"> La leyenda en los documentos clasificados indicará:</w:t>
      </w:r>
    </w:p>
    <w:p w14:paraId="6546D2C6"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I. La fecha de sesión del Comité de Transparencia en donde se confirmó la clasificación, en su caso;</w:t>
      </w:r>
    </w:p>
    <w:p w14:paraId="6546D2C7"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II. El nombre del área;</w:t>
      </w:r>
    </w:p>
    <w:p w14:paraId="6546D2C8"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III. La palabra reservado o confidencial;</w:t>
      </w:r>
    </w:p>
    <w:p w14:paraId="6546D2C9"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IV. Las partes o secciones reservadas o confidenciales, en su caso;</w:t>
      </w:r>
    </w:p>
    <w:p w14:paraId="6546D2CA"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V. El fundamento legal;</w:t>
      </w:r>
    </w:p>
    <w:p w14:paraId="6546D2CB"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VI. El periodo de reserva, y</w:t>
      </w:r>
    </w:p>
    <w:p w14:paraId="6546D2CC"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VII. La rúbrica del titular del área.</w:t>
      </w:r>
    </w:p>
    <w:p w14:paraId="6546D2CD"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p>
    <w:p w14:paraId="6546D2CE"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b/>
          <w:i/>
          <w:sz w:val="22"/>
          <w:szCs w:val="22"/>
        </w:rPr>
        <w:t>Quincuagésimo segundo.</w:t>
      </w:r>
      <w:r w:rsidRPr="000A4C44">
        <w:rPr>
          <w:rFonts w:ascii="Palatino Linotype" w:hAnsi="Palatino Linotype" w:cs="Arial"/>
          <w:i/>
          <w:sz w:val="22"/>
          <w:szCs w:val="22"/>
        </w:rPr>
        <w:t xml:space="preserve"> Los sujetos obligados elaborarán los formatos a que se refiere este Capítulo en medios impresos o electrónicos, entre otros, debiendo ubicarse la leyenda de clasificación en la esquina superior derecha del documento.</w:t>
      </w:r>
    </w:p>
    <w:p w14:paraId="6546D2CF"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i/>
          <w:sz w:val="22"/>
          <w:szCs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6546D2D0"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p>
    <w:p w14:paraId="6546D2D1" w14:textId="77777777" w:rsidR="00833F34" w:rsidRPr="000A4C44" w:rsidRDefault="00833F34" w:rsidP="001206E2">
      <w:pPr>
        <w:tabs>
          <w:tab w:val="left" w:pos="142"/>
          <w:tab w:val="left" w:pos="284"/>
          <w:tab w:val="left" w:pos="426"/>
        </w:tabs>
        <w:ind w:left="1134" w:right="900"/>
        <w:contextualSpacing/>
        <w:jc w:val="both"/>
        <w:rPr>
          <w:rFonts w:ascii="Palatino Linotype" w:hAnsi="Palatino Linotype" w:cs="Arial"/>
          <w:i/>
          <w:sz w:val="22"/>
          <w:szCs w:val="22"/>
        </w:rPr>
      </w:pPr>
      <w:r w:rsidRPr="000A4C44">
        <w:rPr>
          <w:rFonts w:ascii="Palatino Linotype" w:hAnsi="Palatino Linotype" w:cs="Arial"/>
          <w:b/>
          <w:i/>
          <w:sz w:val="22"/>
          <w:szCs w:val="22"/>
        </w:rPr>
        <w:t>Quincuagésimo tercero.</w:t>
      </w:r>
      <w:r w:rsidRPr="000A4C44">
        <w:rPr>
          <w:rFonts w:ascii="Palatino Linotype" w:hAnsi="Palatino Linotype" w:cs="Arial"/>
          <w:i/>
          <w:sz w:val="22"/>
          <w:szCs w:val="22"/>
        </w:rPr>
        <w:t xml:space="preserve"> El formato para señalar la clasificación parcial de un documento, es el siguiente: </w:t>
      </w:r>
    </w:p>
    <w:p w14:paraId="6546D2D2" w14:textId="77777777" w:rsidR="00833F34" w:rsidRPr="000A4C44" w:rsidRDefault="00833F34" w:rsidP="00833F34">
      <w:pPr>
        <w:tabs>
          <w:tab w:val="left" w:pos="142"/>
          <w:tab w:val="left" w:pos="284"/>
          <w:tab w:val="left" w:pos="426"/>
        </w:tabs>
        <w:ind w:left="567" w:right="567"/>
        <w:contextualSpacing/>
        <w:jc w:val="both"/>
        <w:rPr>
          <w:rFonts w:ascii="Palatino Linotype" w:hAnsi="Palatino Linotype" w:cs="Arial"/>
          <w:i/>
          <w:sz w:val="22"/>
          <w:szCs w:val="22"/>
        </w:rPr>
      </w:pPr>
    </w:p>
    <w:p w14:paraId="6546D2D3" w14:textId="77777777" w:rsidR="00833F34" w:rsidRPr="000A4C44" w:rsidRDefault="00833F34" w:rsidP="00833F34">
      <w:pPr>
        <w:tabs>
          <w:tab w:val="left" w:pos="0"/>
          <w:tab w:val="left" w:pos="142"/>
        </w:tabs>
        <w:spacing w:line="360" w:lineRule="auto"/>
        <w:contextualSpacing/>
        <w:jc w:val="center"/>
        <w:rPr>
          <w:rFonts w:ascii="Palatino Linotype" w:hAnsi="Palatino Linotype" w:cs="Arial"/>
          <w:sz w:val="22"/>
          <w:szCs w:val="22"/>
        </w:rPr>
      </w:pPr>
      <w:r w:rsidRPr="000A4C44">
        <w:rPr>
          <w:rFonts w:ascii="Palatino Linotype" w:hAnsi="Palatino Linotype" w:cs="Arial"/>
          <w:i/>
          <w:noProof/>
          <w:sz w:val="22"/>
          <w:szCs w:val="22"/>
          <w:lang w:val="es-MX" w:eastAsia="es-MX"/>
        </w:rPr>
        <w:lastRenderedPageBreak/>
        <w:drawing>
          <wp:inline distT="0" distB="0" distL="0" distR="0" wp14:anchorId="6546D328" wp14:editId="6546D329">
            <wp:extent cx="3697793" cy="3577213"/>
            <wp:effectExtent l="57150" t="57150" r="112395" b="118745"/>
            <wp:docPr id="3" name="Imagen 3"/>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0680" cy="35413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546D2D4" w14:textId="77777777" w:rsidR="00833F34" w:rsidRPr="000A4C44" w:rsidRDefault="00833F34" w:rsidP="00833F34">
      <w:pPr>
        <w:tabs>
          <w:tab w:val="left" w:pos="0"/>
          <w:tab w:val="left" w:pos="142"/>
        </w:tabs>
        <w:spacing w:line="360" w:lineRule="auto"/>
        <w:contextualSpacing/>
        <w:jc w:val="center"/>
        <w:rPr>
          <w:rFonts w:ascii="Palatino Linotype" w:hAnsi="Palatino Linotype" w:cs="Arial"/>
          <w:sz w:val="22"/>
          <w:szCs w:val="22"/>
        </w:rPr>
      </w:pPr>
    </w:p>
    <w:p w14:paraId="6546D2D5"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Una vez </w:t>
      </w:r>
      <w:r w:rsidRPr="000A4C44">
        <w:rPr>
          <w:rFonts w:ascii="Palatino Linotype" w:eastAsia="MS Gothic" w:hAnsi="Palatino Linotype"/>
          <w:sz w:val="22"/>
          <w:szCs w:val="22"/>
        </w:rPr>
        <w:t xml:space="preserve">hecho lo anterior, se remite la información al Titular de la Unidad de </w:t>
      </w:r>
      <w:r w:rsidRPr="000A4C44">
        <w:rPr>
          <w:rFonts w:ascii="Palatino Linotype" w:hAnsi="Palatino Linotype" w:cs="Arial"/>
          <w:sz w:val="22"/>
          <w:szCs w:val="22"/>
        </w:rPr>
        <w:t>Transparencia</w:t>
      </w:r>
      <w:r w:rsidRPr="000A4C44">
        <w:rPr>
          <w:rFonts w:ascii="Palatino Linotype" w:eastAsia="MS Gothic" w:hAnsi="Palatino Linotype"/>
          <w:sz w:val="22"/>
          <w:szCs w:val="22"/>
        </w:rPr>
        <w:t>, con el acuerdo de clasificación correspondiente, para que sea sometido al conocimiento del Comité de Transparencia.</w:t>
      </w:r>
    </w:p>
    <w:p w14:paraId="6546D2D6" w14:textId="77777777" w:rsidR="00833F34" w:rsidRPr="000A4C44" w:rsidRDefault="00833F34" w:rsidP="00833F34">
      <w:pPr>
        <w:tabs>
          <w:tab w:val="left" w:pos="0"/>
          <w:tab w:val="left" w:pos="142"/>
        </w:tabs>
        <w:spacing w:line="360" w:lineRule="auto"/>
        <w:contextualSpacing/>
        <w:jc w:val="both"/>
        <w:rPr>
          <w:rFonts w:ascii="Palatino Linotype" w:eastAsia="MS Gothic" w:hAnsi="Palatino Linotype"/>
          <w:sz w:val="22"/>
          <w:szCs w:val="22"/>
        </w:rPr>
      </w:pPr>
    </w:p>
    <w:p w14:paraId="6546D2D7" w14:textId="77777777" w:rsidR="00833F34" w:rsidRPr="000A4C44" w:rsidRDefault="00833F34" w:rsidP="00833F34">
      <w:pPr>
        <w:tabs>
          <w:tab w:val="left" w:pos="142"/>
          <w:tab w:val="left" w:pos="284"/>
          <w:tab w:val="left" w:pos="426"/>
        </w:tabs>
        <w:spacing w:line="360" w:lineRule="auto"/>
        <w:contextualSpacing/>
        <w:jc w:val="both"/>
        <w:outlineLvl w:val="2"/>
        <w:rPr>
          <w:rFonts w:ascii="Palatino Linotype" w:hAnsi="Palatino Linotype" w:cs="Arial"/>
          <w:b/>
          <w:sz w:val="22"/>
          <w:szCs w:val="22"/>
        </w:rPr>
      </w:pPr>
      <w:bookmarkStart w:id="149" w:name="_Toc51863317"/>
      <w:bookmarkStart w:id="150" w:name="_Toc52444651"/>
      <w:bookmarkStart w:id="151" w:name="_Toc57154370"/>
      <w:bookmarkStart w:id="152" w:name="_Toc65170176"/>
      <w:bookmarkStart w:id="153" w:name="_Toc66371802"/>
      <w:bookmarkStart w:id="154" w:name="_Toc67584837"/>
      <w:bookmarkStart w:id="155" w:name="_Toc70070913"/>
      <w:bookmarkStart w:id="156" w:name="_Toc70417474"/>
      <w:bookmarkStart w:id="157" w:name="_Toc71234389"/>
      <w:bookmarkStart w:id="158" w:name="_Toc83901406"/>
      <w:r w:rsidRPr="000A4C44">
        <w:rPr>
          <w:rFonts w:ascii="Palatino Linotype" w:hAnsi="Palatino Linotype" w:cs="Arial"/>
          <w:b/>
          <w:sz w:val="22"/>
          <w:szCs w:val="22"/>
        </w:rPr>
        <w:t>III. La intervención del Comité de Transparencia.</w:t>
      </w:r>
      <w:bookmarkEnd w:id="149"/>
      <w:bookmarkEnd w:id="150"/>
      <w:bookmarkEnd w:id="151"/>
      <w:bookmarkEnd w:id="152"/>
      <w:bookmarkEnd w:id="153"/>
      <w:bookmarkEnd w:id="154"/>
      <w:bookmarkEnd w:id="155"/>
      <w:bookmarkEnd w:id="156"/>
      <w:bookmarkEnd w:id="157"/>
      <w:bookmarkEnd w:id="158"/>
    </w:p>
    <w:p w14:paraId="6546D2D8" w14:textId="77777777" w:rsidR="00833F34" w:rsidRPr="000A4C44" w:rsidRDefault="00833F34" w:rsidP="00833F34">
      <w:pPr>
        <w:tabs>
          <w:tab w:val="left" w:pos="142"/>
          <w:tab w:val="left" w:pos="284"/>
          <w:tab w:val="left" w:pos="426"/>
        </w:tabs>
        <w:spacing w:line="360" w:lineRule="auto"/>
        <w:contextualSpacing/>
        <w:jc w:val="both"/>
        <w:rPr>
          <w:rFonts w:ascii="Palatino Linotype" w:hAnsi="Palatino Linotype" w:cs="Arial"/>
          <w:b/>
          <w:sz w:val="22"/>
          <w:szCs w:val="22"/>
        </w:rPr>
      </w:pPr>
      <w:r w:rsidRPr="000A4C44">
        <w:rPr>
          <w:rFonts w:ascii="Palatino Linotype" w:hAnsi="Palatino Linotype" w:cs="Arial"/>
          <w:b/>
          <w:sz w:val="22"/>
          <w:szCs w:val="22"/>
        </w:rPr>
        <w:t>a) Formalidades para emitir el Acuerdo de Clasificación.</w:t>
      </w:r>
    </w:p>
    <w:p w14:paraId="6546D2D9"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eastAsia="MS Gothic" w:hAnsi="Palatino Linotype"/>
          <w:sz w:val="22"/>
          <w:szCs w:val="22"/>
        </w:rPr>
        <w:t>El Comité</w:t>
      </w:r>
      <w:r w:rsidRPr="000A4C44">
        <w:rPr>
          <w:rFonts w:ascii="Palatino Linotype" w:hAnsi="Palatino Linotype" w:cs="Arial"/>
          <w:sz w:val="22"/>
          <w:szCs w:val="22"/>
        </w:rPr>
        <w:t xml:space="preserve"> </w:t>
      </w:r>
      <w:r w:rsidRPr="000A4C44">
        <w:rPr>
          <w:rFonts w:ascii="Palatino Linotype" w:eastAsia="MS Gothic" w:hAnsi="Palatino Linotype"/>
          <w:sz w:val="22"/>
          <w:szCs w:val="22"/>
        </w:rPr>
        <w:t xml:space="preserve">de Transparencia, según lo dispuesto en los artículos 128 y 103 de la Ley </w:t>
      </w:r>
      <w:r w:rsidRPr="000A4C44">
        <w:rPr>
          <w:rFonts w:ascii="Palatino Linotype" w:hAnsi="Palatino Linotype" w:cs="Arial"/>
          <w:sz w:val="22"/>
          <w:szCs w:val="22"/>
        </w:rPr>
        <w:t>Estatal</w:t>
      </w:r>
      <w:r w:rsidRPr="000A4C44">
        <w:rPr>
          <w:rFonts w:ascii="Palatino Linotype" w:eastAsia="MS Gothic" w:hAnsi="Palatino Linotype"/>
          <w:sz w:val="22"/>
          <w:szCs w:val="22"/>
        </w:rPr>
        <w:t xml:space="preserve">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0A4C44">
        <w:rPr>
          <w:rFonts w:ascii="Palatino Linotype" w:eastAsia="MS Gothic" w:hAnsi="Palatino Linotype"/>
          <w:b/>
          <w:sz w:val="22"/>
          <w:szCs w:val="22"/>
          <w:u w:val="single"/>
        </w:rPr>
        <w:t>confirmar, modificar o revocar</w:t>
      </w:r>
      <w:r w:rsidRPr="000A4C44">
        <w:rPr>
          <w:rFonts w:ascii="Palatino Linotype" w:eastAsia="MS Gothic" w:hAnsi="Palatino Linotype"/>
          <w:sz w:val="22"/>
          <w:szCs w:val="22"/>
        </w:rPr>
        <w:t xml:space="preserve"> la clasificación de la información que ha hecho el titular del área que administra la información. Por lo tanto, el </w:t>
      </w:r>
      <w:r w:rsidRPr="000A4C44">
        <w:rPr>
          <w:rFonts w:ascii="Palatino Linotype" w:eastAsia="MS Gothic" w:hAnsi="Palatino Linotype"/>
          <w:sz w:val="22"/>
          <w:szCs w:val="22"/>
        </w:rPr>
        <w:lastRenderedPageBreak/>
        <w:t xml:space="preserve">Comité </w:t>
      </w:r>
      <w:r w:rsidRPr="000A4C44">
        <w:rPr>
          <w:rFonts w:ascii="Palatino Linotype" w:eastAsia="MS Gothic" w:hAnsi="Palatino Linotype"/>
          <w:b/>
          <w:sz w:val="22"/>
          <w:szCs w:val="22"/>
          <w:u w:val="single"/>
        </w:rPr>
        <w:t>no aprueba</w:t>
      </w:r>
      <w:r w:rsidRPr="000A4C44">
        <w:rPr>
          <w:rFonts w:ascii="Palatino Linotype" w:eastAsia="MS Gothic" w:hAnsi="Palatino Linotype"/>
          <w:sz w:val="22"/>
          <w:szCs w:val="22"/>
        </w:rPr>
        <w:t xml:space="preserve"> la clasificación, sino que revisa lo que ha hecho el titular del área y confirma, modifica o revoca la decisión a través de un acuerdo.</w:t>
      </w:r>
    </w:p>
    <w:p w14:paraId="6546D2DA" w14:textId="77777777" w:rsidR="00833F34" w:rsidRPr="000A4C44" w:rsidRDefault="00833F34" w:rsidP="00833F34">
      <w:pPr>
        <w:tabs>
          <w:tab w:val="left" w:pos="0"/>
          <w:tab w:val="left" w:pos="142"/>
        </w:tabs>
        <w:spacing w:line="360" w:lineRule="auto"/>
        <w:contextualSpacing/>
        <w:jc w:val="both"/>
        <w:rPr>
          <w:rFonts w:ascii="Palatino Linotype" w:hAnsi="Palatino Linotype" w:cs="Arial"/>
          <w:sz w:val="22"/>
          <w:szCs w:val="22"/>
        </w:rPr>
      </w:pPr>
    </w:p>
    <w:p w14:paraId="6546D2DB"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eastAsia="MS Gothic" w:hAnsi="Palatino Linotype"/>
          <w:sz w:val="22"/>
          <w:szCs w:val="22"/>
        </w:rPr>
        <w:t xml:space="preserve">Evidentemente, esta decisión implica una restricción a un derecho humano, por lo tanto, puede generar un agravio al particular y, en consecuencia, es necesario que </w:t>
      </w:r>
      <w:r w:rsidRPr="000A4C44">
        <w:rPr>
          <w:rFonts w:ascii="Palatino Linotype" w:eastAsia="MS Gothic" w:hAnsi="Palatino Linotype"/>
          <w:b/>
          <w:sz w:val="22"/>
          <w:szCs w:val="22"/>
          <w:u w:val="single"/>
        </w:rPr>
        <w:t>el acto reúna con los requisitos elementales</w:t>
      </w:r>
      <w:r w:rsidRPr="000A4C44">
        <w:rPr>
          <w:rFonts w:ascii="Palatino Linotype" w:eastAsia="MS Gothic" w:hAnsi="Palatino Linotype"/>
          <w:sz w:val="22"/>
          <w:szCs w:val="22"/>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6546D2DC" w14:textId="77777777" w:rsidR="00833F34" w:rsidRPr="000A4C44" w:rsidRDefault="00833F34" w:rsidP="00833F34">
      <w:pPr>
        <w:ind w:left="720"/>
        <w:contextualSpacing/>
        <w:rPr>
          <w:rFonts w:ascii="Palatino Linotype" w:hAnsi="Palatino Linotype" w:cs="Arial"/>
          <w:sz w:val="22"/>
          <w:szCs w:val="22"/>
        </w:rPr>
      </w:pPr>
    </w:p>
    <w:p w14:paraId="6546D2DD"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La decisión </w:t>
      </w:r>
      <w:r w:rsidRPr="000A4C44">
        <w:rPr>
          <w:rFonts w:ascii="Palatino Linotype" w:eastAsia="MS Gothic" w:hAnsi="Palatino Linotype"/>
          <w:sz w:val="22"/>
          <w:szCs w:val="22"/>
        </w:rPr>
        <w:t>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546D2DE" w14:textId="77777777" w:rsidR="00833F34" w:rsidRPr="000A4C44" w:rsidRDefault="00833F34" w:rsidP="00833F34">
      <w:pPr>
        <w:tabs>
          <w:tab w:val="left" w:pos="142"/>
          <w:tab w:val="left" w:pos="284"/>
          <w:tab w:val="left" w:pos="426"/>
        </w:tabs>
        <w:spacing w:line="360" w:lineRule="auto"/>
        <w:contextualSpacing/>
        <w:jc w:val="both"/>
        <w:rPr>
          <w:rFonts w:ascii="Palatino Linotype" w:hAnsi="Palatino Linotype" w:cs="Arial"/>
          <w:sz w:val="22"/>
          <w:szCs w:val="22"/>
        </w:rPr>
      </w:pPr>
    </w:p>
    <w:p w14:paraId="6546D2DF" w14:textId="77777777" w:rsidR="00833F34" w:rsidRPr="000A4C44" w:rsidRDefault="00833F34" w:rsidP="00833F34">
      <w:pPr>
        <w:tabs>
          <w:tab w:val="left" w:pos="142"/>
          <w:tab w:val="left" w:pos="284"/>
          <w:tab w:val="left" w:pos="426"/>
        </w:tabs>
        <w:spacing w:line="360" w:lineRule="auto"/>
        <w:contextualSpacing/>
        <w:jc w:val="both"/>
        <w:rPr>
          <w:rFonts w:ascii="Palatino Linotype" w:hAnsi="Palatino Linotype" w:cs="Arial"/>
          <w:b/>
          <w:sz w:val="22"/>
          <w:szCs w:val="22"/>
        </w:rPr>
      </w:pPr>
      <w:r w:rsidRPr="000A4C44">
        <w:rPr>
          <w:rFonts w:ascii="Palatino Linotype" w:hAnsi="Palatino Linotype" w:cs="Arial"/>
          <w:b/>
          <w:sz w:val="22"/>
          <w:szCs w:val="22"/>
        </w:rPr>
        <w:t>b) Requisitos de fondo del Acuerdo de Clasificación.</w:t>
      </w:r>
    </w:p>
    <w:p w14:paraId="6546D2E0"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Como </w:t>
      </w:r>
      <w:r w:rsidRPr="000A4C44">
        <w:rPr>
          <w:rFonts w:ascii="Palatino Linotype" w:eastAsia="MS Gothic" w:hAnsi="Palatino Linotype"/>
          <w:sz w:val="22"/>
          <w:szCs w:val="22"/>
        </w:rPr>
        <w:t xml:space="preserve">se ha señalado antes, al hacer el juicio de subsunción o encaje entre el supuesto </w:t>
      </w:r>
      <w:r w:rsidRPr="000A4C44">
        <w:rPr>
          <w:rFonts w:ascii="Palatino Linotype" w:hAnsi="Palatino Linotype" w:cs="Arial"/>
          <w:sz w:val="22"/>
          <w:szCs w:val="22"/>
        </w:rPr>
        <w:t>de</w:t>
      </w:r>
      <w:r w:rsidRPr="000A4C44">
        <w:rPr>
          <w:rFonts w:ascii="Palatino Linotype" w:eastAsia="MS Gothic" w:hAnsi="Palatino Linotype"/>
          <w:sz w:val="22"/>
          <w:szCs w:val="22"/>
        </w:rPr>
        <w:t xml:space="preserve"> hecho y la hipótesis jurídica, se debe acreditar la estricta </w:t>
      </w:r>
      <w:r w:rsidRPr="000A4C44">
        <w:rPr>
          <w:rFonts w:ascii="Palatino Linotype" w:hAnsi="Palatino Linotype" w:cs="Arial"/>
          <w:sz w:val="22"/>
          <w:szCs w:val="22"/>
        </w:rPr>
        <w:t>correspondencia</w:t>
      </w:r>
      <w:r w:rsidRPr="000A4C44">
        <w:rPr>
          <w:rFonts w:ascii="Palatino Linotype" w:eastAsia="MS Gothic" w:hAnsi="Palatino Linotype"/>
          <w:sz w:val="22"/>
          <w:szCs w:val="22"/>
        </w:rPr>
        <w:t xml:space="preserve"> entre un elemento y otro. Ahora, en esta parte del procedimiento, que se desahoga en sede del Comité de Transparencia, la ley nos aporta mayores luces para cumplir con dicha </w:t>
      </w:r>
      <w:r w:rsidRPr="000A4C44">
        <w:rPr>
          <w:rFonts w:ascii="Palatino Linotype" w:eastAsia="MS Gothic" w:hAnsi="Palatino Linotype"/>
          <w:sz w:val="22"/>
          <w:szCs w:val="22"/>
        </w:rPr>
        <w:lastRenderedPageBreak/>
        <w:t>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6546D2E1" w14:textId="77777777" w:rsidR="00833F34" w:rsidRPr="000A4C44" w:rsidRDefault="00833F34" w:rsidP="00833F34">
      <w:pPr>
        <w:tabs>
          <w:tab w:val="left" w:pos="284"/>
        </w:tabs>
        <w:spacing w:line="360" w:lineRule="auto"/>
        <w:ind w:right="49"/>
        <w:contextualSpacing/>
        <w:jc w:val="both"/>
        <w:rPr>
          <w:rFonts w:ascii="Palatino Linotype" w:hAnsi="Palatino Linotype" w:cs="Arial"/>
          <w:sz w:val="22"/>
          <w:szCs w:val="22"/>
        </w:rPr>
      </w:pPr>
    </w:p>
    <w:p w14:paraId="6546D2E2"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eastAsia="MS Gothic" w:hAnsi="Palatino Linotype"/>
          <w:sz w:val="22"/>
          <w:szCs w:val="22"/>
        </w:rPr>
        <w:t xml:space="preserve">De lo anterior, se desprende que, para una correcta clasificación total o parcial, esto es determinar los datos que se suprimen en las versiones públicas, es necesario fundar y motivar, de manera correcta, la clasificación; considerando que todo acto </w:t>
      </w:r>
      <w:r w:rsidRPr="000A4C44">
        <w:rPr>
          <w:rFonts w:ascii="Palatino Linotype" w:hAnsi="Palatino Linotype" w:cs="Arial"/>
          <w:sz w:val="22"/>
          <w:szCs w:val="22"/>
        </w:rPr>
        <w:t>que</w:t>
      </w:r>
      <w:r w:rsidRPr="000A4C44">
        <w:rPr>
          <w:rFonts w:ascii="Palatino Linotype" w:eastAsia="MS Gothic" w:hAnsi="Palatino Linotype"/>
          <w:sz w:val="22"/>
          <w:szCs w:val="22"/>
        </w:rPr>
        <w:t xml:space="preserve"> la autoridad pronuncie en el ejercicio de sus atribuciones, debe expresar los fundamentos legales que le dieron origen y las razones por las que se deben aplicar al caso concreto.</w:t>
      </w:r>
    </w:p>
    <w:p w14:paraId="6546D2E3" w14:textId="77777777" w:rsidR="00833F34" w:rsidRPr="000A4C44" w:rsidRDefault="00833F34" w:rsidP="00833F34">
      <w:pPr>
        <w:ind w:left="720"/>
        <w:contextualSpacing/>
        <w:rPr>
          <w:rFonts w:ascii="Palatino Linotype" w:hAnsi="Palatino Linotype" w:cs="Arial"/>
          <w:sz w:val="22"/>
          <w:szCs w:val="22"/>
        </w:rPr>
      </w:pPr>
    </w:p>
    <w:p w14:paraId="6546D2E4"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Han </w:t>
      </w:r>
      <w:r w:rsidRPr="000A4C44">
        <w:rPr>
          <w:rFonts w:ascii="Palatino Linotype" w:eastAsia="MS Gothic" w:hAnsi="Palatino Linotype"/>
          <w:sz w:val="22"/>
          <w:szCs w:val="22"/>
        </w:rPr>
        <w:t>sido vastos los estudios doctrinarios relativos a estos derechos fundamentales y al principio de legalidad en ellos contenidos; como ejemplo, el procesalista José Ovalle Fabela, en su obra “Garantías Constitucionales del Proceso”, refiere que “...</w:t>
      </w:r>
      <w:r w:rsidRPr="000A4C44">
        <w:rPr>
          <w:rFonts w:ascii="Palatino Linotype" w:eastAsia="MS Gothic" w:hAnsi="Palatino Linotype"/>
          <w:i/>
          <w:sz w:val="22"/>
          <w:szCs w:val="22"/>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0A4C44">
        <w:rPr>
          <w:rFonts w:ascii="Palatino Linotype" w:eastAsia="MS Gothic" w:hAnsi="Palatino Linotype"/>
          <w:sz w:val="22"/>
          <w:szCs w:val="22"/>
        </w:rPr>
        <w:t>...”</w:t>
      </w:r>
      <w:r w:rsidRPr="000A4C44">
        <w:rPr>
          <w:rFonts w:ascii="Palatino Linotype" w:eastAsia="MS Gothic" w:hAnsi="Palatino Linotype"/>
          <w:sz w:val="22"/>
          <w:szCs w:val="22"/>
          <w:vertAlign w:val="superscript"/>
        </w:rPr>
        <w:footnoteReference w:id="8"/>
      </w:r>
    </w:p>
    <w:p w14:paraId="6546D2E5" w14:textId="77777777" w:rsidR="00833F34" w:rsidRPr="000A4C44" w:rsidRDefault="00833F34" w:rsidP="00833F34">
      <w:pPr>
        <w:tabs>
          <w:tab w:val="left" w:pos="0"/>
          <w:tab w:val="left" w:pos="142"/>
        </w:tabs>
        <w:spacing w:line="360" w:lineRule="auto"/>
        <w:contextualSpacing/>
        <w:jc w:val="both"/>
        <w:rPr>
          <w:rFonts w:ascii="Palatino Linotype" w:hAnsi="Palatino Linotype" w:cs="Arial"/>
          <w:sz w:val="22"/>
          <w:szCs w:val="22"/>
        </w:rPr>
      </w:pPr>
    </w:p>
    <w:p w14:paraId="6546D2E6"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lastRenderedPageBreak/>
        <w:t>Por su parte, el intérprete judicial del país ha establecido una jurisprudencia respecto a qué debe entenderse por fundamentación y motivación, en los siguientes términos:</w:t>
      </w:r>
    </w:p>
    <w:p w14:paraId="6546D2E7" w14:textId="77777777" w:rsidR="00833F34" w:rsidRPr="000A4C44" w:rsidRDefault="00833F34" w:rsidP="00833F34">
      <w:pPr>
        <w:spacing w:line="360" w:lineRule="auto"/>
        <w:ind w:left="720"/>
        <w:contextualSpacing/>
        <w:rPr>
          <w:rFonts w:ascii="Palatino Linotype" w:hAnsi="Palatino Linotype" w:cs="Arial"/>
          <w:sz w:val="22"/>
          <w:szCs w:val="22"/>
        </w:rPr>
      </w:pPr>
    </w:p>
    <w:p w14:paraId="6546D2E8" w14:textId="77777777" w:rsidR="00833F34" w:rsidRPr="000A4C44" w:rsidRDefault="00833F34" w:rsidP="001206E2">
      <w:pPr>
        <w:ind w:left="1134" w:right="900"/>
        <w:contextualSpacing/>
        <w:jc w:val="both"/>
        <w:rPr>
          <w:rFonts w:ascii="Palatino Linotype" w:hAnsi="Palatino Linotype" w:cs="Arial"/>
          <w:i/>
          <w:color w:val="000000"/>
          <w:sz w:val="22"/>
          <w:szCs w:val="22"/>
        </w:rPr>
      </w:pPr>
      <w:r w:rsidRPr="000A4C44">
        <w:rPr>
          <w:rFonts w:ascii="Palatino Linotype" w:hAnsi="Palatino Linotype" w:cs="Arial"/>
          <w:b/>
          <w:i/>
          <w:color w:val="000000"/>
          <w:sz w:val="22"/>
          <w:szCs w:val="22"/>
        </w:rPr>
        <w:t>FUNDAMENTACIÓN Y MOTIVACIÓN.</w:t>
      </w:r>
      <w:r w:rsidRPr="000A4C44">
        <w:rPr>
          <w:rFonts w:ascii="Palatino Linotype" w:hAnsi="Palatino Linotype" w:cs="Arial"/>
          <w:i/>
          <w:color w:val="000000"/>
          <w:sz w:val="22"/>
          <w:szCs w:val="22"/>
        </w:rPr>
        <w:t xml:space="preserve"> “La </w:t>
      </w:r>
      <w:r w:rsidRPr="000A4C44">
        <w:rPr>
          <w:rFonts w:ascii="Palatino Linotype" w:hAnsi="Palatino Linotype" w:cs="Arial"/>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0A4C44">
        <w:rPr>
          <w:rFonts w:ascii="Palatino Linotype" w:hAnsi="Palatino Linotype" w:cs="Arial"/>
          <w:i/>
          <w:color w:val="000000"/>
          <w:sz w:val="22"/>
          <w:szCs w:val="22"/>
        </w:rPr>
        <w:t>.”</w:t>
      </w:r>
    </w:p>
    <w:p w14:paraId="6546D2E9" w14:textId="77777777" w:rsidR="00833F34" w:rsidRPr="000A4C44" w:rsidRDefault="00833F34" w:rsidP="00833F34">
      <w:pPr>
        <w:spacing w:line="360" w:lineRule="auto"/>
        <w:ind w:left="720"/>
        <w:contextualSpacing/>
        <w:rPr>
          <w:rFonts w:ascii="Palatino Linotype" w:hAnsi="Palatino Linotype" w:cs="Arial"/>
          <w:sz w:val="22"/>
          <w:szCs w:val="22"/>
        </w:rPr>
      </w:pPr>
    </w:p>
    <w:p w14:paraId="6546D2EA"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Así, </w:t>
      </w:r>
      <w:r w:rsidRPr="000A4C44">
        <w:rPr>
          <w:rFonts w:ascii="Palatino Linotype" w:eastAsia="MS Gothic" w:hAnsi="Palatino Linotype"/>
          <w:sz w:val="22"/>
          <w:szCs w:val="22"/>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546D2EB" w14:textId="77777777" w:rsidR="00833F34" w:rsidRPr="000A4C44" w:rsidRDefault="00833F34" w:rsidP="00833F34">
      <w:pPr>
        <w:tabs>
          <w:tab w:val="left" w:pos="284"/>
        </w:tabs>
        <w:spacing w:line="360" w:lineRule="auto"/>
        <w:ind w:right="49"/>
        <w:contextualSpacing/>
        <w:jc w:val="both"/>
        <w:rPr>
          <w:rFonts w:ascii="Palatino Linotype" w:hAnsi="Palatino Linotype" w:cs="Arial"/>
          <w:sz w:val="22"/>
          <w:szCs w:val="22"/>
        </w:rPr>
      </w:pPr>
    </w:p>
    <w:p w14:paraId="6546D2EC"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eastAsia="MS Gothic" w:hAnsi="Palatino Linotype"/>
          <w:sz w:val="22"/>
          <w:szCs w:val="22"/>
        </w:rPr>
        <w:t xml:space="preserve">En consecuencia, la fundamentación y motivación implica que, en el acto de autoridad, </w:t>
      </w:r>
      <w:r w:rsidRPr="000A4C44">
        <w:rPr>
          <w:rFonts w:ascii="Palatino Linotype" w:hAnsi="Palatino Linotype" w:cs="Arial"/>
          <w:sz w:val="22"/>
          <w:szCs w:val="22"/>
        </w:rPr>
        <w:t>además</w:t>
      </w:r>
      <w:r w:rsidRPr="000A4C44">
        <w:rPr>
          <w:rFonts w:ascii="Palatino Linotype" w:eastAsia="MS Gothic" w:hAnsi="Palatino Linotype"/>
          <w:sz w:val="22"/>
          <w:szCs w:val="22"/>
        </w:rPr>
        <w:t xml:space="preserve"> de contenerse los supuestos jurídicos aplicables se expliquen claramente por qué a través de la utilización de la norma se emitió el acto. De este modo, la </w:t>
      </w:r>
      <w:r w:rsidRPr="000A4C44">
        <w:rPr>
          <w:rFonts w:ascii="Palatino Linotype" w:hAnsi="Palatino Linotype" w:cs="Arial"/>
          <w:sz w:val="22"/>
          <w:szCs w:val="22"/>
        </w:rPr>
        <w:t>persona</w:t>
      </w:r>
      <w:r w:rsidRPr="000A4C44">
        <w:rPr>
          <w:rFonts w:ascii="Palatino Linotype" w:eastAsia="MS Gothic" w:hAnsi="Palatino Linotype"/>
          <w:sz w:val="22"/>
          <w:szCs w:val="22"/>
        </w:rPr>
        <w:t xml:space="preserve"> que se sienta afectada pueda impugnar la decisión, permitiéndole una real y auténtica defensa.</w:t>
      </w:r>
    </w:p>
    <w:p w14:paraId="6546D2ED" w14:textId="77777777" w:rsidR="00833F34" w:rsidRPr="000A4C44" w:rsidRDefault="00833F34" w:rsidP="00833F34">
      <w:pPr>
        <w:ind w:left="720"/>
        <w:contextualSpacing/>
        <w:rPr>
          <w:rFonts w:ascii="Palatino Linotype" w:hAnsi="Palatino Linotype" w:cs="Arial"/>
          <w:sz w:val="22"/>
          <w:szCs w:val="22"/>
        </w:rPr>
      </w:pPr>
    </w:p>
    <w:p w14:paraId="6546D2EE"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En </w:t>
      </w:r>
      <w:r w:rsidRPr="000A4C44">
        <w:rPr>
          <w:rFonts w:ascii="Palatino Linotype" w:eastAsia="MS Gothic" w:hAnsi="Palatino Linotype"/>
          <w:sz w:val="22"/>
          <w:szCs w:val="22"/>
        </w:rPr>
        <w:t>ese</w:t>
      </w:r>
      <w:r w:rsidRPr="000A4C44">
        <w:rPr>
          <w:rFonts w:ascii="Palatino Linotype" w:hAnsi="Palatino Linotype" w:cs="Arial"/>
          <w:sz w:val="22"/>
          <w:szCs w:val="22"/>
        </w:rPr>
        <w:t xml:space="preserve"> </w:t>
      </w:r>
      <w:r w:rsidRPr="000A4C44">
        <w:rPr>
          <w:rFonts w:ascii="Palatino Linotype" w:eastAsia="MS Gothic" w:hAnsi="Palatino Linotype"/>
          <w:sz w:val="22"/>
          <w:szCs w:val="22"/>
        </w:rPr>
        <w:t>mismo sentido, el numeral trigésimo tercero fracción V de los Lineamientos Generales, precisa que para motivar la clasificación se deben acreditar las circunstancias de tiempo, modo y lugar.</w:t>
      </w:r>
    </w:p>
    <w:p w14:paraId="6546D2EF" w14:textId="77777777" w:rsidR="00833F34" w:rsidRPr="000A4C44" w:rsidRDefault="00833F34" w:rsidP="00833F34">
      <w:pPr>
        <w:ind w:left="720"/>
        <w:contextualSpacing/>
        <w:rPr>
          <w:rFonts w:ascii="Palatino Linotype" w:hAnsi="Palatino Linotype" w:cs="Arial"/>
          <w:sz w:val="22"/>
          <w:szCs w:val="22"/>
        </w:rPr>
      </w:pPr>
    </w:p>
    <w:p w14:paraId="6546D2F0" w14:textId="77777777" w:rsidR="00833F34" w:rsidRPr="000A4C44" w:rsidRDefault="00833F34" w:rsidP="00833F34">
      <w:pPr>
        <w:numPr>
          <w:ilvl w:val="0"/>
          <w:numId w:val="1"/>
        </w:numPr>
        <w:tabs>
          <w:tab w:val="left" w:pos="284"/>
        </w:tabs>
        <w:spacing w:line="360" w:lineRule="auto"/>
        <w:ind w:left="0" w:right="49" w:firstLine="0"/>
        <w:contextualSpacing/>
        <w:jc w:val="both"/>
        <w:rPr>
          <w:rFonts w:ascii="Palatino Linotype" w:hAnsi="Palatino Linotype" w:cs="Arial"/>
          <w:sz w:val="22"/>
          <w:szCs w:val="22"/>
        </w:rPr>
      </w:pPr>
      <w:r w:rsidRPr="000A4C44">
        <w:rPr>
          <w:rFonts w:ascii="Palatino Linotype" w:hAnsi="Palatino Linotype" w:cs="Arial"/>
          <w:sz w:val="22"/>
          <w:szCs w:val="22"/>
        </w:rPr>
        <w:t xml:space="preserve">Ahora bien, </w:t>
      </w:r>
      <w:r w:rsidRPr="000A4C44">
        <w:rPr>
          <w:rFonts w:ascii="Palatino Linotype" w:eastAsia="MS Gothic" w:hAnsi="Palatino Linotype"/>
          <w:b/>
          <w:sz w:val="22"/>
          <w:szCs w:val="22"/>
          <w:u w:val="single"/>
        </w:rPr>
        <w:t>para cada caso además de fundar y motivar</w:t>
      </w:r>
      <w:r w:rsidRPr="000A4C44">
        <w:rPr>
          <w:rFonts w:ascii="Palatino Linotype" w:eastAsia="MS Gothic" w:hAnsi="Palatino Linotype"/>
          <w:sz w:val="22"/>
          <w:szCs w:val="22"/>
        </w:rPr>
        <w:t xml:space="preserve">, se debe identificar con </w:t>
      </w:r>
      <w:r w:rsidRPr="000A4C44">
        <w:rPr>
          <w:rFonts w:ascii="Palatino Linotype" w:hAnsi="Palatino Linotype" w:cs="Arial"/>
          <w:sz w:val="22"/>
          <w:szCs w:val="22"/>
        </w:rPr>
        <w:t>claridad</w:t>
      </w:r>
      <w:r w:rsidRPr="000A4C44">
        <w:rPr>
          <w:rFonts w:ascii="Palatino Linotype" w:eastAsia="MS Gothic" w:hAnsi="Palatino Linotype"/>
          <w:sz w:val="22"/>
          <w:szCs w:val="22"/>
        </w:rPr>
        <w:t xml:space="preserve"> que datos contenidos en las documentales que son susceptibles de suprimirse, por ejemplo, si una documental de naturaleza pública como lo es la nómina general, si bien el </w:t>
      </w:r>
      <w:r w:rsidRPr="000A4C44">
        <w:rPr>
          <w:rFonts w:ascii="Palatino Linotype" w:eastAsia="MS Gothic" w:hAnsi="Palatino Linotype"/>
          <w:sz w:val="22"/>
          <w:szCs w:val="22"/>
        </w:rPr>
        <w:lastRenderedPageBreak/>
        <w:t>dato de sus remuneraciones es eminentemente público, no así todos los datos contenidos en dicho documento que son datos personales</w:t>
      </w:r>
      <w:r w:rsidRPr="000A4C44">
        <w:rPr>
          <w:rFonts w:ascii="Palatino Linotype" w:eastAsia="MS Gothic" w:hAnsi="Palatino Linotype"/>
          <w:sz w:val="22"/>
          <w:szCs w:val="22"/>
          <w:vertAlign w:val="superscript"/>
        </w:rPr>
        <w:footnoteReference w:id="9"/>
      </w:r>
      <w:r w:rsidRPr="000A4C44">
        <w:rPr>
          <w:rFonts w:ascii="Palatino Linotype" w:eastAsia="MS Gothic" w:hAnsi="Palatino Linotype"/>
          <w:sz w:val="22"/>
          <w:szCs w:val="22"/>
        </w:rPr>
        <w:t xml:space="preserve"> del servidor público que no tienen ninguna injerencia en el tema de la transparencia y la rendición de cuentas.</w:t>
      </w:r>
    </w:p>
    <w:p w14:paraId="6546D2F1" w14:textId="77777777" w:rsidR="00833F34" w:rsidRPr="000A4C44" w:rsidRDefault="00833F34" w:rsidP="00833F34">
      <w:pPr>
        <w:pStyle w:val="Prrafodelista"/>
        <w:rPr>
          <w:rFonts w:ascii="Palatino Linotype" w:hAnsi="Palatino Linotype" w:cs="Arial"/>
          <w:sz w:val="22"/>
          <w:szCs w:val="22"/>
        </w:rPr>
      </w:pPr>
    </w:p>
    <w:p w14:paraId="6546D2F2" w14:textId="77777777" w:rsidR="00833F34" w:rsidRPr="000A4C44" w:rsidRDefault="00833F34" w:rsidP="00833F34">
      <w:pPr>
        <w:pStyle w:val="Prrafodelista"/>
        <w:spacing w:line="360" w:lineRule="auto"/>
        <w:ind w:left="360" w:right="567"/>
        <w:jc w:val="both"/>
        <w:rPr>
          <w:rFonts w:ascii="Palatino Linotype" w:hAnsi="Palatino Linotype"/>
          <w:sz w:val="22"/>
          <w:szCs w:val="22"/>
        </w:rPr>
      </w:pPr>
    </w:p>
    <w:p w14:paraId="6546D2F3" w14:textId="77777777" w:rsidR="00833F34" w:rsidRPr="000A4C44" w:rsidRDefault="00833F34" w:rsidP="00833F34">
      <w:pPr>
        <w:keepNext/>
        <w:keepLines/>
        <w:numPr>
          <w:ilvl w:val="0"/>
          <w:numId w:val="7"/>
        </w:numPr>
        <w:spacing w:before="40" w:line="259" w:lineRule="auto"/>
        <w:outlineLvl w:val="1"/>
        <w:rPr>
          <w:rFonts w:ascii="Palatino Linotype" w:eastAsiaTheme="majorEastAsia" w:hAnsi="Palatino Linotype" w:cstheme="majorBidi"/>
          <w:b/>
          <w:color w:val="000000" w:themeColor="text1"/>
          <w:sz w:val="22"/>
          <w:szCs w:val="22"/>
        </w:rPr>
      </w:pPr>
      <w:bookmarkStart w:id="159" w:name="_Toc70082953"/>
      <w:bookmarkStart w:id="160" w:name="_Toc70593361"/>
      <w:bookmarkStart w:id="161" w:name="_Toc71674125"/>
      <w:bookmarkStart w:id="162" w:name="_Toc83128594"/>
      <w:r w:rsidRPr="000A4C44">
        <w:rPr>
          <w:rFonts w:ascii="Palatino Linotype" w:eastAsiaTheme="majorEastAsia" w:hAnsi="Palatino Linotype" w:cstheme="majorBidi"/>
          <w:b/>
          <w:color w:val="000000" w:themeColor="text1"/>
          <w:sz w:val="22"/>
          <w:szCs w:val="22"/>
        </w:rPr>
        <w:t>Determinación</w:t>
      </w:r>
      <w:bookmarkEnd w:id="159"/>
      <w:bookmarkEnd w:id="160"/>
      <w:bookmarkEnd w:id="161"/>
      <w:bookmarkEnd w:id="162"/>
    </w:p>
    <w:p w14:paraId="6546D2F4" w14:textId="77777777" w:rsidR="00833F34" w:rsidRPr="000A4C44" w:rsidRDefault="00833F34" w:rsidP="00833F34">
      <w:pPr>
        <w:rPr>
          <w:sz w:val="22"/>
          <w:szCs w:val="22"/>
          <w:lang w:val="es-MX" w:eastAsia="en-US"/>
        </w:rPr>
      </w:pPr>
    </w:p>
    <w:p w14:paraId="6546D2F5" w14:textId="77777777" w:rsidR="00833F34" w:rsidRPr="000A4C44" w:rsidRDefault="00833F34" w:rsidP="00833F34">
      <w:pPr>
        <w:numPr>
          <w:ilvl w:val="0"/>
          <w:numId w:val="1"/>
        </w:numPr>
        <w:spacing w:line="360" w:lineRule="auto"/>
        <w:ind w:left="0" w:right="34" w:firstLine="0"/>
        <w:contextualSpacing/>
        <w:jc w:val="both"/>
        <w:rPr>
          <w:rFonts w:ascii="Palatino Linotype" w:hAnsi="Palatino Linotype"/>
          <w:color w:val="000000" w:themeColor="text1"/>
          <w:sz w:val="22"/>
          <w:szCs w:val="22"/>
        </w:rPr>
      </w:pPr>
      <w:r w:rsidRPr="000A4C44">
        <w:rPr>
          <w:rFonts w:ascii="Palatino Linotype" w:hAnsi="Palatino Linotype"/>
          <w:sz w:val="22"/>
          <w:szCs w:val="22"/>
        </w:rPr>
        <w:t>Por lo anteriormente expuesto, este Órgano Garante considera parcialmente fundadas las razones o motivos de inconformidad que plantea el</w:t>
      </w:r>
      <w:r w:rsidRPr="000A4C44">
        <w:rPr>
          <w:rFonts w:ascii="Palatino Linotype" w:hAnsi="Palatino Linotype"/>
          <w:b/>
          <w:sz w:val="22"/>
          <w:szCs w:val="22"/>
        </w:rPr>
        <w:t xml:space="preserve"> RECURRENTE</w:t>
      </w:r>
      <w:r w:rsidRPr="000A4C44">
        <w:rPr>
          <w:rFonts w:ascii="Palatino Linotype" w:hAnsi="Palatino Linotype"/>
          <w:sz w:val="22"/>
          <w:szCs w:val="22"/>
        </w:rPr>
        <w:t xml:space="preserve">, determinando </w:t>
      </w:r>
      <w:r w:rsidRPr="000A4C44">
        <w:rPr>
          <w:rFonts w:ascii="Palatino Linotype" w:hAnsi="Palatino Linotype"/>
          <w:b/>
          <w:sz w:val="22"/>
          <w:szCs w:val="22"/>
        </w:rPr>
        <w:t>MODIFICAR</w:t>
      </w:r>
      <w:r w:rsidRPr="000A4C44">
        <w:rPr>
          <w:rFonts w:ascii="Palatino Linotype" w:hAnsi="Palatino Linotype"/>
          <w:sz w:val="22"/>
          <w:szCs w:val="22"/>
        </w:rPr>
        <w:t xml:space="preserve"> la respuesta del </w:t>
      </w:r>
      <w:r w:rsidRPr="000A4C44">
        <w:rPr>
          <w:rFonts w:ascii="Palatino Linotype" w:hAnsi="Palatino Linotype"/>
          <w:b/>
          <w:sz w:val="22"/>
          <w:szCs w:val="22"/>
        </w:rPr>
        <w:t>SUJETO OBLIGADO</w:t>
      </w:r>
      <w:r w:rsidRPr="000A4C44">
        <w:rPr>
          <w:rFonts w:ascii="Palatino Linotype" w:hAnsi="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0A4C44">
        <w:rPr>
          <w:rFonts w:ascii="Palatino Linotype" w:hAnsi="Palatino Linotype"/>
          <w:color w:val="000000" w:themeColor="text1"/>
          <w:sz w:val="22"/>
          <w:szCs w:val="22"/>
          <w:lang w:val="es-ES" w:eastAsia="es-MX"/>
        </w:rPr>
        <w:t xml:space="preserve">este </w:t>
      </w:r>
      <w:r w:rsidRPr="000A4C44">
        <w:rPr>
          <w:rFonts w:ascii="Palatino Linotype" w:hAnsi="Palatino Linotype"/>
          <w:b/>
          <w:bCs/>
          <w:color w:val="000000" w:themeColor="text1"/>
          <w:sz w:val="22"/>
          <w:szCs w:val="22"/>
          <w:lang w:val="es-ES" w:eastAsia="es-MX"/>
        </w:rPr>
        <w:t>ÓRGANO GARANTE</w:t>
      </w:r>
      <w:r w:rsidRPr="000A4C44">
        <w:rPr>
          <w:rFonts w:ascii="Palatino Linotype" w:hAnsi="Palatino Linotype"/>
          <w:color w:val="000000" w:themeColor="text1"/>
          <w:sz w:val="22"/>
          <w:szCs w:val="22"/>
          <w:lang w:val="es-ES" w:eastAsia="es-MX"/>
        </w:rPr>
        <w:t xml:space="preserve"> emite los siguientes</w:t>
      </w:r>
      <w:r w:rsidRPr="000A4C44">
        <w:rPr>
          <w:rFonts w:ascii="Palatino Linotype" w:hAnsi="Palatino Linotype"/>
          <w:color w:val="000000" w:themeColor="text1"/>
          <w:sz w:val="22"/>
          <w:szCs w:val="22"/>
        </w:rPr>
        <w:t>.</w:t>
      </w:r>
    </w:p>
    <w:p w14:paraId="6546D2F6" w14:textId="77777777" w:rsidR="00833F34" w:rsidRPr="000A4C44" w:rsidRDefault="00833F34" w:rsidP="00833F34">
      <w:pPr>
        <w:spacing w:line="360" w:lineRule="auto"/>
        <w:ind w:right="34"/>
        <w:contextualSpacing/>
        <w:jc w:val="both"/>
        <w:rPr>
          <w:rFonts w:ascii="Palatino Linotype" w:hAnsi="Palatino Linotype"/>
          <w:color w:val="000000" w:themeColor="text1"/>
          <w:sz w:val="22"/>
          <w:szCs w:val="22"/>
        </w:rPr>
      </w:pPr>
    </w:p>
    <w:p w14:paraId="6546D2F7" w14:textId="77777777" w:rsidR="00833F34" w:rsidRPr="000A4C44" w:rsidRDefault="00833F34" w:rsidP="00833F34">
      <w:pPr>
        <w:keepNext/>
        <w:keepLines/>
        <w:spacing w:line="360" w:lineRule="auto"/>
        <w:jc w:val="center"/>
        <w:outlineLvl w:val="0"/>
        <w:rPr>
          <w:rFonts w:ascii="Palatino Linotype" w:eastAsia="Calibri" w:hAnsi="Palatino Linotype" w:cstheme="majorBidi"/>
          <w:b/>
          <w:color w:val="000000" w:themeColor="text1"/>
          <w:sz w:val="22"/>
          <w:szCs w:val="22"/>
          <w:lang w:val="es-ES"/>
        </w:rPr>
      </w:pPr>
      <w:r w:rsidRPr="000A4C44">
        <w:rPr>
          <w:rFonts w:ascii="Palatino Linotype" w:eastAsia="Calibri" w:hAnsi="Palatino Linotype" w:cstheme="majorBidi"/>
          <w:b/>
          <w:color w:val="000000" w:themeColor="text1"/>
          <w:sz w:val="22"/>
          <w:szCs w:val="22"/>
          <w:lang w:val="es-ES"/>
        </w:rPr>
        <w:t>R E S O L U T I V O S</w:t>
      </w:r>
    </w:p>
    <w:p w14:paraId="6546D2F8" w14:textId="77777777" w:rsidR="00833F34" w:rsidRPr="000A4C44" w:rsidRDefault="00833F34" w:rsidP="00833F34">
      <w:pPr>
        <w:spacing w:line="360" w:lineRule="auto"/>
        <w:jc w:val="center"/>
        <w:rPr>
          <w:rFonts w:ascii="Palatino Linotype" w:hAnsi="Palatino Linotype"/>
          <w:sz w:val="22"/>
          <w:szCs w:val="22"/>
          <w:lang w:val="es-ES"/>
        </w:rPr>
      </w:pPr>
    </w:p>
    <w:p w14:paraId="6546D2F9" w14:textId="77777777" w:rsidR="00833F34" w:rsidRPr="000A4C44" w:rsidRDefault="00833F34" w:rsidP="00833F34">
      <w:pPr>
        <w:spacing w:line="360" w:lineRule="auto"/>
        <w:jc w:val="both"/>
        <w:rPr>
          <w:rFonts w:ascii="Palatino Linotype" w:eastAsia="Times New Roman" w:hAnsi="Palatino Linotype" w:cs="Arial"/>
          <w:sz w:val="22"/>
          <w:szCs w:val="22"/>
          <w:lang w:val="es-ES"/>
        </w:rPr>
      </w:pPr>
      <w:r w:rsidRPr="000A4C44">
        <w:rPr>
          <w:rFonts w:ascii="Palatino Linotype" w:eastAsia="Times New Roman" w:hAnsi="Palatino Linotype" w:cs="Arial"/>
          <w:b/>
          <w:sz w:val="22"/>
          <w:szCs w:val="22"/>
        </w:rPr>
        <w:t>PRIMERO</w:t>
      </w:r>
      <w:r w:rsidRPr="000A4C44">
        <w:rPr>
          <w:rFonts w:ascii="Palatino Linotype" w:eastAsia="Times New Roman" w:hAnsi="Palatino Linotype" w:cs="Arial"/>
          <w:sz w:val="22"/>
          <w:szCs w:val="22"/>
          <w:lang w:val="es-ES"/>
        </w:rPr>
        <w:t xml:space="preserve">. Resultan fundadas las razones o motivos de inconformidad hechos valer en el Recurso de Revisión </w:t>
      </w:r>
      <w:r w:rsidRPr="000A4C44">
        <w:rPr>
          <w:rFonts w:ascii="Palatino Linotype" w:eastAsia="Times New Roman" w:hAnsi="Palatino Linotype" w:cs="Arial"/>
          <w:b/>
          <w:bCs/>
          <w:sz w:val="22"/>
          <w:szCs w:val="22"/>
        </w:rPr>
        <w:t>02243/INFOEM/IP/RR/2024</w:t>
      </w:r>
      <w:r w:rsidRPr="000A4C44">
        <w:rPr>
          <w:rFonts w:ascii="Palatino Linotype" w:hAnsi="Palatino Linotype"/>
          <w:sz w:val="22"/>
          <w:szCs w:val="22"/>
        </w:rPr>
        <w:t>,</w:t>
      </w:r>
      <w:r w:rsidRPr="000A4C44">
        <w:rPr>
          <w:rFonts w:ascii="Palatino Linotype" w:eastAsia="Times New Roman" w:hAnsi="Palatino Linotype" w:cs="Arial"/>
          <w:b/>
          <w:sz w:val="22"/>
          <w:szCs w:val="22"/>
          <w:lang w:val="es-ES"/>
        </w:rPr>
        <w:t xml:space="preserve"> </w:t>
      </w:r>
      <w:r w:rsidRPr="000A4C44">
        <w:rPr>
          <w:rFonts w:ascii="Palatino Linotype" w:eastAsia="Times New Roman" w:hAnsi="Palatino Linotype" w:cs="Arial"/>
          <w:sz w:val="22"/>
          <w:szCs w:val="22"/>
          <w:lang w:val="es-ES"/>
        </w:rPr>
        <w:t xml:space="preserve">en términos de los Considerandos </w:t>
      </w:r>
      <w:r w:rsidRPr="000A4C44">
        <w:rPr>
          <w:rFonts w:ascii="Palatino Linotype" w:eastAsia="Times New Roman" w:hAnsi="Palatino Linotype" w:cs="Arial"/>
          <w:b/>
          <w:sz w:val="22"/>
          <w:szCs w:val="22"/>
          <w:lang w:val="es-ES"/>
        </w:rPr>
        <w:t xml:space="preserve">CUARTO y QUINTO </w:t>
      </w:r>
      <w:r w:rsidRPr="000A4C44">
        <w:rPr>
          <w:rFonts w:ascii="Palatino Linotype" w:eastAsia="Times New Roman" w:hAnsi="Palatino Linotype" w:cs="Arial"/>
          <w:sz w:val="22"/>
          <w:szCs w:val="22"/>
          <w:lang w:val="es-ES"/>
        </w:rPr>
        <w:t xml:space="preserve">de la presente resolución. </w:t>
      </w:r>
    </w:p>
    <w:p w14:paraId="6546D2FA" w14:textId="77777777" w:rsidR="00833F34" w:rsidRPr="000A4C44" w:rsidRDefault="00833F34" w:rsidP="00833F34">
      <w:pPr>
        <w:spacing w:line="360" w:lineRule="auto"/>
        <w:jc w:val="both"/>
        <w:rPr>
          <w:rFonts w:ascii="Palatino Linotype" w:eastAsia="Times New Roman" w:hAnsi="Palatino Linotype" w:cs="Arial"/>
          <w:sz w:val="22"/>
          <w:szCs w:val="22"/>
          <w:lang w:val="es-ES"/>
        </w:rPr>
      </w:pPr>
    </w:p>
    <w:p w14:paraId="6546D2FB" w14:textId="77777777" w:rsidR="00833F34" w:rsidRPr="00603051" w:rsidRDefault="00833F34" w:rsidP="00833F34">
      <w:pPr>
        <w:spacing w:line="360" w:lineRule="auto"/>
        <w:jc w:val="both"/>
        <w:rPr>
          <w:rFonts w:ascii="Palatino Linotype" w:eastAsia="MS Mincho" w:hAnsi="Palatino Linotype" w:cs="Times New Roman"/>
          <w:color w:val="000000" w:themeColor="text1"/>
          <w:sz w:val="22"/>
          <w:szCs w:val="22"/>
        </w:rPr>
      </w:pPr>
      <w:bookmarkStart w:id="163" w:name="_Toc503891607"/>
      <w:bookmarkStart w:id="164" w:name="_Toc511647757"/>
      <w:bookmarkStart w:id="165" w:name="_Toc511647818"/>
      <w:bookmarkStart w:id="166" w:name="_Toc477891768"/>
      <w:bookmarkStart w:id="167" w:name="_Toc477891858"/>
      <w:bookmarkStart w:id="168" w:name="_Toc481576259"/>
      <w:bookmarkStart w:id="169" w:name="_Toc492590391"/>
      <w:bookmarkStart w:id="170" w:name="_Toc462653937"/>
      <w:bookmarkStart w:id="171" w:name="_Toc453696502"/>
      <w:bookmarkStart w:id="172" w:name="_Toc454301155"/>
      <w:r w:rsidRPr="000A4C44">
        <w:rPr>
          <w:rFonts w:ascii="Palatino Linotype" w:eastAsia="Times New Roman" w:hAnsi="Palatino Linotype" w:cs="Times New Roman"/>
          <w:b/>
          <w:sz w:val="22"/>
          <w:szCs w:val="22"/>
        </w:rPr>
        <w:t>SEGUNDO.</w:t>
      </w:r>
      <w:bookmarkEnd w:id="163"/>
      <w:bookmarkEnd w:id="164"/>
      <w:bookmarkEnd w:id="165"/>
      <w:r w:rsidRPr="000A4C44">
        <w:rPr>
          <w:rFonts w:ascii="Palatino Linotype" w:eastAsia="Times New Roman" w:hAnsi="Palatino Linotype" w:cs="Times New Roman"/>
          <w:b/>
          <w:sz w:val="22"/>
          <w:szCs w:val="22"/>
        </w:rPr>
        <w:t xml:space="preserve"> </w:t>
      </w:r>
      <w:bookmarkEnd w:id="166"/>
      <w:bookmarkEnd w:id="167"/>
      <w:bookmarkEnd w:id="168"/>
      <w:bookmarkEnd w:id="169"/>
      <w:bookmarkEnd w:id="170"/>
      <w:bookmarkEnd w:id="171"/>
      <w:bookmarkEnd w:id="172"/>
      <w:r w:rsidRPr="000A4C44">
        <w:rPr>
          <w:rFonts w:ascii="Palatino Linotype" w:eastAsia="MS Mincho" w:hAnsi="Palatino Linotype" w:cs="Times New Roman"/>
          <w:color w:val="000000" w:themeColor="text1"/>
          <w:sz w:val="22"/>
          <w:szCs w:val="22"/>
        </w:rPr>
        <w:t xml:space="preserve">Se </w:t>
      </w:r>
      <w:r w:rsidR="00EE2BD6" w:rsidRPr="000A4C44">
        <w:rPr>
          <w:rFonts w:ascii="Palatino Linotype" w:eastAsia="MS Mincho" w:hAnsi="Palatino Linotype" w:cs="Times New Roman"/>
          <w:b/>
          <w:color w:val="000000" w:themeColor="text1"/>
          <w:sz w:val="22"/>
          <w:szCs w:val="22"/>
        </w:rPr>
        <w:t>MODIFICA</w:t>
      </w:r>
      <w:r w:rsidRPr="000A4C44">
        <w:rPr>
          <w:rFonts w:ascii="Palatino Linotype" w:eastAsia="MS Mincho" w:hAnsi="Palatino Linotype" w:cs="Times New Roman"/>
          <w:b/>
          <w:color w:val="000000" w:themeColor="text1"/>
          <w:sz w:val="22"/>
          <w:szCs w:val="22"/>
        </w:rPr>
        <w:t xml:space="preserve"> </w:t>
      </w:r>
      <w:r w:rsidR="00EE2BD6" w:rsidRPr="000A4C44">
        <w:rPr>
          <w:rFonts w:ascii="Palatino Linotype" w:eastAsia="MS Mincho" w:hAnsi="Palatino Linotype" w:cs="Times New Roman"/>
          <w:color w:val="000000" w:themeColor="text1"/>
          <w:sz w:val="22"/>
          <w:szCs w:val="22"/>
        </w:rPr>
        <w:t>la respuesta emitida</w:t>
      </w:r>
      <w:r w:rsidRPr="000A4C44">
        <w:rPr>
          <w:rFonts w:ascii="Palatino Linotype" w:eastAsia="MS Mincho" w:hAnsi="Palatino Linotype" w:cs="Times New Roman"/>
          <w:color w:val="000000" w:themeColor="text1"/>
          <w:sz w:val="22"/>
          <w:szCs w:val="22"/>
        </w:rPr>
        <w:t xml:space="preserve"> por el </w:t>
      </w:r>
      <w:r w:rsidRPr="000A4C44">
        <w:rPr>
          <w:rFonts w:ascii="Palatino Linotype" w:eastAsia="MS Mincho" w:hAnsi="Palatino Linotype" w:cs="Times New Roman"/>
          <w:b/>
          <w:color w:val="000000" w:themeColor="text1"/>
          <w:sz w:val="22"/>
          <w:szCs w:val="22"/>
        </w:rPr>
        <w:t xml:space="preserve">Ayuntamiento de Coacalco de Berriozábal  </w:t>
      </w:r>
      <w:r w:rsidRPr="000A4C44">
        <w:rPr>
          <w:rFonts w:ascii="Palatino Linotype" w:eastAsia="MS Mincho" w:hAnsi="Palatino Linotype" w:cs="Times New Roman"/>
          <w:color w:val="000000" w:themeColor="text1"/>
          <w:sz w:val="22"/>
          <w:szCs w:val="22"/>
        </w:rPr>
        <w:t xml:space="preserve">y se </w:t>
      </w:r>
      <w:r w:rsidRPr="000A4C44">
        <w:rPr>
          <w:rFonts w:ascii="Palatino Linotype" w:eastAsia="MS Mincho" w:hAnsi="Palatino Linotype" w:cs="Times New Roman"/>
          <w:b/>
          <w:color w:val="000000" w:themeColor="text1"/>
          <w:sz w:val="22"/>
          <w:szCs w:val="22"/>
        </w:rPr>
        <w:t>ORDENA</w:t>
      </w:r>
      <w:r w:rsidRPr="000A4C44">
        <w:rPr>
          <w:rFonts w:ascii="Palatino Linotype" w:eastAsia="MS Mincho" w:hAnsi="Palatino Linotype" w:cs="Times New Roman"/>
          <w:color w:val="000000" w:themeColor="text1"/>
          <w:sz w:val="22"/>
          <w:szCs w:val="22"/>
        </w:rPr>
        <w:t xml:space="preserve"> entregar vía Sistema de Acceso a la Información Mexiquense </w:t>
      </w:r>
      <w:r w:rsidRPr="000A4C44">
        <w:rPr>
          <w:rFonts w:ascii="Palatino Linotype" w:eastAsia="MS Mincho" w:hAnsi="Palatino Linotype" w:cs="Times New Roman"/>
          <w:b/>
          <w:color w:val="000000" w:themeColor="text1"/>
          <w:sz w:val="22"/>
          <w:szCs w:val="22"/>
        </w:rPr>
        <w:lastRenderedPageBreak/>
        <w:t>(SAIMEX)</w:t>
      </w:r>
      <w:r w:rsidRPr="000A4C44">
        <w:rPr>
          <w:rFonts w:ascii="Palatino Linotype" w:eastAsia="MS Mincho" w:hAnsi="Palatino Linotype" w:cs="Times New Roman"/>
          <w:color w:val="000000" w:themeColor="text1"/>
          <w:sz w:val="22"/>
          <w:szCs w:val="22"/>
        </w:rPr>
        <w:t>, previa búsqueda exhaustiva y razonable, en versión pública, la siguiente información</w:t>
      </w:r>
      <w:bookmarkStart w:id="173" w:name="_Toc503891610"/>
      <w:bookmarkStart w:id="174" w:name="_Toc453696503"/>
      <w:bookmarkStart w:id="175" w:name="_Toc454301156"/>
      <w:bookmarkStart w:id="176" w:name="_Toc462653938"/>
      <w:bookmarkStart w:id="177" w:name="_Toc477891769"/>
      <w:bookmarkStart w:id="178" w:name="_Toc477891859"/>
      <w:bookmarkStart w:id="179" w:name="_Toc481576260"/>
      <w:bookmarkStart w:id="180" w:name="_Toc492590392"/>
      <w:r w:rsidR="00C07B7E" w:rsidRPr="000A4C44">
        <w:rPr>
          <w:rFonts w:ascii="Palatino Linotype" w:eastAsia="MS Mincho" w:hAnsi="Palatino Linotype" w:cs="Times New Roman"/>
          <w:color w:val="000000" w:themeColor="text1"/>
          <w:sz w:val="22"/>
          <w:szCs w:val="22"/>
        </w:rPr>
        <w:t xml:space="preserve">, del uno </w:t>
      </w:r>
      <w:r w:rsidR="009177D3">
        <w:rPr>
          <w:rFonts w:ascii="Palatino Linotype" w:eastAsia="MS Mincho" w:hAnsi="Palatino Linotype" w:cs="Times New Roman"/>
          <w:color w:val="000000" w:themeColor="text1"/>
          <w:sz w:val="22"/>
          <w:szCs w:val="22"/>
        </w:rPr>
        <w:t xml:space="preserve">de enero de dos mil veintidós al mes de </w:t>
      </w:r>
      <w:r w:rsidR="00C07B7E" w:rsidRPr="000A4C44">
        <w:rPr>
          <w:rFonts w:ascii="Palatino Linotype" w:eastAsia="MS Mincho" w:hAnsi="Palatino Linotype" w:cs="Times New Roman"/>
          <w:color w:val="000000" w:themeColor="text1"/>
          <w:sz w:val="22"/>
          <w:szCs w:val="22"/>
        </w:rPr>
        <w:t>marzo de dos mil veinticuatro</w:t>
      </w:r>
      <w:r w:rsidRPr="000A4C44">
        <w:rPr>
          <w:rFonts w:ascii="Palatino Linotype" w:hAnsi="Palatino Linotype" w:cs="Arial"/>
          <w:b/>
          <w:sz w:val="22"/>
          <w:szCs w:val="22"/>
        </w:rPr>
        <w:t>:</w:t>
      </w:r>
    </w:p>
    <w:p w14:paraId="6546D2FC" w14:textId="77777777" w:rsidR="00DB269C" w:rsidRPr="000A4C44" w:rsidRDefault="00DB269C" w:rsidP="00DB269C">
      <w:pPr>
        <w:pStyle w:val="Prrafodelista"/>
        <w:spacing w:line="360" w:lineRule="auto"/>
        <w:ind w:left="1134"/>
        <w:jc w:val="both"/>
        <w:rPr>
          <w:rFonts w:ascii="Palatino Linotype" w:hAnsi="Palatino Linotype" w:cs="Arial"/>
          <w:b/>
          <w:i/>
          <w:sz w:val="22"/>
          <w:szCs w:val="22"/>
        </w:rPr>
      </w:pPr>
    </w:p>
    <w:p w14:paraId="6546D2FD" w14:textId="77777777" w:rsidR="00833F34" w:rsidRPr="004D0755" w:rsidRDefault="00DB269C" w:rsidP="00833F34">
      <w:pPr>
        <w:pStyle w:val="Prrafodelista"/>
        <w:numPr>
          <w:ilvl w:val="0"/>
          <w:numId w:val="16"/>
        </w:numPr>
        <w:spacing w:line="360" w:lineRule="auto"/>
        <w:ind w:left="1134"/>
        <w:jc w:val="both"/>
        <w:rPr>
          <w:rFonts w:ascii="Palatino Linotype" w:eastAsia="Calibri" w:hAnsi="Palatino Linotype" w:cs="Arial"/>
          <w:b/>
          <w:sz w:val="20"/>
          <w:szCs w:val="20"/>
        </w:rPr>
      </w:pPr>
      <w:r w:rsidRPr="009C50FD">
        <w:rPr>
          <w:rFonts w:ascii="Palatino Linotype" w:hAnsi="Palatino Linotype"/>
          <w:b/>
          <w:sz w:val="22"/>
          <w:szCs w:val="22"/>
        </w:rPr>
        <w:t xml:space="preserve">El documento que dé cuenta del nombre de los servidores públicos </w:t>
      </w:r>
      <w:r w:rsidR="00603051" w:rsidRPr="009C50FD">
        <w:rPr>
          <w:rFonts w:ascii="Palatino Linotype" w:hAnsi="Palatino Linotype"/>
          <w:b/>
          <w:sz w:val="22"/>
          <w:szCs w:val="22"/>
        </w:rPr>
        <w:t xml:space="preserve">y la sanción </w:t>
      </w:r>
      <w:r w:rsidRPr="009C50FD">
        <w:rPr>
          <w:rFonts w:ascii="Palatino Linotype" w:hAnsi="Palatino Linotype"/>
          <w:b/>
          <w:sz w:val="22"/>
          <w:szCs w:val="22"/>
        </w:rPr>
        <w:t>cuyos procedimientos se encuentren concluidos y</w:t>
      </w:r>
      <w:r w:rsidR="00603051" w:rsidRPr="009C50FD">
        <w:rPr>
          <w:rFonts w:ascii="Palatino Linotype" w:hAnsi="Palatino Linotype"/>
          <w:b/>
          <w:sz w:val="22"/>
          <w:szCs w:val="22"/>
        </w:rPr>
        <w:t xml:space="preserve"> </w:t>
      </w:r>
      <w:r w:rsidRPr="009C50FD">
        <w:rPr>
          <w:rFonts w:ascii="Palatino Linotype" w:hAnsi="Palatino Linotype"/>
          <w:b/>
          <w:sz w:val="22"/>
          <w:szCs w:val="22"/>
        </w:rPr>
        <w:t xml:space="preserve"> que hayan causado estado, por faltas administrativas graves </w:t>
      </w:r>
      <w:r w:rsidR="00603051" w:rsidRPr="009C50FD">
        <w:rPr>
          <w:rFonts w:ascii="Palatino Linotype" w:hAnsi="Palatino Linotype"/>
          <w:b/>
          <w:sz w:val="22"/>
          <w:szCs w:val="22"/>
        </w:rPr>
        <w:t>condenatorias,</w:t>
      </w:r>
      <w:r w:rsidRPr="009C50FD">
        <w:rPr>
          <w:rFonts w:ascii="Palatino Linotype" w:hAnsi="Palatino Linotype"/>
          <w:b/>
          <w:sz w:val="22"/>
          <w:szCs w:val="22"/>
        </w:rPr>
        <w:t xml:space="preserve"> así como </w:t>
      </w:r>
      <w:r w:rsidR="00603051" w:rsidRPr="009C50FD">
        <w:rPr>
          <w:rFonts w:ascii="Palatino Linotype" w:hAnsi="Palatino Linotype"/>
          <w:b/>
          <w:sz w:val="22"/>
          <w:szCs w:val="22"/>
        </w:rPr>
        <w:t xml:space="preserve">los nombres de los servidores públicos que formen parte </w:t>
      </w:r>
      <w:r w:rsidR="00603051" w:rsidRPr="009C50FD">
        <w:rPr>
          <w:rFonts w:ascii="Palatino Linotype" w:eastAsia="Palatino Linotype" w:hAnsi="Palatino Linotype" w:cs="Palatino Linotype"/>
          <w:b/>
          <w:color w:val="000000"/>
          <w:sz w:val="22"/>
          <w:szCs w:val="22"/>
        </w:rPr>
        <w:t xml:space="preserve">en procedimientos </w:t>
      </w:r>
      <w:r w:rsidRPr="009C50FD">
        <w:rPr>
          <w:rFonts w:ascii="Palatino Linotype" w:eastAsia="Palatino Linotype" w:hAnsi="Palatino Linotype" w:cs="Palatino Linotype"/>
          <w:b/>
          <w:color w:val="000000"/>
          <w:sz w:val="22"/>
          <w:szCs w:val="22"/>
        </w:rPr>
        <w:t>en trámite relacionados con actos de corrupción</w:t>
      </w:r>
      <w:r w:rsidR="00603051" w:rsidRPr="009C50FD">
        <w:rPr>
          <w:rFonts w:ascii="Palatino Linotype" w:eastAsia="Palatino Linotype" w:hAnsi="Palatino Linotype" w:cs="Palatino Linotype"/>
          <w:b/>
          <w:color w:val="000000"/>
          <w:sz w:val="22"/>
          <w:szCs w:val="22"/>
        </w:rPr>
        <w:t xml:space="preserve"> o violaciones a graves a derechos </w:t>
      </w:r>
      <w:r w:rsidR="00603051" w:rsidRPr="004D0755">
        <w:rPr>
          <w:rFonts w:ascii="Palatino Linotype" w:eastAsia="Palatino Linotype" w:hAnsi="Palatino Linotype" w:cs="Palatino Linotype"/>
          <w:b/>
          <w:color w:val="000000"/>
          <w:sz w:val="22"/>
          <w:szCs w:val="22"/>
        </w:rPr>
        <w:t xml:space="preserve">humanos. </w:t>
      </w:r>
      <w:r w:rsidRPr="004D0755">
        <w:rPr>
          <w:rFonts w:ascii="Palatino Linotype" w:eastAsia="Palatino Linotype" w:hAnsi="Palatino Linotype" w:cs="Palatino Linotype"/>
          <w:b/>
          <w:color w:val="000000"/>
          <w:sz w:val="22"/>
          <w:szCs w:val="22"/>
        </w:rPr>
        <w:t>, de conformidad con el artículo 142 de la Ley de Transparencia Local</w:t>
      </w:r>
      <w:r w:rsidRPr="004D0755">
        <w:rPr>
          <w:rFonts w:ascii="Palatino Linotype" w:hAnsi="Palatino Linotype"/>
          <w:b/>
          <w:sz w:val="22"/>
          <w:szCs w:val="22"/>
        </w:rPr>
        <w:t>.</w:t>
      </w:r>
    </w:p>
    <w:p w14:paraId="6546D2FE" w14:textId="77777777" w:rsidR="00603051" w:rsidRPr="004D0755" w:rsidRDefault="00603051" w:rsidP="00603051">
      <w:pPr>
        <w:pStyle w:val="Prrafodelista"/>
        <w:rPr>
          <w:rFonts w:ascii="Palatino Linotype" w:eastAsia="Calibri" w:hAnsi="Palatino Linotype" w:cs="Arial"/>
          <w:b/>
          <w:sz w:val="20"/>
          <w:szCs w:val="20"/>
        </w:rPr>
      </w:pPr>
    </w:p>
    <w:p w14:paraId="6546D2FF" w14:textId="77777777" w:rsidR="00603051" w:rsidRPr="004D0755" w:rsidRDefault="00603051" w:rsidP="00833F34">
      <w:pPr>
        <w:pStyle w:val="Prrafodelista"/>
        <w:numPr>
          <w:ilvl w:val="0"/>
          <w:numId w:val="16"/>
        </w:numPr>
        <w:spacing w:line="360" w:lineRule="auto"/>
        <w:ind w:left="1134"/>
        <w:jc w:val="both"/>
        <w:rPr>
          <w:rFonts w:ascii="Palatino Linotype" w:eastAsia="Calibri" w:hAnsi="Palatino Linotype" w:cs="Arial"/>
          <w:b/>
          <w:sz w:val="22"/>
          <w:szCs w:val="22"/>
        </w:rPr>
      </w:pPr>
      <w:r w:rsidRPr="004D0755">
        <w:rPr>
          <w:rFonts w:ascii="Palatino Linotype" w:eastAsia="Calibri" w:hAnsi="Palatino Linotype" w:cs="Arial"/>
          <w:b/>
          <w:sz w:val="22"/>
          <w:szCs w:val="22"/>
        </w:rPr>
        <w:t xml:space="preserve">Documento en el que conste el estado procesal de los procedimientos </w:t>
      </w:r>
      <w:r w:rsidR="00BF2F42" w:rsidRPr="004D0755">
        <w:rPr>
          <w:rFonts w:ascii="Palatino Linotype" w:eastAsia="Calibri" w:hAnsi="Palatino Linotype" w:cs="Arial"/>
          <w:b/>
          <w:sz w:val="22"/>
          <w:szCs w:val="22"/>
        </w:rPr>
        <w:t>referido</w:t>
      </w:r>
      <w:r w:rsidR="005C1100" w:rsidRPr="004D0755">
        <w:rPr>
          <w:rFonts w:ascii="Palatino Linotype" w:eastAsia="Calibri" w:hAnsi="Palatino Linotype" w:cs="Arial"/>
          <w:b/>
          <w:sz w:val="22"/>
          <w:szCs w:val="22"/>
        </w:rPr>
        <w:t>s</w:t>
      </w:r>
      <w:r w:rsidR="00BF2F42" w:rsidRPr="004D0755">
        <w:rPr>
          <w:rFonts w:ascii="Palatino Linotype" w:eastAsia="Calibri" w:hAnsi="Palatino Linotype" w:cs="Arial"/>
          <w:b/>
          <w:sz w:val="22"/>
          <w:szCs w:val="22"/>
        </w:rPr>
        <w:t xml:space="preserve"> en respuesta a la solicitud de información 00065/COACALCO/IP/2024</w:t>
      </w:r>
      <w:r w:rsidRPr="004D0755">
        <w:rPr>
          <w:rFonts w:ascii="Palatino Linotype" w:eastAsia="Calibri" w:hAnsi="Palatino Linotype" w:cs="Arial"/>
          <w:b/>
          <w:sz w:val="22"/>
          <w:szCs w:val="22"/>
        </w:rPr>
        <w:t xml:space="preserve">; y </w:t>
      </w:r>
    </w:p>
    <w:p w14:paraId="6546D300" w14:textId="77777777" w:rsidR="00BF2F42" w:rsidRPr="004D0755" w:rsidRDefault="00BF2F42" w:rsidP="00BF2F42">
      <w:pPr>
        <w:pStyle w:val="Prrafodelista"/>
        <w:rPr>
          <w:rFonts w:ascii="Palatino Linotype" w:eastAsia="Calibri" w:hAnsi="Palatino Linotype" w:cs="Arial"/>
          <w:b/>
          <w:sz w:val="22"/>
          <w:szCs w:val="22"/>
        </w:rPr>
      </w:pPr>
    </w:p>
    <w:p w14:paraId="6546D301" w14:textId="77777777" w:rsidR="00833F34" w:rsidRPr="004D0755" w:rsidRDefault="00833F34" w:rsidP="00833F34">
      <w:pPr>
        <w:spacing w:line="360" w:lineRule="auto"/>
        <w:jc w:val="both"/>
        <w:rPr>
          <w:rFonts w:ascii="Palatino Linotype" w:eastAsia="Calibri" w:hAnsi="Palatino Linotype" w:cs="Arial"/>
          <w:color w:val="000000" w:themeColor="text1"/>
          <w:sz w:val="22"/>
          <w:szCs w:val="22"/>
        </w:rPr>
      </w:pPr>
      <w:r w:rsidRPr="004D0755">
        <w:rPr>
          <w:rFonts w:ascii="Palatino Linotype" w:hAnsi="Palatino Linotype"/>
          <w:sz w:val="22"/>
          <w:szCs w:val="22"/>
        </w:rPr>
        <w:t>Para el caso q</w:t>
      </w:r>
      <w:r w:rsidR="0026478F" w:rsidRPr="004D0755">
        <w:rPr>
          <w:rFonts w:ascii="Palatino Linotype" w:hAnsi="Palatino Linotype"/>
          <w:sz w:val="22"/>
          <w:szCs w:val="22"/>
        </w:rPr>
        <w:t xml:space="preserve">ue la información que se ordena en los incisos a) </w:t>
      </w:r>
      <w:r w:rsidRPr="004D0755">
        <w:rPr>
          <w:rFonts w:ascii="Palatino Linotype" w:eastAsia="Calibri" w:hAnsi="Palatino Linotype" w:cs="Arial"/>
          <w:color w:val="000000" w:themeColor="text1"/>
          <w:sz w:val="22"/>
          <w:szCs w:val="22"/>
        </w:rPr>
        <w:t xml:space="preserve">no haya sido generada, poseída o administrada, el </w:t>
      </w:r>
      <w:r w:rsidRPr="004D0755">
        <w:rPr>
          <w:rFonts w:ascii="Palatino Linotype" w:eastAsia="Calibri" w:hAnsi="Palatino Linotype" w:cs="Arial"/>
          <w:b/>
          <w:color w:val="000000" w:themeColor="text1"/>
          <w:sz w:val="22"/>
          <w:szCs w:val="22"/>
        </w:rPr>
        <w:t>SUJETO OBLIGADO</w:t>
      </w:r>
      <w:r w:rsidRPr="004D0755">
        <w:rPr>
          <w:rFonts w:ascii="Palatino Linotype" w:eastAsia="Calibri" w:hAnsi="Palatino Linotype" w:cs="Arial"/>
          <w:color w:val="000000" w:themeColor="text1"/>
          <w:sz w:val="22"/>
          <w:szCs w:val="22"/>
        </w:rPr>
        <w:t>, deberá manifestar de manera precisa y clara las razones que expliquen las causas por las cuales no se haya g</w:t>
      </w:r>
      <w:r w:rsidR="00DB2A9D" w:rsidRPr="004D0755">
        <w:rPr>
          <w:rFonts w:ascii="Palatino Linotype" w:eastAsia="Calibri" w:hAnsi="Palatino Linotype" w:cs="Arial"/>
          <w:color w:val="000000" w:themeColor="text1"/>
          <w:sz w:val="22"/>
          <w:szCs w:val="22"/>
        </w:rPr>
        <w:t>enerado, poseído o administrado</w:t>
      </w:r>
      <w:r w:rsidR="0026478F" w:rsidRPr="004D0755">
        <w:rPr>
          <w:rFonts w:ascii="Palatino Linotype" w:eastAsia="Calibri" w:hAnsi="Palatino Linotype" w:cs="Arial"/>
          <w:color w:val="000000" w:themeColor="text1"/>
          <w:sz w:val="22"/>
          <w:szCs w:val="22"/>
        </w:rPr>
        <w:t xml:space="preserve">, en términos del artículo 19 párrafo segundo de la Ley de la Materia. </w:t>
      </w:r>
    </w:p>
    <w:p w14:paraId="6546D302" w14:textId="77777777" w:rsidR="00603051" w:rsidRPr="004D0755" w:rsidRDefault="00603051" w:rsidP="00833F34">
      <w:pPr>
        <w:spacing w:line="360" w:lineRule="auto"/>
        <w:jc w:val="both"/>
        <w:rPr>
          <w:rFonts w:ascii="Palatino Linotype" w:eastAsia="Calibri" w:hAnsi="Palatino Linotype" w:cs="Arial"/>
          <w:color w:val="000000" w:themeColor="text1"/>
          <w:sz w:val="22"/>
          <w:szCs w:val="22"/>
        </w:rPr>
      </w:pPr>
    </w:p>
    <w:p w14:paraId="6546D303" w14:textId="77777777" w:rsidR="00BF2F42" w:rsidRPr="004D0755" w:rsidRDefault="00BF2F42" w:rsidP="00BF2F42">
      <w:pPr>
        <w:autoSpaceDE w:val="0"/>
        <w:autoSpaceDN w:val="0"/>
        <w:adjustRightInd w:val="0"/>
        <w:spacing w:line="360" w:lineRule="auto"/>
        <w:ind w:right="51"/>
        <w:jc w:val="both"/>
        <w:rPr>
          <w:rFonts w:ascii="Palatino Linotype" w:eastAsia="Calibri" w:hAnsi="Palatino Linotype" w:cs="Arial"/>
          <w:bCs/>
          <w:iCs/>
          <w:color w:val="000000" w:themeColor="text1"/>
          <w:sz w:val="22"/>
          <w:szCs w:val="22"/>
        </w:rPr>
      </w:pPr>
      <w:r w:rsidRPr="004D0755">
        <w:rPr>
          <w:rFonts w:ascii="Palatino Linotype" w:eastAsia="Calibri" w:hAnsi="Palatino Linotype" w:cs="Arial"/>
          <w:bCs/>
          <w:iCs/>
          <w:color w:val="000000" w:themeColor="text1"/>
          <w:sz w:val="22"/>
          <w:szCs w:val="22"/>
        </w:rPr>
        <w:t xml:space="preserve">Para el caso de que </w:t>
      </w:r>
      <w:r w:rsidR="005C1100" w:rsidRPr="004D0755">
        <w:rPr>
          <w:rFonts w:ascii="Palatino Linotype" w:eastAsia="Calibri" w:hAnsi="Palatino Linotype" w:cs="Arial"/>
          <w:bCs/>
          <w:iCs/>
          <w:color w:val="000000" w:themeColor="text1"/>
          <w:sz w:val="22"/>
          <w:szCs w:val="22"/>
        </w:rPr>
        <w:t>los</w:t>
      </w:r>
      <w:r w:rsidRPr="004D0755">
        <w:rPr>
          <w:rFonts w:ascii="Palatino Linotype" w:eastAsia="Calibri" w:hAnsi="Palatino Linotype" w:cs="Arial"/>
          <w:bCs/>
          <w:iCs/>
          <w:color w:val="000000" w:themeColor="text1"/>
          <w:sz w:val="22"/>
          <w:szCs w:val="22"/>
        </w:rPr>
        <w:t xml:space="preserve"> procedimientos</w:t>
      </w:r>
      <w:r w:rsidR="005C1100" w:rsidRPr="004D0755">
        <w:rPr>
          <w:rFonts w:ascii="Palatino Linotype" w:eastAsia="Calibri" w:hAnsi="Palatino Linotype" w:cs="Arial"/>
          <w:bCs/>
          <w:iCs/>
          <w:color w:val="000000" w:themeColor="text1"/>
          <w:sz w:val="22"/>
          <w:szCs w:val="22"/>
        </w:rPr>
        <w:t xml:space="preserve"> correspondan a </w:t>
      </w:r>
      <w:r w:rsidRPr="004D0755">
        <w:rPr>
          <w:rFonts w:ascii="Palatino Linotype" w:eastAsia="Calibri" w:hAnsi="Palatino Linotype" w:cs="Arial"/>
          <w:bCs/>
          <w:iCs/>
          <w:color w:val="000000" w:themeColor="text1"/>
          <w:sz w:val="22"/>
          <w:szCs w:val="22"/>
        </w:rPr>
        <w:t xml:space="preserve">quejas o denuncias por faltas no graves y graves que no haya causado estado, deberá emitirse el Acuerdo de Clasificación respectivo en el que se funden y motiven las razones de su reserva; salvo que el acto se relacione con actos de corrupción, delitos de lesa humanidad o posibles violaciones graves a derechos humanos; deberá entregar en versión pública los documentos en donde conste el nombre, motivo y estatus; en términos de los artículos 49, fracciones II y VIII, 140, fracción </w:t>
      </w:r>
      <w:r w:rsidRPr="004D0755">
        <w:rPr>
          <w:rFonts w:ascii="Palatino Linotype" w:eastAsia="Calibri" w:hAnsi="Palatino Linotype" w:cs="Arial"/>
          <w:bCs/>
          <w:iCs/>
          <w:color w:val="000000" w:themeColor="text1"/>
          <w:sz w:val="22"/>
          <w:szCs w:val="22"/>
        </w:rPr>
        <w:lastRenderedPageBreak/>
        <w:t>VIII y 141 de la Ley de Transparencia y Acceso a la Información Pública del Estado de México y Municipios.</w:t>
      </w:r>
    </w:p>
    <w:p w14:paraId="6546D304" w14:textId="77777777" w:rsidR="0031616D" w:rsidRPr="004D0755" w:rsidRDefault="0031616D" w:rsidP="0031616D">
      <w:pPr>
        <w:autoSpaceDE w:val="0"/>
        <w:autoSpaceDN w:val="0"/>
        <w:adjustRightInd w:val="0"/>
        <w:spacing w:line="360" w:lineRule="auto"/>
        <w:ind w:right="51"/>
        <w:jc w:val="both"/>
        <w:rPr>
          <w:rFonts w:ascii="Palatino Linotype" w:eastAsia="Calibri" w:hAnsi="Palatino Linotype" w:cs="Arial"/>
          <w:color w:val="000000" w:themeColor="text1"/>
        </w:rPr>
      </w:pPr>
    </w:p>
    <w:p w14:paraId="6546D305" w14:textId="77777777" w:rsidR="005C1100" w:rsidRPr="004D0755" w:rsidRDefault="005C1100" w:rsidP="005C1100">
      <w:pPr>
        <w:tabs>
          <w:tab w:val="left" w:pos="8080"/>
        </w:tabs>
        <w:spacing w:line="360" w:lineRule="auto"/>
        <w:ind w:right="49"/>
        <w:jc w:val="both"/>
        <w:rPr>
          <w:rFonts w:ascii="Palatino Linotype" w:eastAsia="Calibri" w:hAnsi="Palatino Linotype" w:cs="Arial"/>
          <w:bCs/>
          <w:iCs/>
          <w:color w:val="000000" w:themeColor="text1"/>
        </w:rPr>
      </w:pPr>
      <w:bookmarkStart w:id="181" w:name="_Toc511647758"/>
      <w:bookmarkStart w:id="182" w:name="_Toc511647819"/>
      <w:r w:rsidRPr="004D0755">
        <w:rPr>
          <w:rFonts w:ascii="Palatino Linotype" w:eastAsia="Calibri" w:hAnsi="Palatino Linotype" w:cs="Arial"/>
          <w:bCs/>
          <w:iCs/>
          <w:color w:val="000000" w:themeColor="text1"/>
        </w:rPr>
        <w:t xml:space="preserve">Los procedimientos de responsabilidad administrativa que hayan quedado firmes en versión pública, protegiendo en todo momento los datos que puedan hacer identificables a los servidores públicos sancionados o absolutorios por faltas no graves, así como, absolutorios por faltas graves. </w:t>
      </w:r>
    </w:p>
    <w:p w14:paraId="6546D306" w14:textId="77777777" w:rsidR="005C1100" w:rsidRPr="004D0755" w:rsidRDefault="005C1100" w:rsidP="005C1100">
      <w:pPr>
        <w:tabs>
          <w:tab w:val="left" w:pos="8080"/>
        </w:tabs>
        <w:spacing w:line="360" w:lineRule="auto"/>
        <w:ind w:right="49"/>
        <w:jc w:val="both"/>
        <w:rPr>
          <w:rFonts w:ascii="Palatino Linotype" w:eastAsia="Calibri" w:hAnsi="Palatino Linotype" w:cs="Arial"/>
          <w:bCs/>
          <w:iCs/>
          <w:color w:val="000000" w:themeColor="text1"/>
        </w:rPr>
      </w:pPr>
    </w:p>
    <w:p w14:paraId="6546D307" w14:textId="77777777" w:rsidR="005C1100" w:rsidRPr="004D0755" w:rsidRDefault="005C1100" w:rsidP="005C1100">
      <w:pPr>
        <w:tabs>
          <w:tab w:val="left" w:pos="8080"/>
        </w:tabs>
        <w:spacing w:line="360" w:lineRule="auto"/>
        <w:ind w:right="49"/>
        <w:jc w:val="both"/>
        <w:rPr>
          <w:rFonts w:ascii="Palatino Linotype" w:eastAsia="Calibri" w:hAnsi="Palatino Linotype" w:cs="Arial"/>
          <w:bCs/>
          <w:color w:val="000000" w:themeColor="text1"/>
        </w:rPr>
      </w:pPr>
      <w:r w:rsidRPr="004D0755">
        <w:rPr>
          <w:rFonts w:ascii="Palatino Linotype" w:eastAsia="Calibri" w:hAnsi="Palatino Linotype" w:cs="Arial"/>
          <w:bCs/>
          <w:color w:val="000000" w:themeColor="text1"/>
        </w:rPr>
        <w:t>Para el caso de que cuente con procedimientos concluidos por faltas administrativas graves con resolución condenatoria procede su acceso en versión pública.</w:t>
      </w:r>
    </w:p>
    <w:p w14:paraId="6546D308" w14:textId="77777777" w:rsidR="005C1100" w:rsidRPr="004D0755" w:rsidRDefault="005C1100" w:rsidP="005C1100">
      <w:pPr>
        <w:tabs>
          <w:tab w:val="left" w:pos="8080"/>
        </w:tabs>
        <w:spacing w:line="360" w:lineRule="auto"/>
        <w:ind w:right="49"/>
        <w:jc w:val="both"/>
        <w:rPr>
          <w:rFonts w:ascii="Palatino Linotype" w:eastAsia="Calibri" w:hAnsi="Palatino Linotype" w:cs="Arial"/>
          <w:bCs/>
          <w:color w:val="000000" w:themeColor="text1"/>
        </w:rPr>
      </w:pPr>
    </w:p>
    <w:p w14:paraId="0AD430DF" w14:textId="3CF5B17F" w:rsidR="004D79A8" w:rsidRPr="004D79A8" w:rsidRDefault="00833F34" w:rsidP="00833F34">
      <w:pPr>
        <w:tabs>
          <w:tab w:val="left" w:pos="8080"/>
        </w:tabs>
        <w:spacing w:line="360" w:lineRule="auto"/>
        <w:ind w:right="49"/>
        <w:jc w:val="both"/>
        <w:rPr>
          <w:rFonts w:ascii="Palatino Linotype" w:hAnsi="Palatino Linotype"/>
          <w:sz w:val="22"/>
          <w:szCs w:val="22"/>
        </w:rPr>
      </w:pPr>
      <w:r w:rsidRPr="004D0755">
        <w:rPr>
          <w:rFonts w:ascii="Palatino Linotype" w:eastAsia="Times New Roman" w:hAnsi="Palatino Linotype" w:cs="Times New Roman"/>
          <w:b/>
          <w:sz w:val="22"/>
          <w:szCs w:val="22"/>
        </w:rPr>
        <w:t>TERCERO.</w:t>
      </w:r>
      <w:bookmarkEnd w:id="173"/>
      <w:bookmarkEnd w:id="181"/>
      <w:bookmarkEnd w:id="182"/>
      <w:r w:rsidRPr="004D0755">
        <w:rPr>
          <w:rFonts w:ascii="Palatino Linotype" w:eastAsia="Times New Roman" w:hAnsi="Palatino Linotype" w:cs="Times New Roman"/>
          <w:b/>
          <w:sz w:val="22"/>
          <w:szCs w:val="22"/>
        </w:rPr>
        <w:t xml:space="preserve"> </w:t>
      </w:r>
      <w:bookmarkEnd w:id="174"/>
      <w:bookmarkEnd w:id="175"/>
      <w:bookmarkEnd w:id="176"/>
      <w:bookmarkEnd w:id="177"/>
      <w:bookmarkEnd w:id="178"/>
      <w:bookmarkEnd w:id="179"/>
      <w:bookmarkEnd w:id="180"/>
      <w:r w:rsidRPr="004D0755">
        <w:rPr>
          <w:rFonts w:ascii="Palatino Linotype" w:hAnsi="Palatino Linotype"/>
          <w:b/>
          <w:sz w:val="22"/>
          <w:szCs w:val="22"/>
        </w:rPr>
        <w:t xml:space="preserve">Notifíquese </w:t>
      </w:r>
      <w:r w:rsidRPr="004D0755">
        <w:rPr>
          <w:rFonts w:ascii="Palatino Linotype" w:hAnsi="Palatino Linotype"/>
          <w:sz w:val="22"/>
          <w:szCs w:val="22"/>
        </w:rPr>
        <w:t>la presente resolución al Titular de la Unidad de Transparencia del Sujeto Obligado</w:t>
      </w:r>
      <w:r w:rsidR="007947A0" w:rsidRPr="004D0755">
        <w:rPr>
          <w:rFonts w:ascii="Palatino Linotype" w:hAnsi="Palatino Linotype"/>
          <w:sz w:val="22"/>
          <w:szCs w:val="22"/>
        </w:rPr>
        <w:t xml:space="preserve"> vía SAIMEX </w:t>
      </w:r>
      <w:r w:rsidRPr="004D0755">
        <w:rPr>
          <w:rFonts w:ascii="Palatino Linotype" w:hAnsi="Palatino Linotype"/>
          <w:sz w:val="22"/>
          <w:szCs w:val="22"/>
        </w:rPr>
        <w:t>, para que conforme al artículo 186 último párrafo, 189 segundo párrafo y 194 de la Ley de Transparencia y Acceso a la Información Pública del Estado de México y Municipios; dé cumplimiento a lo ordenado dentro del</w:t>
      </w:r>
      <w:r w:rsidRPr="000A4C44">
        <w:rPr>
          <w:rFonts w:ascii="Palatino Linotype" w:hAnsi="Palatino Linotype"/>
          <w:sz w:val="22"/>
          <w:szCs w:val="22"/>
        </w:rPr>
        <w:t xml:space="preserve">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46D30A" w14:textId="77777777" w:rsidR="00833F34" w:rsidRPr="000A4C44" w:rsidRDefault="00833F34" w:rsidP="00833F34">
      <w:pPr>
        <w:spacing w:line="360" w:lineRule="auto"/>
        <w:jc w:val="both"/>
        <w:rPr>
          <w:rFonts w:ascii="Palatino Linotype" w:hAnsi="Palatino Linotype" w:cs="Arial"/>
          <w:b/>
          <w:sz w:val="22"/>
          <w:szCs w:val="22"/>
        </w:rPr>
      </w:pPr>
    </w:p>
    <w:p w14:paraId="1FBBC075" w14:textId="7B5CDE02" w:rsidR="00C36C29" w:rsidRDefault="00833F34" w:rsidP="00833F34">
      <w:pPr>
        <w:spacing w:line="360" w:lineRule="auto"/>
        <w:jc w:val="both"/>
        <w:rPr>
          <w:rFonts w:ascii="Palatino Linotype" w:eastAsia="Calibri" w:hAnsi="Palatino Linotype" w:cs="Arial"/>
          <w:bCs/>
          <w:sz w:val="22"/>
          <w:szCs w:val="22"/>
        </w:rPr>
      </w:pPr>
      <w:r w:rsidRPr="000A4C44">
        <w:rPr>
          <w:rFonts w:ascii="Palatino Linotype" w:hAnsi="Palatino Linotype" w:cs="Arial"/>
          <w:b/>
          <w:sz w:val="22"/>
          <w:szCs w:val="22"/>
        </w:rPr>
        <w:t xml:space="preserve">CUARTO. </w:t>
      </w:r>
      <w:r w:rsidRPr="000A4C44">
        <w:rPr>
          <w:rFonts w:ascii="Palatino Linotype" w:eastAsia="Calibri" w:hAnsi="Palatino Linotype" w:cs="Arial"/>
          <w:bCs/>
          <w:sz w:val="22"/>
          <w:szCs w:val="22"/>
        </w:rPr>
        <w:t xml:space="preserve">De conformidad con el artículo 198 de la Ley de Transparencia y Acceso a la Información Pública del Estado de México y Municipios, de considerarlo procedente, el </w:t>
      </w:r>
      <w:r w:rsidRPr="000A4C44">
        <w:rPr>
          <w:rFonts w:ascii="Palatino Linotype" w:eastAsia="Calibri" w:hAnsi="Palatino Linotype" w:cs="Arial"/>
          <w:b/>
          <w:bCs/>
          <w:sz w:val="22"/>
          <w:szCs w:val="22"/>
        </w:rPr>
        <w:t>SUJETO OBLIGADO</w:t>
      </w:r>
      <w:r w:rsidRPr="000A4C44">
        <w:rPr>
          <w:rFonts w:ascii="Palatino Linotype" w:eastAsia="Calibri" w:hAnsi="Palatino Linotype" w:cs="Arial"/>
          <w:bCs/>
          <w:sz w:val="22"/>
          <w:szCs w:val="22"/>
        </w:rPr>
        <w:t xml:space="preserve"> de manera fundada y motivada, podrá solicitar una ampliación de plazo para el cumplimiento de la presente resolución.</w:t>
      </w:r>
    </w:p>
    <w:p w14:paraId="7D6C44E6" w14:textId="77777777" w:rsidR="004D79A8" w:rsidRDefault="004D79A8" w:rsidP="00833F34">
      <w:pPr>
        <w:spacing w:line="360" w:lineRule="auto"/>
        <w:jc w:val="both"/>
        <w:rPr>
          <w:rFonts w:ascii="Palatino Linotype" w:eastAsia="Calibri" w:hAnsi="Palatino Linotype" w:cs="Arial"/>
          <w:bCs/>
          <w:sz w:val="22"/>
          <w:szCs w:val="22"/>
        </w:rPr>
      </w:pPr>
    </w:p>
    <w:p w14:paraId="0AAB8DD5" w14:textId="3AF73C88" w:rsidR="004D79A8" w:rsidRDefault="004D79A8" w:rsidP="004D79A8">
      <w:pPr>
        <w:shd w:val="clear" w:color="auto" w:fill="FFFFFF"/>
        <w:spacing w:line="360" w:lineRule="auto"/>
        <w:jc w:val="both"/>
        <w:rPr>
          <w:rFonts w:ascii="Palatino Linotype" w:eastAsia="Palatino Linotype" w:hAnsi="Palatino Linotype" w:cs="Palatino Linotype"/>
        </w:rPr>
      </w:pPr>
      <w:r w:rsidRPr="00BC335C">
        <w:rPr>
          <w:rFonts w:ascii="Palatino Linotype" w:eastAsia="Calibri" w:hAnsi="Palatino Linotype" w:cs="Arial"/>
          <w:b/>
          <w:sz w:val="22"/>
          <w:szCs w:val="22"/>
        </w:rPr>
        <w:lastRenderedPageBreak/>
        <w:t>QUINTO</w:t>
      </w:r>
      <w:r>
        <w:rPr>
          <w:rFonts w:ascii="Palatino Linotype" w:eastAsia="Calibri" w:hAnsi="Palatino Linotype" w:cs="Arial"/>
          <w:bCs/>
          <w:sz w:val="22"/>
          <w:szCs w:val="22"/>
        </w:rPr>
        <w:t xml:space="preserve">.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6546D30C" w14:textId="77777777" w:rsidR="00374B04" w:rsidRPr="000A4C44" w:rsidRDefault="00374B04" w:rsidP="00833F34">
      <w:pPr>
        <w:spacing w:line="360" w:lineRule="auto"/>
        <w:jc w:val="both"/>
        <w:rPr>
          <w:rFonts w:ascii="Palatino Linotype" w:eastAsia="Calibri" w:hAnsi="Palatino Linotype" w:cs="Arial"/>
          <w:bCs/>
          <w:sz w:val="22"/>
          <w:szCs w:val="22"/>
        </w:rPr>
      </w:pPr>
    </w:p>
    <w:p w14:paraId="6546D30D" w14:textId="0BD6C9BD" w:rsidR="00374B04" w:rsidRDefault="00BC335C" w:rsidP="00833F34">
      <w:pPr>
        <w:spacing w:line="360" w:lineRule="auto"/>
        <w:jc w:val="both"/>
        <w:rPr>
          <w:rFonts w:ascii="Palatino Linotype" w:eastAsia="Calibri" w:hAnsi="Palatino Linotype" w:cs="Arial"/>
          <w:bCs/>
          <w:sz w:val="22"/>
          <w:szCs w:val="22"/>
        </w:rPr>
      </w:pPr>
      <w:r>
        <w:rPr>
          <w:rFonts w:ascii="Palatino Linotype" w:eastAsia="Calibri" w:hAnsi="Palatino Linotype" w:cs="Arial"/>
          <w:b/>
          <w:bCs/>
          <w:sz w:val="22"/>
          <w:szCs w:val="22"/>
        </w:rPr>
        <w:t>SEXTO</w:t>
      </w:r>
      <w:r w:rsidR="00374B04" w:rsidRPr="00374B04">
        <w:rPr>
          <w:rFonts w:ascii="Palatino Linotype" w:eastAsia="Calibri" w:hAnsi="Palatino Linotype" w:cs="Arial"/>
          <w:bCs/>
          <w:sz w:val="22"/>
          <w:szCs w:val="22"/>
        </w:rPr>
        <w:t xml:space="preserve">. Se hace del conocimiento del </w:t>
      </w:r>
      <w:r w:rsidR="00374B04" w:rsidRPr="00374B04">
        <w:rPr>
          <w:rFonts w:ascii="Palatino Linotype" w:eastAsia="Calibri" w:hAnsi="Palatino Linotype" w:cs="Arial"/>
          <w:b/>
          <w:bCs/>
          <w:sz w:val="22"/>
          <w:szCs w:val="22"/>
        </w:rPr>
        <w:t xml:space="preserve">RECURRENTE </w:t>
      </w:r>
      <w:r w:rsidR="00374B04" w:rsidRPr="00374B04">
        <w:rPr>
          <w:rFonts w:ascii="Palatino Linotype" w:eastAsia="Calibri" w:hAnsi="Palatino Linotype" w:cs="Arial"/>
          <w:bCs/>
          <w:sz w:val="22"/>
          <w:szCs w:val="22"/>
        </w:rPr>
        <w:t xml:space="preserve">que, de conformidad con lo establecido en el artículo 196 de la Ley de Transparencia y Acceso a la Información Pública del Estado de México y Municipios, y en lo dispuesto en los artículos 159 y 160 de la Ley General de Transparencia y Acceso a la Información </w:t>
      </w:r>
      <w:r w:rsidR="00374B04" w:rsidRPr="004D0755">
        <w:rPr>
          <w:rFonts w:ascii="Palatino Linotype" w:eastAsia="Calibri" w:hAnsi="Palatino Linotype" w:cs="Arial"/>
          <w:bCs/>
          <w:sz w:val="22"/>
          <w:szCs w:val="22"/>
        </w:rPr>
        <w:t>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w:t>
      </w:r>
      <w:r w:rsidR="00374B04" w:rsidRPr="00374B04">
        <w:rPr>
          <w:rFonts w:ascii="Palatino Linotype" w:eastAsia="Calibri" w:hAnsi="Palatino Linotype" w:cs="Arial"/>
          <w:bCs/>
          <w:sz w:val="22"/>
          <w:szCs w:val="22"/>
        </w:rPr>
        <w:t xml:space="preserve"> aplicables.</w:t>
      </w:r>
    </w:p>
    <w:p w14:paraId="6546D30E" w14:textId="77777777" w:rsidR="00374B04" w:rsidRDefault="00374B04" w:rsidP="00833F34">
      <w:pPr>
        <w:spacing w:line="360" w:lineRule="auto"/>
        <w:jc w:val="both"/>
        <w:rPr>
          <w:rFonts w:ascii="Palatino Linotype" w:eastAsia="Calibri" w:hAnsi="Palatino Linotype" w:cs="Arial"/>
          <w:bCs/>
          <w:sz w:val="22"/>
          <w:szCs w:val="22"/>
        </w:rPr>
      </w:pPr>
    </w:p>
    <w:p w14:paraId="2334D522" w14:textId="1016DD3F" w:rsidR="007C7F2D" w:rsidRPr="000C614A" w:rsidRDefault="007C7F2D" w:rsidP="007C7F2D">
      <w:pPr>
        <w:spacing w:line="360" w:lineRule="auto"/>
        <w:ind w:firstLine="1"/>
        <w:jc w:val="both"/>
        <w:rPr>
          <w:rFonts w:ascii="Palatino Linotype" w:hAnsi="Palatino Linotype"/>
        </w:rPr>
      </w:pPr>
      <w:bookmarkStart w:id="183" w:name="_Hlk178879774"/>
      <w:r w:rsidRPr="000C614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92C71">
        <w:rPr>
          <w:rFonts w:ascii="Palatino Linotype" w:hAnsi="Palatino Linotype"/>
        </w:rPr>
        <w:t xml:space="preserve"> EMITIENDO VOTO PARTICULAR</w:t>
      </w:r>
      <w:r w:rsidRPr="000C614A">
        <w:rPr>
          <w:rFonts w:ascii="Palatino Linotype" w:hAnsi="Palatino Linotype"/>
        </w:rPr>
        <w:t>; SHARON CRISTINA MORALES MARTÍNEZ; LUIS GUSTAVO PARRA NORIEGA</w:t>
      </w:r>
      <w:r w:rsidR="00292C71">
        <w:rPr>
          <w:rFonts w:ascii="Palatino Linotype" w:hAnsi="Palatino Linotype"/>
        </w:rPr>
        <w:t xml:space="preserve"> EMITIENDO VOTO PARTICULAR</w:t>
      </w:r>
      <w:r w:rsidRPr="000C614A">
        <w:rPr>
          <w:rFonts w:ascii="Palatino Linotype" w:hAnsi="Palatino Linotype"/>
        </w:rPr>
        <w:t xml:space="preserve">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bookmarkEnd w:id="183"/>
    <w:p w14:paraId="6546D314" w14:textId="77777777" w:rsidR="00833F34" w:rsidRPr="000A4C44" w:rsidRDefault="00833F34" w:rsidP="00833F34">
      <w:pPr>
        <w:spacing w:line="360" w:lineRule="auto"/>
        <w:rPr>
          <w:rFonts w:ascii="Palatino Linotype" w:hAnsi="Palatino Linotype"/>
          <w:sz w:val="22"/>
          <w:szCs w:val="22"/>
        </w:rPr>
      </w:pPr>
    </w:p>
    <w:p w14:paraId="6546D315" w14:textId="77777777" w:rsidR="00833F34" w:rsidRPr="000A4C44" w:rsidRDefault="00833F34" w:rsidP="00833F34">
      <w:pPr>
        <w:spacing w:line="360" w:lineRule="auto"/>
        <w:rPr>
          <w:rFonts w:ascii="Palatino Linotype" w:hAnsi="Palatino Linotype"/>
          <w:sz w:val="22"/>
          <w:szCs w:val="22"/>
        </w:rPr>
      </w:pPr>
    </w:p>
    <w:p w14:paraId="6546D316" w14:textId="77777777" w:rsidR="00833F34" w:rsidRPr="000A4C44" w:rsidRDefault="00833F34" w:rsidP="00833F34">
      <w:pPr>
        <w:spacing w:line="360" w:lineRule="auto"/>
        <w:rPr>
          <w:rFonts w:ascii="Palatino Linotype" w:hAnsi="Palatino Linotype"/>
          <w:sz w:val="22"/>
          <w:szCs w:val="22"/>
        </w:rPr>
      </w:pPr>
    </w:p>
    <w:p w14:paraId="6546D317" w14:textId="77777777" w:rsidR="00833F34" w:rsidRPr="000A4C44" w:rsidRDefault="00833F34" w:rsidP="00833F34">
      <w:pPr>
        <w:spacing w:line="360" w:lineRule="auto"/>
        <w:rPr>
          <w:rFonts w:ascii="Palatino Linotype" w:hAnsi="Palatino Linotype"/>
          <w:sz w:val="22"/>
          <w:szCs w:val="22"/>
        </w:rPr>
      </w:pPr>
    </w:p>
    <w:p w14:paraId="6546D318" w14:textId="77777777" w:rsidR="00833F34" w:rsidRPr="000A4C44" w:rsidRDefault="00833F34" w:rsidP="00833F34">
      <w:pPr>
        <w:spacing w:line="360" w:lineRule="auto"/>
        <w:rPr>
          <w:rFonts w:ascii="Palatino Linotype" w:hAnsi="Palatino Linotype"/>
          <w:sz w:val="22"/>
          <w:szCs w:val="22"/>
        </w:rPr>
      </w:pPr>
    </w:p>
    <w:p w14:paraId="6546D319" w14:textId="77777777" w:rsidR="00833F34" w:rsidRPr="000A4C44" w:rsidRDefault="00833F34" w:rsidP="00833F34">
      <w:pPr>
        <w:spacing w:line="360" w:lineRule="auto"/>
        <w:rPr>
          <w:rFonts w:ascii="Palatino Linotype" w:hAnsi="Palatino Linotype"/>
          <w:sz w:val="22"/>
          <w:szCs w:val="22"/>
        </w:rPr>
      </w:pPr>
    </w:p>
    <w:p w14:paraId="6546D31A" w14:textId="77777777" w:rsidR="00833F34" w:rsidRPr="000A4C44" w:rsidRDefault="00833F34" w:rsidP="00833F34">
      <w:pPr>
        <w:spacing w:line="360" w:lineRule="auto"/>
        <w:rPr>
          <w:rFonts w:ascii="Palatino Linotype" w:hAnsi="Palatino Linotype"/>
          <w:sz w:val="22"/>
          <w:szCs w:val="22"/>
        </w:rPr>
      </w:pPr>
    </w:p>
    <w:p w14:paraId="6546D31B" w14:textId="77777777" w:rsidR="00833F34" w:rsidRPr="000A4C44" w:rsidRDefault="00833F34" w:rsidP="00833F34">
      <w:pPr>
        <w:tabs>
          <w:tab w:val="left" w:pos="3374"/>
        </w:tabs>
        <w:spacing w:line="360" w:lineRule="auto"/>
        <w:rPr>
          <w:rFonts w:ascii="Palatino Linotype" w:hAnsi="Palatino Linotype"/>
          <w:sz w:val="22"/>
          <w:szCs w:val="22"/>
        </w:rPr>
      </w:pPr>
      <w:r w:rsidRPr="000A4C44">
        <w:rPr>
          <w:rFonts w:ascii="Palatino Linotype" w:hAnsi="Palatino Linotype"/>
          <w:sz w:val="22"/>
          <w:szCs w:val="22"/>
        </w:rPr>
        <w:tab/>
      </w:r>
    </w:p>
    <w:p w14:paraId="6546D31C" w14:textId="77777777" w:rsidR="00833F34" w:rsidRPr="000A4C44" w:rsidRDefault="00833F34" w:rsidP="00833F34">
      <w:pPr>
        <w:tabs>
          <w:tab w:val="left" w:pos="3374"/>
        </w:tabs>
        <w:spacing w:line="360" w:lineRule="auto"/>
        <w:rPr>
          <w:rFonts w:ascii="Palatino Linotype" w:hAnsi="Palatino Linotype"/>
          <w:sz w:val="22"/>
          <w:szCs w:val="22"/>
        </w:rPr>
      </w:pPr>
    </w:p>
    <w:p w14:paraId="6546D31D" w14:textId="77777777" w:rsidR="00833F34" w:rsidRPr="000A4C44" w:rsidRDefault="00833F34" w:rsidP="00833F34">
      <w:pPr>
        <w:tabs>
          <w:tab w:val="left" w:pos="3374"/>
        </w:tabs>
        <w:spacing w:line="360" w:lineRule="auto"/>
        <w:rPr>
          <w:rFonts w:ascii="Palatino Linotype" w:hAnsi="Palatino Linotype"/>
          <w:sz w:val="22"/>
          <w:szCs w:val="22"/>
        </w:rPr>
      </w:pPr>
    </w:p>
    <w:p w14:paraId="6546D31E" w14:textId="77777777" w:rsidR="00833F34" w:rsidRPr="000A4C44" w:rsidRDefault="00833F34" w:rsidP="00833F34">
      <w:pPr>
        <w:tabs>
          <w:tab w:val="left" w:pos="3374"/>
        </w:tabs>
        <w:spacing w:line="360" w:lineRule="auto"/>
        <w:rPr>
          <w:rFonts w:ascii="Palatino Linotype" w:hAnsi="Palatino Linotype"/>
          <w:sz w:val="22"/>
          <w:szCs w:val="22"/>
        </w:rPr>
      </w:pPr>
    </w:p>
    <w:p w14:paraId="6546D31F" w14:textId="77777777" w:rsidR="00833F34" w:rsidRPr="000A4C44" w:rsidRDefault="00833F34" w:rsidP="00833F34">
      <w:pPr>
        <w:tabs>
          <w:tab w:val="left" w:pos="3374"/>
        </w:tabs>
        <w:spacing w:line="360" w:lineRule="auto"/>
        <w:rPr>
          <w:rFonts w:ascii="Palatino Linotype" w:hAnsi="Palatino Linotype"/>
          <w:sz w:val="22"/>
          <w:szCs w:val="22"/>
        </w:rPr>
      </w:pPr>
    </w:p>
    <w:p w14:paraId="6546D320" w14:textId="77777777" w:rsidR="00833F34" w:rsidRPr="000A4C44" w:rsidRDefault="00833F34" w:rsidP="00833F34">
      <w:pPr>
        <w:tabs>
          <w:tab w:val="left" w:pos="3374"/>
        </w:tabs>
        <w:spacing w:line="360" w:lineRule="auto"/>
        <w:rPr>
          <w:rFonts w:ascii="Palatino Linotype" w:hAnsi="Palatino Linotype"/>
          <w:sz w:val="22"/>
          <w:szCs w:val="22"/>
        </w:rPr>
      </w:pPr>
    </w:p>
    <w:p w14:paraId="6546D321" w14:textId="77777777" w:rsidR="00833F34" w:rsidRPr="000A4C44" w:rsidRDefault="00833F34" w:rsidP="00833F34">
      <w:pPr>
        <w:tabs>
          <w:tab w:val="left" w:pos="3374"/>
        </w:tabs>
        <w:spacing w:line="360" w:lineRule="auto"/>
        <w:rPr>
          <w:rFonts w:ascii="Palatino Linotype" w:hAnsi="Palatino Linotype"/>
          <w:sz w:val="22"/>
          <w:szCs w:val="22"/>
        </w:rPr>
      </w:pPr>
    </w:p>
    <w:p w14:paraId="6546D322" w14:textId="77777777" w:rsidR="00833F34" w:rsidRPr="000A4C44" w:rsidRDefault="00833F34" w:rsidP="00833F34">
      <w:pPr>
        <w:tabs>
          <w:tab w:val="left" w:pos="3374"/>
        </w:tabs>
        <w:spacing w:line="360" w:lineRule="auto"/>
        <w:rPr>
          <w:rFonts w:ascii="Palatino Linotype" w:hAnsi="Palatino Linotype"/>
          <w:sz w:val="22"/>
          <w:szCs w:val="22"/>
        </w:rPr>
      </w:pPr>
    </w:p>
    <w:p w14:paraId="6546D323" w14:textId="77777777" w:rsidR="00833F34" w:rsidRPr="000A4C44" w:rsidRDefault="00833F34" w:rsidP="00833F34">
      <w:pPr>
        <w:tabs>
          <w:tab w:val="left" w:pos="3374"/>
        </w:tabs>
        <w:spacing w:line="360" w:lineRule="auto"/>
        <w:rPr>
          <w:rFonts w:ascii="Palatino Linotype" w:hAnsi="Palatino Linotype"/>
          <w:sz w:val="22"/>
          <w:szCs w:val="22"/>
        </w:rPr>
      </w:pPr>
    </w:p>
    <w:p w14:paraId="6546D324" w14:textId="77777777" w:rsidR="00833F34" w:rsidRPr="000A4C44" w:rsidRDefault="00833F34" w:rsidP="00833F34">
      <w:pPr>
        <w:tabs>
          <w:tab w:val="left" w:pos="3374"/>
        </w:tabs>
        <w:spacing w:line="360" w:lineRule="auto"/>
        <w:rPr>
          <w:rFonts w:ascii="Palatino Linotype" w:hAnsi="Palatino Linotype"/>
          <w:sz w:val="22"/>
          <w:szCs w:val="22"/>
        </w:rPr>
      </w:pPr>
    </w:p>
    <w:p w14:paraId="6546D325" w14:textId="77777777" w:rsidR="00833F34" w:rsidRPr="000A4C44" w:rsidRDefault="00833F34" w:rsidP="00833F34">
      <w:pPr>
        <w:tabs>
          <w:tab w:val="left" w:pos="3374"/>
        </w:tabs>
        <w:spacing w:line="360" w:lineRule="auto"/>
        <w:rPr>
          <w:rFonts w:ascii="Palatino Linotype" w:hAnsi="Palatino Linotype"/>
          <w:sz w:val="22"/>
          <w:szCs w:val="22"/>
        </w:rPr>
      </w:pPr>
    </w:p>
    <w:p w14:paraId="6546D326" w14:textId="77777777" w:rsidR="00833F34" w:rsidRPr="000A4C44" w:rsidRDefault="00833F34" w:rsidP="00833F34">
      <w:pPr>
        <w:rPr>
          <w:sz w:val="22"/>
          <w:szCs w:val="22"/>
        </w:rPr>
      </w:pPr>
    </w:p>
    <w:p w14:paraId="6546D327" w14:textId="77777777" w:rsidR="001A266A" w:rsidRPr="000A4C44" w:rsidRDefault="001A266A">
      <w:pPr>
        <w:rPr>
          <w:sz w:val="22"/>
          <w:szCs w:val="22"/>
        </w:rPr>
      </w:pPr>
    </w:p>
    <w:sectPr w:rsidR="001A266A" w:rsidRPr="000A4C44" w:rsidSect="00B30701">
      <w:headerReference w:type="even" r:id="rId8"/>
      <w:headerReference w:type="default" r:id="rId9"/>
      <w:footerReference w:type="default" r:id="rId10"/>
      <w:headerReference w:type="first" r:id="rId11"/>
      <w:footerReference w:type="first" r:id="rId12"/>
      <w:pgSz w:w="12240" w:h="15840"/>
      <w:pgMar w:top="2269"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78D5" w14:textId="77777777" w:rsidR="00A92A62" w:rsidRDefault="00A92A62" w:rsidP="00833F34">
      <w:r>
        <w:separator/>
      </w:r>
    </w:p>
  </w:endnote>
  <w:endnote w:type="continuationSeparator" w:id="0">
    <w:p w14:paraId="462BBFBC" w14:textId="77777777" w:rsidR="00A92A62" w:rsidRDefault="00A92A62" w:rsidP="0083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546D339" w14:textId="77777777" w:rsidR="00BF2F42" w:rsidRPr="002D6DD8" w:rsidRDefault="00BF2F42" w:rsidP="00B3070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A3585">
              <w:rPr>
                <w:rFonts w:ascii="Palatino Linotype" w:hAnsi="Palatino Linotype"/>
                <w:bCs/>
                <w:noProof/>
                <w:sz w:val="20"/>
              </w:rPr>
              <w:t>64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A3585">
              <w:rPr>
                <w:rFonts w:ascii="Palatino Linotype" w:hAnsi="Palatino Linotype"/>
                <w:bCs/>
                <w:noProof/>
                <w:sz w:val="20"/>
              </w:rPr>
              <w:t>64</w:t>
            </w:r>
            <w:r>
              <w:rPr>
                <w:rFonts w:ascii="Palatino Linotype" w:hAnsi="Palatino Linotype"/>
                <w:bCs/>
                <w:noProof/>
                <w:sz w:val="20"/>
              </w:rPr>
              <w:fldChar w:fldCharType="end"/>
            </w:r>
          </w:p>
        </w:sdtContent>
      </w:sdt>
    </w:sdtContent>
  </w:sdt>
  <w:p w14:paraId="6546D33A" w14:textId="77777777" w:rsidR="00BF2F42" w:rsidRDefault="00BF2F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D348" w14:textId="77777777" w:rsidR="00BF2F42" w:rsidRPr="000B69FA" w:rsidRDefault="00BF2F42" w:rsidP="00B3070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A358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A3585">
      <w:rPr>
        <w:rFonts w:ascii="Palatino Linotype" w:hAnsi="Palatino Linotype"/>
        <w:bCs/>
        <w:noProof/>
        <w:sz w:val="20"/>
      </w:rPr>
      <w:t>64</w:t>
    </w:r>
    <w:r>
      <w:rPr>
        <w:rFonts w:ascii="Palatino Linotype" w:hAnsi="Palatino Linotype"/>
        <w:bCs/>
        <w:noProof/>
        <w:sz w:val="20"/>
      </w:rPr>
      <w:fldChar w:fldCharType="end"/>
    </w:r>
  </w:p>
  <w:p w14:paraId="6546D349" w14:textId="77777777" w:rsidR="00BF2F42" w:rsidRDefault="00BF2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1FF5" w14:textId="77777777" w:rsidR="00A92A62" w:rsidRDefault="00A92A62" w:rsidP="00833F34">
      <w:r>
        <w:separator/>
      </w:r>
    </w:p>
  </w:footnote>
  <w:footnote w:type="continuationSeparator" w:id="0">
    <w:p w14:paraId="6E5059AB" w14:textId="77777777" w:rsidR="00A92A62" w:rsidRDefault="00A92A62" w:rsidP="00833F34">
      <w:r>
        <w:continuationSeparator/>
      </w:r>
    </w:p>
  </w:footnote>
  <w:footnote w:id="1">
    <w:p w14:paraId="6546D34D" w14:textId="77777777" w:rsidR="00BF2F42" w:rsidRDefault="00BF2F42" w:rsidP="00860F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6546D34E" w14:textId="77777777" w:rsidR="00BF2F42" w:rsidRDefault="00BF2F42" w:rsidP="00860F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6546D34F" w14:textId="77777777" w:rsidR="00BF2F42" w:rsidRDefault="00BF2F42" w:rsidP="00860F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6546D350" w14:textId="77777777" w:rsidR="00BF2F42" w:rsidRDefault="00BF2F42" w:rsidP="00860F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14:paraId="6546D351" w14:textId="77777777" w:rsidR="00BF2F42" w:rsidRDefault="00BF2F42" w:rsidP="00833F34">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lang w:val="es-ES"/>
        </w:rPr>
        <w:t xml:space="preserve"> </w:t>
      </w:r>
      <w:r>
        <w:rPr>
          <w:rFonts w:ascii="Palatino Linotype" w:hAnsi="Palatino Linotype"/>
          <w:b/>
          <w:sz w:val="14"/>
        </w:rPr>
        <w:t>RESTRICCIONES A LOS DERECHOS FUNDAMENTALES. ELEMENTOS QUE EL JUEZ CONSTITUCIONAL DEBE TOMAR EN CUENTA PARA CONSIDERARLAS VÁLIDAS.</w:t>
      </w:r>
      <w:r>
        <w:rPr>
          <w:rFonts w:ascii="Palatino Linotype" w:hAnsi="Palatino Linotype"/>
          <w:sz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6546D352" w14:textId="77777777" w:rsidR="00BF2F42" w:rsidRDefault="00BF2F42" w:rsidP="00833F34">
      <w:pPr>
        <w:pStyle w:val="Textonotapie"/>
        <w:jc w:val="both"/>
        <w:rPr>
          <w:rFonts w:ascii="Palatino Linotype" w:hAnsi="Palatino Linotype"/>
          <w:sz w:val="14"/>
        </w:rPr>
      </w:pPr>
      <w:r>
        <w:rPr>
          <w:rFonts w:ascii="Palatino Linotype" w:hAnsi="Palatino Linotype"/>
          <w:sz w:val="14"/>
        </w:rPr>
        <w:t xml:space="preserve">1a./J. 2/2012 (9a.). Primera Sala. Décima Época. Semanario Judicial de la Federación y su Gaceta. Libro V, Febrero de 2012, Pág. 533.  </w:t>
      </w:r>
    </w:p>
  </w:footnote>
  <w:footnote w:id="6">
    <w:p w14:paraId="6546D353" w14:textId="77777777" w:rsidR="00BF2F42" w:rsidRDefault="00BF2F42" w:rsidP="00833F34">
      <w:pPr>
        <w:pStyle w:val="Textonotapie"/>
        <w:jc w:val="both"/>
        <w:rPr>
          <w:rFonts w:ascii="Palatino Linotype" w:hAnsi="Palatino Linotype"/>
          <w:sz w:val="14"/>
          <w:lang w:val="es-ES"/>
        </w:rPr>
      </w:pPr>
      <w:r>
        <w:rPr>
          <w:rStyle w:val="Refdenotaalpie"/>
          <w:rFonts w:ascii="Palatino Linotype" w:hAnsi="Palatino Linotype"/>
          <w:sz w:val="14"/>
        </w:rPr>
        <w:footnoteRef/>
      </w:r>
      <w:r>
        <w:rPr>
          <w:rFonts w:ascii="Palatino Linotype" w:hAnsi="Palatino Linotype"/>
          <w:sz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hAnsi="Palatino Linotype"/>
          <w:i/>
          <w:sz w:val="14"/>
        </w:rPr>
        <w:t>Marco jurídico interamericano sobre el derecho a la libertad de expresión</w:t>
      </w:r>
      <w:r>
        <w:rPr>
          <w:rFonts w:ascii="Palatino Linotype" w:hAnsi="Palatino Linotype"/>
          <w:sz w:val="14"/>
        </w:rPr>
        <w:t xml:space="preserve">. Párr. 67. </w:t>
      </w:r>
    </w:p>
  </w:footnote>
  <w:footnote w:id="7">
    <w:p w14:paraId="6546D354" w14:textId="77777777" w:rsidR="00BF2F42" w:rsidRDefault="00BF2F42" w:rsidP="00833F34">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6546D355" w14:textId="77777777" w:rsidR="00BF2F42" w:rsidRDefault="00BF2F42" w:rsidP="00833F34">
      <w:pPr>
        <w:pStyle w:val="Textonotapie"/>
        <w:jc w:val="both"/>
        <w:rPr>
          <w:rFonts w:ascii="Palatino Linotype" w:hAnsi="Palatino Linotype"/>
          <w:sz w:val="18"/>
          <w:lang w:val="es-ES"/>
        </w:rPr>
      </w:pPr>
      <w:r>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6546D356" w14:textId="77777777" w:rsidR="00BF2F42" w:rsidRDefault="00BF2F42" w:rsidP="00833F34">
      <w:pPr>
        <w:pStyle w:val="Textonotapie"/>
        <w:jc w:val="both"/>
        <w:rPr>
          <w:rFonts w:ascii="Palatino Linotype" w:hAnsi="Palatino Linotype"/>
          <w:sz w:val="18"/>
          <w:lang w:val="es-ES"/>
        </w:rPr>
      </w:pPr>
      <w:r>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8">
    <w:p w14:paraId="6546D357" w14:textId="77777777" w:rsidR="00BF2F42" w:rsidRDefault="00BF2F42" w:rsidP="00833F34">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 w:id="9">
    <w:p w14:paraId="6546D358" w14:textId="77777777" w:rsidR="00BF2F42" w:rsidRDefault="00BF2F42" w:rsidP="00833F34">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Artículo 3. Para los efectos de la presente Ley se entenderá por:</w:t>
      </w:r>
    </w:p>
    <w:p w14:paraId="6546D359" w14:textId="77777777" w:rsidR="00BF2F42" w:rsidRDefault="00BF2F42" w:rsidP="00833F34">
      <w:pPr>
        <w:pStyle w:val="Textonotapie"/>
        <w:jc w:val="both"/>
        <w:rPr>
          <w:rFonts w:ascii="Palatino Linotype" w:hAnsi="Palatino Linotype"/>
          <w:sz w:val="18"/>
        </w:rPr>
      </w:pPr>
      <w:r>
        <w:rPr>
          <w:rFonts w:ascii="Palatino Linotype" w:hAnsi="Palatino Linotype"/>
          <w:sz w:val="18"/>
        </w:rPr>
        <w:t xml:space="preserve"> (…)</w:t>
      </w:r>
    </w:p>
    <w:p w14:paraId="6546D35A" w14:textId="77777777" w:rsidR="00BF2F42" w:rsidRDefault="00BF2F42" w:rsidP="00833F34">
      <w:pPr>
        <w:pStyle w:val="Textonotapie"/>
        <w:jc w:val="both"/>
        <w:rPr>
          <w:rFonts w:ascii="Palatino Linotype" w:hAnsi="Palatino Linotype"/>
          <w:sz w:val="18"/>
        </w:rPr>
      </w:pPr>
      <w:r>
        <w:rPr>
          <w:rFonts w:ascii="Palatino Linotype" w:hAnsi="Palatino Linotype"/>
          <w:sz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D32E" w14:textId="77777777" w:rsidR="00BF2F42" w:rsidRDefault="00A92A62">
    <w:pPr>
      <w:pStyle w:val="Encabezado"/>
    </w:pPr>
    <w:r>
      <w:rPr>
        <w:noProof/>
        <w:lang w:eastAsia="es-MX"/>
      </w:rPr>
      <w:pict w14:anchorId="6546D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F2F42" w14:paraId="6546D331" w14:textId="77777777" w:rsidTr="00B30701">
      <w:trPr>
        <w:trHeight w:val="227"/>
      </w:trPr>
      <w:tc>
        <w:tcPr>
          <w:tcW w:w="2976" w:type="dxa"/>
          <w:vAlign w:val="center"/>
          <w:hideMark/>
        </w:tcPr>
        <w:p w14:paraId="6546D32F" w14:textId="77777777" w:rsidR="00BF2F42" w:rsidRPr="00674A46" w:rsidRDefault="00BF2F42" w:rsidP="00B30701">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6546D330" w14:textId="77777777" w:rsidR="00BF2F42" w:rsidRPr="00485ED8" w:rsidRDefault="00BF2F42" w:rsidP="00B30701">
          <w:pPr>
            <w:pStyle w:val="Encabezado"/>
            <w:rPr>
              <w:rFonts w:ascii="Palatino Linotype" w:hAnsi="Palatino Linotype"/>
              <w:b/>
              <w:sz w:val="22"/>
              <w:szCs w:val="22"/>
            </w:rPr>
          </w:pPr>
          <w:r>
            <w:rPr>
              <w:rFonts w:ascii="Palatino Linotype" w:hAnsi="Palatino Linotype" w:cs="Arial"/>
              <w:b/>
              <w:bCs/>
              <w:sz w:val="22"/>
              <w:szCs w:val="22"/>
              <w:lang w:eastAsia="es-MX"/>
            </w:rPr>
            <w:t>002243/INFOEM/IP/RR/2024</w:t>
          </w:r>
        </w:p>
      </w:tc>
    </w:tr>
    <w:tr w:rsidR="00BF2F42" w14:paraId="6546D334" w14:textId="77777777" w:rsidTr="00B30701">
      <w:trPr>
        <w:trHeight w:val="242"/>
      </w:trPr>
      <w:tc>
        <w:tcPr>
          <w:tcW w:w="2976" w:type="dxa"/>
          <w:vAlign w:val="center"/>
          <w:hideMark/>
        </w:tcPr>
        <w:p w14:paraId="6546D332" w14:textId="77777777" w:rsidR="00BF2F42" w:rsidRPr="00674A46" w:rsidRDefault="00BF2F42" w:rsidP="00B30701">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6546D333" w14:textId="77777777" w:rsidR="00BF2F42" w:rsidRPr="00485ED8" w:rsidRDefault="00BF2F42" w:rsidP="00B30701">
          <w:pPr>
            <w:pStyle w:val="Encabezado"/>
            <w:jc w:val="both"/>
            <w:rPr>
              <w:rFonts w:ascii="Palatino Linotype" w:hAnsi="Palatino Linotype"/>
              <w:b/>
              <w:sz w:val="22"/>
              <w:szCs w:val="22"/>
            </w:rPr>
          </w:pPr>
          <w:r w:rsidRPr="00833F34">
            <w:rPr>
              <w:rFonts w:ascii="Palatino Linotype" w:hAnsi="Palatino Linotype"/>
              <w:b/>
              <w:bCs/>
              <w:color w:val="000000"/>
              <w:sz w:val="22"/>
              <w:szCs w:val="22"/>
            </w:rPr>
            <w:t>Ayuntamiento de Coacalco de Berriozábal</w:t>
          </w:r>
        </w:p>
      </w:tc>
    </w:tr>
    <w:tr w:rsidR="00BF2F42" w14:paraId="6546D337" w14:textId="77777777" w:rsidTr="00B30701">
      <w:trPr>
        <w:trHeight w:val="342"/>
      </w:trPr>
      <w:tc>
        <w:tcPr>
          <w:tcW w:w="2976" w:type="dxa"/>
          <w:vAlign w:val="center"/>
          <w:hideMark/>
        </w:tcPr>
        <w:p w14:paraId="6546D335" w14:textId="77777777" w:rsidR="00BF2F42" w:rsidRPr="00674A46" w:rsidRDefault="00BF2F42" w:rsidP="00B30701">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6546D336" w14:textId="77777777" w:rsidR="00BF2F42" w:rsidRPr="00485ED8" w:rsidRDefault="00BF2F42" w:rsidP="00B30701">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6546D338" w14:textId="77777777" w:rsidR="00BF2F42" w:rsidRPr="00AE046A" w:rsidRDefault="00A92A62" w:rsidP="00B30701">
    <w:pPr>
      <w:pStyle w:val="Encabezado"/>
      <w:tabs>
        <w:tab w:val="clear" w:pos="4419"/>
        <w:tab w:val="clear" w:pos="8838"/>
        <w:tab w:val="left" w:pos="6005"/>
      </w:tabs>
      <w:rPr>
        <w:sz w:val="14"/>
      </w:rPr>
    </w:pPr>
    <w:r>
      <w:rPr>
        <w:noProof/>
        <w:sz w:val="14"/>
        <w:lang w:eastAsia="es-MX"/>
      </w:rPr>
      <w:pict w14:anchorId="6546D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BF2F42" w14:paraId="6546D33D" w14:textId="77777777" w:rsidTr="00B30701">
      <w:trPr>
        <w:trHeight w:val="227"/>
      </w:trPr>
      <w:tc>
        <w:tcPr>
          <w:tcW w:w="2977" w:type="dxa"/>
          <w:vAlign w:val="center"/>
          <w:hideMark/>
        </w:tcPr>
        <w:p w14:paraId="6546D33B" w14:textId="77777777" w:rsidR="00BF2F42" w:rsidRPr="00674A46" w:rsidRDefault="00BF2F42" w:rsidP="00B30701">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6546D33C" w14:textId="77777777" w:rsidR="00BF2F42" w:rsidRPr="00485ED8" w:rsidRDefault="00BF2F42" w:rsidP="00B30701">
          <w:pPr>
            <w:pStyle w:val="Encabezado"/>
            <w:rPr>
              <w:rFonts w:ascii="Palatino Linotype" w:hAnsi="Palatino Linotype"/>
              <w:b/>
              <w:sz w:val="22"/>
              <w:szCs w:val="22"/>
            </w:rPr>
          </w:pPr>
          <w:r>
            <w:rPr>
              <w:rFonts w:ascii="Palatino Linotype" w:hAnsi="Palatino Linotype" w:cs="Arial"/>
              <w:b/>
              <w:bCs/>
              <w:sz w:val="22"/>
              <w:szCs w:val="22"/>
              <w:lang w:eastAsia="es-MX"/>
            </w:rPr>
            <w:t>002243/INFOEM/IP/RR/2024</w:t>
          </w:r>
        </w:p>
      </w:tc>
    </w:tr>
    <w:tr w:rsidR="00BF2F42" w14:paraId="6546D340" w14:textId="77777777" w:rsidTr="00B30701">
      <w:trPr>
        <w:trHeight w:val="242"/>
      </w:trPr>
      <w:tc>
        <w:tcPr>
          <w:tcW w:w="2977" w:type="dxa"/>
          <w:vAlign w:val="center"/>
          <w:hideMark/>
        </w:tcPr>
        <w:p w14:paraId="6546D33E" w14:textId="77777777" w:rsidR="00BF2F42" w:rsidRPr="00674A46" w:rsidRDefault="00BF2F42" w:rsidP="00B30701">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6546D33F" w14:textId="164E1805" w:rsidR="00BF2F42" w:rsidRPr="00B75F20" w:rsidRDefault="00AC04CA" w:rsidP="00B30701">
          <w:pPr>
            <w:pStyle w:val="Encabezado"/>
            <w:tabs>
              <w:tab w:val="left" w:pos="521"/>
            </w:tabs>
            <w:rPr>
              <w:rFonts w:ascii="Palatino Linotype" w:hAnsi="Palatino Linotype"/>
              <w:b/>
              <w:sz w:val="22"/>
              <w:szCs w:val="22"/>
            </w:rPr>
          </w:pPr>
          <w:r>
            <w:rPr>
              <w:rFonts w:ascii="Palatino Linotype" w:hAnsi="Palatino Linotype"/>
              <w:b/>
              <w:color w:val="000000" w:themeColor="text1"/>
              <w:sz w:val="22"/>
              <w:szCs w:val="22"/>
            </w:rPr>
            <w:t>XXX XXX</w:t>
          </w:r>
        </w:p>
      </w:tc>
    </w:tr>
    <w:tr w:rsidR="00BF2F42" w14:paraId="6546D343" w14:textId="77777777" w:rsidTr="00B30701">
      <w:trPr>
        <w:trHeight w:val="342"/>
      </w:trPr>
      <w:tc>
        <w:tcPr>
          <w:tcW w:w="2977" w:type="dxa"/>
          <w:vAlign w:val="center"/>
        </w:tcPr>
        <w:p w14:paraId="6546D341" w14:textId="77777777" w:rsidR="00BF2F42" w:rsidRPr="00674A46" w:rsidRDefault="00BF2F42" w:rsidP="00B30701">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6546D342" w14:textId="77777777" w:rsidR="00BF2F42" w:rsidRPr="00674A46" w:rsidRDefault="00BF2F42" w:rsidP="00B30701">
          <w:pPr>
            <w:pStyle w:val="Encabezado"/>
            <w:jc w:val="both"/>
            <w:rPr>
              <w:rFonts w:ascii="Palatino Linotype" w:hAnsi="Palatino Linotype"/>
              <w:b/>
              <w:sz w:val="22"/>
              <w:szCs w:val="22"/>
            </w:rPr>
          </w:pPr>
          <w:r w:rsidRPr="00833F34">
            <w:rPr>
              <w:rFonts w:ascii="Palatino Linotype" w:hAnsi="Palatino Linotype"/>
              <w:b/>
              <w:bCs/>
              <w:color w:val="000000"/>
              <w:sz w:val="22"/>
              <w:szCs w:val="22"/>
            </w:rPr>
            <w:t>Ayuntamiento de Coacalco de Berriozábal</w:t>
          </w:r>
        </w:p>
      </w:tc>
    </w:tr>
    <w:tr w:rsidR="00BF2F42" w14:paraId="6546D346" w14:textId="77777777" w:rsidTr="00B30701">
      <w:trPr>
        <w:trHeight w:val="342"/>
      </w:trPr>
      <w:tc>
        <w:tcPr>
          <w:tcW w:w="2977" w:type="dxa"/>
          <w:vAlign w:val="center"/>
        </w:tcPr>
        <w:p w14:paraId="6546D344" w14:textId="77777777" w:rsidR="00BF2F42" w:rsidRPr="00674A46" w:rsidRDefault="00BF2F42" w:rsidP="00B30701">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6546D345" w14:textId="77777777" w:rsidR="00BF2F42" w:rsidRPr="00674A46" w:rsidRDefault="00BF2F42" w:rsidP="00B30701">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6546D347" w14:textId="77777777" w:rsidR="00BF2F42" w:rsidRPr="00C222C0" w:rsidRDefault="00A92A62">
    <w:pPr>
      <w:pStyle w:val="Encabezado"/>
      <w:rPr>
        <w:sz w:val="16"/>
      </w:rPr>
    </w:pPr>
    <w:r>
      <w:rPr>
        <w:noProof/>
        <w:sz w:val="16"/>
        <w:lang w:eastAsia="es-MX"/>
      </w:rPr>
      <w:pict w14:anchorId="6546D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22.3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DB"/>
    <w:multiLevelType w:val="multilevel"/>
    <w:tmpl w:val="34E0E4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7E1D59"/>
    <w:multiLevelType w:val="hybridMultilevel"/>
    <w:tmpl w:val="7ACC5B46"/>
    <w:lvl w:ilvl="0" w:tplc="DB1C5A80">
      <w:start w:val="1"/>
      <w:numFmt w:val="lowerLetter"/>
      <w:lvlText w:val="%1)"/>
      <w:lvlJc w:val="left"/>
      <w:pPr>
        <w:ind w:left="1440" w:hanging="360"/>
      </w:pPr>
      <w:rPr>
        <w:rFonts w:eastAsia="Calibri" w:hint="default"/>
        <w:b/>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D2B97"/>
    <w:multiLevelType w:val="hybridMultilevel"/>
    <w:tmpl w:val="E530F07A"/>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 w15:restartNumberingAfterBreak="0">
    <w:nsid w:val="1BD72C93"/>
    <w:multiLevelType w:val="hybridMultilevel"/>
    <w:tmpl w:val="58ECD2DA"/>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213082"/>
    <w:multiLevelType w:val="hybridMultilevel"/>
    <w:tmpl w:val="1DE09898"/>
    <w:lvl w:ilvl="0" w:tplc="39C6B79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2F90632F"/>
    <w:multiLevelType w:val="hybridMultilevel"/>
    <w:tmpl w:val="7ACC5B46"/>
    <w:lvl w:ilvl="0" w:tplc="DB1C5A80">
      <w:start w:val="1"/>
      <w:numFmt w:val="lowerLetter"/>
      <w:lvlText w:val="%1)"/>
      <w:lvlJc w:val="left"/>
      <w:pPr>
        <w:ind w:left="1440" w:hanging="360"/>
      </w:pPr>
      <w:rPr>
        <w:rFonts w:eastAsia="Calibri" w:hint="default"/>
        <w:b/>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2C49F1"/>
    <w:multiLevelType w:val="multilevel"/>
    <w:tmpl w:val="ECBC7F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317490"/>
    <w:multiLevelType w:val="hybridMultilevel"/>
    <w:tmpl w:val="D2C67CCA"/>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3D68CC"/>
    <w:multiLevelType w:val="hybridMultilevel"/>
    <w:tmpl w:val="96FE2FB4"/>
    <w:lvl w:ilvl="0" w:tplc="A35C7748">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EE5B63"/>
    <w:multiLevelType w:val="multilevel"/>
    <w:tmpl w:val="5700FF0C"/>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CF6470"/>
    <w:multiLevelType w:val="hybridMultilevel"/>
    <w:tmpl w:val="B7664C6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15:restartNumberingAfterBreak="0">
    <w:nsid w:val="57965300"/>
    <w:multiLevelType w:val="multilevel"/>
    <w:tmpl w:val="CA3A98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502C8D"/>
    <w:multiLevelType w:val="hybridMultilevel"/>
    <w:tmpl w:val="DE5E4C2E"/>
    <w:lvl w:ilvl="0" w:tplc="C97E892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76BE1FFD"/>
    <w:multiLevelType w:val="hybridMultilevel"/>
    <w:tmpl w:val="DF3C954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9" w15:restartNumberingAfterBreak="0">
    <w:nsid w:val="7AA61870"/>
    <w:multiLevelType w:val="hybridMultilevel"/>
    <w:tmpl w:val="804EB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16cid:durableId="51585099">
    <w:abstractNumId w:val="11"/>
  </w:num>
  <w:num w:numId="2" w16cid:durableId="1593318503">
    <w:abstractNumId w:val="20"/>
  </w:num>
  <w:num w:numId="3" w16cid:durableId="530386730">
    <w:abstractNumId w:val="6"/>
  </w:num>
  <w:num w:numId="4" w16cid:durableId="1965041188">
    <w:abstractNumId w:val="2"/>
  </w:num>
  <w:num w:numId="5" w16cid:durableId="2107265652">
    <w:abstractNumId w:val="4"/>
  </w:num>
  <w:num w:numId="6" w16cid:durableId="57629404">
    <w:abstractNumId w:val="19"/>
  </w:num>
  <w:num w:numId="7" w16cid:durableId="1377504308">
    <w:abstractNumId w:val="16"/>
  </w:num>
  <w:num w:numId="8" w16cid:durableId="280696139">
    <w:abstractNumId w:val="1"/>
  </w:num>
  <w:num w:numId="9" w16cid:durableId="975522874">
    <w:abstractNumId w:val="9"/>
  </w:num>
  <w:num w:numId="10" w16cid:durableId="669870508">
    <w:abstractNumId w:val="3"/>
  </w:num>
  <w:num w:numId="11" w16cid:durableId="1025642723">
    <w:abstractNumId w:val="15"/>
  </w:num>
  <w:num w:numId="12" w16cid:durableId="656880911">
    <w:abstractNumId w:val="14"/>
  </w:num>
  <w:num w:numId="13" w16cid:durableId="374475398">
    <w:abstractNumId w:val="0"/>
  </w:num>
  <w:num w:numId="14" w16cid:durableId="886143413">
    <w:abstractNumId w:val="8"/>
  </w:num>
  <w:num w:numId="15" w16cid:durableId="1123156113">
    <w:abstractNumId w:val="17"/>
  </w:num>
  <w:num w:numId="16" w16cid:durableId="509300390">
    <w:abstractNumId w:val="5"/>
  </w:num>
  <w:num w:numId="17" w16cid:durableId="441654858">
    <w:abstractNumId w:val="12"/>
  </w:num>
  <w:num w:numId="18" w16cid:durableId="1336879788">
    <w:abstractNumId w:val="7"/>
  </w:num>
  <w:num w:numId="19" w16cid:durableId="1364285741">
    <w:abstractNumId w:val="10"/>
  </w:num>
  <w:num w:numId="20" w16cid:durableId="1178160929">
    <w:abstractNumId w:val="13"/>
  </w:num>
  <w:num w:numId="21" w16cid:durableId="607471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34"/>
    <w:rsid w:val="00011331"/>
    <w:rsid w:val="00062BC9"/>
    <w:rsid w:val="000832BE"/>
    <w:rsid w:val="000A4C44"/>
    <w:rsid w:val="000F30A2"/>
    <w:rsid w:val="001121FB"/>
    <w:rsid w:val="001206E2"/>
    <w:rsid w:val="00137ADC"/>
    <w:rsid w:val="001A266A"/>
    <w:rsid w:val="001D70C0"/>
    <w:rsid w:val="00200A8D"/>
    <w:rsid w:val="00255022"/>
    <w:rsid w:val="0026478F"/>
    <w:rsid w:val="00292C71"/>
    <w:rsid w:val="002A3585"/>
    <w:rsid w:val="002C01AD"/>
    <w:rsid w:val="0031616D"/>
    <w:rsid w:val="003178B1"/>
    <w:rsid w:val="0032234E"/>
    <w:rsid w:val="0037374D"/>
    <w:rsid w:val="00374B04"/>
    <w:rsid w:val="003D69B4"/>
    <w:rsid w:val="004D0755"/>
    <w:rsid w:val="004D79A8"/>
    <w:rsid w:val="00534723"/>
    <w:rsid w:val="00563E69"/>
    <w:rsid w:val="00570D1D"/>
    <w:rsid w:val="00574C6A"/>
    <w:rsid w:val="005869F8"/>
    <w:rsid w:val="005C1100"/>
    <w:rsid w:val="00603051"/>
    <w:rsid w:val="006F0811"/>
    <w:rsid w:val="00751722"/>
    <w:rsid w:val="00752147"/>
    <w:rsid w:val="00794320"/>
    <w:rsid w:val="007947A0"/>
    <w:rsid w:val="007B6FDF"/>
    <w:rsid w:val="007C7F2D"/>
    <w:rsid w:val="007F70BF"/>
    <w:rsid w:val="00833F34"/>
    <w:rsid w:val="00854382"/>
    <w:rsid w:val="00860FBB"/>
    <w:rsid w:val="00870EF1"/>
    <w:rsid w:val="00875613"/>
    <w:rsid w:val="00892386"/>
    <w:rsid w:val="008D211F"/>
    <w:rsid w:val="008E3C10"/>
    <w:rsid w:val="009177D3"/>
    <w:rsid w:val="0094425F"/>
    <w:rsid w:val="00952FDC"/>
    <w:rsid w:val="009B296C"/>
    <w:rsid w:val="009B59B1"/>
    <w:rsid w:val="009C39B0"/>
    <w:rsid w:val="009C50FD"/>
    <w:rsid w:val="00A21EC3"/>
    <w:rsid w:val="00A71713"/>
    <w:rsid w:val="00A92A62"/>
    <w:rsid w:val="00AA2769"/>
    <w:rsid w:val="00AC04CA"/>
    <w:rsid w:val="00B21126"/>
    <w:rsid w:val="00B30701"/>
    <w:rsid w:val="00B4334D"/>
    <w:rsid w:val="00BC19A4"/>
    <w:rsid w:val="00BC335C"/>
    <w:rsid w:val="00BF2F42"/>
    <w:rsid w:val="00C07B7E"/>
    <w:rsid w:val="00C113B5"/>
    <w:rsid w:val="00C34232"/>
    <w:rsid w:val="00C36C29"/>
    <w:rsid w:val="00C63E95"/>
    <w:rsid w:val="00C721B6"/>
    <w:rsid w:val="00CB157A"/>
    <w:rsid w:val="00CF6AEA"/>
    <w:rsid w:val="00D24AAA"/>
    <w:rsid w:val="00D272E5"/>
    <w:rsid w:val="00D665C6"/>
    <w:rsid w:val="00D96A35"/>
    <w:rsid w:val="00DB269C"/>
    <w:rsid w:val="00DB2A9D"/>
    <w:rsid w:val="00DB3DCC"/>
    <w:rsid w:val="00EE2BD6"/>
    <w:rsid w:val="00F4755B"/>
    <w:rsid w:val="00F47569"/>
    <w:rsid w:val="00F536C1"/>
    <w:rsid w:val="00FB2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D0A7"/>
  <w15:chartTrackingRefBased/>
  <w15:docId w15:val="{7EF2C921-E7F9-47C3-B6B7-9AF03087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34"/>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833F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33F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F34"/>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833F34"/>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833F34"/>
    <w:pPr>
      <w:tabs>
        <w:tab w:val="center" w:pos="4419"/>
        <w:tab w:val="right" w:pos="8838"/>
      </w:tabs>
    </w:pPr>
  </w:style>
  <w:style w:type="character" w:customStyle="1" w:styleId="EncabezadoCar">
    <w:name w:val="Encabezado Car"/>
    <w:basedOn w:val="Fuentedeprrafopredeter"/>
    <w:link w:val="Encabezado"/>
    <w:uiPriority w:val="99"/>
    <w:rsid w:val="00833F34"/>
    <w:rPr>
      <w:rFonts w:eastAsiaTheme="minorEastAsia"/>
      <w:sz w:val="24"/>
      <w:szCs w:val="24"/>
      <w:lang w:val="es-ES_tradnl" w:eastAsia="es-ES"/>
    </w:rPr>
  </w:style>
  <w:style w:type="paragraph" w:styleId="Piedepgina">
    <w:name w:val="footer"/>
    <w:basedOn w:val="Normal"/>
    <w:link w:val="PiedepginaCar"/>
    <w:uiPriority w:val="99"/>
    <w:unhideWhenUsed/>
    <w:rsid w:val="00833F34"/>
    <w:pPr>
      <w:tabs>
        <w:tab w:val="center" w:pos="4419"/>
        <w:tab w:val="right" w:pos="8838"/>
      </w:tabs>
    </w:pPr>
  </w:style>
  <w:style w:type="character" w:customStyle="1" w:styleId="PiedepginaCar">
    <w:name w:val="Pie de página Car"/>
    <w:basedOn w:val="Fuentedeprrafopredeter"/>
    <w:link w:val="Piedepgina"/>
    <w:uiPriority w:val="99"/>
    <w:rsid w:val="00833F34"/>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3F34"/>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3F34"/>
    <w:rPr>
      <w:rFonts w:eastAsiaTheme="minorHAnsi"/>
      <w:sz w:val="20"/>
      <w:szCs w:val="20"/>
      <w:lang w:val="es-MX" w:eastAsia="en-US"/>
    </w:rPr>
  </w:style>
  <w:style w:type="character" w:customStyle="1" w:styleId="TextonotapieCar1">
    <w:name w:val="Texto nota pie Car1"/>
    <w:basedOn w:val="Fuentedeprrafopredeter"/>
    <w:uiPriority w:val="99"/>
    <w:semiHidden/>
    <w:rsid w:val="00833F34"/>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3F34"/>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3F3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33F34"/>
    <w:rPr>
      <w:rFonts w:eastAsiaTheme="minorEastAsia"/>
      <w:sz w:val="24"/>
      <w:szCs w:val="24"/>
      <w:lang w:val="es-ES_tradnl" w:eastAsia="es-ES"/>
    </w:rPr>
  </w:style>
  <w:style w:type="paragraph" w:customStyle="1" w:styleId="Default">
    <w:name w:val="Default"/>
    <w:qFormat/>
    <w:rsid w:val="00833F34"/>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833F34"/>
    <w:rPr>
      <w:rFonts w:ascii="Times New Roman" w:eastAsia="Times New Roman" w:hAnsi="Times New Roman" w:cs="Times New Roman"/>
    </w:rPr>
  </w:style>
  <w:style w:type="paragraph" w:styleId="Sinespaciado">
    <w:name w:val="No Spacing"/>
    <w:aliases w:val="Francesa,INAI"/>
    <w:link w:val="SinespaciadoCar"/>
    <w:uiPriority w:val="1"/>
    <w:qFormat/>
    <w:rsid w:val="00833F34"/>
    <w:pPr>
      <w:spacing w:after="0" w:line="240" w:lineRule="auto"/>
    </w:pPr>
    <w:rPr>
      <w:rFonts w:ascii="Times New Roman" w:eastAsia="Times New Roman" w:hAnsi="Times New Roman" w:cs="Times New Roman"/>
    </w:rPr>
  </w:style>
  <w:style w:type="table" w:styleId="Tablanormal1">
    <w:name w:val="Plain Table 1"/>
    <w:basedOn w:val="Tablanormal"/>
    <w:uiPriority w:val="41"/>
    <w:rsid w:val="00833F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D2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64</Pages>
  <Words>17527</Words>
  <Characters>96399</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16</cp:revision>
  <cp:lastPrinted>2024-10-07T17:48:00Z</cp:lastPrinted>
  <dcterms:created xsi:type="dcterms:W3CDTF">2024-10-02T16:39:00Z</dcterms:created>
  <dcterms:modified xsi:type="dcterms:W3CDTF">2024-10-23T23:19:00Z</dcterms:modified>
</cp:coreProperties>
</file>