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01AC1" w14:textId="77777777" w:rsidR="00715B3A" w:rsidRDefault="00715B3A">
      <w:pPr>
        <w:widowControl w:val="0"/>
        <w:pBdr>
          <w:top w:val="nil"/>
          <w:left w:val="nil"/>
          <w:bottom w:val="nil"/>
          <w:right w:val="nil"/>
          <w:between w:val="nil"/>
        </w:pBdr>
        <w:spacing w:line="276" w:lineRule="auto"/>
      </w:pPr>
    </w:p>
    <w:p w14:paraId="38EF2A04" w14:textId="77777777" w:rsidR="00715B3A" w:rsidRDefault="002F487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 fecha tres (03) de octubre de dos mil veinticuatro.</w:t>
      </w:r>
    </w:p>
    <w:p w14:paraId="4A2BB55E"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9D9AFCB" w14:textId="5EA6250D" w:rsidR="00715B3A" w:rsidRDefault="002F487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bookmarkStart w:id="0" w:name="_heading=h.gjdgxs" w:colFirst="0" w:colLast="0"/>
      <w:bookmarkEnd w:id="0"/>
      <w:r>
        <w:rPr>
          <w:rFonts w:ascii="Palatino Linotype" w:eastAsia="Palatino Linotype" w:hAnsi="Palatino Linotype" w:cs="Palatino Linotype"/>
          <w:b/>
          <w:color w:val="000000"/>
        </w:rPr>
        <w:t>VISTOS</w:t>
      </w:r>
      <w:r>
        <w:rPr>
          <w:rFonts w:ascii="Palatino Linotype" w:eastAsia="Palatino Linotype" w:hAnsi="Palatino Linotype" w:cs="Palatino Linotype"/>
          <w:color w:val="000000"/>
        </w:rPr>
        <w:t xml:space="preserve"> los expedientes electrónicos formados con motivo de los Recursos de Revisión </w:t>
      </w:r>
      <w:r>
        <w:rPr>
          <w:rFonts w:ascii="Palatino Linotype" w:eastAsia="Palatino Linotype" w:hAnsi="Palatino Linotype" w:cs="Palatino Linotype"/>
          <w:b/>
          <w:color w:val="000000"/>
        </w:rPr>
        <w:t xml:space="preserve">00408/INFOEM/IP/RR/2024 y 00409/INFOEM/IP/RR/2024 </w:t>
      </w:r>
      <w:r>
        <w:rPr>
          <w:rFonts w:ascii="Palatino Linotype" w:eastAsia="Palatino Linotype" w:hAnsi="Palatino Linotype" w:cs="Palatino Linotype"/>
          <w:color w:val="000000"/>
        </w:rPr>
        <w:t>acumulados, promovidos por</w:t>
      </w:r>
      <w:r>
        <w:rPr>
          <w:rFonts w:ascii="Palatino Linotype" w:eastAsia="Palatino Linotype" w:hAnsi="Palatino Linotype" w:cs="Palatino Linotype"/>
        </w:rPr>
        <w:t xml:space="preserve"> un usuario que se registró como </w:t>
      </w:r>
      <w:r w:rsidR="003F52CC">
        <w:rPr>
          <w:rFonts w:ascii="Palatino Linotype" w:eastAsia="Palatino Linotype" w:hAnsi="Palatino Linotype" w:cs="Palatino Linotype"/>
          <w:b/>
          <w:color w:val="000000"/>
        </w:rPr>
        <w:t xml:space="preserve">XXX </w:t>
      </w:r>
      <w:proofErr w:type="spellStart"/>
      <w:r w:rsidR="003F52CC">
        <w:rPr>
          <w:rFonts w:ascii="Palatino Linotype" w:eastAsia="Palatino Linotype" w:hAnsi="Palatino Linotype" w:cs="Palatino Linotype"/>
          <w:b/>
          <w:color w:val="000000"/>
        </w:rPr>
        <w:t>XXX</w:t>
      </w:r>
      <w:proofErr w:type="spellEnd"/>
      <w:r>
        <w:rPr>
          <w:rFonts w:ascii="Palatino Linotype" w:eastAsia="Palatino Linotype" w:hAnsi="Palatino Linotype" w:cs="Palatino Linotype"/>
          <w:color w:val="000000"/>
        </w:rPr>
        <w:t>, a través del Sistema de Acceso a la Información Mexiquense</w:t>
      </w:r>
      <w:r>
        <w:rPr>
          <w:rFonts w:ascii="Palatino Linotype" w:eastAsia="Palatino Linotype" w:hAnsi="Palatino Linotype" w:cs="Palatino Linotype"/>
          <w:b/>
          <w:color w:val="000000"/>
        </w:rPr>
        <w:t xml:space="preserve"> (SAIMEX),</w:t>
      </w:r>
      <w:r>
        <w:rPr>
          <w:rFonts w:ascii="Palatino Linotype" w:eastAsia="Palatino Linotype" w:hAnsi="Palatino Linotype" w:cs="Palatino Linotype"/>
          <w:color w:val="000000"/>
        </w:rPr>
        <w:t xml:space="preserve"> a quien en lo sucesivo se le identificará como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en contra de las respuestas del </w:t>
      </w:r>
      <w:r>
        <w:rPr>
          <w:rFonts w:ascii="Palatino Linotype" w:eastAsia="Palatino Linotype" w:hAnsi="Palatino Linotype" w:cs="Palatino Linotype"/>
          <w:b/>
          <w:color w:val="000000"/>
        </w:rPr>
        <w:t>Ayuntamiento de Atizapán de Zaragoza</w:t>
      </w:r>
      <w:r>
        <w:rPr>
          <w:rFonts w:ascii="Palatino Linotype" w:eastAsia="Palatino Linotype" w:hAnsi="Palatino Linotype" w:cs="Palatino Linotype"/>
          <w:color w:val="000000"/>
        </w:rPr>
        <w:t xml:space="preserve">, en </w:t>
      </w:r>
      <w:r>
        <w:rPr>
          <w:rFonts w:ascii="Palatino Linotype" w:eastAsia="Palatino Linotype" w:hAnsi="Palatino Linotype" w:cs="Palatino Linotype"/>
        </w:rPr>
        <w:t>adelante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se procede a dictar la presente resolución, con base en los siguientes:</w:t>
      </w:r>
    </w:p>
    <w:p w14:paraId="7F39ADA6"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62C7AE44" w14:textId="77777777" w:rsidR="00715B3A" w:rsidRDefault="002F487C">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21755560" w14:textId="77777777" w:rsidR="00715B3A" w:rsidRDefault="00715B3A">
      <w:pPr>
        <w:spacing w:line="360" w:lineRule="auto"/>
        <w:ind w:right="-787"/>
        <w:rPr>
          <w:rFonts w:ascii="Palatino Linotype" w:eastAsia="Palatino Linotype" w:hAnsi="Palatino Linotype" w:cs="Palatino Linotype"/>
        </w:rPr>
      </w:pPr>
    </w:p>
    <w:p w14:paraId="2D590238"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El día </w:t>
      </w:r>
      <w:r>
        <w:rPr>
          <w:rFonts w:ascii="Palatino Linotype" w:eastAsia="Palatino Linotype" w:hAnsi="Palatino Linotype" w:cs="Palatino Linotype"/>
          <w:b/>
          <w:color w:val="000000"/>
        </w:rPr>
        <w:t xml:space="preserve">siete de diciembre de dos mil veintitrés,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las solicitudes de información pública registradas con los números</w:t>
      </w:r>
      <w:r>
        <w:rPr>
          <w:rFonts w:ascii="Palatino Linotype" w:eastAsia="Palatino Linotype" w:hAnsi="Palatino Linotype" w:cs="Palatino Linotype"/>
          <w:b/>
          <w:color w:val="000000"/>
        </w:rPr>
        <w:t xml:space="preserve"> 00687/ATIZARA/IP/2023 y 00688/ATIZARA/IP/2023, </w:t>
      </w:r>
      <w:r>
        <w:rPr>
          <w:rFonts w:ascii="Palatino Linotype" w:eastAsia="Palatino Linotype" w:hAnsi="Palatino Linotype" w:cs="Palatino Linotype"/>
        </w:rPr>
        <w:t>en las que</w:t>
      </w:r>
      <w:r>
        <w:rPr>
          <w:rFonts w:ascii="Palatino Linotype" w:eastAsia="Palatino Linotype" w:hAnsi="Palatino Linotype" w:cs="Palatino Linotype"/>
          <w:color w:val="000000"/>
        </w:rPr>
        <w:t xml:space="preserve"> se solicitó la siguiente información:</w:t>
      </w:r>
    </w:p>
    <w:p w14:paraId="4AB6D69D"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63542EAF" w14:textId="77777777" w:rsidR="00715B3A" w:rsidRDefault="002F487C">
      <w:pPr>
        <w:pBdr>
          <w:top w:val="nil"/>
          <w:left w:val="nil"/>
          <w:bottom w:val="nil"/>
          <w:right w:val="nil"/>
          <w:between w:val="nil"/>
        </w:pBdr>
        <w:ind w:left="425" w:right="-22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Solicitud 00687/ATIZARA/IP/</w:t>
      </w:r>
      <w:proofErr w:type="gramStart"/>
      <w:r>
        <w:rPr>
          <w:rFonts w:ascii="Palatino Linotype" w:eastAsia="Palatino Linotype" w:hAnsi="Palatino Linotype" w:cs="Palatino Linotype"/>
          <w:b/>
          <w:i/>
          <w:color w:val="000000"/>
        </w:rPr>
        <w:t>2023 :</w:t>
      </w:r>
      <w:proofErr w:type="gramEnd"/>
      <w:r>
        <w:rPr>
          <w:rFonts w:ascii="Palatino Linotype" w:eastAsia="Palatino Linotype" w:hAnsi="Palatino Linotype" w:cs="Palatino Linotype"/>
          <w:i/>
          <w:color w:val="000000"/>
        </w:rPr>
        <w:t xml:space="preserve"> “Solicito la nómina, conciliación de nómina, dispersión de nómina y estados de cuenta donde se refleje los movimientos de nómina de la primera quincena de octubre”</w:t>
      </w:r>
    </w:p>
    <w:p w14:paraId="2F8FCDC3" w14:textId="77777777" w:rsidR="00715B3A" w:rsidRDefault="002F487C">
      <w:pPr>
        <w:pBdr>
          <w:top w:val="nil"/>
          <w:left w:val="nil"/>
          <w:bottom w:val="nil"/>
          <w:right w:val="nil"/>
          <w:between w:val="nil"/>
        </w:pBdr>
        <w:ind w:left="425" w:right="-22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Solicitud 00688/ATIZARA/IP/2023: </w:t>
      </w:r>
      <w:r>
        <w:rPr>
          <w:rFonts w:ascii="Palatino Linotype" w:eastAsia="Palatino Linotype" w:hAnsi="Palatino Linotype" w:cs="Palatino Linotype"/>
          <w:i/>
          <w:color w:val="000000"/>
        </w:rPr>
        <w:t>“Solicito la nómina, conciliación de nómina, dispersión de nómina y estados de cuenta donde se refleje los movimientos de nómina de la primera quincena de octubre”</w:t>
      </w:r>
    </w:p>
    <w:p w14:paraId="3AD571AE" w14:textId="77777777" w:rsidR="00715B3A" w:rsidRDefault="002F487C">
      <w:pPr>
        <w:numPr>
          <w:ilvl w:val="0"/>
          <w:numId w:val="10"/>
        </w:numPr>
        <w:pBdr>
          <w:top w:val="nil"/>
          <w:left w:val="nil"/>
          <w:bottom w:val="nil"/>
          <w:right w:val="nil"/>
          <w:between w:val="nil"/>
        </w:pBdr>
        <w:spacing w:line="360" w:lineRule="auto"/>
        <w:ind w:left="425" w:right="-22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Modalidad de entrega</w:t>
      </w:r>
      <w:r>
        <w:rPr>
          <w:rFonts w:ascii="Palatino Linotype" w:eastAsia="Palatino Linotype" w:hAnsi="Palatino Linotype" w:cs="Palatino Linotype"/>
          <w:color w:val="000000"/>
        </w:rPr>
        <w:t>: Vía SAIMEX.</w:t>
      </w:r>
    </w:p>
    <w:p w14:paraId="2976F0C3"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rPr>
      </w:pPr>
    </w:p>
    <w:p w14:paraId="52FF266E"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De lo anterior, el </w:t>
      </w:r>
      <w:r>
        <w:rPr>
          <w:rFonts w:ascii="Palatino Linotype" w:eastAsia="Palatino Linotype" w:hAnsi="Palatino Linotype" w:cs="Palatino Linotype"/>
          <w:b/>
          <w:color w:val="000000"/>
        </w:rPr>
        <w:t xml:space="preserve">ocho de diciembre de dos mil veintitrés </w:t>
      </w:r>
      <w:r>
        <w:rPr>
          <w:rFonts w:ascii="Palatino Linotype" w:eastAsia="Palatino Linotype" w:hAnsi="Palatino Linotype" w:cs="Palatino Linotype"/>
          <w:color w:val="000000"/>
        </w:rPr>
        <w:t xml:space="preserve">el Titular de la Unidad de Transparencia giro el requerimiento a la </w:t>
      </w:r>
      <w:proofErr w:type="gramStart"/>
      <w:r>
        <w:rPr>
          <w:rFonts w:ascii="Palatino Linotype" w:eastAsia="Palatino Linotype" w:hAnsi="Palatino Linotype" w:cs="Palatino Linotype"/>
          <w:color w:val="000000"/>
        </w:rPr>
        <w:t>Directora</w:t>
      </w:r>
      <w:proofErr w:type="gramEnd"/>
      <w:r>
        <w:rPr>
          <w:rFonts w:ascii="Palatino Linotype" w:eastAsia="Palatino Linotype" w:hAnsi="Palatino Linotype" w:cs="Palatino Linotype"/>
          <w:color w:val="000000"/>
        </w:rPr>
        <w:t xml:space="preserve"> de Administración, para que se atendieran las solicitudes de información </w:t>
      </w:r>
      <w:r>
        <w:rPr>
          <w:rFonts w:ascii="Palatino Linotype" w:eastAsia="Palatino Linotype" w:hAnsi="Palatino Linotype" w:cs="Palatino Linotype"/>
          <w:b/>
          <w:color w:val="000000"/>
        </w:rPr>
        <w:t>00687/ATIZARA/IP/2023 y 00688/ATIZARA/IP/2023</w:t>
      </w:r>
      <w:r>
        <w:rPr>
          <w:rFonts w:ascii="Palatino Linotype" w:eastAsia="Palatino Linotype" w:hAnsi="Palatino Linotype" w:cs="Palatino Linotype"/>
          <w:color w:val="000000"/>
        </w:rPr>
        <w:t xml:space="preserve">. </w:t>
      </w:r>
    </w:p>
    <w:p w14:paraId="21722FA4"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349A6CB6"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Posteriormente el </w:t>
      </w:r>
      <w:r>
        <w:rPr>
          <w:rFonts w:ascii="Palatino Linotype" w:eastAsia="Palatino Linotype" w:hAnsi="Palatino Linotype" w:cs="Palatino Linotype"/>
          <w:b/>
          <w:color w:val="000000"/>
        </w:rPr>
        <w:t>dieciocho de enero de dos mil veinticuatro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emitió el acuerdo de prórroga para atender las solicitudes de información </w:t>
      </w:r>
      <w:r>
        <w:rPr>
          <w:rFonts w:ascii="Palatino Linotype" w:eastAsia="Palatino Linotype" w:hAnsi="Palatino Linotype" w:cs="Palatino Linotype"/>
          <w:b/>
          <w:color w:val="000000"/>
        </w:rPr>
        <w:t>00687/ATIZARA/IP/2023 y 00688/ATIZARA/IP/2023</w:t>
      </w:r>
      <w:r>
        <w:rPr>
          <w:rFonts w:ascii="Palatino Linotype" w:eastAsia="Palatino Linotype" w:hAnsi="Palatino Linotype" w:cs="Palatino Linotype"/>
          <w:color w:val="000000"/>
        </w:rPr>
        <w:t xml:space="preserve">. </w:t>
      </w:r>
    </w:p>
    <w:p w14:paraId="23495C8F" w14:textId="77777777" w:rsidR="00715B3A" w:rsidRDefault="00715B3A">
      <w:pPr>
        <w:pBdr>
          <w:top w:val="nil"/>
          <w:left w:val="nil"/>
          <w:bottom w:val="nil"/>
          <w:right w:val="nil"/>
          <w:between w:val="nil"/>
        </w:pBdr>
        <w:ind w:left="708" w:right="-787"/>
        <w:rPr>
          <w:rFonts w:ascii="Palatino Linotype" w:eastAsia="Palatino Linotype" w:hAnsi="Palatino Linotype" w:cs="Palatino Linotype"/>
          <w:color w:val="000000"/>
        </w:rPr>
      </w:pPr>
    </w:p>
    <w:p w14:paraId="507096A4"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Posteriormente en fecha </w:t>
      </w:r>
      <w:r>
        <w:rPr>
          <w:rFonts w:ascii="Palatino Linotype" w:eastAsia="Palatino Linotype" w:hAnsi="Palatino Linotype" w:cs="Palatino Linotype"/>
          <w:b/>
          <w:color w:val="000000"/>
        </w:rPr>
        <w:t>veintinueve de enero de dos mil veinticuatro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dio respuesta a las solicitudes de información </w:t>
      </w:r>
      <w:r>
        <w:rPr>
          <w:rFonts w:ascii="Palatino Linotype" w:eastAsia="Palatino Linotype" w:hAnsi="Palatino Linotype" w:cs="Palatino Linotype"/>
          <w:b/>
          <w:color w:val="000000"/>
        </w:rPr>
        <w:t xml:space="preserve">00687/ATIZARA/IP/2023 y 00688/ATIZARA/IP/2023, </w:t>
      </w:r>
      <w:r>
        <w:rPr>
          <w:rFonts w:ascii="Palatino Linotype" w:eastAsia="Palatino Linotype" w:hAnsi="Palatino Linotype" w:cs="Palatino Linotype"/>
          <w:color w:val="000000"/>
        </w:rPr>
        <w:t xml:space="preserve">con los siguientes documentos cuyo contenido grosso modo es: </w:t>
      </w:r>
    </w:p>
    <w:p w14:paraId="0A4FF05E" w14:textId="77777777" w:rsidR="00715B3A" w:rsidRDefault="002F487C">
      <w:pPr>
        <w:pBdr>
          <w:top w:val="nil"/>
          <w:left w:val="nil"/>
          <w:bottom w:val="nil"/>
          <w:right w:val="nil"/>
          <w:between w:val="nil"/>
        </w:pBdr>
        <w:ind w:left="566" w:right="-220"/>
        <w:jc w:val="both"/>
        <w:rPr>
          <w:rFonts w:ascii="Palatino Linotype" w:eastAsia="Palatino Linotype" w:hAnsi="Palatino Linotype" w:cs="Palatino Linotype"/>
          <w:color w:val="000000"/>
        </w:rPr>
      </w:pPr>
      <w:bookmarkStart w:id="1" w:name="_heading=h.30j0zll" w:colFirst="0" w:colLast="0"/>
      <w:bookmarkEnd w:id="1"/>
      <w:r>
        <w:rPr>
          <w:rFonts w:ascii="Palatino Linotype" w:eastAsia="Palatino Linotype" w:hAnsi="Palatino Linotype" w:cs="Palatino Linotype"/>
          <w:b/>
          <w:i/>
          <w:color w:val="000000"/>
        </w:rPr>
        <w:t>Solicitud 00687/ATIZARA/IP/</w:t>
      </w:r>
      <w:proofErr w:type="gramStart"/>
      <w:r>
        <w:rPr>
          <w:rFonts w:ascii="Palatino Linotype" w:eastAsia="Palatino Linotype" w:hAnsi="Palatino Linotype" w:cs="Palatino Linotype"/>
          <w:b/>
          <w:i/>
          <w:color w:val="000000"/>
        </w:rPr>
        <w:t xml:space="preserve">2023 </w:t>
      </w:r>
      <w:r>
        <w:rPr>
          <w:rFonts w:ascii="Palatino Linotype" w:eastAsia="Palatino Linotype" w:hAnsi="Palatino Linotype" w:cs="Palatino Linotype"/>
          <w:color w:val="000000"/>
        </w:rPr>
        <w:t>:</w:t>
      </w:r>
      <w:proofErr w:type="gramEnd"/>
      <w:r>
        <w:rPr>
          <w:rFonts w:ascii="Palatino Linotype" w:eastAsia="Palatino Linotype" w:hAnsi="Palatino Linotype" w:cs="Palatino Linotype"/>
          <w:color w:val="000000"/>
        </w:rPr>
        <w:t xml:space="preserve"> </w:t>
      </w:r>
    </w:p>
    <w:p w14:paraId="37C4F102" w14:textId="77777777" w:rsidR="00715B3A" w:rsidRDefault="002F487C">
      <w:pPr>
        <w:pBdr>
          <w:top w:val="nil"/>
          <w:left w:val="nil"/>
          <w:bottom w:val="nil"/>
          <w:right w:val="nil"/>
          <w:between w:val="nil"/>
        </w:pBdr>
        <w:ind w:left="566" w:right="-22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Conciliación de la nómina primer quincena de octubre 2023.xlsx</w:t>
      </w:r>
      <w:r>
        <w:rPr>
          <w:rFonts w:ascii="Palatino Linotype" w:eastAsia="Palatino Linotype" w:hAnsi="Palatino Linotype" w:cs="Palatino Linotype"/>
          <w:i/>
          <w:color w:val="000000"/>
        </w:rPr>
        <w:t xml:space="preserve"> documento Excel que contiene la conciliación de nómina de las dos quincenas de octubre de dos mil veintitrés, de las cuales </w:t>
      </w:r>
      <w:proofErr w:type="spellStart"/>
      <w:r>
        <w:rPr>
          <w:rFonts w:ascii="Palatino Linotype" w:eastAsia="Palatino Linotype" w:hAnsi="Palatino Linotype" w:cs="Palatino Linotype"/>
          <w:i/>
          <w:color w:val="000000"/>
        </w:rPr>
        <w:t>de</w:t>
      </w:r>
      <w:proofErr w:type="spellEnd"/>
      <w:r>
        <w:rPr>
          <w:rFonts w:ascii="Palatino Linotype" w:eastAsia="Palatino Linotype" w:hAnsi="Palatino Linotype" w:cs="Palatino Linotype"/>
          <w:i/>
          <w:color w:val="000000"/>
        </w:rPr>
        <w:t xml:space="preserve"> advierte que se dejaron libres datos como lo son el RFC, el número de seguridad social, nombre de policías, prestamos. </w:t>
      </w:r>
    </w:p>
    <w:p w14:paraId="195EAFAC" w14:textId="77777777" w:rsidR="00715B3A" w:rsidRDefault="002F487C">
      <w:pPr>
        <w:pBdr>
          <w:top w:val="nil"/>
          <w:left w:val="nil"/>
          <w:bottom w:val="nil"/>
          <w:right w:val="nil"/>
          <w:between w:val="nil"/>
        </w:pBdr>
        <w:ind w:left="566" w:right="-220"/>
        <w:jc w:val="both"/>
        <w:rPr>
          <w:rFonts w:ascii="Palatino Linotype" w:eastAsia="Palatino Linotype" w:hAnsi="Palatino Linotype" w:cs="Palatino Linotype"/>
          <w:i/>
          <w:color w:val="000000"/>
        </w:rPr>
      </w:pPr>
      <w:bookmarkStart w:id="2" w:name="_heading=h.1fob9te" w:colFirst="0" w:colLast="0"/>
      <w:bookmarkEnd w:id="2"/>
      <w:r>
        <w:rPr>
          <w:rFonts w:ascii="Palatino Linotype" w:eastAsia="Palatino Linotype" w:hAnsi="Palatino Linotype" w:cs="Palatino Linotype"/>
          <w:b/>
          <w:i/>
          <w:color w:val="000000"/>
        </w:rPr>
        <w:t xml:space="preserve">MEMORÁNDUM SRH-013-2024.pdf: </w:t>
      </w:r>
      <w:r>
        <w:rPr>
          <w:rFonts w:ascii="Palatino Linotype" w:eastAsia="Palatino Linotype" w:hAnsi="Palatino Linotype" w:cs="Palatino Linotype"/>
          <w:i/>
          <w:color w:val="000000"/>
        </w:rPr>
        <w:t xml:space="preserve">oficio de la </w:t>
      </w:r>
      <w:proofErr w:type="gramStart"/>
      <w:r>
        <w:rPr>
          <w:rFonts w:ascii="Palatino Linotype" w:eastAsia="Palatino Linotype" w:hAnsi="Palatino Linotype" w:cs="Palatino Linotype"/>
          <w:i/>
          <w:color w:val="000000"/>
        </w:rPr>
        <w:t>Subdirectora</w:t>
      </w:r>
      <w:proofErr w:type="gramEnd"/>
      <w:r>
        <w:rPr>
          <w:rFonts w:ascii="Palatino Linotype" w:eastAsia="Palatino Linotype" w:hAnsi="Palatino Linotype" w:cs="Palatino Linotype"/>
          <w:i/>
          <w:color w:val="000000"/>
        </w:rPr>
        <w:t xml:space="preserve"> de Recursos Humanos, mediante el cual informa que remite la información consistente en los recibos de nómina correspondientes del uno al quince de octubre de dos mil veintitrés, así como la conciliación de nómina.</w:t>
      </w:r>
    </w:p>
    <w:p w14:paraId="60861A12" w14:textId="77777777" w:rsidR="00715B3A" w:rsidRDefault="002F487C">
      <w:pPr>
        <w:pBdr>
          <w:top w:val="nil"/>
          <w:left w:val="nil"/>
          <w:bottom w:val="nil"/>
          <w:right w:val="nil"/>
          <w:between w:val="nil"/>
        </w:pBdr>
        <w:ind w:left="566" w:right="-22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Recibos de pago primer quincena de octubre 2023.pdf: </w:t>
      </w:r>
      <w:r>
        <w:rPr>
          <w:rFonts w:ascii="Palatino Linotype" w:eastAsia="Palatino Linotype" w:hAnsi="Palatino Linotype" w:cs="Palatino Linotype"/>
          <w:i/>
          <w:color w:val="000000"/>
        </w:rPr>
        <w:t xml:space="preserve">contiene 3,610 recibos de nómina de la primera quincena de octubre del dos mil veintitrés, de los cuales se observa que no contienen los códigos QR y tampoco las cadenas digitales. </w:t>
      </w:r>
    </w:p>
    <w:p w14:paraId="13A31469" w14:textId="77777777" w:rsidR="00715B3A" w:rsidRDefault="002F487C">
      <w:pPr>
        <w:pBdr>
          <w:top w:val="nil"/>
          <w:left w:val="nil"/>
          <w:bottom w:val="nil"/>
          <w:right w:val="nil"/>
          <w:between w:val="nil"/>
        </w:pBdr>
        <w:ind w:left="566" w:right="-220"/>
        <w:jc w:val="both"/>
        <w:rPr>
          <w:rFonts w:ascii="Palatino Linotype" w:eastAsia="Palatino Linotype" w:hAnsi="Palatino Linotype" w:cs="Palatino Linotype"/>
          <w:i/>
          <w:color w:val="000000"/>
        </w:rPr>
      </w:pPr>
      <w:bookmarkStart w:id="3" w:name="_heading=h.3znysh7" w:colFirst="0" w:colLast="0"/>
      <w:bookmarkEnd w:id="3"/>
      <w:r>
        <w:rPr>
          <w:rFonts w:ascii="Palatino Linotype" w:eastAsia="Palatino Linotype" w:hAnsi="Palatino Linotype" w:cs="Palatino Linotype"/>
          <w:b/>
          <w:i/>
          <w:color w:val="000000"/>
        </w:rPr>
        <w:t xml:space="preserve">687.pdf: </w:t>
      </w:r>
      <w:r>
        <w:rPr>
          <w:rFonts w:ascii="Palatino Linotype" w:eastAsia="Palatino Linotype" w:hAnsi="Palatino Linotype" w:cs="Palatino Linotype"/>
          <w:i/>
          <w:color w:val="000000"/>
        </w:rPr>
        <w:t xml:space="preserve">Acuerdo de la Primera Sesión Extraordinaria del Comité de Transparencia, mediante el cual clasifican la información como confidencial respecto de los datos personales del RFC, Clave ISSEMYM y de otras deducciones que no corresponden a erogaciones de recursos públicos. </w:t>
      </w:r>
    </w:p>
    <w:p w14:paraId="7252BAE3" w14:textId="77777777" w:rsidR="00715B3A" w:rsidRDefault="002F487C">
      <w:pPr>
        <w:pBdr>
          <w:top w:val="nil"/>
          <w:left w:val="nil"/>
          <w:bottom w:val="nil"/>
          <w:right w:val="nil"/>
          <w:between w:val="nil"/>
        </w:pBdr>
        <w:ind w:left="566" w:right="-2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Respecto de la Conciliación de Nómina</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i/>
          <w:color w:val="000000"/>
        </w:rPr>
        <w:t xml:space="preserve">RFC, Clave ISSEMYM, otras deducciones que no corresponden a erogaciones de recursos públicos, nombre de la Institución Bancaria, número de cuenta bancaria, número de cheque y/o referencia. </w:t>
      </w:r>
    </w:p>
    <w:p w14:paraId="6AD87FE3" w14:textId="77777777" w:rsidR="00715B3A" w:rsidRDefault="002F487C">
      <w:pPr>
        <w:pBdr>
          <w:top w:val="nil"/>
          <w:left w:val="nil"/>
          <w:bottom w:val="nil"/>
          <w:right w:val="nil"/>
          <w:between w:val="nil"/>
        </w:pBdr>
        <w:ind w:left="566" w:right="-2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la misma Acta del Comité de Transparencia clasifican como reservado el nombre de los policías (operativos) que laboran en el Ayuntamiento de Atizapán de Zaragoza por un periodo de cinco años, </w:t>
      </w:r>
      <w:proofErr w:type="gramStart"/>
      <w:r>
        <w:rPr>
          <w:rFonts w:ascii="Palatino Linotype" w:eastAsia="Palatino Linotype" w:hAnsi="Palatino Linotype" w:cs="Palatino Linotype"/>
          <w:i/>
          <w:color w:val="000000"/>
        </w:rPr>
        <w:t>del mimos</w:t>
      </w:r>
      <w:proofErr w:type="gramEnd"/>
      <w:r>
        <w:rPr>
          <w:rFonts w:ascii="Palatino Linotype" w:eastAsia="Palatino Linotype" w:hAnsi="Palatino Linotype" w:cs="Palatino Linotype"/>
          <w:i/>
          <w:color w:val="000000"/>
        </w:rPr>
        <w:t xml:space="preserve"> remite la prueba de daño del cual no refieren el riesgo demostrable, real e identificable, así como tampoco se observa que consideren las circunstancia de modo, tiempo y lugar. </w:t>
      </w:r>
    </w:p>
    <w:p w14:paraId="0EAF1730" w14:textId="77777777" w:rsidR="00715B3A" w:rsidRDefault="00715B3A">
      <w:pPr>
        <w:ind w:left="566" w:right="-220"/>
        <w:jc w:val="both"/>
        <w:rPr>
          <w:rFonts w:ascii="Palatino Linotype" w:eastAsia="Palatino Linotype" w:hAnsi="Palatino Linotype" w:cs="Palatino Linotype"/>
          <w:i/>
        </w:rPr>
      </w:pPr>
    </w:p>
    <w:p w14:paraId="6E193951" w14:textId="77777777" w:rsidR="00715B3A" w:rsidRDefault="002F487C">
      <w:pPr>
        <w:pBdr>
          <w:top w:val="nil"/>
          <w:left w:val="nil"/>
          <w:bottom w:val="nil"/>
          <w:right w:val="nil"/>
          <w:between w:val="nil"/>
        </w:pBdr>
        <w:ind w:left="566" w:right="-22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Solicitud 00688/ATIZARA/IP/2023</w:t>
      </w:r>
      <w:r>
        <w:rPr>
          <w:rFonts w:ascii="Palatino Linotype" w:eastAsia="Palatino Linotype" w:hAnsi="Palatino Linotype" w:cs="Palatino Linotype"/>
          <w:color w:val="000000"/>
        </w:rPr>
        <w:t xml:space="preserve">: </w:t>
      </w:r>
    </w:p>
    <w:p w14:paraId="58B8D10F" w14:textId="77777777" w:rsidR="00715B3A" w:rsidRDefault="002F487C">
      <w:pPr>
        <w:pBdr>
          <w:top w:val="nil"/>
          <w:left w:val="nil"/>
          <w:bottom w:val="nil"/>
          <w:right w:val="nil"/>
          <w:between w:val="nil"/>
        </w:pBdr>
        <w:ind w:left="566" w:right="-22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Conciliación de la nómina primer quincena de octubre 2023.xlsx</w:t>
      </w:r>
      <w:r>
        <w:rPr>
          <w:rFonts w:ascii="Palatino Linotype" w:eastAsia="Palatino Linotype" w:hAnsi="Palatino Linotype" w:cs="Palatino Linotype"/>
          <w:i/>
          <w:color w:val="000000"/>
        </w:rPr>
        <w:t xml:space="preserve">: documento Excel que contiene la conciliación de nómina de las dos quincenas de octubre de dos mil veintitrés, de las cuales </w:t>
      </w:r>
      <w:proofErr w:type="spellStart"/>
      <w:r>
        <w:rPr>
          <w:rFonts w:ascii="Palatino Linotype" w:eastAsia="Palatino Linotype" w:hAnsi="Palatino Linotype" w:cs="Palatino Linotype"/>
          <w:i/>
          <w:color w:val="000000"/>
        </w:rPr>
        <w:t>de</w:t>
      </w:r>
      <w:proofErr w:type="spellEnd"/>
      <w:r>
        <w:rPr>
          <w:rFonts w:ascii="Palatino Linotype" w:eastAsia="Palatino Linotype" w:hAnsi="Palatino Linotype" w:cs="Palatino Linotype"/>
          <w:i/>
          <w:color w:val="000000"/>
        </w:rPr>
        <w:t xml:space="preserve"> advierte que se dejaron libres datos como lo son el RFC, el número de seguridad social, nombre de policías, prestamos.</w:t>
      </w:r>
    </w:p>
    <w:p w14:paraId="4539175F" w14:textId="77777777" w:rsidR="00715B3A" w:rsidRDefault="002F487C">
      <w:pPr>
        <w:pBdr>
          <w:top w:val="nil"/>
          <w:left w:val="nil"/>
          <w:bottom w:val="nil"/>
          <w:right w:val="nil"/>
          <w:between w:val="nil"/>
        </w:pBdr>
        <w:ind w:left="566" w:right="-22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MEMORÁNDUM SRH-014-2024.pdf: </w:t>
      </w:r>
      <w:r>
        <w:rPr>
          <w:rFonts w:ascii="Palatino Linotype" w:eastAsia="Palatino Linotype" w:hAnsi="Palatino Linotype" w:cs="Palatino Linotype"/>
          <w:i/>
          <w:color w:val="000000"/>
        </w:rPr>
        <w:t xml:space="preserve">oficio de la </w:t>
      </w:r>
      <w:proofErr w:type="gramStart"/>
      <w:r>
        <w:rPr>
          <w:rFonts w:ascii="Palatino Linotype" w:eastAsia="Palatino Linotype" w:hAnsi="Palatino Linotype" w:cs="Palatino Linotype"/>
          <w:i/>
          <w:color w:val="000000"/>
        </w:rPr>
        <w:t>Subdirectora</w:t>
      </w:r>
      <w:proofErr w:type="gramEnd"/>
      <w:r>
        <w:rPr>
          <w:rFonts w:ascii="Palatino Linotype" w:eastAsia="Palatino Linotype" w:hAnsi="Palatino Linotype" w:cs="Palatino Linotype"/>
          <w:i/>
          <w:color w:val="000000"/>
        </w:rPr>
        <w:t xml:space="preserve"> de Recursos Humanos, mediante el cual informa que remite la información consistente en los recibos de nómina correspondientes del uno al quince de octubre de dos mil veintitrés, así como la conciliación de nómina.</w:t>
      </w:r>
    </w:p>
    <w:p w14:paraId="3A427912" w14:textId="77777777" w:rsidR="00715B3A" w:rsidRDefault="002F487C">
      <w:pPr>
        <w:pBdr>
          <w:top w:val="nil"/>
          <w:left w:val="nil"/>
          <w:bottom w:val="nil"/>
          <w:right w:val="nil"/>
          <w:between w:val="nil"/>
        </w:pBdr>
        <w:ind w:left="566" w:right="-22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Recibos de pago primer quincena de octubre 2023.pdf: </w:t>
      </w:r>
      <w:r>
        <w:rPr>
          <w:rFonts w:ascii="Palatino Linotype" w:eastAsia="Palatino Linotype" w:hAnsi="Palatino Linotype" w:cs="Palatino Linotype"/>
          <w:i/>
          <w:color w:val="000000"/>
        </w:rPr>
        <w:t xml:space="preserve">contiene 3,610 recibos de nómina de la primera quincena de octubre del dos mil veintitrés, de los cuales se observa que no contienen los códigos QR y tampoco las cadenas digitales. </w:t>
      </w:r>
    </w:p>
    <w:p w14:paraId="232B6E0C" w14:textId="77777777" w:rsidR="00715B3A" w:rsidRDefault="002F487C">
      <w:pPr>
        <w:pBdr>
          <w:top w:val="nil"/>
          <w:left w:val="nil"/>
          <w:bottom w:val="nil"/>
          <w:right w:val="nil"/>
          <w:between w:val="nil"/>
        </w:pBdr>
        <w:ind w:left="566" w:right="-22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688.pdf: </w:t>
      </w:r>
      <w:r>
        <w:rPr>
          <w:rFonts w:ascii="Palatino Linotype" w:eastAsia="Palatino Linotype" w:hAnsi="Palatino Linotype" w:cs="Palatino Linotype"/>
          <w:i/>
          <w:color w:val="000000"/>
        </w:rPr>
        <w:t xml:space="preserve">Acuerdo de la Primera Sesión Extraordinaria del Comité de Transparencia, mediante el cual clasifican la información como confidencial respecto de los datos personales del RFC, Clave ISSEMYM y de otras deducciones que no corresponden a erogaciones de recursos públicos. </w:t>
      </w:r>
    </w:p>
    <w:p w14:paraId="54299946" w14:textId="77777777" w:rsidR="00715B3A" w:rsidRDefault="002F487C">
      <w:pPr>
        <w:pBdr>
          <w:top w:val="nil"/>
          <w:left w:val="nil"/>
          <w:bottom w:val="nil"/>
          <w:right w:val="nil"/>
          <w:between w:val="nil"/>
        </w:pBdr>
        <w:ind w:left="566" w:right="-2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Respecto de la Conciliación de Nómina</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i/>
          <w:color w:val="000000"/>
        </w:rPr>
        <w:t xml:space="preserve">RFC, Clave ISSEMYM, otras deducciones que no corresponden a erogaciones de recursos públicos, nombre de la Institución Bancaria, número de cuenta bancaria, número de cheque y/o referencia. </w:t>
      </w:r>
    </w:p>
    <w:p w14:paraId="5AEA073E" w14:textId="77777777" w:rsidR="00715B3A" w:rsidRDefault="002F487C">
      <w:pPr>
        <w:pBdr>
          <w:top w:val="nil"/>
          <w:left w:val="nil"/>
          <w:bottom w:val="nil"/>
          <w:right w:val="nil"/>
          <w:between w:val="nil"/>
        </w:pBdr>
        <w:ind w:left="566" w:right="-2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la misma Acta del Comité de Transparencia clasifican como reservado el nombre de los policías (operativos) que laboran en el Ayuntamiento de Atizapán de Zaragoza por un periodo de cinco años, </w:t>
      </w:r>
      <w:proofErr w:type="gramStart"/>
      <w:r>
        <w:rPr>
          <w:rFonts w:ascii="Palatino Linotype" w:eastAsia="Palatino Linotype" w:hAnsi="Palatino Linotype" w:cs="Palatino Linotype"/>
          <w:i/>
          <w:color w:val="000000"/>
        </w:rPr>
        <w:t>del mimos</w:t>
      </w:r>
      <w:proofErr w:type="gramEnd"/>
      <w:r>
        <w:rPr>
          <w:rFonts w:ascii="Palatino Linotype" w:eastAsia="Palatino Linotype" w:hAnsi="Palatino Linotype" w:cs="Palatino Linotype"/>
          <w:i/>
          <w:color w:val="000000"/>
        </w:rPr>
        <w:t xml:space="preserve"> remite la prueba de daño del cual no refieren el riesgo demostrable, real e identificable, así como tampoco se observa que consideren las circunstancia de modo, tiempo y lugar. </w:t>
      </w:r>
    </w:p>
    <w:p w14:paraId="5F24B62E"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lastRenderedPageBreak/>
        <w:t xml:space="preserve">El </w:t>
      </w:r>
      <w:r>
        <w:rPr>
          <w:rFonts w:ascii="Palatino Linotype" w:eastAsia="Palatino Linotype" w:hAnsi="Palatino Linotype" w:cs="Palatino Linotype"/>
          <w:b/>
          <w:color w:val="000000"/>
        </w:rPr>
        <w:t>treinta y uno de enero de dos mil veinticuatro</w:t>
      </w:r>
      <w:r>
        <w:rPr>
          <w:rFonts w:ascii="Palatino Linotype" w:eastAsia="Palatino Linotype" w:hAnsi="Palatino Linotype" w:cs="Palatino Linotype"/>
          <w:color w:val="000000"/>
        </w:rPr>
        <w:t xml:space="preserve">, el solicitante interpuso recurso de revisión en las solicitudes de información </w:t>
      </w:r>
      <w:r>
        <w:rPr>
          <w:rFonts w:ascii="Palatino Linotype" w:eastAsia="Palatino Linotype" w:hAnsi="Palatino Linotype" w:cs="Palatino Linotype"/>
          <w:b/>
          <w:color w:val="000000"/>
        </w:rPr>
        <w:t xml:space="preserve">00687/ATIZARA/IP/2023 y 00688/ATIZARA/IP/2023, </w:t>
      </w:r>
      <w:r>
        <w:rPr>
          <w:rFonts w:ascii="Palatino Linotype" w:eastAsia="Palatino Linotype" w:hAnsi="Palatino Linotype" w:cs="Palatino Linotype"/>
          <w:color w:val="000000"/>
        </w:rPr>
        <w:t xml:space="preserve">en contra de las respuestas emitidas a las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señalando las siguientes razones o motivos de inconformidad:</w:t>
      </w:r>
    </w:p>
    <w:p w14:paraId="1E6DE8B1" w14:textId="77777777" w:rsidR="00715B3A" w:rsidRDefault="00715B3A">
      <w:pPr>
        <w:pBdr>
          <w:top w:val="nil"/>
          <w:left w:val="nil"/>
          <w:bottom w:val="nil"/>
          <w:right w:val="nil"/>
          <w:between w:val="nil"/>
        </w:pBdr>
        <w:ind w:right="-787"/>
        <w:jc w:val="both"/>
        <w:rPr>
          <w:rFonts w:ascii="Palatino Linotype" w:eastAsia="Palatino Linotype" w:hAnsi="Palatino Linotype" w:cs="Palatino Linotype"/>
          <w:color w:val="000000"/>
        </w:rPr>
      </w:pPr>
    </w:p>
    <w:p w14:paraId="798489F1"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color w:val="000000"/>
          <w:sz w:val="22"/>
          <w:szCs w:val="22"/>
        </w:rPr>
      </w:pPr>
      <w:bookmarkStart w:id="4" w:name="_heading=h.2et92p0" w:colFirst="0" w:colLast="0"/>
      <w:bookmarkEnd w:id="4"/>
      <w:r>
        <w:rPr>
          <w:rFonts w:ascii="Palatino Linotype" w:eastAsia="Palatino Linotype" w:hAnsi="Palatino Linotype" w:cs="Palatino Linotype"/>
          <w:b/>
          <w:color w:val="000000"/>
          <w:sz w:val="22"/>
          <w:szCs w:val="22"/>
        </w:rPr>
        <w:t xml:space="preserve">Recurso de Revisión 00408/INFOEM/IP/RR/2024: </w:t>
      </w:r>
    </w:p>
    <w:p w14:paraId="6CACD2DE" w14:textId="77777777" w:rsidR="00715B3A" w:rsidRDefault="002F487C">
      <w:pPr>
        <w:numPr>
          <w:ilvl w:val="0"/>
          <w:numId w:val="10"/>
        </w:numPr>
        <w:pBdr>
          <w:top w:val="nil"/>
          <w:left w:val="nil"/>
          <w:bottom w:val="nil"/>
          <w:right w:val="nil"/>
          <w:between w:val="nil"/>
        </w:pBdr>
        <w:ind w:right="-220"/>
        <w:jc w:val="both"/>
        <w:rPr>
          <w:rFonts w:ascii="Palatino Linotype" w:eastAsia="Palatino Linotype" w:hAnsi="Palatino Linotype" w:cs="Palatino Linotype"/>
          <w:i/>
          <w:color w:val="000000"/>
          <w:sz w:val="22"/>
          <w:szCs w:val="22"/>
        </w:rPr>
      </w:pPr>
      <w:bookmarkStart w:id="5" w:name="_heading=h.tyjcwt" w:colFirst="0" w:colLast="0"/>
      <w:bookmarkEnd w:id="5"/>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“respuesta”</w:t>
      </w:r>
    </w:p>
    <w:p w14:paraId="3D227347" w14:textId="77777777" w:rsidR="00715B3A" w:rsidRDefault="002F487C">
      <w:pPr>
        <w:numPr>
          <w:ilvl w:val="0"/>
          <w:numId w:val="1"/>
        </w:num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bookmarkStart w:id="6" w:name="_heading=h.3dy6vkm" w:colFirst="0" w:colLast="0"/>
      <w:bookmarkEnd w:id="6"/>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“Falta documentación.”</w:t>
      </w:r>
    </w:p>
    <w:p w14:paraId="6DAD4288" w14:textId="77777777" w:rsidR="00715B3A" w:rsidRDefault="00715B3A">
      <w:pPr>
        <w:pBdr>
          <w:top w:val="nil"/>
          <w:left w:val="nil"/>
          <w:bottom w:val="nil"/>
          <w:right w:val="nil"/>
          <w:between w:val="nil"/>
        </w:pBdr>
        <w:spacing w:line="360" w:lineRule="auto"/>
        <w:ind w:right="-220"/>
        <w:jc w:val="both"/>
        <w:rPr>
          <w:rFonts w:ascii="Palatino Linotype" w:eastAsia="Palatino Linotype" w:hAnsi="Palatino Linotype" w:cs="Palatino Linotype"/>
          <w:color w:val="000000"/>
          <w:sz w:val="22"/>
          <w:szCs w:val="22"/>
        </w:rPr>
      </w:pPr>
    </w:p>
    <w:p w14:paraId="2ADE5025"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Recurso de Revisión 00409/INFOEM/IP/RR/2024: </w:t>
      </w:r>
    </w:p>
    <w:p w14:paraId="2DB57548" w14:textId="77777777" w:rsidR="00715B3A" w:rsidRDefault="002F487C">
      <w:pPr>
        <w:numPr>
          <w:ilvl w:val="0"/>
          <w:numId w:val="6"/>
        </w:num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color w:val="000000"/>
          <w:sz w:val="22"/>
          <w:szCs w:val="22"/>
        </w:rPr>
        <w:t>Acto impugnado:</w:t>
      </w:r>
      <w:r>
        <w:rPr>
          <w:rFonts w:ascii="Palatino Linotype" w:eastAsia="Palatino Linotype" w:hAnsi="Palatino Linotype" w:cs="Palatino Linotype"/>
          <w:i/>
          <w:color w:val="000000"/>
          <w:sz w:val="22"/>
          <w:szCs w:val="22"/>
        </w:rPr>
        <w:t xml:space="preserve"> “respuesta”</w:t>
      </w:r>
      <w:r>
        <w:rPr>
          <w:rFonts w:ascii="Palatino Linotype" w:eastAsia="Palatino Linotype" w:hAnsi="Palatino Linotype" w:cs="Palatino Linotype"/>
          <w:b/>
          <w:i/>
          <w:color w:val="000000"/>
          <w:sz w:val="22"/>
          <w:szCs w:val="22"/>
        </w:rPr>
        <w:t xml:space="preserve"> </w:t>
      </w:r>
    </w:p>
    <w:p w14:paraId="25611CD4" w14:textId="77777777" w:rsidR="00715B3A" w:rsidRDefault="002F487C">
      <w:pPr>
        <w:numPr>
          <w:ilvl w:val="0"/>
          <w:numId w:val="1"/>
        </w:num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Razones o Motivos de inconformidad:</w:t>
      </w:r>
      <w:r>
        <w:rPr>
          <w:rFonts w:ascii="Palatino Linotype" w:eastAsia="Palatino Linotype" w:hAnsi="Palatino Linotype" w:cs="Palatino Linotype"/>
          <w:i/>
          <w:color w:val="000000"/>
          <w:sz w:val="22"/>
          <w:szCs w:val="22"/>
        </w:rPr>
        <w:t xml:space="preserve"> ““faltan documentales y las que mandaron no son las correctas, </w:t>
      </w:r>
      <w:proofErr w:type="spellStart"/>
      <w:r>
        <w:rPr>
          <w:rFonts w:ascii="Palatino Linotype" w:eastAsia="Palatino Linotype" w:hAnsi="Palatino Linotype" w:cs="Palatino Linotype"/>
          <w:i/>
          <w:color w:val="000000"/>
          <w:sz w:val="22"/>
          <w:szCs w:val="22"/>
        </w:rPr>
        <w:t>ademas</w:t>
      </w:r>
      <w:proofErr w:type="spellEnd"/>
      <w:r>
        <w:rPr>
          <w:rFonts w:ascii="Palatino Linotype" w:eastAsia="Palatino Linotype" w:hAnsi="Palatino Linotype" w:cs="Palatino Linotype"/>
          <w:i/>
          <w:color w:val="000000"/>
          <w:sz w:val="22"/>
          <w:szCs w:val="22"/>
        </w:rPr>
        <w:t xml:space="preserve"> mandan documentos ADHOC en lugar de los recibos.”</w:t>
      </w:r>
    </w:p>
    <w:p w14:paraId="199BCA68"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8B0C603" w14:textId="77777777" w:rsidR="00715B3A" w:rsidRDefault="00715B3A">
      <w:pPr>
        <w:pBdr>
          <w:top w:val="nil"/>
          <w:left w:val="nil"/>
          <w:bottom w:val="nil"/>
          <w:right w:val="nil"/>
          <w:between w:val="nil"/>
        </w:pBdr>
        <w:ind w:left="1134" w:right="-787"/>
        <w:jc w:val="both"/>
        <w:rPr>
          <w:rFonts w:ascii="Palatino Linotype" w:eastAsia="Palatino Linotype" w:hAnsi="Palatino Linotype" w:cs="Palatino Linotype"/>
          <w:b/>
          <w:i/>
          <w:color w:val="000000"/>
        </w:rPr>
      </w:pPr>
    </w:p>
    <w:p w14:paraId="00A9067C"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Consecutivamente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con fundamento en lo dispuesto por el artículo 185 fracción I de la Ley de Transparencia y Acceso a la Información Pública del Estado de México y Municipios, los recursos de referencia, fueron turnados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000000"/>
          <w:highlight w:val="white"/>
        </w:rPr>
        <w:t xml:space="preserve">a </w:t>
      </w:r>
      <w:proofErr w:type="gramStart"/>
      <w:r>
        <w:rPr>
          <w:rFonts w:ascii="Palatino Linotype" w:eastAsia="Palatino Linotype" w:hAnsi="Palatino Linotype" w:cs="Palatino Linotype"/>
          <w:b/>
          <w:color w:val="000000"/>
          <w:highlight w:val="white"/>
        </w:rPr>
        <w:t>las  Comisionadas</w:t>
      </w:r>
      <w:proofErr w:type="gramEnd"/>
      <w:r>
        <w:rPr>
          <w:rFonts w:ascii="Palatino Linotype" w:eastAsia="Palatino Linotype" w:hAnsi="Palatino Linotype" w:cs="Palatino Linotype"/>
          <w:b/>
          <w:color w:val="000000"/>
          <w:highlight w:val="white"/>
        </w:rPr>
        <w:t xml:space="preserve"> María del Rosario Mejía Ayala y Guadalupe Ramírez Peña</w:t>
      </w:r>
      <w:r>
        <w:rPr>
          <w:rFonts w:ascii="Palatino Linotype" w:eastAsia="Palatino Linotype" w:hAnsi="Palatino Linotype" w:cs="Palatino Linotype"/>
          <w:color w:val="000000"/>
          <w:highlight w:val="white"/>
        </w:rPr>
        <w:t>,</w:t>
      </w:r>
      <w:r>
        <w:rPr>
          <w:rFonts w:ascii="Palatino Linotype" w:eastAsia="Palatino Linotype" w:hAnsi="Palatino Linotype" w:cs="Palatino Linotype"/>
          <w:color w:val="000000"/>
        </w:rPr>
        <w:t xml:space="preserve"> respectivamente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para</w:t>
      </w:r>
      <w:r>
        <w:rPr>
          <w:rFonts w:ascii="Palatino Linotype" w:eastAsia="Palatino Linotype" w:hAnsi="Palatino Linotype" w:cs="Palatino Linotype"/>
          <w:color w:val="000000"/>
        </w:rPr>
        <w:t xml:space="preserve"> su análisis.</w:t>
      </w:r>
    </w:p>
    <w:p w14:paraId="6F6A68A9"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603DFC47"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Los Comisionados Ponentes de origen con fundamento en lo dispuesto por el artículo 185 fracción II de la ley de la materia, a través de los </w:t>
      </w:r>
      <w:r>
        <w:rPr>
          <w:rFonts w:ascii="Palatino Linotype" w:eastAsia="Palatino Linotype" w:hAnsi="Palatino Linotype" w:cs="Palatino Linotype"/>
          <w:b/>
          <w:color w:val="000000"/>
        </w:rPr>
        <w:t xml:space="preserve">acuerdos de admisión </w:t>
      </w:r>
      <w:r>
        <w:rPr>
          <w:rFonts w:ascii="Palatino Linotype" w:eastAsia="Palatino Linotype" w:hAnsi="Palatino Linotype" w:cs="Palatino Linotype"/>
          <w:color w:val="000000"/>
        </w:rPr>
        <w:t xml:space="preserve">de fecha </w:t>
      </w:r>
      <w:r>
        <w:rPr>
          <w:rFonts w:ascii="Palatino Linotype" w:eastAsia="Palatino Linotype" w:hAnsi="Palatino Linotype" w:cs="Palatino Linotype"/>
          <w:b/>
          <w:color w:val="000000"/>
        </w:rPr>
        <w:t>seis de febrero de dos mil veinticuatro</w:t>
      </w:r>
      <w:r>
        <w:rPr>
          <w:rFonts w:ascii="Palatino Linotype" w:eastAsia="Palatino Linotype" w:hAnsi="Palatino Linotype" w:cs="Palatino Linotype"/>
          <w:color w:val="000000"/>
        </w:rPr>
        <w:t xml:space="preserve">, pusieron a disposición de las partes el expediente electrónico vía SAIMEX 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rPr>
        <w:t>presentará</w:t>
      </w:r>
      <w:r>
        <w:rPr>
          <w:rFonts w:ascii="Palatino Linotype" w:eastAsia="Palatino Linotype" w:hAnsi="Palatino Linotype" w:cs="Palatino Linotype"/>
          <w:color w:val="000000"/>
        </w:rPr>
        <w:t xml:space="preserve"> el Informe Justificado procedente.</w:t>
      </w:r>
    </w:p>
    <w:p w14:paraId="45040FED"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lastRenderedPageBreak/>
        <w:t>Posteriormente el Pleno de este Órgano Autónomo, en la</w:t>
      </w:r>
      <w:r>
        <w:rPr>
          <w:rFonts w:ascii="Palatino Linotype" w:eastAsia="Palatino Linotype" w:hAnsi="Palatino Linotype" w:cs="Palatino Linotype"/>
          <w:b/>
          <w:color w:val="000000"/>
        </w:rPr>
        <w:t xml:space="preserve"> Quinta Sesión Ordinaria </w:t>
      </w:r>
      <w:r>
        <w:rPr>
          <w:rFonts w:ascii="Palatino Linotype" w:eastAsia="Palatino Linotype" w:hAnsi="Palatino Linotype" w:cs="Palatino Linotype"/>
          <w:color w:val="000000"/>
        </w:rPr>
        <w:t>de fecha</w:t>
      </w:r>
      <w:r>
        <w:rPr>
          <w:rFonts w:ascii="Palatino Linotype" w:eastAsia="Palatino Linotype" w:hAnsi="Palatino Linotype" w:cs="Palatino Linotype"/>
          <w:b/>
          <w:color w:val="000000"/>
        </w:rPr>
        <w:t xml:space="preserve"> catorce de febrero de dos mil veinticuatro</w:t>
      </w:r>
      <w:r>
        <w:rPr>
          <w:rFonts w:ascii="Palatino Linotype" w:eastAsia="Palatino Linotype" w:hAnsi="Palatino Linotype" w:cs="Palatino Linotype"/>
          <w:color w:val="000000"/>
        </w:rPr>
        <w:t xml:space="preserve">; ordenó la acumulación de los recursos de revisión de mérito, a efecto de que la Ponencia de la </w:t>
      </w:r>
      <w:r>
        <w:rPr>
          <w:rFonts w:ascii="Palatino Linotype" w:eastAsia="Palatino Linotype" w:hAnsi="Palatino Linotype" w:cs="Palatino Linotype"/>
          <w:b/>
          <w:color w:val="000000"/>
        </w:rPr>
        <w:t xml:space="preserve">Comisionada María del Rosario Mejía Ayala </w:t>
      </w:r>
      <w:r>
        <w:rPr>
          <w:rFonts w:ascii="Palatino Linotype" w:eastAsia="Palatino Linotype" w:hAnsi="Palatino Linotype" w:cs="Palatino Linotype"/>
        </w:rPr>
        <w:t>formulará</w:t>
      </w:r>
      <w:r>
        <w:rPr>
          <w:rFonts w:ascii="Palatino Linotype" w:eastAsia="Palatino Linotype" w:hAnsi="Palatino Linotype" w:cs="Palatino Linotype"/>
          <w:color w:val="000000"/>
        </w:rPr>
        <w:t xml:space="preserve">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Pr>
          <w:rFonts w:ascii="Palatino Linotype" w:eastAsia="Palatino Linotype" w:hAnsi="Palatino Linotype" w:cs="Palatino Linotype"/>
          <w:i/>
          <w:color w:val="000000"/>
          <w:vertAlign w:val="superscript"/>
        </w:rPr>
        <w:footnoteReference w:id="1"/>
      </w:r>
      <w:r>
        <w:rPr>
          <w:rFonts w:ascii="Palatino Linotype" w:eastAsia="Palatino Linotype" w:hAnsi="Palatino Linotype" w:cs="Palatino Linotype"/>
          <w:color w:val="000000"/>
        </w:rPr>
        <w:t>, que señala:</w:t>
      </w:r>
    </w:p>
    <w:p w14:paraId="47E3D2A9"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“ONCE.</w:t>
      </w:r>
      <w:r>
        <w:rPr>
          <w:rFonts w:ascii="Palatino Linotype" w:eastAsia="Palatino Linotype" w:hAnsi="Palatino Linotype" w:cs="Palatino Linotype"/>
          <w:i/>
          <w:color w:val="000000"/>
          <w:sz w:val="22"/>
          <w:szCs w:val="22"/>
        </w:rPr>
        <w:t xml:space="preserve"> El Instituto, para mejor resolver y evitar la emisión de resoluciones contradictorias,</w:t>
      </w:r>
      <w:r>
        <w:rPr>
          <w:rFonts w:ascii="Palatino Linotype" w:eastAsia="Palatino Linotype" w:hAnsi="Palatino Linotype" w:cs="Palatino Linotype"/>
          <w:i/>
          <w:color w:val="000000"/>
          <w:sz w:val="22"/>
          <w:szCs w:val="22"/>
        </w:rPr>
        <w:tab/>
        <w:t xml:space="preserve"> podrá acordar la acumulación de los expedientes de recursos de revisión, de oficio o a petición de parte cuando:</w:t>
      </w:r>
    </w:p>
    <w:p w14:paraId="0A1575E3"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color w:val="000000"/>
          <w:sz w:val="22"/>
          <w:szCs w:val="22"/>
        </w:rPr>
        <w:tab/>
      </w:r>
    </w:p>
    <w:p w14:paraId="74584CCB"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 Las partes o los actos impugnados sean iguales</w:t>
      </w:r>
    </w:p>
    <w:p w14:paraId="7A8704F3"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 Cuando se trate del mismo solicitante, el mismo SUJETO OBLIGADO, aunque se trate de solicitudes diversas;</w:t>
      </w:r>
    </w:p>
    <w:p w14:paraId="28D5CC33"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D0785FD"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14ABFD00" w14:textId="77777777" w:rsidR="00715B3A" w:rsidRDefault="00715B3A">
      <w:pPr>
        <w:pBdr>
          <w:top w:val="nil"/>
          <w:left w:val="nil"/>
          <w:bottom w:val="nil"/>
          <w:right w:val="nil"/>
          <w:between w:val="nil"/>
        </w:pBdr>
        <w:ind w:left="1134" w:right="-787"/>
        <w:jc w:val="both"/>
        <w:rPr>
          <w:rFonts w:ascii="Palatino Linotype" w:eastAsia="Palatino Linotype" w:hAnsi="Palatino Linotype" w:cs="Palatino Linotype"/>
          <w:color w:val="000000"/>
        </w:rPr>
      </w:pPr>
    </w:p>
    <w:p w14:paraId="2515A46C"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Es así que,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resulta conveniente su trámite de forma unificada para mejor resolver y evitar la emisión de resoluciones contradictorias, por ello resultó procedente que este Órgano Garante </w:t>
      </w:r>
      <w:r>
        <w:rPr>
          <w:rFonts w:ascii="Palatino Linotype" w:eastAsia="Palatino Linotype" w:hAnsi="Palatino Linotype" w:cs="Palatino Linotype"/>
        </w:rPr>
        <w:t>realizará</w:t>
      </w:r>
      <w:r>
        <w:rPr>
          <w:rFonts w:ascii="Palatino Linotype" w:eastAsia="Palatino Linotype" w:hAnsi="Palatino Linotype" w:cs="Palatino Linotype"/>
          <w:color w:val="000000"/>
        </w:rPr>
        <w:t xml:space="preserve">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4A517849"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Código de Procedimientos Administrativos del Estado de México.</w:t>
      </w:r>
    </w:p>
    <w:p w14:paraId="32805313"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“Artículo 18.-</w:t>
      </w:r>
      <w:r>
        <w:rPr>
          <w:rFonts w:ascii="Palatino Linotype" w:eastAsia="Palatino Linotype" w:hAnsi="Palatino Linotype" w:cs="Palatino Linotype"/>
          <w:i/>
          <w:color w:val="000000"/>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FFFCF79"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Ley de Transparencia y Acceso a la Información Pública del Estado de México y Municipios</w:t>
      </w:r>
    </w:p>
    <w:p w14:paraId="13C7516A"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195.</w:t>
      </w:r>
      <w:r>
        <w:rPr>
          <w:rFonts w:ascii="Palatino Linotype" w:eastAsia="Palatino Linotype" w:hAnsi="Palatino Linotype" w:cs="Palatino Linotype"/>
          <w:i/>
          <w:color w:val="000000"/>
          <w:sz w:val="22"/>
          <w:szCs w:val="22"/>
        </w:rPr>
        <w:t xml:space="preserve"> En la tramitación del recurso de revisión se aplicarán supletoriamente las disposiciones contenidas en el Código de Procedimientos Administrativos del Estado de México.”</w:t>
      </w:r>
    </w:p>
    <w:p w14:paraId="608B1E1B" w14:textId="77777777" w:rsidR="00715B3A" w:rsidRDefault="002F487C">
      <w:pPr>
        <w:pBdr>
          <w:top w:val="nil"/>
          <w:left w:val="nil"/>
          <w:bottom w:val="nil"/>
          <w:right w:val="nil"/>
          <w:between w:val="nil"/>
        </w:pBdr>
        <w:ind w:left="1134" w:right="-79" w:firstLine="36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540EE067" w14:textId="77777777" w:rsidR="00715B3A" w:rsidRDefault="00715B3A">
      <w:pPr>
        <w:pBdr>
          <w:top w:val="nil"/>
          <w:left w:val="nil"/>
          <w:bottom w:val="nil"/>
          <w:right w:val="nil"/>
          <w:between w:val="nil"/>
        </w:pBdr>
        <w:ind w:left="360" w:right="-787" w:firstLine="360"/>
        <w:rPr>
          <w:i/>
          <w:color w:val="000000"/>
        </w:rPr>
      </w:pPr>
    </w:p>
    <w:p w14:paraId="59C3AD27"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De lo anterior el </w:t>
      </w:r>
      <w:r>
        <w:rPr>
          <w:rFonts w:ascii="Palatino Linotype" w:eastAsia="Palatino Linotype" w:hAnsi="Palatino Linotype" w:cs="Palatino Linotype"/>
          <w:b/>
          <w:color w:val="000000"/>
        </w:rPr>
        <w:t xml:space="preserve">SUJETO OBLIGADO el quince de febrero de dos mil veinticuatro, </w:t>
      </w:r>
      <w:r>
        <w:rPr>
          <w:rFonts w:ascii="Palatino Linotype" w:eastAsia="Palatino Linotype" w:hAnsi="Palatino Linotype" w:cs="Palatino Linotype"/>
        </w:rPr>
        <w:t>entregó</w:t>
      </w:r>
      <w:r>
        <w:rPr>
          <w:rFonts w:ascii="Palatino Linotype" w:eastAsia="Palatino Linotype" w:hAnsi="Palatino Linotype" w:cs="Palatino Linotype"/>
          <w:color w:val="000000"/>
        </w:rPr>
        <w:t xml:space="preserve"> cinco archivos en formato </w:t>
      </w:r>
      <w:proofErr w:type="spellStart"/>
      <w:r>
        <w:rPr>
          <w:rFonts w:ascii="Palatino Linotype" w:eastAsia="Palatino Linotype" w:hAnsi="Palatino Linotype" w:cs="Palatino Linotype"/>
          <w:color w:val="000000"/>
        </w:rPr>
        <w:t>pdf</w:t>
      </w:r>
      <w:proofErr w:type="spellEnd"/>
      <w:r>
        <w:rPr>
          <w:rFonts w:ascii="Palatino Linotype" w:eastAsia="Palatino Linotype" w:hAnsi="Palatino Linotype" w:cs="Palatino Linotype"/>
          <w:color w:val="000000"/>
        </w:rPr>
        <w:t xml:space="preserve"> por cada recurso de revisión, cuyo contenido grosso modo es el siguiente. </w:t>
      </w:r>
    </w:p>
    <w:p w14:paraId="42D693EC" w14:textId="77777777" w:rsidR="00715B3A" w:rsidRDefault="002F487C">
      <w:pPr>
        <w:pBdr>
          <w:top w:val="nil"/>
          <w:left w:val="nil"/>
          <w:bottom w:val="nil"/>
          <w:right w:val="nil"/>
          <w:between w:val="nil"/>
        </w:pBdr>
        <w:ind w:left="566" w:right="-22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Recurso de Revisión 00408/INFOEM/IP/RR/2024 y Recurso de Revisión 00409/INFOEM/IP/RR/2024: </w:t>
      </w:r>
    </w:p>
    <w:p w14:paraId="3CF5AE02" w14:textId="77777777" w:rsidR="00715B3A" w:rsidRDefault="00715B3A">
      <w:pPr>
        <w:pBdr>
          <w:top w:val="nil"/>
          <w:left w:val="nil"/>
          <w:bottom w:val="nil"/>
          <w:right w:val="nil"/>
          <w:between w:val="nil"/>
        </w:pBdr>
        <w:ind w:left="566" w:right="-220"/>
        <w:jc w:val="both"/>
        <w:rPr>
          <w:rFonts w:ascii="Palatino Linotype" w:eastAsia="Palatino Linotype" w:hAnsi="Palatino Linotype" w:cs="Palatino Linotype"/>
          <w:b/>
          <w:i/>
          <w:color w:val="000000"/>
        </w:rPr>
      </w:pPr>
    </w:p>
    <w:p w14:paraId="3821646F" w14:textId="77777777" w:rsidR="00715B3A" w:rsidRDefault="005B7D7E">
      <w:pPr>
        <w:pBdr>
          <w:top w:val="nil"/>
          <w:left w:val="nil"/>
          <w:bottom w:val="nil"/>
          <w:right w:val="nil"/>
          <w:between w:val="nil"/>
        </w:pBdr>
        <w:ind w:left="566" w:right="-220"/>
        <w:jc w:val="both"/>
        <w:rPr>
          <w:rFonts w:ascii="Palatino Linotype" w:eastAsia="Palatino Linotype" w:hAnsi="Palatino Linotype" w:cs="Palatino Linotype"/>
          <w:i/>
          <w:color w:val="000000"/>
        </w:rPr>
      </w:pPr>
      <w:hyperlink r:id="rId8">
        <w:r w:rsidR="002F487C">
          <w:rPr>
            <w:rFonts w:ascii="Palatino Linotype" w:eastAsia="Palatino Linotype" w:hAnsi="Palatino Linotype" w:cs="Palatino Linotype"/>
            <w:b/>
            <w:i/>
            <w:color w:val="000000"/>
            <w:u w:val="single"/>
          </w:rPr>
          <w:t>20240215125015454_0002.pdf</w:t>
        </w:r>
      </w:hyperlink>
      <w:r w:rsidR="002F487C">
        <w:rPr>
          <w:rFonts w:ascii="Palatino Linotype" w:eastAsia="Palatino Linotype" w:hAnsi="Palatino Linotype" w:cs="Palatino Linotype"/>
          <w:b/>
          <w:i/>
          <w:color w:val="000000"/>
        </w:rPr>
        <w:t>:</w:t>
      </w:r>
      <w:r w:rsidR="002F487C">
        <w:rPr>
          <w:rFonts w:ascii="Palatino Linotype" w:eastAsia="Palatino Linotype" w:hAnsi="Palatino Linotype" w:cs="Palatino Linotype"/>
          <w:i/>
          <w:color w:val="000000"/>
        </w:rPr>
        <w:t xml:space="preserve"> Oficio suscrito por el Tesorero Municipal de Atizapán de Zaragoza, Estado de México, mediante el cual informa que adjunta a los archivos correspondientes a la información requerida que le corresponde a la Tesorería Municipal.</w:t>
      </w:r>
    </w:p>
    <w:p w14:paraId="7416CAC4" w14:textId="77777777" w:rsidR="00715B3A" w:rsidRDefault="00715B3A">
      <w:pPr>
        <w:ind w:left="566" w:right="-220"/>
        <w:jc w:val="both"/>
        <w:rPr>
          <w:rFonts w:ascii="Palatino Linotype" w:eastAsia="Palatino Linotype" w:hAnsi="Palatino Linotype" w:cs="Palatino Linotype"/>
          <w:b/>
          <w:i/>
        </w:rPr>
      </w:pPr>
    </w:p>
    <w:p w14:paraId="296DB63E"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b/>
          <w:i/>
        </w:rPr>
        <w:t>20240215134757930.pdf.:</w:t>
      </w:r>
      <w:r>
        <w:rPr>
          <w:rFonts w:ascii="Palatino Linotype" w:eastAsia="Palatino Linotype" w:hAnsi="Palatino Linotype" w:cs="Palatino Linotype"/>
          <w:i/>
        </w:rPr>
        <w:t xml:space="preserve"> Oficio de la Directora de </w:t>
      </w:r>
      <w:proofErr w:type="gramStart"/>
      <w:r>
        <w:rPr>
          <w:rFonts w:ascii="Palatino Linotype" w:eastAsia="Palatino Linotype" w:hAnsi="Palatino Linotype" w:cs="Palatino Linotype"/>
          <w:i/>
        </w:rPr>
        <w:t>Administración,  mediante</w:t>
      </w:r>
      <w:proofErr w:type="gramEnd"/>
      <w:r>
        <w:rPr>
          <w:rFonts w:ascii="Palatino Linotype" w:eastAsia="Palatino Linotype" w:hAnsi="Palatino Linotype" w:cs="Palatino Linotype"/>
          <w:i/>
        </w:rPr>
        <w:t xml:space="preserve"> el cual refiere que el solicitante solo se queja por los dispersión de nómina y los estados de cuenta, información que obra en los archivos de la Tesorería Municipal, situación por la cual refiere que no se inconforma por la conciliación de nómina y los recibos de nómina. </w:t>
      </w:r>
    </w:p>
    <w:p w14:paraId="70F537DF"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b/>
          <w:i/>
        </w:rPr>
        <w:t xml:space="preserve">20240215125105836_0002.pdf: </w:t>
      </w:r>
      <w:r>
        <w:rPr>
          <w:rFonts w:ascii="Palatino Linotype" w:eastAsia="Palatino Linotype" w:hAnsi="Palatino Linotype" w:cs="Palatino Linotype"/>
          <w:i/>
        </w:rPr>
        <w:t xml:space="preserve">oficio del Titular de la Unidad de Transparencia, mediante el cual le solicita a la Dirección de Administración que fundamente y motive las razones por las cuales la solicitud de información fue atendida. </w:t>
      </w:r>
    </w:p>
    <w:p w14:paraId="0A6D4D91"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b/>
          <w:i/>
        </w:rPr>
        <w:t xml:space="preserve">20240215125015454_0003.pdf: </w:t>
      </w:r>
      <w:r>
        <w:rPr>
          <w:rFonts w:ascii="Palatino Linotype" w:eastAsia="Palatino Linotype" w:hAnsi="Palatino Linotype" w:cs="Palatino Linotype"/>
          <w:i/>
        </w:rPr>
        <w:t>oficio del Titular de la Unidad de Transparencia, mediante el cual le solicita a la Tesorería Municipal que fundamente y motive las razones por las cuales la solicitud de información fue atendida.</w:t>
      </w:r>
    </w:p>
    <w:p w14:paraId="1E45685A" w14:textId="77777777" w:rsidR="00715B3A" w:rsidRDefault="002F487C">
      <w:pPr>
        <w:ind w:left="566" w:right="-220"/>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RR-408-409 (2).zip</w:t>
      </w:r>
    </w:p>
    <w:p w14:paraId="67C112C5"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b/>
          <w:i/>
        </w:rPr>
        <w:t>RR-408-409\QNA 19\01 AFIRME QNA 19.pdf:</w:t>
      </w:r>
      <w:r>
        <w:rPr>
          <w:rFonts w:ascii="Palatino Linotype" w:eastAsia="Palatino Linotype" w:hAnsi="Palatino Linotype" w:cs="Palatino Linotype"/>
          <w:i/>
        </w:rPr>
        <w:t xml:space="preserve"> Dispersión de la quincena diecinueve de Banco AFIRME de fecha trece de octubre de dos mil veintitrés.</w:t>
      </w:r>
    </w:p>
    <w:p w14:paraId="74F9F3BE" w14:textId="77777777" w:rsidR="00715B3A" w:rsidRDefault="002F487C">
      <w:pPr>
        <w:ind w:left="566" w:right="-220"/>
        <w:jc w:val="both"/>
        <w:rPr>
          <w:rFonts w:ascii="Palatino Linotype" w:eastAsia="Palatino Linotype" w:hAnsi="Palatino Linotype" w:cs="Palatino Linotype"/>
          <w:b/>
          <w:i/>
        </w:rPr>
      </w:pPr>
      <w:r>
        <w:rPr>
          <w:rFonts w:ascii="Palatino Linotype" w:eastAsia="Palatino Linotype" w:hAnsi="Palatino Linotype" w:cs="Palatino Linotype"/>
          <w:b/>
          <w:i/>
        </w:rPr>
        <w:t>RR-408-409\QNA 19\02 COMPLEMENTO NOMINA BANAMEX QNA 19.pdf</w:t>
      </w:r>
      <w:r>
        <w:rPr>
          <w:rFonts w:ascii="Palatino Linotype" w:eastAsia="Palatino Linotype" w:hAnsi="Palatino Linotype" w:cs="Palatino Linotype"/>
          <w:i/>
        </w:rPr>
        <w:t>: Dispersión de complemento de nómina BANAMEX quincena diecinueve, de fecha diecisiete de octubre de dos mil veintitrés.</w:t>
      </w:r>
    </w:p>
    <w:p w14:paraId="3408BA9B"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b/>
          <w:i/>
        </w:rPr>
        <w:t>RR-408-409\QNA 19\02 NOMINA BANAMEX Q 19 BANAMEX.pdf:</w:t>
      </w:r>
      <w:r>
        <w:rPr>
          <w:rFonts w:ascii="Palatino Linotype" w:eastAsia="Palatino Linotype" w:hAnsi="Palatino Linotype" w:cs="Palatino Linotype"/>
          <w:i/>
        </w:rPr>
        <w:t xml:space="preserve"> </w:t>
      </w:r>
    </w:p>
    <w:p w14:paraId="4DEBAC71" w14:textId="77777777" w:rsidR="00715B3A" w:rsidRDefault="002F487C">
      <w:pPr>
        <w:ind w:left="566" w:right="-220"/>
        <w:jc w:val="both"/>
        <w:rPr>
          <w:rFonts w:ascii="Palatino Linotype" w:eastAsia="Palatino Linotype" w:hAnsi="Palatino Linotype" w:cs="Palatino Linotype"/>
          <w:b/>
          <w:i/>
        </w:rPr>
      </w:pPr>
      <w:r>
        <w:rPr>
          <w:rFonts w:ascii="Palatino Linotype" w:eastAsia="Palatino Linotype" w:hAnsi="Palatino Linotype" w:cs="Palatino Linotype"/>
          <w:i/>
        </w:rPr>
        <w:t>Transferencia del banco CITIBANAMEX de la quincena diecinueve de fecha trece de octubre de dos mil veintitrés.</w:t>
      </w:r>
    </w:p>
    <w:p w14:paraId="6543469C" w14:textId="77777777" w:rsidR="00715B3A" w:rsidRDefault="002F487C">
      <w:pPr>
        <w:ind w:left="566" w:right="-22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RR-408-409\QNA 19\02 NOMINA BANAMEX Q 19.pdf: </w:t>
      </w:r>
    </w:p>
    <w:p w14:paraId="60F8CD86"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i/>
        </w:rPr>
        <w:t xml:space="preserve">Transferencia del </w:t>
      </w:r>
      <w:proofErr w:type="gramStart"/>
      <w:r>
        <w:rPr>
          <w:rFonts w:ascii="Palatino Linotype" w:eastAsia="Palatino Linotype" w:hAnsi="Palatino Linotype" w:cs="Palatino Linotype"/>
          <w:i/>
        </w:rPr>
        <w:t>banco  BANAMEX</w:t>
      </w:r>
      <w:proofErr w:type="gramEnd"/>
      <w:r>
        <w:rPr>
          <w:rFonts w:ascii="Palatino Linotype" w:eastAsia="Palatino Linotype" w:hAnsi="Palatino Linotype" w:cs="Palatino Linotype"/>
          <w:i/>
        </w:rPr>
        <w:t xml:space="preserve"> de la quincena diecinueve, de fecha trece de octubre de dos mil veintitrés.</w:t>
      </w:r>
    </w:p>
    <w:p w14:paraId="43F17B60"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b/>
          <w:i/>
        </w:rPr>
        <w:t>RR-408-409\QNA 19\02 RECHAZO NOMINA BANAMEX.pdf:</w:t>
      </w:r>
      <w:r>
        <w:rPr>
          <w:rFonts w:ascii="Palatino Linotype" w:eastAsia="Palatino Linotype" w:hAnsi="Palatino Linotype" w:cs="Palatino Linotype"/>
          <w:i/>
        </w:rPr>
        <w:t xml:space="preserve"> </w:t>
      </w:r>
    </w:p>
    <w:p w14:paraId="2216E8B8"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i/>
        </w:rPr>
        <w:t>Rechazo de nómina del banco BANAMEX, de fecha dieciséis de octubre de dos mil veintitrés.</w:t>
      </w:r>
    </w:p>
    <w:p w14:paraId="63EAA253"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b/>
          <w:i/>
        </w:rPr>
        <w:t>RR-408-409\QNA 19\03 BANORTE QNA 19 COMPL.pdf:</w:t>
      </w:r>
      <w:r>
        <w:rPr>
          <w:rFonts w:ascii="Palatino Linotype" w:eastAsia="Palatino Linotype" w:hAnsi="Palatino Linotype" w:cs="Palatino Linotype"/>
          <w:i/>
        </w:rPr>
        <w:t xml:space="preserve"> </w:t>
      </w:r>
    </w:p>
    <w:p w14:paraId="3B622EEE"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i/>
        </w:rPr>
        <w:t xml:space="preserve">Pago de Nómina </w:t>
      </w:r>
      <w:proofErr w:type="gramStart"/>
      <w:r>
        <w:rPr>
          <w:rFonts w:ascii="Palatino Linotype" w:eastAsia="Palatino Linotype" w:hAnsi="Palatino Linotype" w:cs="Palatino Linotype"/>
          <w:i/>
        </w:rPr>
        <w:t>del  banco</w:t>
      </w:r>
      <w:proofErr w:type="gramEnd"/>
      <w:r>
        <w:rPr>
          <w:rFonts w:ascii="Palatino Linotype" w:eastAsia="Palatino Linotype" w:hAnsi="Palatino Linotype" w:cs="Palatino Linotype"/>
          <w:i/>
        </w:rPr>
        <w:t xml:space="preserve"> BANORTE quincena diecinueve, de fecha trece de octubre de dos mil veintitrés.</w:t>
      </w:r>
    </w:p>
    <w:p w14:paraId="40AF4610" w14:textId="77777777" w:rsidR="00715B3A" w:rsidRDefault="00715B3A">
      <w:pPr>
        <w:ind w:left="566" w:right="-220"/>
        <w:jc w:val="both"/>
        <w:rPr>
          <w:rFonts w:ascii="Palatino Linotype" w:eastAsia="Palatino Linotype" w:hAnsi="Palatino Linotype" w:cs="Palatino Linotype"/>
          <w:i/>
        </w:rPr>
      </w:pPr>
    </w:p>
    <w:p w14:paraId="1F1FB958"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b/>
          <w:i/>
        </w:rPr>
        <w:t>RR-408-409\QNA 19\03 BANORTE QNA 19.pdf:</w:t>
      </w:r>
      <w:r>
        <w:rPr>
          <w:rFonts w:ascii="Palatino Linotype" w:eastAsia="Palatino Linotype" w:hAnsi="Palatino Linotype" w:cs="Palatino Linotype"/>
          <w:i/>
        </w:rPr>
        <w:t xml:space="preserve"> </w:t>
      </w:r>
    </w:p>
    <w:p w14:paraId="1F161D2B"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i/>
        </w:rPr>
        <w:t xml:space="preserve">Pagó de nómina complementaria del banco BANORTE de la quincena diecinueve, de fecha dieciocho de octubre de dos mil veintitrés. </w:t>
      </w:r>
    </w:p>
    <w:p w14:paraId="2E69B6F1"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b/>
          <w:i/>
        </w:rPr>
        <w:t>RR-408-409\QNA 19\04 COMPLEMENTO NOMINA BBVA Q19.pdf:</w:t>
      </w:r>
      <w:r>
        <w:rPr>
          <w:rFonts w:ascii="Palatino Linotype" w:eastAsia="Palatino Linotype" w:hAnsi="Palatino Linotype" w:cs="Palatino Linotype"/>
          <w:i/>
        </w:rPr>
        <w:t xml:space="preserve"> </w:t>
      </w:r>
    </w:p>
    <w:p w14:paraId="289BF77F"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i/>
        </w:rPr>
        <w:t xml:space="preserve">Dispersión complementaria de nómina del banco BBVA quincena diecinueve, de fecha diecisiete de octubre de dos mil veintitrés. </w:t>
      </w:r>
    </w:p>
    <w:p w14:paraId="0272829B"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b/>
          <w:i/>
        </w:rPr>
        <w:t>RR-408-409\QNA 19\04 NOMINA BBVA Q 19.pdf</w:t>
      </w:r>
      <w:r>
        <w:rPr>
          <w:rFonts w:ascii="Palatino Linotype" w:eastAsia="Palatino Linotype" w:hAnsi="Palatino Linotype" w:cs="Palatino Linotype"/>
          <w:i/>
        </w:rPr>
        <w:t xml:space="preserve">: </w:t>
      </w:r>
    </w:p>
    <w:p w14:paraId="7E092203" w14:textId="77777777" w:rsidR="00715B3A" w:rsidRDefault="002F487C">
      <w:pPr>
        <w:ind w:left="566" w:right="-220"/>
        <w:jc w:val="both"/>
        <w:rPr>
          <w:rFonts w:ascii="Palatino Linotype" w:eastAsia="Palatino Linotype" w:hAnsi="Palatino Linotype" w:cs="Palatino Linotype"/>
          <w:b/>
          <w:i/>
        </w:rPr>
      </w:pPr>
      <w:r>
        <w:rPr>
          <w:rFonts w:ascii="Palatino Linotype" w:eastAsia="Palatino Linotype" w:hAnsi="Palatino Linotype" w:cs="Palatino Linotype"/>
          <w:i/>
        </w:rPr>
        <w:t>Dispersión de nómina del banco BBVA de la quincena diecinueve, de fecha trece de octubre de dos mil veintitrés.</w:t>
      </w:r>
    </w:p>
    <w:p w14:paraId="3F6AC5A7"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b/>
          <w:i/>
        </w:rPr>
        <w:t>RR-408-409\QNA 19\05 SANTANDER QNA 19 COMP.pdf:</w:t>
      </w:r>
      <w:r>
        <w:rPr>
          <w:rFonts w:ascii="Palatino Linotype" w:eastAsia="Palatino Linotype" w:hAnsi="Palatino Linotype" w:cs="Palatino Linotype"/>
          <w:i/>
        </w:rPr>
        <w:t xml:space="preserve"> </w:t>
      </w:r>
    </w:p>
    <w:p w14:paraId="7E2D6C1C"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i/>
        </w:rPr>
        <w:t>Hoja de alta por pago del banco SANTANDER del diecisiete de octubre de dos mil veintitrés.</w:t>
      </w:r>
    </w:p>
    <w:p w14:paraId="2F996336"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b/>
          <w:i/>
        </w:rPr>
        <w:t>RR-408-409\QNA 19\05 SANTANDER QNA 19.pdf:</w:t>
      </w:r>
    </w:p>
    <w:p w14:paraId="2A7FDDF8" w14:textId="77777777" w:rsidR="00715B3A" w:rsidRDefault="002F487C">
      <w:pPr>
        <w:ind w:left="566" w:right="-220"/>
        <w:jc w:val="both"/>
        <w:rPr>
          <w:rFonts w:ascii="Palatino Linotype" w:eastAsia="Palatino Linotype" w:hAnsi="Palatino Linotype" w:cs="Palatino Linotype"/>
          <w:i/>
        </w:rPr>
      </w:pPr>
      <w:r>
        <w:rPr>
          <w:rFonts w:ascii="Palatino Linotype" w:eastAsia="Palatino Linotype" w:hAnsi="Palatino Linotype" w:cs="Palatino Linotype"/>
          <w:i/>
        </w:rPr>
        <w:t>Hoja de alta por pago del banco SANTANDER del diecisiete de octubre de dos mil veintitrés.</w:t>
      </w:r>
    </w:p>
    <w:p w14:paraId="06733449" w14:textId="77777777" w:rsidR="00715B3A" w:rsidRDefault="00715B3A">
      <w:pPr>
        <w:ind w:right="-787"/>
        <w:jc w:val="both"/>
        <w:rPr>
          <w:rFonts w:ascii="Palatino Linotype" w:eastAsia="Palatino Linotype" w:hAnsi="Palatino Linotype" w:cs="Palatino Linotype"/>
        </w:rPr>
      </w:pPr>
    </w:p>
    <w:p w14:paraId="0CA9890C" w14:textId="77777777" w:rsidR="00715B3A" w:rsidRDefault="002F487C">
      <w:pPr>
        <w:numPr>
          <w:ilvl w:val="0"/>
          <w:numId w:val="1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 xml:space="preserve">Por cuanto hace al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se debe de precisar que fue omiso adjuntar información que a su derecho conviniera y asistiera, tal y como se observa de los expedientes electrónicos. </w:t>
      </w:r>
    </w:p>
    <w:p w14:paraId="5EFB517F"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6A72618E"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El veinticuatro de septiembre de dos mil veinticuatro, la Comisionada Ponente notificó el acuerdo de ampliación de plazo para emitir resolución.</w:t>
      </w:r>
    </w:p>
    <w:p w14:paraId="41157E6B"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709FB60B"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14:paraId="3A17C8C5"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3D7E0250"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62B7B40"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6D2404F6"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DF52D9" w14:textId="77777777" w:rsidR="00715B3A" w:rsidRDefault="00715B3A">
      <w:pPr>
        <w:pBdr>
          <w:top w:val="nil"/>
          <w:left w:val="nil"/>
          <w:bottom w:val="nil"/>
          <w:right w:val="nil"/>
          <w:between w:val="nil"/>
        </w:pBdr>
        <w:ind w:left="720" w:right="-787"/>
        <w:rPr>
          <w:rFonts w:ascii="Palatino Linotype" w:eastAsia="Palatino Linotype" w:hAnsi="Palatino Linotype" w:cs="Palatino Linotype"/>
          <w:color w:val="000000"/>
        </w:rPr>
      </w:pPr>
    </w:p>
    <w:p w14:paraId="2779FD84"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DFF6AA7"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1AAB36E7"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14:paraId="3565F22B" w14:textId="77777777" w:rsidR="00715B3A" w:rsidRDefault="002F487C">
      <w:pPr>
        <w:pBdr>
          <w:top w:val="nil"/>
          <w:left w:val="nil"/>
          <w:bottom w:val="nil"/>
          <w:right w:val="nil"/>
          <w:between w:val="nil"/>
        </w:pBdr>
        <w:spacing w:line="360" w:lineRule="auto"/>
        <w:ind w:left="284" w:right="-2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 </w:t>
      </w:r>
      <w:r>
        <w:rPr>
          <w:rFonts w:ascii="Palatino Linotype" w:eastAsia="Palatino Linotype" w:hAnsi="Palatino Linotype" w:cs="Palatino Linotype"/>
          <w:sz w:val="22"/>
          <w:szCs w:val="22"/>
        </w:rPr>
        <w:t>C</w:t>
      </w:r>
      <w:r>
        <w:rPr>
          <w:rFonts w:ascii="Palatino Linotype" w:eastAsia="Palatino Linotype" w:hAnsi="Palatino Linotype" w:cs="Palatino Linotype"/>
          <w:color w:val="000000"/>
          <w:sz w:val="22"/>
          <w:szCs w:val="22"/>
        </w:rPr>
        <w:t>omplejidad del asunto: La complejidad de la prueba, la pluralidad de sujetos procesales, el tiempo transcurrido, las características y contexto del recurso.</w:t>
      </w:r>
    </w:p>
    <w:p w14:paraId="23082295" w14:textId="77777777" w:rsidR="00715B3A" w:rsidRDefault="002F487C">
      <w:pPr>
        <w:pBdr>
          <w:top w:val="nil"/>
          <w:left w:val="nil"/>
          <w:bottom w:val="nil"/>
          <w:right w:val="nil"/>
          <w:between w:val="nil"/>
        </w:pBdr>
        <w:spacing w:line="360" w:lineRule="auto"/>
        <w:ind w:left="284" w:right="-2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b)  Actividad Procesal del interesado: Acciones u omisiones del interesado.</w:t>
      </w:r>
    </w:p>
    <w:p w14:paraId="0A236222" w14:textId="77777777" w:rsidR="00715B3A" w:rsidRDefault="002F487C">
      <w:pPr>
        <w:pBdr>
          <w:top w:val="nil"/>
          <w:left w:val="nil"/>
          <w:bottom w:val="nil"/>
          <w:right w:val="nil"/>
          <w:between w:val="nil"/>
        </w:pBdr>
        <w:spacing w:line="360" w:lineRule="auto"/>
        <w:ind w:left="284" w:right="-2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0A786814" w14:textId="77777777" w:rsidR="00715B3A" w:rsidRDefault="002F487C">
      <w:pPr>
        <w:pBdr>
          <w:top w:val="nil"/>
          <w:left w:val="nil"/>
          <w:bottom w:val="nil"/>
          <w:right w:val="nil"/>
          <w:between w:val="nil"/>
        </w:pBdr>
        <w:spacing w:line="360" w:lineRule="auto"/>
        <w:ind w:left="284" w:right="-2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14:paraId="483D83CF"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7AF66D0B"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AC23ED3"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del rubro “TÉRMINOS PROCESALES. </w:t>
      </w:r>
      <w:r>
        <w:rPr>
          <w:rFonts w:ascii="Palatino Linotype" w:eastAsia="Palatino Linotype" w:hAnsi="Palatino Linotype" w:cs="Palatino Linotype"/>
          <w:color w:val="000000"/>
        </w:rPr>
        <w:lastRenderedPageBreak/>
        <w:t>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68F0F9FE" w14:textId="77777777" w:rsidR="00715B3A" w:rsidRDefault="00715B3A">
      <w:pPr>
        <w:pBdr>
          <w:top w:val="nil"/>
          <w:left w:val="nil"/>
          <w:bottom w:val="nil"/>
          <w:right w:val="nil"/>
          <w:between w:val="nil"/>
        </w:pBdr>
        <w:ind w:left="720" w:right="-787"/>
        <w:rPr>
          <w:rFonts w:ascii="Palatino Linotype" w:eastAsia="Palatino Linotype" w:hAnsi="Palatino Linotype" w:cs="Palatino Linotype"/>
          <w:color w:val="000000"/>
        </w:rPr>
      </w:pPr>
    </w:p>
    <w:p w14:paraId="7FB38134"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470925E"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DABD7F9"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14892B4D" w14:textId="77777777" w:rsidR="00715B3A" w:rsidRDefault="00715B3A">
      <w:pPr>
        <w:pBdr>
          <w:top w:val="nil"/>
          <w:left w:val="nil"/>
          <w:bottom w:val="nil"/>
          <w:right w:val="nil"/>
          <w:between w:val="nil"/>
        </w:pBdr>
        <w:ind w:left="708" w:right="-787"/>
        <w:rPr>
          <w:color w:val="000000"/>
        </w:rPr>
      </w:pPr>
    </w:p>
    <w:p w14:paraId="6D4ED328" w14:textId="77777777" w:rsidR="00715B3A" w:rsidRDefault="002F487C">
      <w:pPr>
        <w:pBdr>
          <w:top w:val="nil"/>
          <w:left w:val="nil"/>
          <w:bottom w:val="nil"/>
          <w:right w:val="nil"/>
          <w:between w:val="nil"/>
        </w:pBdr>
        <w:spacing w:line="360" w:lineRule="auto"/>
        <w:ind w:left="567" w:right="-7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nario Judicial de la Federación y su gaceta, con el registro digital 2002351.</w:t>
      </w:r>
    </w:p>
    <w:p w14:paraId="0407897D" w14:textId="77777777" w:rsidR="00715B3A" w:rsidRDefault="002F487C">
      <w:pPr>
        <w:pBdr>
          <w:top w:val="nil"/>
          <w:left w:val="nil"/>
          <w:bottom w:val="nil"/>
          <w:right w:val="nil"/>
          <w:between w:val="nil"/>
        </w:pBdr>
        <w:spacing w:line="360" w:lineRule="auto"/>
        <w:ind w:left="567" w:right="-7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“PLAZO RAZONABLE PARA RESOLVER. CONCEPTO Y ELEMENTOS QUE LO INTEGRAN A LA LUZ DEL DERECHO INTERNACIONAL DE LOS DERECHOS </w:t>
      </w:r>
      <w:r>
        <w:rPr>
          <w:rFonts w:ascii="Palatino Linotype" w:eastAsia="Palatino Linotype" w:hAnsi="Palatino Linotype" w:cs="Palatino Linotype"/>
          <w:color w:val="000000"/>
          <w:sz w:val="22"/>
          <w:szCs w:val="22"/>
        </w:rPr>
        <w:lastRenderedPageBreak/>
        <w:t>HUMANOS.”, visible en el Sem</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nario Judicial de la Federación y su gaceta, con el registro digital 2002350.</w:t>
      </w:r>
    </w:p>
    <w:p w14:paraId="30323FE0" w14:textId="77777777" w:rsidR="00715B3A" w:rsidRDefault="00715B3A">
      <w:pPr>
        <w:pBdr>
          <w:top w:val="nil"/>
          <w:left w:val="nil"/>
          <w:bottom w:val="nil"/>
          <w:right w:val="nil"/>
          <w:between w:val="nil"/>
        </w:pBdr>
        <w:spacing w:line="360" w:lineRule="auto"/>
        <w:ind w:left="708" w:right="-787"/>
        <w:jc w:val="both"/>
        <w:rPr>
          <w:rFonts w:ascii="Palatino Linotype" w:eastAsia="Palatino Linotype" w:hAnsi="Palatino Linotype" w:cs="Palatino Linotype"/>
          <w:color w:val="000000"/>
        </w:rPr>
      </w:pPr>
    </w:p>
    <w:p w14:paraId="12C94873"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4EED0F9C"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777CB779" w14:textId="77777777" w:rsidR="00715B3A" w:rsidRDefault="00715B3A">
      <w:pPr>
        <w:pBdr>
          <w:top w:val="nil"/>
          <w:left w:val="nil"/>
          <w:bottom w:val="nil"/>
          <w:right w:val="nil"/>
          <w:between w:val="nil"/>
        </w:pBdr>
        <w:ind w:left="708" w:right="-787"/>
        <w:rPr>
          <w:rFonts w:ascii="Palatino Linotype" w:eastAsia="Palatino Linotype" w:hAnsi="Palatino Linotype" w:cs="Palatino Linotype"/>
          <w:color w:val="000000"/>
        </w:rPr>
      </w:pPr>
    </w:p>
    <w:p w14:paraId="06979B11" w14:textId="77777777" w:rsidR="00715B3A" w:rsidRDefault="002F487C">
      <w:pPr>
        <w:numPr>
          <w:ilvl w:val="0"/>
          <w:numId w:val="1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7" w:name="_heading=h.1t3h5sf" w:colFirst="0" w:colLast="0"/>
      <w:bookmarkEnd w:id="7"/>
      <w:r>
        <w:rPr>
          <w:rFonts w:ascii="Palatino Linotype" w:eastAsia="Palatino Linotype" w:hAnsi="Palatino Linotype" w:cs="Palatino Linotype"/>
          <w:color w:val="000000"/>
        </w:rPr>
        <w:t>Finalmente, la Comisionada Ponente mediante acuerdo de fecha</w:t>
      </w:r>
      <w:r>
        <w:rPr>
          <w:rFonts w:ascii="Palatino Linotype" w:eastAsia="Palatino Linotype" w:hAnsi="Palatino Linotype" w:cs="Palatino Linotype"/>
          <w:b/>
          <w:color w:val="000000"/>
        </w:rPr>
        <w:t xml:space="preserve"> treinta de septiembre de dos mil veinticuatro</w:t>
      </w:r>
      <w:r>
        <w:rPr>
          <w:rFonts w:ascii="Palatino Linotype" w:eastAsia="Palatino Linotype" w:hAnsi="Palatino Linotype" w:cs="Palatino Linotype"/>
          <w:color w:val="000000"/>
        </w:rPr>
        <w:t>, decretó el cierre de instrucción de los expedientes, por lo que no habiendo más que hacer constar, y -------------------------------------------------------</w:t>
      </w:r>
    </w:p>
    <w:p w14:paraId="01248344" w14:textId="77777777" w:rsidR="00715B3A" w:rsidRDefault="00715B3A">
      <w:pPr>
        <w:spacing w:line="360" w:lineRule="auto"/>
        <w:ind w:right="-787"/>
        <w:rPr>
          <w:rFonts w:ascii="Palatino Linotype" w:eastAsia="Palatino Linotype" w:hAnsi="Palatino Linotype" w:cs="Palatino Linotype"/>
          <w:b/>
          <w:color w:val="000000"/>
        </w:rPr>
      </w:pPr>
    </w:p>
    <w:p w14:paraId="70CC81FF" w14:textId="77777777" w:rsidR="00715B3A" w:rsidRDefault="002F487C">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70A3F99D" w14:textId="77777777" w:rsidR="00715B3A" w:rsidRDefault="002F487C">
      <w:pPr>
        <w:pStyle w:val="Ttulo2"/>
        <w:spacing w:before="0" w:line="360" w:lineRule="auto"/>
        <w:ind w:right="-787"/>
        <w:rPr>
          <w:rFonts w:ascii="Palatino Linotype" w:eastAsia="Palatino Linotype" w:hAnsi="Palatino Linotype" w:cs="Palatino Linotype"/>
          <w:b/>
          <w:color w:val="000000"/>
          <w:sz w:val="24"/>
          <w:szCs w:val="24"/>
        </w:rPr>
      </w:pPr>
      <w:bookmarkStart w:id="8" w:name="_heading=h.4d34og8" w:colFirst="0" w:colLast="0"/>
      <w:bookmarkEnd w:id="8"/>
      <w:r>
        <w:rPr>
          <w:rFonts w:ascii="Palatino Linotype" w:eastAsia="Palatino Linotype" w:hAnsi="Palatino Linotype" w:cs="Palatino Linotype"/>
          <w:b/>
          <w:color w:val="000000"/>
          <w:sz w:val="24"/>
          <w:szCs w:val="24"/>
        </w:rPr>
        <w:t>PRIMERO. De la competencia</w:t>
      </w:r>
    </w:p>
    <w:p w14:paraId="5DABE9A7"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72FA1FB" w14:textId="77777777" w:rsidR="00715B3A" w:rsidRDefault="00715B3A">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rPr>
      </w:pPr>
      <w:bookmarkStart w:id="9" w:name="_heading=h.2s8eyo1" w:colFirst="0" w:colLast="0"/>
      <w:bookmarkEnd w:id="9"/>
    </w:p>
    <w:p w14:paraId="6965ECC1" w14:textId="77777777" w:rsidR="00715B3A" w:rsidRDefault="002F487C">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rPr>
      </w:pPr>
      <w:bookmarkStart w:id="10" w:name="_heading=h.17dp8vu" w:colFirst="0" w:colLast="0"/>
      <w:bookmarkEnd w:id="10"/>
      <w:r>
        <w:rPr>
          <w:rFonts w:ascii="Palatino Linotype" w:eastAsia="Palatino Linotype" w:hAnsi="Palatino Linotype" w:cs="Palatino Linotype"/>
          <w:b/>
          <w:color w:val="000000"/>
        </w:rPr>
        <w:t>SEGUNDO. De la oportunidad y procedencia.</w:t>
      </w:r>
    </w:p>
    <w:p w14:paraId="06388866"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bookmarkStart w:id="11" w:name="_heading=h.3rdcrjn" w:colFirst="0" w:colLast="0"/>
      <w:bookmarkEnd w:id="11"/>
      <w:r>
        <w:rPr>
          <w:rFonts w:ascii="Palatino Linotype" w:eastAsia="Palatino Linotype" w:hAnsi="Palatino Linotype" w:cs="Palatino Linotype"/>
          <w:color w:val="000000"/>
        </w:rPr>
        <w:t xml:space="preserve">Los medios de impugnación fueron presentados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sus respuestas el </w:t>
      </w:r>
      <w:r>
        <w:rPr>
          <w:rFonts w:ascii="Palatino Linotype" w:eastAsia="Palatino Linotype" w:hAnsi="Palatino Linotype" w:cs="Palatino Linotype"/>
          <w:b/>
          <w:color w:val="000000"/>
        </w:rPr>
        <w:t>veintinueve de enero de dos mil veinticuatro</w:t>
      </w:r>
      <w:r>
        <w:rPr>
          <w:rFonts w:ascii="Palatino Linotype" w:eastAsia="Palatino Linotype" w:hAnsi="Palatino Linotype" w:cs="Palatino Linotype"/>
          <w:color w:val="000000"/>
        </w:rPr>
        <w:t xml:space="preserve">, de tal forma que el plazo para interponer el recurso de revisión transcurrió del día </w:t>
      </w:r>
      <w:r>
        <w:rPr>
          <w:rFonts w:ascii="Palatino Linotype" w:eastAsia="Palatino Linotype" w:hAnsi="Palatino Linotype" w:cs="Palatino Linotype"/>
          <w:b/>
          <w:color w:val="000000"/>
        </w:rPr>
        <w:t>treinta de enero al veinte de febrero de dos mil veinticuatro</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presentó sus inconformidades el día </w:t>
      </w:r>
      <w:r>
        <w:rPr>
          <w:rFonts w:ascii="Palatino Linotype" w:eastAsia="Palatino Linotype" w:hAnsi="Palatino Linotype" w:cs="Palatino Linotype"/>
          <w:b/>
          <w:color w:val="000000"/>
        </w:rPr>
        <w:t>treinta y uno de enero de dos mil veinticuatro</w:t>
      </w:r>
      <w:r>
        <w:rPr>
          <w:rFonts w:ascii="Palatino Linotype" w:eastAsia="Palatino Linotype" w:hAnsi="Palatino Linotype" w:cs="Palatino Linotype"/>
          <w:color w:val="000000"/>
        </w:rPr>
        <w:t>; es decir dentro del lapso legalmente establecido para tal efecto.</w:t>
      </w:r>
    </w:p>
    <w:p w14:paraId="41D57431"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34D74C0D"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28D56CE" w14:textId="77777777" w:rsidR="00715B3A" w:rsidRDefault="002F487C">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Las solicitudes anónimas</w:t>
      </w:r>
      <w:r>
        <w:rPr>
          <w:rFonts w:ascii="Palatino Linotype" w:eastAsia="Palatino Linotype" w:hAnsi="Palatino Linotype" w:cs="Palatino Linotype"/>
          <w:i/>
          <w:color w:val="000000"/>
          <w:sz w:val="22"/>
          <w:szCs w:val="22"/>
        </w:rPr>
        <w:t xml:space="preserve">, con nombre incompleto o seudónimo </w:t>
      </w:r>
      <w:r>
        <w:rPr>
          <w:rFonts w:ascii="Palatino Linotype" w:eastAsia="Palatino Linotype" w:hAnsi="Palatino Linotype" w:cs="Palatino Linotype"/>
          <w:b/>
          <w:i/>
          <w:color w:val="000000"/>
          <w:sz w:val="22"/>
          <w:szCs w:val="22"/>
        </w:rPr>
        <w:t>serán procedentes para su trámite por parte del sujeto obligado ante quien se presente</w:t>
      </w:r>
      <w:r>
        <w:rPr>
          <w:rFonts w:ascii="Palatino Linotype" w:eastAsia="Palatino Linotype" w:hAnsi="Palatino Linotype" w:cs="Palatino Linotype"/>
          <w:i/>
          <w:color w:val="000000"/>
          <w:sz w:val="22"/>
          <w:szCs w:val="22"/>
        </w:rPr>
        <w:t>. No podrá requerirse información adicional con motivo del nombre proporcionado por el solicitante.”</w:t>
      </w:r>
    </w:p>
    <w:p w14:paraId="4347ECA2" w14:textId="77777777" w:rsidR="00715B3A" w:rsidRDefault="00715B3A">
      <w:pPr>
        <w:pBdr>
          <w:top w:val="nil"/>
          <w:left w:val="nil"/>
          <w:bottom w:val="nil"/>
          <w:right w:val="nil"/>
          <w:between w:val="nil"/>
        </w:pBdr>
        <w:ind w:right="-787"/>
        <w:rPr>
          <w:rFonts w:ascii="Palatino Linotype" w:eastAsia="Palatino Linotype" w:hAnsi="Palatino Linotype" w:cs="Palatino Linotype"/>
          <w:i/>
          <w:color w:val="000000"/>
        </w:rPr>
      </w:pPr>
    </w:p>
    <w:p w14:paraId="394DEDDA"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7DAA865B"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6.-</w:t>
      </w:r>
      <w:r>
        <w:rPr>
          <w:rFonts w:ascii="Palatino Linotype" w:eastAsia="Palatino Linotype" w:hAnsi="Palatino Linotype" w:cs="Palatino Linotype"/>
          <w:i/>
          <w:color w:val="000000"/>
          <w:sz w:val="22"/>
          <w:szCs w:val="22"/>
        </w:rPr>
        <w:t xml:space="preserve"> La manifestación de las ideas no será objeto de ninguna inquisición judicial o administrativa, sino en el caso de que ataque a la moral, la vida privada o los derechos de </w:t>
      </w:r>
      <w:r>
        <w:rPr>
          <w:rFonts w:ascii="Palatino Linotype" w:eastAsia="Palatino Linotype" w:hAnsi="Palatino Linotype" w:cs="Palatino Linotype"/>
          <w:i/>
          <w:color w:val="000000"/>
          <w:sz w:val="22"/>
          <w:szCs w:val="22"/>
        </w:rPr>
        <w:lastRenderedPageBreak/>
        <w:t>terceros, provoque algún delito, o perturbe el orden público; el derecho de réplica será ejercido en los términos dispuestos por la ley. El derecho a la información será garantizado por el Estado.</w:t>
      </w:r>
    </w:p>
    <w:p w14:paraId="11F139D0" w14:textId="77777777" w:rsidR="00715B3A" w:rsidRDefault="002F487C">
      <w:pPr>
        <w:pBdr>
          <w:top w:val="nil"/>
          <w:left w:val="nil"/>
          <w:bottom w:val="nil"/>
          <w:right w:val="nil"/>
          <w:between w:val="nil"/>
        </w:pBdr>
        <w:spacing w:after="120"/>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Para efectos de lo dispuesto en el presente artículo se observará lo siguiente:</w:t>
      </w:r>
    </w:p>
    <w:p w14:paraId="6E4391A3"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 Para el ejercicio del derecho de acceso a la información, la Federación, los Estados y el Distrito Federal, en el ámbito de sus respectivas competencias, se regirán por los siguientes principios y bases:</w:t>
      </w:r>
    </w:p>
    <w:p w14:paraId="31371972"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roofErr w:type="gramStart"/>
      <w:r>
        <w:rPr>
          <w:rFonts w:ascii="Palatino Linotype" w:eastAsia="Palatino Linotype" w:hAnsi="Palatino Linotype" w:cs="Palatino Linotype"/>
          <w:i/>
          <w:color w:val="000000"/>
          <w:sz w:val="22"/>
          <w:szCs w:val="22"/>
        </w:rPr>
        <w:t>.”(</w:t>
      </w:r>
      <w:proofErr w:type="gramEnd"/>
      <w:r>
        <w:rPr>
          <w:rFonts w:ascii="Palatino Linotype" w:eastAsia="Palatino Linotype" w:hAnsi="Palatino Linotype" w:cs="Palatino Linotype"/>
          <w:i/>
          <w:color w:val="000000"/>
          <w:sz w:val="22"/>
          <w:szCs w:val="22"/>
        </w:rPr>
        <w:t>Sic)</w:t>
      </w:r>
    </w:p>
    <w:p w14:paraId="29D7EE60" w14:textId="77777777" w:rsidR="00715B3A" w:rsidRDefault="00715B3A">
      <w:pPr>
        <w:pBdr>
          <w:top w:val="nil"/>
          <w:left w:val="nil"/>
          <w:bottom w:val="nil"/>
          <w:right w:val="nil"/>
          <w:between w:val="nil"/>
        </w:pBdr>
        <w:ind w:left="360" w:right="-787" w:hanging="76"/>
        <w:rPr>
          <w:rFonts w:ascii="Palatino Linotype" w:eastAsia="Palatino Linotype" w:hAnsi="Palatino Linotype" w:cs="Palatino Linotype"/>
          <w:i/>
          <w:color w:val="000000"/>
        </w:rPr>
      </w:pPr>
    </w:p>
    <w:p w14:paraId="5BE0A90C"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54C218D6"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5.-</w:t>
      </w:r>
      <w:r>
        <w:rPr>
          <w:rFonts w:ascii="Palatino Linotype" w:eastAsia="Palatino Linotype" w:hAnsi="Palatino Linotype" w:cs="Palatino Linotype"/>
          <w:i/>
          <w:color w:val="000000"/>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353F9DAA" w14:textId="77777777" w:rsidR="00715B3A" w:rsidRDefault="002F487C">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4904704"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Toda persona en el Estado de México, tiene derecho al libre acceso a la información plural y oportuna, así como a buscar recibir y difundir información e ideas de toda índole por cualquier medio de expresión.</w:t>
      </w:r>
    </w:p>
    <w:p w14:paraId="0E015081" w14:textId="77777777" w:rsidR="00715B3A" w:rsidRDefault="002F487C">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37A157D"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derecho a la información será garantizado por el Estado. La ley establecerá las previsiones que permitan asegurar la protección, el respeto y la difusión de este derecho.</w:t>
      </w:r>
    </w:p>
    <w:p w14:paraId="5D975831" w14:textId="77777777" w:rsidR="00715B3A" w:rsidRDefault="00715B3A">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p>
    <w:p w14:paraId="121F2C57"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0F4C598"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594D36B4" w14:textId="77777777" w:rsidR="00715B3A" w:rsidRDefault="002F487C">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0238731B"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4AA492DF" w14:textId="77777777" w:rsidR="00715B3A" w:rsidRDefault="00715B3A">
      <w:pPr>
        <w:pBdr>
          <w:top w:val="nil"/>
          <w:left w:val="nil"/>
          <w:bottom w:val="nil"/>
          <w:right w:val="nil"/>
          <w:between w:val="nil"/>
        </w:pBdr>
        <w:ind w:left="360" w:right="-787" w:hanging="76"/>
        <w:rPr>
          <w:rFonts w:ascii="Palatino Linotype" w:eastAsia="Palatino Linotype" w:hAnsi="Palatino Linotype" w:cs="Palatino Linotype"/>
          <w:i/>
          <w:color w:val="000000"/>
        </w:rPr>
      </w:pPr>
    </w:p>
    <w:p w14:paraId="26A35A78"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63D275D3"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w:t>
      </w:r>
      <w:r>
        <w:rPr>
          <w:rFonts w:ascii="Palatino Linotype" w:eastAsia="Palatino Linotype" w:hAnsi="Palatino Linotype" w:cs="Palatino Linotype"/>
          <w:i/>
          <w:color w:val="000000"/>
          <w:sz w:val="22"/>
          <w:szCs w:val="22"/>
        </w:rPr>
        <w:t xml:space="preserve">. En los Estados Unidos Mexicanos todas las personas gozarán de los derechos humanos reconocidos en esta Constitución y en los </w:t>
      </w:r>
      <w:proofErr w:type="gramStart"/>
      <w:r>
        <w:rPr>
          <w:rFonts w:ascii="Palatino Linotype" w:eastAsia="Palatino Linotype" w:hAnsi="Palatino Linotype" w:cs="Palatino Linotype"/>
          <w:i/>
          <w:color w:val="000000"/>
          <w:sz w:val="22"/>
          <w:szCs w:val="22"/>
        </w:rPr>
        <w:t>tratados  internacionales</w:t>
      </w:r>
      <w:proofErr w:type="gramEnd"/>
      <w:r>
        <w:rPr>
          <w:rFonts w:ascii="Palatino Linotype" w:eastAsia="Palatino Linotype" w:hAnsi="Palatino Linotype" w:cs="Palatino Linotype"/>
          <w:i/>
          <w:color w:val="000000"/>
          <w:sz w:val="22"/>
          <w:szCs w:val="22"/>
        </w:rPr>
        <w:t xml:space="preserve"> de los que el Estado Mexicano sea parte, así como de las garantías para su protección, cuyo ejercicio no podrá restringirse ni suspenderse, salvo en los casos y bajo las condiciones que esta Constitución establece.</w:t>
      </w:r>
    </w:p>
    <w:p w14:paraId="1BFEFD64"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204BA1B9"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roofErr w:type="gramStart"/>
      <w:r>
        <w:rPr>
          <w:rFonts w:ascii="Palatino Linotype" w:eastAsia="Palatino Linotype" w:hAnsi="Palatino Linotype" w:cs="Palatino Linotype"/>
          <w:i/>
          <w:color w:val="000000"/>
          <w:sz w:val="22"/>
          <w:szCs w:val="22"/>
        </w:rPr>
        <w:t>.”(</w:t>
      </w:r>
      <w:proofErr w:type="gramEnd"/>
      <w:r>
        <w:rPr>
          <w:rFonts w:ascii="Palatino Linotype" w:eastAsia="Palatino Linotype" w:hAnsi="Palatino Linotype" w:cs="Palatino Linotype"/>
          <w:i/>
          <w:color w:val="000000"/>
          <w:sz w:val="22"/>
          <w:szCs w:val="22"/>
        </w:rPr>
        <w:t>Sic)</w:t>
      </w:r>
    </w:p>
    <w:p w14:paraId="1087F91F" w14:textId="77777777" w:rsidR="00715B3A" w:rsidRDefault="00715B3A">
      <w:pPr>
        <w:pBdr>
          <w:top w:val="nil"/>
          <w:left w:val="nil"/>
          <w:bottom w:val="nil"/>
          <w:right w:val="nil"/>
          <w:between w:val="nil"/>
        </w:pBdr>
        <w:ind w:left="360" w:right="-787" w:firstLine="66"/>
        <w:rPr>
          <w:rFonts w:ascii="Palatino Linotype" w:eastAsia="Palatino Linotype" w:hAnsi="Palatino Linotype" w:cs="Palatino Linotype"/>
          <w:i/>
          <w:color w:val="000000"/>
        </w:rPr>
      </w:pPr>
    </w:p>
    <w:p w14:paraId="4B6CD59B"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color w:val="000000"/>
        </w:rPr>
        <w:t>derecho fundamental exime a quien lo ejerce</w:t>
      </w:r>
      <w:r>
        <w:rPr>
          <w:rFonts w:ascii="Palatino Linotype" w:eastAsia="Palatino Linotype" w:hAnsi="Palatino Linotype" w:cs="Palatino Linotype"/>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94B6FC1"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4E0B0DCA"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lastRenderedPageBreak/>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191CCD96"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roofErr w:type="gramStart"/>
      <w:r>
        <w:rPr>
          <w:rFonts w:ascii="Palatino Linotype" w:eastAsia="Palatino Linotype" w:hAnsi="Palatino Linotype" w:cs="Palatino Linotype"/>
          <w:i/>
          <w:color w:val="000000"/>
          <w:sz w:val="22"/>
          <w:szCs w:val="22"/>
        </w:rPr>
        <w:t>.”(</w:t>
      </w:r>
      <w:proofErr w:type="gramEnd"/>
      <w:r>
        <w:rPr>
          <w:rFonts w:ascii="Palatino Linotype" w:eastAsia="Palatino Linotype" w:hAnsi="Palatino Linotype" w:cs="Palatino Linotype"/>
          <w:i/>
          <w:color w:val="000000"/>
          <w:sz w:val="22"/>
          <w:szCs w:val="22"/>
        </w:rPr>
        <w:t>Sic)</w:t>
      </w:r>
    </w:p>
    <w:p w14:paraId="0107A6BF" w14:textId="77777777" w:rsidR="00715B3A" w:rsidRDefault="00715B3A">
      <w:pPr>
        <w:pBdr>
          <w:top w:val="nil"/>
          <w:left w:val="nil"/>
          <w:bottom w:val="nil"/>
          <w:right w:val="nil"/>
          <w:between w:val="nil"/>
        </w:pBdr>
        <w:ind w:left="360" w:right="-787" w:hanging="76"/>
        <w:jc w:val="both"/>
        <w:rPr>
          <w:rFonts w:ascii="Palatino Linotype" w:eastAsia="Palatino Linotype" w:hAnsi="Palatino Linotype" w:cs="Palatino Linotype"/>
          <w:i/>
          <w:color w:val="000000"/>
        </w:rPr>
      </w:pPr>
    </w:p>
    <w:p w14:paraId="1D94AA28"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B507FEB" w14:textId="77777777" w:rsidR="00715B3A" w:rsidRDefault="00715B3A">
      <w:pPr>
        <w:spacing w:line="360" w:lineRule="auto"/>
        <w:ind w:right="-787"/>
        <w:rPr>
          <w:rFonts w:ascii="Palatino Linotype" w:eastAsia="Palatino Linotype" w:hAnsi="Palatino Linotype" w:cs="Palatino Linotype"/>
        </w:rPr>
      </w:pPr>
    </w:p>
    <w:p w14:paraId="0A485957" w14:textId="77777777" w:rsidR="00715B3A" w:rsidRDefault="002F487C">
      <w:pPr>
        <w:pStyle w:val="Ttulo1"/>
        <w:spacing w:before="0" w:line="360" w:lineRule="auto"/>
        <w:ind w:right="-787"/>
        <w:rPr>
          <w:rFonts w:ascii="Palatino Linotype" w:eastAsia="Palatino Linotype" w:hAnsi="Palatino Linotype" w:cs="Palatino Linotype"/>
          <w:b/>
          <w:color w:val="000000"/>
          <w:sz w:val="24"/>
          <w:szCs w:val="24"/>
        </w:rPr>
      </w:pPr>
      <w:bookmarkStart w:id="12" w:name="_heading=h.26in1rg" w:colFirst="0" w:colLast="0"/>
      <w:bookmarkEnd w:id="12"/>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14:paraId="14981D53" w14:textId="77777777" w:rsidR="00715B3A" w:rsidRDefault="002F487C">
      <w:pPr>
        <w:numPr>
          <w:ilvl w:val="0"/>
          <w:numId w:val="1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De las constancias en el expediente al rubro indicado, se desprende que la particular solicitó la información que a continuación se desagrega:</w:t>
      </w:r>
    </w:p>
    <w:p w14:paraId="2AA9ADE7" w14:textId="77777777" w:rsidR="00715B3A" w:rsidRDefault="002F487C">
      <w:pPr>
        <w:pBdr>
          <w:top w:val="nil"/>
          <w:left w:val="nil"/>
          <w:bottom w:val="nil"/>
          <w:right w:val="nil"/>
          <w:between w:val="nil"/>
        </w:pBdr>
        <w:spacing w:line="360" w:lineRule="auto"/>
        <w:ind w:left="1134" w:right="-22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Del Ayuntamiento de Atizapán de Zaragoza donde se reflejen los movimientos de nómina de la primera quincena de octubre. </w:t>
      </w:r>
    </w:p>
    <w:p w14:paraId="4A814BF6" w14:textId="77777777" w:rsidR="00715B3A" w:rsidRDefault="002F487C">
      <w:pPr>
        <w:numPr>
          <w:ilvl w:val="0"/>
          <w:numId w:val="1"/>
        </w:numPr>
        <w:pBdr>
          <w:top w:val="nil"/>
          <w:left w:val="nil"/>
          <w:bottom w:val="nil"/>
          <w:right w:val="nil"/>
          <w:between w:val="nil"/>
        </w:pBdr>
        <w:ind w:right="-220"/>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i/>
          <w:color w:val="000000"/>
          <w:sz w:val="22"/>
          <w:szCs w:val="22"/>
        </w:rPr>
        <w:t xml:space="preserve"> la nómina </w:t>
      </w:r>
    </w:p>
    <w:p w14:paraId="5D4BFC6C" w14:textId="77777777" w:rsidR="00715B3A" w:rsidRDefault="002F487C">
      <w:pPr>
        <w:numPr>
          <w:ilvl w:val="0"/>
          <w:numId w:val="1"/>
        </w:numPr>
        <w:pBdr>
          <w:top w:val="nil"/>
          <w:left w:val="nil"/>
          <w:bottom w:val="nil"/>
          <w:right w:val="nil"/>
          <w:between w:val="nil"/>
        </w:pBdr>
        <w:ind w:right="-220"/>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i/>
          <w:color w:val="000000"/>
          <w:sz w:val="22"/>
          <w:szCs w:val="22"/>
        </w:rPr>
        <w:t>conciliación de nómina</w:t>
      </w:r>
    </w:p>
    <w:p w14:paraId="471FB631" w14:textId="77777777" w:rsidR="00715B3A" w:rsidRDefault="002F487C">
      <w:pPr>
        <w:numPr>
          <w:ilvl w:val="0"/>
          <w:numId w:val="1"/>
        </w:numPr>
        <w:pBdr>
          <w:top w:val="nil"/>
          <w:left w:val="nil"/>
          <w:bottom w:val="nil"/>
          <w:right w:val="nil"/>
          <w:between w:val="nil"/>
        </w:pBdr>
        <w:ind w:right="-220"/>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i/>
          <w:color w:val="000000"/>
          <w:sz w:val="22"/>
          <w:szCs w:val="22"/>
        </w:rPr>
        <w:t xml:space="preserve">dispersión de nómina y </w:t>
      </w:r>
    </w:p>
    <w:p w14:paraId="269D526A" w14:textId="77777777" w:rsidR="00715B3A" w:rsidRDefault="002F487C">
      <w:pPr>
        <w:numPr>
          <w:ilvl w:val="0"/>
          <w:numId w:val="1"/>
        </w:numPr>
        <w:pBdr>
          <w:top w:val="nil"/>
          <w:left w:val="nil"/>
          <w:bottom w:val="nil"/>
          <w:right w:val="nil"/>
          <w:between w:val="nil"/>
        </w:pBdr>
        <w:ind w:right="-220"/>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i/>
          <w:color w:val="000000"/>
          <w:sz w:val="22"/>
          <w:szCs w:val="22"/>
        </w:rPr>
        <w:lastRenderedPageBreak/>
        <w:t xml:space="preserve">estados de cuenta </w:t>
      </w:r>
    </w:p>
    <w:p w14:paraId="7C6F7376" w14:textId="77777777" w:rsidR="00715B3A" w:rsidRDefault="00715B3A">
      <w:pPr>
        <w:pBdr>
          <w:top w:val="nil"/>
          <w:left w:val="nil"/>
          <w:bottom w:val="nil"/>
          <w:right w:val="nil"/>
          <w:between w:val="nil"/>
        </w:pBdr>
        <w:spacing w:line="360" w:lineRule="auto"/>
        <w:ind w:left="778" w:right="-787"/>
        <w:jc w:val="both"/>
        <w:rPr>
          <w:rFonts w:ascii="Palatino Linotype" w:eastAsia="Palatino Linotype" w:hAnsi="Palatino Linotype" w:cs="Palatino Linotype"/>
          <w:b/>
          <w:color w:val="000000"/>
        </w:rPr>
      </w:pPr>
    </w:p>
    <w:p w14:paraId="5AAD7698"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remitió cuatro archivos en formato </w:t>
      </w:r>
      <w:proofErr w:type="spellStart"/>
      <w:r>
        <w:rPr>
          <w:rFonts w:ascii="Palatino Linotype" w:eastAsia="Palatino Linotype" w:hAnsi="Palatino Linotype" w:cs="Palatino Linotype"/>
          <w:color w:val="000000"/>
        </w:rPr>
        <w:t>pdf</w:t>
      </w:r>
      <w:proofErr w:type="spellEnd"/>
      <w:r>
        <w:rPr>
          <w:rFonts w:ascii="Palatino Linotype" w:eastAsia="Palatino Linotype" w:hAnsi="Palatino Linotype" w:cs="Palatino Linotype"/>
          <w:color w:val="000000"/>
        </w:rPr>
        <w:t xml:space="preserve">, por cada recurso de revisión, cuyo contenido toral es el siguiente: </w:t>
      </w:r>
    </w:p>
    <w:p w14:paraId="4BAB8175"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Solicitud 00687/ATIZARA/IP/</w:t>
      </w:r>
      <w:proofErr w:type="gramStart"/>
      <w:r>
        <w:rPr>
          <w:rFonts w:ascii="Palatino Linotype" w:eastAsia="Palatino Linotype" w:hAnsi="Palatino Linotype" w:cs="Palatino Linotype"/>
          <w:b/>
          <w:i/>
          <w:color w:val="000000"/>
          <w:sz w:val="22"/>
          <w:szCs w:val="22"/>
        </w:rPr>
        <w:t xml:space="preserve">2023 </w:t>
      </w:r>
      <w:r>
        <w:rPr>
          <w:rFonts w:ascii="Palatino Linotype" w:eastAsia="Palatino Linotype" w:hAnsi="Palatino Linotype" w:cs="Palatino Linotype"/>
          <w:color w:val="000000"/>
          <w:sz w:val="22"/>
          <w:szCs w:val="22"/>
        </w:rPr>
        <w:t>:</w:t>
      </w:r>
      <w:proofErr w:type="gramEnd"/>
      <w:r>
        <w:rPr>
          <w:rFonts w:ascii="Palatino Linotype" w:eastAsia="Palatino Linotype" w:hAnsi="Palatino Linotype" w:cs="Palatino Linotype"/>
          <w:color w:val="000000"/>
          <w:sz w:val="22"/>
          <w:szCs w:val="22"/>
        </w:rPr>
        <w:t xml:space="preserve"> </w:t>
      </w:r>
    </w:p>
    <w:p w14:paraId="0D922FFC"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Solicitud 00687/ATIZARA/IP/</w:t>
      </w:r>
      <w:proofErr w:type="gramStart"/>
      <w:r>
        <w:rPr>
          <w:rFonts w:ascii="Palatino Linotype" w:eastAsia="Palatino Linotype" w:hAnsi="Palatino Linotype" w:cs="Palatino Linotype"/>
          <w:b/>
          <w:i/>
          <w:color w:val="000000"/>
          <w:sz w:val="22"/>
          <w:szCs w:val="22"/>
        </w:rPr>
        <w:t xml:space="preserve">2023 </w:t>
      </w:r>
      <w:r>
        <w:rPr>
          <w:rFonts w:ascii="Palatino Linotype" w:eastAsia="Palatino Linotype" w:hAnsi="Palatino Linotype" w:cs="Palatino Linotype"/>
          <w:color w:val="000000"/>
          <w:sz w:val="22"/>
          <w:szCs w:val="22"/>
        </w:rPr>
        <w:t>:</w:t>
      </w:r>
      <w:proofErr w:type="gramEnd"/>
      <w:r>
        <w:rPr>
          <w:rFonts w:ascii="Palatino Linotype" w:eastAsia="Palatino Linotype" w:hAnsi="Palatino Linotype" w:cs="Palatino Linotype"/>
          <w:color w:val="000000"/>
          <w:sz w:val="22"/>
          <w:szCs w:val="22"/>
        </w:rPr>
        <w:t xml:space="preserve"> </w:t>
      </w:r>
    </w:p>
    <w:p w14:paraId="3C479F27"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Conciliación de la nómina primer quincena de octubre 2023.xlsx</w:t>
      </w:r>
      <w:r>
        <w:rPr>
          <w:rFonts w:ascii="Palatino Linotype" w:eastAsia="Palatino Linotype" w:hAnsi="Palatino Linotype" w:cs="Palatino Linotype"/>
          <w:i/>
          <w:color w:val="000000"/>
          <w:sz w:val="22"/>
          <w:szCs w:val="22"/>
        </w:rPr>
        <w:t xml:space="preserve"> documento Excel que contiene la conciliación de nómina de las dos quincenas de octubre de dos mil veintitrés, de las cuales </w:t>
      </w:r>
      <w:proofErr w:type="spellStart"/>
      <w:r>
        <w:rPr>
          <w:rFonts w:ascii="Palatino Linotype" w:eastAsia="Palatino Linotype" w:hAnsi="Palatino Linotype" w:cs="Palatino Linotype"/>
          <w:i/>
          <w:color w:val="000000"/>
          <w:sz w:val="22"/>
          <w:szCs w:val="22"/>
        </w:rPr>
        <w:t>de</w:t>
      </w:r>
      <w:proofErr w:type="spellEnd"/>
      <w:r>
        <w:rPr>
          <w:rFonts w:ascii="Palatino Linotype" w:eastAsia="Palatino Linotype" w:hAnsi="Palatino Linotype" w:cs="Palatino Linotype"/>
          <w:i/>
          <w:color w:val="000000"/>
          <w:sz w:val="22"/>
          <w:szCs w:val="22"/>
        </w:rPr>
        <w:t xml:space="preserve"> advierte que se dejaron libres datos como lo son el RFC, el número de seguridad social, nombre de policías, prestamos. </w:t>
      </w:r>
    </w:p>
    <w:p w14:paraId="22B17562"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MEMORÁNDUM SRH-013-2024.pdf: </w:t>
      </w:r>
      <w:r>
        <w:rPr>
          <w:rFonts w:ascii="Palatino Linotype" w:eastAsia="Palatino Linotype" w:hAnsi="Palatino Linotype" w:cs="Palatino Linotype"/>
          <w:i/>
          <w:color w:val="000000"/>
          <w:sz w:val="22"/>
          <w:szCs w:val="22"/>
        </w:rPr>
        <w:t xml:space="preserve">oficio de la </w:t>
      </w:r>
      <w:proofErr w:type="gramStart"/>
      <w:r>
        <w:rPr>
          <w:rFonts w:ascii="Palatino Linotype" w:eastAsia="Palatino Linotype" w:hAnsi="Palatino Linotype" w:cs="Palatino Linotype"/>
          <w:i/>
          <w:color w:val="000000"/>
          <w:sz w:val="22"/>
          <w:szCs w:val="22"/>
        </w:rPr>
        <w:t>Subdirectora</w:t>
      </w:r>
      <w:proofErr w:type="gramEnd"/>
      <w:r>
        <w:rPr>
          <w:rFonts w:ascii="Palatino Linotype" w:eastAsia="Palatino Linotype" w:hAnsi="Palatino Linotype" w:cs="Palatino Linotype"/>
          <w:i/>
          <w:color w:val="000000"/>
          <w:sz w:val="22"/>
          <w:szCs w:val="22"/>
        </w:rPr>
        <w:t xml:space="preserve"> de Recursos Humanos, mediante el cual informa que remite la información consistente en los recibos de nómina correspondientes del uno al quince de octubre de dos mil veintitrés, así como la conciliación de nómina.</w:t>
      </w:r>
    </w:p>
    <w:p w14:paraId="0CF0FEC1"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Recibos de pago primer quincena de octubre 2023.pdf: </w:t>
      </w:r>
      <w:r>
        <w:rPr>
          <w:rFonts w:ascii="Palatino Linotype" w:eastAsia="Palatino Linotype" w:hAnsi="Palatino Linotype" w:cs="Palatino Linotype"/>
          <w:i/>
          <w:color w:val="000000"/>
          <w:sz w:val="22"/>
          <w:szCs w:val="22"/>
        </w:rPr>
        <w:t xml:space="preserve">contiene 3,610 recibos de nómina de la primera quincena de octubre del dos mil veintitrés, de los cuales se observa que no contienen los códigos QR y tampoco las cadenas digitales. </w:t>
      </w:r>
    </w:p>
    <w:p w14:paraId="1469F6E7"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687.pdf: </w:t>
      </w:r>
      <w:r>
        <w:rPr>
          <w:rFonts w:ascii="Palatino Linotype" w:eastAsia="Palatino Linotype" w:hAnsi="Palatino Linotype" w:cs="Palatino Linotype"/>
          <w:i/>
          <w:color w:val="000000"/>
          <w:sz w:val="22"/>
          <w:szCs w:val="22"/>
        </w:rPr>
        <w:t xml:space="preserve">Acuerdo de la Primera Sesión Extraordinaria del Comité de Transparencia, mediante el cual clasifican la información como confidencial respecto de los datos personales del RFC, Clave ISSEMYM y de otras deducciones que no corresponden a erogaciones de recursos públicos. </w:t>
      </w:r>
    </w:p>
    <w:p w14:paraId="4031A5A7"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Respecto de la Conciliación de Nómina</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RFC, Clave ISSEMYM, otras deducciones que no corresponden a erogaciones de recursos públicos, nombre de la Institución Bancaria, número de cuenta bancaria, número de cheque y/o referencia. </w:t>
      </w:r>
    </w:p>
    <w:p w14:paraId="4BACD82D"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la misma Acta del Comité de Transparencia clasifican como reservado el nombre de los policías (operativos) que laboran en el Ayuntamiento de Atizapán de Zaragoza por un periodo de cinco años, </w:t>
      </w:r>
      <w:proofErr w:type="gramStart"/>
      <w:r>
        <w:rPr>
          <w:rFonts w:ascii="Palatino Linotype" w:eastAsia="Palatino Linotype" w:hAnsi="Palatino Linotype" w:cs="Palatino Linotype"/>
          <w:i/>
          <w:color w:val="000000"/>
          <w:sz w:val="22"/>
          <w:szCs w:val="22"/>
        </w:rPr>
        <w:t>del mimos</w:t>
      </w:r>
      <w:proofErr w:type="gramEnd"/>
      <w:r>
        <w:rPr>
          <w:rFonts w:ascii="Palatino Linotype" w:eastAsia="Palatino Linotype" w:hAnsi="Palatino Linotype" w:cs="Palatino Linotype"/>
          <w:i/>
          <w:color w:val="000000"/>
          <w:sz w:val="22"/>
          <w:szCs w:val="22"/>
        </w:rPr>
        <w:t xml:space="preserve"> remite la prueba de daño del cual no refieren el riesgo demostrable, real e identificable, así como tampoco se observa que consideren las circunstancia de modo, tiempo y lugar. </w:t>
      </w:r>
    </w:p>
    <w:p w14:paraId="40EE0E63" w14:textId="77777777" w:rsidR="00715B3A" w:rsidRDefault="00715B3A">
      <w:pPr>
        <w:ind w:right="-220"/>
        <w:jc w:val="both"/>
        <w:rPr>
          <w:rFonts w:ascii="Palatino Linotype" w:eastAsia="Palatino Linotype" w:hAnsi="Palatino Linotype" w:cs="Palatino Linotype"/>
          <w:i/>
          <w:sz w:val="22"/>
          <w:szCs w:val="22"/>
        </w:rPr>
      </w:pPr>
    </w:p>
    <w:p w14:paraId="07AAD638"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Solicitud 00688/ATIZARA/IP/2023</w:t>
      </w:r>
      <w:r>
        <w:rPr>
          <w:rFonts w:ascii="Palatino Linotype" w:eastAsia="Palatino Linotype" w:hAnsi="Palatino Linotype" w:cs="Palatino Linotype"/>
          <w:color w:val="000000"/>
          <w:sz w:val="22"/>
          <w:szCs w:val="22"/>
        </w:rPr>
        <w:t xml:space="preserve">: </w:t>
      </w:r>
    </w:p>
    <w:p w14:paraId="3FE8C530"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Conciliación de la nómina primer quincena de octubre 2023.xlsx</w:t>
      </w:r>
      <w:r>
        <w:rPr>
          <w:rFonts w:ascii="Palatino Linotype" w:eastAsia="Palatino Linotype" w:hAnsi="Palatino Linotype" w:cs="Palatino Linotype"/>
          <w:i/>
          <w:color w:val="000000"/>
          <w:sz w:val="22"/>
          <w:szCs w:val="22"/>
        </w:rPr>
        <w:t xml:space="preserve">: documento Excel que contiene la conciliación de nómina de las dos quincenas de octubre de dos mil veintitrés, de las cuales </w:t>
      </w:r>
      <w:proofErr w:type="spellStart"/>
      <w:r>
        <w:rPr>
          <w:rFonts w:ascii="Palatino Linotype" w:eastAsia="Palatino Linotype" w:hAnsi="Palatino Linotype" w:cs="Palatino Linotype"/>
          <w:i/>
          <w:color w:val="000000"/>
          <w:sz w:val="22"/>
          <w:szCs w:val="22"/>
        </w:rPr>
        <w:t>de</w:t>
      </w:r>
      <w:proofErr w:type="spellEnd"/>
      <w:r>
        <w:rPr>
          <w:rFonts w:ascii="Palatino Linotype" w:eastAsia="Palatino Linotype" w:hAnsi="Palatino Linotype" w:cs="Palatino Linotype"/>
          <w:i/>
          <w:color w:val="000000"/>
          <w:sz w:val="22"/>
          <w:szCs w:val="22"/>
        </w:rPr>
        <w:t xml:space="preserve"> advierte que se dejaron libres datos como lo son el RFC, el número de seguridad social, nombre de policías, prestamos.</w:t>
      </w:r>
    </w:p>
    <w:p w14:paraId="5FE187AB"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 xml:space="preserve">MEMORÁNDUM SRH-014-2024.pdf: </w:t>
      </w:r>
      <w:r>
        <w:rPr>
          <w:rFonts w:ascii="Palatino Linotype" w:eastAsia="Palatino Linotype" w:hAnsi="Palatino Linotype" w:cs="Palatino Linotype"/>
          <w:i/>
          <w:color w:val="000000"/>
          <w:sz w:val="22"/>
          <w:szCs w:val="22"/>
        </w:rPr>
        <w:t xml:space="preserve">oficio de la </w:t>
      </w:r>
      <w:proofErr w:type="gramStart"/>
      <w:r>
        <w:rPr>
          <w:rFonts w:ascii="Palatino Linotype" w:eastAsia="Palatino Linotype" w:hAnsi="Palatino Linotype" w:cs="Palatino Linotype"/>
          <w:i/>
          <w:color w:val="000000"/>
          <w:sz w:val="22"/>
          <w:szCs w:val="22"/>
        </w:rPr>
        <w:t>Subdirectora</w:t>
      </w:r>
      <w:proofErr w:type="gramEnd"/>
      <w:r>
        <w:rPr>
          <w:rFonts w:ascii="Palatino Linotype" w:eastAsia="Palatino Linotype" w:hAnsi="Palatino Linotype" w:cs="Palatino Linotype"/>
          <w:i/>
          <w:color w:val="000000"/>
          <w:sz w:val="22"/>
          <w:szCs w:val="22"/>
        </w:rPr>
        <w:t xml:space="preserve"> de Recursos Humanos, mediante el cual informa que remite la información consistente en los recibos de nómina correspondientes del uno al quince de octubre de dos mil veintitrés, así como la conciliación de nómina.</w:t>
      </w:r>
    </w:p>
    <w:p w14:paraId="6A1EA507"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Recibos de pago primer quincena de octubre 2023.pdf: </w:t>
      </w:r>
      <w:r>
        <w:rPr>
          <w:rFonts w:ascii="Palatino Linotype" w:eastAsia="Palatino Linotype" w:hAnsi="Palatino Linotype" w:cs="Palatino Linotype"/>
          <w:i/>
          <w:color w:val="000000"/>
          <w:sz w:val="22"/>
          <w:szCs w:val="22"/>
        </w:rPr>
        <w:t xml:space="preserve">contiene 3,610 recibos de nómina de la primera quincena de octubre del dos mil veintitrés, de los cuales se observa que no contienen los códigos QR y tampoco las cadenas digitales. </w:t>
      </w:r>
    </w:p>
    <w:p w14:paraId="34ADEBB0"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688.pdf: </w:t>
      </w:r>
      <w:r>
        <w:rPr>
          <w:rFonts w:ascii="Palatino Linotype" w:eastAsia="Palatino Linotype" w:hAnsi="Palatino Linotype" w:cs="Palatino Linotype"/>
          <w:i/>
          <w:color w:val="000000"/>
          <w:sz w:val="22"/>
          <w:szCs w:val="22"/>
        </w:rPr>
        <w:t xml:space="preserve">Acuerdo de la Primera Sesión Extraordinaria del Comité de Transparencia, mediante el cual clasifican la información como confidencial respecto de los datos personales del RFC, Clave ISSEMYM y de otras deducciones que no corresponden a erogaciones de recursos públicos. </w:t>
      </w:r>
    </w:p>
    <w:p w14:paraId="0F37993B"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Respecto de la Conciliación de Nómina</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RFC, Clave ISSEMYM, otras deducciones que no corresponden a erogaciones de recursos públicos, nombre de la Institución Bancaria, número de cuenta bancaria, número de cheque y/o referencia. </w:t>
      </w:r>
    </w:p>
    <w:p w14:paraId="62FE1B30"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la misma Acta del Comité de Transparencia clasifican como reservado el nombre de los policías (operativos) que laboran en el Ayuntamiento de Atizapán de Zaragoza por un periodo de cinco años, </w:t>
      </w:r>
      <w:proofErr w:type="gramStart"/>
      <w:r>
        <w:rPr>
          <w:rFonts w:ascii="Palatino Linotype" w:eastAsia="Palatino Linotype" w:hAnsi="Palatino Linotype" w:cs="Palatino Linotype"/>
          <w:i/>
          <w:color w:val="000000"/>
          <w:sz w:val="22"/>
          <w:szCs w:val="22"/>
        </w:rPr>
        <w:t>del mimos</w:t>
      </w:r>
      <w:proofErr w:type="gramEnd"/>
      <w:r>
        <w:rPr>
          <w:rFonts w:ascii="Palatino Linotype" w:eastAsia="Palatino Linotype" w:hAnsi="Palatino Linotype" w:cs="Palatino Linotype"/>
          <w:i/>
          <w:color w:val="000000"/>
          <w:sz w:val="22"/>
          <w:szCs w:val="22"/>
        </w:rPr>
        <w:t xml:space="preserve"> remite la prueba de daño del cual no refieren el riesgo demostrable, real e identificable, así como tampoco se observa que consideren las circunstancia de modo, tiempo y lugar. </w:t>
      </w:r>
    </w:p>
    <w:p w14:paraId="4965E777" w14:textId="77777777" w:rsidR="00715B3A" w:rsidRDefault="00715B3A">
      <w:pPr>
        <w:pBdr>
          <w:top w:val="nil"/>
          <w:left w:val="nil"/>
          <w:bottom w:val="nil"/>
          <w:right w:val="nil"/>
          <w:between w:val="nil"/>
        </w:pBdr>
        <w:ind w:left="1134" w:right="-787"/>
        <w:jc w:val="both"/>
        <w:rPr>
          <w:rFonts w:ascii="Palatino Linotype" w:eastAsia="Palatino Linotype" w:hAnsi="Palatino Linotype" w:cs="Palatino Linotype"/>
          <w:i/>
          <w:color w:val="000000"/>
        </w:rPr>
      </w:pPr>
    </w:p>
    <w:p w14:paraId="656D90B4"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En dichas condiciones,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a resolver en estos recursos se circunscribe a determinar si se actualizan las causales de procedencia previstas en el artículo 179, </w:t>
      </w:r>
      <w:r>
        <w:rPr>
          <w:rFonts w:ascii="Palatino Linotype" w:eastAsia="Palatino Linotype" w:hAnsi="Palatino Linotype" w:cs="Palatino Linotype"/>
          <w:b/>
          <w:color w:val="000000"/>
        </w:rPr>
        <w:t xml:space="preserve">fracción V </w:t>
      </w:r>
      <w:r>
        <w:rPr>
          <w:rFonts w:ascii="Palatino Linotype" w:eastAsia="Palatino Linotype" w:hAnsi="Palatino Linotype" w:cs="Palatino Linotype"/>
          <w:color w:val="000000"/>
        </w:rPr>
        <w:t>de la Ley</w:t>
      </w:r>
      <w:r>
        <w:rPr>
          <w:rFonts w:ascii="Palatino Linotype" w:eastAsia="Palatino Linotype" w:hAnsi="Palatino Linotype" w:cs="Palatino Linotype"/>
          <w:b/>
          <w:color w:val="000000"/>
        </w:rPr>
        <w:t xml:space="preserve"> de Transparencia y Acceso a la Información Pública del Estado de </w:t>
      </w:r>
      <w:r>
        <w:rPr>
          <w:rFonts w:ascii="Palatino Linotype" w:eastAsia="Palatino Linotype" w:hAnsi="Palatino Linotype" w:cs="Palatino Linotype"/>
          <w:color w:val="000000"/>
        </w:rPr>
        <w:t>México</w:t>
      </w:r>
      <w:r>
        <w:rPr>
          <w:rFonts w:ascii="Palatino Linotype" w:eastAsia="Palatino Linotype" w:hAnsi="Palatino Linotype" w:cs="Palatino Linotype"/>
          <w:b/>
          <w:color w:val="000000"/>
        </w:rPr>
        <w:t xml:space="preserve"> y Municipios</w:t>
      </w:r>
      <w:r>
        <w:rPr>
          <w:rFonts w:ascii="Palatino Linotype" w:eastAsia="Palatino Linotype" w:hAnsi="Palatino Linotype" w:cs="Palatino Linotype"/>
          <w:color w:val="000000"/>
        </w:rPr>
        <w:t xml:space="preserve">; fracción que determina la hipótesis jurídica relativa a la entrega de información incompleta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contexto del cual se dolió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al momento de interponer su inconformidad.</w:t>
      </w:r>
    </w:p>
    <w:p w14:paraId="37552661"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58AE1AAC"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De modo tal que los presentes recursos de revisión se </w:t>
      </w:r>
      <w:r>
        <w:rPr>
          <w:rFonts w:ascii="Palatino Linotype" w:eastAsia="Palatino Linotype" w:hAnsi="Palatino Linotype" w:cs="Palatino Linotype"/>
        </w:rPr>
        <w:t>abocaron</w:t>
      </w:r>
      <w:r>
        <w:rPr>
          <w:rFonts w:ascii="Palatino Linotype" w:eastAsia="Palatino Linotype" w:hAnsi="Palatino Linotype" w:cs="Palatino Linotype"/>
          <w:color w:val="000000"/>
        </w:rPr>
        <w:t xml:space="preserve"> en determinar si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antes señalada; asimismo, determinar si se vulnera el derecho de acceso a la información del particular por la inobservancia a los principios contenidos en el artículo 11 de la Ley de </w:t>
      </w:r>
      <w:r>
        <w:rPr>
          <w:rFonts w:ascii="Palatino Linotype" w:eastAsia="Palatino Linotype" w:hAnsi="Palatino Linotype" w:cs="Palatino Linotype"/>
          <w:color w:val="000000"/>
        </w:rPr>
        <w:lastRenderedPageBreak/>
        <w:t>Transparencia y Acceso a la Información Pública del Estado de México y Municipios, los cuales señala entre otros, que en la generación y entrega de información se deberá garantizar que sea oportuna, expedita, completa e integral.</w:t>
      </w:r>
    </w:p>
    <w:p w14:paraId="2A42249C" w14:textId="77777777" w:rsidR="00715B3A" w:rsidRDefault="00715B3A">
      <w:pPr>
        <w:pBdr>
          <w:top w:val="nil"/>
          <w:left w:val="nil"/>
          <w:bottom w:val="nil"/>
          <w:right w:val="nil"/>
          <w:between w:val="nil"/>
        </w:pBdr>
        <w:spacing w:line="360" w:lineRule="auto"/>
        <w:ind w:left="709" w:right="-787"/>
        <w:rPr>
          <w:rFonts w:ascii="Palatino Linotype" w:eastAsia="Palatino Linotype" w:hAnsi="Palatino Linotype" w:cs="Palatino Linotype"/>
          <w:color w:val="000000"/>
        </w:rPr>
      </w:pPr>
    </w:p>
    <w:p w14:paraId="46832C45" w14:textId="77777777" w:rsidR="00715B3A" w:rsidRDefault="002F487C">
      <w:pPr>
        <w:keepNext/>
        <w:keepLines/>
        <w:spacing w:line="360" w:lineRule="auto"/>
        <w:ind w:right="-787"/>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CUARTO. Del estudio y resolución del estudio.</w:t>
      </w:r>
    </w:p>
    <w:p w14:paraId="3146245D" w14:textId="77777777" w:rsidR="00715B3A" w:rsidRDefault="002F487C">
      <w:pPr>
        <w:keepNext/>
        <w:keepLines/>
        <w:numPr>
          <w:ilvl w:val="0"/>
          <w:numId w:val="8"/>
        </w:numPr>
        <w:spacing w:after="240" w:line="360" w:lineRule="auto"/>
        <w:ind w:left="786" w:right="-787"/>
        <w:rPr>
          <w:rFonts w:ascii="Palatino Linotype" w:eastAsia="Palatino Linotype" w:hAnsi="Palatino Linotype" w:cs="Palatino Linotype"/>
          <w:b/>
          <w:color w:val="000000"/>
        </w:rPr>
      </w:pPr>
      <w:bookmarkStart w:id="13" w:name="_heading=h.lnxbz9" w:colFirst="0" w:colLast="0"/>
      <w:bookmarkEnd w:id="13"/>
      <w:r>
        <w:rPr>
          <w:rFonts w:ascii="Palatino Linotype" w:eastAsia="Palatino Linotype" w:hAnsi="Palatino Linotype" w:cs="Palatino Linotype"/>
          <w:b/>
          <w:color w:val="000000"/>
        </w:rPr>
        <w:t>Del derecho de acceso a la información.</w:t>
      </w:r>
    </w:p>
    <w:p w14:paraId="6AEDE0B2" w14:textId="77777777" w:rsidR="00715B3A" w:rsidRDefault="002F487C">
      <w:pPr>
        <w:numPr>
          <w:ilvl w:val="0"/>
          <w:numId w:val="11"/>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42D1EF7F" w14:textId="77777777" w:rsidR="00715B3A" w:rsidRDefault="002F487C">
      <w:pPr>
        <w:numPr>
          <w:ilvl w:val="0"/>
          <w:numId w:val="11"/>
        </w:numPr>
        <w:spacing w:before="240" w:line="360" w:lineRule="auto"/>
        <w:ind w:left="0" w:right="-787" w:firstLine="0"/>
        <w:jc w:val="both"/>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w:t>
      </w:r>
      <w:r>
        <w:rPr>
          <w:rFonts w:ascii="Palatino Linotype" w:eastAsia="Palatino Linotype" w:hAnsi="Palatino Linotype" w:cs="Palatino Linotype"/>
          <w:i/>
          <w:color w:val="000000"/>
        </w:rPr>
        <w:lastRenderedPageBreak/>
        <w:t xml:space="preserve">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vertAlign w:val="superscript"/>
        </w:rPr>
        <w:footnoteReference w:id="5"/>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0ADDA518" w14:textId="77777777" w:rsidR="00715B3A" w:rsidRDefault="00715B3A">
      <w:pPr>
        <w:spacing w:line="360" w:lineRule="auto"/>
        <w:ind w:right="-787"/>
        <w:jc w:val="both"/>
        <w:rPr>
          <w:rFonts w:ascii="Palatino Linotype" w:eastAsia="Palatino Linotype" w:hAnsi="Palatino Linotype" w:cs="Palatino Linotype"/>
        </w:rPr>
      </w:pPr>
    </w:p>
    <w:p w14:paraId="741347E8"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22BA8658" w14:textId="77777777" w:rsidR="00715B3A" w:rsidRDefault="002F487C">
      <w:pPr>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w:t>
      </w:r>
    </w:p>
    <w:p w14:paraId="68C0A992" w14:textId="77777777" w:rsidR="00715B3A" w:rsidRDefault="002F487C">
      <w:pPr>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2362A71" w14:textId="77777777" w:rsidR="00715B3A" w:rsidRDefault="002F487C">
      <w:pPr>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3071A2D" w14:textId="77777777" w:rsidR="00715B3A" w:rsidRDefault="002F487C">
      <w:pPr>
        <w:ind w:left="1134" w:right="-22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w:t>
      </w:r>
    </w:p>
    <w:p w14:paraId="3284041E" w14:textId="77777777" w:rsidR="00715B3A" w:rsidRDefault="00715B3A">
      <w:pPr>
        <w:ind w:right="-787"/>
        <w:jc w:val="both"/>
        <w:rPr>
          <w:rFonts w:ascii="Palatino Linotype" w:eastAsia="Palatino Linotype" w:hAnsi="Palatino Linotype" w:cs="Palatino Linotype"/>
          <w:b/>
        </w:rPr>
      </w:pPr>
    </w:p>
    <w:p w14:paraId="0D9ECF97"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08E7B6B" w14:textId="77777777" w:rsidR="00715B3A" w:rsidRDefault="00715B3A">
      <w:pPr>
        <w:spacing w:line="360" w:lineRule="auto"/>
        <w:ind w:right="-787"/>
        <w:jc w:val="both"/>
        <w:rPr>
          <w:rFonts w:ascii="Palatino Linotype" w:eastAsia="Palatino Linotype" w:hAnsi="Palatino Linotype" w:cs="Palatino Linotype"/>
        </w:rPr>
      </w:pPr>
    </w:p>
    <w:p w14:paraId="15218E1E"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 xml:space="preserve">Así, conforme a la Constitución Política de las Estado Unidos Mexicanos y la Constitución Política del Estado Libre y Soberano de México respectivamente, el cumplimiento de las garantías primarias, entendidas como obligaciones inmediatamente </w:t>
      </w:r>
      <w:r>
        <w:rPr>
          <w:rFonts w:ascii="Palatino Linotype" w:eastAsia="Palatino Linotype" w:hAnsi="Palatino Linotype" w:cs="Palatino Linotype"/>
        </w:rPr>
        <w:lastRenderedPageBreak/>
        <w:t>relacionadas con el Derecho de Acceso a la Información Pública, permiten que todas las autoridades, en el ámbito de sus atribuciones lo respeten, protejan y garanticen.</w:t>
      </w:r>
    </w:p>
    <w:p w14:paraId="4355CAFF" w14:textId="77777777" w:rsidR="00715B3A" w:rsidRDefault="002F487C">
      <w:pPr>
        <w:spacing w:after="240"/>
        <w:ind w:left="1134"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 los Estados Unidos Mexicanos</w:t>
      </w:r>
    </w:p>
    <w:p w14:paraId="4D597805" w14:textId="77777777" w:rsidR="00715B3A" w:rsidRDefault="002F487C">
      <w:pPr>
        <w:spacing w:before="240" w:after="240"/>
        <w:ind w:left="1134"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6.</w:t>
      </w:r>
    </w:p>
    <w:p w14:paraId="7C5E3A6B" w14:textId="77777777" w:rsidR="00715B3A" w:rsidRDefault="002F487C">
      <w:pPr>
        <w:spacing w:before="240" w:after="240"/>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5F41C92" w14:textId="77777777" w:rsidR="00715B3A" w:rsidRDefault="002F487C">
      <w:pPr>
        <w:spacing w:before="240" w:after="240"/>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40F8F710" w14:textId="77777777" w:rsidR="00715B3A" w:rsidRDefault="002F487C">
      <w:pPr>
        <w:spacing w:before="240" w:after="240"/>
        <w:ind w:left="1134"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el ejercicio del derecho de acceso a la información</w:t>
      </w:r>
      <w:r>
        <w:rPr>
          <w:rFonts w:ascii="Palatino Linotype" w:eastAsia="Palatino Linotype" w:hAnsi="Palatino Linotype" w:cs="Palatino Linotype"/>
          <w:i/>
          <w:sz w:val="22"/>
          <w:szCs w:val="22"/>
        </w:rPr>
        <w:t xml:space="preserve">, la Federación y </w:t>
      </w:r>
      <w:r>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2A2AFB7A" w14:textId="77777777" w:rsidR="00715B3A" w:rsidRDefault="002F487C">
      <w:pPr>
        <w:spacing w:before="240" w:after="240"/>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rPr>
        <w:tab/>
        <w:t>Toda la información en posesión de cualquier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autoridad</w:t>
      </w:r>
      <w:r>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4DFE48EB" w14:textId="77777777" w:rsidR="00715B3A" w:rsidRDefault="00715B3A">
      <w:pPr>
        <w:pBdr>
          <w:top w:val="nil"/>
          <w:left w:val="nil"/>
          <w:bottom w:val="nil"/>
          <w:right w:val="nil"/>
          <w:between w:val="nil"/>
        </w:pBdr>
        <w:tabs>
          <w:tab w:val="left" w:pos="567"/>
        </w:tabs>
        <w:spacing w:before="240" w:after="240"/>
        <w:ind w:left="1134" w:right="-220"/>
        <w:jc w:val="both"/>
        <w:rPr>
          <w:rFonts w:ascii="Palatino Linotype" w:eastAsia="Palatino Linotype" w:hAnsi="Palatino Linotype" w:cs="Palatino Linotype"/>
          <w:b/>
          <w:i/>
          <w:color w:val="000000"/>
          <w:sz w:val="22"/>
          <w:szCs w:val="22"/>
        </w:rPr>
      </w:pPr>
    </w:p>
    <w:p w14:paraId="2F4031CB" w14:textId="77777777" w:rsidR="00715B3A" w:rsidRDefault="002F487C">
      <w:pPr>
        <w:spacing w:before="240" w:after="240"/>
        <w:ind w:left="1134"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del Estado Libre y Soberano de México</w:t>
      </w:r>
    </w:p>
    <w:p w14:paraId="4CC30B18" w14:textId="77777777" w:rsidR="00715B3A" w:rsidRDefault="002F487C">
      <w:pPr>
        <w:spacing w:before="240" w:after="240"/>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w:t>
      </w:r>
    </w:p>
    <w:p w14:paraId="718D6318" w14:textId="77777777" w:rsidR="00715B3A" w:rsidRDefault="002F487C">
      <w:pPr>
        <w:spacing w:before="240" w:after="240"/>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81F8594" w14:textId="77777777" w:rsidR="00715B3A" w:rsidRDefault="002F487C">
      <w:pPr>
        <w:spacing w:before="240" w:after="240"/>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2"/>
          <w:szCs w:val="22"/>
        </w:rPr>
        <w:t>.</w:t>
      </w:r>
    </w:p>
    <w:p w14:paraId="4C547454" w14:textId="77777777" w:rsidR="00715B3A" w:rsidRDefault="002F487C">
      <w:pPr>
        <w:spacing w:before="240" w:after="240"/>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garantizar el ejercicio del derecho de transparencia, acceso a la información pública y protección de datos personales, los poderes públicos y los organismos autónomos, </w:t>
      </w:r>
      <w:r>
        <w:rPr>
          <w:rFonts w:ascii="Palatino Linotype" w:eastAsia="Palatino Linotype" w:hAnsi="Palatino Linotype" w:cs="Palatino Linotype"/>
          <w:i/>
          <w:sz w:val="22"/>
          <w:szCs w:val="22"/>
        </w:rPr>
        <w:lastRenderedPageBreak/>
        <w:t>transparentarán sus acciones, en términos de las disposiciones aplicables, la información será oportuna, clara, veraz y de fácil acceso.</w:t>
      </w:r>
    </w:p>
    <w:p w14:paraId="5EFF9421" w14:textId="77777777" w:rsidR="00715B3A" w:rsidRDefault="002F487C">
      <w:pPr>
        <w:spacing w:before="240" w:after="240"/>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Este derecho se regirá por los principios y bases siguientes</w:t>
      </w:r>
      <w:r>
        <w:rPr>
          <w:rFonts w:ascii="Palatino Linotype" w:eastAsia="Palatino Linotype" w:hAnsi="Palatino Linotype" w:cs="Palatino Linotype"/>
          <w:i/>
          <w:sz w:val="22"/>
          <w:szCs w:val="22"/>
        </w:rPr>
        <w:t>:</w:t>
      </w:r>
    </w:p>
    <w:p w14:paraId="0DE2991F" w14:textId="77777777" w:rsidR="00715B3A" w:rsidRDefault="002F487C">
      <w:pPr>
        <w:spacing w:before="240" w:after="240"/>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Toda la información en posesión de cualquier autoridad, entidad, órgano y organismos de los</w:t>
      </w:r>
      <w:r>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2"/>
          <w:szCs w:val="22"/>
        </w:rPr>
        <w:t>municipales</w:t>
      </w:r>
      <w:r>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4918F9A7" w14:textId="77777777" w:rsidR="00715B3A" w:rsidRDefault="00715B3A">
      <w:pPr>
        <w:tabs>
          <w:tab w:val="left" w:pos="567"/>
        </w:tabs>
        <w:spacing w:before="240" w:after="240"/>
        <w:ind w:right="-787"/>
        <w:jc w:val="both"/>
        <w:rPr>
          <w:rFonts w:ascii="Palatino Linotype" w:eastAsia="Palatino Linotype" w:hAnsi="Palatino Linotype" w:cs="Palatino Linotype"/>
          <w:b/>
          <w:i/>
        </w:rPr>
      </w:pPr>
    </w:p>
    <w:p w14:paraId="5E2E48C5" w14:textId="77777777" w:rsidR="00715B3A" w:rsidRDefault="002F487C">
      <w:pPr>
        <w:numPr>
          <w:ilvl w:val="0"/>
          <w:numId w:val="11"/>
        </w:numPr>
        <w:spacing w:before="240" w:line="360" w:lineRule="auto"/>
        <w:ind w:left="0" w:right="-787" w:firstLine="0"/>
        <w:jc w:val="both"/>
      </w:pPr>
      <w:r>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14:paraId="30AA83E3" w14:textId="77777777" w:rsidR="00715B3A" w:rsidRDefault="00715B3A">
      <w:pPr>
        <w:spacing w:line="360" w:lineRule="auto"/>
        <w:ind w:right="-787"/>
        <w:jc w:val="both"/>
        <w:rPr>
          <w:rFonts w:ascii="Palatino Linotype" w:eastAsia="Palatino Linotype" w:hAnsi="Palatino Linotype" w:cs="Palatino Linotype"/>
        </w:rPr>
      </w:pPr>
    </w:p>
    <w:p w14:paraId="18925889"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rPr>
        <w:t>solicitudes de acceso a la información</w:t>
      </w:r>
      <w:r>
        <w:rPr>
          <w:rFonts w:ascii="Palatino Linotype" w:eastAsia="Palatino Linotype" w:hAnsi="Palatino Linotype" w:cs="Palatino Linotype"/>
        </w:rPr>
        <w:t>.</w:t>
      </w:r>
    </w:p>
    <w:p w14:paraId="415B34AB" w14:textId="77777777" w:rsidR="00715B3A" w:rsidRDefault="00715B3A">
      <w:pPr>
        <w:spacing w:line="360" w:lineRule="auto"/>
        <w:ind w:right="-787"/>
        <w:jc w:val="both"/>
        <w:rPr>
          <w:rFonts w:ascii="Palatino Linotype" w:eastAsia="Palatino Linotype" w:hAnsi="Palatino Linotype" w:cs="Palatino Linotype"/>
        </w:rPr>
      </w:pPr>
    </w:p>
    <w:p w14:paraId="63006719" w14:textId="77777777" w:rsidR="00715B3A" w:rsidRDefault="002F487C">
      <w:pPr>
        <w:numPr>
          <w:ilvl w:val="0"/>
          <w:numId w:val="11"/>
        </w:numPr>
        <w:spacing w:line="360" w:lineRule="auto"/>
        <w:ind w:left="0" w:right="-787" w:firstLine="0"/>
        <w:jc w:val="both"/>
      </w:pPr>
      <w:bookmarkStart w:id="14" w:name="_heading=h.35nkun2" w:colFirst="0" w:colLast="0"/>
      <w:bookmarkEnd w:id="14"/>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w:t>
      </w:r>
      <w:r>
        <w:rPr>
          <w:rFonts w:ascii="Palatino Linotype" w:eastAsia="Palatino Linotype" w:hAnsi="Palatino Linotype" w:cs="Palatino Linotype"/>
        </w:rPr>
        <w:lastRenderedPageBreak/>
        <w:t>Pública del Estado de México y Municipios y en segundo término si cumplió con su deber de respetar y garantizar el derecho, entregando la información solicitada.</w:t>
      </w:r>
    </w:p>
    <w:p w14:paraId="21802843" w14:textId="77777777" w:rsidR="00715B3A" w:rsidRDefault="00715B3A">
      <w:pPr>
        <w:spacing w:line="360" w:lineRule="auto"/>
        <w:ind w:right="-787"/>
        <w:jc w:val="both"/>
        <w:rPr>
          <w:rFonts w:ascii="Palatino Linotype" w:eastAsia="Palatino Linotype" w:hAnsi="Palatino Linotype" w:cs="Palatino Linotype"/>
        </w:rPr>
      </w:pPr>
    </w:p>
    <w:p w14:paraId="4C9567AF" w14:textId="77777777" w:rsidR="00715B3A" w:rsidRDefault="002F487C">
      <w:pPr>
        <w:keepNext/>
        <w:keepLines/>
        <w:spacing w:after="240" w:line="360" w:lineRule="auto"/>
        <w:ind w:right="-787"/>
        <w:rPr>
          <w:rFonts w:ascii="Palatino Linotype" w:eastAsia="Palatino Linotype" w:hAnsi="Palatino Linotype" w:cs="Palatino Linotype"/>
          <w:b/>
          <w:color w:val="000000"/>
        </w:rPr>
      </w:pPr>
      <w:bookmarkStart w:id="15" w:name="_heading=h.1ksv4uv" w:colFirst="0" w:colLast="0"/>
      <w:bookmarkEnd w:id="15"/>
      <w:r>
        <w:rPr>
          <w:rFonts w:ascii="Palatino Linotype" w:eastAsia="Palatino Linotype" w:hAnsi="Palatino Linotype" w:cs="Palatino Linotype"/>
          <w:b/>
          <w:color w:val="000000"/>
        </w:rPr>
        <w:t>II. De la información solicitada y la respuesta del SUJETO OBLIGADO</w:t>
      </w:r>
    </w:p>
    <w:p w14:paraId="1AB77A25" w14:textId="77777777" w:rsidR="00715B3A" w:rsidRDefault="002F487C">
      <w:pPr>
        <w:numPr>
          <w:ilvl w:val="0"/>
          <w:numId w:val="11"/>
        </w:numPr>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Ahora bien, es necesario recordar que la información solicitada por parte del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en cada solicitud de información, consistió en lo siguiente</w:t>
      </w:r>
    </w:p>
    <w:p w14:paraId="0BD5A18E" w14:textId="77777777" w:rsidR="00715B3A" w:rsidRDefault="002F487C">
      <w:pPr>
        <w:spacing w:line="360" w:lineRule="auto"/>
        <w:ind w:right="-362"/>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Recurso de Revisión 00408/INFOEM/IP/RR/2024</w:t>
      </w:r>
    </w:p>
    <w:p w14:paraId="1DA37C56" w14:textId="77777777" w:rsidR="00715B3A" w:rsidRDefault="002F487C">
      <w:pPr>
        <w:ind w:left="1134" w:right="-3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la nómina, conciliación de nómina, dispersión de nómina y estados de cuenta donde se refleje los movimientos de nómina de la primera quincena de octubre”</w:t>
      </w:r>
    </w:p>
    <w:p w14:paraId="23E5A81D" w14:textId="77777777" w:rsidR="00715B3A" w:rsidRDefault="00715B3A">
      <w:pPr>
        <w:ind w:left="1134" w:right="-362"/>
        <w:jc w:val="both"/>
        <w:rPr>
          <w:rFonts w:ascii="Palatino Linotype" w:eastAsia="Palatino Linotype" w:hAnsi="Palatino Linotype" w:cs="Palatino Linotype"/>
          <w:i/>
          <w:color w:val="000000"/>
          <w:sz w:val="22"/>
          <w:szCs w:val="22"/>
        </w:rPr>
      </w:pPr>
    </w:p>
    <w:p w14:paraId="3C6F3534" w14:textId="77777777" w:rsidR="00715B3A" w:rsidRDefault="002F487C">
      <w:pPr>
        <w:spacing w:line="360" w:lineRule="auto"/>
        <w:ind w:right="-362"/>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Recurso de Revisión 00409/INFOEM/IP/RR/2024</w:t>
      </w:r>
    </w:p>
    <w:p w14:paraId="1158EF79" w14:textId="77777777" w:rsidR="00715B3A" w:rsidRDefault="002F487C">
      <w:pPr>
        <w:ind w:left="1134" w:right="-3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la nómina, conciliación de nómina, dispersión de nómina y estados de cuenta donde se refleje los movimientos de nómina de la primera quincena de octubre”</w:t>
      </w:r>
    </w:p>
    <w:p w14:paraId="1BE7B7CC" w14:textId="77777777" w:rsidR="00715B3A" w:rsidRDefault="00715B3A">
      <w:pPr>
        <w:spacing w:line="360" w:lineRule="auto"/>
        <w:ind w:right="-787"/>
        <w:jc w:val="both"/>
        <w:rPr>
          <w:rFonts w:ascii="Palatino Linotype" w:eastAsia="Palatino Linotype" w:hAnsi="Palatino Linotype" w:cs="Palatino Linotype"/>
          <w:color w:val="000000"/>
        </w:rPr>
      </w:pPr>
    </w:p>
    <w:p w14:paraId="2382C17C"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rPr>
        <w:t>entregó</w:t>
      </w:r>
      <w:r>
        <w:rPr>
          <w:rFonts w:ascii="Palatino Linotype" w:eastAsia="Palatino Linotype" w:hAnsi="Palatino Linotype" w:cs="Palatino Linotype"/>
          <w:color w:val="000000"/>
        </w:rPr>
        <w:t xml:space="preserve"> cuatro archivos electrónicos en formato </w:t>
      </w:r>
      <w:proofErr w:type="spellStart"/>
      <w:r>
        <w:rPr>
          <w:rFonts w:ascii="Palatino Linotype" w:eastAsia="Palatino Linotype" w:hAnsi="Palatino Linotype" w:cs="Palatino Linotype"/>
          <w:color w:val="000000"/>
        </w:rPr>
        <w:t>pdf</w:t>
      </w:r>
      <w:proofErr w:type="spellEnd"/>
      <w:r>
        <w:rPr>
          <w:rFonts w:ascii="Palatino Linotype" w:eastAsia="Palatino Linotype" w:hAnsi="Palatino Linotype" w:cs="Palatino Linotype"/>
          <w:color w:val="000000"/>
        </w:rPr>
        <w:t>, por cada recurso de revisión, cuyo contenido grosso modo es el siguiente.</w:t>
      </w:r>
    </w:p>
    <w:p w14:paraId="6A458A9C" w14:textId="77777777" w:rsidR="00715B3A" w:rsidRDefault="002F487C">
      <w:pPr>
        <w:ind w:left="708" w:right="-36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Solicitud 00687/ATIZARA/IP/</w:t>
      </w:r>
      <w:proofErr w:type="gramStart"/>
      <w:r>
        <w:rPr>
          <w:rFonts w:ascii="Palatino Linotype" w:eastAsia="Palatino Linotype" w:hAnsi="Palatino Linotype" w:cs="Palatino Linotype"/>
          <w:b/>
          <w:i/>
          <w:sz w:val="22"/>
          <w:szCs w:val="22"/>
        </w:rPr>
        <w:t xml:space="preserve">2023 </w:t>
      </w:r>
      <w:r>
        <w:rPr>
          <w:rFonts w:ascii="Palatino Linotype" w:eastAsia="Palatino Linotype" w:hAnsi="Palatino Linotype" w:cs="Palatino Linotype"/>
          <w:sz w:val="22"/>
          <w:szCs w:val="22"/>
        </w:rPr>
        <w:t>:</w:t>
      </w:r>
      <w:proofErr w:type="gramEnd"/>
      <w:r>
        <w:rPr>
          <w:rFonts w:ascii="Palatino Linotype" w:eastAsia="Palatino Linotype" w:hAnsi="Palatino Linotype" w:cs="Palatino Linotype"/>
          <w:sz w:val="22"/>
          <w:szCs w:val="22"/>
        </w:rPr>
        <w:t xml:space="preserve"> </w:t>
      </w:r>
    </w:p>
    <w:p w14:paraId="08E37757" w14:textId="77777777" w:rsidR="00715B3A" w:rsidRDefault="002F487C">
      <w:pPr>
        <w:ind w:left="708" w:right="-3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Conciliación de la nómina primer quincena de octubre 2023.xlsx</w:t>
      </w:r>
      <w:r>
        <w:rPr>
          <w:rFonts w:ascii="Palatino Linotype" w:eastAsia="Palatino Linotype" w:hAnsi="Palatino Linotype" w:cs="Palatino Linotype"/>
          <w:i/>
          <w:sz w:val="22"/>
          <w:szCs w:val="22"/>
        </w:rPr>
        <w:t xml:space="preserve"> documento Excel que contiene la conciliación de nómina de las dos quincenas de octubre de dos mil veintitrés, de las cuales </w:t>
      </w:r>
      <w:proofErr w:type="spellStart"/>
      <w:r>
        <w:rPr>
          <w:rFonts w:ascii="Palatino Linotype" w:eastAsia="Palatino Linotype" w:hAnsi="Palatino Linotype" w:cs="Palatino Linotype"/>
          <w:i/>
          <w:sz w:val="22"/>
          <w:szCs w:val="22"/>
        </w:rPr>
        <w:t>de</w:t>
      </w:r>
      <w:proofErr w:type="spellEnd"/>
      <w:r>
        <w:rPr>
          <w:rFonts w:ascii="Palatino Linotype" w:eastAsia="Palatino Linotype" w:hAnsi="Palatino Linotype" w:cs="Palatino Linotype"/>
          <w:i/>
          <w:sz w:val="22"/>
          <w:szCs w:val="22"/>
        </w:rPr>
        <w:t xml:space="preserve"> advierte que se dejaron libres datos como lo son el RFC, el número de seguridad social, nombre de policías, prestamos. </w:t>
      </w:r>
    </w:p>
    <w:p w14:paraId="1965F0F7" w14:textId="77777777" w:rsidR="00715B3A" w:rsidRDefault="002F487C">
      <w:pPr>
        <w:ind w:left="708" w:right="-3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MEMORÁNDUM SRH-013-2024.pdf: </w:t>
      </w:r>
      <w:r>
        <w:rPr>
          <w:rFonts w:ascii="Palatino Linotype" w:eastAsia="Palatino Linotype" w:hAnsi="Palatino Linotype" w:cs="Palatino Linotype"/>
          <w:i/>
          <w:sz w:val="22"/>
          <w:szCs w:val="22"/>
        </w:rPr>
        <w:t xml:space="preserve">oficio de la </w:t>
      </w:r>
      <w:proofErr w:type="gramStart"/>
      <w:r>
        <w:rPr>
          <w:rFonts w:ascii="Palatino Linotype" w:eastAsia="Palatino Linotype" w:hAnsi="Palatino Linotype" w:cs="Palatino Linotype"/>
          <w:i/>
          <w:sz w:val="22"/>
          <w:szCs w:val="22"/>
        </w:rPr>
        <w:t>Subdirectora</w:t>
      </w:r>
      <w:proofErr w:type="gramEnd"/>
      <w:r>
        <w:rPr>
          <w:rFonts w:ascii="Palatino Linotype" w:eastAsia="Palatino Linotype" w:hAnsi="Palatino Linotype" w:cs="Palatino Linotype"/>
          <w:i/>
          <w:sz w:val="22"/>
          <w:szCs w:val="22"/>
        </w:rPr>
        <w:t xml:space="preserve"> de Recursos Humanos, mediante el cual informa que remite la información consistente en los recibos de nómina correspondientes del uno al quince de octubre de dos mil veintitrés, así como la conciliación de nómina.</w:t>
      </w:r>
    </w:p>
    <w:p w14:paraId="76D9FB95" w14:textId="77777777" w:rsidR="00715B3A" w:rsidRDefault="002F487C">
      <w:pPr>
        <w:ind w:left="708" w:right="-3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Recibos de pago primer quincena de octubre 2023.pdf: </w:t>
      </w:r>
      <w:r>
        <w:rPr>
          <w:rFonts w:ascii="Palatino Linotype" w:eastAsia="Palatino Linotype" w:hAnsi="Palatino Linotype" w:cs="Palatino Linotype"/>
          <w:i/>
          <w:sz w:val="22"/>
          <w:szCs w:val="22"/>
        </w:rPr>
        <w:t xml:space="preserve">contiene 3,610 recibos de nómina de la primera quincena de octubre del dos mil veintitrés, de los cuales se observa que no contienen los códigos QR y tampoco las cadenas digitales. </w:t>
      </w:r>
    </w:p>
    <w:p w14:paraId="23958AC0" w14:textId="77777777" w:rsidR="00715B3A" w:rsidRDefault="002F487C">
      <w:pPr>
        <w:ind w:left="708" w:right="-3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687.pdf: </w:t>
      </w:r>
      <w:r>
        <w:rPr>
          <w:rFonts w:ascii="Palatino Linotype" w:eastAsia="Palatino Linotype" w:hAnsi="Palatino Linotype" w:cs="Palatino Linotype"/>
          <w:i/>
          <w:sz w:val="22"/>
          <w:szCs w:val="22"/>
        </w:rPr>
        <w:t xml:space="preserve">Acuerdo de la Primera Sesión Extraordinaria del Comité de Transparencia, mediante el cual clasifican la información como confidencial respecto de los datos personales del RFC, Clave ISSEMYM y de otras deducciones que no corresponden a erogaciones de recursos públicos. </w:t>
      </w:r>
    </w:p>
    <w:p w14:paraId="3AF8B8E6" w14:textId="77777777" w:rsidR="00715B3A" w:rsidRDefault="002F487C">
      <w:pPr>
        <w:ind w:left="708" w:right="-3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Respecto de la Conciliación de Nómina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RFC, Clave ISSEMYM, otras deducciones que no corresponden a erogaciones de recursos públicos, nombre de la Institución Bancaria, número de cuenta bancaria, número de cheque y/o referencia. </w:t>
      </w:r>
    </w:p>
    <w:p w14:paraId="72DA1E87" w14:textId="77777777" w:rsidR="00715B3A" w:rsidRDefault="002F487C">
      <w:pPr>
        <w:ind w:left="708" w:right="-3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la misma Acta del Comité de Transparencia clasifican como reservado el nombre de los policías (operativos) que laboran en el Ayuntamiento de Atizapán de Zaragoza por un periodo de cinco años, </w:t>
      </w:r>
      <w:proofErr w:type="gramStart"/>
      <w:r>
        <w:rPr>
          <w:rFonts w:ascii="Palatino Linotype" w:eastAsia="Palatino Linotype" w:hAnsi="Palatino Linotype" w:cs="Palatino Linotype"/>
          <w:i/>
          <w:sz w:val="22"/>
          <w:szCs w:val="22"/>
        </w:rPr>
        <w:t>del mimos</w:t>
      </w:r>
      <w:proofErr w:type="gramEnd"/>
      <w:r>
        <w:rPr>
          <w:rFonts w:ascii="Palatino Linotype" w:eastAsia="Palatino Linotype" w:hAnsi="Palatino Linotype" w:cs="Palatino Linotype"/>
          <w:i/>
          <w:sz w:val="22"/>
          <w:szCs w:val="22"/>
        </w:rPr>
        <w:t xml:space="preserve"> remite la prueba de daño del cual no refieren el riesgo demostrable, real e identificable, así como tampoco se observa que consideren las circunstancia de modo, tiempo y lugar. </w:t>
      </w:r>
    </w:p>
    <w:p w14:paraId="34D20C1E" w14:textId="77777777" w:rsidR="00715B3A" w:rsidRDefault="00715B3A">
      <w:pPr>
        <w:ind w:left="708" w:right="-362"/>
        <w:jc w:val="both"/>
        <w:rPr>
          <w:rFonts w:ascii="Palatino Linotype" w:eastAsia="Palatino Linotype" w:hAnsi="Palatino Linotype" w:cs="Palatino Linotype"/>
          <w:i/>
          <w:sz w:val="22"/>
          <w:szCs w:val="22"/>
        </w:rPr>
      </w:pPr>
    </w:p>
    <w:p w14:paraId="7927A41A" w14:textId="77777777" w:rsidR="00715B3A" w:rsidRDefault="002F487C">
      <w:pPr>
        <w:ind w:left="708" w:right="-36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Solicitud 00688/ATIZARA/IP/2023</w:t>
      </w:r>
      <w:r>
        <w:rPr>
          <w:rFonts w:ascii="Palatino Linotype" w:eastAsia="Palatino Linotype" w:hAnsi="Palatino Linotype" w:cs="Palatino Linotype"/>
          <w:sz w:val="22"/>
          <w:szCs w:val="22"/>
        </w:rPr>
        <w:t xml:space="preserve">: </w:t>
      </w:r>
    </w:p>
    <w:p w14:paraId="00CF650C" w14:textId="77777777" w:rsidR="00715B3A" w:rsidRDefault="002F487C">
      <w:pPr>
        <w:ind w:left="708" w:right="-3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Conciliación de la nómina primer quincena de octubre 2023.xlsx</w:t>
      </w:r>
      <w:r>
        <w:rPr>
          <w:rFonts w:ascii="Palatino Linotype" w:eastAsia="Palatino Linotype" w:hAnsi="Palatino Linotype" w:cs="Palatino Linotype"/>
          <w:i/>
          <w:sz w:val="22"/>
          <w:szCs w:val="22"/>
        </w:rPr>
        <w:t xml:space="preserve">: documento Excel que contiene la conciliación de nómina de las dos quincenas de octubre de dos mil veintitrés, de las cuales </w:t>
      </w:r>
      <w:proofErr w:type="spellStart"/>
      <w:r>
        <w:rPr>
          <w:rFonts w:ascii="Palatino Linotype" w:eastAsia="Palatino Linotype" w:hAnsi="Palatino Linotype" w:cs="Palatino Linotype"/>
          <w:i/>
          <w:sz w:val="22"/>
          <w:szCs w:val="22"/>
        </w:rPr>
        <w:t>de</w:t>
      </w:r>
      <w:proofErr w:type="spellEnd"/>
      <w:r>
        <w:rPr>
          <w:rFonts w:ascii="Palatino Linotype" w:eastAsia="Palatino Linotype" w:hAnsi="Palatino Linotype" w:cs="Palatino Linotype"/>
          <w:i/>
          <w:sz w:val="22"/>
          <w:szCs w:val="22"/>
        </w:rPr>
        <w:t xml:space="preserve"> advierte que se dejaron libres datos como lo son el RFC, el número de seguridad social, nombre de policías, prestamos.</w:t>
      </w:r>
    </w:p>
    <w:p w14:paraId="2F642A8B" w14:textId="77777777" w:rsidR="00715B3A" w:rsidRDefault="002F487C">
      <w:pPr>
        <w:ind w:left="708" w:right="-3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MEMORÁNDUM SRH-014-2024.pdf: </w:t>
      </w:r>
      <w:r>
        <w:rPr>
          <w:rFonts w:ascii="Palatino Linotype" w:eastAsia="Palatino Linotype" w:hAnsi="Palatino Linotype" w:cs="Palatino Linotype"/>
          <w:i/>
          <w:sz w:val="22"/>
          <w:szCs w:val="22"/>
        </w:rPr>
        <w:t xml:space="preserve">oficio de la </w:t>
      </w:r>
      <w:proofErr w:type="gramStart"/>
      <w:r>
        <w:rPr>
          <w:rFonts w:ascii="Palatino Linotype" w:eastAsia="Palatino Linotype" w:hAnsi="Palatino Linotype" w:cs="Palatino Linotype"/>
          <w:i/>
          <w:sz w:val="22"/>
          <w:szCs w:val="22"/>
        </w:rPr>
        <w:t>Subdirectora</w:t>
      </w:r>
      <w:proofErr w:type="gramEnd"/>
      <w:r>
        <w:rPr>
          <w:rFonts w:ascii="Palatino Linotype" w:eastAsia="Palatino Linotype" w:hAnsi="Palatino Linotype" w:cs="Palatino Linotype"/>
          <w:i/>
          <w:sz w:val="22"/>
          <w:szCs w:val="22"/>
        </w:rPr>
        <w:t xml:space="preserve"> de Recursos Humanos, mediante el cual informa que remite la información consistente en los recibos de nómina correspondientes del uno al quince de octubre de dos mil veintitrés, así como la conciliación de nómina.</w:t>
      </w:r>
    </w:p>
    <w:p w14:paraId="30C0DE48" w14:textId="77777777" w:rsidR="00715B3A" w:rsidRDefault="002F487C">
      <w:pPr>
        <w:ind w:left="708" w:right="-3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Recibos de pago primer quincena de octubre 2023.pdf: </w:t>
      </w:r>
      <w:r>
        <w:rPr>
          <w:rFonts w:ascii="Palatino Linotype" w:eastAsia="Palatino Linotype" w:hAnsi="Palatino Linotype" w:cs="Palatino Linotype"/>
          <w:i/>
          <w:sz w:val="22"/>
          <w:szCs w:val="22"/>
        </w:rPr>
        <w:t xml:space="preserve">contiene 3,610 recibos de nómina de la primera quincena de octubre del dos mil veintitrés, de los cuales se observa que no contienen los códigos QR y tampoco las cadenas digitales. </w:t>
      </w:r>
    </w:p>
    <w:p w14:paraId="721C2F95" w14:textId="77777777" w:rsidR="00715B3A" w:rsidRDefault="002F487C">
      <w:pPr>
        <w:ind w:left="708" w:right="-3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688.pdf: </w:t>
      </w:r>
      <w:r>
        <w:rPr>
          <w:rFonts w:ascii="Palatino Linotype" w:eastAsia="Palatino Linotype" w:hAnsi="Palatino Linotype" w:cs="Palatino Linotype"/>
          <w:i/>
          <w:sz w:val="22"/>
          <w:szCs w:val="22"/>
        </w:rPr>
        <w:t xml:space="preserve">Acuerdo de la Primera Sesión Extraordinaria del Comité de Transparencia, mediante el cual clasifican la información como confidencial respecto de los datos personales del RFC, Clave ISSEMYM y de otras deducciones que no corresponden a erogaciones de recursos públicos. </w:t>
      </w:r>
    </w:p>
    <w:p w14:paraId="3E5A4AE5" w14:textId="77777777" w:rsidR="00715B3A" w:rsidRDefault="002F487C">
      <w:pPr>
        <w:ind w:left="708" w:right="-3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Respecto de la Conciliación de Nómina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RFC, Clave ISSEMYM, otras deducciones que no corresponden a erogaciones de recursos públicos, nombre de la Institución Bancaria, número de cuenta bancaria, número de cheque y/o referencia. </w:t>
      </w:r>
    </w:p>
    <w:p w14:paraId="28F81AAB" w14:textId="77777777" w:rsidR="00715B3A" w:rsidRDefault="002F487C">
      <w:pPr>
        <w:ind w:left="708" w:right="-3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la misma Acta del Comité de Transparencia clasifican como reservado el nombre de los policías (operativos) que laboran en el Ayuntamiento de Atizapán de Zaragoza por un periodo de cinco años, </w:t>
      </w:r>
      <w:proofErr w:type="gramStart"/>
      <w:r>
        <w:rPr>
          <w:rFonts w:ascii="Palatino Linotype" w:eastAsia="Palatino Linotype" w:hAnsi="Palatino Linotype" w:cs="Palatino Linotype"/>
          <w:i/>
          <w:sz w:val="22"/>
          <w:szCs w:val="22"/>
        </w:rPr>
        <w:t>del mimos</w:t>
      </w:r>
      <w:proofErr w:type="gramEnd"/>
      <w:r>
        <w:rPr>
          <w:rFonts w:ascii="Palatino Linotype" w:eastAsia="Palatino Linotype" w:hAnsi="Palatino Linotype" w:cs="Palatino Linotype"/>
          <w:i/>
          <w:sz w:val="22"/>
          <w:szCs w:val="22"/>
        </w:rPr>
        <w:t xml:space="preserve"> remite la prueba de daño del cual no refieren el riesgo demostrable, real e identificable, así como tampoco se observa que consideren las circunstancia de modo, tiempo y lugar. </w:t>
      </w:r>
    </w:p>
    <w:p w14:paraId="5123E60A" w14:textId="77777777" w:rsidR="00715B3A" w:rsidRDefault="00715B3A">
      <w:pPr>
        <w:ind w:right="-787"/>
        <w:rPr>
          <w:rFonts w:ascii="Palatino Linotype" w:eastAsia="Palatino Linotype" w:hAnsi="Palatino Linotype" w:cs="Palatino Linotype"/>
          <w:color w:val="000000"/>
        </w:rPr>
      </w:pPr>
    </w:p>
    <w:p w14:paraId="693CF841"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color w:val="000000"/>
        </w:rPr>
        <w:t>De la información entregada, el entonces solicitante interpuso los recursos de revisión bajo los siguientes términos.</w:t>
      </w:r>
    </w:p>
    <w:p w14:paraId="630CC1A8" w14:textId="77777777" w:rsidR="00715B3A" w:rsidRDefault="00715B3A">
      <w:pPr>
        <w:ind w:right="-787"/>
      </w:pPr>
    </w:p>
    <w:p w14:paraId="7B6E4762" w14:textId="77777777" w:rsidR="00715B3A" w:rsidRDefault="002F487C">
      <w:pPr>
        <w:ind w:right="-220"/>
        <w:rPr>
          <w:sz w:val="22"/>
          <w:szCs w:val="22"/>
        </w:rPr>
      </w:pPr>
      <w:r>
        <w:rPr>
          <w:b/>
          <w:sz w:val="22"/>
          <w:szCs w:val="22"/>
        </w:rPr>
        <w:t xml:space="preserve">Recurso de Revisión 00408/INFOEM/IP/RR/2024: </w:t>
      </w:r>
    </w:p>
    <w:p w14:paraId="50B57662" w14:textId="77777777" w:rsidR="00715B3A" w:rsidRDefault="002F487C">
      <w:pPr>
        <w:numPr>
          <w:ilvl w:val="0"/>
          <w:numId w:val="10"/>
        </w:numPr>
        <w:ind w:right="-220" w:firstLine="130"/>
        <w:rPr>
          <w:i/>
          <w:sz w:val="22"/>
          <w:szCs w:val="22"/>
        </w:rPr>
      </w:pPr>
      <w:r>
        <w:rPr>
          <w:b/>
          <w:sz w:val="22"/>
          <w:szCs w:val="22"/>
        </w:rPr>
        <w:lastRenderedPageBreak/>
        <w:t xml:space="preserve">Acto impugnado: </w:t>
      </w:r>
      <w:r>
        <w:rPr>
          <w:i/>
          <w:sz w:val="22"/>
          <w:szCs w:val="22"/>
        </w:rPr>
        <w:t>“respuesta”</w:t>
      </w:r>
    </w:p>
    <w:p w14:paraId="5C8B6A23" w14:textId="77777777" w:rsidR="00715B3A" w:rsidRDefault="002F487C">
      <w:pPr>
        <w:numPr>
          <w:ilvl w:val="0"/>
          <w:numId w:val="1"/>
        </w:numPr>
        <w:ind w:right="-220"/>
        <w:rPr>
          <w:i/>
          <w:sz w:val="22"/>
          <w:szCs w:val="22"/>
        </w:rPr>
      </w:pPr>
      <w:r>
        <w:rPr>
          <w:b/>
          <w:sz w:val="22"/>
          <w:szCs w:val="22"/>
        </w:rPr>
        <w:t xml:space="preserve">Razones o Motivos de inconformidad: </w:t>
      </w:r>
      <w:r>
        <w:rPr>
          <w:i/>
          <w:sz w:val="22"/>
          <w:szCs w:val="22"/>
        </w:rPr>
        <w:t>“Falta documentación.”</w:t>
      </w:r>
    </w:p>
    <w:p w14:paraId="6B73A711" w14:textId="77777777" w:rsidR="00715B3A" w:rsidRDefault="00715B3A">
      <w:pPr>
        <w:ind w:right="-220"/>
        <w:rPr>
          <w:sz w:val="22"/>
          <w:szCs w:val="22"/>
        </w:rPr>
      </w:pPr>
    </w:p>
    <w:p w14:paraId="4EDD15A9" w14:textId="77777777" w:rsidR="00715B3A" w:rsidRDefault="002F487C">
      <w:pPr>
        <w:ind w:right="-220"/>
        <w:rPr>
          <w:sz w:val="22"/>
          <w:szCs w:val="22"/>
        </w:rPr>
      </w:pPr>
      <w:r>
        <w:rPr>
          <w:b/>
          <w:sz w:val="22"/>
          <w:szCs w:val="22"/>
        </w:rPr>
        <w:t xml:space="preserve">Recurso de Revisión 00409/INFOEM/IP/RR/2024: </w:t>
      </w:r>
    </w:p>
    <w:p w14:paraId="1294D02F" w14:textId="77777777" w:rsidR="00715B3A" w:rsidRDefault="002F487C">
      <w:pPr>
        <w:numPr>
          <w:ilvl w:val="0"/>
          <w:numId w:val="6"/>
        </w:numPr>
        <w:ind w:right="-220"/>
        <w:rPr>
          <w:b/>
          <w:i/>
          <w:sz w:val="22"/>
          <w:szCs w:val="22"/>
        </w:rPr>
      </w:pPr>
      <w:r>
        <w:rPr>
          <w:b/>
          <w:sz w:val="22"/>
          <w:szCs w:val="22"/>
        </w:rPr>
        <w:t>Acto impugnado:</w:t>
      </w:r>
      <w:r>
        <w:rPr>
          <w:i/>
          <w:sz w:val="22"/>
          <w:szCs w:val="22"/>
        </w:rPr>
        <w:t xml:space="preserve"> “respuesta”</w:t>
      </w:r>
      <w:r>
        <w:rPr>
          <w:b/>
          <w:i/>
          <w:sz w:val="22"/>
          <w:szCs w:val="22"/>
        </w:rPr>
        <w:t xml:space="preserve"> </w:t>
      </w:r>
    </w:p>
    <w:p w14:paraId="7203621A" w14:textId="77777777" w:rsidR="00715B3A" w:rsidRDefault="002F487C">
      <w:pPr>
        <w:numPr>
          <w:ilvl w:val="0"/>
          <w:numId w:val="1"/>
        </w:numPr>
        <w:ind w:right="-220"/>
        <w:rPr>
          <w:i/>
          <w:sz w:val="22"/>
          <w:szCs w:val="22"/>
        </w:rPr>
      </w:pPr>
      <w:r>
        <w:rPr>
          <w:b/>
          <w:sz w:val="22"/>
          <w:szCs w:val="22"/>
        </w:rPr>
        <w:t>Razones o Motivos de inconformidad:</w:t>
      </w:r>
      <w:r>
        <w:rPr>
          <w:i/>
          <w:sz w:val="22"/>
          <w:szCs w:val="22"/>
        </w:rPr>
        <w:t xml:space="preserve"> “faltan documentales y las que mandaron no son las correctas, </w:t>
      </w:r>
      <w:proofErr w:type="spellStart"/>
      <w:r>
        <w:rPr>
          <w:i/>
          <w:sz w:val="22"/>
          <w:szCs w:val="22"/>
        </w:rPr>
        <w:t>ademas</w:t>
      </w:r>
      <w:proofErr w:type="spellEnd"/>
      <w:r>
        <w:rPr>
          <w:i/>
          <w:sz w:val="22"/>
          <w:szCs w:val="22"/>
        </w:rPr>
        <w:t xml:space="preserve"> mandan documentos ADHOC en lugar de los recibos.”</w:t>
      </w:r>
    </w:p>
    <w:p w14:paraId="06D78725" w14:textId="77777777" w:rsidR="00715B3A" w:rsidRDefault="00715B3A">
      <w:pPr>
        <w:spacing w:line="360" w:lineRule="auto"/>
        <w:ind w:right="-787"/>
        <w:jc w:val="both"/>
        <w:rPr>
          <w:rFonts w:ascii="Palatino Linotype" w:eastAsia="Palatino Linotype" w:hAnsi="Palatino Linotype" w:cs="Palatino Linotype"/>
          <w:color w:val="000000"/>
        </w:rPr>
      </w:pPr>
    </w:p>
    <w:p w14:paraId="1568481F"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color w:val="000000"/>
        </w:rPr>
        <w:t xml:space="preserve">En la etapa manifestaciones,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en ambos recursos entrega la misma información, cuyo contenido grosso modo consiste en lo siguiente. </w:t>
      </w:r>
    </w:p>
    <w:p w14:paraId="5CA39125" w14:textId="77777777" w:rsidR="00715B3A" w:rsidRDefault="002F487C">
      <w:pPr>
        <w:pBdr>
          <w:top w:val="nil"/>
          <w:left w:val="nil"/>
          <w:bottom w:val="nil"/>
          <w:right w:val="nil"/>
          <w:between w:val="nil"/>
        </w:pBdr>
        <w:ind w:left="566" w:right="-7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i/>
          <w:color w:val="000000"/>
          <w:sz w:val="22"/>
          <w:szCs w:val="22"/>
        </w:rPr>
        <w:t xml:space="preserve">Recurso de Revisión 00408/INFOEM/IP/RR/2024 y Recurso de Revisión 00409/INFOEM/IP/RR/2024: </w:t>
      </w:r>
    </w:p>
    <w:p w14:paraId="0A042803" w14:textId="77777777" w:rsidR="00715B3A" w:rsidRDefault="00715B3A">
      <w:pPr>
        <w:ind w:left="566" w:right="-79"/>
        <w:jc w:val="both"/>
        <w:rPr>
          <w:rFonts w:ascii="Palatino Linotype" w:eastAsia="Palatino Linotype" w:hAnsi="Palatino Linotype" w:cs="Palatino Linotype"/>
          <w:b/>
          <w:i/>
          <w:sz w:val="22"/>
          <w:szCs w:val="22"/>
        </w:rPr>
      </w:pPr>
    </w:p>
    <w:p w14:paraId="5C7FC052" w14:textId="77777777" w:rsidR="00715B3A" w:rsidRDefault="005B7D7E">
      <w:pPr>
        <w:ind w:left="566" w:right="-79"/>
        <w:jc w:val="both"/>
        <w:rPr>
          <w:rFonts w:ascii="Palatino Linotype" w:eastAsia="Palatino Linotype" w:hAnsi="Palatino Linotype" w:cs="Palatino Linotype"/>
          <w:i/>
          <w:sz w:val="22"/>
          <w:szCs w:val="22"/>
        </w:rPr>
      </w:pPr>
      <w:hyperlink r:id="rId9">
        <w:r w:rsidR="002F487C">
          <w:rPr>
            <w:rFonts w:ascii="Palatino Linotype" w:eastAsia="Palatino Linotype" w:hAnsi="Palatino Linotype" w:cs="Palatino Linotype"/>
            <w:b/>
            <w:i/>
            <w:sz w:val="22"/>
            <w:szCs w:val="22"/>
            <w:u w:val="single"/>
          </w:rPr>
          <w:t>20240215125015454_0002.pdf</w:t>
        </w:r>
      </w:hyperlink>
      <w:r w:rsidR="002F487C">
        <w:rPr>
          <w:rFonts w:ascii="Palatino Linotype" w:eastAsia="Palatino Linotype" w:hAnsi="Palatino Linotype" w:cs="Palatino Linotype"/>
          <w:b/>
          <w:i/>
          <w:sz w:val="22"/>
          <w:szCs w:val="22"/>
        </w:rPr>
        <w:t>:</w:t>
      </w:r>
      <w:r w:rsidR="002F487C">
        <w:rPr>
          <w:rFonts w:ascii="Palatino Linotype" w:eastAsia="Palatino Linotype" w:hAnsi="Palatino Linotype" w:cs="Palatino Linotype"/>
          <w:i/>
          <w:sz w:val="22"/>
          <w:szCs w:val="22"/>
        </w:rPr>
        <w:t xml:space="preserve"> Oficio suscrito por el Tesorero Municipal de Atizapán de Zaragoza, Estado de México, mediante el cual informa que adjunta a los archivos correspondientes a la información requerida que le corresponde a la Tesorería Municipal.</w:t>
      </w:r>
    </w:p>
    <w:p w14:paraId="2C0203B3" w14:textId="77777777" w:rsidR="00715B3A" w:rsidRDefault="00715B3A">
      <w:pPr>
        <w:ind w:left="566" w:right="-79"/>
        <w:jc w:val="both"/>
        <w:rPr>
          <w:rFonts w:ascii="Palatino Linotype" w:eastAsia="Palatino Linotype" w:hAnsi="Palatino Linotype" w:cs="Palatino Linotype"/>
          <w:b/>
          <w:i/>
          <w:sz w:val="22"/>
          <w:szCs w:val="22"/>
        </w:rPr>
      </w:pPr>
    </w:p>
    <w:p w14:paraId="6454B1CF"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20240215134757930.pdf.:</w:t>
      </w:r>
      <w:r>
        <w:rPr>
          <w:rFonts w:ascii="Palatino Linotype" w:eastAsia="Palatino Linotype" w:hAnsi="Palatino Linotype" w:cs="Palatino Linotype"/>
          <w:i/>
          <w:sz w:val="22"/>
          <w:szCs w:val="22"/>
        </w:rPr>
        <w:t xml:space="preserve"> Oficio de la Directora de </w:t>
      </w:r>
      <w:proofErr w:type="gramStart"/>
      <w:r>
        <w:rPr>
          <w:rFonts w:ascii="Palatino Linotype" w:eastAsia="Palatino Linotype" w:hAnsi="Palatino Linotype" w:cs="Palatino Linotype"/>
          <w:i/>
          <w:sz w:val="22"/>
          <w:szCs w:val="22"/>
        </w:rPr>
        <w:t>Administración,  mediante</w:t>
      </w:r>
      <w:proofErr w:type="gramEnd"/>
      <w:r>
        <w:rPr>
          <w:rFonts w:ascii="Palatino Linotype" w:eastAsia="Palatino Linotype" w:hAnsi="Palatino Linotype" w:cs="Palatino Linotype"/>
          <w:i/>
          <w:sz w:val="22"/>
          <w:szCs w:val="22"/>
        </w:rPr>
        <w:t xml:space="preserve"> el cual refiere que el solicitante solo se queja por los dispersión de nómina y los estados de cuenta, información que obra en los archivos de la Tesorería Municipal, situación por la cual refiere que no se inconforma por la conciliación de nómina y los recibos de nómina. </w:t>
      </w:r>
    </w:p>
    <w:p w14:paraId="20362C7D"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20240215125105836_0002.pdf: </w:t>
      </w:r>
      <w:r>
        <w:rPr>
          <w:rFonts w:ascii="Palatino Linotype" w:eastAsia="Palatino Linotype" w:hAnsi="Palatino Linotype" w:cs="Palatino Linotype"/>
          <w:i/>
          <w:sz w:val="22"/>
          <w:szCs w:val="22"/>
        </w:rPr>
        <w:t xml:space="preserve">oficio del Titular de la Unidad de Transparencia, mediante el cual le solicita a la Dirección de Administración que fundamente y motive las razones por las cuales la solicitud de información fue atendida. </w:t>
      </w:r>
    </w:p>
    <w:p w14:paraId="59558C87"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20240215125015454_0003.pdf: </w:t>
      </w:r>
      <w:r>
        <w:rPr>
          <w:rFonts w:ascii="Palatino Linotype" w:eastAsia="Palatino Linotype" w:hAnsi="Palatino Linotype" w:cs="Palatino Linotype"/>
          <w:i/>
          <w:sz w:val="22"/>
          <w:szCs w:val="22"/>
        </w:rPr>
        <w:t>oficio del Titular de la Unidad de Transparencia, mediante el cual le solicita a la Tesorería Municipal que fundamente y motive las razones por las cuales la solicitud de información fue atendida.</w:t>
      </w:r>
    </w:p>
    <w:p w14:paraId="41FCFE12" w14:textId="77777777" w:rsidR="00715B3A" w:rsidRDefault="002F487C">
      <w:pPr>
        <w:ind w:left="566" w:right="-7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RR-408-409 (2).zip</w:t>
      </w:r>
    </w:p>
    <w:p w14:paraId="21ABC904"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RR-408-409\QNA 19\01 AFIRME QNA 19.pdf:</w:t>
      </w:r>
      <w:r>
        <w:rPr>
          <w:rFonts w:ascii="Palatino Linotype" w:eastAsia="Palatino Linotype" w:hAnsi="Palatino Linotype" w:cs="Palatino Linotype"/>
          <w:i/>
          <w:sz w:val="22"/>
          <w:szCs w:val="22"/>
        </w:rPr>
        <w:t xml:space="preserve"> Dispersión de la quincena diecinueve de Banco AFIRME de fecha trece de octubre de dos mil veintitrés.</w:t>
      </w:r>
    </w:p>
    <w:p w14:paraId="564B5513" w14:textId="77777777" w:rsidR="00715B3A" w:rsidRDefault="002F487C">
      <w:pPr>
        <w:ind w:left="566" w:right="-7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RR-408-409\QNA 19\02 COMPLEMENTO NOMINA BANAMEX QNA 19.pdf</w:t>
      </w:r>
      <w:r>
        <w:rPr>
          <w:rFonts w:ascii="Palatino Linotype" w:eastAsia="Palatino Linotype" w:hAnsi="Palatino Linotype" w:cs="Palatino Linotype"/>
          <w:i/>
          <w:sz w:val="22"/>
          <w:szCs w:val="22"/>
        </w:rPr>
        <w:t>: Dispersión de complemento de nómina BANAMEX quincena diecinueve, de fecha diecisiete de octubre de dos mil veintitrés.</w:t>
      </w:r>
    </w:p>
    <w:p w14:paraId="230BA3B4"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RR-408-409\QNA 19\02 NOMINA BANAMEX Q 19 BANAMEX.pdf:</w:t>
      </w:r>
      <w:r>
        <w:rPr>
          <w:rFonts w:ascii="Palatino Linotype" w:eastAsia="Palatino Linotype" w:hAnsi="Palatino Linotype" w:cs="Palatino Linotype"/>
          <w:i/>
          <w:sz w:val="22"/>
          <w:szCs w:val="22"/>
        </w:rPr>
        <w:t xml:space="preserve"> </w:t>
      </w:r>
    </w:p>
    <w:p w14:paraId="1093F627" w14:textId="77777777" w:rsidR="00715B3A" w:rsidRDefault="002F487C">
      <w:pPr>
        <w:ind w:left="566" w:right="-7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Transferencia del banco CITIBANAMEX de la quincena diecinueve de fecha trece de octubre de dos mil veintitrés.</w:t>
      </w:r>
    </w:p>
    <w:p w14:paraId="1756EDC4" w14:textId="77777777" w:rsidR="00715B3A" w:rsidRDefault="002F487C">
      <w:pPr>
        <w:ind w:left="566" w:right="-7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RR-408-409\QNA 19\02 NOMINA BANAMEX Q 19.pdf: </w:t>
      </w:r>
    </w:p>
    <w:p w14:paraId="7CEC497F"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Transferencia del </w:t>
      </w:r>
      <w:proofErr w:type="gramStart"/>
      <w:r>
        <w:rPr>
          <w:rFonts w:ascii="Palatino Linotype" w:eastAsia="Palatino Linotype" w:hAnsi="Palatino Linotype" w:cs="Palatino Linotype"/>
          <w:i/>
          <w:sz w:val="22"/>
          <w:szCs w:val="22"/>
        </w:rPr>
        <w:t>banco  BANAMEX</w:t>
      </w:r>
      <w:proofErr w:type="gramEnd"/>
      <w:r>
        <w:rPr>
          <w:rFonts w:ascii="Palatino Linotype" w:eastAsia="Palatino Linotype" w:hAnsi="Palatino Linotype" w:cs="Palatino Linotype"/>
          <w:i/>
          <w:sz w:val="22"/>
          <w:szCs w:val="22"/>
        </w:rPr>
        <w:t xml:space="preserve"> de la quincena diecinueve, de fecha trece de octubre de dos mil veintitrés.</w:t>
      </w:r>
    </w:p>
    <w:p w14:paraId="0FCC906A"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RR-408-409\QNA 19\02 RECHAZO NOMINA BANAMEX.pdf:</w:t>
      </w:r>
      <w:r>
        <w:rPr>
          <w:rFonts w:ascii="Palatino Linotype" w:eastAsia="Palatino Linotype" w:hAnsi="Palatino Linotype" w:cs="Palatino Linotype"/>
          <w:i/>
          <w:sz w:val="22"/>
          <w:szCs w:val="22"/>
        </w:rPr>
        <w:t xml:space="preserve"> </w:t>
      </w:r>
    </w:p>
    <w:p w14:paraId="35CCEEFA"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Rechazo de nómina del banco BANAMEX, de fecha dieciséis de octubre de dos mil veintitrés.</w:t>
      </w:r>
    </w:p>
    <w:p w14:paraId="11F8B6B4"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RR-408-409\QNA 19\03 BANORTE QNA 19 COMPL.pdf:</w:t>
      </w:r>
      <w:r>
        <w:rPr>
          <w:rFonts w:ascii="Palatino Linotype" w:eastAsia="Palatino Linotype" w:hAnsi="Palatino Linotype" w:cs="Palatino Linotype"/>
          <w:i/>
          <w:sz w:val="22"/>
          <w:szCs w:val="22"/>
        </w:rPr>
        <w:t xml:space="preserve"> </w:t>
      </w:r>
    </w:p>
    <w:p w14:paraId="0D85CE9E"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Pago de Nómina </w:t>
      </w:r>
      <w:proofErr w:type="gramStart"/>
      <w:r>
        <w:rPr>
          <w:rFonts w:ascii="Palatino Linotype" w:eastAsia="Palatino Linotype" w:hAnsi="Palatino Linotype" w:cs="Palatino Linotype"/>
          <w:i/>
          <w:sz w:val="22"/>
          <w:szCs w:val="22"/>
        </w:rPr>
        <w:t>del  banco</w:t>
      </w:r>
      <w:proofErr w:type="gramEnd"/>
      <w:r>
        <w:rPr>
          <w:rFonts w:ascii="Palatino Linotype" w:eastAsia="Palatino Linotype" w:hAnsi="Palatino Linotype" w:cs="Palatino Linotype"/>
          <w:i/>
          <w:sz w:val="22"/>
          <w:szCs w:val="22"/>
        </w:rPr>
        <w:t xml:space="preserve"> BANORTE quincena diecinueve, de fecha trece de octubre de dos mil veintitrés.</w:t>
      </w:r>
    </w:p>
    <w:p w14:paraId="615431DA" w14:textId="77777777" w:rsidR="00715B3A" w:rsidRDefault="00715B3A">
      <w:pPr>
        <w:ind w:left="566" w:right="-79"/>
        <w:jc w:val="both"/>
        <w:rPr>
          <w:rFonts w:ascii="Palatino Linotype" w:eastAsia="Palatino Linotype" w:hAnsi="Palatino Linotype" w:cs="Palatino Linotype"/>
          <w:i/>
          <w:sz w:val="22"/>
          <w:szCs w:val="22"/>
        </w:rPr>
      </w:pPr>
    </w:p>
    <w:p w14:paraId="760969B5"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RR-408-409\QNA 19\03 BANORTE QNA 19.pdf:</w:t>
      </w:r>
      <w:r>
        <w:rPr>
          <w:rFonts w:ascii="Palatino Linotype" w:eastAsia="Palatino Linotype" w:hAnsi="Palatino Linotype" w:cs="Palatino Linotype"/>
          <w:i/>
          <w:sz w:val="22"/>
          <w:szCs w:val="22"/>
        </w:rPr>
        <w:t xml:space="preserve"> </w:t>
      </w:r>
    </w:p>
    <w:p w14:paraId="62294C13"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Pagó de nómina complementaria del banco BANORTE de la quincena diecinueve, de fecha dieciocho de octubre de dos mil veintitrés. </w:t>
      </w:r>
    </w:p>
    <w:p w14:paraId="6558508A"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RR-408-409\QNA 19\04 COMPLEMENTO NOMINA BBVA Q19.pdf:</w:t>
      </w:r>
      <w:r>
        <w:rPr>
          <w:rFonts w:ascii="Palatino Linotype" w:eastAsia="Palatino Linotype" w:hAnsi="Palatino Linotype" w:cs="Palatino Linotype"/>
          <w:i/>
          <w:sz w:val="22"/>
          <w:szCs w:val="22"/>
        </w:rPr>
        <w:t xml:space="preserve"> </w:t>
      </w:r>
    </w:p>
    <w:p w14:paraId="08169D98"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Dispersión complementaria de nómina del banco BBVA quincena diecinueve, de fecha diecisiete de octubre de dos mil veintitrés. </w:t>
      </w:r>
    </w:p>
    <w:p w14:paraId="66A8936D"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RR-408-409\QNA 19\04 NOMINA BBVA Q 19.pdf</w:t>
      </w:r>
      <w:r>
        <w:rPr>
          <w:rFonts w:ascii="Palatino Linotype" w:eastAsia="Palatino Linotype" w:hAnsi="Palatino Linotype" w:cs="Palatino Linotype"/>
          <w:i/>
          <w:sz w:val="22"/>
          <w:szCs w:val="22"/>
        </w:rPr>
        <w:t xml:space="preserve">: </w:t>
      </w:r>
    </w:p>
    <w:p w14:paraId="6C2CBA2D" w14:textId="77777777" w:rsidR="00715B3A" w:rsidRDefault="002F487C">
      <w:pPr>
        <w:ind w:left="566" w:right="-7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Dispersión de nómina del banco BBVA de la quincena diecinueve, de fecha trece de octubre de dos mil veintitrés.</w:t>
      </w:r>
    </w:p>
    <w:p w14:paraId="0AEF3AAD"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RR-408-409\QNA 19\05 SANTANDER QNA 19 COMP.pdf:</w:t>
      </w:r>
      <w:r>
        <w:rPr>
          <w:rFonts w:ascii="Palatino Linotype" w:eastAsia="Palatino Linotype" w:hAnsi="Palatino Linotype" w:cs="Palatino Linotype"/>
          <w:i/>
          <w:sz w:val="22"/>
          <w:szCs w:val="22"/>
        </w:rPr>
        <w:t xml:space="preserve"> </w:t>
      </w:r>
    </w:p>
    <w:p w14:paraId="16AAA8BC"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Hoja de alta por pago del banco SANTANDER del diecisiete de octubre de dos mil veintitrés.</w:t>
      </w:r>
    </w:p>
    <w:p w14:paraId="2C17FC61"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RR-408-409\QNA 19\05 SANTANDER QNA 19.pdf:</w:t>
      </w:r>
    </w:p>
    <w:p w14:paraId="2F39E50A"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Hoja de alta por pago del banco SANTANDER del diecisiete de octubre de dos mil veintitrés.</w:t>
      </w:r>
    </w:p>
    <w:p w14:paraId="5B147544" w14:textId="77777777" w:rsidR="00715B3A" w:rsidRDefault="00715B3A">
      <w:pPr>
        <w:ind w:left="566" w:right="-79"/>
        <w:jc w:val="both"/>
        <w:rPr>
          <w:rFonts w:ascii="Palatino Linotype" w:eastAsia="Palatino Linotype" w:hAnsi="Palatino Linotype" w:cs="Palatino Linotype"/>
          <w:sz w:val="22"/>
          <w:szCs w:val="22"/>
        </w:rPr>
      </w:pPr>
    </w:p>
    <w:p w14:paraId="3AE39A3B"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Solicitud 00687/ATIZARA/IP/</w:t>
      </w:r>
      <w:proofErr w:type="gramStart"/>
      <w:r>
        <w:rPr>
          <w:rFonts w:ascii="Palatino Linotype" w:eastAsia="Palatino Linotype" w:hAnsi="Palatino Linotype" w:cs="Palatino Linotype"/>
          <w:b/>
          <w:i/>
          <w:sz w:val="22"/>
          <w:szCs w:val="22"/>
        </w:rPr>
        <w:t>2023 :</w:t>
      </w:r>
      <w:proofErr w:type="gramEnd"/>
      <w:r>
        <w:rPr>
          <w:rFonts w:ascii="Palatino Linotype" w:eastAsia="Palatino Linotype" w:hAnsi="Palatino Linotype" w:cs="Palatino Linotype"/>
          <w:i/>
          <w:sz w:val="22"/>
          <w:szCs w:val="22"/>
        </w:rPr>
        <w:t xml:space="preserve"> “Solicito la nómina, conciliación de nómina, dispersión de nómina y estados de cuenta donde se refleje los movimientos de nómina de la primera quincena de octubre”</w:t>
      </w:r>
    </w:p>
    <w:p w14:paraId="48A08BD2" w14:textId="77777777" w:rsidR="00715B3A" w:rsidRDefault="002F487C">
      <w:pPr>
        <w:ind w:left="566"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Solicitud 00688/ATIZARA/IP/2023: </w:t>
      </w:r>
      <w:r>
        <w:rPr>
          <w:rFonts w:ascii="Palatino Linotype" w:eastAsia="Palatino Linotype" w:hAnsi="Palatino Linotype" w:cs="Palatino Linotype"/>
          <w:i/>
          <w:sz w:val="22"/>
          <w:szCs w:val="22"/>
        </w:rPr>
        <w:t>“Solicito la nómina, conciliación de nómina, dispersión de nómina y estados de cuenta donde se refleje los movimientos de nómina de la primera quincena de octubre”</w:t>
      </w:r>
    </w:p>
    <w:p w14:paraId="5220CE94" w14:textId="77777777" w:rsidR="00715B3A" w:rsidRDefault="00715B3A">
      <w:pPr>
        <w:ind w:right="-787"/>
        <w:rPr>
          <w:rFonts w:ascii="Palatino Linotype" w:eastAsia="Palatino Linotype" w:hAnsi="Palatino Linotype" w:cs="Palatino Linotype"/>
          <w:color w:val="000000"/>
        </w:rPr>
      </w:pPr>
    </w:p>
    <w:p w14:paraId="4FA1F50E"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color w:val="000000"/>
        </w:rPr>
        <w:t xml:space="preserve">Ahora bien, mediante la siguiente tabla se analizará la información que se solicita y la información que remite el </w:t>
      </w:r>
      <w:r>
        <w:rPr>
          <w:rFonts w:ascii="Palatino Linotype" w:eastAsia="Palatino Linotype" w:hAnsi="Palatino Linotype" w:cs="Palatino Linotype"/>
          <w:b/>
          <w:color w:val="000000"/>
        </w:rPr>
        <w:t xml:space="preserve">SUJETO OBLIGADO respecto de la primera quincena de octubre del ejercicio fiscal dos mil veintitrés, para precisar si se colmó o no el derecho de acceso a la información del RECURRENTE. </w:t>
      </w:r>
    </w:p>
    <w:tbl>
      <w:tblPr>
        <w:tblStyle w:val="a"/>
        <w:tblW w:w="9225" w:type="dxa"/>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1905"/>
        <w:gridCol w:w="2520"/>
        <w:gridCol w:w="1935"/>
        <w:gridCol w:w="2265"/>
      </w:tblGrid>
      <w:tr w:rsidR="00715B3A" w14:paraId="18958CBB" w14:textId="77777777">
        <w:tc>
          <w:tcPr>
            <w:tcW w:w="600" w:type="dxa"/>
          </w:tcPr>
          <w:p w14:paraId="13430C81" w14:textId="77777777" w:rsidR="00715B3A" w:rsidRDefault="002F487C">
            <w:pPr>
              <w:ind w:right="-1877"/>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No.</w:t>
            </w:r>
          </w:p>
        </w:tc>
        <w:tc>
          <w:tcPr>
            <w:tcW w:w="1905" w:type="dxa"/>
          </w:tcPr>
          <w:p w14:paraId="0E43725B" w14:textId="77777777" w:rsidR="00715B3A" w:rsidRDefault="002F487C">
            <w:pPr>
              <w:ind w:right="-114"/>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Solicitud</w:t>
            </w:r>
          </w:p>
        </w:tc>
        <w:tc>
          <w:tcPr>
            <w:tcW w:w="2520" w:type="dxa"/>
          </w:tcPr>
          <w:p w14:paraId="4C86B718" w14:textId="77777777" w:rsidR="00715B3A" w:rsidRDefault="002F487C">
            <w:pPr>
              <w:ind w:right="-99"/>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Información entregada en respuesta</w:t>
            </w:r>
          </w:p>
        </w:tc>
        <w:tc>
          <w:tcPr>
            <w:tcW w:w="1935" w:type="dxa"/>
          </w:tcPr>
          <w:p w14:paraId="672AE9BC" w14:textId="77777777" w:rsidR="00715B3A" w:rsidRDefault="002F487C">
            <w:pPr>
              <w:ind w:right="-117"/>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Información entregada en la etapa de manifestaciones </w:t>
            </w:r>
          </w:p>
        </w:tc>
        <w:tc>
          <w:tcPr>
            <w:tcW w:w="2265" w:type="dxa"/>
          </w:tcPr>
          <w:p w14:paraId="7455BF37" w14:textId="77777777" w:rsidR="00715B3A" w:rsidRDefault="002F487C">
            <w:pPr>
              <w:ind w:right="-35"/>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Colma </w:t>
            </w:r>
          </w:p>
        </w:tc>
      </w:tr>
      <w:tr w:rsidR="00715B3A" w14:paraId="13E60B08" w14:textId="77777777">
        <w:tc>
          <w:tcPr>
            <w:tcW w:w="600" w:type="dxa"/>
          </w:tcPr>
          <w:p w14:paraId="3C449D34" w14:textId="77777777" w:rsidR="00715B3A" w:rsidRDefault="002F487C">
            <w:pPr>
              <w:ind w:right="-1877"/>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w:t>
            </w:r>
          </w:p>
        </w:tc>
        <w:tc>
          <w:tcPr>
            <w:tcW w:w="1905" w:type="dxa"/>
          </w:tcPr>
          <w:p w14:paraId="2F4FA15E" w14:textId="77777777" w:rsidR="00715B3A" w:rsidRDefault="002F487C">
            <w:pPr>
              <w:ind w:right="-114"/>
              <w:rPr>
                <w:rFonts w:ascii="Palatino Linotype" w:eastAsia="Palatino Linotype" w:hAnsi="Palatino Linotype" w:cs="Palatino Linotype"/>
                <w:b/>
                <w:sz w:val="22"/>
                <w:szCs w:val="22"/>
              </w:rPr>
            </w:pPr>
            <w:r>
              <w:rPr>
                <w:rFonts w:ascii="Palatino Linotype" w:eastAsia="Palatino Linotype" w:hAnsi="Palatino Linotype" w:cs="Palatino Linotype"/>
                <w:b/>
                <w:i/>
                <w:sz w:val="22"/>
                <w:szCs w:val="22"/>
              </w:rPr>
              <w:t xml:space="preserve">La nómina </w:t>
            </w:r>
          </w:p>
          <w:p w14:paraId="1CEE65F2" w14:textId="77777777" w:rsidR="00715B3A" w:rsidRDefault="00715B3A">
            <w:pPr>
              <w:ind w:right="-114"/>
              <w:rPr>
                <w:rFonts w:ascii="Palatino Linotype" w:eastAsia="Palatino Linotype" w:hAnsi="Palatino Linotype" w:cs="Palatino Linotype"/>
                <w:i/>
                <w:color w:val="000000"/>
                <w:sz w:val="22"/>
                <w:szCs w:val="22"/>
              </w:rPr>
            </w:pPr>
          </w:p>
        </w:tc>
        <w:tc>
          <w:tcPr>
            <w:tcW w:w="2520" w:type="dxa"/>
          </w:tcPr>
          <w:p w14:paraId="00C9C3BE" w14:textId="77777777" w:rsidR="00715B3A" w:rsidRDefault="002F487C">
            <w:pPr>
              <w:ind w:right="-99"/>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respuesta la Dirección de Administración remite los recibos de nómina de la primera quincena de octubre de dos mil veintitrés, de tres mil seiscientos diez servidores públicos. </w:t>
            </w:r>
          </w:p>
        </w:tc>
        <w:tc>
          <w:tcPr>
            <w:tcW w:w="1935" w:type="dxa"/>
          </w:tcPr>
          <w:p w14:paraId="576706CB" w14:textId="77777777" w:rsidR="00715B3A" w:rsidRPr="0066577C" w:rsidRDefault="002F487C">
            <w:pPr>
              <w:ind w:right="-117"/>
              <w:rPr>
                <w:rFonts w:ascii="Palatino Linotype" w:eastAsia="Palatino Linotype" w:hAnsi="Palatino Linotype" w:cs="Palatino Linotype"/>
                <w:i/>
                <w:color w:val="000000"/>
                <w:sz w:val="22"/>
                <w:szCs w:val="22"/>
              </w:rPr>
            </w:pPr>
            <w:r w:rsidRPr="0066577C">
              <w:rPr>
                <w:rFonts w:ascii="Palatino Linotype" w:eastAsia="Palatino Linotype" w:hAnsi="Palatino Linotype" w:cs="Palatino Linotype"/>
                <w:i/>
                <w:color w:val="000000"/>
                <w:sz w:val="22"/>
                <w:szCs w:val="22"/>
              </w:rPr>
              <w:t xml:space="preserve">Refiere que el Particular lo tiene como actos consentidos. </w:t>
            </w:r>
          </w:p>
        </w:tc>
        <w:tc>
          <w:tcPr>
            <w:tcW w:w="2265" w:type="dxa"/>
          </w:tcPr>
          <w:p w14:paraId="267C917C" w14:textId="77777777" w:rsidR="00715B3A" w:rsidRPr="0066577C" w:rsidRDefault="002F487C" w:rsidP="002F487C">
            <w:pPr>
              <w:ind w:right="-35"/>
              <w:jc w:val="both"/>
              <w:rPr>
                <w:rFonts w:ascii="Palatino Linotype" w:eastAsia="Palatino Linotype" w:hAnsi="Palatino Linotype" w:cs="Palatino Linotype"/>
                <w:i/>
                <w:color w:val="000000"/>
                <w:sz w:val="22"/>
                <w:szCs w:val="22"/>
              </w:rPr>
            </w:pPr>
            <w:proofErr w:type="gramStart"/>
            <w:r w:rsidRPr="0066577C">
              <w:rPr>
                <w:rFonts w:ascii="Palatino Linotype" w:eastAsia="Palatino Linotype" w:hAnsi="Palatino Linotype" w:cs="Palatino Linotype"/>
                <w:i/>
                <w:color w:val="000000"/>
                <w:sz w:val="22"/>
                <w:szCs w:val="22"/>
              </w:rPr>
              <w:t>Si  colma</w:t>
            </w:r>
            <w:proofErr w:type="gramEnd"/>
            <w:r w:rsidRPr="0066577C">
              <w:rPr>
                <w:rFonts w:ascii="Palatino Linotype" w:eastAsia="Palatino Linotype" w:hAnsi="Palatino Linotype" w:cs="Palatino Linotype"/>
                <w:i/>
                <w:color w:val="000000"/>
                <w:sz w:val="22"/>
                <w:szCs w:val="22"/>
              </w:rPr>
              <w:t xml:space="preserve"> toda vez que el </w:t>
            </w:r>
            <w:r w:rsidRPr="0066577C">
              <w:rPr>
                <w:rFonts w:ascii="Palatino Linotype" w:eastAsia="Palatino Linotype" w:hAnsi="Palatino Linotype" w:cs="Palatino Linotype"/>
                <w:b/>
                <w:i/>
                <w:color w:val="000000"/>
                <w:sz w:val="22"/>
                <w:szCs w:val="22"/>
              </w:rPr>
              <w:t xml:space="preserve">SUJETO OBLIGADO </w:t>
            </w:r>
            <w:r w:rsidRPr="0066577C">
              <w:rPr>
                <w:rFonts w:ascii="Palatino Linotype" w:eastAsia="Palatino Linotype" w:hAnsi="Palatino Linotype" w:cs="Palatino Linotype"/>
                <w:i/>
                <w:color w:val="000000"/>
                <w:sz w:val="22"/>
                <w:szCs w:val="22"/>
              </w:rPr>
              <w:t xml:space="preserve">entrega los recibos de nómina de la primera quincena de octubre de 2023.  </w:t>
            </w:r>
          </w:p>
        </w:tc>
      </w:tr>
      <w:tr w:rsidR="00715B3A" w14:paraId="52248854" w14:textId="77777777">
        <w:tc>
          <w:tcPr>
            <w:tcW w:w="600" w:type="dxa"/>
          </w:tcPr>
          <w:p w14:paraId="7B41E23B" w14:textId="77777777" w:rsidR="00715B3A" w:rsidRDefault="002F487C">
            <w:pPr>
              <w:ind w:right="-1877"/>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2</w:t>
            </w:r>
          </w:p>
        </w:tc>
        <w:tc>
          <w:tcPr>
            <w:tcW w:w="1905" w:type="dxa"/>
          </w:tcPr>
          <w:p w14:paraId="2990F7B5" w14:textId="77777777" w:rsidR="00715B3A" w:rsidRDefault="002F487C">
            <w:pPr>
              <w:ind w:right="-114"/>
              <w:rPr>
                <w:rFonts w:ascii="Palatino Linotype" w:eastAsia="Palatino Linotype" w:hAnsi="Palatino Linotype" w:cs="Palatino Linotype"/>
                <w:b/>
                <w:sz w:val="22"/>
                <w:szCs w:val="22"/>
              </w:rPr>
            </w:pPr>
            <w:r>
              <w:rPr>
                <w:rFonts w:ascii="Palatino Linotype" w:eastAsia="Palatino Linotype" w:hAnsi="Palatino Linotype" w:cs="Palatino Linotype"/>
                <w:b/>
                <w:i/>
                <w:sz w:val="22"/>
                <w:szCs w:val="22"/>
              </w:rPr>
              <w:t>Conciliación de nómina</w:t>
            </w:r>
          </w:p>
          <w:p w14:paraId="397BA169" w14:textId="77777777" w:rsidR="00715B3A" w:rsidRDefault="00715B3A">
            <w:pPr>
              <w:ind w:right="-114"/>
              <w:rPr>
                <w:rFonts w:ascii="Palatino Linotype" w:eastAsia="Palatino Linotype" w:hAnsi="Palatino Linotype" w:cs="Palatino Linotype"/>
                <w:i/>
                <w:color w:val="000000"/>
                <w:sz w:val="22"/>
                <w:szCs w:val="22"/>
              </w:rPr>
            </w:pPr>
          </w:p>
        </w:tc>
        <w:tc>
          <w:tcPr>
            <w:tcW w:w="2520" w:type="dxa"/>
          </w:tcPr>
          <w:p w14:paraId="56EC1DFF" w14:textId="77777777" w:rsidR="00715B3A" w:rsidRDefault="002F487C">
            <w:pPr>
              <w:ind w:right="-99"/>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w:t>
            </w:r>
            <w:proofErr w:type="gramStart"/>
            <w:r>
              <w:rPr>
                <w:rFonts w:ascii="Palatino Linotype" w:eastAsia="Palatino Linotype" w:hAnsi="Palatino Linotype" w:cs="Palatino Linotype"/>
                <w:i/>
                <w:color w:val="000000"/>
                <w:sz w:val="22"/>
                <w:szCs w:val="22"/>
              </w:rPr>
              <w:t>Directora</w:t>
            </w:r>
            <w:proofErr w:type="gramEnd"/>
            <w:r>
              <w:rPr>
                <w:rFonts w:ascii="Palatino Linotype" w:eastAsia="Palatino Linotype" w:hAnsi="Palatino Linotype" w:cs="Palatino Linotype"/>
                <w:i/>
                <w:color w:val="000000"/>
                <w:sz w:val="22"/>
                <w:szCs w:val="22"/>
              </w:rPr>
              <w:t xml:space="preserve"> de Administración remite la conciliación de nómina de la primera y segunda quincena de tres mil seiscientos veintitrés servidores públicos, de la cual se debe de indiciar que en la segunda quincena de octubre dejo datos personales que debieron de ser clasificados como confidenciales. </w:t>
            </w:r>
          </w:p>
        </w:tc>
        <w:tc>
          <w:tcPr>
            <w:tcW w:w="1935" w:type="dxa"/>
          </w:tcPr>
          <w:p w14:paraId="3B47AC35" w14:textId="77777777" w:rsidR="00715B3A" w:rsidRPr="0066577C" w:rsidRDefault="002F487C">
            <w:pPr>
              <w:ind w:right="-117"/>
              <w:rPr>
                <w:rFonts w:ascii="Palatino Linotype" w:eastAsia="Palatino Linotype" w:hAnsi="Palatino Linotype" w:cs="Palatino Linotype"/>
                <w:i/>
                <w:color w:val="000000"/>
                <w:sz w:val="22"/>
                <w:szCs w:val="22"/>
              </w:rPr>
            </w:pPr>
            <w:r w:rsidRPr="0066577C">
              <w:rPr>
                <w:rFonts w:ascii="Palatino Linotype" w:eastAsia="Palatino Linotype" w:hAnsi="Palatino Linotype" w:cs="Palatino Linotype"/>
                <w:i/>
                <w:color w:val="000000"/>
                <w:sz w:val="22"/>
                <w:szCs w:val="22"/>
              </w:rPr>
              <w:t>Refiere que el Particular lo tiene como actos consentidos.</w:t>
            </w:r>
          </w:p>
        </w:tc>
        <w:tc>
          <w:tcPr>
            <w:tcW w:w="2265" w:type="dxa"/>
          </w:tcPr>
          <w:p w14:paraId="47A64EA9" w14:textId="77777777" w:rsidR="00715B3A" w:rsidRPr="0066577C" w:rsidRDefault="002F487C" w:rsidP="002F487C">
            <w:pPr>
              <w:ind w:right="-35"/>
              <w:jc w:val="both"/>
              <w:rPr>
                <w:rFonts w:ascii="Palatino Linotype" w:eastAsia="Palatino Linotype" w:hAnsi="Palatino Linotype" w:cs="Palatino Linotype"/>
                <w:i/>
                <w:color w:val="000000"/>
                <w:sz w:val="22"/>
                <w:szCs w:val="22"/>
              </w:rPr>
            </w:pPr>
            <w:r w:rsidRPr="0066577C">
              <w:rPr>
                <w:rFonts w:ascii="Palatino Linotype" w:eastAsia="Palatino Linotype" w:hAnsi="Palatino Linotype" w:cs="Palatino Linotype"/>
                <w:i/>
                <w:color w:val="000000"/>
                <w:sz w:val="22"/>
                <w:szCs w:val="22"/>
              </w:rPr>
              <w:t xml:space="preserve">Si colma, pero debe dar vista a Dirección de Protección de Datos y la Secretaría Técnica por dejar libres datos que debían tenerse como confidenciales y reservado. </w:t>
            </w:r>
          </w:p>
        </w:tc>
      </w:tr>
      <w:tr w:rsidR="00715B3A" w14:paraId="0BB3A39D" w14:textId="77777777">
        <w:tc>
          <w:tcPr>
            <w:tcW w:w="600" w:type="dxa"/>
          </w:tcPr>
          <w:p w14:paraId="5E8EDDAC" w14:textId="77777777" w:rsidR="00715B3A" w:rsidRDefault="002F487C">
            <w:pPr>
              <w:ind w:right="-1877"/>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3</w:t>
            </w:r>
          </w:p>
        </w:tc>
        <w:tc>
          <w:tcPr>
            <w:tcW w:w="1905" w:type="dxa"/>
          </w:tcPr>
          <w:p w14:paraId="29DB038D" w14:textId="77777777" w:rsidR="00715B3A" w:rsidRDefault="002F487C">
            <w:pPr>
              <w:ind w:right="-147"/>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sz w:val="22"/>
                <w:szCs w:val="22"/>
              </w:rPr>
              <w:t>Dispersión de nómina</w:t>
            </w:r>
          </w:p>
        </w:tc>
        <w:tc>
          <w:tcPr>
            <w:tcW w:w="2520" w:type="dxa"/>
          </w:tcPr>
          <w:p w14:paraId="5223F98F" w14:textId="77777777" w:rsidR="00715B3A" w:rsidRDefault="002F487C">
            <w:pPr>
              <w:ind w:right="-99"/>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 hay pronunciamiento inicial </w:t>
            </w:r>
          </w:p>
        </w:tc>
        <w:tc>
          <w:tcPr>
            <w:tcW w:w="1935" w:type="dxa"/>
          </w:tcPr>
          <w:p w14:paraId="4929CBC6" w14:textId="77777777" w:rsidR="00715B3A" w:rsidRDefault="002F487C">
            <w:pPr>
              <w:ind w:right="-117"/>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Tesorero Municipal adjunta once archivos electrónicos que consisten en pagos por la nómina, sin </w:t>
            </w:r>
            <w:proofErr w:type="gramStart"/>
            <w:r>
              <w:rPr>
                <w:rFonts w:ascii="Palatino Linotype" w:eastAsia="Palatino Linotype" w:hAnsi="Palatino Linotype" w:cs="Palatino Linotype"/>
                <w:i/>
                <w:color w:val="000000"/>
                <w:sz w:val="22"/>
                <w:szCs w:val="22"/>
              </w:rPr>
              <w:t>embargo</w:t>
            </w:r>
            <w:proofErr w:type="gramEnd"/>
            <w:r>
              <w:rPr>
                <w:rFonts w:ascii="Palatino Linotype" w:eastAsia="Palatino Linotype" w:hAnsi="Palatino Linotype" w:cs="Palatino Linotype"/>
                <w:i/>
                <w:color w:val="000000"/>
                <w:sz w:val="22"/>
                <w:szCs w:val="22"/>
              </w:rPr>
              <w:t xml:space="preserve"> los documentos adjuntos como dispersión de nómina no contienen los datos que solicita el </w:t>
            </w:r>
            <w:r>
              <w:rPr>
                <w:rFonts w:ascii="Palatino Linotype" w:eastAsia="Palatino Linotype" w:hAnsi="Palatino Linotype" w:cs="Palatino Linotype"/>
                <w:i/>
                <w:color w:val="000000"/>
                <w:sz w:val="22"/>
                <w:szCs w:val="22"/>
              </w:rPr>
              <w:lastRenderedPageBreak/>
              <w:t>Órgano Superior de Fiscalización</w:t>
            </w:r>
          </w:p>
        </w:tc>
        <w:tc>
          <w:tcPr>
            <w:tcW w:w="2265" w:type="dxa"/>
          </w:tcPr>
          <w:p w14:paraId="637B4930" w14:textId="77777777" w:rsidR="00715B3A" w:rsidRDefault="002F487C">
            <w:pPr>
              <w:ind w:right="-35"/>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No colma </w:t>
            </w:r>
          </w:p>
        </w:tc>
      </w:tr>
      <w:tr w:rsidR="00715B3A" w14:paraId="4FC67C27" w14:textId="77777777">
        <w:tc>
          <w:tcPr>
            <w:tcW w:w="600" w:type="dxa"/>
          </w:tcPr>
          <w:p w14:paraId="0598641A" w14:textId="77777777" w:rsidR="00715B3A" w:rsidRDefault="002F487C">
            <w:pPr>
              <w:ind w:right="-1877"/>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4</w:t>
            </w:r>
          </w:p>
        </w:tc>
        <w:tc>
          <w:tcPr>
            <w:tcW w:w="1905" w:type="dxa"/>
          </w:tcPr>
          <w:p w14:paraId="4244F769" w14:textId="77777777" w:rsidR="00715B3A" w:rsidRDefault="002F487C">
            <w:pPr>
              <w:ind w:right="-147"/>
              <w:rPr>
                <w:sz w:val="22"/>
                <w:szCs w:val="22"/>
              </w:rPr>
            </w:pPr>
            <w:r>
              <w:rPr>
                <w:rFonts w:ascii="Palatino Linotype" w:eastAsia="Palatino Linotype" w:hAnsi="Palatino Linotype" w:cs="Palatino Linotype"/>
                <w:b/>
                <w:i/>
                <w:sz w:val="22"/>
                <w:szCs w:val="22"/>
              </w:rPr>
              <w:t>Estados de cuenta</w:t>
            </w:r>
          </w:p>
          <w:p w14:paraId="6AD4594C" w14:textId="77777777" w:rsidR="00715B3A" w:rsidRDefault="00715B3A">
            <w:pPr>
              <w:ind w:right="-147"/>
              <w:rPr>
                <w:rFonts w:ascii="Palatino Linotype" w:eastAsia="Palatino Linotype" w:hAnsi="Palatino Linotype" w:cs="Palatino Linotype"/>
                <w:i/>
                <w:color w:val="000000"/>
                <w:sz w:val="22"/>
                <w:szCs w:val="22"/>
              </w:rPr>
            </w:pPr>
          </w:p>
        </w:tc>
        <w:tc>
          <w:tcPr>
            <w:tcW w:w="2520" w:type="dxa"/>
          </w:tcPr>
          <w:p w14:paraId="6F72B6DC" w14:textId="77777777" w:rsidR="00715B3A" w:rsidRDefault="002F487C">
            <w:pPr>
              <w:ind w:right="-99"/>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 hay pronunciamiento a este punto de la solicitud </w:t>
            </w:r>
          </w:p>
        </w:tc>
        <w:tc>
          <w:tcPr>
            <w:tcW w:w="1935" w:type="dxa"/>
          </w:tcPr>
          <w:p w14:paraId="1EDE18AD" w14:textId="77777777" w:rsidR="00715B3A" w:rsidRDefault="002F487C">
            <w:pPr>
              <w:ind w:right="-117"/>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 hay pronunciamiento a este punto de la solicitud </w:t>
            </w:r>
          </w:p>
        </w:tc>
        <w:tc>
          <w:tcPr>
            <w:tcW w:w="2265" w:type="dxa"/>
          </w:tcPr>
          <w:p w14:paraId="496556F9" w14:textId="77777777" w:rsidR="00715B3A" w:rsidRDefault="002F487C">
            <w:pPr>
              <w:ind w:right="-1877"/>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colma</w:t>
            </w:r>
          </w:p>
        </w:tc>
      </w:tr>
    </w:tbl>
    <w:p w14:paraId="0C95BB03" w14:textId="77777777" w:rsidR="00715B3A" w:rsidRDefault="00715B3A">
      <w:pPr>
        <w:spacing w:line="360" w:lineRule="auto"/>
        <w:ind w:right="-787"/>
        <w:jc w:val="both"/>
        <w:rPr>
          <w:rFonts w:ascii="Palatino Linotype" w:eastAsia="Palatino Linotype" w:hAnsi="Palatino Linotype" w:cs="Palatino Linotype"/>
          <w:color w:val="000000"/>
        </w:rPr>
      </w:pPr>
    </w:p>
    <w:p w14:paraId="67342992"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color w:val="000000"/>
        </w:rPr>
        <w:t xml:space="preserve">Ahora bien, de acuerdo a la información solicitada, en primer punto es necesario establecer las áreas habilitadas para dar acceso a la información solicitada, situación por la cual de conformidad con el artículo 36 del Bando Municipal del Ayuntamiento de Atizapán de Zaragoza, cuenta las siguientes dependencias municipales centralizadas.   </w:t>
      </w:r>
    </w:p>
    <w:p w14:paraId="572BAAD1" w14:textId="77777777" w:rsidR="00715B3A" w:rsidRDefault="002F487C">
      <w:pPr>
        <w:ind w:left="1134"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 LAS DEPENDENCIAS MUNICIPALES CENTRALIZADAS: </w:t>
      </w:r>
    </w:p>
    <w:p w14:paraId="4144F987" w14:textId="77777777" w:rsidR="00715B3A" w:rsidRDefault="002F487C">
      <w:pPr>
        <w:numPr>
          <w:ilvl w:val="0"/>
          <w:numId w:val="12"/>
        </w:numPr>
        <w:pBdr>
          <w:top w:val="nil"/>
          <w:left w:val="nil"/>
          <w:bottom w:val="nil"/>
          <w:right w:val="nil"/>
          <w:between w:val="nil"/>
        </w:pBdr>
        <w:ind w:left="1134" w:right="-787"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Oficina de la Presidencia; </w:t>
      </w:r>
    </w:p>
    <w:p w14:paraId="0E259593" w14:textId="77777777" w:rsidR="00715B3A" w:rsidRDefault="002F487C">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Secretaría del Ayuntamiento; </w:t>
      </w:r>
    </w:p>
    <w:p w14:paraId="52E7E099" w14:textId="77777777" w:rsidR="00715B3A" w:rsidRDefault="002F487C">
      <w:pPr>
        <w:pBdr>
          <w:top w:val="nil"/>
          <w:left w:val="nil"/>
          <w:bottom w:val="nil"/>
          <w:right w:val="nil"/>
          <w:between w:val="nil"/>
        </w:pBdr>
        <w:ind w:left="1134" w:right="-78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III. Tesorería Municipal; </w:t>
      </w:r>
    </w:p>
    <w:p w14:paraId="24A03044" w14:textId="77777777" w:rsidR="00715B3A" w:rsidRDefault="002F487C">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Contraloría Municipal; </w:t>
      </w:r>
    </w:p>
    <w:p w14:paraId="30685CA6" w14:textId="77777777" w:rsidR="00715B3A" w:rsidRDefault="002F487C">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Dirección Jurídica y Consultiva; </w:t>
      </w:r>
    </w:p>
    <w:p w14:paraId="2EB70BC5" w14:textId="77777777" w:rsidR="00715B3A" w:rsidRDefault="002F487C">
      <w:pPr>
        <w:pBdr>
          <w:top w:val="nil"/>
          <w:left w:val="nil"/>
          <w:bottom w:val="nil"/>
          <w:right w:val="nil"/>
          <w:between w:val="nil"/>
        </w:pBdr>
        <w:ind w:left="1134" w:right="-78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VI. Dirección de Administración; </w:t>
      </w:r>
    </w:p>
    <w:p w14:paraId="3F4B58A3" w14:textId="77777777" w:rsidR="00715B3A" w:rsidRDefault="002F487C">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Dirección de Innovación y Comunicación; </w:t>
      </w:r>
    </w:p>
    <w:p w14:paraId="48943769" w14:textId="77777777" w:rsidR="00715B3A" w:rsidRDefault="002F487C">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Dirección de Seguridad Pública y Tránsito Municipal; </w:t>
      </w:r>
    </w:p>
    <w:p w14:paraId="791E9AF2" w14:textId="77777777" w:rsidR="00715B3A" w:rsidRDefault="002F487C">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Dirección General de Ordenamiento Territorial y Desarrollo Urbano; </w:t>
      </w:r>
    </w:p>
    <w:p w14:paraId="262B3405" w14:textId="77777777" w:rsidR="00715B3A" w:rsidRDefault="002F487C">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 Coordinación Municipal de Protección Civil, Bomberos y Medio Ambiente; </w:t>
      </w:r>
    </w:p>
    <w:p w14:paraId="62777244" w14:textId="77777777" w:rsidR="00715B3A" w:rsidRDefault="002F487C">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Dirección de Servicios Públicos; </w:t>
      </w:r>
    </w:p>
    <w:p w14:paraId="1B677B5D" w14:textId="77777777" w:rsidR="00715B3A" w:rsidRDefault="002F487C">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 Dirección de Desarrollo Social; </w:t>
      </w:r>
    </w:p>
    <w:p w14:paraId="6BF45E66" w14:textId="77777777" w:rsidR="00715B3A" w:rsidRDefault="002F487C">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XIII. Dirección de Desarrollo Económico; </w:t>
      </w:r>
    </w:p>
    <w:p w14:paraId="18D65110" w14:textId="77777777" w:rsidR="00715B3A" w:rsidRDefault="002F487C">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XIV. Dirección del Instituto de la Mujer; </w:t>
      </w:r>
    </w:p>
    <w:p w14:paraId="70F09CC4" w14:textId="77777777" w:rsidR="00715B3A" w:rsidRDefault="002F487C">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 Dirección General de Obras Públicas; </w:t>
      </w:r>
    </w:p>
    <w:p w14:paraId="59BAEFC1" w14:textId="77777777" w:rsidR="00715B3A" w:rsidRDefault="002F487C">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 Dirección de Educación, y </w:t>
      </w:r>
    </w:p>
    <w:p w14:paraId="738CB652" w14:textId="77777777" w:rsidR="00715B3A" w:rsidRDefault="002F487C">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XVII. Dirección de la Juventud.</w:t>
      </w:r>
    </w:p>
    <w:p w14:paraId="783B679D" w14:textId="77777777" w:rsidR="00715B3A" w:rsidRDefault="00715B3A">
      <w:pPr>
        <w:pBdr>
          <w:top w:val="nil"/>
          <w:left w:val="nil"/>
          <w:bottom w:val="nil"/>
          <w:right w:val="nil"/>
          <w:between w:val="nil"/>
        </w:pBdr>
        <w:ind w:left="1134" w:right="-787"/>
        <w:jc w:val="both"/>
        <w:rPr>
          <w:rFonts w:ascii="Palatino Linotype" w:eastAsia="Palatino Linotype" w:hAnsi="Palatino Linotype" w:cs="Palatino Linotype"/>
          <w:i/>
          <w:color w:val="000000"/>
        </w:rPr>
      </w:pPr>
    </w:p>
    <w:p w14:paraId="1A02EDBF"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color w:val="000000"/>
        </w:rPr>
        <w:t xml:space="preserve">De lo anterior, se observa que el Ayuntamiento de Atizapán de Zaragoza, dentro de su estructura cuenta con la Dirección de Administración y la Tesorería Municipal, por lo </w:t>
      </w:r>
      <w:r>
        <w:rPr>
          <w:rFonts w:ascii="Palatino Linotype" w:eastAsia="Palatino Linotype" w:hAnsi="Palatino Linotype" w:cs="Palatino Linotype"/>
        </w:rPr>
        <w:t xml:space="preserve">que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rPr>
        <w:t>establecen</w:t>
      </w:r>
      <w:r>
        <w:rPr>
          <w:rFonts w:ascii="Palatino Linotype" w:eastAsia="Palatino Linotype" w:hAnsi="Palatino Linotype" w:cs="Palatino Linotype"/>
          <w:color w:val="000000"/>
        </w:rPr>
        <w:t xml:space="preserve"> las funciones de cada una. </w:t>
      </w:r>
    </w:p>
    <w:p w14:paraId="7D6767AA" w14:textId="77777777" w:rsidR="00715B3A" w:rsidRDefault="00715B3A">
      <w:pPr>
        <w:spacing w:line="360" w:lineRule="auto"/>
        <w:ind w:right="-787"/>
        <w:jc w:val="both"/>
        <w:rPr>
          <w:rFonts w:ascii="Palatino Linotype" w:eastAsia="Palatino Linotype" w:hAnsi="Palatino Linotype" w:cs="Palatino Linotype"/>
          <w:color w:val="000000"/>
        </w:rPr>
      </w:pPr>
    </w:p>
    <w:p w14:paraId="0300D634"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color w:val="000000"/>
        </w:rPr>
        <w:t xml:space="preserve">Por su parte la Dirección de Administración, de conformidad con el artículo 52 del Bando Municipal, se encarga de lo siguiente. </w:t>
      </w:r>
    </w:p>
    <w:p w14:paraId="52263CAA"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 la Dirección de Administración </w:t>
      </w:r>
    </w:p>
    <w:p w14:paraId="1FF2334F"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52.- A la Dirección de Administración le corresponde planear, establecer y difundir entre las dependencias de la Administración Pública Municipal, las políticas, procedimientos y estrategias necesarias para la adquisición, contratación, organización, control y aprovechamiento eficiente de los recursos humanos, materiales, tecnológicos y de servicios generales que se proporcionan a las dependencias y unidades administrativas de todas las adscripciones, para 51 satisfacer las necesidades generales que constituyen el objeto de los servicios y la función pública.</w:t>
      </w:r>
    </w:p>
    <w:p w14:paraId="29A7173F" w14:textId="77777777" w:rsidR="00715B3A" w:rsidRDefault="00715B3A">
      <w:pPr>
        <w:ind w:left="1134" w:right="-220"/>
        <w:jc w:val="both"/>
        <w:rPr>
          <w:rFonts w:ascii="Palatino Linotype" w:eastAsia="Palatino Linotype" w:hAnsi="Palatino Linotype" w:cs="Palatino Linotype"/>
          <w:i/>
          <w:color w:val="000000"/>
          <w:sz w:val="22"/>
          <w:szCs w:val="22"/>
        </w:rPr>
      </w:pPr>
    </w:p>
    <w:p w14:paraId="0A33928C"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color w:val="000000"/>
        </w:rPr>
        <w:t xml:space="preserve">De lo anterior, se observa se observa que la </w:t>
      </w:r>
      <w:proofErr w:type="gramStart"/>
      <w:r>
        <w:rPr>
          <w:rFonts w:ascii="Palatino Linotype" w:eastAsia="Palatino Linotype" w:hAnsi="Palatino Linotype" w:cs="Palatino Linotype"/>
          <w:color w:val="000000"/>
        </w:rPr>
        <w:t>Dirección  de</w:t>
      </w:r>
      <w:proofErr w:type="gramEnd"/>
      <w:r>
        <w:rPr>
          <w:rFonts w:ascii="Palatino Linotype" w:eastAsia="Palatino Linotype" w:hAnsi="Palatino Linotype" w:cs="Palatino Linotype"/>
          <w:color w:val="000000"/>
        </w:rPr>
        <w:t xml:space="preserve"> Administración es el área encargada de planear, establecer y difundir entre las dependencias los procedimientos y estrategias necesarias, así como el control y aprovechamiento eficiente de los recursos humanos. </w:t>
      </w:r>
    </w:p>
    <w:p w14:paraId="7789C359" w14:textId="77777777" w:rsidR="00715B3A" w:rsidRDefault="00715B3A">
      <w:pPr>
        <w:spacing w:line="360" w:lineRule="auto"/>
        <w:ind w:right="-787"/>
        <w:jc w:val="both"/>
        <w:rPr>
          <w:rFonts w:ascii="Palatino Linotype" w:eastAsia="Palatino Linotype" w:hAnsi="Palatino Linotype" w:cs="Palatino Linotype"/>
          <w:color w:val="000000"/>
        </w:rPr>
      </w:pPr>
    </w:p>
    <w:p w14:paraId="7B1819E6" w14:textId="77777777" w:rsidR="00715B3A" w:rsidRDefault="002F487C">
      <w:pPr>
        <w:numPr>
          <w:ilvl w:val="0"/>
          <w:numId w:val="11"/>
        </w:numPr>
        <w:spacing w:line="360" w:lineRule="auto"/>
        <w:ind w:left="0" w:right="-787" w:firstLine="0"/>
        <w:jc w:val="both"/>
        <w:rPr>
          <w:color w:val="000000"/>
        </w:rPr>
      </w:pPr>
      <w:proofErr w:type="gramStart"/>
      <w:r>
        <w:rPr>
          <w:rFonts w:ascii="Palatino Linotype" w:eastAsia="Palatino Linotype" w:hAnsi="Palatino Linotype" w:cs="Palatino Linotype"/>
          <w:color w:val="000000"/>
        </w:rPr>
        <w:t>Seguidamente,  el</w:t>
      </w:r>
      <w:proofErr w:type="gramEnd"/>
      <w:r>
        <w:rPr>
          <w:rFonts w:ascii="Palatino Linotype" w:eastAsia="Palatino Linotype" w:hAnsi="Palatino Linotype" w:cs="Palatino Linotype"/>
          <w:color w:val="000000"/>
        </w:rPr>
        <w:t xml:space="preserve"> Reglamento Interno de la Dirección de Administración del Ayuntamiento de Atizapán de Zaragoza, establece que dentro de la estructura de dicha Dirección se integra por la Subdirección de Recursos Humanos y </w:t>
      </w:r>
      <w:r>
        <w:rPr>
          <w:rFonts w:ascii="Palatino Linotype" w:eastAsia="Palatino Linotype" w:hAnsi="Palatino Linotype" w:cs="Palatino Linotype"/>
        </w:rPr>
        <w:t>está</w:t>
      </w:r>
      <w:r>
        <w:rPr>
          <w:rFonts w:ascii="Palatino Linotype" w:eastAsia="Palatino Linotype" w:hAnsi="Palatino Linotype" w:cs="Palatino Linotype"/>
          <w:color w:val="000000"/>
        </w:rPr>
        <w:t xml:space="preserve"> a su vez por el Departamento de Nóminas y Pago, las cuales tienen las siguientes funciones. </w:t>
      </w:r>
    </w:p>
    <w:p w14:paraId="66A69466" w14:textId="77777777" w:rsidR="00715B3A" w:rsidRDefault="002F487C">
      <w:pPr>
        <w:pBdr>
          <w:top w:val="nil"/>
          <w:left w:val="nil"/>
          <w:bottom w:val="nil"/>
          <w:right w:val="nil"/>
          <w:between w:val="nil"/>
        </w:pBdr>
        <w:tabs>
          <w:tab w:val="left" w:pos="1601"/>
        </w:tabs>
        <w:ind w:left="1134" w:right="-220"/>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Subdirección de Recursos Humanos</w:t>
      </w:r>
    </w:p>
    <w:p w14:paraId="1F97F309" w14:textId="77777777" w:rsidR="00715B3A" w:rsidRDefault="002F487C">
      <w:pP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39.-</w:t>
      </w:r>
      <w:r>
        <w:rPr>
          <w:rFonts w:ascii="Palatino Linotype" w:eastAsia="Palatino Linotype" w:hAnsi="Palatino Linotype" w:cs="Palatino Linotype"/>
          <w:i/>
          <w:color w:val="000000"/>
          <w:sz w:val="22"/>
          <w:szCs w:val="22"/>
        </w:rPr>
        <w:t xml:space="preserve"> Corresponde al titular de la Subdirección de Recursos Humanos, el despacho de los siguientes asuntos: </w:t>
      </w:r>
    </w:p>
    <w:p w14:paraId="23535BEA" w14:textId="77777777" w:rsidR="00715B3A" w:rsidRDefault="002F487C">
      <w:pPr>
        <w:numPr>
          <w:ilvl w:val="0"/>
          <w:numId w:val="14"/>
        </w:numPr>
        <w:pBdr>
          <w:top w:val="nil"/>
          <w:left w:val="nil"/>
          <w:bottom w:val="nil"/>
          <w:right w:val="nil"/>
          <w:between w:val="nil"/>
        </w:pBdr>
        <w:ind w:left="1134" w:right="-22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Proponer los planes y programas de su unidad administrativa; </w:t>
      </w:r>
    </w:p>
    <w:p w14:paraId="4FF9E9F6"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Atender los asuntos de su competencia que le sean asignados por el </w:t>
      </w:r>
      <w:proofErr w:type="gramStart"/>
      <w:r>
        <w:rPr>
          <w:rFonts w:ascii="Palatino Linotype" w:eastAsia="Palatino Linotype" w:hAnsi="Palatino Linotype" w:cs="Palatino Linotype"/>
          <w:i/>
          <w:color w:val="000000"/>
          <w:sz w:val="22"/>
          <w:szCs w:val="22"/>
        </w:rPr>
        <w:t>Director</w:t>
      </w:r>
      <w:proofErr w:type="gramEnd"/>
      <w:r>
        <w:rPr>
          <w:rFonts w:ascii="Palatino Linotype" w:eastAsia="Palatino Linotype" w:hAnsi="Palatino Linotype" w:cs="Palatino Linotype"/>
          <w:i/>
          <w:color w:val="000000"/>
          <w:sz w:val="22"/>
          <w:szCs w:val="22"/>
        </w:rPr>
        <w:t xml:space="preserve">; </w:t>
      </w:r>
    </w:p>
    <w:p w14:paraId="419166EC"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Asesorar, desempeñar las comisiones y funciones especiales que el </w:t>
      </w:r>
      <w:proofErr w:type="gramStart"/>
      <w:r>
        <w:rPr>
          <w:rFonts w:ascii="Palatino Linotype" w:eastAsia="Palatino Linotype" w:hAnsi="Palatino Linotype" w:cs="Palatino Linotype"/>
          <w:i/>
          <w:color w:val="000000"/>
          <w:sz w:val="22"/>
          <w:szCs w:val="22"/>
        </w:rPr>
        <w:t>Director</w:t>
      </w:r>
      <w:proofErr w:type="gramEnd"/>
      <w:r>
        <w:rPr>
          <w:rFonts w:ascii="Palatino Linotype" w:eastAsia="Palatino Linotype" w:hAnsi="Palatino Linotype" w:cs="Palatino Linotype"/>
          <w:i/>
          <w:color w:val="000000"/>
          <w:sz w:val="22"/>
          <w:szCs w:val="22"/>
        </w:rPr>
        <w:t xml:space="preserve"> le encomiende y mantenerlo informado; </w:t>
      </w:r>
    </w:p>
    <w:p w14:paraId="02263C70"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Proponer y capacitar al personal del ayuntamiento con la impartición de cursos; </w:t>
      </w:r>
    </w:p>
    <w:p w14:paraId="0FE939DB"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V. Aportar elementos que apoyen a la consolidación de la planeación estratégica de la Dirección y del Municipio; </w:t>
      </w:r>
    </w:p>
    <w:p w14:paraId="015D3DA3"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Coordinar, controlar e informar del desarrollo de las funciones a cargo de la Subdirección en concordancia a los lineamientos emitidos por la Dirección; </w:t>
      </w:r>
    </w:p>
    <w:p w14:paraId="71124DBC"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Establecer las acciones necesarias para que garanticen que todos los puestos vacantes se cubran con personal competente, analizando las capacidades de los candidatos, sobre aquellos que muestren los mejores potenciales, vigilando que las percepciones que se otorguen correspondan a la estructura de sueldos autorizada; </w:t>
      </w:r>
    </w:p>
    <w:p w14:paraId="663D15FD"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Supervisar la preparación del material inductivo que deben recibir los empleados de reciente ingreso a la institución, para facilitar su inmediata incorporación a las actividades que le sean asignadas; </w:t>
      </w:r>
    </w:p>
    <w:p w14:paraId="5081777B"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IX. Verificar la correcta aplicación de los procedimientos administrativos que permitan validar y operar en forma ágil y eficiente: nombramientos, contrataciones, incrementos, licencias, promociones, bajas, reubicaciones, reasignaciones y el pago de remuneraciones, así como la aplicación de los descuentos procedentes; </w:t>
      </w:r>
    </w:p>
    <w:p w14:paraId="11D18B18"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 Analizar y dar cumplimiento a las Leyes, Reglamentos y convenios vigentes para la instrumentación y ejecución de la nómina; </w:t>
      </w:r>
    </w:p>
    <w:p w14:paraId="2ED1D04A"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Verificar la aplicación y observancia de políticas, normas y lineamientos generales y específicos que en materia laboral y de capacitación emita la Dirección de Administración; </w:t>
      </w:r>
    </w:p>
    <w:p w14:paraId="4230860B"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 Participar en las sesiones de las Comisiones Mixtas de Escalafón, Capacitación y Adiestramiento, Seguridad e Higiene y en otras en que se promuevan prestaciones o servicios por convenio; </w:t>
      </w:r>
    </w:p>
    <w:p w14:paraId="5A9321B2"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XIII. Elaborar el Proyecto presupuestal del Capítulo 1000 Servicios Personales, así como su control de acuerdo con la normatividad; </w:t>
      </w:r>
    </w:p>
    <w:p w14:paraId="5980915D"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XIV. Coordinar, orientar y apoyar las actividades de los Departamentos adscritos al área de su competencia; </w:t>
      </w:r>
    </w:p>
    <w:p w14:paraId="3455859C"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 Establecer los medios para llevar el control adecuado de la asistencia del personal del Ayuntamiento; </w:t>
      </w:r>
    </w:p>
    <w:p w14:paraId="4FF38FEE"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 Establecer los mecanismos y procesos idóneos para la realización de las actividades derivadas del Servicio Social y Prácticas Profesionales; </w:t>
      </w:r>
    </w:p>
    <w:p w14:paraId="4DE58AA2"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Gestionar la contratación del seguro de vida para el personal sindicalizado y de seguridad pública; y </w:t>
      </w:r>
    </w:p>
    <w:p w14:paraId="7A043546"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XVIII. Todas aquellas que le sean encomendadas por su superior jerárquico</w:t>
      </w:r>
    </w:p>
    <w:p w14:paraId="0E7CC920"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Departamento de Nómina y Pago </w:t>
      </w:r>
    </w:p>
    <w:p w14:paraId="643C8C7E"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44.-</w:t>
      </w:r>
      <w:r>
        <w:rPr>
          <w:rFonts w:ascii="Palatino Linotype" w:eastAsia="Palatino Linotype" w:hAnsi="Palatino Linotype" w:cs="Palatino Linotype"/>
          <w:i/>
          <w:color w:val="000000"/>
          <w:sz w:val="22"/>
          <w:szCs w:val="22"/>
        </w:rPr>
        <w:t xml:space="preserve"> Corresponde al titular del Departamento de Nóminas y Pagos, el despacho de los siguientes asuntos: </w:t>
      </w:r>
    </w:p>
    <w:p w14:paraId="01E69CA3" w14:textId="77777777" w:rsidR="00715B3A" w:rsidRDefault="002F487C">
      <w:pPr>
        <w:numPr>
          <w:ilvl w:val="0"/>
          <w:numId w:val="2"/>
        </w:numPr>
        <w:pBdr>
          <w:top w:val="nil"/>
          <w:left w:val="nil"/>
          <w:bottom w:val="nil"/>
          <w:right w:val="nil"/>
          <w:between w:val="nil"/>
        </w:pBdr>
        <w:ind w:left="1134" w:right="-220"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Generar el proceso de pago de nómina en tiempo y forma, así como el timbrado de nómina; </w:t>
      </w:r>
    </w:p>
    <w:p w14:paraId="0713CB0C"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Generar pago de aguinaldo, prima vacacional u otras prestaciones del trabajador; </w:t>
      </w:r>
    </w:p>
    <w:p w14:paraId="1D6136D3"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Generar los descuentos correspondientes para el pago de impuestos y aportaciones, así como las deducciones emanadas de algún crédito, préstamo, acuerdo, convenio o por resolución de algún Tribunal competente; </w:t>
      </w:r>
    </w:p>
    <w:p w14:paraId="3580EE3F"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Realizar el trámite de pago correspondiente al ISSEMYM por los conceptos de seguridad social: cuota obligatoria del sistema de capitalización individualizado, servicio médico y fondo de sistema solidario de reparto; </w:t>
      </w:r>
    </w:p>
    <w:p w14:paraId="2E40BAEC"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V. Conciliar cuentas con la Tesorería Municipal e ISSEMYM; </w:t>
      </w:r>
    </w:p>
    <w:p w14:paraId="044FAB3B"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Generar calendario anual de nóminas; </w:t>
      </w:r>
    </w:p>
    <w:p w14:paraId="7F68B273"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Cálculo de finiquitos, liquidaciones, indemnizaciones e impuestos; y </w:t>
      </w:r>
    </w:p>
    <w:p w14:paraId="6E92D292"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VIII. Todas aquellas que le sean encomendadas por su superior jerárquico. </w:t>
      </w:r>
    </w:p>
    <w:p w14:paraId="11A5215B"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45.-</w:t>
      </w:r>
      <w:r>
        <w:rPr>
          <w:rFonts w:ascii="Palatino Linotype" w:eastAsia="Palatino Linotype" w:hAnsi="Palatino Linotype" w:cs="Palatino Linotype"/>
          <w:i/>
          <w:color w:val="000000"/>
          <w:sz w:val="22"/>
          <w:szCs w:val="22"/>
        </w:rPr>
        <w:t xml:space="preserve"> El personal del Departamento de Nóminas y Pagos, responderá directamente del desempeño de sus funciones al titular del Departamento</w:t>
      </w:r>
    </w:p>
    <w:p w14:paraId="06FD4C58" w14:textId="77777777" w:rsidR="00715B3A" w:rsidRDefault="00715B3A">
      <w:pPr>
        <w:pBdr>
          <w:top w:val="nil"/>
          <w:left w:val="nil"/>
          <w:bottom w:val="nil"/>
          <w:right w:val="nil"/>
          <w:between w:val="nil"/>
        </w:pBdr>
        <w:ind w:left="1134" w:right="-787"/>
        <w:jc w:val="both"/>
        <w:rPr>
          <w:rFonts w:ascii="Palatino Linotype" w:eastAsia="Palatino Linotype" w:hAnsi="Palatino Linotype" w:cs="Palatino Linotype"/>
          <w:i/>
          <w:color w:val="000000"/>
        </w:rPr>
      </w:pPr>
    </w:p>
    <w:p w14:paraId="3E668CDB"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color w:val="000000"/>
        </w:rPr>
        <w:t xml:space="preserve">De lo anterior se observa que el Departamento de Nómina y Pago, se encarga del proceso de pago que reciben los servidores públicos, así como de conciliar con la Tesorería Municipal las cuentas. </w:t>
      </w:r>
    </w:p>
    <w:p w14:paraId="7F3692EF" w14:textId="77777777" w:rsidR="00715B3A" w:rsidRDefault="00715B3A">
      <w:pPr>
        <w:spacing w:line="360" w:lineRule="auto"/>
        <w:ind w:right="-787"/>
        <w:jc w:val="both"/>
        <w:rPr>
          <w:rFonts w:ascii="Palatino Linotype" w:eastAsia="Palatino Linotype" w:hAnsi="Palatino Linotype" w:cs="Palatino Linotype"/>
          <w:color w:val="000000"/>
        </w:rPr>
      </w:pPr>
    </w:p>
    <w:p w14:paraId="6BAFD1CF"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color w:val="000000"/>
        </w:rPr>
        <w:t xml:space="preserve">Ahora bien, respecto de la Tesorería Municipal, se debe de establecer que de conformidad con el Bando Municipal se encarga de lo siguiente. </w:t>
      </w:r>
    </w:p>
    <w:p w14:paraId="5310DD1F" w14:textId="77777777" w:rsidR="00715B3A" w:rsidRDefault="002F487C">
      <w:pPr>
        <w:ind w:left="1134" w:right="-22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ARTÍCULO 49.-</w:t>
      </w:r>
      <w:r>
        <w:rPr>
          <w:rFonts w:ascii="Palatino Linotype" w:eastAsia="Palatino Linotype" w:hAnsi="Palatino Linotype" w:cs="Palatino Linotype"/>
          <w:i/>
          <w:color w:val="000000"/>
          <w:sz w:val="22"/>
          <w:szCs w:val="22"/>
        </w:rPr>
        <w:t xml:space="preserve"> La Tesorería Municipal, en términos de la Ley Orgánica Municipal del Estado de México es la Dependencia encargada de la Administración de la Hacienda Pública Municipal, de conformidad con las disposiciones legales aplicables, que le facultan para establecer políticas de </w:t>
      </w:r>
      <w:r>
        <w:rPr>
          <w:rFonts w:ascii="Palatino Linotype" w:eastAsia="Palatino Linotype" w:hAnsi="Palatino Linotype" w:cs="Palatino Linotype"/>
          <w:b/>
          <w:i/>
          <w:color w:val="000000"/>
          <w:sz w:val="22"/>
          <w:szCs w:val="22"/>
        </w:rPr>
        <w:t xml:space="preserve">administración de las finanzas públicas, garantizando equilibrio, disciplina presupuestaria y capacidad administrativa, contribuyendo a la viabilidad financiera necesaria para la consolidación de los planes, programas y proyectos de la Administración Municipal. </w:t>
      </w:r>
    </w:p>
    <w:p w14:paraId="48FFCFE5" w14:textId="77777777" w:rsidR="00715B3A" w:rsidRDefault="002F487C">
      <w:pP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H. Ayuntamiento, a través de la Tesorería Municipal por conducto de la Subdirección de Normatividad y Verificación, en estricto apego a las atribuciones conferidas, tendrá en todo momento la facultad de regular, inspeccionar, supervisar, verificar y en su caso sancionar, que se cumpla con los requisitos para ejercer la actividad comercial, de prestación de servicios o industrial, estacionamientos, puestos fijos, semifijos, ambulantes </w:t>
      </w:r>
      <w:r>
        <w:rPr>
          <w:rFonts w:ascii="Palatino Linotype" w:eastAsia="Palatino Linotype" w:hAnsi="Palatino Linotype" w:cs="Palatino Linotype"/>
          <w:i/>
          <w:color w:val="000000"/>
          <w:sz w:val="22"/>
          <w:szCs w:val="22"/>
        </w:rPr>
        <w:lastRenderedPageBreak/>
        <w:t xml:space="preserve">en vía pública y en mercados públicos municipales y privados. Así como la publicidad impresa, sonorización, perifoneo en la vía pública, que promuevan la venta de bienes o servicios; además del uso, la instalación, explotación, colocación y distribución de anuncios o cualquier elemento publicitario, previa la autorización por parte de la Dirección General de Ordenamiento Territorial y Desarrollo Urbano tratándose de estructuras que soporten estos. </w:t>
      </w:r>
    </w:p>
    <w:p w14:paraId="18D751AC" w14:textId="77777777" w:rsidR="00715B3A" w:rsidRDefault="002F487C">
      <w:pP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permisionarios y/o administradores de estacionamiento de plazas y centros comerciales, tiendas departamentales, tiendas de autoservicio y/o supermercados deberán proporcionar a sus clientes al menos treinta minutos de estacionamiento sin ningún costo.</w:t>
      </w:r>
    </w:p>
    <w:p w14:paraId="1764DFEB" w14:textId="77777777" w:rsidR="00715B3A" w:rsidRDefault="00715B3A">
      <w:pPr>
        <w:ind w:left="1134" w:right="-787"/>
        <w:jc w:val="both"/>
        <w:rPr>
          <w:rFonts w:ascii="Palatino Linotype" w:eastAsia="Palatino Linotype" w:hAnsi="Palatino Linotype" w:cs="Palatino Linotype"/>
          <w:i/>
          <w:color w:val="000000"/>
        </w:rPr>
      </w:pPr>
    </w:p>
    <w:p w14:paraId="13EF0933"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color w:val="000000"/>
        </w:rPr>
        <w:t xml:space="preserve">De lo anterior, se observa que la Tesorería Municipal, es el área encargada de administrar las finanzas públicas, garantizando en todo momento la disciplina presupuestaria y capacidad financiera. </w:t>
      </w:r>
    </w:p>
    <w:p w14:paraId="5440A04D" w14:textId="77777777" w:rsidR="00715B3A" w:rsidRDefault="00715B3A">
      <w:pPr>
        <w:spacing w:line="360" w:lineRule="auto"/>
        <w:ind w:left="928" w:right="-787"/>
        <w:jc w:val="both"/>
        <w:rPr>
          <w:rFonts w:ascii="Palatino Linotype" w:eastAsia="Palatino Linotype" w:hAnsi="Palatino Linotype" w:cs="Palatino Linotype"/>
        </w:rPr>
      </w:pPr>
    </w:p>
    <w:p w14:paraId="4E527B58"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color w:val="000000"/>
        </w:rPr>
        <w:t xml:space="preserve">En esa línea, de acuerdo con el Reglamento Interno de la Tesorería Municipal del Ayuntamiento de Atizapán de Zaragoza, el Tesorero cuenta con las siguientes funciones. </w:t>
      </w:r>
    </w:p>
    <w:p w14:paraId="4D52C2D9" w14:textId="77777777" w:rsidR="00715B3A" w:rsidRDefault="002F487C">
      <w:pPr>
        <w:ind w:left="1134" w:right="-7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Artículo 11.- Además de las establecidas en las disposiciones legales aplicables el Tesorero tendrá las siguientes atribuciones: </w:t>
      </w:r>
    </w:p>
    <w:p w14:paraId="7B09DD8A" w14:textId="77777777" w:rsidR="00715B3A" w:rsidRDefault="002F487C">
      <w:pPr>
        <w:numPr>
          <w:ilvl w:val="0"/>
          <w:numId w:val="3"/>
        </w:numPr>
        <w:pBdr>
          <w:top w:val="nil"/>
          <w:left w:val="nil"/>
          <w:bottom w:val="nil"/>
          <w:right w:val="nil"/>
          <w:between w:val="nil"/>
        </w:pBdr>
        <w:ind w:left="1134" w:right="-79"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Vigilar el adecuado funcionamiento de las diversas unidades administrativas a su cargo y dictar las medidas necesarias para su mejoramiento mediante la capacitación y profesionalización de los servidores públicos adscritos a las mismas; </w:t>
      </w:r>
    </w:p>
    <w:p w14:paraId="4484E7C0"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Suscribir los convenios que se lleven a cabo con contribuyentes para el cumplimiento de sus obligaciones fiscales; </w:t>
      </w:r>
    </w:p>
    <w:p w14:paraId="39BB8AE4"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Suscribir convenios y contratos de prestación de servicios que contribuyan al cumplimiento de las funciones previstas en ordenamientos municipales, estatales y federales; </w:t>
      </w:r>
    </w:p>
    <w:p w14:paraId="6ACC1402"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Calcular y recaudar impuestos, derechos, productos, aprovechamientos y contribuciones especiales que correspondan al Municipio, así como las aportaciones y participaciones Federales y Estatales e ingresos extraordinarios que se establezcan a favor del Municipio; </w:t>
      </w:r>
    </w:p>
    <w:p w14:paraId="32287FFF"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V. Formular los proyectos de Egresos y pronóstico de Ingresos para cada ejercicio fiscal, cumpliendo el principio de equilibrio presupuestario; </w:t>
      </w:r>
    </w:p>
    <w:p w14:paraId="56C3296F"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Dar cumplimiento a los convenios de coordinación fiscal; </w:t>
      </w:r>
    </w:p>
    <w:p w14:paraId="18197253"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VII. Asesorar a las dependencias de la Administración Pública Municipal, en la formulación y programación de su anteproyecto de presupuesto de egresos de cada ejercicio fiscal; </w:t>
      </w:r>
    </w:p>
    <w:p w14:paraId="23439C51"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Integrar, revisar y validar conjuntamente con la UIPPE, los anteproyectos de presupuesto con base a resultados de las dependencias municipales; </w:t>
      </w:r>
    </w:p>
    <w:p w14:paraId="73D091CF"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Imponer las sanciones que correspondan por infracciones a las disposiciones fiscales y, en su caso, ordenar la instrumentación del procedimiento administrativo de ejecución; </w:t>
      </w:r>
    </w:p>
    <w:p w14:paraId="2376AFDB"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 Dirigir las actividades del Catastro Municipal; </w:t>
      </w:r>
    </w:p>
    <w:p w14:paraId="1B452F90"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Autorizar y Firmar los nombramientos del personal que se desempeñará como notificador, ejecutor, verificador e interventor; </w:t>
      </w:r>
    </w:p>
    <w:p w14:paraId="483E7A55"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XII. Validar con su firma los documentos de su competencia como las conciliaciones bancarias, las pólizas de egresos, las pólizas de diario; </w:t>
      </w:r>
    </w:p>
    <w:p w14:paraId="1FE7F29C"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XIII. Expedir a través de la Subdirección de Normatividad y Verificación, permisos de cualquier tipo y demás autorizaciones que emita en ejercicio de las facultades que le confiera el presente reglamento y las demás disposiciones jurídicas aplicables y que correspondan a las actividades económicas que realicen los particulares, previstas en los diversos ordenamientos a nivel municipal y estatal; </w:t>
      </w:r>
    </w:p>
    <w:p w14:paraId="20531B72"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XIV. Expedir y revalidar a través de la Subdirección de Normatividad y Verificación, las autorizaciones para ejercer la actividad comercial en puesto fijo, semifijo, comercio ambulante o de temporada; </w:t>
      </w:r>
    </w:p>
    <w:p w14:paraId="2F50B6E9"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 Habilitar días y horas inhábiles, para el ejercicio de sus facultades y competencia, de conformidad con lo dispuesto y ordenado en el Código de Procedimientos Administrativos del Estado de México; </w:t>
      </w:r>
    </w:p>
    <w:p w14:paraId="4685E1F5"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 Resolver los procedimientos administrativos, de cancelación, revocación, o nulidad de licencia de funcionamiento o permisos en general; iniciados por infracciones cometidas a la reglamentación municipal; otorgando la garantía de audiencia correspondiente; </w:t>
      </w:r>
    </w:p>
    <w:p w14:paraId="193A61A0"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Supervisar, inspeccionar, verificar y sancionar con base en las disposiciones legales aplicables, los incumplimientos en materia de reglamentación municipal en actividades comerciales, industriales y de servicios, anuncios, publicidad, mercados, vía pública y tianguis; </w:t>
      </w:r>
    </w:p>
    <w:p w14:paraId="6FC006FF"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XVIII. Imponer medidas de seguridad y ejecutar sanciones en términos del Código de Procedimientos Administrativos del Estado de México, la Ley de Competitividad y Ordenamiento Comercial del Estado de México, y demás disposiciones legales aplicables, en aquellas unidades económicas que incumplan con la normatividad; </w:t>
      </w:r>
    </w:p>
    <w:p w14:paraId="34D9569B"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XIX. Disponer las medidas necesarias e instruir a la Subdirección de Normatividad y Verificación, para proveer, en el ámbito de su competencia, el cumplimiento de la reglamentación municipal sujetándose a la normatividad aplicable; </w:t>
      </w:r>
      <w:proofErr w:type="spellStart"/>
      <w:r>
        <w:rPr>
          <w:rFonts w:ascii="Palatino Linotype" w:eastAsia="Palatino Linotype" w:hAnsi="Palatino Linotype" w:cs="Palatino Linotype"/>
          <w:i/>
          <w:color w:val="000000"/>
          <w:sz w:val="22"/>
          <w:szCs w:val="22"/>
        </w:rPr>
        <w:t>solictando</w:t>
      </w:r>
      <w:proofErr w:type="spellEnd"/>
      <w:r>
        <w:rPr>
          <w:rFonts w:ascii="Palatino Linotype" w:eastAsia="Palatino Linotype" w:hAnsi="Palatino Linotype" w:cs="Palatino Linotype"/>
          <w:i/>
          <w:color w:val="000000"/>
          <w:sz w:val="22"/>
          <w:szCs w:val="22"/>
        </w:rPr>
        <w:t xml:space="preserve"> en su caso la coadyuvancia de autoridades administrativas, fuerza pública y de carácter judicial; </w:t>
      </w:r>
    </w:p>
    <w:p w14:paraId="10DC366D"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XX. Autorizar órdenes de pago, derechos, impuestos, aportaciones diversas de conformidad con las disposiciones del Código Financiero del Estado de México y Municipios; </w:t>
      </w:r>
    </w:p>
    <w:p w14:paraId="6B20BD53"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XXI. Expedir y revalidar a través de la Subdirección de Normatividad y Verificación la Licencia de Funcionamiento para ejercer la actividad comercial y de servicios en mercados municipales; </w:t>
      </w:r>
    </w:p>
    <w:p w14:paraId="620C0F2A"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XXII. Autorizar a través de la Subdirección de Normatividad y Verificación el uso de la vía pública para la realización de manera enunciativa más no limitativa de filmaciones o grabaciones cinematográficas, series televisión, comerciales entre otros; y </w:t>
      </w:r>
    </w:p>
    <w:p w14:paraId="03AE9B66" w14:textId="77777777" w:rsidR="00715B3A" w:rsidRDefault="002F487C">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XXIII. Las demás que le encomienden el </w:t>
      </w:r>
      <w:proofErr w:type="gramStart"/>
      <w:r>
        <w:rPr>
          <w:rFonts w:ascii="Palatino Linotype" w:eastAsia="Palatino Linotype" w:hAnsi="Palatino Linotype" w:cs="Palatino Linotype"/>
          <w:i/>
          <w:color w:val="000000"/>
          <w:sz w:val="22"/>
          <w:szCs w:val="22"/>
        </w:rPr>
        <w:t>Presidente</w:t>
      </w:r>
      <w:proofErr w:type="gramEnd"/>
      <w:r>
        <w:rPr>
          <w:rFonts w:ascii="Palatino Linotype" w:eastAsia="Palatino Linotype" w:hAnsi="Palatino Linotype" w:cs="Palatino Linotype"/>
          <w:i/>
          <w:color w:val="000000"/>
          <w:sz w:val="22"/>
          <w:szCs w:val="22"/>
        </w:rPr>
        <w:t xml:space="preserve"> Municipal y/o el Ayuntamiento.</w:t>
      </w:r>
    </w:p>
    <w:p w14:paraId="5C8C4310" w14:textId="77777777" w:rsidR="00715B3A" w:rsidRDefault="00715B3A">
      <w:pPr>
        <w:pBdr>
          <w:top w:val="nil"/>
          <w:left w:val="nil"/>
          <w:bottom w:val="nil"/>
          <w:right w:val="nil"/>
          <w:between w:val="nil"/>
        </w:pBdr>
        <w:ind w:left="1134" w:right="-787"/>
        <w:jc w:val="both"/>
        <w:rPr>
          <w:rFonts w:ascii="Palatino Linotype" w:eastAsia="Palatino Linotype" w:hAnsi="Palatino Linotype" w:cs="Palatino Linotype"/>
          <w:i/>
          <w:color w:val="000000"/>
        </w:rPr>
      </w:pPr>
    </w:p>
    <w:p w14:paraId="0BF5A0B2"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color w:val="000000"/>
        </w:rPr>
        <w:t xml:space="preserve">  Seguidamente el Reglamento Interno de la Tesorería Municipal, establece que esta será integrada por la </w:t>
      </w:r>
      <w:proofErr w:type="spellStart"/>
      <w:r>
        <w:rPr>
          <w:rFonts w:ascii="Palatino Linotype" w:eastAsia="Palatino Linotype" w:hAnsi="Palatino Linotype" w:cs="Palatino Linotype"/>
          <w:color w:val="000000"/>
        </w:rPr>
        <w:t>Subtesorería</w:t>
      </w:r>
      <w:proofErr w:type="spellEnd"/>
      <w:r>
        <w:rPr>
          <w:rFonts w:ascii="Palatino Linotype" w:eastAsia="Palatino Linotype" w:hAnsi="Palatino Linotype" w:cs="Palatino Linotype"/>
          <w:color w:val="000000"/>
        </w:rPr>
        <w:t xml:space="preserve"> de Egresos, quien tendrá las siguientes funciones. </w:t>
      </w:r>
    </w:p>
    <w:p w14:paraId="69228502" w14:textId="77777777" w:rsidR="00715B3A" w:rsidRDefault="002F487C">
      <w:pPr>
        <w:ind w:left="1134" w:right="-5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39.-</w:t>
      </w:r>
      <w:r>
        <w:rPr>
          <w:rFonts w:ascii="Palatino Linotype" w:eastAsia="Palatino Linotype" w:hAnsi="Palatino Linotype" w:cs="Palatino Linotype"/>
          <w:i/>
          <w:color w:val="000000"/>
          <w:sz w:val="22"/>
          <w:szCs w:val="22"/>
        </w:rPr>
        <w:t xml:space="preserve"> El titular de la </w:t>
      </w:r>
      <w:proofErr w:type="spellStart"/>
      <w:r>
        <w:rPr>
          <w:rFonts w:ascii="Palatino Linotype" w:eastAsia="Palatino Linotype" w:hAnsi="Palatino Linotype" w:cs="Palatino Linotype"/>
          <w:i/>
          <w:color w:val="000000"/>
          <w:sz w:val="22"/>
          <w:szCs w:val="22"/>
        </w:rPr>
        <w:t>Subtesorería</w:t>
      </w:r>
      <w:proofErr w:type="spellEnd"/>
      <w:r>
        <w:rPr>
          <w:rFonts w:ascii="Palatino Linotype" w:eastAsia="Palatino Linotype" w:hAnsi="Palatino Linotype" w:cs="Palatino Linotype"/>
          <w:i/>
          <w:color w:val="000000"/>
          <w:sz w:val="22"/>
          <w:szCs w:val="22"/>
        </w:rPr>
        <w:t xml:space="preserve"> de Egresos deberá dirigir, coordinar y supervisar las acciones de planeación, presupuestación, ejercicio, registro y transparencia de las operaciones presupuestales, contables y financieras, en apego a las disposiciones en materia de responsabilidad hacendaria, disciplina financiera y contabilidad gubernamental. </w:t>
      </w:r>
    </w:p>
    <w:p w14:paraId="6C558E57" w14:textId="77777777" w:rsidR="00715B3A" w:rsidRDefault="002F487C">
      <w:pPr>
        <w:ind w:left="1134" w:right="-5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40.-</w:t>
      </w:r>
      <w:r>
        <w:rPr>
          <w:rFonts w:ascii="Palatino Linotype" w:eastAsia="Palatino Linotype" w:hAnsi="Palatino Linotype" w:cs="Palatino Linotype"/>
          <w:i/>
          <w:color w:val="000000"/>
          <w:sz w:val="22"/>
          <w:szCs w:val="22"/>
        </w:rPr>
        <w:t xml:space="preserve"> El titular tendrá las siguientes funciones: </w:t>
      </w:r>
    </w:p>
    <w:p w14:paraId="2942A009" w14:textId="77777777" w:rsidR="00715B3A" w:rsidRDefault="002F487C">
      <w:pPr>
        <w:numPr>
          <w:ilvl w:val="0"/>
          <w:numId w:val="4"/>
        </w:numPr>
        <w:pBdr>
          <w:top w:val="nil"/>
          <w:left w:val="nil"/>
          <w:bottom w:val="nil"/>
          <w:right w:val="nil"/>
          <w:between w:val="nil"/>
        </w:pBdr>
        <w:ind w:left="1134" w:right="-504"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Proponer a su Superior Jerárquico las políticas, programas y proyectos en materia de gasto, apegados al presupuesto de egresos autorizado para cada ejercicio fiscal; </w:t>
      </w:r>
    </w:p>
    <w:p w14:paraId="7C0239A1" w14:textId="77777777" w:rsidR="00715B3A" w:rsidRDefault="002F487C">
      <w:pPr>
        <w:pBdr>
          <w:top w:val="nil"/>
          <w:left w:val="nil"/>
          <w:bottom w:val="nil"/>
          <w:right w:val="nil"/>
          <w:between w:val="nil"/>
        </w:pBdr>
        <w:ind w:left="1134" w:right="-5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Coordinar, con las unidades administrativas responsables del ejercicio del gasto, las ejecuciones de políticas, programas y proyectos aprobadas por el Tesorero, y las funciones conferidas por la legislación aplicable vigente;</w:t>
      </w:r>
      <w:r>
        <w:rPr>
          <w:i/>
          <w:color w:val="000000"/>
          <w:sz w:val="22"/>
          <w:szCs w:val="22"/>
        </w:rPr>
        <w:t xml:space="preserve"> </w:t>
      </w:r>
    </w:p>
    <w:p w14:paraId="7C69D6D0" w14:textId="77777777" w:rsidR="00715B3A" w:rsidRDefault="002F487C">
      <w:pPr>
        <w:pBdr>
          <w:top w:val="nil"/>
          <w:left w:val="nil"/>
          <w:bottom w:val="nil"/>
          <w:right w:val="nil"/>
          <w:between w:val="nil"/>
        </w:pBdr>
        <w:ind w:left="1134" w:right="-5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Coordinar las acciones relacionadas a la consolidación del anteproyecto, proyecto y presupuesto definitivo de egresos del Municipio para cada ejercicio fiscal y presentar su integración al Tesorero para aprobación del Ayuntamiento; </w:t>
      </w:r>
    </w:p>
    <w:p w14:paraId="0362D730" w14:textId="77777777" w:rsidR="00715B3A" w:rsidRDefault="002F487C">
      <w:pPr>
        <w:pBdr>
          <w:top w:val="nil"/>
          <w:left w:val="nil"/>
          <w:bottom w:val="nil"/>
          <w:right w:val="nil"/>
          <w:between w:val="nil"/>
        </w:pBdr>
        <w:ind w:left="1134" w:right="-5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Coordinar los trabajos para el cumplimiento de los techos y calendarios presupuestarios aprobados, así como validar, para autorización del Tesorero, las solicitudes de ampliaciones y reducciones líquidas, liberaciones, retenciones, recalendarizaciones y traspasos presupuestarios (reconducciones) de las Dependencias ejecutoras del gasto, previa justificación y validación de la UIPPE, de acuerdo con la disponibilidad financiera, en términos de la normatividad aplicable; por lo que hace a las reconducciones, deberán ser aprobadas por Cabildo; </w:t>
      </w:r>
    </w:p>
    <w:p w14:paraId="01E5F607" w14:textId="77777777" w:rsidR="00715B3A" w:rsidRDefault="002F487C">
      <w:pPr>
        <w:pBdr>
          <w:top w:val="nil"/>
          <w:left w:val="nil"/>
          <w:bottom w:val="nil"/>
          <w:right w:val="nil"/>
          <w:between w:val="nil"/>
        </w:pBdr>
        <w:ind w:left="1134" w:right="-5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Supervisar que la documentación contable y presupuestal relativa a los ingresos, egresos y patrimonio se encuentre debidamente integrada de acuerdo con las políticas y lineamientos en materia de control contable y presupuestal prevista en la normatividad aplicable; </w:t>
      </w:r>
    </w:p>
    <w:p w14:paraId="6E1C16C0" w14:textId="77777777" w:rsidR="00715B3A" w:rsidRDefault="002F487C">
      <w:pPr>
        <w:pBdr>
          <w:top w:val="nil"/>
          <w:left w:val="nil"/>
          <w:bottom w:val="nil"/>
          <w:right w:val="nil"/>
          <w:between w:val="nil"/>
        </w:pBdr>
        <w:ind w:left="1134" w:right="-504"/>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VI. Coordinar la integración de los Informes mensuales y anuales de la Cuenta Pública para su presentación al OSFEM; </w:t>
      </w:r>
    </w:p>
    <w:p w14:paraId="46A1A409" w14:textId="77777777" w:rsidR="00715B3A" w:rsidRDefault="002F487C">
      <w:pPr>
        <w:pBdr>
          <w:top w:val="nil"/>
          <w:left w:val="nil"/>
          <w:bottom w:val="nil"/>
          <w:right w:val="nil"/>
          <w:between w:val="nil"/>
        </w:pBdr>
        <w:ind w:left="1134" w:right="-5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Coordinar la depuración de estados financieros afectando la cuenta de resultados de ejercicios anteriores, a fin de que se refleje la situación real de la hacienda pública municipal, de conformidad con lo establecido por el Manual Único de Contabilidad Gubernamental para las Dependencias y Entidades Públicas del Gobierno y Municipios del Estado de México vigente; </w:t>
      </w:r>
    </w:p>
    <w:p w14:paraId="421EC769" w14:textId="77777777" w:rsidR="00715B3A" w:rsidRDefault="002F487C">
      <w:pPr>
        <w:pBdr>
          <w:top w:val="nil"/>
          <w:left w:val="nil"/>
          <w:bottom w:val="nil"/>
          <w:right w:val="nil"/>
          <w:between w:val="nil"/>
        </w:pBdr>
        <w:ind w:left="1134" w:right="-504"/>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VIII. Coordinar la depuración de cuentas o saldos irrecuperables por incobrabilidad (deudores diversos), considerando los supuestos y disposiciones contempladas en el Manual Único de Contabilidad Gubernamental para las Dependencias y Entidades Públicas del Gobierno y Municipios del Estado de México vigente; </w:t>
      </w:r>
    </w:p>
    <w:p w14:paraId="31D4CE54" w14:textId="77777777" w:rsidR="00715B3A" w:rsidRDefault="002F487C">
      <w:pPr>
        <w:pBdr>
          <w:top w:val="nil"/>
          <w:left w:val="nil"/>
          <w:bottom w:val="nil"/>
          <w:right w:val="nil"/>
          <w:between w:val="nil"/>
        </w:pBdr>
        <w:ind w:left="1134" w:right="-5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Coordinar las acciones necesarias para determinar la cancelación de pasivos con una antigüedad de más de tres años, considerando los supuestos y disposiciones contempladas en el Manual Único de Contabilidad Gubernamental para las Dependencias y Entidades Públicas del Gobierno y Municipios del Estado de México vigente; </w:t>
      </w:r>
    </w:p>
    <w:p w14:paraId="4BFC356C" w14:textId="77777777" w:rsidR="00715B3A" w:rsidRDefault="002F487C">
      <w:pPr>
        <w:pBdr>
          <w:top w:val="nil"/>
          <w:left w:val="nil"/>
          <w:bottom w:val="nil"/>
          <w:right w:val="nil"/>
          <w:between w:val="nil"/>
        </w:pBdr>
        <w:ind w:left="1134" w:right="-5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 Supervisar permanentemente la integración y actualización del flujo de efectivo para la toma oportuna de decisiones; </w:t>
      </w:r>
    </w:p>
    <w:p w14:paraId="259A3FF6" w14:textId="77777777" w:rsidR="00715B3A" w:rsidRDefault="002F487C">
      <w:pPr>
        <w:pBdr>
          <w:top w:val="nil"/>
          <w:left w:val="nil"/>
          <w:bottom w:val="nil"/>
          <w:right w:val="nil"/>
          <w:between w:val="nil"/>
        </w:pBdr>
        <w:ind w:left="1134" w:right="-5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Supervisar permanentemente las conciliaciones bancarias; </w:t>
      </w:r>
    </w:p>
    <w:p w14:paraId="29947E09" w14:textId="77777777" w:rsidR="00715B3A" w:rsidRDefault="002F487C">
      <w:pPr>
        <w:pBdr>
          <w:top w:val="nil"/>
          <w:left w:val="nil"/>
          <w:bottom w:val="nil"/>
          <w:right w:val="nil"/>
          <w:between w:val="nil"/>
        </w:pBdr>
        <w:ind w:left="1134" w:right="-5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 Supervisar los arqueos de caja de acuerdo con los procedimientos establecidos; </w:t>
      </w:r>
    </w:p>
    <w:p w14:paraId="40B3E58D" w14:textId="77777777" w:rsidR="00715B3A" w:rsidRDefault="002F487C">
      <w:pPr>
        <w:pBdr>
          <w:top w:val="nil"/>
          <w:left w:val="nil"/>
          <w:bottom w:val="nil"/>
          <w:right w:val="nil"/>
          <w:between w:val="nil"/>
        </w:pBdr>
        <w:ind w:left="1134" w:right="-5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XIII. Coordinar el cumplimiento de las reglas y lineamientos de operación de los recursos transferidos por la Federación y el Estado al municipio;</w:t>
      </w:r>
      <w:r>
        <w:rPr>
          <w:i/>
          <w:color w:val="000000"/>
          <w:sz w:val="22"/>
          <w:szCs w:val="22"/>
        </w:rPr>
        <w:t xml:space="preserve"> </w:t>
      </w:r>
    </w:p>
    <w:p w14:paraId="507A3A99" w14:textId="77777777" w:rsidR="00715B3A" w:rsidRDefault="002F487C">
      <w:pPr>
        <w:pBdr>
          <w:top w:val="nil"/>
          <w:left w:val="nil"/>
          <w:bottom w:val="nil"/>
          <w:right w:val="nil"/>
          <w:between w:val="nil"/>
        </w:pBdr>
        <w:ind w:left="1134" w:right="-5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XIV. Programar los pagos por la adquisición de bienes y/o contratación de servicios, de acuerdo con la disponibilidad de flujo de efectivo para la autorización del Tesorero; </w:t>
      </w:r>
    </w:p>
    <w:p w14:paraId="7C26DA64" w14:textId="77777777" w:rsidR="00715B3A" w:rsidRDefault="002F487C">
      <w:pPr>
        <w:pBdr>
          <w:top w:val="nil"/>
          <w:left w:val="nil"/>
          <w:bottom w:val="nil"/>
          <w:right w:val="nil"/>
          <w:between w:val="nil"/>
        </w:pBdr>
        <w:ind w:left="1134" w:right="-5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 Supervisar y validar las acciones derivadas del objeto de contratos y convenios de prestación de servicios que celebre el Municipio en materia de contabilidad gubernamental, disciplina financiera y gasto; </w:t>
      </w:r>
    </w:p>
    <w:p w14:paraId="79953439" w14:textId="77777777" w:rsidR="00715B3A" w:rsidRDefault="002F487C">
      <w:pPr>
        <w:pBdr>
          <w:top w:val="nil"/>
          <w:left w:val="nil"/>
          <w:bottom w:val="nil"/>
          <w:right w:val="nil"/>
          <w:between w:val="nil"/>
        </w:pBdr>
        <w:ind w:left="1134" w:right="-5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 Atender y dar seguimiento, en coordinación con el Subtesorero de Ingresos, a las auditorías financieras, fiscales y específicas que le sean practicadas a la Tesorería Municipal; </w:t>
      </w:r>
    </w:p>
    <w:p w14:paraId="6C015F52" w14:textId="77777777" w:rsidR="00715B3A" w:rsidRDefault="002F487C">
      <w:pPr>
        <w:pBdr>
          <w:top w:val="nil"/>
          <w:left w:val="nil"/>
          <w:bottom w:val="nil"/>
          <w:right w:val="nil"/>
          <w:between w:val="nil"/>
        </w:pBdr>
        <w:ind w:left="1134" w:right="-5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Solventar las observaciones y, atender los hallazgos y recomendaciones que en materia de ingresos emitan los órganos de fiscalización y control derivado de la revisión de los Informes mensuales y anuales de la Cuenta Pública y, auditorías financieras y específicas que se realicen, y </w:t>
      </w:r>
    </w:p>
    <w:p w14:paraId="0BB2CD4B" w14:textId="77777777" w:rsidR="00715B3A" w:rsidRDefault="002F487C">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XVIII. Las demás que señalen las disposiciones jurídicas y normativas.</w:t>
      </w:r>
    </w:p>
    <w:p w14:paraId="657A7D80" w14:textId="77777777" w:rsidR="00715B3A" w:rsidRDefault="00715B3A">
      <w:pPr>
        <w:pBdr>
          <w:top w:val="nil"/>
          <w:left w:val="nil"/>
          <w:bottom w:val="nil"/>
          <w:right w:val="nil"/>
          <w:between w:val="nil"/>
        </w:pBdr>
        <w:ind w:left="1134" w:right="-787"/>
        <w:jc w:val="both"/>
        <w:rPr>
          <w:rFonts w:ascii="Palatino Linotype" w:eastAsia="Palatino Linotype" w:hAnsi="Palatino Linotype" w:cs="Palatino Linotype"/>
          <w:i/>
          <w:sz w:val="22"/>
          <w:szCs w:val="22"/>
        </w:rPr>
      </w:pPr>
    </w:p>
    <w:p w14:paraId="272D8DBD" w14:textId="77777777" w:rsidR="00715B3A" w:rsidRDefault="00715B3A">
      <w:pPr>
        <w:pBdr>
          <w:top w:val="nil"/>
          <w:left w:val="nil"/>
          <w:bottom w:val="nil"/>
          <w:right w:val="nil"/>
          <w:between w:val="nil"/>
        </w:pBdr>
        <w:ind w:left="1134" w:right="-787"/>
        <w:jc w:val="both"/>
        <w:rPr>
          <w:rFonts w:ascii="Palatino Linotype" w:eastAsia="Palatino Linotype" w:hAnsi="Palatino Linotype" w:cs="Palatino Linotype"/>
          <w:i/>
          <w:sz w:val="22"/>
          <w:szCs w:val="22"/>
        </w:rPr>
      </w:pPr>
    </w:p>
    <w:p w14:paraId="19A35744"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color w:val="000000"/>
        </w:rPr>
        <w:lastRenderedPageBreak/>
        <w:t xml:space="preserve">De lo anterior, se observa que la </w:t>
      </w:r>
      <w:proofErr w:type="spellStart"/>
      <w:r>
        <w:rPr>
          <w:rFonts w:ascii="Palatino Linotype" w:eastAsia="Palatino Linotype" w:hAnsi="Palatino Linotype" w:cs="Palatino Linotype"/>
          <w:color w:val="000000"/>
        </w:rPr>
        <w:t>Subtesorería</w:t>
      </w:r>
      <w:proofErr w:type="spellEnd"/>
      <w:r>
        <w:rPr>
          <w:rFonts w:ascii="Palatino Linotype" w:eastAsia="Palatino Linotype" w:hAnsi="Palatino Linotype" w:cs="Palatino Linotype"/>
          <w:color w:val="000000"/>
        </w:rPr>
        <w:t xml:space="preserve"> de Egresos es el área encargada de coordinar lo relacionado con los informes que se deben de entregar al Órgano Superior de Fiscalización del Estado de México. </w:t>
      </w:r>
    </w:p>
    <w:p w14:paraId="2A5789BF" w14:textId="77777777" w:rsidR="00715B3A" w:rsidRDefault="00715B3A">
      <w:pPr>
        <w:spacing w:line="360" w:lineRule="auto"/>
        <w:ind w:right="-787"/>
        <w:jc w:val="both"/>
        <w:rPr>
          <w:rFonts w:ascii="Palatino Linotype" w:eastAsia="Palatino Linotype" w:hAnsi="Palatino Linotype" w:cs="Palatino Linotype"/>
          <w:color w:val="000000"/>
        </w:rPr>
      </w:pPr>
    </w:p>
    <w:p w14:paraId="7B4C2725"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color w:val="000000"/>
        </w:rPr>
        <w:t xml:space="preserve">Ahora bien, una vez que se estableció la fuente obligacional de la Dirección de Administración y de la Tesorería Municipal como áreas habilitadas, se realizará el análisis de cada uno de los puntos </w:t>
      </w:r>
      <w:proofErr w:type="gramStart"/>
      <w:r>
        <w:rPr>
          <w:rFonts w:ascii="Palatino Linotype" w:eastAsia="Palatino Linotype" w:hAnsi="Palatino Linotype" w:cs="Palatino Linotype"/>
          <w:color w:val="000000"/>
        </w:rPr>
        <w:t>solicitados  y</w:t>
      </w:r>
      <w:proofErr w:type="gramEnd"/>
      <w:r>
        <w:rPr>
          <w:rFonts w:ascii="Palatino Linotype" w:eastAsia="Palatino Linotype" w:hAnsi="Palatino Linotype" w:cs="Palatino Linotype"/>
          <w:color w:val="000000"/>
        </w:rPr>
        <w:t xml:space="preserve"> de la información entregada. </w:t>
      </w:r>
    </w:p>
    <w:p w14:paraId="3386B093" w14:textId="77777777" w:rsidR="00715B3A" w:rsidRDefault="00715B3A">
      <w:pPr>
        <w:pBdr>
          <w:top w:val="nil"/>
          <w:left w:val="nil"/>
          <w:bottom w:val="nil"/>
          <w:right w:val="nil"/>
          <w:between w:val="nil"/>
        </w:pBdr>
        <w:ind w:left="708" w:right="-787"/>
        <w:rPr>
          <w:rFonts w:ascii="Palatino Linotype" w:eastAsia="Palatino Linotype" w:hAnsi="Palatino Linotype" w:cs="Palatino Linotype"/>
          <w:color w:val="000000"/>
        </w:rPr>
      </w:pPr>
    </w:p>
    <w:p w14:paraId="5130D43D" w14:textId="77777777" w:rsidR="00715B3A" w:rsidRDefault="002F487C" w:rsidP="0092610F">
      <w:pPr>
        <w:numPr>
          <w:ilvl w:val="0"/>
          <w:numId w:val="11"/>
        </w:numPr>
        <w:spacing w:line="360" w:lineRule="auto"/>
        <w:ind w:left="0" w:right="-787" w:firstLine="0"/>
        <w:jc w:val="both"/>
        <w:rPr>
          <w:rFonts w:ascii="Palatino Linotype" w:eastAsia="Palatino Linotype" w:hAnsi="Palatino Linotype" w:cs="Palatino Linotype"/>
          <w:color w:val="000000"/>
        </w:rPr>
      </w:pPr>
      <w:r w:rsidRPr="0092610F">
        <w:rPr>
          <w:rFonts w:ascii="Palatino Linotype" w:eastAsia="Palatino Linotype" w:hAnsi="Palatino Linotype" w:cs="Palatino Linotype"/>
          <w:color w:val="000000"/>
        </w:rPr>
        <w:t xml:space="preserve">En ese sentido, en cuanto al numeral uno de la solicitud de información mediante el cual el </w:t>
      </w:r>
      <w:r w:rsidRPr="0092610F">
        <w:rPr>
          <w:rFonts w:ascii="Palatino Linotype" w:eastAsia="Palatino Linotype" w:hAnsi="Palatino Linotype" w:cs="Palatino Linotype"/>
          <w:b/>
          <w:color w:val="000000"/>
        </w:rPr>
        <w:t xml:space="preserve">RECURRENTE </w:t>
      </w:r>
      <w:r w:rsidRPr="0092610F">
        <w:rPr>
          <w:rFonts w:ascii="Palatino Linotype" w:eastAsia="Palatino Linotype" w:hAnsi="Palatino Linotype" w:cs="Palatino Linotype"/>
          <w:color w:val="000000"/>
        </w:rPr>
        <w:t xml:space="preserve">solicita la </w:t>
      </w:r>
      <w:proofErr w:type="gramStart"/>
      <w:r w:rsidRPr="0092610F">
        <w:rPr>
          <w:rFonts w:ascii="Palatino Linotype" w:eastAsia="Palatino Linotype" w:hAnsi="Palatino Linotype" w:cs="Palatino Linotype"/>
          <w:color w:val="000000"/>
        </w:rPr>
        <w:t xml:space="preserve">nómina </w:t>
      </w:r>
      <w:r w:rsidR="0092610F" w:rsidRPr="0092610F">
        <w:rPr>
          <w:rFonts w:ascii="Palatino Linotype" w:eastAsia="Palatino Linotype" w:hAnsi="Palatino Linotype" w:cs="Palatino Linotype"/>
          <w:color w:val="000000"/>
        </w:rPr>
        <w:t xml:space="preserve"> y</w:t>
      </w:r>
      <w:proofErr w:type="gramEnd"/>
      <w:r w:rsidR="0092610F" w:rsidRPr="0092610F">
        <w:rPr>
          <w:rFonts w:ascii="Palatino Linotype" w:eastAsia="Palatino Linotype" w:hAnsi="Palatino Linotype" w:cs="Palatino Linotype"/>
          <w:color w:val="000000"/>
        </w:rPr>
        <w:t xml:space="preserve"> la conciliación de nómina </w:t>
      </w:r>
      <w:r w:rsidRPr="0092610F">
        <w:rPr>
          <w:rFonts w:ascii="Palatino Linotype" w:eastAsia="Palatino Linotype" w:hAnsi="Palatino Linotype" w:cs="Palatino Linotype"/>
          <w:color w:val="000000"/>
        </w:rPr>
        <w:t xml:space="preserve">de la primera quincena de octubre el </w:t>
      </w:r>
      <w:r w:rsidRPr="0092610F">
        <w:rPr>
          <w:rFonts w:ascii="Palatino Linotype" w:eastAsia="Palatino Linotype" w:hAnsi="Palatino Linotype" w:cs="Palatino Linotype"/>
          <w:b/>
          <w:color w:val="000000"/>
        </w:rPr>
        <w:t xml:space="preserve">SUJETO OBLIGADO </w:t>
      </w:r>
      <w:r w:rsidRPr="0092610F">
        <w:rPr>
          <w:rFonts w:ascii="Palatino Linotype" w:eastAsia="Palatino Linotype" w:hAnsi="Palatino Linotype" w:cs="Palatino Linotype"/>
        </w:rPr>
        <w:t>entregó</w:t>
      </w:r>
      <w:r w:rsidRPr="0092610F">
        <w:rPr>
          <w:rFonts w:ascii="Palatino Linotype" w:eastAsia="Palatino Linotype" w:hAnsi="Palatino Linotype" w:cs="Palatino Linotype"/>
          <w:color w:val="000000"/>
        </w:rPr>
        <w:t xml:space="preserve"> tres mil seiscientos diez recibos de nómina </w:t>
      </w:r>
      <w:r w:rsidR="0092610F" w:rsidRPr="0092610F">
        <w:rPr>
          <w:rFonts w:ascii="Palatino Linotype" w:eastAsia="Palatino Linotype" w:hAnsi="Palatino Linotype" w:cs="Palatino Linotype"/>
          <w:color w:val="000000"/>
        </w:rPr>
        <w:t>y en el registro de la conciliación de nómina el número coincide, situación por la cual estos dos puntos de la solicitud de información se tiene por colmados.</w:t>
      </w:r>
    </w:p>
    <w:p w14:paraId="594B0405" w14:textId="77777777" w:rsidR="0092610F" w:rsidRDefault="0092610F" w:rsidP="0092610F">
      <w:pPr>
        <w:pStyle w:val="Prrafodelista"/>
        <w:rPr>
          <w:rFonts w:ascii="Palatino Linotype" w:eastAsia="Palatino Linotype" w:hAnsi="Palatino Linotype" w:cs="Palatino Linotype"/>
          <w:color w:val="000000"/>
        </w:rPr>
      </w:pPr>
    </w:p>
    <w:p w14:paraId="2DE6282E" w14:textId="77777777" w:rsidR="0092610F" w:rsidRDefault="0092610F" w:rsidP="0092610F">
      <w:pPr>
        <w:numPr>
          <w:ilvl w:val="0"/>
          <w:numId w:val="11"/>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Sin embargo, respecto del archivo de conciliación de nómina se debe de mencionar que el </w:t>
      </w:r>
      <w:r>
        <w:rPr>
          <w:rFonts w:ascii="Palatino Linotype" w:eastAsia="Palatino Linotype" w:hAnsi="Palatino Linotype" w:cs="Palatino Linotype"/>
          <w:b/>
          <w:color w:val="000000"/>
        </w:rPr>
        <w:t xml:space="preserve">SUJETO OBLIGADO dejo </w:t>
      </w:r>
      <w:proofErr w:type="gramStart"/>
      <w:r>
        <w:rPr>
          <w:rFonts w:ascii="Palatino Linotype" w:eastAsia="Palatino Linotype" w:hAnsi="Palatino Linotype" w:cs="Palatino Linotype"/>
          <w:b/>
          <w:color w:val="000000"/>
        </w:rPr>
        <w:t>libre datos</w:t>
      </w:r>
      <w:proofErr w:type="gramEnd"/>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que debieron clasificarse como confidenciales, como el Registro Federal de Contribuyentes, el Registro Federal de Contribuyentes, el número de seguridad social, el rubro de </w:t>
      </w:r>
      <w:proofErr w:type="spellStart"/>
      <w:r>
        <w:rPr>
          <w:rFonts w:ascii="Palatino Linotype" w:eastAsia="Palatino Linotype" w:hAnsi="Palatino Linotype" w:cs="Palatino Linotype"/>
          <w:color w:val="000000"/>
        </w:rPr>
        <w:t>prestamos</w:t>
      </w:r>
      <w:proofErr w:type="spellEnd"/>
      <w:r>
        <w:rPr>
          <w:rFonts w:ascii="Palatino Linotype" w:eastAsia="Palatino Linotype" w:hAnsi="Palatino Linotype" w:cs="Palatino Linotype"/>
          <w:color w:val="000000"/>
        </w:rPr>
        <w:t xml:space="preserve">, y el número de cuentas bancarias. </w:t>
      </w:r>
    </w:p>
    <w:p w14:paraId="71A049EB" w14:textId="77777777" w:rsidR="0092610F" w:rsidRDefault="0092610F" w:rsidP="0092610F">
      <w:pPr>
        <w:pStyle w:val="Prrafodelista"/>
        <w:rPr>
          <w:rFonts w:ascii="Palatino Linotype" w:eastAsia="Palatino Linotype" w:hAnsi="Palatino Linotype" w:cs="Palatino Linotype"/>
          <w:color w:val="000000"/>
        </w:rPr>
      </w:pPr>
    </w:p>
    <w:p w14:paraId="2D40BB14" w14:textId="77777777" w:rsidR="0092610F" w:rsidRDefault="0092610F" w:rsidP="0092610F">
      <w:pPr>
        <w:spacing w:line="360" w:lineRule="auto"/>
        <w:ind w:right="-787"/>
        <w:jc w:val="both"/>
        <w:rPr>
          <w:rFonts w:ascii="Palatino Linotype" w:eastAsia="Palatino Linotype" w:hAnsi="Palatino Linotype" w:cs="Palatino Linotype"/>
          <w:color w:val="000000"/>
        </w:rPr>
      </w:pPr>
    </w:p>
    <w:p w14:paraId="2755A7BD" w14:textId="77777777" w:rsidR="00715B3A" w:rsidRDefault="00715B3A">
      <w:pPr>
        <w:ind w:left="720" w:right="-787"/>
        <w:rPr>
          <w:rFonts w:ascii="Palatino Linotype" w:eastAsia="Palatino Linotype" w:hAnsi="Palatino Linotype" w:cs="Palatino Linotype"/>
        </w:rPr>
      </w:pPr>
    </w:p>
    <w:p w14:paraId="1C10BD5A"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 xml:space="preserve">Ahora bien, respecto de la información solicitada </w:t>
      </w:r>
      <w:r w:rsidRPr="004E2BA8">
        <w:rPr>
          <w:rFonts w:ascii="Palatino Linotype" w:eastAsia="Palatino Linotype" w:hAnsi="Palatino Linotype" w:cs="Palatino Linotype"/>
          <w:b/>
        </w:rPr>
        <w:t>de la dispersión de nómina</w:t>
      </w:r>
      <w:r>
        <w:rPr>
          <w:rFonts w:ascii="Palatino Linotype" w:eastAsia="Palatino Linotype" w:hAnsi="Palatino Linotype" w:cs="Palatino Linotype"/>
        </w:rPr>
        <w:t xml:space="preserve">, se debe de referir que el Tesorero Municipal en el apartado de manifestaciones entregó once archivos electrónicos, entre los que se observan el Banco Banamex, Banorte, Santander y BBVA, de los cuales se puede apreciar en algunos el título de dispersión de nómina, sin </w:t>
      </w:r>
      <w:proofErr w:type="gramStart"/>
      <w:r>
        <w:rPr>
          <w:rFonts w:ascii="Palatino Linotype" w:eastAsia="Palatino Linotype" w:hAnsi="Palatino Linotype" w:cs="Palatino Linotype"/>
        </w:rPr>
        <w:lastRenderedPageBreak/>
        <w:t>embargo</w:t>
      </w:r>
      <w:proofErr w:type="gramEnd"/>
      <w:r>
        <w:rPr>
          <w:rFonts w:ascii="Palatino Linotype" w:eastAsia="Palatino Linotype" w:hAnsi="Palatino Linotype" w:cs="Palatino Linotype"/>
        </w:rPr>
        <w:t xml:space="preserve"> se puede observar que no contiene los datos requisitados por el Órgano Superior de Fiscalización del Estado de México. </w:t>
      </w:r>
    </w:p>
    <w:p w14:paraId="493CE84E" w14:textId="77777777" w:rsidR="00715B3A" w:rsidRDefault="00715B3A">
      <w:pPr>
        <w:pBdr>
          <w:top w:val="nil"/>
          <w:left w:val="nil"/>
          <w:bottom w:val="nil"/>
          <w:right w:val="nil"/>
          <w:between w:val="nil"/>
        </w:pBdr>
        <w:ind w:left="708" w:right="-787"/>
        <w:rPr>
          <w:rFonts w:ascii="Palatino Linotype" w:eastAsia="Palatino Linotype" w:hAnsi="Palatino Linotype" w:cs="Palatino Linotype"/>
          <w:color w:val="000000"/>
        </w:rPr>
      </w:pPr>
    </w:p>
    <w:p w14:paraId="40A8E488"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 xml:space="preserve">De lo anterior, se determina que la información remitida en la etapa de manifestaciones, contraviene a los principios de congruencia y exhaustividad toda vez que no contiene los datos requisitados por el Órgano Superior de Fiscalización. </w:t>
      </w:r>
    </w:p>
    <w:p w14:paraId="2A541A56" w14:textId="77777777" w:rsidR="00715B3A" w:rsidRDefault="00715B3A">
      <w:pPr>
        <w:pBdr>
          <w:top w:val="nil"/>
          <w:left w:val="nil"/>
          <w:bottom w:val="nil"/>
          <w:right w:val="nil"/>
          <w:between w:val="nil"/>
        </w:pBdr>
        <w:ind w:left="708" w:right="-787"/>
        <w:rPr>
          <w:rFonts w:ascii="Palatino Linotype" w:eastAsia="Palatino Linotype" w:hAnsi="Palatino Linotype" w:cs="Palatino Linotype"/>
          <w:color w:val="000000"/>
        </w:rPr>
      </w:pPr>
    </w:p>
    <w:p w14:paraId="7783226A"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Sirve de reforzamiento a lo anterior</w:t>
      </w:r>
      <w:r>
        <w:rPr>
          <w:rFonts w:ascii="Palatino Linotype" w:eastAsia="Palatino Linotype" w:hAnsi="Palatino Linotype" w:cs="Palatino Linotype"/>
          <w:u w:val="single"/>
        </w:rPr>
        <w:t xml:space="preserve">, el Criterio 02/17, emitido por el Pleno del </w:t>
      </w:r>
      <w:r>
        <w:rPr>
          <w:rFonts w:ascii="Palatino Linotype" w:eastAsia="Palatino Linotype" w:hAnsi="Palatino Linotype" w:cs="Palatino Linotype"/>
        </w:rPr>
        <w:t>Instituto Nacional de Transparencia y Acceso a la Información y Protección de Datos Personales, de título y texto siguientes:</w:t>
      </w:r>
    </w:p>
    <w:p w14:paraId="7CCC4027" w14:textId="77777777" w:rsidR="00715B3A" w:rsidRDefault="002F487C">
      <w:pPr>
        <w:pBdr>
          <w:top w:val="nil"/>
          <w:left w:val="nil"/>
          <w:bottom w:val="nil"/>
          <w:right w:val="nil"/>
          <w:between w:val="nil"/>
        </w:pBdr>
        <w:spacing w:before="240" w:after="240"/>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2"/>
          <w:szCs w:val="22"/>
        </w:rPr>
        <w:t xml:space="preserve">; mientras que </w:t>
      </w:r>
      <w:r>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42C61DEA" w14:textId="77777777" w:rsidR="00715B3A" w:rsidRDefault="00715B3A">
      <w:pPr>
        <w:pBdr>
          <w:top w:val="nil"/>
          <w:left w:val="nil"/>
          <w:bottom w:val="nil"/>
          <w:right w:val="nil"/>
          <w:between w:val="nil"/>
        </w:pBdr>
        <w:spacing w:before="240" w:after="240"/>
        <w:ind w:left="360" w:right="-787"/>
        <w:jc w:val="both"/>
        <w:rPr>
          <w:rFonts w:ascii="Palatino Linotype" w:eastAsia="Palatino Linotype" w:hAnsi="Palatino Linotype" w:cs="Palatino Linotype"/>
          <w:i/>
          <w:color w:val="000000"/>
        </w:rPr>
      </w:pPr>
    </w:p>
    <w:p w14:paraId="45767CB0"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 xml:space="preserve">Ahora bien, en lo que concierne a los comprobantes bancarios de la dispersión de la nómina, el artículo 32, párrafo segundo, de la Ley de Fiscalización Superior del Estado de México, establece que los </w:t>
      </w:r>
      <w:proofErr w:type="gramStart"/>
      <w:r>
        <w:rPr>
          <w:rFonts w:ascii="Palatino Linotype" w:eastAsia="Palatino Linotype" w:hAnsi="Palatino Linotype" w:cs="Palatino Linotype"/>
        </w:rPr>
        <w:t>Presidentes</w:t>
      </w:r>
      <w:proofErr w:type="gramEnd"/>
      <w:r>
        <w:rPr>
          <w:rFonts w:ascii="Palatino Linotype" w:eastAsia="Palatino Linotype" w:hAnsi="Palatino Linotype" w:cs="Palatino Linotype"/>
        </w:rPr>
        <w:t xml:space="preserve"> Municipales, presentarán a la Legislatura los informes mensuales, dentro de los veinte días posteriores al término del mes correspondiente.</w:t>
      </w:r>
    </w:p>
    <w:p w14:paraId="6D9A4E3E" w14:textId="77777777" w:rsidR="00715B3A" w:rsidRDefault="00715B3A">
      <w:pPr>
        <w:pBdr>
          <w:top w:val="nil"/>
          <w:left w:val="nil"/>
          <w:bottom w:val="nil"/>
          <w:right w:val="nil"/>
          <w:between w:val="nil"/>
        </w:pBdr>
        <w:spacing w:line="360" w:lineRule="auto"/>
        <w:ind w:left="360" w:right="-787"/>
        <w:jc w:val="both"/>
        <w:rPr>
          <w:rFonts w:ascii="Palatino Linotype" w:eastAsia="Palatino Linotype" w:hAnsi="Palatino Linotype" w:cs="Palatino Linotype"/>
          <w:color w:val="000000"/>
        </w:rPr>
      </w:pPr>
    </w:p>
    <w:p w14:paraId="53B8865A" w14:textId="77777777" w:rsidR="00715B3A" w:rsidRDefault="002F487C">
      <w:pPr>
        <w:numPr>
          <w:ilvl w:val="0"/>
          <w:numId w:val="11"/>
        </w:numPr>
        <w:spacing w:line="360" w:lineRule="auto"/>
        <w:ind w:left="0" w:right="-787" w:firstLine="0"/>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En ese orden de ideas,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w:t>
      </w:r>
      <w:r>
        <w:rPr>
          <w:rFonts w:ascii="Palatino Linotype" w:eastAsia="Palatino Linotype" w:hAnsi="Palatino Linotype" w:cs="Palatino Linotype"/>
          <w:b/>
          <w:u w:val="single"/>
        </w:rPr>
        <w:t>informes hayan sido presentados conforme a la normatividad aplicable.</w:t>
      </w:r>
    </w:p>
    <w:p w14:paraId="6906FED6" w14:textId="77777777" w:rsidR="00715B3A" w:rsidRDefault="00715B3A">
      <w:pPr>
        <w:pBdr>
          <w:top w:val="nil"/>
          <w:left w:val="nil"/>
          <w:bottom w:val="nil"/>
          <w:right w:val="nil"/>
          <w:between w:val="nil"/>
        </w:pBdr>
        <w:spacing w:after="240" w:line="360" w:lineRule="auto"/>
        <w:ind w:left="360" w:right="-787"/>
        <w:jc w:val="both"/>
        <w:rPr>
          <w:rFonts w:ascii="Palatino Linotype" w:eastAsia="Palatino Linotype" w:hAnsi="Palatino Linotype" w:cs="Palatino Linotype"/>
          <w:color w:val="000000"/>
        </w:rPr>
      </w:pPr>
    </w:p>
    <w:p w14:paraId="4C6B5745" w14:textId="77777777" w:rsidR="00715B3A" w:rsidRDefault="002F487C">
      <w:pPr>
        <w:numPr>
          <w:ilvl w:val="0"/>
          <w:numId w:val="11"/>
        </w:numPr>
        <w:spacing w:line="360" w:lineRule="auto"/>
        <w:ind w:left="0" w:right="-787"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Además,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w:t>
      </w:r>
      <w:r>
        <w:rPr>
          <w:rFonts w:ascii="Palatino Linotype" w:eastAsia="Palatino Linotype" w:hAnsi="Palatino Linotype" w:cs="Palatino Linotype"/>
          <w:b/>
        </w:rPr>
        <w:t>de Nómina.</w:t>
      </w:r>
    </w:p>
    <w:p w14:paraId="4CFFD1C0" w14:textId="77777777" w:rsidR="00715B3A" w:rsidRDefault="00715B3A">
      <w:pPr>
        <w:pBdr>
          <w:top w:val="nil"/>
          <w:left w:val="nil"/>
          <w:bottom w:val="nil"/>
          <w:right w:val="nil"/>
          <w:between w:val="nil"/>
        </w:pBdr>
        <w:spacing w:line="360" w:lineRule="auto"/>
        <w:ind w:left="360" w:right="-787"/>
        <w:jc w:val="both"/>
        <w:rPr>
          <w:rFonts w:ascii="Palatino Linotype" w:eastAsia="Palatino Linotype" w:hAnsi="Palatino Linotype" w:cs="Palatino Linotype"/>
          <w:color w:val="000000"/>
        </w:rPr>
      </w:pPr>
    </w:p>
    <w:p w14:paraId="0D1E8ADE"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 xml:space="preserve">En ese sentido, los Lineamientos para la Integración del Informe Trimestral de los Sujetos de Fiscalización Municipales, para los ejercicios fiscales dos mil veinticuatro, se advierte que el </w:t>
      </w:r>
      <w:r>
        <w:rPr>
          <w:rFonts w:ascii="Palatino Linotype" w:eastAsia="Palatino Linotype" w:hAnsi="Palatino Linotype" w:cs="Palatino Linotype"/>
          <w:b/>
        </w:rPr>
        <w:t>Módulo 4</w:t>
      </w:r>
      <w:r>
        <w:rPr>
          <w:rFonts w:ascii="Palatino Linotype" w:eastAsia="Palatino Linotype" w:hAnsi="Palatino Linotype" w:cs="Palatino Linotype"/>
        </w:rPr>
        <w:t xml:space="preserve">, se integra por diversos documentos, entre los que se encuentra </w:t>
      </w:r>
      <w:r>
        <w:rPr>
          <w:rFonts w:ascii="Palatino Linotype" w:eastAsia="Palatino Linotype" w:hAnsi="Palatino Linotype" w:cs="Palatino Linotype"/>
          <w:b/>
        </w:rPr>
        <w:t>el Comprobante Bancario de la Dispersión de la Nómina</w:t>
      </w:r>
      <w:r>
        <w:rPr>
          <w:rFonts w:ascii="Palatino Linotype" w:eastAsia="Palatino Linotype" w:hAnsi="Palatino Linotype" w:cs="Palatino Linotype"/>
        </w:rPr>
        <w:t>, mismo que será entregado al Órgano Superior de Fiscalización del Estado de México, tal como se muestra a continuación:</w:t>
      </w:r>
    </w:p>
    <w:p w14:paraId="67C23180" w14:textId="77777777" w:rsidR="00715B3A" w:rsidRDefault="00715B3A">
      <w:pPr>
        <w:pBdr>
          <w:top w:val="nil"/>
          <w:left w:val="nil"/>
          <w:bottom w:val="nil"/>
          <w:right w:val="nil"/>
          <w:between w:val="nil"/>
        </w:pBdr>
        <w:ind w:left="708" w:right="-787"/>
        <w:rPr>
          <w:rFonts w:ascii="Palatino Linotype" w:eastAsia="Palatino Linotype" w:hAnsi="Palatino Linotype" w:cs="Palatino Linotype"/>
          <w:color w:val="000000"/>
        </w:rPr>
      </w:pPr>
    </w:p>
    <w:p w14:paraId="1FF1E6F3" w14:textId="77777777" w:rsidR="00715B3A" w:rsidRDefault="00715B3A">
      <w:pPr>
        <w:spacing w:line="360" w:lineRule="auto"/>
        <w:ind w:right="-787"/>
        <w:jc w:val="both"/>
        <w:rPr>
          <w:rFonts w:ascii="Palatino Linotype" w:eastAsia="Palatino Linotype" w:hAnsi="Palatino Linotype" w:cs="Palatino Linotype"/>
        </w:rPr>
      </w:pPr>
    </w:p>
    <w:p w14:paraId="1E35BDE3" w14:textId="77777777" w:rsidR="00715B3A" w:rsidRDefault="00715B3A">
      <w:pPr>
        <w:pBdr>
          <w:top w:val="nil"/>
          <w:left w:val="nil"/>
          <w:bottom w:val="nil"/>
          <w:right w:val="nil"/>
          <w:between w:val="nil"/>
        </w:pBdr>
        <w:ind w:left="708" w:right="-787"/>
        <w:rPr>
          <w:rFonts w:ascii="Palatino Linotype" w:eastAsia="Palatino Linotype" w:hAnsi="Palatino Linotype" w:cs="Palatino Linotype"/>
          <w:color w:val="000000"/>
        </w:rPr>
      </w:pPr>
    </w:p>
    <w:p w14:paraId="0EC27D7E" w14:textId="77777777" w:rsidR="00715B3A" w:rsidRDefault="002F487C">
      <w:pPr>
        <w:spacing w:line="360" w:lineRule="auto"/>
        <w:ind w:right="-787"/>
        <w:jc w:val="center"/>
        <w:rPr>
          <w:rFonts w:ascii="Palatino Linotype" w:eastAsia="Palatino Linotype" w:hAnsi="Palatino Linotype" w:cs="Palatino Linotype"/>
        </w:rPr>
      </w:pPr>
      <w:r>
        <w:rPr>
          <w:rFonts w:ascii="Palatino Linotype" w:eastAsia="Palatino Linotype" w:hAnsi="Palatino Linotype" w:cs="Palatino Linotype"/>
          <w:noProof/>
          <w:color w:val="000000"/>
          <w:lang w:val="es-MX"/>
        </w:rPr>
        <w:lastRenderedPageBreak/>
        <w:drawing>
          <wp:inline distT="0" distB="0" distL="0" distR="0" wp14:anchorId="6F4CCE72" wp14:editId="7098EB77">
            <wp:extent cx="4943108" cy="2756313"/>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4943108" cy="2756313"/>
                    </a:xfrm>
                    <a:prstGeom prst="rect">
                      <a:avLst/>
                    </a:prstGeom>
                    <a:ln/>
                  </pic:spPr>
                </pic:pic>
              </a:graphicData>
            </a:graphic>
          </wp:inline>
        </w:drawing>
      </w:r>
    </w:p>
    <w:p w14:paraId="5654FDF3" w14:textId="77777777" w:rsidR="00715B3A" w:rsidRDefault="002F487C">
      <w:pPr>
        <w:pBdr>
          <w:top w:val="nil"/>
          <w:left w:val="nil"/>
          <w:bottom w:val="nil"/>
          <w:right w:val="nil"/>
          <w:between w:val="nil"/>
        </w:pBdr>
        <w:spacing w:after="240" w:line="360" w:lineRule="auto"/>
        <w:ind w:left="360" w:right="-787"/>
        <w:jc w:val="both"/>
        <w:rPr>
          <w:rFonts w:ascii="Palatino Linotype" w:eastAsia="Palatino Linotype" w:hAnsi="Palatino Linotype" w:cs="Palatino Linotype"/>
          <w:color w:val="000000"/>
        </w:rPr>
      </w:pPr>
      <w:r>
        <w:rPr>
          <w:noProof/>
          <w:color w:val="000000"/>
          <w:lang w:val="es-MX"/>
        </w:rPr>
        <w:drawing>
          <wp:inline distT="0" distB="0" distL="0" distR="0" wp14:anchorId="358E1E68" wp14:editId="28313E18">
            <wp:extent cx="5473675" cy="2846912"/>
            <wp:effectExtent l="0" t="0" r="0" b="0"/>
            <wp:docPr id="10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40691" t="50568" r="26626" b="27820"/>
                    <a:stretch>
                      <a:fillRect/>
                    </a:stretch>
                  </pic:blipFill>
                  <pic:spPr>
                    <a:xfrm>
                      <a:off x="0" y="0"/>
                      <a:ext cx="5473675" cy="2846912"/>
                    </a:xfrm>
                    <a:prstGeom prst="rect">
                      <a:avLst/>
                    </a:prstGeom>
                    <a:ln/>
                  </pic:spPr>
                </pic:pic>
              </a:graphicData>
            </a:graphic>
          </wp:inline>
        </w:drawing>
      </w:r>
      <w:r>
        <w:rPr>
          <w:noProof/>
          <w:lang w:val="es-MX"/>
        </w:rPr>
        <mc:AlternateContent>
          <mc:Choice Requires="wps">
            <w:drawing>
              <wp:anchor distT="0" distB="0" distL="114300" distR="114300" simplePos="0" relativeHeight="251662336" behindDoc="0" locked="0" layoutInCell="1" hidden="0" allowOverlap="1" wp14:anchorId="0427EF0C" wp14:editId="0B0A480D">
                <wp:simplePos x="0" y="0"/>
                <wp:positionH relativeFrom="column">
                  <wp:posOffset>1511300</wp:posOffset>
                </wp:positionH>
                <wp:positionV relativeFrom="paragraph">
                  <wp:posOffset>698500</wp:posOffset>
                </wp:positionV>
                <wp:extent cx="3041650" cy="412750"/>
                <wp:effectExtent l="0" t="0" r="0" b="0"/>
                <wp:wrapNone/>
                <wp:docPr id="89" name="Rectángulo 89"/>
                <wp:cNvGraphicFramePr/>
                <a:graphic xmlns:a="http://schemas.openxmlformats.org/drawingml/2006/main">
                  <a:graphicData uri="http://schemas.microsoft.com/office/word/2010/wordprocessingShape">
                    <wps:wsp>
                      <wps:cNvSpPr/>
                      <wps:spPr>
                        <a:xfrm>
                          <a:off x="3845813" y="3594263"/>
                          <a:ext cx="3000375" cy="371475"/>
                        </a:xfrm>
                        <a:prstGeom prst="rect">
                          <a:avLst/>
                        </a:prstGeom>
                        <a:noFill/>
                        <a:ln w="41275" cap="flat" cmpd="sng">
                          <a:solidFill>
                            <a:srgbClr val="42719B"/>
                          </a:solidFill>
                          <a:prstDash val="solid"/>
                          <a:miter lim="800000"/>
                          <a:headEnd type="none" w="sm" len="sm"/>
                          <a:tailEnd type="none" w="sm" len="sm"/>
                        </a:ln>
                      </wps:spPr>
                      <wps:txbx>
                        <w:txbxContent>
                          <w:p w14:paraId="7DE5E6C5" w14:textId="77777777" w:rsidR="004E2BA8" w:rsidRDefault="004E2BA8">
                            <w:pPr>
                              <w:textDirection w:val="btLr"/>
                            </w:pPr>
                          </w:p>
                        </w:txbxContent>
                      </wps:txbx>
                      <wps:bodyPr spcFirstLastPara="1" wrap="square" lIns="91425" tIns="91425" rIns="91425" bIns="91425" anchor="ctr" anchorCtr="0">
                        <a:noAutofit/>
                      </wps:bodyPr>
                    </wps:wsp>
                  </a:graphicData>
                </a:graphic>
              </wp:anchor>
            </w:drawing>
          </mc:Choice>
          <mc:Fallback>
            <w:pict>
              <v:rect id="Rectángulo 89" o:spid="_x0000_s1026" style="position:absolute;left:0;text-align:left;margin-left:119pt;margin-top:55pt;width:239.5pt;height: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" filled="f" strokecolor="#42719b" strokeweight="3.25pt">
                <v:stroke startarrowwidth="narrow" startarrowlength="short" endarrowwidth="narrow" endarrowlength="short"/>
                <v:textbox inset="2.53958mm,2.53958mm,2.53958mm,2.53958mm">
                  <w:txbxContent>
                    <w:p w:rsidR="004E2BA8" w:rsidRDefault="004E2BA8">
                      <w:pPr>
                        <w:textDirection w:val="btLr"/>
                      </w:pPr>
                    </w:p>
                  </w:txbxContent>
                </v:textbox>
              </v:rect>
            </w:pict>
          </mc:Fallback>
        </mc:AlternateContent>
      </w:r>
    </w:p>
    <w:p w14:paraId="159F2F71" w14:textId="77777777" w:rsidR="00715B3A" w:rsidRDefault="00715B3A">
      <w:pPr>
        <w:spacing w:line="360" w:lineRule="auto"/>
        <w:ind w:right="-787"/>
        <w:jc w:val="both"/>
        <w:rPr>
          <w:rFonts w:ascii="Palatino Linotype" w:eastAsia="Palatino Linotype" w:hAnsi="Palatino Linotype" w:cs="Palatino Linotype"/>
          <w:color w:val="000000"/>
        </w:rPr>
      </w:pPr>
    </w:p>
    <w:p w14:paraId="16EBC590"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 xml:space="preserve">Ahora </w:t>
      </w:r>
      <w:proofErr w:type="gramStart"/>
      <w:r>
        <w:rPr>
          <w:rFonts w:ascii="Palatino Linotype" w:eastAsia="Palatino Linotype" w:hAnsi="Palatino Linotype" w:cs="Palatino Linotype"/>
        </w:rPr>
        <w:t>bien</w:t>
      </w:r>
      <w:proofErr w:type="gramEnd"/>
      <w:r>
        <w:rPr>
          <w:rFonts w:ascii="Palatino Linotype" w:eastAsia="Palatino Linotype" w:hAnsi="Palatino Linotype" w:cs="Palatino Linotype"/>
        </w:rPr>
        <w:t xml:space="preserve"> de conformidad con el instructivo 4 del Órgano Superior de Fiscalización del Estado de México, establece que el documento de la dispersión de nómina debe de contener los siguientes datos. </w:t>
      </w:r>
    </w:p>
    <w:p w14:paraId="6E06F209" w14:textId="77777777" w:rsidR="00715B3A" w:rsidRDefault="002F487C">
      <w:pPr>
        <w:spacing w:line="360" w:lineRule="auto"/>
        <w:ind w:right="-787"/>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247AC00A" wp14:editId="142604A5">
            <wp:extent cx="4593478" cy="3601810"/>
            <wp:effectExtent l="0" t="0" r="0" b="0"/>
            <wp:docPr id="10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593478" cy="3601810"/>
                    </a:xfrm>
                    <a:prstGeom prst="rect">
                      <a:avLst/>
                    </a:prstGeom>
                    <a:ln/>
                  </pic:spPr>
                </pic:pic>
              </a:graphicData>
            </a:graphic>
          </wp:inline>
        </w:drawing>
      </w:r>
    </w:p>
    <w:p w14:paraId="1B804379"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 xml:space="preserve">De lo anterior </w:t>
      </w:r>
      <w:proofErr w:type="gramStart"/>
      <w:r>
        <w:rPr>
          <w:rFonts w:ascii="Palatino Linotype" w:eastAsia="Palatino Linotype" w:hAnsi="Palatino Linotype" w:cs="Palatino Linotype"/>
        </w:rPr>
        <w:t>se  observa</w:t>
      </w:r>
      <w:proofErr w:type="gramEnd"/>
      <w:r>
        <w:rPr>
          <w:rFonts w:ascii="Palatino Linotype" w:eastAsia="Palatino Linotype" w:hAnsi="Palatino Linotype" w:cs="Palatino Linotype"/>
        </w:rPr>
        <w:t xml:space="preserve"> que el comprobante bancario de la dispersión de nómina y cheques deben de contener el número de cuenta de origen y destino, la fecha de pago, el importe, el nombre del servidor público a quien se emitió el pago, el estatus y la descripción del pago. </w:t>
      </w:r>
    </w:p>
    <w:p w14:paraId="22A94AB5" w14:textId="77777777" w:rsidR="00715B3A" w:rsidRDefault="00715B3A">
      <w:pPr>
        <w:spacing w:line="360" w:lineRule="auto"/>
        <w:ind w:right="-787"/>
        <w:jc w:val="both"/>
        <w:rPr>
          <w:rFonts w:ascii="Palatino Linotype" w:eastAsia="Palatino Linotype" w:hAnsi="Palatino Linotype" w:cs="Palatino Linotype"/>
        </w:rPr>
      </w:pPr>
    </w:p>
    <w:p w14:paraId="53A3BBBF"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En ese sentido, de conformidad con la información entregada por el Tesorero Municipal como servidor público habilitado, se observa que en diversos comprobantes de manera distinta hacen falta datos como el número de cuenta de origen y destino, así como el nombre del servidor público a quien se le emitió el pago, así como los conceptos de pago diversos al pago de nómina, tal y como se muestra en las siguientes capturas de pantalla.</w:t>
      </w:r>
    </w:p>
    <w:p w14:paraId="4B667EDB" w14:textId="77777777" w:rsidR="00715B3A" w:rsidRDefault="002F487C">
      <w:pPr>
        <w:spacing w:line="360" w:lineRule="auto"/>
        <w:ind w:right="-787"/>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118CEC96" wp14:editId="665CE445">
            <wp:extent cx="3896898" cy="1755765"/>
            <wp:effectExtent l="0" t="0" r="0" b="0"/>
            <wp:docPr id="10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896898" cy="1755765"/>
                    </a:xfrm>
                    <a:prstGeom prst="rect">
                      <a:avLst/>
                    </a:prstGeom>
                    <a:ln/>
                  </pic:spPr>
                </pic:pic>
              </a:graphicData>
            </a:graphic>
          </wp:inline>
        </w:drawing>
      </w:r>
    </w:p>
    <w:p w14:paraId="361D63B0" w14:textId="77777777" w:rsidR="00715B3A" w:rsidRDefault="002F487C">
      <w:pPr>
        <w:spacing w:line="360" w:lineRule="auto"/>
        <w:ind w:right="-787"/>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14AE2A99" wp14:editId="78A4E8E6">
            <wp:extent cx="3260577" cy="2999745"/>
            <wp:effectExtent l="0" t="0" r="0" b="0"/>
            <wp:docPr id="10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260577" cy="2999745"/>
                    </a:xfrm>
                    <a:prstGeom prst="rect">
                      <a:avLst/>
                    </a:prstGeom>
                    <a:ln/>
                  </pic:spPr>
                </pic:pic>
              </a:graphicData>
            </a:graphic>
          </wp:inline>
        </w:drawing>
      </w:r>
    </w:p>
    <w:p w14:paraId="20861F65" w14:textId="77777777" w:rsidR="00715B3A" w:rsidRDefault="00715B3A">
      <w:pPr>
        <w:pBdr>
          <w:top w:val="nil"/>
          <w:left w:val="nil"/>
          <w:bottom w:val="nil"/>
          <w:right w:val="nil"/>
          <w:between w:val="nil"/>
        </w:pBdr>
        <w:ind w:left="708" w:right="-787"/>
        <w:rPr>
          <w:rFonts w:ascii="Palatino Linotype" w:eastAsia="Palatino Linotype" w:hAnsi="Palatino Linotype" w:cs="Palatino Linotype"/>
          <w:color w:val="000000"/>
        </w:rPr>
      </w:pPr>
    </w:p>
    <w:p w14:paraId="546F31F8" w14:textId="77777777" w:rsidR="00715B3A" w:rsidRDefault="002F487C">
      <w:pPr>
        <w:pBdr>
          <w:top w:val="nil"/>
          <w:left w:val="nil"/>
          <w:bottom w:val="nil"/>
          <w:right w:val="nil"/>
          <w:between w:val="nil"/>
        </w:pBdr>
        <w:ind w:left="708" w:right="-787"/>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14:anchorId="6987BE08" wp14:editId="17922A20">
            <wp:extent cx="3117243" cy="2763123"/>
            <wp:effectExtent l="0" t="0" r="0" b="0"/>
            <wp:docPr id="1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117243" cy="2763123"/>
                    </a:xfrm>
                    <a:prstGeom prst="rect">
                      <a:avLst/>
                    </a:prstGeom>
                    <a:ln/>
                  </pic:spPr>
                </pic:pic>
              </a:graphicData>
            </a:graphic>
          </wp:inline>
        </w:drawing>
      </w:r>
    </w:p>
    <w:p w14:paraId="48DCCD7C" w14:textId="77777777" w:rsidR="00715B3A" w:rsidRDefault="002F487C">
      <w:pPr>
        <w:pBdr>
          <w:top w:val="nil"/>
          <w:left w:val="nil"/>
          <w:bottom w:val="nil"/>
          <w:right w:val="nil"/>
          <w:between w:val="nil"/>
        </w:pBdr>
        <w:ind w:left="708" w:right="-787"/>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14:anchorId="5D66D2B5" wp14:editId="4CAE55BA">
            <wp:extent cx="3101311" cy="2369671"/>
            <wp:effectExtent l="0" t="0" r="0" b="0"/>
            <wp:docPr id="1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3101311" cy="2369671"/>
                    </a:xfrm>
                    <a:prstGeom prst="rect">
                      <a:avLst/>
                    </a:prstGeom>
                    <a:ln/>
                  </pic:spPr>
                </pic:pic>
              </a:graphicData>
            </a:graphic>
          </wp:inline>
        </w:drawing>
      </w:r>
    </w:p>
    <w:p w14:paraId="59C3F872" w14:textId="77777777" w:rsidR="00715B3A" w:rsidRDefault="00715B3A">
      <w:pPr>
        <w:pBdr>
          <w:top w:val="nil"/>
          <w:left w:val="nil"/>
          <w:bottom w:val="nil"/>
          <w:right w:val="nil"/>
          <w:between w:val="nil"/>
        </w:pBdr>
        <w:ind w:left="708" w:right="-787"/>
        <w:jc w:val="center"/>
        <w:rPr>
          <w:rFonts w:ascii="Palatino Linotype" w:eastAsia="Palatino Linotype" w:hAnsi="Palatino Linotype" w:cs="Palatino Linotype"/>
        </w:rPr>
      </w:pPr>
    </w:p>
    <w:p w14:paraId="4E1F048E" w14:textId="77777777" w:rsidR="004E2BA8" w:rsidRDefault="004E2BA8">
      <w:pPr>
        <w:pBdr>
          <w:top w:val="nil"/>
          <w:left w:val="nil"/>
          <w:bottom w:val="nil"/>
          <w:right w:val="nil"/>
          <w:between w:val="nil"/>
        </w:pBdr>
        <w:ind w:left="708" w:right="-787"/>
        <w:jc w:val="center"/>
        <w:rPr>
          <w:rFonts w:ascii="Palatino Linotype" w:eastAsia="Palatino Linotype" w:hAnsi="Palatino Linotype" w:cs="Palatino Linotype"/>
        </w:rPr>
      </w:pPr>
    </w:p>
    <w:p w14:paraId="16FE9EF2" w14:textId="77777777" w:rsidR="004E2BA8" w:rsidRPr="004E2BA8" w:rsidRDefault="004E2BA8" w:rsidP="004E2BA8">
      <w:pPr>
        <w:spacing w:line="360" w:lineRule="auto"/>
        <w:ind w:right="-787"/>
        <w:jc w:val="both"/>
      </w:pPr>
    </w:p>
    <w:p w14:paraId="412457D8" w14:textId="77777777" w:rsidR="004E2BA8" w:rsidRPr="004E2BA8" w:rsidRDefault="004E2BA8">
      <w:pPr>
        <w:numPr>
          <w:ilvl w:val="0"/>
          <w:numId w:val="11"/>
        </w:numPr>
        <w:spacing w:line="360" w:lineRule="auto"/>
        <w:ind w:left="0" w:right="-787" w:firstLine="0"/>
        <w:jc w:val="both"/>
      </w:pPr>
      <w:r>
        <w:rPr>
          <w:rFonts w:ascii="Palatino Linotype" w:eastAsia="Palatino Linotype" w:hAnsi="Palatino Linotype" w:cs="Palatino Linotype"/>
        </w:rPr>
        <w:t xml:space="preserve">De lo anterior, se colige que el comprobante de la dispersión de nómina con las características y requisitos que regula el Órgano Superior de Fiscalización del Estado de México, es información que debe de administrar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toda vez que es un documento que le entrega el Banco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mismos que son documentos enviados al Órgano Superior de Fiscalización del Estado de México. </w:t>
      </w:r>
    </w:p>
    <w:p w14:paraId="2A4AE092" w14:textId="77777777" w:rsidR="00715B3A" w:rsidRDefault="004E2BA8">
      <w:pPr>
        <w:numPr>
          <w:ilvl w:val="0"/>
          <w:numId w:val="11"/>
        </w:numPr>
        <w:spacing w:line="360" w:lineRule="auto"/>
        <w:ind w:left="0" w:right="-787" w:firstLine="0"/>
        <w:jc w:val="both"/>
      </w:pPr>
      <w:r>
        <w:rPr>
          <w:rFonts w:ascii="Palatino Linotype" w:eastAsia="Palatino Linotype" w:hAnsi="Palatino Linotype" w:cs="Palatino Linotype"/>
        </w:rPr>
        <w:lastRenderedPageBreak/>
        <w:t xml:space="preserve">Por </w:t>
      </w:r>
      <w:proofErr w:type="gramStart"/>
      <w:r>
        <w:rPr>
          <w:rFonts w:ascii="Palatino Linotype" w:eastAsia="Palatino Linotype" w:hAnsi="Palatino Linotype" w:cs="Palatino Linotype"/>
        </w:rPr>
        <w:t xml:space="preserve">último, </w:t>
      </w:r>
      <w:r w:rsidR="002F487C">
        <w:rPr>
          <w:rFonts w:ascii="Palatino Linotype" w:eastAsia="Palatino Linotype" w:hAnsi="Palatino Linotype" w:cs="Palatino Linotype"/>
        </w:rPr>
        <w:t xml:space="preserve"> se</w:t>
      </w:r>
      <w:proofErr w:type="gramEnd"/>
      <w:r w:rsidR="002F487C">
        <w:rPr>
          <w:rFonts w:ascii="Palatino Linotype" w:eastAsia="Palatino Linotype" w:hAnsi="Palatino Linotype" w:cs="Palatino Linotype"/>
        </w:rPr>
        <w:t xml:space="preserve"> debe de precisar que el </w:t>
      </w:r>
      <w:r w:rsidR="002F487C">
        <w:rPr>
          <w:rFonts w:ascii="Palatino Linotype" w:eastAsia="Palatino Linotype" w:hAnsi="Palatino Linotype" w:cs="Palatino Linotype"/>
          <w:b/>
        </w:rPr>
        <w:t xml:space="preserve">RECURRENTE </w:t>
      </w:r>
      <w:r w:rsidR="002F487C">
        <w:rPr>
          <w:rFonts w:ascii="Palatino Linotype" w:eastAsia="Palatino Linotype" w:hAnsi="Palatino Linotype" w:cs="Palatino Linotype"/>
        </w:rPr>
        <w:t xml:space="preserve">solicita los estados de cuenta de los cuales el </w:t>
      </w:r>
      <w:r w:rsidR="002F487C">
        <w:rPr>
          <w:rFonts w:ascii="Palatino Linotype" w:eastAsia="Palatino Linotype" w:hAnsi="Palatino Linotype" w:cs="Palatino Linotype"/>
          <w:b/>
        </w:rPr>
        <w:t xml:space="preserve">SUJETO OBLIGADO </w:t>
      </w:r>
      <w:r w:rsidR="002F487C">
        <w:rPr>
          <w:rFonts w:ascii="Palatino Linotype" w:eastAsia="Palatino Linotype" w:hAnsi="Palatino Linotype" w:cs="Palatino Linotype"/>
        </w:rPr>
        <w:t xml:space="preserve">no se pronuncia al respecto, situación por la cual se debe de realizar el siguiente análisis. </w:t>
      </w:r>
    </w:p>
    <w:p w14:paraId="1596187C" w14:textId="77777777" w:rsidR="00715B3A" w:rsidRDefault="00715B3A">
      <w:pPr>
        <w:spacing w:line="360" w:lineRule="auto"/>
        <w:ind w:left="928" w:right="-787"/>
        <w:jc w:val="both"/>
        <w:rPr>
          <w:rFonts w:ascii="Palatino Linotype" w:eastAsia="Palatino Linotype" w:hAnsi="Palatino Linotype" w:cs="Palatino Linotype"/>
        </w:rPr>
      </w:pPr>
    </w:p>
    <w:p w14:paraId="3A35FF8D"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color w:val="000000"/>
        </w:rPr>
        <w:t xml:space="preserve">Ahora bien, en relación a los </w:t>
      </w:r>
      <w:r>
        <w:rPr>
          <w:rFonts w:ascii="Palatino Linotype" w:eastAsia="Palatino Linotype" w:hAnsi="Palatino Linotype" w:cs="Palatino Linotype"/>
          <w:b/>
          <w:color w:val="000000"/>
          <w:u w:val="single"/>
        </w:rPr>
        <w:t>estados de cuenta bancarios</w:t>
      </w:r>
      <w:r>
        <w:rPr>
          <w:rFonts w:ascii="Palatino Linotype" w:eastAsia="Palatino Linotype" w:hAnsi="Palatino Linotype" w:cs="Palatino Linotype"/>
          <w:color w:val="000000"/>
        </w:rPr>
        <w:t xml:space="preserv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esta Ponencia considera que para atender el requerimiento de información,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proporcionar la información solicitada; ya que en </w:t>
      </w:r>
      <w:r>
        <w:rPr>
          <w:rFonts w:ascii="Palatino Linotype" w:eastAsia="Palatino Linotype" w:hAnsi="Palatino Linotype" w:cs="Palatino Linotype"/>
        </w:rPr>
        <w:t xml:space="preserve">donde se transfieren recursos públicos, </w:t>
      </w:r>
      <w:r>
        <w:rPr>
          <w:rFonts w:ascii="Palatino Linotype" w:eastAsia="Palatino Linotype" w:hAnsi="Palatino Linotype" w:cs="Palatino Linotype"/>
          <w:b/>
          <w:u w:val="single"/>
        </w:rPr>
        <w:t>son considerados como información pública</w:t>
      </w:r>
      <w:r>
        <w:rPr>
          <w:rFonts w:ascii="Palatino Linotype" w:eastAsia="Palatino Linotype" w:hAnsi="Palatino Linotype" w:cs="Palatino Linotype"/>
        </w:rPr>
        <w:t>, pues su difusión favorece la rendición de cuentas al transparentar la forma en que se administrar los recursos públicos; situación que se robustece con el Criterio 11/17, del Instituto Nacional de Transparencia, Acceso a la Información y Protección de Datos Personales, que a la letra precisa:</w:t>
      </w:r>
    </w:p>
    <w:p w14:paraId="44998808" w14:textId="77777777" w:rsidR="00715B3A" w:rsidRDefault="002F487C">
      <w:pPr>
        <w:tabs>
          <w:tab w:val="left" w:pos="7938"/>
        </w:tabs>
        <w:spacing w:line="360" w:lineRule="auto"/>
        <w:ind w:left="851"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1048381" w14:textId="77777777" w:rsidR="00715B3A" w:rsidRDefault="00715B3A">
      <w:pPr>
        <w:tabs>
          <w:tab w:val="left" w:pos="7938"/>
        </w:tabs>
        <w:spacing w:line="360" w:lineRule="auto"/>
        <w:ind w:left="851" w:right="-220"/>
        <w:jc w:val="both"/>
        <w:rPr>
          <w:rFonts w:ascii="Palatino Linotype" w:eastAsia="Palatino Linotype" w:hAnsi="Palatino Linotype" w:cs="Palatino Linotype"/>
          <w:i/>
          <w:sz w:val="22"/>
          <w:szCs w:val="22"/>
        </w:rPr>
      </w:pPr>
    </w:p>
    <w:p w14:paraId="3535DB95" w14:textId="77777777" w:rsidR="00715B3A" w:rsidRDefault="002F487C">
      <w:pPr>
        <w:tabs>
          <w:tab w:val="left" w:pos="7938"/>
        </w:tabs>
        <w:spacing w:line="360" w:lineRule="auto"/>
        <w:ind w:left="851"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Resoluciones: </w:t>
      </w:r>
    </w:p>
    <w:p w14:paraId="6E35B64C" w14:textId="77777777" w:rsidR="00715B3A" w:rsidRDefault="002F487C">
      <w:pPr>
        <w:tabs>
          <w:tab w:val="left" w:pos="7938"/>
        </w:tabs>
        <w:spacing w:line="360" w:lineRule="auto"/>
        <w:ind w:left="851" w:right="-220"/>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RRA 0448/16. NOTIMEX, Agencia de Noticias del Estado Mexicano. 24 de agosto de 2016. Por unanimidad. Comisionado Ponente Joel Salas Suárez. </w:t>
      </w:r>
    </w:p>
    <w:p w14:paraId="1D9F7347" w14:textId="77777777" w:rsidR="00715B3A" w:rsidRDefault="002F487C">
      <w:pPr>
        <w:tabs>
          <w:tab w:val="left" w:pos="7938"/>
        </w:tabs>
        <w:spacing w:line="360" w:lineRule="auto"/>
        <w:ind w:left="851" w:right="-220"/>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RRA 2787/16. Colegio de Postgraduados. 01 de noviembre de 2016. Por unanimidad. Comisionado Ponente Francisco Javier Acuña Llamas. </w:t>
      </w:r>
    </w:p>
    <w:p w14:paraId="09163367" w14:textId="77777777" w:rsidR="00715B3A" w:rsidRDefault="002F487C">
      <w:pPr>
        <w:tabs>
          <w:tab w:val="left" w:pos="7938"/>
        </w:tabs>
        <w:spacing w:line="360" w:lineRule="auto"/>
        <w:ind w:left="851" w:right="-220"/>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RRA 4756/16. Instituto Mexicano del Seguro Social. 08 de febrero de 2017. Por unanimidad. Comisionado Ponente Oscar Mauricio Guerra Ford.</w:t>
      </w:r>
    </w:p>
    <w:p w14:paraId="33BEAA45" w14:textId="77777777" w:rsidR="00715B3A" w:rsidRDefault="002F487C">
      <w:pPr>
        <w:tabs>
          <w:tab w:val="left" w:pos="7938"/>
        </w:tabs>
        <w:spacing w:line="360" w:lineRule="auto"/>
        <w:ind w:left="851" w:right="-220"/>
        <w:jc w:val="right"/>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Criterio 11/17”</w:t>
      </w:r>
    </w:p>
    <w:p w14:paraId="3496E738" w14:textId="77777777" w:rsidR="00715B3A" w:rsidRDefault="00715B3A">
      <w:pPr>
        <w:spacing w:line="360" w:lineRule="auto"/>
        <w:ind w:right="-787"/>
        <w:jc w:val="both"/>
        <w:rPr>
          <w:rFonts w:ascii="Palatino Linotype" w:eastAsia="Palatino Linotype" w:hAnsi="Palatino Linotype" w:cs="Palatino Linotype"/>
          <w:color w:val="000000"/>
        </w:rPr>
      </w:pPr>
    </w:p>
    <w:p w14:paraId="1C311421"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color w:val="000000"/>
        </w:rPr>
        <w:t xml:space="preserve">Asimismo, el artículo 2°, fracción III, de la Ley General de Títulos y Operaciones de Crédito establece que los actos y las operaciones que regula esta Ley General, se regirán por los </w:t>
      </w:r>
      <w:r>
        <w:rPr>
          <w:rFonts w:ascii="Palatino Linotype" w:eastAsia="Palatino Linotype" w:hAnsi="Palatino Linotype" w:cs="Palatino Linotype"/>
          <w:b/>
          <w:color w:val="000000"/>
        </w:rPr>
        <w:t>usos bancarios y mercantiles</w:t>
      </w:r>
      <w:r>
        <w:rPr>
          <w:rFonts w:ascii="Palatino Linotype" w:eastAsia="Palatino Linotype" w:hAnsi="Palatino Linotype" w:cs="Palatino Linotype"/>
          <w:color w:val="000000"/>
        </w:rPr>
        <w:t xml:space="preserve">, es así que, a manera de contextualización la cuenta bancaria y estado de cuenta se definen como: </w:t>
      </w:r>
    </w:p>
    <w:p w14:paraId="21DE0617" w14:textId="77777777" w:rsidR="00715B3A" w:rsidRDefault="00715B3A">
      <w:pPr>
        <w:spacing w:line="360" w:lineRule="auto"/>
        <w:ind w:right="-787"/>
        <w:jc w:val="both"/>
        <w:rPr>
          <w:rFonts w:ascii="Palatino Linotype" w:eastAsia="Palatino Linotype" w:hAnsi="Palatino Linotype" w:cs="Palatino Linotype"/>
          <w:color w:val="000000"/>
        </w:rPr>
      </w:pPr>
    </w:p>
    <w:p w14:paraId="5D9C5A80" w14:textId="77777777" w:rsidR="00715B3A" w:rsidRDefault="002F487C">
      <w:pPr>
        <w:numPr>
          <w:ilvl w:val="0"/>
          <w:numId w:val="9"/>
        </w:numPr>
        <w:spacing w:line="360" w:lineRule="auto"/>
        <w:ind w:right="-7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Cuenta bancaria:</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2"/>
          <w:szCs w:val="22"/>
          <w:u w:val="single"/>
        </w:rPr>
        <w:t>Una cuenta bancaria es un registro que mantiene un banco, en el que guarda dinero y contabiliza todas las entradas y salidas de efectivo, así como los créditos en curso, inversiones y productos relacionados.</w:t>
      </w:r>
    </w:p>
    <w:p w14:paraId="5248B88A" w14:textId="77777777" w:rsidR="00715B3A" w:rsidRDefault="00715B3A">
      <w:pPr>
        <w:spacing w:line="360" w:lineRule="auto"/>
        <w:ind w:left="720" w:right="-79"/>
        <w:jc w:val="both"/>
        <w:rPr>
          <w:rFonts w:ascii="Palatino Linotype" w:eastAsia="Palatino Linotype" w:hAnsi="Palatino Linotype" w:cs="Palatino Linotype"/>
          <w:color w:val="000000"/>
          <w:sz w:val="22"/>
          <w:szCs w:val="22"/>
        </w:rPr>
      </w:pPr>
    </w:p>
    <w:p w14:paraId="4ADC7061" w14:textId="77777777" w:rsidR="00715B3A" w:rsidRDefault="002F487C">
      <w:pPr>
        <w:numPr>
          <w:ilvl w:val="0"/>
          <w:numId w:val="9"/>
        </w:numPr>
        <w:spacing w:line="360" w:lineRule="auto"/>
        <w:ind w:right="-7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Estado de cuenta:</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2"/>
          <w:szCs w:val="22"/>
          <w:u w:val="single"/>
        </w:rPr>
        <w:t>Un estado de cuenta bancario es un documento oficial, generalmente mensual, emitido por la institución bancaria con la que tiene la cuenta. Este documento contiene todos los movimientos de la cuenta realizados en el mes, además de contener datos como número de cuenta, de tarjeta, saldo al corte, fecha de pago, monto mínimo a pagar, tasa de interés, en caso de ser tarjeta de crédito, entre otros datos relevantes y confidenciales para el usuario.</w:t>
      </w:r>
    </w:p>
    <w:p w14:paraId="05D028CF" w14:textId="77777777" w:rsidR="00715B3A" w:rsidRDefault="00715B3A">
      <w:pPr>
        <w:tabs>
          <w:tab w:val="left" w:pos="7938"/>
        </w:tabs>
        <w:spacing w:line="360" w:lineRule="auto"/>
        <w:ind w:right="-787"/>
        <w:jc w:val="both"/>
        <w:rPr>
          <w:rFonts w:ascii="Palatino Linotype" w:eastAsia="Palatino Linotype" w:hAnsi="Palatino Linotype" w:cs="Palatino Linotype"/>
        </w:rPr>
      </w:pPr>
    </w:p>
    <w:p w14:paraId="1DBA526F"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 xml:space="preserve">Ahora bien, respecto del número de cuenta es un conjunto de caracteres numéricos utilizado por los grupos financieros para identificar a los clientes. Dicho número es único e irrepetible, establecido a cada cuenta bancaria que avala que los recursos enviados a las órdenes de cargo, pago de nómina o a las transferencias electrónicas de fondos interbancarios se utilicen exclusivamente en la cuenta señalada por el cliente. </w:t>
      </w:r>
    </w:p>
    <w:p w14:paraId="0FF93FDF" w14:textId="77777777" w:rsidR="00715B3A" w:rsidRDefault="00715B3A">
      <w:pPr>
        <w:tabs>
          <w:tab w:val="left" w:pos="7938"/>
        </w:tabs>
        <w:spacing w:line="360" w:lineRule="auto"/>
        <w:ind w:right="-787"/>
        <w:jc w:val="both"/>
        <w:rPr>
          <w:rFonts w:ascii="Palatino Linotype" w:eastAsia="Palatino Linotype" w:hAnsi="Palatino Linotype" w:cs="Palatino Linotype"/>
        </w:rPr>
      </w:pPr>
    </w:p>
    <w:p w14:paraId="681415CA"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lastRenderedPageBreak/>
        <w:t>Por lo que respecta al número de cuenta bancaria, es un número único e irrepetible asignado a cada cuenta bancaria, que garantiza que los recursos enviados a las órdenes de cargo (transferencias electrónicas de fondos interbancarios bancos) se apliquen exclusivamente a la cuenta señalada por el cliente, como destino u origen. Dicha clave se compone de 18 dígitos numéricos que corresponden a los siguientes datos:</w:t>
      </w:r>
    </w:p>
    <w:p w14:paraId="6594E708" w14:textId="77777777" w:rsidR="00715B3A" w:rsidRDefault="00715B3A">
      <w:pPr>
        <w:tabs>
          <w:tab w:val="left" w:pos="7938"/>
        </w:tabs>
        <w:spacing w:line="360" w:lineRule="auto"/>
        <w:ind w:right="-787"/>
        <w:jc w:val="both"/>
        <w:rPr>
          <w:rFonts w:ascii="Palatino Linotype" w:eastAsia="Palatino Linotype" w:hAnsi="Palatino Linotype" w:cs="Palatino Linotype"/>
        </w:rPr>
      </w:pPr>
    </w:p>
    <w:p w14:paraId="1C701964" w14:textId="77777777" w:rsidR="00715B3A" w:rsidRDefault="002F487C">
      <w:pPr>
        <w:tabs>
          <w:tab w:val="left" w:pos="7938"/>
        </w:tabs>
        <w:spacing w:line="360" w:lineRule="auto"/>
        <w:ind w:right="-22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CÓDIGO DE BANCO</w:t>
      </w:r>
      <w:r>
        <w:rPr>
          <w:rFonts w:ascii="Palatino Linotype" w:eastAsia="Palatino Linotype" w:hAnsi="Palatino Linotype" w:cs="Palatino Linotype"/>
          <w:sz w:val="22"/>
          <w:szCs w:val="22"/>
        </w:rPr>
        <w:t>: Donde radica la cuenta, de acuerdo con los números asignados a las Instituciones de Crédito Asociación de Bancos de México (tres dígitos).</w:t>
      </w:r>
    </w:p>
    <w:p w14:paraId="138AD1FF" w14:textId="77777777" w:rsidR="00715B3A" w:rsidRDefault="002F487C">
      <w:pPr>
        <w:tabs>
          <w:tab w:val="left" w:pos="7938"/>
        </w:tabs>
        <w:spacing w:line="360" w:lineRule="auto"/>
        <w:ind w:right="-22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CÓDIGO DE PLAZA</w:t>
      </w:r>
      <w:r>
        <w:rPr>
          <w:rFonts w:ascii="Palatino Linotype" w:eastAsia="Palatino Linotype" w:hAnsi="Palatino Linotype" w:cs="Palatino Linotype"/>
          <w:sz w:val="22"/>
          <w:szCs w:val="22"/>
        </w:rPr>
        <w:t xml:space="preserve">: Ciudad o región donde el cliente mantiene su cuenta, de acuerdo con la definición de claves de plaza definida para el servicio de cheques (tres dígitos). </w:t>
      </w:r>
    </w:p>
    <w:p w14:paraId="4FA6CDBF" w14:textId="77777777" w:rsidR="00715B3A" w:rsidRDefault="002F487C">
      <w:pPr>
        <w:tabs>
          <w:tab w:val="left" w:pos="7938"/>
        </w:tabs>
        <w:spacing w:line="360" w:lineRule="auto"/>
        <w:ind w:right="-22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NÚMERO DE CUENTA</w:t>
      </w:r>
      <w:r>
        <w:rPr>
          <w:rFonts w:ascii="Palatino Linotype" w:eastAsia="Palatino Linotype" w:hAnsi="Palatino Linotype" w:cs="Palatino Linotype"/>
          <w:sz w:val="22"/>
          <w:szCs w:val="22"/>
        </w:rPr>
        <w:t xml:space="preserve">: Campo en donde se incluye la información que cada banco para individualizar la cuenta de sus clientes (once dígitos), y </w:t>
      </w:r>
    </w:p>
    <w:p w14:paraId="4D2FF55F" w14:textId="77777777" w:rsidR="00715B3A" w:rsidRDefault="002F487C">
      <w:pPr>
        <w:tabs>
          <w:tab w:val="left" w:pos="7938"/>
        </w:tabs>
        <w:spacing w:line="360" w:lineRule="auto"/>
        <w:ind w:right="-22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DÍGITO DE CONTROL.</w:t>
      </w:r>
      <w:r>
        <w:rPr>
          <w:rFonts w:ascii="Palatino Linotype" w:eastAsia="Palatino Linotype" w:hAnsi="Palatino Linotype" w:cs="Palatino Linotype"/>
          <w:sz w:val="22"/>
          <w:szCs w:val="22"/>
        </w:rPr>
        <w:t xml:space="preserve"> Es un dígito que se obtiene a través de aplicar un algoritmo que permite validar que </w:t>
      </w:r>
      <w:proofErr w:type="gramStart"/>
      <w:r>
        <w:rPr>
          <w:rFonts w:ascii="Palatino Linotype" w:eastAsia="Palatino Linotype" w:hAnsi="Palatino Linotype" w:cs="Palatino Linotype"/>
          <w:sz w:val="22"/>
          <w:szCs w:val="22"/>
        </w:rPr>
        <w:t>la estructura de los datos contenidos en la CLABE sean</w:t>
      </w:r>
      <w:proofErr w:type="gramEnd"/>
      <w:r>
        <w:rPr>
          <w:rFonts w:ascii="Palatino Linotype" w:eastAsia="Palatino Linotype" w:hAnsi="Palatino Linotype" w:cs="Palatino Linotype"/>
          <w:sz w:val="22"/>
          <w:szCs w:val="22"/>
        </w:rPr>
        <w:t xml:space="preserve"> correctos (un dígito).</w:t>
      </w:r>
    </w:p>
    <w:p w14:paraId="43E52750" w14:textId="77777777" w:rsidR="00715B3A" w:rsidRDefault="00715B3A">
      <w:pPr>
        <w:tabs>
          <w:tab w:val="left" w:pos="7938"/>
        </w:tabs>
        <w:spacing w:line="360" w:lineRule="auto"/>
        <w:ind w:right="-787"/>
        <w:jc w:val="both"/>
        <w:rPr>
          <w:rFonts w:ascii="Palatino Linotype" w:eastAsia="Palatino Linotype" w:hAnsi="Palatino Linotype" w:cs="Palatino Linotype"/>
        </w:rPr>
      </w:pPr>
    </w:p>
    <w:p w14:paraId="4921EDD2"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 xml:space="preserve">Así las cuentas bancarias otorgadas al municipio y su CLABE es única e irrepetible, estableciendo con ello una relación que avala que los cargos efectuados, las transferencias electrónicas realizadas o los abonos efectuados corresponden, exclusivamente a la cuenta proporcionada a su titular, creando con ello una relación entre el municipio y la institución encargada de prestar servicios de carácter financiero, mismo que se encuentra estrechamente relacionada con el patrimonio municipal a la que se asignó el número. </w:t>
      </w:r>
    </w:p>
    <w:p w14:paraId="35AD6F40" w14:textId="77777777" w:rsidR="00715B3A" w:rsidRDefault="00715B3A">
      <w:pPr>
        <w:tabs>
          <w:tab w:val="left" w:pos="7938"/>
        </w:tabs>
        <w:spacing w:line="360" w:lineRule="auto"/>
        <w:ind w:right="-787"/>
        <w:jc w:val="both"/>
        <w:rPr>
          <w:rFonts w:ascii="Palatino Linotype" w:eastAsia="Palatino Linotype" w:hAnsi="Palatino Linotype" w:cs="Palatino Linotype"/>
        </w:rPr>
      </w:pPr>
    </w:p>
    <w:p w14:paraId="5991BB8C"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lastRenderedPageBreak/>
        <w:t xml:space="preserve">Derivado de lo anterior, se considera que el estado de cuenta bancaria y la CLABE interbancaria, del Municipio se encuentra asociado a su patrimonio, entendiendo éste como el conjunto de bienes, fondos, derechos, obligaciones, etc. por tanto, se trata de información de dominio público, además de que el Municipio de Atizapán de </w:t>
      </w:r>
      <w:proofErr w:type="gramStart"/>
      <w:r>
        <w:rPr>
          <w:rFonts w:ascii="Palatino Linotype" w:eastAsia="Palatino Linotype" w:hAnsi="Palatino Linotype" w:cs="Palatino Linotype"/>
        </w:rPr>
        <w:t>Zaragoza  cuenta</w:t>
      </w:r>
      <w:proofErr w:type="gramEnd"/>
      <w:r>
        <w:rPr>
          <w:rFonts w:ascii="Palatino Linotype" w:eastAsia="Palatino Linotype" w:hAnsi="Palatino Linotype" w:cs="Palatino Linotype"/>
        </w:rPr>
        <w:t xml:space="preserve"> con personalidad jurídica y patrimonio propios, autonomía de decisión técnica, operativa y administrativa en términos de la Ley Orgánica Municipal.</w:t>
      </w:r>
    </w:p>
    <w:p w14:paraId="46D4C6C5" w14:textId="77777777" w:rsidR="00715B3A" w:rsidRDefault="00715B3A">
      <w:pPr>
        <w:tabs>
          <w:tab w:val="left" w:pos="7938"/>
        </w:tabs>
        <w:spacing w:line="360" w:lineRule="auto"/>
        <w:ind w:right="-787"/>
        <w:jc w:val="both"/>
        <w:rPr>
          <w:rFonts w:ascii="Palatino Linotype" w:eastAsia="Palatino Linotype" w:hAnsi="Palatino Linotype" w:cs="Palatino Linotype"/>
        </w:rPr>
      </w:pPr>
    </w:p>
    <w:p w14:paraId="6BDA5665"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Por su parte los LINEAMIENTOS DE CONTROL FINANCIERO Y ADMINISTRATIVO PARA LAS ENTIDADES FISCALIZABLES MUNICIPALES DEL ESTADO DE MÉXICO, publicados en la Gaceta de Gobierno en fecha 11 de julio de 2013 establecen lo siguiente:</w:t>
      </w:r>
    </w:p>
    <w:p w14:paraId="323150EF" w14:textId="77777777" w:rsidR="00715B3A" w:rsidRDefault="002F487C">
      <w:pPr>
        <w:tabs>
          <w:tab w:val="left" w:pos="7938"/>
        </w:tabs>
        <w:spacing w:line="360" w:lineRule="auto"/>
        <w:ind w:left="851"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 xml:space="preserve">DÉCIMO QUINTO: El tesorero deberá identificar y verificar los cálculos y registrar en el periodo correspondiente los intereses generados </w:t>
      </w:r>
      <w:r>
        <w:rPr>
          <w:rFonts w:ascii="Palatino Linotype" w:eastAsia="Palatino Linotype" w:hAnsi="Palatino Linotype" w:cs="Palatino Linotype"/>
          <w:b/>
          <w:i/>
          <w:sz w:val="22"/>
          <w:szCs w:val="22"/>
          <w:u w:val="single"/>
        </w:rPr>
        <w:t>en cada una de las cuentas bancarias</w:t>
      </w:r>
      <w:r>
        <w:rPr>
          <w:rFonts w:ascii="Palatino Linotype" w:eastAsia="Palatino Linotype" w:hAnsi="Palatino Linotype" w:cs="Palatino Linotype"/>
          <w:i/>
          <w:sz w:val="22"/>
          <w:szCs w:val="22"/>
        </w:rPr>
        <w:t>.</w:t>
      </w:r>
    </w:p>
    <w:p w14:paraId="28FABE90" w14:textId="77777777" w:rsidR="00715B3A" w:rsidRDefault="002F487C">
      <w:pPr>
        <w:tabs>
          <w:tab w:val="left" w:pos="7938"/>
        </w:tabs>
        <w:spacing w:line="360" w:lineRule="auto"/>
        <w:ind w:left="851"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66D56B5" w14:textId="77777777" w:rsidR="00715B3A" w:rsidRDefault="002F487C">
      <w:pPr>
        <w:tabs>
          <w:tab w:val="left" w:pos="7938"/>
        </w:tabs>
        <w:ind w:left="1134" w:right="-22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TÍTULO SEGUNDO</w:t>
      </w:r>
    </w:p>
    <w:p w14:paraId="1BA420AB" w14:textId="77777777" w:rsidR="00715B3A" w:rsidRDefault="002F487C">
      <w:pPr>
        <w:tabs>
          <w:tab w:val="left" w:pos="7938"/>
        </w:tabs>
        <w:ind w:left="1134" w:right="-22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DE CONTROL</w:t>
      </w:r>
    </w:p>
    <w:p w14:paraId="0285FB78" w14:textId="77777777" w:rsidR="00715B3A" w:rsidRDefault="002F487C">
      <w:pPr>
        <w:tabs>
          <w:tab w:val="left" w:pos="7938"/>
        </w:tabs>
        <w:ind w:left="1134" w:right="-22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FINANCIERO Y ADMINISTRATIVO</w:t>
      </w:r>
    </w:p>
    <w:p w14:paraId="690CD8AC" w14:textId="77777777" w:rsidR="00715B3A" w:rsidRDefault="00715B3A">
      <w:pPr>
        <w:tabs>
          <w:tab w:val="left" w:pos="7938"/>
        </w:tabs>
        <w:ind w:left="1134" w:right="-220"/>
        <w:jc w:val="both"/>
        <w:rPr>
          <w:rFonts w:ascii="Palatino Linotype" w:eastAsia="Palatino Linotype" w:hAnsi="Palatino Linotype" w:cs="Palatino Linotype"/>
          <w:b/>
          <w:i/>
          <w:sz w:val="22"/>
          <w:szCs w:val="22"/>
        </w:rPr>
      </w:pPr>
    </w:p>
    <w:p w14:paraId="2CE13387" w14:textId="77777777" w:rsidR="00715B3A" w:rsidRDefault="002F487C">
      <w:pPr>
        <w:tabs>
          <w:tab w:val="left" w:pos="7938"/>
        </w:tabs>
        <w:ind w:left="1134"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INGRESOS</w:t>
      </w:r>
    </w:p>
    <w:p w14:paraId="568281E1" w14:textId="77777777" w:rsidR="00715B3A" w:rsidRDefault="002F487C">
      <w:pPr>
        <w:tabs>
          <w:tab w:val="left" w:pos="7938"/>
        </w:tabs>
        <w:ind w:left="1134"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EFECTIVO</w:t>
      </w:r>
    </w:p>
    <w:p w14:paraId="67BD8BA6" w14:textId="77777777" w:rsidR="00715B3A" w:rsidRDefault="002F487C">
      <w:pPr>
        <w:tabs>
          <w:tab w:val="left" w:pos="7938"/>
        </w:tabs>
        <w:ind w:left="1134"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Son obligaciones a cargo del Tesorero:</w:t>
      </w:r>
    </w:p>
    <w:p w14:paraId="6DA34342" w14:textId="77777777" w:rsidR="00715B3A" w:rsidRDefault="002F487C">
      <w:pPr>
        <w:tabs>
          <w:tab w:val="left" w:pos="7938"/>
        </w:tabs>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B5820A8" w14:textId="77777777" w:rsidR="00715B3A" w:rsidRDefault="002F487C">
      <w:pPr>
        <w:tabs>
          <w:tab w:val="left" w:pos="7938"/>
        </w:tabs>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Depositar íntegra y diariamente los ingresos recaudados de la entidad fiscalizable municipal, </w:t>
      </w:r>
      <w:r>
        <w:rPr>
          <w:rFonts w:ascii="Palatino Linotype" w:eastAsia="Palatino Linotype" w:hAnsi="Palatino Linotype" w:cs="Palatino Linotype"/>
          <w:b/>
          <w:i/>
          <w:sz w:val="22"/>
          <w:szCs w:val="22"/>
          <w:u w:val="single"/>
        </w:rPr>
        <w:t>en la cuenta bancaria de recursos propios correspondiente</w:t>
      </w:r>
      <w:r>
        <w:rPr>
          <w:rFonts w:ascii="Palatino Linotype" w:eastAsia="Palatino Linotype" w:hAnsi="Palatino Linotype" w:cs="Palatino Linotype"/>
          <w:i/>
          <w:sz w:val="22"/>
          <w:szCs w:val="22"/>
        </w:rPr>
        <w:t>, cuando se cuente con institución bancaria en la localidad. En caso de no contar con ésta, el depósito deberá realizarse a más tardar al tercer día hábil de aquel en que se recaudó.</w:t>
      </w:r>
    </w:p>
    <w:p w14:paraId="6EE9933D" w14:textId="77777777" w:rsidR="00715B3A" w:rsidRDefault="002F487C">
      <w:pPr>
        <w:tabs>
          <w:tab w:val="left" w:pos="7938"/>
        </w:tabs>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1C26C92" w14:textId="77777777" w:rsidR="00715B3A" w:rsidRDefault="002F487C">
      <w:pPr>
        <w:tabs>
          <w:tab w:val="left" w:pos="7938"/>
        </w:tabs>
        <w:ind w:left="1134"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BANCOS</w:t>
      </w:r>
    </w:p>
    <w:p w14:paraId="6ACBD59C" w14:textId="77777777" w:rsidR="00715B3A" w:rsidRDefault="002F487C">
      <w:pPr>
        <w:tabs>
          <w:tab w:val="left" w:pos="7938"/>
        </w:tabs>
        <w:ind w:left="1134"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28CEA0D5" w14:textId="77777777" w:rsidR="00715B3A" w:rsidRDefault="002F487C">
      <w:pPr>
        <w:tabs>
          <w:tab w:val="left" w:pos="7938"/>
        </w:tabs>
        <w:ind w:left="1134"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Son obligaciones del </w:t>
      </w:r>
      <w:proofErr w:type="gramStart"/>
      <w:r>
        <w:rPr>
          <w:rFonts w:ascii="Palatino Linotype" w:eastAsia="Palatino Linotype" w:hAnsi="Palatino Linotype" w:cs="Palatino Linotype"/>
          <w:b/>
          <w:i/>
          <w:sz w:val="22"/>
          <w:szCs w:val="22"/>
        </w:rPr>
        <w:t>Presidente</w:t>
      </w:r>
      <w:proofErr w:type="gramEnd"/>
      <w:r>
        <w:rPr>
          <w:rFonts w:ascii="Palatino Linotype" w:eastAsia="Palatino Linotype" w:hAnsi="Palatino Linotype" w:cs="Palatino Linotype"/>
          <w:b/>
          <w:i/>
          <w:sz w:val="22"/>
          <w:szCs w:val="22"/>
        </w:rPr>
        <w:t xml:space="preserve"> y Tesorero:</w:t>
      </w:r>
    </w:p>
    <w:p w14:paraId="19FCD93B" w14:textId="77777777" w:rsidR="00715B3A" w:rsidRDefault="002F487C">
      <w:pPr>
        <w:tabs>
          <w:tab w:val="left" w:pos="7938"/>
        </w:tabs>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23. </w:t>
      </w:r>
      <w:r>
        <w:rPr>
          <w:rFonts w:ascii="Palatino Linotype" w:eastAsia="Palatino Linotype" w:hAnsi="Palatino Linotype" w:cs="Palatino Linotype"/>
          <w:b/>
          <w:i/>
          <w:sz w:val="22"/>
          <w:szCs w:val="22"/>
          <w:u w:val="single"/>
        </w:rPr>
        <w:t xml:space="preserve">El presidente y tesorero o equivalente deberán </w:t>
      </w:r>
      <w:proofErr w:type="spellStart"/>
      <w:r>
        <w:rPr>
          <w:rFonts w:ascii="Palatino Linotype" w:eastAsia="Palatino Linotype" w:hAnsi="Palatino Linotype" w:cs="Palatino Linotype"/>
          <w:b/>
          <w:i/>
          <w:sz w:val="22"/>
          <w:szCs w:val="22"/>
          <w:u w:val="single"/>
        </w:rPr>
        <w:t>aperturar</w:t>
      </w:r>
      <w:proofErr w:type="spellEnd"/>
      <w:r>
        <w:rPr>
          <w:rFonts w:ascii="Palatino Linotype" w:eastAsia="Palatino Linotype" w:hAnsi="Palatino Linotype" w:cs="Palatino Linotype"/>
          <w:b/>
          <w:i/>
          <w:sz w:val="22"/>
          <w:szCs w:val="22"/>
          <w:u w:val="single"/>
        </w:rPr>
        <w:t xml:space="preserve"> las cuentas bancarias</w:t>
      </w:r>
      <w:r>
        <w:rPr>
          <w:rFonts w:ascii="Palatino Linotype" w:eastAsia="Palatino Linotype" w:hAnsi="Palatino Linotype" w:cs="Palatino Linotype"/>
          <w:i/>
          <w:sz w:val="22"/>
          <w:szCs w:val="22"/>
        </w:rPr>
        <w:t xml:space="preserve"> como personas jurídicas colectivas con fines no lucrativos o entes gubernamentales con firmas mancomunadas, a nombre de la entidad fiscalizable municipal, con el nombre del programa o recurso y el contrato respectivo por cada uno de los recursos federales, estatales o municipales.</w:t>
      </w:r>
    </w:p>
    <w:p w14:paraId="14267BB6" w14:textId="77777777" w:rsidR="00715B3A" w:rsidRDefault="002F487C">
      <w:pPr>
        <w:tabs>
          <w:tab w:val="left" w:pos="7938"/>
        </w:tabs>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364AF57" w14:textId="77777777" w:rsidR="00715B3A" w:rsidRDefault="002F487C">
      <w:pPr>
        <w:tabs>
          <w:tab w:val="left" w:pos="7938"/>
        </w:tabs>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24. Abstenerse de mezclar tanto </w:t>
      </w:r>
      <w:r>
        <w:rPr>
          <w:rFonts w:ascii="Palatino Linotype" w:eastAsia="Palatino Linotype" w:hAnsi="Palatino Linotype" w:cs="Palatino Linotype"/>
          <w:b/>
          <w:i/>
          <w:sz w:val="22"/>
          <w:szCs w:val="22"/>
          <w:u w:val="single"/>
        </w:rPr>
        <w:t>en las cuentas bancarias</w:t>
      </w:r>
      <w:r>
        <w:rPr>
          <w:rFonts w:ascii="Palatino Linotype" w:eastAsia="Palatino Linotype" w:hAnsi="Palatino Linotype" w:cs="Palatino Linotype"/>
          <w:i/>
          <w:sz w:val="22"/>
          <w:szCs w:val="22"/>
        </w:rPr>
        <w:t xml:space="preserve"> como en sus registros contables, los ingresos provenientes de recursos federales, estatales o municipales entre sí, incluyendo los de financiamiento a corto y largo plazo y </w:t>
      </w:r>
      <w:r>
        <w:rPr>
          <w:rFonts w:ascii="Palatino Linotype" w:eastAsia="Palatino Linotype" w:hAnsi="Palatino Linotype" w:cs="Palatino Linotype"/>
          <w:b/>
          <w:i/>
          <w:sz w:val="22"/>
          <w:szCs w:val="22"/>
          <w:u w:val="single"/>
        </w:rPr>
        <w:t>deberán contabilizar individualmente en una cuenta específica cada uno de ellos</w:t>
      </w:r>
      <w:r>
        <w:rPr>
          <w:rFonts w:ascii="Palatino Linotype" w:eastAsia="Palatino Linotype" w:hAnsi="Palatino Linotype" w:cs="Palatino Linotype"/>
          <w:i/>
          <w:sz w:val="22"/>
          <w:szCs w:val="22"/>
        </w:rPr>
        <w:t>.</w:t>
      </w:r>
    </w:p>
    <w:p w14:paraId="68A75540" w14:textId="77777777" w:rsidR="00715B3A" w:rsidRDefault="002F487C">
      <w:pPr>
        <w:tabs>
          <w:tab w:val="left" w:pos="7938"/>
        </w:tabs>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67E5E60" w14:textId="77777777" w:rsidR="00715B3A" w:rsidRDefault="002F487C">
      <w:pPr>
        <w:tabs>
          <w:tab w:val="left" w:pos="7938"/>
        </w:tabs>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CONSTRUCCIONES EN PROCESO EN BIENES DEL DOMINIO PÚBLICO</w:t>
      </w:r>
    </w:p>
    <w:p w14:paraId="68F778D1" w14:textId="77777777" w:rsidR="00715B3A" w:rsidRDefault="002F487C">
      <w:pPr>
        <w:tabs>
          <w:tab w:val="left" w:pos="7938"/>
        </w:tabs>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8E2D226" w14:textId="77777777" w:rsidR="00715B3A" w:rsidRDefault="002F487C">
      <w:pPr>
        <w:tabs>
          <w:tab w:val="left" w:pos="7938"/>
        </w:tabs>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51. Tratándose de la realización de obras que cuenten con aportaciones comunitarias, independientemente de que se ejecuten con recursos federales, estatales o municipales, el tesorero deberá llevar a cabo el seguimiento, ejecución y control de dichas aportaciones, </w:t>
      </w:r>
      <w:r>
        <w:rPr>
          <w:rFonts w:ascii="Palatino Linotype" w:eastAsia="Palatino Linotype" w:hAnsi="Palatino Linotype" w:cs="Palatino Linotype"/>
          <w:b/>
          <w:i/>
          <w:sz w:val="22"/>
          <w:szCs w:val="22"/>
          <w:u w:val="single"/>
        </w:rPr>
        <w:t>debiendo depositarlas en la cuenta bancaria específica del fondo de donde provengan los recursos</w:t>
      </w:r>
      <w:r>
        <w:rPr>
          <w:rFonts w:ascii="Palatino Linotype" w:eastAsia="Palatino Linotype" w:hAnsi="Palatino Linotype" w:cs="Palatino Linotype"/>
          <w:i/>
          <w:sz w:val="22"/>
          <w:szCs w:val="22"/>
        </w:rPr>
        <w:t>, así mismo, deberá elaborar el recibo oficial de ingresos correspondiente con copia al comité comunitario.</w:t>
      </w:r>
    </w:p>
    <w:p w14:paraId="30A4EF0C" w14:textId="77777777" w:rsidR="00715B3A" w:rsidRDefault="002F487C">
      <w:pPr>
        <w:tabs>
          <w:tab w:val="left" w:pos="7938"/>
        </w:tabs>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27360EC" w14:textId="77777777" w:rsidR="00715B3A" w:rsidRDefault="002F487C">
      <w:pPr>
        <w:tabs>
          <w:tab w:val="left" w:pos="7938"/>
        </w:tabs>
        <w:ind w:left="1134"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SUELDOS Y SALARIOS POR PAGAR</w:t>
      </w:r>
    </w:p>
    <w:p w14:paraId="5F5A1519" w14:textId="77777777" w:rsidR="00715B3A" w:rsidRDefault="002F487C">
      <w:pPr>
        <w:tabs>
          <w:tab w:val="left" w:pos="7938"/>
        </w:tabs>
        <w:ind w:left="1134"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Son obligaciones del Tesorero:</w:t>
      </w:r>
    </w:p>
    <w:p w14:paraId="1DE85858" w14:textId="77777777" w:rsidR="00715B3A" w:rsidRDefault="002F487C">
      <w:pPr>
        <w:tabs>
          <w:tab w:val="left" w:pos="7938"/>
        </w:tabs>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591EFE6" w14:textId="77777777" w:rsidR="00715B3A" w:rsidRDefault="002F487C">
      <w:pPr>
        <w:tabs>
          <w:tab w:val="left" w:pos="7938"/>
        </w:tabs>
        <w:ind w:left="1134"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66. Depositar los sueldos y salarios no cobrados en un plazo no mayor a cinco días hábiles siguientes a la fecha en que debió hacerse el pago, </w:t>
      </w:r>
      <w:r>
        <w:rPr>
          <w:rFonts w:ascii="Palatino Linotype" w:eastAsia="Palatino Linotype" w:hAnsi="Palatino Linotype" w:cs="Palatino Linotype"/>
          <w:b/>
          <w:i/>
          <w:sz w:val="22"/>
          <w:szCs w:val="22"/>
          <w:u w:val="single"/>
        </w:rPr>
        <w:t>en la cuenta bancaria de la cual salió el recurso</w:t>
      </w:r>
      <w:r>
        <w:rPr>
          <w:rFonts w:ascii="Palatino Linotype" w:eastAsia="Palatino Linotype" w:hAnsi="Palatino Linotype" w:cs="Palatino Linotype"/>
          <w:i/>
          <w:sz w:val="22"/>
          <w:szCs w:val="22"/>
        </w:rPr>
        <w:t>.”</w:t>
      </w:r>
    </w:p>
    <w:p w14:paraId="7AAD32C7" w14:textId="77777777" w:rsidR="00715B3A" w:rsidRDefault="00715B3A">
      <w:pPr>
        <w:tabs>
          <w:tab w:val="left" w:pos="7938"/>
        </w:tabs>
        <w:spacing w:line="360" w:lineRule="auto"/>
        <w:ind w:right="-787"/>
        <w:jc w:val="both"/>
        <w:rPr>
          <w:rFonts w:ascii="Palatino Linotype" w:eastAsia="Palatino Linotype" w:hAnsi="Palatino Linotype" w:cs="Palatino Linotype"/>
        </w:rPr>
      </w:pPr>
    </w:p>
    <w:p w14:paraId="6181EF9B"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 xml:space="preserve">Como podemos apreciar en el punto 24 (veinticuatro) se le impone al Tesorero municipal abstenerse de mezclar tanto en las cuentas bancarias como en sus registros contables, los ingresos provenientes de recursos federales, estatales o municipales entre sí, incluyendo los de financiamiento a corto y largo plazo, estableciendo que dichos recursos se deberán contabilizar individualmente en una cuenta específica para cada uno de ellos, en el punto 51 (cincuenta y uno) se impone al tesorero llevar a cabo el seguimiento, ejecución </w:t>
      </w:r>
      <w:r>
        <w:rPr>
          <w:rFonts w:ascii="Palatino Linotype" w:eastAsia="Palatino Linotype" w:hAnsi="Palatino Linotype" w:cs="Palatino Linotype"/>
        </w:rPr>
        <w:lastRenderedPageBreak/>
        <w:t>y control de las aportaciones a las obras, debiendo depositarlas en la cuenta bancaria específica del fondo de donde provengan los recursos.</w:t>
      </w:r>
    </w:p>
    <w:p w14:paraId="50D1FC20" w14:textId="77777777" w:rsidR="00715B3A" w:rsidRDefault="00715B3A">
      <w:pPr>
        <w:tabs>
          <w:tab w:val="left" w:pos="7938"/>
        </w:tabs>
        <w:spacing w:line="360" w:lineRule="auto"/>
        <w:ind w:right="-787"/>
        <w:jc w:val="both"/>
        <w:rPr>
          <w:rFonts w:ascii="Palatino Linotype" w:eastAsia="Palatino Linotype" w:hAnsi="Palatino Linotype" w:cs="Palatino Linotype"/>
        </w:rPr>
      </w:pPr>
    </w:p>
    <w:p w14:paraId="22C24A44"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Ahora bien, del Informe Trimestral Municipal 2022 que se entrega al Órgano Superior de Fiscalización del Estado de México (OSFEM), en su instructivo de llenado del Módulo 1 se establece:</w:t>
      </w:r>
    </w:p>
    <w:p w14:paraId="12A7E919" w14:textId="77777777" w:rsidR="00715B3A" w:rsidRDefault="00715B3A">
      <w:pPr>
        <w:tabs>
          <w:tab w:val="left" w:pos="7938"/>
        </w:tabs>
        <w:spacing w:line="360" w:lineRule="auto"/>
        <w:ind w:right="-787"/>
        <w:jc w:val="both"/>
        <w:rPr>
          <w:rFonts w:ascii="Palatino Linotype" w:eastAsia="Palatino Linotype" w:hAnsi="Palatino Linotype" w:cs="Palatino Linotype"/>
        </w:rPr>
      </w:pPr>
    </w:p>
    <w:p w14:paraId="4EA6281E" w14:textId="77777777" w:rsidR="00715B3A" w:rsidRDefault="00715B3A">
      <w:pPr>
        <w:tabs>
          <w:tab w:val="left" w:pos="7938"/>
        </w:tabs>
        <w:spacing w:line="360" w:lineRule="auto"/>
        <w:ind w:right="-787"/>
        <w:jc w:val="both"/>
        <w:rPr>
          <w:rFonts w:ascii="Palatino Linotype" w:eastAsia="Palatino Linotype" w:hAnsi="Palatino Linotype" w:cs="Palatino Linotype"/>
        </w:rPr>
      </w:pPr>
    </w:p>
    <w:p w14:paraId="575DDE0A" w14:textId="77777777" w:rsidR="00715B3A" w:rsidRDefault="002F487C">
      <w:pPr>
        <w:tabs>
          <w:tab w:val="left" w:pos="7938"/>
        </w:tabs>
        <w:ind w:left="851" w:right="-22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“Contenido</w:t>
      </w:r>
    </w:p>
    <w:p w14:paraId="471C08FD" w14:textId="77777777" w:rsidR="00715B3A" w:rsidRDefault="002F487C">
      <w:pPr>
        <w:tabs>
          <w:tab w:val="left" w:pos="7938"/>
        </w:tabs>
        <w:ind w:left="851"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Estructura de la Integración del Módulo 1 </w:t>
      </w:r>
    </w:p>
    <w:p w14:paraId="1991A635" w14:textId="77777777" w:rsidR="00715B3A" w:rsidRDefault="002F487C">
      <w:pPr>
        <w:tabs>
          <w:tab w:val="left" w:pos="7938"/>
        </w:tabs>
        <w:ind w:left="851"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Submódulo-Estados Financieros</w:t>
      </w:r>
    </w:p>
    <w:p w14:paraId="03A1FFFF" w14:textId="77777777" w:rsidR="00715B3A" w:rsidRDefault="002F487C">
      <w:pPr>
        <w:tabs>
          <w:tab w:val="left" w:pos="7938"/>
        </w:tabs>
        <w:ind w:left="851"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8E68AB6" w14:textId="77777777" w:rsidR="00715B3A" w:rsidRDefault="002F487C">
      <w:pPr>
        <w:tabs>
          <w:tab w:val="left" w:pos="7938"/>
        </w:tabs>
        <w:ind w:left="851"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14. Conciliaciones Bancarias </w:t>
      </w:r>
    </w:p>
    <w:p w14:paraId="3F646759" w14:textId="77777777" w:rsidR="00715B3A" w:rsidRDefault="002F487C">
      <w:pPr>
        <w:tabs>
          <w:tab w:val="left" w:pos="7938"/>
        </w:tabs>
        <w:ind w:left="851"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14.1 Conciliaciones Bancarias: Carátula con el detalle de la relación de partidas en conciliación </w:t>
      </w:r>
    </w:p>
    <w:p w14:paraId="09DD854C" w14:textId="77777777" w:rsidR="00715B3A" w:rsidRDefault="002F487C">
      <w:pPr>
        <w:tabs>
          <w:tab w:val="left" w:pos="7938"/>
        </w:tabs>
        <w:ind w:left="1418"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Instructivo de llenado de la Conciliación Bancaria: Carátula con el detalle de la relación de partidas en conciliación </w:t>
      </w:r>
    </w:p>
    <w:p w14:paraId="124F5E6C" w14:textId="77777777" w:rsidR="00715B3A" w:rsidRDefault="002F487C">
      <w:pPr>
        <w:tabs>
          <w:tab w:val="left" w:pos="7938"/>
        </w:tabs>
        <w:ind w:left="851"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14.2 Conciliaciones Bancarias: Estado de cuenta bancario</w:t>
      </w:r>
      <w:r>
        <w:rPr>
          <w:rFonts w:ascii="Palatino Linotype" w:eastAsia="Palatino Linotype" w:hAnsi="Palatino Linotype" w:cs="Palatino Linotype"/>
          <w:i/>
          <w:sz w:val="22"/>
          <w:szCs w:val="22"/>
        </w:rPr>
        <w:t>”</w:t>
      </w:r>
    </w:p>
    <w:p w14:paraId="09E6165A" w14:textId="77777777" w:rsidR="00715B3A" w:rsidRDefault="00715B3A">
      <w:pPr>
        <w:tabs>
          <w:tab w:val="left" w:pos="7938"/>
        </w:tabs>
        <w:ind w:left="851" w:right="-787"/>
        <w:jc w:val="both"/>
        <w:rPr>
          <w:rFonts w:ascii="Palatino Linotype" w:eastAsia="Palatino Linotype" w:hAnsi="Palatino Linotype" w:cs="Palatino Linotype"/>
          <w:i/>
        </w:rPr>
      </w:pPr>
    </w:p>
    <w:p w14:paraId="5AF42840" w14:textId="77777777" w:rsidR="00715B3A" w:rsidRDefault="002F487C">
      <w:pPr>
        <w:tabs>
          <w:tab w:val="left" w:pos="7938"/>
        </w:tabs>
        <w:spacing w:line="360" w:lineRule="auto"/>
        <w:ind w:right="-787"/>
        <w:jc w:val="center"/>
        <w:rPr>
          <w:rFonts w:ascii="Palatino Linotype" w:eastAsia="Palatino Linotype" w:hAnsi="Palatino Linotype" w:cs="Palatino Linotype"/>
        </w:rPr>
      </w:pPr>
      <w:r>
        <w:rPr>
          <w:rFonts w:ascii="Calibri" w:eastAsia="Calibri" w:hAnsi="Calibri" w:cs="Calibri"/>
          <w:noProof/>
          <w:lang w:val="es-MX"/>
        </w:rPr>
        <w:lastRenderedPageBreak/>
        <w:drawing>
          <wp:inline distT="0" distB="0" distL="0" distR="0" wp14:anchorId="571B9098" wp14:editId="5786F0C2">
            <wp:extent cx="4228669" cy="3846177"/>
            <wp:effectExtent l="0" t="0" r="0" b="0"/>
            <wp:docPr id="10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l="33399" t="18231" r="32043" b="12664"/>
                    <a:stretch>
                      <a:fillRect/>
                    </a:stretch>
                  </pic:blipFill>
                  <pic:spPr>
                    <a:xfrm>
                      <a:off x="0" y="0"/>
                      <a:ext cx="4228669" cy="3846177"/>
                    </a:xfrm>
                    <a:prstGeom prst="rect">
                      <a:avLst/>
                    </a:prstGeom>
                    <a:ln/>
                  </pic:spPr>
                </pic:pic>
              </a:graphicData>
            </a:graphic>
          </wp:inline>
        </w:drawing>
      </w:r>
      <w:r>
        <w:rPr>
          <w:noProof/>
          <w:lang w:val="es-MX"/>
        </w:rPr>
        <mc:AlternateContent>
          <mc:Choice Requires="wps">
            <w:drawing>
              <wp:anchor distT="0" distB="0" distL="114300" distR="114300" simplePos="0" relativeHeight="251663360" behindDoc="0" locked="0" layoutInCell="1" hidden="0" allowOverlap="1" wp14:anchorId="6ECF1EA3" wp14:editId="1AD73D17">
                <wp:simplePos x="0" y="0"/>
                <wp:positionH relativeFrom="column">
                  <wp:posOffset>4546600</wp:posOffset>
                </wp:positionH>
                <wp:positionV relativeFrom="paragraph">
                  <wp:posOffset>3416300</wp:posOffset>
                </wp:positionV>
                <wp:extent cx="0" cy="76200"/>
                <wp:effectExtent l="0" t="0" r="0" b="0"/>
                <wp:wrapNone/>
                <wp:docPr id="88" name="Conector recto de flecha 88"/>
                <wp:cNvGraphicFramePr/>
                <a:graphic xmlns:a="http://schemas.openxmlformats.org/drawingml/2006/main">
                  <a:graphicData uri="http://schemas.microsoft.com/office/word/2010/wordprocessingShape">
                    <wps:wsp>
                      <wps:cNvCnPr/>
                      <wps:spPr>
                        <a:xfrm rot="10800000">
                          <a:off x="4817363" y="3780000"/>
                          <a:ext cx="1057275" cy="0"/>
                        </a:xfrm>
                        <a:prstGeom prst="straightConnector1">
                          <a:avLst/>
                        </a:prstGeom>
                        <a:noFill/>
                        <a:ln w="76200" cap="flat" cmpd="sng">
                          <a:solidFill>
                            <a:srgbClr val="FF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4546600</wp:posOffset>
                </wp:positionH>
                <wp:positionV relativeFrom="paragraph">
                  <wp:posOffset>3416300</wp:posOffset>
                </wp:positionV>
                <wp:extent cx="0" cy="76200"/>
                <wp:effectExtent b="0" l="0" r="0" t="0"/>
                <wp:wrapNone/>
                <wp:docPr id="88" name="image22.png"/>
                <a:graphic>
                  <a:graphicData uri="http://schemas.openxmlformats.org/drawingml/2006/picture">
                    <pic:pic>
                      <pic:nvPicPr>
                        <pic:cNvPr id="0" name="image22.png"/>
                        <pic:cNvPicPr preferRelativeResize="0"/>
                      </pic:nvPicPr>
                      <pic:blipFill>
                        <a:blip r:embed="rId39"/>
                        <a:srcRect/>
                        <a:stretch>
                          <a:fillRect/>
                        </a:stretch>
                      </pic:blipFill>
                      <pic:spPr>
                        <a:xfrm>
                          <a:off x="0" y="0"/>
                          <a:ext cx="0" cy="76200"/>
                        </a:xfrm>
                        <a:prstGeom prst="rect"/>
                        <a:ln/>
                      </pic:spPr>
                    </pic:pic>
                  </a:graphicData>
                </a:graphic>
              </wp:anchor>
            </w:drawing>
          </mc:Fallback>
        </mc:AlternateContent>
      </w:r>
    </w:p>
    <w:p w14:paraId="63B909DF" w14:textId="77777777" w:rsidR="00715B3A" w:rsidRDefault="004E2BA8">
      <w:pPr>
        <w:tabs>
          <w:tab w:val="left" w:pos="7938"/>
        </w:tabs>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6432" behindDoc="0" locked="0" layoutInCell="1" allowOverlap="1" wp14:anchorId="4E4F6828" wp14:editId="575BA756">
                <wp:simplePos x="0" y="0"/>
                <wp:positionH relativeFrom="column">
                  <wp:posOffset>3480</wp:posOffset>
                </wp:positionH>
                <wp:positionV relativeFrom="paragraph">
                  <wp:posOffset>126772</wp:posOffset>
                </wp:positionV>
                <wp:extent cx="6210605" cy="3306470"/>
                <wp:effectExtent l="19050" t="19050" r="19050" b="27305"/>
                <wp:wrapNone/>
                <wp:docPr id="1" name="Conector recto 1"/>
                <wp:cNvGraphicFramePr/>
                <a:graphic xmlns:a="http://schemas.openxmlformats.org/drawingml/2006/main">
                  <a:graphicData uri="http://schemas.microsoft.com/office/word/2010/wordprocessingShape">
                    <wps:wsp>
                      <wps:cNvCnPr/>
                      <wps:spPr>
                        <a:xfrm>
                          <a:off x="0" y="0"/>
                          <a:ext cx="6210605" cy="3306470"/>
                        </a:xfrm>
                        <a:prstGeom prst="line">
                          <a:avLst/>
                        </a:prstGeom>
                        <a:ln w="28575">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8C5036" id="Conector recto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5pt,10pt" to="489.25pt,2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" strokecolor="black [3200]" strokeweight="2.25pt">
                <v:stroke joinstyle="miter"/>
              </v:line>
            </w:pict>
          </mc:Fallback>
        </mc:AlternateContent>
      </w:r>
    </w:p>
    <w:p w14:paraId="4CBC9C0F" w14:textId="77777777" w:rsidR="00715B3A" w:rsidRDefault="002F487C">
      <w:pPr>
        <w:tabs>
          <w:tab w:val="left" w:pos="7938"/>
        </w:tabs>
        <w:spacing w:line="360" w:lineRule="auto"/>
        <w:ind w:right="-787"/>
        <w:jc w:val="both"/>
        <w:rPr>
          <w:rFonts w:ascii="Palatino Linotype" w:eastAsia="Palatino Linotype" w:hAnsi="Palatino Linotype" w:cs="Palatino Linotype"/>
        </w:rPr>
      </w:pPr>
      <w:r>
        <w:rPr>
          <w:rFonts w:ascii="Calibri" w:eastAsia="Calibri" w:hAnsi="Calibri" w:cs="Calibri"/>
          <w:noProof/>
          <w:lang w:val="es-MX"/>
        </w:rPr>
        <w:lastRenderedPageBreak/>
        <w:drawing>
          <wp:inline distT="0" distB="0" distL="0" distR="0" wp14:anchorId="722F8227" wp14:editId="23A1124C">
            <wp:extent cx="4923949" cy="3530221"/>
            <wp:effectExtent l="0" t="0" r="0" b="0"/>
            <wp:docPr id="10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l="27447" t="17351" r="28902" b="11193"/>
                    <a:stretch>
                      <a:fillRect/>
                    </a:stretch>
                  </pic:blipFill>
                  <pic:spPr>
                    <a:xfrm>
                      <a:off x="0" y="0"/>
                      <a:ext cx="4923949" cy="3530221"/>
                    </a:xfrm>
                    <a:prstGeom prst="rect">
                      <a:avLst/>
                    </a:prstGeom>
                    <a:ln/>
                  </pic:spPr>
                </pic:pic>
              </a:graphicData>
            </a:graphic>
          </wp:inline>
        </w:drawing>
      </w:r>
      <w:r>
        <w:rPr>
          <w:noProof/>
          <w:lang w:val="es-MX"/>
        </w:rPr>
        <mc:AlternateContent>
          <mc:Choice Requires="wpg">
            <w:drawing>
              <wp:anchor distT="0" distB="0" distL="114300" distR="114300" simplePos="0" relativeHeight="251664384" behindDoc="0" locked="0" layoutInCell="1" hidden="0" allowOverlap="1" wp14:anchorId="7547B876" wp14:editId="5B7C7250">
                <wp:simplePos x="0" y="0"/>
                <wp:positionH relativeFrom="column">
                  <wp:posOffset>-520699</wp:posOffset>
                </wp:positionH>
                <wp:positionV relativeFrom="paragraph">
                  <wp:posOffset>1333500</wp:posOffset>
                </wp:positionV>
                <wp:extent cx="714375" cy="121919"/>
                <wp:effectExtent l="0" t="0" r="0" b="0"/>
                <wp:wrapNone/>
                <wp:docPr id="86" name="Conector recto de flecha 86"/>
                <wp:cNvGraphicFramePr/>
                <a:graphic xmlns:a="http://schemas.openxmlformats.org/drawingml/2006/main">
                  <a:graphicData uri="http://schemas.microsoft.com/office/word/2010/wordprocessingShape">
                    <wps:wsp>
                      <wps:cNvCnPr/>
                      <wps:spPr>
                        <a:xfrm rot="10800000" flipH="1">
                          <a:off x="5026913" y="3757141"/>
                          <a:ext cx="638175" cy="45719"/>
                        </a:xfrm>
                        <a:prstGeom prst="straightConnector1">
                          <a:avLst/>
                        </a:prstGeom>
                        <a:noFill/>
                        <a:ln w="76200" cap="flat" cmpd="sng">
                          <a:solidFill>
                            <a:srgbClr val="FF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-520699</wp:posOffset>
                </wp:positionH>
                <wp:positionV relativeFrom="paragraph">
                  <wp:posOffset>1333500</wp:posOffset>
                </wp:positionV>
                <wp:extent cx="714375" cy="121919"/>
                <wp:effectExtent b="0" l="0" r="0" t="0"/>
                <wp:wrapNone/>
                <wp:docPr id="86" name="image20.png"/>
                <a:graphic>
                  <a:graphicData uri="http://schemas.openxmlformats.org/drawingml/2006/picture">
                    <pic:pic>
                      <pic:nvPicPr>
                        <pic:cNvPr id="0" name="image20.png"/>
                        <pic:cNvPicPr preferRelativeResize="0"/>
                      </pic:nvPicPr>
                      <pic:blipFill>
                        <a:blip r:embed="rId41"/>
                        <a:srcRect/>
                        <a:stretch>
                          <a:fillRect/>
                        </a:stretch>
                      </pic:blipFill>
                      <pic:spPr>
                        <a:xfrm>
                          <a:off x="0" y="0"/>
                          <a:ext cx="714375" cy="121919"/>
                        </a:xfrm>
                        <a:prstGeom prst="rect"/>
                        <a:ln/>
                      </pic:spPr>
                    </pic:pic>
                  </a:graphicData>
                </a:graphic>
              </wp:anchor>
            </w:drawing>
          </mc:Fallback>
        </mc:AlternateContent>
      </w:r>
      <w:r>
        <w:rPr>
          <w:noProof/>
          <w:lang w:val="es-MX"/>
        </w:rPr>
        <mc:AlternateContent>
          <mc:Choice Requires="wps">
            <w:drawing>
              <wp:anchor distT="0" distB="0" distL="114300" distR="114300" simplePos="0" relativeHeight="251665408" behindDoc="0" locked="0" layoutInCell="1" hidden="0" allowOverlap="1" wp14:anchorId="503A532F" wp14:editId="68961008">
                <wp:simplePos x="0" y="0"/>
                <wp:positionH relativeFrom="column">
                  <wp:posOffset>1</wp:posOffset>
                </wp:positionH>
                <wp:positionV relativeFrom="paragraph">
                  <wp:posOffset>1371600</wp:posOffset>
                </wp:positionV>
                <wp:extent cx="9525" cy="28575"/>
                <wp:effectExtent l="0" t="0" r="0" b="0"/>
                <wp:wrapNone/>
                <wp:docPr id="91" name="Conector recto de flecha 91"/>
                <wp:cNvGraphicFramePr/>
                <a:graphic xmlns:a="http://schemas.openxmlformats.org/drawingml/2006/main">
                  <a:graphicData uri="http://schemas.microsoft.com/office/word/2010/wordprocessingShape">
                    <wps:wsp>
                      <wps:cNvCnPr/>
                      <wps:spPr>
                        <a:xfrm rot="10800000" flipH="1">
                          <a:off x="3831525" y="3775238"/>
                          <a:ext cx="3028950" cy="9525"/>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1371600</wp:posOffset>
                </wp:positionV>
                <wp:extent cx="9525" cy="28575"/>
                <wp:effectExtent b="0" l="0" r="0" t="0"/>
                <wp:wrapNone/>
                <wp:docPr id="91" name="image25.png"/>
                <a:graphic>
                  <a:graphicData uri="http://schemas.openxmlformats.org/drawingml/2006/picture">
                    <pic:pic>
                      <pic:nvPicPr>
                        <pic:cNvPr id="0" name="image25.png"/>
                        <pic:cNvPicPr preferRelativeResize="0"/>
                      </pic:nvPicPr>
                      <pic:blipFill>
                        <a:blip r:embed="rId42"/>
                        <a:srcRect/>
                        <a:stretch>
                          <a:fillRect/>
                        </a:stretch>
                      </pic:blipFill>
                      <pic:spPr>
                        <a:xfrm>
                          <a:off x="0" y="0"/>
                          <a:ext cx="9525" cy="28575"/>
                        </a:xfrm>
                        <a:prstGeom prst="rect"/>
                        <a:ln/>
                      </pic:spPr>
                    </pic:pic>
                  </a:graphicData>
                </a:graphic>
              </wp:anchor>
            </w:drawing>
          </mc:Fallback>
        </mc:AlternateContent>
      </w:r>
    </w:p>
    <w:p w14:paraId="7ABBC270" w14:textId="77777777" w:rsidR="00715B3A" w:rsidRDefault="00715B3A">
      <w:pPr>
        <w:tabs>
          <w:tab w:val="left" w:pos="7938"/>
        </w:tabs>
        <w:spacing w:line="360" w:lineRule="auto"/>
        <w:ind w:right="-787"/>
        <w:jc w:val="both"/>
        <w:rPr>
          <w:rFonts w:ascii="Palatino Linotype" w:eastAsia="Palatino Linotype" w:hAnsi="Palatino Linotype" w:cs="Palatino Linotype"/>
        </w:rPr>
      </w:pPr>
    </w:p>
    <w:p w14:paraId="101F3E79" w14:textId="77777777" w:rsidR="00715B3A" w:rsidRDefault="00715B3A">
      <w:pPr>
        <w:tabs>
          <w:tab w:val="left" w:pos="7938"/>
        </w:tabs>
        <w:spacing w:line="360" w:lineRule="auto"/>
        <w:ind w:right="-787"/>
        <w:jc w:val="both"/>
        <w:rPr>
          <w:rFonts w:ascii="Palatino Linotype" w:eastAsia="Palatino Linotype" w:hAnsi="Palatino Linotype" w:cs="Palatino Linotype"/>
        </w:rPr>
      </w:pPr>
    </w:p>
    <w:p w14:paraId="19AC5E22"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Consecuentemente, este Instituto concluye que la información correspondiente a los Estados de Cuenta Bancaria no es clasificable, en los términos que han quedado expuestos.</w:t>
      </w:r>
    </w:p>
    <w:p w14:paraId="04A3FE58" w14:textId="77777777" w:rsidR="00715B3A" w:rsidRDefault="00715B3A">
      <w:pPr>
        <w:spacing w:line="360" w:lineRule="auto"/>
        <w:ind w:right="-787"/>
        <w:jc w:val="both"/>
        <w:rPr>
          <w:rFonts w:ascii="Palatino Linotype" w:eastAsia="Palatino Linotype" w:hAnsi="Palatino Linotype" w:cs="Palatino Linotype"/>
        </w:rPr>
      </w:pPr>
    </w:p>
    <w:p w14:paraId="22612E18"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Es con base en lo anterior, que este Órgano Garante no advierte la procedencia de clasificación de la información relativa a los Estados de cuenta bancarios de las cuentas correspondientes al Municipio de Atizapán de Zaragoza, atendiendo que su publicidad favorece la rendición de cuentas y en el supuesto que contengan datos sensibles y confidenciales de particulares, se deberá aprobar y emitir la elaboración de la versión pública.</w:t>
      </w:r>
    </w:p>
    <w:p w14:paraId="05320412"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lastRenderedPageBreak/>
        <w:t xml:space="preserve">Ahora bien, es necesario precisar que de la información solicitada por el hoy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se puede derivar la entrega de información del personal que este adscrito al área de seguridad pública, por lo que este tipo de información deberá ser manejada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 el carácter de reservado, ya que los elementos operativos se dedican a combatir de manera directa a los delincuentes en el municipio, así como a prevenir la actividad delictiva.</w:t>
      </w:r>
    </w:p>
    <w:p w14:paraId="6AD2E69A"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37E58766"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En ese orden de ideas si bien por regla general los nombres de los trabajadores gubernamentales son información pública de oficio, existe una excepción relativa a aquellos que realicen actividades operativas en materia de seguridad, como es el caso de los elementos operativos y la policía municipal.</w:t>
      </w:r>
    </w:p>
    <w:p w14:paraId="7B882BCB" w14:textId="77777777" w:rsidR="00715B3A" w:rsidRDefault="00715B3A">
      <w:pPr>
        <w:pBdr>
          <w:top w:val="nil"/>
          <w:left w:val="nil"/>
          <w:bottom w:val="nil"/>
          <w:right w:val="nil"/>
          <w:between w:val="nil"/>
        </w:pBdr>
        <w:ind w:left="708" w:right="-787"/>
        <w:rPr>
          <w:rFonts w:ascii="Palatino Linotype" w:eastAsia="Palatino Linotype" w:hAnsi="Palatino Linotype" w:cs="Palatino Linotype"/>
          <w:color w:val="000000"/>
        </w:rPr>
      </w:pPr>
    </w:p>
    <w:p w14:paraId="3204FF7C"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04CA11E4"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571D0323"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lastRenderedPageBreak/>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0F0E2F1C" w14:textId="77777777" w:rsidR="00715B3A" w:rsidRDefault="00715B3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2E31ED09"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Por tales consideraciones, resulta procedente la clasificación como reservados del nombre de los elementos operativos de la Dirección de Seguridad Pública Municipal, en términos del artículo 140, fracción IV, de la Ley de Transparencia y Acceso a la Información Pública del Estado de México y Municipios.</w:t>
      </w:r>
    </w:p>
    <w:p w14:paraId="4C5F3E06" w14:textId="77777777" w:rsidR="00715B3A" w:rsidRDefault="00715B3A">
      <w:pPr>
        <w:pBdr>
          <w:top w:val="nil"/>
          <w:left w:val="nil"/>
          <w:bottom w:val="nil"/>
          <w:right w:val="nil"/>
          <w:between w:val="nil"/>
        </w:pBdr>
        <w:ind w:left="708" w:right="-787"/>
        <w:rPr>
          <w:rFonts w:ascii="Palatino Linotype" w:eastAsia="Palatino Linotype" w:hAnsi="Palatino Linotype" w:cs="Palatino Linotype"/>
          <w:color w:val="000000"/>
        </w:rPr>
      </w:pPr>
    </w:p>
    <w:p w14:paraId="7CDB3827" w14:textId="77777777" w:rsidR="00715B3A" w:rsidRDefault="00715B3A">
      <w:pPr>
        <w:spacing w:line="360" w:lineRule="auto"/>
        <w:ind w:right="-787"/>
        <w:jc w:val="both"/>
        <w:rPr>
          <w:rFonts w:ascii="Palatino Linotype" w:eastAsia="Palatino Linotype" w:hAnsi="Palatino Linotype" w:cs="Palatino Linotype"/>
        </w:rPr>
      </w:pPr>
    </w:p>
    <w:p w14:paraId="0106376B" w14:textId="77777777" w:rsidR="00715B3A" w:rsidRDefault="002F487C">
      <w:pPr>
        <w:keepNext/>
        <w:keepLines/>
        <w:spacing w:line="360" w:lineRule="auto"/>
        <w:ind w:right="-787"/>
        <w:rPr>
          <w:rFonts w:ascii="Palatino Linotype" w:eastAsia="Palatino Linotype" w:hAnsi="Palatino Linotype" w:cs="Palatino Linotype"/>
          <w:b/>
        </w:rPr>
      </w:pPr>
      <w:r>
        <w:rPr>
          <w:rFonts w:ascii="Palatino Linotype" w:eastAsia="Palatino Linotype" w:hAnsi="Palatino Linotype" w:cs="Palatino Linotype"/>
          <w:b/>
        </w:rPr>
        <w:t>QUINTO. Vista a la Dirección de Protección de Datos Personales.</w:t>
      </w:r>
    </w:p>
    <w:p w14:paraId="6688B21A"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 xml:space="preserve">Es necesario resaltar que el recurso de revisión previsto en la Ley de la materia no es el medio para investigar y, en su caso, sancionar a servidores públicos por la falta de cuidado de la protección de datos personales; es así que, se aprecia que se vulneraron datos personales de particulares; como lo es, </w:t>
      </w:r>
      <w:r>
        <w:rPr>
          <w:rFonts w:ascii="Palatino Linotype" w:eastAsia="Palatino Linotype" w:hAnsi="Palatino Linotype" w:cs="Palatino Linotype"/>
          <w:b/>
        </w:rPr>
        <w:t>el Registro Federal de Contribuyentes, Número de Segurida</w:t>
      </w:r>
      <w:r w:rsidR="00C45CC0">
        <w:rPr>
          <w:rFonts w:ascii="Palatino Linotype" w:eastAsia="Palatino Linotype" w:hAnsi="Palatino Linotype" w:cs="Palatino Linotype"/>
          <w:b/>
        </w:rPr>
        <w:t xml:space="preserve">d Social, Préstamos Personales y </w:t>
      </w:r>
      <w:r>
        <w:rPr>
          <w:rFonts w:ascii="Palatino Linotype" w:eastAsia="Palatino Linotype" w:hAnsi="Palatino Linotype" w:cs="Palatino Linotype"/>
          <w:b/>
        </w:rPr>
        <w:t xml:space="preserve">el Número de Cuenta Bancario.  </w:t>
      </w:r>
      <w:r>
        <w:rPr>
          <w:rFonts w:ascii="Palatino Linotype" w:eastAsia="Palatino Linotype" w:hAnsi="Palatino Linotype" w:cs="Palatino Linotype"/>
        </w:rPr>
        <w:t xml:space="preserve">por lo que es necesario dar vista al área competente para que en ejercicio de sus atribuciones realice las investigaciones pertinentes por las omisiones detectadas atribuibles al </w:t>
      </w:r>
      <w:r>
        <w:rPr>
          <w:rFonts w:ascii="Palatino Linotype" w:eastAsia="Palatino Linotype" w:hAnsi="Palatino Linotype" w:cs="Palatino Linotype"/>
          <w:b/>
        </w:rPr>
        <w:t>SUJETO OBLIGADO.</w:t>
      </w:r>
    </w:p>
    <w:p w14:paraId="25256C0F" w14:textId="77777777" w:rsidR="00715B3A" w:rsidRDefault="00715B3A">
      <w:pPr>
        <w:spacing w:line="360" w:lineRule="auto"/>
        <w:ind w:right="-787"/>
        <w:jc w:val="both"/>
        <w:rPr>
          <w:rFonts w:ascii="Palatino Linotype" w:eastAsia="Palatino Linotype" w:hAnsi="Palatino Linotype" w:cs="Palatino Linotype"/>
          <w:i/>
        </w:rPr>
      </w:pPr>
    </w:p>
    <w:p w14:paraId="27AF4DDF"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color w:val="000000"/>
        </w:rPr>
        <w:lastRenderedPageBreak/>
        <w:t xml:space="preserve">Por </w:t>
      </w:r>
      <w:r>
        <w:rPr>
          <w:rFonts w:ascii="Palatino Linotype" w:eastAsia="Palatino Linotype" w:hAnsi="Palatino Linotype" w:cs="Palatino Linotype"/>
        </w:rPr>
        <w:t>ello, es conveniente señalar las fracciones XIV, XXII, XXIII y XXV, del artículo 82, de la Ley de Protección de Datos Personales en Posesión de Sujetos Obligados del Estado de México y Municipios, que establece:</w:t>
      </w:r>
    </w:p>
    <w:p w14:paraId="0B4B365D" w14:textId="77777777" w:rsidR="00715B3A" w:rsidRDefault="002F487C">
      <w:pPr>
        <w:pBdr>
          <w:top w:val="nil"/>
          <w:left w:val="nil"/>
          <w:bottom w:val="nil"/>
          <w:right w:val="nil"/>
          <w:between w:val="nil"/>
        </w:pBdr>
        <w:spacing w:before="240"/>
        <w:ind w:left="1134" w:right="-22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Atribuciones del Instituto </w:t>
      </w:r>
    </w:p>
    <w:p w14:paraId="5F7132CC"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82.</w:t>
      </w:r>
      <w:r>
        <w:rPr>
          <w:rFonts w:ascii="Palatino Linotype" w:eastAsia="Palatino Linotype" w:hAnsi="Palatino Linotype" w:cs="Palatino Linotype"/>
          <w:i/>
          <w:color w:val="000000"/>
          <w:sz w:val="22"/>
          <w:szCs w:val="22"/>
        </w:rPr>
        <w:t xml:space="preserve"> El Instituto, además de las atribuciones encomendadas por la Ley de Transparencia y normatividad aplicable, tendrá las atribuciones siguientes: </w:t>
      </w:r>
    </w:p>
    <w:p w14:paraId="14B6B1F9"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p>
    <w:p w14:paraId="3FD66C95"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XIV. Formular observaciones y recomendaciones</w:t>
      </w:r>
      <w:r>
        <w:rPr>
          <w:rFonts w:ascii="Palatino Linotype" w:eastAsia="Palatino Linotype" w:hAnsi="Palatino Linotype" w:cs="Palatino Linotype"/>
          <w:i/>
          <w:color w:val="000000"/>
          <w:sz w:val="22"/>
          <w:szCs w:val="22"/>
        </w:rPr>
        <w:t xml:space="preserve"> a los sujetos obligados que incumplan esta Ley. </w:t>
      </w:r>
    </w:p>
    <w:p w14:paraId="201062C7"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p>
    <w:p w14:paraId="2FAA2D2F"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XXII. Verificar el cumplimiento</w:t>
      </w:r>
      <w:r>
        <w:rPr>
          <w:rFonts w:ascii="Palatino Linotype" w:eastAsia="Palatino Linotype" w:hAnsi="Palatino Linotype" w:cs="Palatino Linotype"/>
          <w:i/>
          <w:color w:val="000000"/>
          <w:sz w:val="22"/>
          <w:szCs w:val="22"/>
        </w:rPr>
        <w:t xml:space="preserve"> de las disposiciones previstas en esta Ley a través de los procedimientos de revisión que resulten compatibles con las disposiciones de esta Ley. </w:t>
      </w:r>
    </w:p>
    <w:p w14:paraId="2E942317"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XXIII. Implementar los procedimientos</w:t>
      </w:r>
      <w:r>
        <w:rPr>
          <w:rFonts w:ascii="Palatino Linotype" w:eastAsia="Palatino Linotype" w:hAnsi="Palatino Linotype" w:cs="Palatino Linotype"/>
          <w:i/>
          <w:color w:val="000000"/>
          <w:sz w:val="22"/>
          <w:szCs w:val="22"/>
        </w:rPr>
        <w:t xml:space="preserve"> que resulten necesarios para el cumplimiento de las disposiciones de esta Ley y para asegurar la protección de datos personales de los titulares. </w:t>
      </w:r>
    </w:p>
    <w:p w14:paraId="0412F9FB"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p>
    <w:p w14:paraId="670CD6BE" w14:textId="77777777" w:rsidR="00715B3A" w:rsidRDefault="002F487C">
      <w:pPr>
        <w:pBdr>
          <w:top w:val="nil"/>
          <w:left w:val="nil"/>
          <w:bottom w:val="nil"/>
          <w:right w:val="nil"/>
          <w:between w:val="nil"/>
        </w:pBd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XXV. Investigar las posibles violaciones</w:t>
      </w:r>
      <w:r>
        <w:rPr>
          <w:rFonts w:ascii="Palatino Linotype" w:eastAsia="Palatino Linotype" w:hAnsi="Palatino Linotype" w:cs="Palatino Linotype"/>
          <w:i/>
          <w:color w:val="000000"/>
          <w:sz w:val="22"/>
          <w:szCs w:val="22"/>
        </w:rPr>
        <w:t xml:space="preserve"> a la seguridad de los datos personales a fin de determinar la práctica de verificaciones. </w:t>
      </w:r>
    </w:p>
    <w:p w14:paraId="72971894" w14:textId="77777777" w:rsidR="00715B3A" w:rsidRDefault="002F487C">
      <w:pPr>
        <w:pBdr>
          <w:top w:val="nil"/>
          <w:left w:val="nil"/>
          <w:bottom w:val="nil"/>
          <w:right w:val="nil"/>
          <w:between w:val="nil"/>
        </w:pBdr>
        <w:spacing w:after="240"/>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p>
    <w:p w14:paraId="2996D2A3" w14:textId="77777777" w:rsidR="00715B3A" w:rsidRDefault="00715B3A">
      <w:pPr>
        <w:ind w:right="-787"/>
        <w:jc w:val="both"/>
        <w:rPr>
          <w:rFonts w:ascii="Palatino Linotype" w:eastAsia="Palatino Linotype" w:hAnsi="Palatino Linotype" w:cs="Palatino Linotype"/>
          <w:i/>
        </w:rPr>
      </w:pPr>
    </w:p>
    <w:p w14:paraId="1A1B8E36"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 xml:space="preserve">Por lo tanto, es menester dar vista a la </w:t>
      </w:r>
      <w:r>
        <w:rPr>
          <w:rFonts w:ascii="Palatino Linotype" w:eastAsia="Palatino Linotype" w:hAnsi="Palatino Linotype" w:cs="Palatino Linotype"/>
          <w:b/>
        </w:rPr>
        <w:t>Dirección de Protección de Datos Personales</w:t>
      </w:r>
      <w:r>
        <w:rPr>
          <w:rFonts w:ascii="Palatino Linotype" w:eastAsia="Palatino Linotype" w:hAnsi="Palatino Linotype" w:cs="Palatino Linotype"/>
        </w:rPr>
        <w:t xml:space="preserve"> de este Instituto para que en ejercicio de sus atribuciones atiendan las directivas marcadas en la propia Ley de la materia, con fundamento en el artículo 82 de la Ley de la materia, el cual señala la atribución de este Órgano Garante para Investigar las posibles violaciones a la seguridad de los datos personales a fin de determinar la práctica de verificaciones. </w:t>
      </w:r>
    </w:p>
    <w:p w14:paraId="2E2B5CAC" w14:textId="77777777" w:rsidR="00715B3A" w:rsidRDefault="00715B3A">
      <w:pPr>
        <w:spacing w:line="360" w:lineRule="auto"/>
        <w:ind w:right="-787"/>
        <w:jc w:val="both"/>
        <w:rPr>
          <w:rFonts w:ascii="Palatino Linotype" w:eastAsia="Palatino Linotype" w:hAnsi="Palatino Linotype" w:cs="Palatino Linotype"/>
          <w:i/>
        </w:rPr>
      </w:pPr>
    </w:p>
    <w:p w14:paraId="508F0F05" w14:textId="77777777" w:rsidR="00715B3A" w:rsidRDefault="002F487C">
      <w:pPr>
        <w:numPr>
          <w:ilvl w:val="0"/>
          <w:numId w:val="11"/>
        </w:numPr>
        <w:spacing w:line="360" w:lineRule="auto"/>
        <w:ind w:left="0" w:right="-787" w:firstLine="0"/>
        <w:jc w:val="both"/>
      </w:pPr>
      <w:r>
        <w:rPr>
          <w:rFonts w:ascii="Palatino Linotype" w:eastAsia="Palatino Linotype" w:hAnsi="Palatino Linotype" w:cs="Palatino Linotype"/>
        </w:rPr>
        <w:t xml:space="preserve">Por último y no menos importante, se debe enfatizar que tal y como se mencionó en este considerando,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realizó un pronunciamiento que debió ser clasificado como confidencial. Por dicha información, es menester hacer del conocimiento </w:t>
      </w:r>
      <w:r>
        <w:rPr>
          <w:rFonts w:ascii="Palatino Linotype" w:eastAsia="Palatino Linotype" w:hAnsi="Palatino Linotype" w:cs="Palatino Linotype"/>
        </w:rPr>
        <w:lastRenderedPageBreak/>
        <w:t xml:space="preserve">de la persona que solicitó la información, que ahora se encuentra sujeto a la </w:t>
      </w:r>
      <w:r>
        <w:rPr>
          <w:rFonts w:ascii="Palatino Linotype" w:eastAsia="Palatino Linotype" w:hAnsi="Palatino Linotype" w:cs="Palatino Linotype"/>
          <w:b/>
        </w:rPr>
        <w:t>LEY FEDERAL DE PROTECCIÓN DE DATOS PERSONALES EN POSESIÓN DE LOS PARTICULARES</w:t>
      </w:r>
      <w:r>
        <w:rPr>
          <w:rFonts w:ascii="Palatino Linotype" w:eastAsia="Palatino Linotype" w:hAnsi="Palatino Linotype" w:cs="Palatino Linotype"/>
        </w:rPr>
        <w:t xml:space="preserve"> que señala puntualmente en su artículo lo siguiente: </w:t>
      </w:r>
    </w:p>
    <w:p w14:paraId="1B40192C" w14:textId="77777777" w:rsidR="00715B3A" w:rsidRDefault="002F487C">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La presente Ley es de orden público y de observancia general en toda la República y tiene por objeto la protección de los datos personales en posesión de los particulares, con la finalidad de regular su tratamiento legítimo, controlado e informado, a efecto de garantizar la privacidad y el derecho a la autodeterminación informativa de las personas.”</w:t>
      </w:r>
    </w:p>
    <w:p w14:paraId="0512651C" w14:textId="77777777" w:rsidR="00C45CC0" w:rsidRDefault="00C45CC0">
      <w:pPr>
        <w:ind w:left="1134" w:right="-79"/>
        <w:jc w:val="both"/>
        <w:rPr>
          <w:rFonts w:ascii="Palatino Linotype" w:eastAsia="Palatino Linotype" w:hAnsi="Palatino Linotype" w:cs="Palatino Linotype"/>
          <w:i/>
          <w:sz w:val="22"/>
          <w:szCs w:val="22"/>
        </w:rPr>
      </w:pPr>
    </w:p>
    <w:p w14:paraId="2DBD9886" w14:textId="77777777" w:rsidR="00C45CC0" w:rsidRPr="00C45CC0" w:rsidRDefault="00C45CC0" w:rsidP="00C45CC0">
      <w:pPr>
        <w:numPr>
          <w:ilvl w:val="0"/>
          <w:numId w:val="11"/>
        </w:numPr>
        <w:spacing w:line="360" w:lineRule="auto"/>
        <w:ind w:left="0" w:right="-787" w:firstLine="0"/>
        <w:jc w:val="both"/>
        <w:rPr>
          <w:rFonts w:ascii="Palatino Linotype" w:eastAsia="MS Mincho" w:hAnsi="Palatino Linotype" w:cs="Arial"/>
          <w:color w:val="000000" w:themeColor="text1"/>
          <w:lang w:val="es-MX"/>
        </w:rPr>
      </w:pPr>
      <w:r w:rsidRPr="00C45CC0">
        <w:rPr>
          <w:rFonts w:ascii="Palatino Linotype" w:eastAsia="MS Mincho" w:hAnsi="Palatino Linotype" w:cs="Bookman Old Style"/>
          <w:lang w:val="es-MX"/>
        </w:rPr>
        <w:t xml:space="preserve">Por otro lado, este Órgano Garante, advirtió que se dejó a la vista información susceptible de ser clasificada como reservada (nombres de elementos de seguridad); </w:t>
      </w:r>
      <w:r w:rsidRPr="00C45CC0">
        <w:rPr>
          <w:rFonts w:ascii="Palatino Linotype" w:hAnsi="Palatino Linotype"/>
          <w:sz w:val="22"/>
          <w:lang w:val="es-MX"/>
        </w:rPr>
        <w:t xml:space="preserve">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5D910CBE" w14:textId="77777777" w:rsidR="00C45CC0" w:rsidRPr="00C45CC0" w:rsidRDefault="00C45CC0" w:rsidP="00C45CC0">
      <w:pPr>
        <w:spacing w:line="360" w:lineRule="auto"/>
        <w:ind w:left="708"/>
        <w:rPr>
          <w:rFonts w:ascii="Palatino Linotype" w:hAnsi="Palatino Linotype"/>
          <w:lang w:val="es-MX"/>
        </w:rPr>
      </w:pPr>
    </w:p>
    <w:p w14:paraId="20A2BA7B" w14:textId="77777777" w:rsidR="00C45CC0" w:rsidRPr="00C45CC0" w:rsidRDefault="00C45CC0" w:rsidP="00C45CC0">
      <w:pPr>
        <w:spacing w:before="240" w:after="240" w:line="360" w:lineRule="auto"/>
        <w:ind w:left="567" w:right="616"/>
        <w:contextualSpacing/>
        <w:jc w:val="both"/>
        <w:rPr>
          <w:rFonts w:ascii="Palatino Linotype" w:hAnsi="Palatino Linotype"/>
          <w:i/>
          <w:sz w:val="22"/>
          <w:lang w:val="es-MX"/>
        </w:rPr>
      </w:pPr>
      <w:r w:rsidRPr="00C45CC0">
        <w:rPr>
          <w:rFonts w:ascii="Palatino Linotype" w:hAnsi="Palatino Linotype"/>
          <w:b/>
          <w:i/>
          <w:sz w:val="22"/>
          <w:lang w:val="es-MX"/>
        </w:rPr>
        <w:t>“Artículo 140.</w:t>
      </w:r>
      <w:r w:rsidRPr="00C45CC0">
        <w:rPr>
          <w:rFonts w:ascii="Palatino Linotype" w:hAnsi="Palatino Linotype"/>
          <w:i/>
          <w:sz w:val="22"/>
          <w:lang w:val="es-MX"/>
        </w:rPr>
        <w:t xml:space="preserve"> El acceso a la información pública será restringido excepcionalmente, cuando por razones de interés público, ésta sea clasificada como reservada, conforme a los criterios siguientes: </w:t>
      </w:r>
    </w:p>
    <w:p w14:paraId="1DD8B1EA" w14:textId="77777777" w:rsidR="00C45CC0" w:rsidRPr="00C45CC0" w:rsidRDefault="00C45CC0" w:rsidP="00C45CC0">
      <w:pPr>
        <w:spacing w:before="240" w:after="240" w:line="360" w:lineRule="auto"/>
        <w:ind w:left="567" w:right="616"/>
        <w:contextualSpacing/>
        <w:jc w:val="both"/>
        <w:rPr>
          <w:rFonts w:ascii="Palatino Linotype" w:hAnsi="Palatino Linotype"/>
          <w:i/>
          <w:sz w:val="22"/>
          <w:lang w:val="es-MX"/>
        </w:rPr>
      </w:pPr>
      <w:r w:rsidRPr="00C45CC0">
        <w:rPr>
          <w:rFonts w:ascii="Palatino Linotype" w:hAnsi="Palatino Linotype"/>
          <w:i/>
          <w:sz w:val="22"/>
          <w:lang w:val="es-MX"/>
        </w:rPr>
        <w:t xml:space="preserve">I. Comprometa la seguridad pública y cuente con un propósito genuino y un efecto demostrable; </w:t>
      </w:r>
    </w:p>
    <w:p w14:paraId="1D2E1E73" w14:textId="77777777" w:rsidR="00C45CC0" w:rsidRPr="00C45CC0" w:rsidRDefault="00C45CC0" w:rsidP="00C45CC0">
      <w:pPr>
        <w:spacing w:before="240" w:after="240" w:line="360" w:lineRule="auto"/>
        <w:ind w:left="567" w:right="616"/>
        <w:contextualSpacing/>
        <w:jc w:val="both"/>
        <w:rPr>
          <w:rFonts w:ascii="Palatino Linotype" w:hAnsi="Palatino Linotype"/>
          <w:i/>
          <w:sz w:val="22"/>
          <w:lang w:val="es-MX"/>
        </w:rPr>
      </w:pPr>
      <w:r w:rsidRPr="00C45CC0">
        <w:rPr>
          <w:rFonts w:ascii="Palatino Linotype" w:hAnsi="Palatino Linotype"/>
          <w:i/>
          <w:sz w:val="22"/>
          <w:lang w:val="es-MX"/>
        </w:rPr>
        <w:t xml:space="preserve">II. Pueda menoscabar la conducción de las negociaciones y relaciones internacionales; </w:t>
      </w:r>
    </w:p>
    <w:p w14:paraId="0D52DD59" w14:textId="77777777" w:rsidR="00C45CC0" w:rsidRPr="00C45CC0" w:rsidRDefault="00C45CC0" w:rsidP="00C45CC0">
      <w:pPr>
        <w:spacing w:before="240" w:after="240" w:line="360" w:lineRule="auto"/>
        <w:ind w:left="567" w:right="616"/>
        <w:contextualSpacing/>
        <w:jc w:val="both"/>
        <w:rPr>
          <w:rFonts w:ascii="Palatino Linotype" w:hAnsi="Palatino Linotype"/>
          <w:i/>
          <w:sz w:val="22"/>
          <w:lang w:val="es-MX"/>
        </w:rPr>
      </w:pPr>
      <w:r w:rsidRPr="00C45CC0">
        <w:rPr>
          <w:rFonts w:ascii="Palatino Linotype" w:hAnsi="Palatino Linotype"/>
          <w:i/>
          <w:sz w:val="22"/>
          <w:lang w:val="es-MX"/>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F026251" w14:textId="77777777" w:rsidR="00C45CC0" w:rsidRPr="00C45CC0" w:rsidRDefault="00C45CC0" w:rsidP="00C45CC0">
      <w:pPr>
        <w:spacing w:before="240" w:after="240" w:line="360" w:lineRule="auto"/>
        <w:ind w:left="567" w:right="616"/>
        <w:contextualSpacing/>
        <w:jc w:val="both"/>
        <w:rPr>
          <w:rFonts w:ascii="Palatino Linotype" w:hAnsi="Palatino Linotype"/>
          <w:b/>
          <w:i/>
          <w:sz w:val="22"/>
          <w:lang w:val="es-MX"/>
        </w:rPr>
      </w:pPr>
      <w:r w:rsidRPr="00C45CC0">
        <w:rPr>
          <w:rFonts w:ascii="Palatino Linotype" w:hAnsi="Palatino Linotype"/>
          <w:b/>
          <w:i/>
          <w:sz w:val="22"/>
          <w:lang w:val="es-MX"/>
        </w:rPr>
        <w:t>IV. Ponga en riesgo la vida, la seguridad o la salud de una persona física;</w:t>
      </w:r>
    </w:p>
    <w:p w14:paraId="5982A619" w14:textId="77777777" w:rsidR="00C45CC0" w:rsidRPr="00C45CC0" w:rsidRDefault="00C45CC0" w:rsidP="00C45CC0">
      <w:pPr>
        <w:spacing w:before="240" w:after="240" w:line="360" w:lineRule="auto"/>
        <w:ind w:left="567" w:right="616"/>
        <w:contextualSpacing/>
        <w:jc w:val="both"/>
        <w:rPr>
          <w:rFonts w:ascii="Palatino Linotype" w:eastAsia="Calibri" w:hAnsi="Palatino Linotype"/>
          <w:i/>
          <w:sz w:val="22"/>
          <w:lang w:val="es-MX"/>
        </w:rPr>
      </w:pPr>
      <w:r w:rsidRPr="00C45CC0">
        <w:rPr>
          <w:rFonts w:ascii="Palatino Linotype" w:hAnsi="Palatino Linotype"/>
          <w:i/>
          <w:sz w:val="22"/>
          <w:lang w:val="es-MX"/>
        </w:rPr>
        <w:t xml:space="preserve"> (…)” (Sic)</w:t>
      </w:r>
    </w:p>
    <w:p w14:paraId="042B03C6" w14:textId="77777777" w:rsidR="00C45CC0" w:rsidRPr="00C45CC0" w:rsidRDefault="00C45CC0" w:rsidP="00C45CC0">
      <w:pPr>
        <w:spacing w:before="240" w:after="240" w:line="360" w:lineRule="auto"/>
        <w:ind w:right="49"/>
        <w:contextualSpacing/>
        <w:jc w:val="both"/>
        <w:rPr>
          <w:rFonts w:ascii="Palatino Linotype" w:eastAsia="Calibri" w:hAnsi="Palatino Linotype"/>
          <w:lang w:val="es-MX"/>
        </w:rPr>
      </w:pPr>
    </w:p>
    <w:p w14:paraId="013C6B9F" w14:textId="77777777" w:rsidR="00C45CC0" w:rsidRPr="00C45CC0" w:rsidRDefault="00C45CC0" w:rsidP="00C45CC0">
      <w:pPr>
        <w:numPr>
          <w:ilvl w:val="0"/>
          <w:numId w:val="11"/>
        </w:numPr>
        <w:spacing w:line="360" w:lineRule="auto"/>
        <w:ind w:left="0" w:right="-787" w:firstLine="0"/>
        <w:jc w:val="both"/>
        <w:rPr>
          <w:rFonts w:ascii="Palatino Linotype" w:hAnsi="Palatino Linotype"/>
          <w:lang w:val="es-MX"/>
        </w:rPr>
      </w:pPr>
      <w:r w:rsidRPr="00C45CC0">
        <w:rPr>
          <w:rFonts w:ascii="Palatino Linotype" w:hAnsi="Palatino Linotype"/>
          <w:lang w:val="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C45CC0">
        <w:rPr>
          <w:rFonts w:ascii="Palatino Linotype" w:hAnsi="Palatino Linotype" w:cs="Tahoma"/>
          <w:bCs/>
          <w:lang w:val="es-MX"/>
        </w:rPr>
        <w:t xml:space="preserve">; así, dicha información puede ser utilizada para </w:t>
      </w:r>
      <w:r w:rsidRPr="00C45CC0">
        <w:rPr>
          <w:rFonts w:ascii="Palatino Linotype" w:hAnsi="Palatino Linotype" w:cs="Tahoma"/>
          <w:b/>
          <w:bCs/>
          <w:lang w:val="es-MX"/>
        </w:rPr>
        <w:t xml:space="preserve">vulnerar la vida, seguridad o salud de dichos elementos, incluso la de sus familias o entorno social, </w:t>
      </w:r>
      <w:r w:rsidRPr="00C45CC0">
        <w:rPr>
          <w:rFonts w:ascii="Palatino Linotype" w:hAnsi="Palatino Linotype" w:cs="Tahoma"/>
          <w:bCs/>
          <w:lang w:val="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05F95814" w14:textId="77777777" w:rsidR="00C45CC0" w:rsidRPr="00C45CC0" w:rsidRDefault="00C45CC0" w:rsidP="00C45CC0">
      <w:pPr>
        <w:tabs>
          <w:tab w:val="left" w:pos="0"/>
        </w:tabs>
        <w:spacing w:after="160" w:line="360" w:lineRule="auto"/>
        <w:contextualSpacing/>
        <w:jc w:val="both"/>
        <w:rPr>
          <w:rFonts w:ascii="Palatino Linotype" w:hAnsi="Palatino Linotype"/>
          <w:lang w:val="es-MX"/>
        </w:rPr>
      </w:pPr>
    </w:p>
    <w:p w14:paraId="49B4BC47" w14:textId="77777777" w:rsidR="00C45CC0" w:rsidRPr="00C45CC0" w:rsidRDefault="00C45CC0" w:rsidP="00C45CC0">
      <w:pPr>
        <w:numPr>
          <w:ilvl w:val="0"/>
          <w:numId w:val="11"/>
        </w:numPr>
        <w:spacing w:line="360" w:lineRule="auto"/>
        <w:ind w:left="0" w:right="-787" w:firstLine="0"/>
        <w:jc w:val="both"/>
        <w:rPr>
          <w:rFonts w:ascii="Palatino Linotype" w:eastAsia="Calibri" w:hAnsi="Palatino Linotype" w:cs="Tahoma"/>
          <w:bCs/>
          <w:lang w:val="es-MX"/>
        </w:rPr>
      </w:pPr>
      <w:r w:rsidRPr="00C45CC0">
        <w:rPr>
          <w:rFonts w:ascii="Palatino Linotype" w:eastAsia="Calibri" w:hAnsi="Palatino Linotype" w:cs="Tahoma"/>
          <w:bCs/>
          <w:lang w:val="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35A7B9EE" w14:textId="77777777" w:rsidR="00C45CC0" w:rsidRPr="00C45CC0" w:rsidRDefault="00C45CC0" w:rsidP="00C45CC0">
      <w:pPr>
        <w:spacing w:line="360" w:lineRule="auto"/>
        <w:jc w:val="both"/>
        <w:rPr>
          <w:rFonts w:ascii="Palatino Linotype" w:eastAsia="Calibri" w:hAnsi="Palatino Linotype" w:cs="Tahoma"/>
          <w:bCs/>
          <w:lang w:val="es-MX"/>
        </w:rPr>
      </w:pPr>
    </w:p>
    <w:p w14:paraId="7E94BAA5" w14:textId="77777777" w:rsidR="00C45CC0" w:rsidRPr="00C45CC0" w:rsidRDefault="00C45CC0" w:rsidP="00C45CC0">
      <w:pPr>
        <w:numPr>
          <w:ilvl w:val="0"/>
          <w:numId w:val="11"/>
        </w:numPr>
        <w:spacing w:line="360" w:lineRule="auto"/>
        <w:ind w:left="0" w:right="-787" w:firstLine="0"/>
        <w:jc w:val="both"/>
        <w:rPr>
          <w:rFonts w:ascii="Palatino Linotype" w:eastAsia="Calibri" w:hAnsi="Palatino Linotype" w:cs="Tahoma"/>
          <w:bCs/>
          <w:lang w:val="es-MX"/>
        </w:rPr>
      </w:pPr>
      <w:r w:rsidRPr="00C45CC0">
        <w:rPr>
          <w:rFonts w:ascii="Palatino Linotype" w:eastAsia="Calibri" w:hAnsi="Palatino Linotype" w:cs="Tahoma"/>
          <w:bCs/>
          <w:lang w:val="es-MX"/>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C45CC0">
        <w:rPr>
          <w:rFonts w:ascii="Palatino Linotype" w:eastAsia="Calibri" w:hAnsi="Palatino Linotype" w:cs="Tahoma"/>
          <w:b/>
          <w:bCs/>
          <w:lang w:val="es-MX"/>
        </w:rPr>
        <w:t xml:space="preserve"> SUJETO OBLIGADO</w:t>
      </w:r>
      <w:r w:rsidRPr="00C45CC0">
        <w:rPr>
          <w:rFonts w:ascii="Palatino Linotype" w:eastAsia="Calibri" w:hAnsi="Palatino Linotype" w:cs="Tahoma"/>
          <w:bCs/>
          <w:lang w:val="es-MX"/>
        </w:rPr>
        <w:t>, colocando en inminente riesgo la vida de todos los integrantes, menoscabando así las actividades de prevención del delito y combate a la delincuencia.</w:t>
      </w:r>
    </w:p>
    <w:p w14:paraId="2AC94E51" w14:textId="77777777" w:rsidR="00C45CC0" w:rsidRPr="00C45CC0" w:rsidRDefault="00C45CC0" w:rsidP="00C45CC0">
      <w:pPr>
        <w:spacing w:line="360" w:lineRule="auto"/>
        <w:jc w:val="both"/>
        <w:rPr>
          <w:rFonts w:ascii="Palatino Linotype" w:eastAsia="Calibri" w:hAnsi="Palatino Linotype" w:cs="Tahoma"/>
          <w:bCs/>
          <w:lang w:val="es-MX"/>
        </w:rPr>
      </w:pPr>
    </w:p>
    <w:p w14:paraId="07CE555E" w14:textId="77777777" w:rsidR="00C45CC0" w:rsidRPr="00C45CC0" w:rsidRDefault="00C45CC0" w:rsidP="00C45CC0">
      <w:pPr>
        <w:numPr>
          <w:ilvl w:val="0"/>
          <w:numId w:val="11"/>
        </w:numPr>
        <w:spacing w:line="360" w:lineRule="auto"/>
        <w:ind w:left="0" w:right="-787" w:firstLine="0"/>
        <w:jc w:val="both"/>
        <w:rPr>
          <w:rFonts w:ascii="Palatino Linotype" w:eastAsia="Calibri" w:hAnsi="Palatino Linotype" w:cs="Tahoma"/>
          <w:bCs/>
          <w:lang w:val="es-MX"/>
        </w:rPr>
      </w:pPr>
      <w:r w:rsidRPr="00C45CC0">
        <w:rPr>
          <w:rFonts w:ascii="Palatino Linotype" w:eastAsia="Calibri" w:hAnsi="Palatino Linotype" w:cs="Tahoma"/>
          <w:bCs/>
          <w:lang w:val="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11ADA5C2" w14:textId="77777777" w:rsidR="00C45CC0" w:rsidRPr="00C45CC0" w:rsidRDefault="00C45CC0" w:rsidP="00C45CC0">
      <w:pPr>
        <w:numPr>
          <w:ilvl w:val="0"/>
          <w:numId w:val="11"/>
        </w:numPr>
        <w:spacing w:line="360" w:lineRule="auto"/>
        <w:ind w:left="0" w:right="-787" w:firstLine="0"/>
        <w:jc w:val="both"/>
        <w:rPr>
          <w:rFonts w:ascii="Palatino Linotype" w:eastAsia="Calibri" w:hAnsi="Palatino Linotype" w:cs="Tahoma"/>
          <w:bCs/>
          <w:lang w:val="es-MX"/>
        </w:rPr>
      </w:pPr>
      <w:r w:rsidRPr="00C45CC0">
        <w:rPr>
          <w:rFonts w:ascii="Palatino Linotype" w:eastAsia="Calibri" w:hAnsi="Palatino Linotype" w:cs="Tahoma"/>
          <w:bCs/>
          <w:lang w:val="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4DBCB634" w14:textId="77777777" w:rsidR="00C45CC0" w:rsidRPr="00C45CC0" w:rsidRDefault="00C45CC0" w:rsidP="00C45CC0">
      <w:pPr>
        <w:spacing w:line="360" w:lineRule="auto"/>
        <w:jc w:val="both"/>
        <w:rPr>
          <w:rFonts w:ascii="Palatino Linotype" w:eastAsia="Calibri" w:hAnsi="Palatino Linotype" w:cs="Tahoma"/>
          <w:bCs/>
          <w:lang w:val="es-MX"/>
        </w:rPr>
      </w:pPr>
    </w:p>
    <w:p w14:paraId="5BA6C19B" w14:textId="77777777" w:rsidR="00C45CC0" w:rsidRPr="00C45CC0" w:rsidRDefault="00C45CC0" w:rsidP="00C45CC0">
      <w:pPr>
        <w:numPr>
          <w:ilvl w:val="0"/>
          <w:numId w:val="11"/>
        </w:numPr>
        <w:spacing w:line="360" w:lineRule="auto"/>
        <w:ind w:left="0" w:right="-787" w:firstLine="0"/>
        <w:jc w:val="both"/>
        <w:rPr>
          <w:rFonts w:ascii="Palatino Linotype" w:eastAsia="Calibri" w:hAnsi="Palatino Linotype" w:cs="Tahoma"/>
          <w:bCs/>
          <w:lang w:val="es-MX"/>
        </w:rPr>
      </w:pPr>
      <w:r w:rsidRPr="00C45CC0">
        <w:rPr>
          <w:rFonts w:ascii="Palatino Linotype" w:eastAsia="Calibri" w:hAnsi="Palatino Linotype" w:cs="Tahoma"/>
          <w:bCs/>
          <w:lang w:val="es-MX"/>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w:t>
      </w:r>
      <w:r w:rsidRPr="00C45CC0">
        <w:rPr>
          <w:rFonts w:ascii="Palatino Linotype" w:eastAsia="Calibri" w:hAnsi="Palatino Linotype" w:cs="Tahoma"/>
          <w:bCs/>
          <w:lang w:val="es-MX"/>
        </w:rPr>
        <w:lastRenderedPageBreak/>
        <w:t>todo Estado democrático; dicho derecho permite a las personas tener una participación activa en la toma de decisiones de los gobernantes y a su vez, funciona como un ejercicio de fiscalización para supervisar las actividades que realiza eh Estado.</w:t>
      </w:r>
    </w:p>
    <w:p w14:paraId="275E338C" w14:textId="77777777" w:rsidR="00C45CC0" w:rsidRPr="00C45CC0" w:rsidRDefault="00C45CC0" w:rsidP="00C45CC0">
      <w:pPr>
        <w:tabs>
          <w:tab w:val="left" w:pos="0"/>
        </w:tabs>
        <w:spacing w:line="360" w:lineRule="auto"/>
        <w:jc w:val="both"/>
        <w:rPr>
          <w:rFonts w:ascii="Palatino Linotype" w:eastAsia="Calibri" w:hAnsi="Palatino Linotype" w:cs="Tahoma"/>
          <w:bCs/>
          <w:lang w:val="es-MX"/>
        </w:rPr>
      </w:pPr>
    </w:p>
    <w:p w14:paraId="63EC4C56" w14:textId="77777777" w:rsidR="00C45CC0" w:rsidRPr="00C45CC0" w:rsidRDefault="00C45CC0" w:rsidP="00C45CC0">
      <w:pPr>
        <w:numPr>
          <w:ilvl w:val="0"/>
          <w:numId w:val="11"/>
        </w:numPr>
        <w:spacing w:line="360" w:lineRule="auto"/>
        <w:ind w:left="0" w:right="-787" w:firstLine="0"/>
        <w:jc w:val="both"/>
        <w:rPr>
          <w:rFonts w:ascii="Palatino Linotype" w:eastAsia="Calibri" w:hAnsi="Palatino Linotype" w:cs="Tahoma"/>
          <w:bCs/>
          <w:lang w:val="es-MX"/>
        </w:rPr>
      </w:pPr>
      <w:r w:rsidRPr="00C45CC0">
        <w:rPr>
          <w:rFonts w:ascii="Palatino Linotype" w:eastAsia="Calibri" w:hAnsi="Palatino Linotype" w:cs="Tahoma"/>
          <w:bCs/>
          <w:lang w:val="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7B396E35" w14:textId="77777777" w:rsidR="00C45CC0" w:rsidRPr="00C45CC0" w:rsidRDefault="00C45CC0" w:rsidP="00C45CC0">
      <w:pPr>
        <w:tabs>
          <w:tab w:val="left" w:pos="0"/>
        </w:tabs>
        <w:spacing w:line="360" w:lineRule="auto"/>
        <w:jc w:val="both"/>
        <w:rPr>
          <w:rFonts w:ascii="Palatino Linotype" w:eastAsia="Calibri" w:hAnsi="Palatino Linotype" w:cs="Tahoma"/>
          <w:bCs/>
          <w:lang w:val="es-MX"/>
        </w:rPr>
      </w:pPr>
    </w:p>
    <w:p w14:paraId="6545E7D4" w14:textId="77777777" w:rsidR="00C45CC0" w:rsidRPr="00C45CC0" w:rsidRDefault="00C45CC0" w:rsidP="00C45CC0">
      <w:pPr>
        <w:numPr>
          <w:ilvl w:val="0"/>
          <w:numId w:val="11"/>
        </w:numPr>
        <w:spacing w:line="360" w:lineRule="auto"/>
        <w:ind w:left="0" w:right="-787" w:firstLine="0"/>
        <w:jc w:val="both"/>
        <w:rPr>
          <w:rFonts w:ascii="Palatino Linotype" w:eastAsia="MS Mincho" w:hAnsi="Palatino Linotype" w:cs="Arial"/>
          <w:lang w:val="es-MX"/>
        </w:rPr>
      </w:pPr>
      <w:r w:rsidRPr="00C45CC0">
        <w:rPr>
          <w:rFonts w:ascii="Palatino Linotype" w:eastAsia="MS Mincho" w:hAnsi="Palatino Linotype" w:cs="Arial"/>
        </w:rPr>
        <w:t xml:space="preserve">Al respecto, cabe hacer mención que el artículo 81 fracción III de la Ley de Seguridad del Estado de México, establece lo siguiente: </w:t>
      </w:r>
    </w:p>
    <w:p w14:paraId="45DBA487" w14:textId="77777777" w:rsidR="00C45CC0" w:rsidRPr="00C45CC0" w:rsidRDefault="00C45CC0" w:rsidP="00C45CC0">
      <w:pPr>
        <w:spacing w:line="360" w:lineRule="auto"/>
        <w:ind w:left="720" w:right="851"/>
        <w:contextualSpacing/>
        <w:jc w:val="both"/>
        <w:rPr>
          <w:rFonts w:ascii="Palatino Linotype" w:eastAsia="MS Mincho" w:hAnsi="Palatino Linotype" w:cs="Arial"/>
          <w:i/>
        </w:rPr>
      </w:pPr>
    </w:p>
    <w:p w14:paraId="1643BA31" w14:textId="77777777" w:rsidR="00C45CC0" w:rsidRPr="00C45CC0" w:rsidRDefault="00C45CC0" w:rsidP="00C45CC0">
      <w:pPr>
        <w:spacing w:line="360" w:lineRule="auto"/>
        <w:ind w:left="720" w:right="567"/>
        <w:contextualSpacing/>
        <w:jc w:val="both"/>
        <w:rPr>
          <w:rFonts w:ascii="Palatino Linotype" w:eastAsia="MS Mincho" w:hAnsi="Palatino Linotype" w:cs="Arial"/>
          <w:i/>
          <w:sz w:val="22"/>
        </w:rPr>
      </w:pPr>
      <w:r w:rsidRPr="00C45CC0">
        <w:rPr>
          <w:rFonts w:ascii="Palatino Linotype" w:eastAsia="MS Mincho" w:hAnsi="Palatino Linotype" w:cs="Arial"/>
          <w:i/>
          <w:sz w:val="22"/>
        </w:rPr>
        <w:t>“</w:t>
      </w:r>
      <w:r w:rsidRPr="00C45CC0">
        <w:rPr>
          <w:rFonts w:ascii="Palatino Linotype" w:eastAsia="MS Mincho" w:hAnsi="Palatino Linotype" w:cs="Arial"/>
          <w:b/>
          <w:i/>
          <w:sz w:val="22"/>
        </w:rPr>
        <w:t>Artículo 81.-</w:t>
      </w:r>
      <w:r w:rsidRPr="00C45CC0">
        <w:rPr>
          <w:rFonts w:ascii="Palatino Linotype" w:eastAsia="MS Mincho" w:hAnsi="Palatino Linotype" w:cs="Arial"/>
          <w:i/>
          <w:sz w:val="22"/>
        </w:rPr>
        <w:t xml:space="preserve"> </w:t>
      </w:r>
      <w:r w:rsidRPr="00C45CC0">
        <w:rPr>
          <w:rFonts w:ascii="Palatino Linotype" w:eastAsia="MS Mincho" w:hAnsi="Palatino Linotype" w:cs="Arial"/>
          <w:b/>
          <w:i/>
          <w:sz w:val="22"/>
        </w:rPr>
        <w:t xml:space="preserve">Toda información para la seguridad pública generada o en poder de Instituciones de Seguridad Pública o de cualquier instancia del Sistema Estatal debe registrarse, clasificarse y tratarse de conformidad con las disposiciones aplicables. No </w:t>
      </w:r>
      <w:proofErr w:type="gramStart"/>
      <w:r w:rsidRPr="00C45CC0">
        <w:rPr>
          <w:rFonts w:ascii="Palatino Linotype" w:eastAsia="MS Mincho" w:hAnsi="Palatino Linotype" w:cs="Arial"/>
          <w:b/>
          <w:i/>
          <w:sz w:val="22"/>
        </w:rPr>
        <w:t>obstante</w:t>
      </w:r>
      <w:proofErr w:type="gramEnd"/>
      <w:r w:rsidRPr="00C45CC0">
        <w:rPr>
          <w:rFonts w:ascii="Palatino Linotype" w:eastAsia="MS Mincho" w:hAnsi="Palatino Linotype" w:cs="Arial"/>
          <w:b/>
          <w:i/>
          <w:sz w:val="22"/>
        </w:rPr>
        <w:t xml:space="preserve"> lo anterior, esta información se considerará reservada</w:t>
      </w:r>
      <w:r w:rsidRPr="00C45CC0">
        <w:rPr>
          <w:rFonts w:ascii="Palatino Linotype" w:eastAsia="MS Mincho" w:hAnsi="Palatino Linotype" w:cs="Arial"/>
          <w:i/>
          <w:sz w:val="22"/>
        </w:rPr>
        <w:t xml:space="preserve"> en los casos siguientes:</w:t>
      </w:r>
    </w:p>
    <w:p w14:paraId="3F4AB9E6" w14:textId="77777777" w:rsidR="00C45CC0" w:rsidRPr="00C45CC0" w:rsidRDefault="00C45CC0" w:rsidP="00C45CC0">
      <w:pPr>
        <w:spacing w:line="360" w:lineRule="auto"/>
        <w:ind w:left="720" w:right="567"/>
        <w:contextualSpacing/>
        <w:jc w:val="both"/>
        <w:rPr>
          <w:rFonts w:ascii="Palatino Linotype" w:eastAsia="MS Mincho" w:hAnsi="Palatino Linotype" w:cs="Arial"/>
          <w:i/>
          <w:sz w:val="22"/>
        </w:rPr>
      </w:pPr>
      <w:r w:rsidRPr="00C45CC0">
        <w:rPr>
          <w:rFonts w:ascii="Palatino Linotype" w:eastAsia="MS Mincho" w:hAnsi="Palatino Linotype" w:cs="Arial"/>
          <w:i/>
          <w:sz w:val="22"/>
        </w:rPr>
        <w:t>…</w:t>
      </w:r>
    </w:p>
    <w:p w14:paraId="30CA8D10" w14:textId="77777777" w:rsidR="00C45CC0" w:rsidRPr="00C45CC0" w:rsidRDefault="00C45CC0" w:rsidP="00C45CC0">
      <w:pPr>
        <w:spacing w:line="360" w:lineRule="auto"/>
        <w:ind w:left="720" w:right="567"/>
        <w:contextualSpacing/>
        <w:jc w:val="both"/>
        <w:rPr>
          <w:rFonts w:ascii="Palatino Linotype" w:eastAsia="MS Mincho" w:hAnsi="Palatino Linotype" w:cs="Arial"/>
          <w:i/>
          <w:sz w:val="22"/>
        </w:rPr>
      </w:pPr>
      <w:r w:rsidRPr="00C45CC0">
        <w:rPr>
          <w:rFonts w:ascii="Palatino Linotype" w:eastAsia="MS Mincho" w:hAnsi="Palatino Linotype" w:cs="Arial"/>
          <w:b/>
          <w:i/>
          <w:sz w:val="22"/>
        </w:rPr>
        <w:t>III.</w:t>
      </w:r>
      <w:r w:rsidRPr="00C45CC0">
        <w:rPr>
          <w:rFonts w:ascii="Palatino Linotype" w:eastAsia="MS Mincho" w:hAnsi="Palatino Linotype" w:cs="Arial"/>
          <w:i/>
          <w:sz w:val="22"/>
        </w:rPr>
        <w:t xml:space="preserve"> </w:t>
      </w:r>
      <w:r w:rsidRPr="00C45CC0">
        <w:rPr>
          <w:rFonts w:ascii="Palatino Linotype" w:eastAsia="MS Mincho" w:hAnsi="Palatino Linotype" w:cs="Arial"/>
          <w:b/>
          <w:i/>
          <w:sz w:val="22"/>
        </w:rPr>
        <w:t>La relativa a servidores públicos miembros de las instituciones de seguridad pública, cuya revelación pueda poner en riesgo su vida e integridad física con motivo de sus funciones;</w:t>
      </w:r>
      <w:r w:rsidRPr="00C45CC0">
        <w:rPr>
          <w:rFonts w:ascii="Palatino Linotype" w:eastAsia="MS Mincho" w:hAnsi="Palatino Linotype" w:cs="Arial"/>
          <w:i/>
          <w:sz w:val="22"/>
        </w:rPr>
        <w:t>”</w:t>
      </w:r>
    </w:p>
    <w:p w14:paraId="659276DA" w14:textId="77777777" w:rsidR="00C45CC0" w:rsidRPr="00C45CC0" w:rsidRDefault="00C45CC0" w:rsidP="00C45CC0">
      <w:pPr>
        <w:spacing w:line="360" w:lineRule="auto"/>
        <w:ind w:left="720" w:right="851"/>
        <w:contextualSpacing/>
        <w:jc w:val="both"/>
        <w:rPr>
          <w:rFonts w:ascii="Palatino Linotype" w:eastAsia="MS Mincho" w:hAnsi="Palatino Linotype" w:cs="Arial"/>
          <w:sz w:val="22"/>
        </w:rPr>
      </w:pPr>
      <w:r w:rsidRPr="00C45CC0">
        <w:rPr>
          <w:rFonts w:ascii="Palatino Linotype" w:eastAsia="MS Mincho" w:hAnsi="Palatino Linotype" w:cs="Arial"/>
          <w:sz w:val="22"/>
        </w:rPr>
        <w:t>(Énfasis añadido)</w:t>
      </w:r>
    </w:p>
    <w:p w14:paraId="3EE67372" w14:textId="77777777" w:rsidR="00C45CC0" w:rsidRPr="00C45CC0" w:rsidRDefault="00C45CC0" w:rsidP="00C45CC0">
      <w:pPr>
        <w:spacing w:line="360" w:lineRule="auto"/>
        <w:jc w:val="both"/>
        <w:rPr>
          <w:rFonts w:ascii="Palatino Linotype" w:eastAsia="MS Mincho" w:hAnsi="Palatino Linotype" w:cs="Arial"/>
          <w:lang w:val="es-MX"/>
        </w:rPr>
      </w:pPr>
    </w:p>
    <w:p w14:paraId="29E7A59F" w14:textId="77777777" w:rsidR="00C45CC0" w:rsidRPr="00C45CC0" w:rsidRDefault="00C45CC0" w:rsidP="00C45CC0">
      <w:pPr>
        <w:numPr>
          <w:ilvl w:val="0"/>
          <w:numId w:val="11"/>
        </w:numPr>
        <w:spacing w:line="360" w:lineRule="auto"/>
        <w:ind w:left="0" w:right="-787" w:firstLine="0"/>
        <w:jc w:val="both"/>
        <w:rPr>
          <w:rFonts w:ascii="Palatino Linotype" w:eastAsia="MS Mincho" w:hAnsi="Palatino Linotype" w:cs="Arial"/>
          <w:lang w:val="es-MX"/>
        </w:rPr>
      </w:pPr>
      <w:r w:rsidRPr="00C45CC0">
        <w:rPr>
          <w:rFonts w:ascii="Palatino Linotype" w:hAnsi="Palatino Linotype" w:cs="Arial"/>
          <w:lang w:val="es-MX"/>
        </w:rPr>
        <w:lastRenderedPageBreak/>
        <w:t>Argumento que se fortalece con lo estipulado en el criterio número 6-09, del Instituto Nacional de Transparencia, Acceso a la Información y Protección de Datos Personales, antes (INAI)</w:t>
      </w:r>
      <w:r w:rsidRPr="00C45CC0">
        <w:rPr>
          <w:rFonts w:ascii="Palatino Linotype" w:hAnsi="Palatino Linotype" w:cs="Arial"/>
          <w:b/>
          <w:bCs/>
          <w:lang w:val="es-MX"/>
        </w:rPr>
        <w:t xml:space="preserve">, </w:t>
      </w:r>
      <w:r w:rsidRPr="00C45CC0">
        <w:rPr>
          <w:rFonts w:ascii="Palatino Linotype" w:hAnsi="Palatino Linotype" w:cs="Arial"/>
          <w:lang w:val="es-MX"/>
        </w:rPr>
        <w:t xml:space="preserve">el cual refiere: </w:t>
      </w:r>
    </w:p>
    <w:p w14:paraId="36C989FF" w14:textId="77777777" w:rsidR="00C45CC0" w:rsidRPr="00C45CC0" w:rsidRDefault="00C45CC0" w:rsidP="00C45CC0">
      <w:pPr>
        <w:spacing w:line="360" w:lineRule="auto"/>
        <w:jc w:val="both"/>
        <w:rPr>
          <w:rFonts w:ascii="Palatino Linotype" w:hAnsi="Palatino Linotype" w:cs="Arial"/>
          <w:lang w:val="es-MX"/>
        </w:rPr>
      </w:pPr>
    </w:p>
    <w:p w14:paraId="6CBFCF2E" w14:textId="77777777" w:rsidR="00C45CC0" w:rsidRPr="00C45CC0" w:rsidRDefault="00C45CC0" w:rsidP="00C45CC0">
      <w:pPr>
        <w:autoSpaceDE w:val="0"/>
        <w:autoSpaceDN w:val="0"/>
        <w:adjustRightInd w:val="0"/>
        <w:spacing w:line="360" w:lineRule="auto"/>
        <w:ind w:left="720" w:right="567"/>
        <w:contextualSpacing/>
        <w:jc w:val="center"/>
        <w:rPr>
          <w:rFonts w:ascii="Palatino Linotype" w:hAnsi="Palatino Linotype" w:cs="Arial"/>
          <w:i/>
          <w:sz w:val="22"/>
          <w:lang w:val="es-MX"/>
        </w:rPr>
      </w:pPr>
      <w:r w:rsidRPr="00C45CC0">
        <w:rPr>
          <w:rFonts w:ascii="Palatino Linotype" w:hAnsi="Palatino Linotype" w:cs="Arial"/>
          <w:b/>
          <w:bCs/>
          <w:i/>
          <w:sz w:val="22"/>
          <w:lang w:val="es-MX"/>
        </w:rPr>
        <w:t>“Criterio 6-09</w:t>
      </w:r>
    </w:p>
    <w:p w14:paraId="157C05DC" w14:textId="77777777" w:rsidR="00C45CC0" w:rsidRPr="00C45CC0" w:rsidRDefault="00C45CC0" w:rsidP="00C45CC0">
      <w:pPr>
        <w:autoSpaceDE w:val="0"/>
        <w:autoSpaceDN w:val="0"/>
        <w:adjustRightInd w:val="0"/>
        <w:spacing w:line="360" w:lineRule="auto"/>
        <w:ind w:left="720" w:right="567"/>
        <w:contextualSpacing/>
        <w:jc w:val="both"/>
        <w:rPr>
          <w:rFonts w:ascii="Palatino Linotype" w:hAnsi="Palatino Linotype" w:cs="Arial"/>
          <w:i/>
          <w:sz w:val="22"/>
          <w:lang w:val="es-MX"/>
        </w:rPr>
      </w:pPr>
      <w:r w:rsidRPr="00C45CC0">
        <w:rPr>
          <w:rFonts w:ascii="Palatino Linotype" w:hAnsi="Palatino Linotype" w:cs="Arial"/>
          <w:b/>
          <w:bCs/>
          <w:i/>
          <w:sz w:val="22"/>
          <w:lang w:val="es-MX"/>
        </w:rPr>
        <w:t xml:space="preserve">Nombres de servidores públicos dedicados a actividades en materia de seguridad, por excepción pueden considerarse información reservada. </w:t>
      </w:r>
      <w:r w:rsidRPr="00C45CC0">
        <w:rPr>
          <w:rFonts w:ascii="Palatino Linotype" w:hAnsi="Palatino Linotype" w:cs="Arial"/>
          <w:bCs/>
          <w:i/>
          <w:sz w:val="22"/>
          <w:lang w:val="es-MX"/>
        </w:rPr>
        <w:t xml:space="preserve">De conformidad con el artículo 7, fracciones I y III de la Ley Federal de Transparencia y Acceso a la Información Pública Gubernamental </w:t>
      </w:r>
      <w:r w:rsidRPr="00C45CC0">
        <w:rPr>
          <w:rFonts w:ascii="Palatino Linotype" w:hAnsi="Palatino Linotype" w:cs="Arial"/>
          <w:b/>
          <w:bCs/>
          <w:i/>
          <w:sz w:val="22"/>
          <w:lang w:val="es-MX"/>
        </w:rPr>
        <w:t xml:space="preserve">el nombre de los servidores públicos es información de naturaleza pública. No </w:t>
      </w:r>
      <w:proofErr w:type="gramStart"/>
      <w:r w:rsidRPr="00C45CC0">
        <w:rPr>
          <w:rFonts w:ascii="Palatino Linotype" w:hAnsi="Palatino Linotype" w:cs="Arial"/>
          <w:b/>
          <w:bCs/>
          <w:i/>
          <w:sz w:val="22"/>
          <w:lang w:val="es-MX"/>
        </w:rPr>
        <w:t>obstante</w:t>
      </w:r>
      <w:proofErr w:type="gramEnd"/>
      <w:r w:rsidRPr="00C45CC0">
        <w:rPr>
          <w:rFonts w:ascii="Palatino Linotype" w:hAnsi="Palatino Linotype" w:cs="Arial"/>
          <w:b/>
          <w:bCs/>
          <w:i/>
          <w:sz w:val="22"/>
          <w:lang w:val="es-MX"/>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C45CC0">
        <w:rPr>
          <w:rFonts w:ascii="Palatino Linotype" w:hAnsi="Palatino Linotype" w:cs="Arial"/>
          <w:bCs/>
          <w:i/>
          <w:sz w:val="22"/>
          <w:lang w:val="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C45CC0">
        <w:rPr>
          <w:rFonts w:ascii="Palatino Linotype" w:hAnsi="Palatino Linotype" w:cs="Arial"/>
          <w:b/>
          <w:bCs/>
          <w:i/>
          <w:sz w:val="22"/>
          <w:lang w:val="es-MX"/>
        </w:rPr>
        <w:t>el artículo 13, fracción I de la ley de referencia se establece que podrá clasificarse aquella información cuya difusión pueda comprometer la seguridad nacional y pública</w:t>
      </w:r>
      <w:r w:rsidRPr="00C45CC0">
        <w:rPr>
          <w:rFonts w:ascii="Palatino Linotype" w:hAnsi="Palatino Linotype" w:cs="Arial"/>
          <w:bCs/>
          <w:i/>
          <w:sz w:val="22"/>
          <w:lang w:val="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C45CC0">
        <w:rPr>
          <w:rFonts w:ascii="Palatino Linotype" w:hAnsi="Palatino Linotype" w:cs="Arial"/>
          <w:b/>
          <w:bCs/>
          <w:i/>
          <w:sz w:val="22"/>
          <w:lang w:val="es-MX"/>
        </w:rPr>
        <w:t>por lo que la reserva de la relación de los nombres y las funciones que desempeñan los servidores públicos que prestan sus servicios en áreas de seguridad nacional o pública</w:t>
      </w:r>
      <w:r w:rsidRPr="00C45CC0">
        <w:rPr>
          <w:rFonts w:ascii="Palatino Linotype" w:hAnsi="Palatino Linotype" w:cs="Arial"/>
          <w:bCs/>
          <w:i/>
          <w:sz w:val="22"/>
          <w:lang w:val="es-MX"/>
        </w:rPr>
        <w:t xml:space="preserve">, </w:t>
      </w:r>
      <w:r w:rsidRPr="00C45CC0">
        <w:rPr>
          <w:rFonts w:ascii="Palatino Linotype" w:hAnsi="Palatino Linotype" w:cs="Arial"/>
          <w:bCs/>
          <w:i/>
          <w:sz w:val="22"/>
          <w:lang w:val="es-MX"/>
        </w:rPr>
        <w:lastRenderedPageBreak/>
        <w:t>puede llegar a constituirse en un componente fundamental en el esfuerzo que realiza el Estado Mexicano para garantizar la seguridad del país en sus diferentes vertientes</w:t>
      </w:r>
      <w:r w:rsidRPr="00C45CC0">
        <w:rPr>
          <w:rFonts w:ascii="Palatino Linotype" w:hAnsi="Palatino Linotype" w:cs="Arial"/>
          <w:i/>
          <w:sz w:val="22"/>
          <w:lang w:val="es-MX"/>
        </w:rPr>
        <w:t>” (Sic)</w:t>
      </w:r>
    </w:p>
    <w:p w14:paraId="51F97CFF" w14:textId="77777777" w:rsidR="00C45CC0" w:rsidRPr="00C45CC0" w:rsidRDefault="00C45CC0" w:rsidP="00C45CC0">
      <w:pPr>
        <w:tabs>
          <w:tab w:val="left" w:pos="3583"/>
        </w:tabs>
        <w:autoSpaceDE w:val="0"/>
        <w:autoSpaceDN w:val="0"/>
        <w:adjustRightInd w:val="0"/>
        <w:spacing w:line="360" w:lineRule="auto"/>
        <w:ind w:left="720" w:right="567"/>
        <w:contextualSpacing/>
        <w:jc w:val="both"/>
        <w:rPr>
          <w:rFonts w:ascii="Palatino Linotype" w:hAnsi="Palatino Linotype" w:cs="Arial"/>
          <w:sz w:val="22"/>
          <w:lang w:val="es-MX"/>
        </w:rPr>
      </w:pPr>
      <w:r w:rsidRPr="00C45CC0">
        <w:rPr>
          <w:rFonts w:ascii="Palatino Linotype" w:hAnsi="Palatino Linotype" w:cs="Arial"/>
          <w:sz w:val="22"/>
          <w:lang w:val="es-MX"/>
        </w:rPr>
        <w:t>(Énfasis añadido).</w:t>
      </w:r>
    </w:p>
    <w:p w14:paraId="6B3D25B1" w14:textId="77777777" w:rsidR="00C45CC0" w:rsidRPr="00C45CC0" w:rsidRDefault="00C45CC0" w:rsidP="00C45CC0">
      <w:pPr>
        <w:tabs>
          <w:tab w:val="left" w:pos="3583"/>
        </w:tabs>
        <w:autoSpaceDE w:val="0"/>
        <w:autoSpaceDN w:val="0"/>
        <w:adjustRightInd w:val="0"/>
        <w:spacing w:line="360" w:lineRule="auto"/>
        <w:ind w:left="720" w:right="567"/>
        <w:contextualSpacing/>
        <w:jc w:val="both"/>
        <w:rPr>
          <w:rFonts w:ascii="Palatino Linotype" w:hAnsi="Palatino Linotype" w:cs="Arial"/>
          <w:sz w:val="22"/>
          <w:highlight w:val="yellow"/>
          <w:lang w:val="es-MX"/>
        </w:rPr>
      </w:pPr>
    </w:p>
    <w:p w14:paraId="23DBD616" w14:textId="77777777" w:rsidR="00C45CC0" w:rsidRPr="0066577C" w:rsidRDefault="00C45CC0" w:rsidP="00C45CC0">
      <w:pPr>
        <w:spacing w:line="360" w:lineRule="auto"/>
        <w:ind w:right="-787"/>
        <w:jc w:val="both"/>
        <w:rPr>
          <w:rFonts w:ascii="Palatino Linotype" w:hAnsi="Palatino Linotype"/>
          <w:b/>
          <w:lang w:val="es-MX"/>
        </w:rPr>
      </w:pPr>
      <w:proofErr w:type="gramStart"/>
      <w:r w:rsidRPr="0066577C">
        <w:rPr>
          <w:rFonts w:ascii="Palatino Linotype" w:hAnsi="Palatino Linotype"/>
          <w:b/>
          <w:lang w:val="es-MX"/>
        </w:rPr>
        <w:t>SEXTO.-</w:t>
      </w:r>
      <w:proofErr w:type="gramEnd"/>
      <w:r w:rsidRPr="0066577C">
        <w:rPr>
          <w:rFonts w:ascii="Palatino Linotype" w:hAnsi="Palatino Linotype"/>
          <w:b/>
          <w:lang w:val="es-MX"/>
        </w:rPr>
        <w:t xml:space="preserve"> VISTA A LA SECRETARÍA TÉCNICA</w:t>
      </w:r>
    </w:p>
    <w:p w14:paraId="43B0DB4A" w14:textId="77777777" w:rsidR="00FA1F2E" w:rsidRPr="0066577C" w:rsidRDefault="00FA1F2E" w:rsidP="00C45CC0">
      <w:pPr>
        <w:numPr>
          <w:ilvl w:val="0"/>
          <w:numId w:val="11"/>
        </w:numPr>
        <w:spacing w:line="360" w:lineRule="auto"/>
        <w:ind w:left="0" w:right="-787" w:firstLine="0"/>
        <w:jc w:val="both"/>
        <w:rPr>
          <w:rFonts w:ascii="Palatino Linotype" w:hAnsi="Palatino Linotype"/>
          <w:lang w:val="es-MX"/>
        </w:rPr>
      </w:pPr>
      <w:proofErr w:type="gramStart"/>
      <w:r w:rsidRPr="0066577C">
        <w:rPr>
          <w:rFonts w:ascii="Palatino Linotype" w:hAnsi="Palatino Linotype"/>
          <w:lang w:val="es-MX"/>
        </w:rPr>
        <w:t>Así  mismo</w:t>
      </w:r>
      <w:proofErr w:type="gramEnd"/>
      <w:r w:rsidR="00C45CC0" w:rsidRPr="0066577C">
        <w:rPr>
          <w:rFonts w:ascii="Palatino Linotype" w:hAnsi="Palatino Linotype"/>
          <w:lang w:val="es-MX"/>
        </w:rPr>
        <w:t>, resulta conducente dar vista a la Secretaría Técnica del Pleno</w:t>
      </w:r>
      <w:r w:rsidRPr="0066577C">
        <w:rPr>
          <w:rFonts w:ascii="Palatino Linotype" w:hAnsi="Palatino Linotype"/>
          <w:lang w:val="es-MX"/>
        </w:rPr>
        <w:t xml:space="preserve"> toda vez que el </w:t>
      </w:r>
      <w:r w:rsidRPr="0066577C">
        <w:rPr>
          <w:rFonts w:ascii="Palatino Linotype" w:hAnsi="Palatino Linotype"/>
          <w:b/>
          <w:lang w:val="es-MX"/>
        </w:rPr>
        <w:t xml:space="preserve">SUJETO OBLIGADO </w:t>
      </w:r>
      <w:r w:rsidRPr="0066577C">
        <w:rPr>
          <w:rFonts w:ascii="Palatino Linotype" w:hAnsi="Palatino Linotype"/>
          <w:lang w:val="es-MX"/>
        </w:rPr>
        <w:t xml:space="preserve">dejo libre en el archivo de la conciliación de nómina el nombre del personal operativo del Ayuntamiento de Atizapán de Zaragoza. </w:t>
      </w:r>
    </w:p>
    <w:p w14:paraId="72D982CB" w14:textId="77777777" w:rsidR="00FA1F2E" w:rsidRPr="0066577C" w:rsidRDefault="00FA1F2E" w:rsidP="00FA1F2E">
      <w:pPr>
        <w:spacing w:line="360" w:lineRule="auto"/>
        <w:ind w:right="-787"/>
        <w:jc w:val="both"/>
        <w:rPr>
          <w:rFonts w:ascii="Palatino Linotype" w:hAnsi="Palatino Linotype"/>
          <w:lang w:val="es-MX"/>
        </w:rPr>
      </w:pPr>
    </w:p>
    <w:p w14:paraId="1D7B8894" w14:textId="77777777" w:rsidR="00C45CC0" w:rsidRPr="0066577C" w:rsidRDefault="00FA1F2E" w:rsidP="00C45CC0">
      <w:pPr>
        <w:numPr>
          <w:ilvl w:val="0"/>
          <w:numId w:val="11"/>
        </w:numPr>
        <w:spacing w:line="360" w:lineRule="auto"/>
        <w:ind w:left="0" w:right="-787" w:firstLine="0"/>
        <w:jc w:val="both"/>
        <w:rPr>
          <w:rFonts w:ascii="Palatino Linotype" w:hAnsi="Palatino Linotype"/>
          <w:lang w:val="es-MX"/>
        </w:rPr>
      </w:pPr>
      <w:r w:rsidRPr="0066577C">
        <w:rPr>
          <w:rFonts w:ascii="Palatino Linotype" w:hAnsi="Palatino Linotype"/>
          <w:lang w:val="es-MX"/>
        </w:rPr>
        <w:t xml:space="preserve">Lo anterior, </w:t>
      </w:r>
      <w:r w:rsidR="00C45CC0" w:rsidRPr="0066577C">
        <w:rPr>
          <w:rFonts w:ascii="Palatino Linotype" w:hAnsi="Palatino Linotype"/>
          <w:lang w:val="es-MX"/>
        </w:rPr>
        <w:t xml:space="preserve">para que en el ejercicio de las competencias reservadas integre y remita al Órgano Interno de Control un expediente formado con motivo de las presuntas infracciones de carácter omisivo cometidas en detrimento al derecho de acceso a la información.  </w:t>
      </w:r>
    </w:p>
    <w:p w14:paraId="27335FB9" w14:textId="77777777" w:rsidR="00C45CC0" w:rsidRPr="0066577C" w:rsidRDefault="00C45CC0" w:rsidP="00C45CC0">
      <w:pPr>
        <w:spacing w:line="360" w:lineRule="auto"/>
        <w:ind w:left="360"/>
        <w:contextualSpacing/>
        <w:jc w:val="both"/>
        <w:rPr>
          <w:rFonts w:ascii="Palatino Linotype" w:hAnsi="Palatino Linotype"/>
          <w:lang w:val="es-MX"/>
        </w:rPr>
      </w:pPr>
    </w:p>
    <w:p w14:paraId="78EBFA65" w14:textId="77777777" w:rsidR="00C45CC0" w:rsidRPr="0066577C" w:rsidRDefault="00C45CC0" w:rsidP="00C45CC0">
      <w:pPr>
        <w:numPr>
          <w:ilvl w:val="0"/>
          <w:numId w:val="11"/>
        </w:numPr>
        <w:spacing w:line="360" w:lineRule="auto"/>
        <w:ind w:left="0" w:right="-787" w:firstLine="0"/>
        <w:jc w:val="both"/>
        <w:rPr>
          <w:rFonts w:ascii="Palatino Linotype" w:hAnsi="Palatino Linotype"/>
          <w:lang w:val="es-MX"/>
        </w:rPr>
      </w:pPr>
      <w:r w:rsidRPr="0066577C">
        <w:rPr>
          <w:rFonts w:ascii="Palatino Linotype" w:hAnsi="Palatino Linotype"/>
          <w:lang w:val="es-MX"/>
        </w:rPr>
        <w:t>En efecto, la Secretaría técnica del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y 222, que señalan lo siguiente:</w:t>
      </w:r>
    </w:p>
    <w:p w14:paraId="0FF1EBC1" w14:textId="77777777" w:rsidR="00C45CC0" w:rsidRPr="0066577C" w:rsidRDefault="00C45CC0" w:rsidP="00FA1F2E">
      <w:pPr>
        <w:ind w:left="1134" w:right="900"/>
        <w:contextualSpacing/>
        <w:rPr>
          <w:rFonts w:ascii="Century Gothic" w:hAnsi="Century Gothic"/>
          <w:sz w:val="22"/>
          <w:szCs w:val="22"/>
          <w:lang w:val="es-MX"/>
        </w:rPr>
      </w:pPr>
    </w:p>
    <w:p w14:paraId="4EEE16B7" w14:textId="77777777" w:rsidR="00C45CC0" w:rsidRPr="0066577C" w:rsidRDefault="00C45CC0" w:rsidP="00FA1F2E">
      <w:pPr>
        <w:spacing w:line="276" w:lineRule="auto"/>
        <w:ind w:left="1134" w:right="900"/>
        <w:contextualSpacing/>
        <w:jc w:val="both"/>
        <w:rPr>
          <w:rFonts w:ascii="Palatino Linotype" w:hAnsi="Palatino Linotype"/>
          <w:i/>
          <w:sz w:val="22"/>
          <w:szCs w:val="22"/>
          <w:lang w:val="es-MX"/>
        </w:rPr>
      </w:pPr>
      <w:r w:rsidRPr="0066577C">
        <w:rPr>
          <w:rFonts w:ascii="Palatino Linotype" w:hAnsi="Palatino Linotype"/>
          <w:i/>
          <w:sz w:val="22"/>
          <w:szCs w:val="22"/>
          <w:lang w:val="es-MX"/>
        </w:rPr>
        <w:t xml:space="preserve">“Artículo 190. Cuando el Instituto determine durante la sustanciación del recurso de revisión que pudo haberse incurrido en una probable responsabilidad por el incumplimiento a las obligaciones previstas en esta Ley </w:t>
      </w:r>
      <w:r w:rsidRPr="0066577C">
        <w:rPr>
          <w:rFonts w:ascii="Palatino Linotype" w:hAnsi="Palatino Linotype"/>
          <w:i/>
          <w:sz w:val="22"/>
          <w:szCs w:val="22"/>
          <w:lang w:val="es-MX"/>
        </w:rPr>
        <w:lastRenderedPageBreak/>
        <w:t>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EEA4EE3" w14:textId="77777777" w:rsidR="00C45CC0" w:rsidRPr="0066577C" w:rsidRDefault="00C45CC0" w:rsidP="00FA1F2E">
      <w:pPr>
        <w:spacing w:line="276" w:lineRule="auto"/>
        <w:ind w:left="1134" w:right="900"/>
        <w:contextualSpacing/>
        <w:jc w:val="both"/>
        <w:rPr>
          <w:rFonts w:ascii="Palatino Linotype" w:hAnsi="Palatino Linotype"/>
          <w:i/>
          <w:sz w:val="22"/>
          <w:szCs w:val="22"/>
          <w:lang w:val="es-MX"/>
        </w:rPr>
      </w:pPr>
    </w:p>
    <w:p w14:paraId="1DE11D3A" w14:textId="77777777" w:rsidR="00C45CC0" w:rsidRPr="0066577C" w:rsidRDefault="00C45CC0" w:rsidP="00FA1F2E">
      <w:pPr>
        <w:spacing w:line="276" w:lineRule="auto"/>
        <w:ind w:left="1134" w:right="900"/>
        <w:contextualSpacing/>
        <w:jc w:val="both"/>
        <w:rPr>
          <w:rFonts w:ascii="Palatino Linotype" w:hAnsi="Palatino Linotype"/>
          <w:i/>
          <w:sz w:val="22"/>
          <w:szCs w:val="22"/>
          <w:lang w:val="es-MX"/>
        </w:rPr>
      </w:pPr>
      <w:r w:rsidRPr="0066577C">
        <w:rPr>
          <w:rFonts w:ascii="Palatino Linotype" w:hAnsi="Palatino Linotype"/>
          <w:i/>
          <w:sz w:val="22"/>
          <w:szCs w:val="22"/>
          <w:lang w:val="es-MX"/>
        </w:rPr>
        <w:t>Artículo 222. Son causas de responsabilidad administrativa de los servidores públicos de los sujetos obligados, por incumplimiento de las obligaciones establecidas en la materia de la presente Ley, las siguientes:</w:t>
      </w:r>
    </w:p>
    <w:p w14:paraId="602B0DD7" w14:textId="77777777" w:rsidR="00C45CC0" w:rsidRPr="0066577C" w:rsidRDefault="00C45CC0" w:rsidP="00FA1F2E">
      <w:pPr>
        <w:spacing w:line="276" w:lineRule="auto"/>
        <w:ind w:left="1134" w:right="900"/>
        <w:contextualSpacing/>
        <w:jc w:val="both"/>
        <w:rPr>
          <w:rFonts w:ascii="Palatino Linotype" w:hAnsi="Palatino Linotype"/>
          <w:i/>
          <w:sz w:val="22"/>
          <w:szCs w:val="22"/>
          <w:lang w:val="es-MX"/>
        </w:rPr>
      </w:pPr>
      <w:r w:rsidRPr="0066577C">
        <w:rPr>
          <w:rFonts w:ascii="Palatino Linotype" w:hAnsi="Palatino Linotype"/>
          <w:i/>
          <w:sz w:val="22"/>
          <w:szCs w:val="22"/>
          <w:lang w:val="es-MX"/>
        </w:rPr>
        <w:t>(…)</w:t>
      </w:r>
    </w:p>
    <w:p w14:paraId="6EBECDCA" w14:textId="77777777" w:rsidR="00C45CC0" w:rsidRPr="0066577C" w:rsidRDefault="00C45CC0" w:rsidP="00FA1F2E">
      <w:pPr>
        <w:spacing w:line="276" w:lineRule="auto"/>
        <w:ind w:left="1134" w:right="900"/>
        <w:contextualSpacing/>
        <w:jc w:val="both"/>
        <w:rPr>
          <w:rFonts w:ascii="Palatino Linotype" w:hAnsi="Palatino Linotype"/>
          <w:i/>
          <w:sz w:val="22"/>
          <w:szCs w:val="22"/>
          <w:lang w:val="es-MX"/>
        </w:rPr>
      </w:pPr>
      <w:r w:rsidRPr="0066577C">
        <w:rPr>
          <w:rFonts w:ascii="Palatino Linotype" w:hAnsi="Palatino Linotype"/>
          <w:i/>
          <w:sz w:val="22"/>
          <w:szCs w:val="22"/>
          <w:lang w:val="es-MX"/>
        </w:rPr>
        <w:t>I. Cualquier acto u omisión que provoque la suspensión o deficiencia en la atención de las solicitudes de información;</w:t>
      </w:r>
    </w:p>
    <w:p w14:paraId="28E9B2AC" w14:textId="77777777" w:rsidR="00C45CC0" w:rsidRPr="0066577C" w:rsidRDefault="00C45CC0" w:rsidP="00FA1F2E">
      <w:pPr>
        <w:spacing w:line="276" w:lineRule="auto"/>
        <w:ind w:left="1134" w:right="900"/>
        <w:contextualSpacing/>
        <w:jc w:val="both"/>
        <w:rPr>
          <w:rFonts w:ascii="Palatino Linotype" w:hAnsi="Palatino Linotype"/>
          <w:i/>
          <w:sz w:val="22"/>
          <w:szCs w:val="22"/>
          <w:lang w:val="es-MX"/>
        </w:rPr>
      </w:pPr>
      <w:r w:rsidRPr="0066577C">
        <w:rPr>
          <w:rFonts w:ascii="Palatino Linotype" w:hAnsi="Palatino Linotype"/>
          <w:i/>
          <w:sz w:val="22"/>
          <w:szCs w:val="22"/>
          <w:lang w:val="es-MX"/>
        </w:rPr>
        <w:t>…</w:t>
      </w:r>
    </w:p>
    <w:p w14:paraId="287846BB" w14:textId="77777777" w:rsidR="00C45CC0" w:rsidRPr="0066577C" w:rsidRDefault="00C45CC0" w:rsidP="00FA1F2E">
      <w:pPr>
        <w:spacing w:line="276" w:lineRule="auto"/>
        <w:ind w:left="1134" w:right="900"/>
        <w:contextualSpacing/>
        <w:rPr>
          <w:rFonts w:ascii="Palatino Linotype" w:hAnsi="Palatino Linotype"/>
          <w:i/>
          <w:sz w:val="22"/>
          <w:szCs w:val="22"/>
          <w:lang w:val="es-MX"/>
        </w:rPr>
      </w:pPr>
      <w:r w:rsidRPr="0066577C">
        <w:rPr>
          <w:rFonts w:ascii="Palatino Linotype" w:hAnsi="Palatino Linotype"/>
          <w:i/>
          <w:sz w:val="22"/>
          <w:szCs w:val="22"/>
          <w:lang w:val="es-MX"/>
        </w:rPr>
        <w:t>IV. Entregar información clasificada como reservada;</w:t>
      </w:r>
    </w:p>
    <w:p w14:paraId="293E2A09" w14:textId="77777777" w:rsidR="00C45CC0" w:rsidRPr="0066577C" w:rsidRDefault="00C45CC0" w:rsidP="00FA1F2E">
      <w:pPr>
        <w:spacing w:line="276" w:lineRule="auto"/>
        <w:ind w:left="1134" w:right="900"/>
        <w:contextualSpacing/>
        <w:jc w:val="both"/>
        <w:rPr>
          <w:rFonts w:ascii="Palatino Linotype" w:hAnsi="Palatino Linotype"/>
          <w:i/>
          <w:sz w:val="22"/>
          <w:szCs w:val="22"/>
          <w:lang w:val="es-MX"/>
        </w:rPr>
      </w:pPr>
      <w:r w:rsidRPr="0066577C">
        <w:rPr>
          <w:rFonts w:ascii="Palatino Linotype" w:hAnsi="Palatino Linotype"/>
          <w:i/>
          <w:sz w:val="22"/>
          <w:szCs w:val="22"/>
          <w:lang w:val="es-MX"/>
        </w:rPr>
        <w:t xml:space="preserve">(…)” </w:t>
      </w:r>
    </w:p>
    <w:p w14:paraId="50DF544A" w14:textId="77777777" w:rsidR="00C45CC0" w:rsidRPr="0066577C" w:rsidRDefault="00C45CC0" w:rsidP="00FA1F2E">
      <w:pPr>
        <w:tabs>
          <w:tab w:val="left" w:pos="0"/>
        </w:tabs>
        <w:spacing w:after="160" w:line="360" w:lineRule="auto"/>
        <w:ind w:left="1134" w:right="900"/>
        <w:contextualSpacing/>
        <w:jc w:val="both"/>
        <w:rPr>
          <w:rFonts w:ascii="Palatino Linotype" w:hAnsi="Palatino Linotype"/>
          <w:sz w:val="22"/>
          <w:szCs w:val="22"/>
          <w:lang w:val="es-MX"/>
        </w:rPr>
      </w:pPr>
    </w:p>
    <w:p w14:paraId="22B17D7E" w14:textId="77777777" w:rsidR="00C45CC0" w:rsidRPr="0066577C" w:rsidRDefault="00C45CC0" w:rsidP="00C45CC0">
      <w:pPr>
        <w:numPr>
          <w:ilvl w:val="0"/>
          <w:numId w:val="11"/>
        </w:numPr>
        <w:spacing w:line="360" w:lineRule="auto"/>
        <w:ind w:left="0" w:right="-787" w:firstLine="0"/>
        <w:jc w:val="both"/>
        <w:rPr>
          <w:rFonts w:ascii="Palatino Linotype" w:hAnsi="Palatino Linotype"/>
          <w:szCs w:val="22"/>
          <w:lang w:val="es-MX" w:eastAsia="en-US"/>
        </w:rPr>
      </w:pPr>
      <w:r w:rsidRPr="0066577C">
        <w:rPr>
          <w:rFonts w:ascii="Palatino Linotype" w:hAnsi="Palatino Linotype"/>
          <w:lang w:val="es-MX"/>
        </w:rPr>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14:paraId="0E27FFC0" w14:textId="77777777" w:rsidR="00C45CC0" w:rsidRPr="0066577C" w:rsidRDefault="00C45CC0" w:rsidP="00C45CC0">
      <w:pPr>
        <w:spacing w:line="360" w:lineRule="auto"/>
        <w:contextualSpacing/>
        <w:jc w:val="both"/>
        <w:rPr>
          <w:rFonts w:ascii="Palatino Linotype" w:hAnsi="Palatino Linotype"/>
          <w:szCs w:val="22"/>
          <w:lang w:val="es-MX" w:eastAsia="en-US"/>
        </w:rPr>
      </w:pPr>
    </w:p>
    <w:p w14:paraId="2F8B2C56" w14:textId="77777777" w:rsidR="00C45CC0" w:rsidRPr="0066577C" w:rsidRDefault="00C45CC0" w:rsidP="00FA1F2E">
      <w:pPr>
        <w:spacing w:after="160" w:line="360" w:lineRule="auto"/>
        <w:ind w:left="1134" w:right="900"/>
        <w:contextualSpacing/>
        <w:jc w:val="both"/>
        <w:rPr>
          <w:rFonts w:ascii="Palatino Linotype" w:hAnsi="Palatino Linotype"/>
          <w:lang w:val="es-MX"/>
        </w:rPr>
      </w:pPr>
      <w:r w:rsidRPr="0066577C">
        <w:rPr>
          <w:rFonts w:ascii="Palatino Linotype" w:hAnsi="Palatino Linotype"/>
          <w:i/>
          <w:lang w:val="es-MX"/>
        </w:rPr>
        <w:t>“Artículo 19. Corresponde a la Secretaría Técnica del Pleno ejercer las atribuciones siguientes:</w:t>
      </w:r>
    </w:p>
    <w:p w14:paraId="0930B2F1" w14:textId="77777777" w:rsidR="00C45CC0" w:rsidRPr="0066577C" w:rsidRDefault="00C45CC0" w:rsidP="00FA1F2E">
      <w:pPr>
        <w:spacing w:before="240" w:after="240" w:line="360" w:lineRule="auto"/>
        <w:ind w:left="1134" w:right="900"/>
        <w:contextualSpacing/>
        <w:jc w:val="both"/>
        <w:rPr>
          <w:rFonts w:ascii="Palatino Linotype" w:hAnsi="Palatino Linotype"/>
          <w:i/>
          <w:sz w:val="22"/>
          <w:lang w:val="es-MX"/>
        </w:rPr>
      </w:pPr>
      <w:r w:rsidRPr="0066577C">
        <w:rPr>
          <w:rFonts w:ascii="Palatino Linotype" w:hAnsi="Palatino Linotype"/>
          <w:i/>
          <w:sz w:val="22"/>
          <w:lang w:val="es-MX"/>
        </w:rPr>
        <w:t>…</w:t>
      </w:r>
    </w:p>
    <w:p w14:paraId="2C4D76E8" w14:textId="77777777" w:rsidR="00C45CC0" w:rsidRPr="0066577C" w:rsidRDefault="00C45CC0" w:rsidP="00FA1F2E">
      <w:pPr>
        <w:spacing w:before="240" w:after="240" w:line="360" w:lineRule="auto"/>
        <w:ind w:left="1134" w:right="900"/>
        <w:contextualSpacing/>
        <w:jc w:val="both"/>
        <w:rPr>
          <w:rFonts w:ascii="Palatino Linotype" w:hAnsi="Palatino Linotype"/>
          <w:i/>
          <w:sz w:val="22"/>
          <w:lang w:val="es-MX"/>
        </w:rPr>
      </w:pPr>
      <w:r w:rsidRPr="0066577C">
        <w:rPr>
          <w:rFonts w:ascii="Palatino Linotype" w:hAnsi="Palatino Linotype"/>
          <w:i/>
          <w:sz w:val="22"/>
          <w:lang w:val="es-MX"/>
        </w:rPr>
        <w:t>XXVII.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w:t>
      </w:r>
    </w:p>
    <w:p w14:paraId="32D77454" w14:textId="77777777" w:rsidR="00C45CC0" w:rsidRPr="0066577C" w:rsidRDefault="00C45CC0" w:rsidP="00FA1F2E">
      <w:pPr>
        <w:spacing w:before="240" w:after="240" w:line="360" w:lineRule="auto"/>
        <w:ind w:left="1134" w:right="900"/>
        <w:contextualSpacing/>
        <w:jc w:val="both"/>
        <w:rPr>
          <w:rFonts w:ascii="Palatino Linotype" w:hAnsi="Palatino Linotype"/>
          <w:i/>
          <w:sz w:val="22"/>
          <w:lang w:val="es-MX"/>
        </w:rPr>
      </w:pPr>
      <w:r w:rsidRPr="0066577C">
        <w:rPr>
          <w:rFonts w:ascii="Palatino Linotype" w:hAnsi="Palatino Linotype"/>
          <w:i/>
          <w:sz w:val="22"/>
          <w:lang w:val="es-MX"/>
        </w:rPr>
        <w:lastRenderedPageBreak/>
        <w:t>…”</w:t>
      </w:r>
    </w:p>
    <w:p w14:paraId="0E969063" w14:textId="77777777" w:rsidR="00C45CC0" w:rsidRPr="0066577C" w:rsidRDefault="00C45CC0" w:rsidP="00C45CC0">
      <w:pPr>
        <w:spacing w:before="240" w:after="240" w:line="360" w:lineRule="auto"/>
        <w:ind w:left="851" w:right="822"/>
        <w:contextualSpacing/>
        <w:jc w:val="both"/>
        <w:rPr>
          <w:rFonts w:ascii="Palatino Linotype" w:hAnsi="Palatino Linotype"/>
          <w:i/>
          <w:color w:val="000000" w:themeColor="text1"/>
          <w:sz w:val="28"/>
          <w:lang w:val="es-MX"/>
        </w:rPr>
      </w:pPr>
    </w:p>
    <w:p w14:paraId="412DDF96" w14:textId="77777777" w:rsidR="00C45CC0" w:rsidRPr="0066577C" w:rsidRDefault="00C45CC0" w:rsidP="00C45CC0">
      <w:pPr>
        <w:numPr>
          <w:ilvl w:val="0"/>
          <w:numId w:val="11"/>
        </w:numPr>
        <w:spacing w:line="360" w:lineRule="auto"/>
        <w:ind w:left="0" w:right="-787" w:firstLine="0"/>
        <w:jc w:val="both"/>
        <w:rPr>
          <w:rFonts w:ascii="Palatino Linotype" w:hAnsi="Palatino Linotype"/>
          <w:szCs w:val="22"/>
          <w:lang w:val="es-MX" w:eastAsia="en-US"/>
        </w:rPr>
      </w:pPr>
      <w:r w:rsidRPr="0066577C">
        <w:rPr>
          <w:rFonts w:ascii="Palatino Linotype" w:hAnsi="Palatino Linotype"/>
          <w:lang w:val="es-MX"/>
        </w:rPr>
        <w:t>Por lo que es menester en este asunto, dar vista a la Secretaría Técnica del Pleno a efecto de que ejerza las atribuciones previstas en la normatividad aplicable y comunique al  Órgano de Control Interno de este Instituto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7E74B1F" w14:textId="77777777" w:rsidR="00715B3A" w:rsidRDefault="00FA1F2E">
      <w:pPr>
        <w:keepNext/>
        <w:keepLines/>
        <w:spacing w:after="160" w:line="360" w:lineRule="auto"/>
        <w:ind w:right="-787"/>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SÉPTIMO</w:t>
      </w:r>
      <w:r w:rsidR="002F487C">
        <w:rPr>
          <w:rFonts w:ascii="Palatino Linotype" w:eastAsia="Palatino Linotype" w:hAnsi="Palatino Linotype" w:cs="Palatino Linotype"/>
          <w:b/>
          <w:color w:val="000000"/>
        </w:rPr>
        <w:t>. De la versión pública.</w:t>
      </w:r>
    </w:p>
    <w:p w14:paraId="1F399EA2" w14:textId="77777777" w:rsidR="00715B3A" w:rsidRDefault="002F487C">
      <w:pPr>
        <w:keepNext/>
        <w:keepLines/>
        <w:numPr>
          <w:ilvl w:val="0"/>
          <w:numId w:val="13"/>
        </w:numPr>
        <w:tabs>
          <w:tab w:val="left" w:pos="284"/>
        </w:tabs>
        <w:spacing w:after="160" w:line="360" w:lineRule="auto"/>
        <w:ind w:left="0" w:right="-787" w:firstLine="0"/>
        <w:rPr>
          <w:rFonts w:ascii="Palatino Linotype" w:eastAsia="Palatino Linotype" w:hAnsi="Palatino Linotype" w:cs="Palatino Linotype"/>
          <w:b/>
          <w:color w:val="000000"/>
        </w:rPr>
      </w:pPr>
      <w:bookmarkStart w:id="16" w:name="_heading=h.2jxsxqh" w:colFirst="0" w:colLast="0"/>
      <w:bookmarkEnd w:id="16"/>
      <w:r>
        <w:rPr>
          <w:rFonts w:ascii="Palatino Linotype" w:eastAsia="Palatino Linotype" w:hAnsi="Palatino Linotype" w:cs="Palatino Linotype"/>
          <w:b/>
          <w:color w:val="000000"/>
        </w:rPr>
        <w:t xml:space="preserve">Nociones generales. </w:t>
      </w:r>
    </w:p>
    <w:p w14:paraId="00877370" w14:textId="77777777" w:rsidR="00715B3A" w:rsidRDefault="002F487C">
      <w:pPr>
        <w:numPr>
          <w:ilvl w:val="0"/>
          <w:numId w:val="11"/>
        </w:numPr>
        <w:tabs>
          <w:tab w:val="left" w:pos="284"/>
        </w:tabs>
        <w:spacing w:line="360" w:lineRule="auto"/>
        <w:ind w:left="0" w:right="-787" w:firstLine="0"/>
        <w:jc w:val="both"/>
        <w:rPr>
          <w:color w:val="000000"/>
        </w:rPr>
      </w:pPr>
      <w:r>
        <w:rPr>
          <w:rFonts w:ascii="Palatino Linotype" w:eastAsia="Palatino Linotype" w:hAnsi="Palatino Linotype" w:cs="Palatino Linotype"/>
          <w:color w:val="000000"/>
        </w:rPr>
        <w:t xml:space="preserve">Debe destacarse, que debido a la información solicitada por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obran datos personales susceptibles de protegerse, así como información susceptible de clasificarse como </w:t>
      </w:r>
      <w:proofErr w:type="gramStart"/>
      <w:r>
        <w:rPr>
          <w:rFonts w:ascii="Palatino Linotype" w:eastAsia="Palatino Linotype" w:hAnsi="Palatino Linotype" w:cs="Palatino Linotype"/>
          <w:color w:val="000000"/>
        </w:rPr>
        <w:t>confidencial,  por</w:t>
      </w:r>
      <w:proofErr w:type="gramEnd"/>
      <w:r>
        <w:rPr>
          <w:rFonts w:ascii="Palatino Linotype" w:eastAsia="Palatino Linotype" w:hAnsi="Palatino Linotype" w:cs="Palatino Linotype"/>
          <w:color w:val="000000"/>
        </w:rPr>
        <w:t xml:space="preserve"> lo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67644735" w14:textId="77777777" w:rsidR="00715B3A" w:rsidRDefault="00715B3A">
      <w:pPr>
        <w:tabs>
          <w:tab w:val="left" w:pos="0"/>
          <w:tab w:val="left" w:pos="284"/>
        </w:tabs>
        <w:spacing w:line="360" w:lineRule="auto"/>
        <w:ind w:right="-787"/>
        <w:jc w:val="both"/>
        <w:rPr>
          <w:rFonts w:ascii="Palatino Linotype" w:eastAsia="Palatino Linotype" w:hAnsi="Palatino Linotype" w:cs="Palatino Linotype"/>
          <w:highlight w:val="yellow"/>
        </w:rPr>
      </w:pPr>
    </w:p>
    <w:p w14:paraId="0D0CACF3" w14:textId="77777777" w:rsidR="00715B3A" w:rsidRDefault="002F487C">
      <w:pPr>
        <w:numPr>
          <w:ilvl w:val="0"/>
          <w:numId w:val="11"/>
        </w:numPr>
        <w:tabs>
          <w:tab w:val="left" w:pos="284"/>
        </w:tabs>
        <w:spacing w:line="360" w:lineRule="auto"/>
        <w:ind w:left="0" w:right="-787" w:firstLine="0"/>
        <w:jc w:val="both"/>
        <w:rPr>
          <w:color w:val="000000"/>
        </w:rPr>
      </w:pPr>
      <w:r>
        <w:rPr>
          <w:rFonts w:ascii="Palatino Linotype" w:eastAsia="Palatino Linotype" w:hAnsi="Palatino Linotype" w:cs="Palatino Linotype"/>
          <w:color w:val="000000"/>
        </w:rPr>
        <w:t>No pasa desapercibido para este Órgano Garante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serán responsables de los datos personales en su posesión y que, en caso de localizarse datos </w:t>
      </w:r>
      <w:r>
        <w:rPr>
          <w:rFonts w:ascii="Palatino Linotype" w:eastAsia="Palatino Linotype" w:hAnsi="Palatino Linotype" w:cs="Palatino Linotype"/>
          <w:color w:val="000000"/>
        </w:rPr>
        <w:lastRenderedPageBreak/>
        <w:t>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3A53AC69" w14:textId="77777777" w:rsidR="00715B3A" w:rsidRDefault="00715B3A">
      <w:pPr>
        <w:tabs>
          <w:tab w:val="left" w:pos="284"/>
        </w:tabs>
        <w:spacing w:after="160" w:line="360" w:lineRule="auto"/>
        <w:ind w:right="-787"/>
        <w:jc w:val="both"/>
        <w:rPr>
          <w:rFonts w:ascii="Palatino Linotype" w:eastAsia="Palatino Linotype" w:hAnsi="Palatino Linotype" w:cs="Palatino Linotype"/>
          <w:color w:val="000000"/>
        </w:rPr>
      </w:pPr>
    </w:p>
    <w:tbl>
      <w:tblPr>
        <w:tblStyle w:val="a0"/>
        <w:tblW w:w="976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50"/>
        <w:gridCol w:w="6915"/>
      </w:tblGrid>
      <w:tr w:rsidR="00715B3A" w14:paraId="2F5DC28E" w14:textId="77777777">
        <w:tc>
          <w:tcPr>
            <w:tcW w:w="2850" w:type="dxa"/>
          </w:tcPr>
          <w:p w14:paraId="370A1295" w14:textId="77777777" w:rsidR="00715B3A" w:rsidRDefault="002F487C">
            <w:pPr>
              <w:tabs>
                <w:tab w:val="left" w:pos="284"/>
              </w:tabs>
              <w:spacing w:line="360" w:lineRule="auto"/>
              <w:ind w:right="-82"/>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 Requisitos previos.</w:t>
            </w:r>
          </w:p>
        </w:tc>
        <w:tc>
          <w:tcPr>
            <w:tcW w:w="6915" w:type="dxa"/>
          </w:tcPr>
          <w:p w14:paraId="1877C130" w14:textId="77777777" w:rsidR="00715B3A" w:rsidRDefault="002F487C">
            <w:pPr>
              <w:tabs>
                <w:tab w:val="left" w:pos="284"/>
              </w:tabs>
              <w:spacing w:line="360" w:lineRule="auto"/>
              <w:ind w:right="28"/>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Los artículos 100 y 122 de la Ley Estatal y de la Ley General, respectivamente, señalan </w:t>
            </w:r>
            <w:proofErr w:type="gramStart"/>
            <w:r>
              <w:rPr>
                <w:rFonts w:ascii="Palatino Linotype" w:eastAsia="Palatino Linotype" w:hAnsi="Palatino Linotype" w:cs="Palatino Linotype"/>
                <w:b/>
                <w:color w:val="000000"/>
                <w:sz w:val="20"/>
                <w:szCs w:val="20"/>
              </w:rPr>
              <w:t>que</w:t>
            </w:r>
            <w:proofErr w:type="gramEnd"/>
            <w:r>
              <w:rPr>
                <w:rFonts w:ascii="Palatino Linotype" w:eastAsia="Palatino Linotype" w:hAnsi="Palatino Linotype" w:cs="Palatino Linotype"/>
                <w:b/>
                <w:color w:val="000000"/>
                <w:sz w:val="20"/>
                <w:szCs w:val="20"/>
              </w:rPr>
              <w:t xml:space="preserve"> si los Sujetos Obligados determinan que la información actualiza alguno de los supuestos de clasificación, es deber de los titulares de las áreas proponer su clasificación y no del Comité de Transparencia. </w:t>
            </w:r>
          </w:p>
          <w:p w14:paraId="453B06DC" w14:textId="77777777" w:rsidR="00715B3A" w:rsidRDefault="002F487C">
            <w:pPr>
              <w:tabs>
                <w:tab w:val="left" w:pos="284"/>
              </w:tabs>
              <w:spacing w:line="360" w:lineRule="auto"/>
              <w:ind w:right="28"/>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Al hacerlo tienen que precisar de qué información se trata, señalando el supuesto de clasificación (confidencialidad o reserva).</w:t>
            </w:r>
          </w:p>
          <w:p w14:paraId="0482F726" w14:textId="77777777" w:rsidR="00715B3A" w:rsidRDefault="002F487C">
            <w:pPr>
              <w:tabs>
                <w:tab w:val="left" w:pos="284"/>
              </w:tabs>
              <w:spacing w:line="360" w:lineRule="auto"/>
              <w:ind w:right="28"/>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Además, se debe señalar el procedimiento, de los tres que establecen los artículos 132 y 106 de la Ley Estatal y General, respectivamente.</w:t>
            </w:r>
          </w:p>
          <w:p w14:paraId="2F501C63" w14:textId="77777777" w:rsidR="00715B3A" w:rsidRDefault="002F487C">
            <w:pPr>
              <w:tabs>
                <w:tab w:val="left" w:pos="284"/>
              </w:tabs>
              <w:spacing w:line="360" w:lineRule="auto"/>
              <w:ind w:right="28"/>
              <w:jc w:val="both"/>
              <w:rPr>
                <w:rFonts w:ascii="Palatino Linotype" w:eastAsia="Palatino Linotype" w:hAnsi="Palatino Linotype" w:cs="Palatino Linotype"/>
                <w:b/>
                <w:sz w:val="20"/>
                <w:szCs w:val="20"/>
              </w:rPr>
            </w:pPr>
            <w:r>
              <w:rPr>
                <w:rFonts w:ascii="Palatino Linotype" w:eastAsia="Palatino Linotype" w:hAnsi="Palatino Linotype" w:cs="Palatino Linotype"/>
                <w:b/>
                <w:color w:val="000000"/>
                <w:sz w:val="20"/>
                <w:szCs w:val="20"/>
              </w:rPr>
              <w:t xml:space="preserve">El último de estos requisitos previos consiste en que no se pueden emitir acuerdos de carácter general ni particular, esto es, </w:t>
            </w:r>
            <w:r>
              <w:rPr>
                <w:rFonts w:ascii="Palatino Linotype" w:eastAsia="Palatino Linotype" w:hAnsi="Palatino Linotype" w:cs="Palatino Linotype"/>
                <w:b/>
                <w:color w:val="000000"/>
                <w:sz w:val="20"/>
                <w:szCs w:val="20"/>
                <w:u w:val="single"/>
              </w:rPr>
              <w:t>no se puede hacer un acuerdo para clasificar de manera general todos los documentos de un expediente o área, sin</w:t>
            </w:r>
            <w:r>
              <w:rPr>
                <w:rFonts w:ascii="Palatino Linotype" w:eastAsia="Palatino Linotype" w:hAnsi="Palatino Linotype" w:cs="Palatino Linotype"/>
                <w:b/>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715B3A" w14:paraId="0A11A740" w14:textId="77777777">
        <w:tc>
          <w:tcPr>
            <w:tcW w:w="2850" w:type="dxa"/>
          </w:tcPr>
          <w:p w14:paraId="3AFD8B17" w14:textId="77777777" w:rsidR="00715B3A" w:rsidRDefault="002F487C">
            <w:pPr>
              <w:tabs>
                <w:tab w:val="left" w:pos="284"/>
              </w:tabs>
              <w:spacing w:line="360" w:lineRule="auto"/>
              <w:ind w:right="-82"/>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b) Supuestos de clasificación.</w:t>
            </w:r>
          </w:p>
        </w:tc>
        <w:tc>
          <w:tcPr>
            <w:tcW w:w="6915" w:type="dxa"/>
          </w:tcPr>
          <w:p w14:paraId="2BCDD277" w14:textId="77777777" w:rsidR="00715B3A" w:rsidRDefault="002F487C">
            <w:pPr>
              <w:tabs>
                <w:tab w:val="left" w:pos="284"/>
              </w:tabs>
              <w:spacing w:line="360" w:lineRule="auto"/>
              <w:ind w:right="2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Las disposiciones constitucionales y legales en la materia establecen los dos supuestos generales para clasificar la información: por reserva y por confidencialidad.</w:t>
            </w:r>
          </w:p>
          <w:p w14:paraId="120FE24B" w14:textId="77777777" w:rsidR="00715B3A" w:rsidRDefault="002F487C">
            <w:pPr>
              <w:tabs>
                <w:tab w:val="left" w:pos="284"/>
              </w:tabs>
              <w:spacing w:line="360" w:lineRule="auto"/>
              <w:ind w:right="2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Los artículos 116 y 143 de la Ley Estatal y de la Ley General, respectivamente, señalan los supuestos para que la información pueda ser clasificada como confidencial. Mientras que los artículos 105 y 130 de la Ley </w:t>
            </w:r>
            <w:r>
              <w:rPr>
                <w:rFonts w:ascii="Palatino Linotype" w:eastAsia="Palatino Linotype" w:hAnsi="Palatino Linotype" w:cs="Palatino Linotype"/>
                <w:color w:val="000000"/>
                <w:sz w:val="20"/>
                <w:szCs w:val="20"/>
              </w:rPr>
              <w:lastRenderedPageBreak/>
              <w:t>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6692088" w14:textId="77777777" w:rsidR="00715B3A" w:rsidRDefault="002F487C">
            <w:pPr>
              <w:tabs>
                <w:tab w:val="left" w:pos="284"/>
              </w:tabs>
              <w:spacing w:line="360" w:lineRule="auto"/>
              <w:ind w:right="28"/>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El </w:t>
            </w:r>
            <w:r>
              <w:rPr>
                <w:rFonts w:ascii="Palatino Linotype" w:eastAsia="Palatino Linotype" w:hAnsi="Palatino Linotype" w:cs="Palatino Linotype"/>
                <w:b/>
                <w:color w:val="000000"/>
                <w:sz w:val="20"/>
                <w:szCs w:val="20"/>
              </w:rPr>
              <w:t>Sujeto Obligado</w:t>
            </w:r>
            <w:r>
              <w:rPr>
                <w:rFonts w:ascii="Palatino Linotype" w:eastAsia="Palatino Linotype" w:hAnsi="Palatino Linotype" w:cs="Palatino Linotype"/>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15B3A" w14:paraId="0B7ED143" w14:textId="77777777">
        <w:tc>
          <w:tcPr>
            <w:tcW w:w="2850" w:type="dxa"/>
          </w:tcPr>
          <w:p w14:paraId="6249EB4F" w14:textId="77777777" w:rsidR="00715B3A" w:rsidRDefault="002F487C">
            <w:pPr>
              <w:tabs>
                <w:tab w:val="left" w:pos="284"/>
              </w:tabs>
              <w:spacing w:line="360" w:lineRule="auto"/>
              <w:ind w:right="-82"/>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c) Formalidades para emitir el acuerdo de clasificación.</w:t>
            </w:r>
          </w:p>
        </w:tc>
        <w:tc>
          <w:tcPr>
            <w:tcW w:w="6915" w:type="dxa"/>
          </w:tcPr>
          <w:p w14:paraId="48D52438" w14:textId="77777777" w:rsidR="00715B3A" w:rsidRDefault="002F487C">
            <w:pPr>
              <w:tabs>
                <w:tab w:val="left" w:pos="284"/>
              </w:tabs>
              <w:spacing w:line="360" w:lineRule="auto"/>
              <w:ind w:right="2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El Comité de Transparencia, según lo dispuesto en los artículos cuenta con las facultades para aprobar, modificar o revocar la clasificación de la información que haya propuesto. </w:t>
            </w:r>
          </w:p>
          <w:p w14:paraId="33DB4F1D" w14:textId="77777777" w:rsidR="00715B3A" w:rsidRDefault="002F487C">
            <w:pPr>
              <w:tabs>
                <w:tab w:val="left" w:pos="284"/>
              </w:tabs>
              <w:spacing w:line="360" w:lineRule="auto"/>
              <w:ind w:right="2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Es necesario que </w:t>
            </w:r>
            <w:r>
              <w:rPr>
                <w:rFonts w:ascii="Palatino Linotype" w:eastAsia="Palatino Linotype" w:hAnsi="Palatino Linotype" w:cs="Palatino Linotype"/>
                <w:b/>
                <w:color w:val="000000"/>
                <w:sz w:val="20"/>
                <w:szCs w:val="20"/>
                <w:u w:val="single"/>
              </w:rPr>
              <w:t>el acto reúna con los requisitos elementales</w:t>
            </w:r>
            <w:r>
              <w:rPr>
                <w:rFonts w:ascii="Palatino Linotype" w:eastAsia="Palatino Linotype" w:hAnsi="Palatino Linotype" w:cs="Palatino Linotype"/>
                <w:color w:val="000000"/>
                <w:sz w:val="20"/>
                <w:szCs w:val="20"/>
              </w:rPr>
              <w:t>, entre ellos, que la autoridad que va a emitir el acto de autoridad sea la legalmente facultada para ello.</w:t>
            </w:r>
          </w:p>
          <w:p w14:paraId="7F76CC0B" w14:textId="77777777" w:rsidR="00715B3A" w:rsidRDefault="002F487C">
            <w:pPr>
              <w:tabs>
                <w:tab w:val="left" w:pos="284"/>
              </w:tabs>
              <w:spacing w:line="360" w:lineRule="auto"/>
              <w:ind w:right="28"/>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15B3A" w14:paraId="6E495BEF" w14:textId="77777777">
        <w:tc>
          <w:tcPr>
            <w:tcW w:w="2850" w:type="dxa"/>
          </w:tcPr>
          <w:p w14:paraId="1B2EB635" w14:textId="77777777" w:rsidR="00715B3A" w:rsidRDefault="00715B3A">
            <w:pPr>
              <w:tabs>
                <w:tab w:val="left" w:pos="284"/>
              </w:tabs>
              <w:spacing w:line="360" w:lineRule="auto"/>
              <w:ind w:right="-82"/>
              <w:rPr>
                <w:rFonts w:ascii="Palatino Linotype" w:eastAsia="Palatino Linotype" w:hAnsi="Palatino Linotype" w:cs="Palatino Linotype"/>
                <w:b/>
                <w:sz w:val="20"/>
                <w:szCs w:val="20"/>
              </w:rPr>
            </w:pPr>
          </w:p>
          <w:p w14:paraId="6A10D1F0" w14:textId="77777777" w:rsidR="00715B3A" w:rsidRDefault="002F487C">
            <w:pPr>
              <w:tabs>
                <w:tab w:val="left" w:pos="284"/>
              </w:tabs>
              <w:spacing w:line="360" w:lineRule="auto"/>
              <w:ind w:right="-82"/>
              <w:jc w:val="both"/>
              <w:rPr>
                <w:rFonts w:ascii="Palatino Linotype" w:eastAsia="Palatino Linotype" w:hAnsi="Palatino Linotype" w:cs="Palatino Linotype"/>
                <w:b/>
                <w:sz w:val="20"/>
                <w:szCs w:val="20"/>
              </w:rPr>
            </w:pPr>
            <w:r>
              <w:rPr>
                <w:rFonts w:ascii="Palatino Linotype" w:eastAsia="Palatino Linotype" w:hAnsi="Palatino Linotype" w:cs="Palatino Linotype"/>
                <w:b/>
                <w:color w:val="000000"/>
                <w:sz w:val="20"/>
                <w:szCs w:val="20"/>
              </w:rPr>
              <w:t xml:space="preserve">d) Requisitos de fondo del acuerdo de clasificación. </w:t>
            </w:r>
          </w:p>
        </w:tc>
        <w:tc>
          <w:tcPr>
            <w:tcW w:w="6915" w:type="dxa"/>
          </w:tcPr>
          <w:p w14:paraId="2252D75B" w14:textId="77777777" w:rsidR="00715B3A" w:rsidRDefault="002F487C">
            <w:pPr>
              <w:tabs>
                <w:tab w:val="left" w:pos="284"/>
              </w:tabs>
              <w:spacing w:line="360" w:lineRule="auto"/>
              <w:ind w:right="2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w:t>
            </w:r>
            <w:r>
              <w:rPr>
                <w:rFonts w:ascii="Palatino Linotype" w:eastAsia="Palatino Linotype" w:hAnsi="Palatino Linotype" w:cs="Palatino Linotype"/>
                <w:color w:val="000000"/>
                <w:sz w:val="20"/>
                <w:szCs w:val="20"/>
              </w:rPr>
              <w:lastRenderedPageBreak/>
              <w:t xml:space="preserve">a los </w:t>
            </w:r>
            <w:r>
              <w:rPr>
                <w:rFonts w:ascii="Palatino Linotype" w:eastAsia="Palatino Linotype" w:hAnsi="Palatino Linotype" w:cs="Palatino Linotype"/>
                <w:b/>
                <w:color w:val="000000"/>
                <w:sz w:val="20"/>
                <w:szCs w:val="20"/>
              </w:rPr>
              <w:t>Sujetos Obligados</w:t>
            </w:r>
            <w:r>
              <w:rPr>
                <w:rFonts w:ascii="Palatino Linotype" w:eastAsia="Palatino Linotype" w:hAnsi="Palatino Linotype" w:cs="Palatino Linotype"/>
                <w:color w:val="000000"/>
                <w:sz w:val="20"/>
                <w:szCs w:val="20"/>
              </w:rPr>
              <w:t xml:space="preserve">, por lo que deberán fundar y motivar debidamente la clasificación. </w:t>
            </w:r>
          </w:p>
          <w:p w14:paraId="5F1C7880" w14:textId="77777777" w:rsidR="00715B3A" w:rsidRDefault="002F487C">
            <w:pPr>
              <w:tabs>
                <w:tab w:val="left" w:pos="284"/>
              </w:tabs>
              <w:spacing w:line="360" w:lineRule="auto"/>
              <w:ind w:right="2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De lo anterior, se desprende </w:t>
            </w:r>
            <w:proofErr w:type="gramStart"/>
            <w:r>
              <w:rPr>
                <w:rFonts w:ascii="Palatino Linotype" w:eastAsia="Palatino Linotype" w:hAnsi="Palatino Linotype" w:cs="Palatino Linotype"/>
                <w:color w:val="000000"/>
                <w:sz w:val="20"/>
                <w:szCs w:val="20"/>
              </w:rPr>
              <w:t>que</w:t>
            </w:r>
            <w:proofErr w:type="gramEnd"/>
            <w:r>
              <w:rPr>
                <w:rFonts w:ascii="Palatino Linotype" w:eastAsia="Palatino Linotype" w:hAnsi="Palatino Linotype" w:cs="Palatino Linotype"/>
                <w:color w:val="000000"/>
                <w:sz w:val="20"/>
                <w:szCs w:val="20"/>
              </w:rPr>
              <w:t xml:space="preserve"> para una correcta </w:t>
            </w:r>
            <w:r>
              <w:rPr>
                <w:rFonts w:ascii="Palatino Linotype" w:eastAsia="Palatino Linotype" w:hAnsi="Palatino Linotype" w:cs="Palatino Linotype"/>
                <w:b/>
                <w:color w:val="000000"/>
                <w:sz w:val="20"/>
                <w:szCs w:val="20"/>
              </w:rPr>
              <w:t>clasificación total o parcial</w:t>
            </w:r>
            <w:r>
              <w:rPr>
                <w:rFonts w:ascii="Palatino Linotype" w:eastAsia="Palatino Linotype" w:hAnsi="Palatino Linotype" w:cs="Palatino Linotype"/>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247BA6A" w14:textId="77777777" w:rsidR="00715B3A" w:rsidRDefault="002F487C">
            <w:pPr>
              <w:tabs>
                <w:tab w:val="left" w:pos="284"/>
              </w:tabs>
              <w:spacing w:line="360" w:lineRule="auto"/>
              <w:ind w:right="2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4C74E45" w14:textId="77777777" w:rsidR="00715B3A" w:rsidRDefault="002F487C">
            <w:pPr>
              <w:tabs>
                <w:tab w:val="left" w:pos="284"/>
              </w:tabs>
              <w:spacing w:line="360" w:lineRule="auto"/>
              <w:ind w:right="2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En ese mismo sentido, el numeral trigésimo tercero fracción V de los Lineamientos Generales, precisa que para motivar la clasificación se deben acreditar las circunstancias de tiempo, modo y lugar.</w:t>
            </w:r>
          </w:p>
          <w:p w14:paraId="1D129E23" w14:textId="77777777" w:rsidR="00715B3A" w:rsidRDefault="002F487C">
            <w:pPr>
              <w:tabs>
                <w:tab w:val="left" w:pos="284"/>
              </w:tabs>
              <w:spacing w:line="360" w:lineRule="auto"/>
              <w:ind w:right="2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Ahora bien, </w:t>
            </w:r>
            <w:r>
              <w:rPr>
                <w:rFonts w:ascii="Palatino Linotype" w:eastAsia="Palatino Linotype" w:hAnsi="Palatino Linotype" w:cs="Palatino Linotype"/>
                <w:b/>
                <w:color w:val="000000"/>
                <w:sz w:val="20"/>
                <w:szCs w:val="20"/>
                <w:u w:val="single"/>
              </w:rPr>
              <w:t>para cada caso además de fundar y motivar</w:t>
            </w:r>
            <w:r>
              <w:rPr>
                <w:rFonts w:ascii="Palatino Linotype" w:eastAsia="Palatino Linotype" w:hAnsi="Palatino Linotype" w:cs="Palatino Linotype"/>
                <w:color w:val="000000"/>
                <w:sz w:val="20"/>
                <w:szCs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15B3A" w14:paraId="5A4DA7C3" w14:textId="77777777">
        <w:tc>
          <w:tcPr>
            <w:tcW w:w="2850" w:type="dxa"/>
          </w:tcPr>
          <w:p w14:paraId="0F58DB02" w14:textId="77777777" w:rsidR="00715B3A" w:rsidRDefault="002F487C">
            <w:pPr>
              <w:tabs>
                <w:tab w:val="left" w:pos="284"/>
              </w:tabs>
              <w:spacing w:line="360" w:lineRule="auto"/>
              <w:ind w:right="-82"/>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 xml:space="preserve">e) Condiciones especiales de la clasificación de la información como confidencial. </w:t>
            </w:r>
          </w:p>
        </w:tc>
        <w:tc>
          <w:tcPr>
            <w:tcW w:w="6915" w:type="dxa"/>
          </w:tcPr>
          <w:p w14:paraId="5ED6A6E1" w14:textId="77777777" w:rsidR="00715B3A" w:rsidRDefault="002F487C">
            <w:pPr>
              <w:tabs>
                <w:tab w:val="left" w:pos="284"/>
              </w:tabs>
              <w:spacing w:line="360" w:lineRule="auto"/>
              <w:ind w:right="2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Los artículos 148 y 120 de la Ley Estatal y de la Ley General, respectivamente, establecen </w:t>
            </w:r>
            <w:proofErr w:type="gramStart"/>
            <w:r>
              <w:rPr>
                <w:rFonts w:ascii="Palatino Linotype" w:eastAsia="Palatino Linotype" w:hAnsi="Palatino Linotype" w:cs="Palatino Linotype"/>
                <w:color w:val="000000"/>
                <w:sz w:val="20"/>
                <w:szCs w:val="20"/>
              </w:rPr>
              <w:t>que</w:t>
            </w:r>
            <w:proofErr w:type="gramEnd"/>
            <w:r>
              <w:rPr>
                <w:rFonts w:ascii="Palatino Linotype" w:eastAsia="Palatino Linotype" w:hAnsi="Palatino Linotype" w:cs="Palatino Linotype"/>
                <w:color w:val="000000"/>
                <w:sz w:val="20"/>
                <w:szCs w:val="20"/>
              </w:rPr>
              <w:t xml:space="preserve"> aun tratándose de datos personales, se podrán proporcionar, incluso sin solicitar el consentimiento de su titular. </w:t>
            </w:r>
          </w:p>
          <w:p w14:paraId="6BCCE6B1" w14:textId="77777777" w:rsidR="00715B3A" w:rsidRDefault="002F487C">
            <w:pPr>
              <w:tabs>
                <w:tab w:val="left" w:pos="284"/>
              </w:tabs>
              <w:spacing w:line="360" w:lineRule="auto"/>
              <w:ind w:right="28"/>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EBB1627" w14:textId="77777777" w:rsidR="00715B3A" w:rsidRDefault="002F487C">
            <w:pPr>
              <w:tabs>
                <w:tab w:val="left" w:pos="284"/>
              </w:tabs>
              <w:spacing w:line="360" w:lineRule="auto"/>
              <w:ind w:right="28"/>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029DC9F" w14:textId="77777777" w:rsidR="00715B3A" w:rsidRDefault="00715B3A">
      <w:pPr>
        <w:tabs>
          <w:tab w:val="left" w:pos="284"/>
        </w:tabs>
        <w:spacing w:line="360" w:lineRule="auto"/>
        <w:ind w:right="-787"/>
        <w:rPr>
          <w:rFonts w:ascii="Palatino Linotype" w:eastAsia="Palatino Linotype" w:hAnsi="Palatino Linotype" w:cs="Palatino Linotype"/>
          <w:color w:val="000000"/>
        </w:rPr>
      </w:pPr>
    </w:p>
    <w:p w14:paraId="1101B879" w14:textId="77777777" w:rsidR="00FA1F2E" w:rsidRPr="00FA1F2E" w:rsidRDefault="00FA1F2E" w:rsidP="00FA1F2E">
      <w:pPr>
        <w:tabs>
          <w:tab w:val="left" w:pos="284"/>
        </w:tabs>
        <w:spacing w:line="360" w:lineRule="auto"/>
        <w:ind w:right="-787"/>
        <w:jc w:val="both"/>
        <w:rPr>
          <w:color w:val="000000"/>
        </w:rPr>
      </w:pPr>
    </w:p>
    <w:p w14:paraId="0A0EC56A" w14:textId="77777777" w:rsidR="00FA1F2E" w:rsidRPr="00FA1F2E" w:rsidRDefault="00FA1F2E" w:rsidP="00FA1F2E">
      <w:pPr>
        <w:numPr>
          <w:ilvl w:val="0"/>
          <w:numId w:val="11"/>
        </w:numPr>
        <w:tabs>
          <w:tab w:val="left" w:pos="284"/>
        </w:tabs>
        <w:spacing w:line="360" w:lineRule="auto"/>
        <w:ind w:left="0" w:right="-787" w:firstLine="0"/>
        <w:jc w:val="both"/>
        <w:rPr>
          <w:color w:val="000000"/>
        </w:rPr>
      </w:pPr>
      <w:r>
        <w:rPr>
          <w:rFonts w:ascii="Palatino Linotype" w:eastAsia="Palatino Linotype" w:hAnsi="Palatino Linotype" w:cs="Palatino Linotype"/>
        </w:rPr>
        <w:t xml:space="preserve">Se debe de mencionar que de la información del comprobante bancario de la dispersión de nómina pueden venir que deban clasificarse como confidenciales para el caso del número de cuenta bancaria y el nombre de los policías que deba de clasificarse como reservado, situación por la cual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antes de entregar la información deberá de analizar que deba de resguardar y hacer la entrega en versión pública. </w:t>
      </w:r>
    </w:p>
    <w:p w14:paraId="73B8239C" w14:textId="77777777" w:rsidR="00FA1F2E" w:rsidRPr="00FA1F2E" w:rsidRDefault="00FA1F2E" w:rsidP="00FA1F2E">
      <w:pPr>
        <w:tabs>
          <w:tab w:val="left" w:pos="284"/>
        </w:tabs>
        <w:spacing w:line="360" w:lineRule="auto"/>
        <w:ind w:right="-787"/>
        <w:jc w:val="both"/>
        <w:rPr>
          <w:color w:val="000000"/>
        </w:rPr>
      </w:pPr>
    </w:p>
    <w:p w14:paraId="7A3B0909" w14:textId="77777777" w:rsidR="00FA1F2E" w:rsidRPr="00FA1F2E" w:rsidRDefault="00FA1F2E" w:rsidP="00FA1F2E">
      <w:pPr>
        <w:numPr>
          <w:ilvl w:val="0"/>
          <w:numId w:val="11"/>
        </w:numPr>
        <w:tabs>
          <w:tab w:val="left" w:pos="284"/>
        </w:tabs>
        <w:spacing w:line="360" w:lineRule="auto"/>
        <w:ind w:left="0" w:right="-787" w:firstLine="0"/>
        <w:jc w:val="both"/>
        <w:rPr>
          <w:rFonts w:ascii="Palatino Linotype" w:hAnsi="Palatino Linotype" w:cs="Arial"/>
        </w:rPr>
      </w:pPr>
      <w:r>
        <w:rPr>
          <w:rFonts w:ascii="Palatino Linotype" w:hAnsi="Palatino Linotype" w:cs="Arial"/>
        </w:rPr>
        <w:t xml:space="preserve">De lo anterior, </w:t>
      </w:r>
      <w:r w:rsidRPr="00FA1F2E">
        <w:rPr>
          <w:rFonts w:ascii="Palatino Linotype" w:hAnsi="Palatino Linotype" w:cs="Arial"/>
        </w:rPr>
        <w:t xml:space="preserve">por regla general los nombres de los trabajadores gubernamentales son información pública de oficio, existe una excepción relativa a aquellos que realicen </w:t>
      </w:r>
      <w:r w:rsidRPr="00FA1F2E">
        <w:rPr>
          <w:rFonts w:ascii="Palatino Linotype" w:hAnsi="Palatino Linotype" w:cs="Arial"/>
          <w:b/>
        </w:rPr>
        <w:t>actividades operativas en materia de seguridad</w:t>
      </w:r>
      <w:r w:rsidRPr="00FA1F2E">
        <w:rPr>
          <w:rFonts w:ascii="Palatino Linotype" w:hAnsi="Palatino Linotype" w:cs="Arial"/>
        </w:rPr>
        <w:t>, como es el caso de los elementos operativos y la policía municipal.</w:t>
      </w:r>
    </w:p>
    <w:p w14:paraId="45D697BA" w14:textId="77777777" w:rsidR="00FA1F2E" w:rsidRPr="00FA1F2E" w:rsidRDefault="00FA1F2E" w:rsidP="00FA1F2E">
      <w:pPr>
        <w:pStyle w:val="Prrafodelista"/>
        <w:rPr>
          <w:rFonts w:ascii="Palatino Linotype" w:hAnsi="Palatino Linotype" w:cs="Arial"/>
          <w:bCs/>
          <w:color w:val="000000"/>
          <w:sz w:val="24"/>
          <w:lang w:val="es-MX"/>
        </w:rPr>
      </w:pPr>
    </w:p>
    <w:p w14:paraId="5487A558" w14:textId="77777777" w:rsidR="00FA1F2E" w:rsidRDefault="00FA1F2E" w:rsidP="00FA1F2E">
      <w:pPr>
        <w:numPr>
          <w:ilvl w:val="0"/>
          <w:numId w:val="11"/>
        </w:numPr>
        <w:tabs>
          <w:tab w:val="left" w:pos="284"/>
        </w:tabs>
        <w:spacing w:line="360" w:lineRule="auto"/>
        <w:ind w:left="0" w:right="-787" w:firstLine="0"/>
        <w:jc w:val="both"/>
        <w:rPr>
          <w:rFonts w:ascii="Palatino Linotype" w:hAnsi="Palatino Linotype" w:cs="Arial"/>
        </w:rPr>
      </w:pPr>
      <w:r w:rsidRPr="00FA1F2E">
        <w:rPr>
          <w:rFonts w:ascii="Palatino Linotype" w:hAnsi="Palatino Linotype" w:cs="Arial"/>
        </w:rPr>
        <w:t xml:space="preserve">Por lo que dar a conocer el nombre de las personas, que son elementos operativos o policías municipales, los vuelve identificables y posiblemente reconocibles para grupos delictivos, puesto que pueden relacionarlos directamente con actividades u operativos </w:t>
      </w:r>
      <w:r w:rsidRPr="00FA1F2E">
        <w:rPr>
          <w:rFonts w:ascii="Palatino Linotype" w:hAnsi="Palatino Linotype" w:cs="Arial"/>
        </w:rPr>
        <w:lastRenderedPageBreak/>
        <w:t>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72DEF496" w14:textId="77777777" w:rsidR="00FA1F2E" w:rsidRPr="00FA1F2E" w:rsidRDefault="00FA1F2E" w:rsidP="00FA1F2E">
      <w:pPr>
        <w:tabs>
          <w:tab w:val="left" w:pos="284"/>
        </w:tabs>
        <w:spacing w:line="360" w:lineRule="auto"/>
        <w:ind w:right="-787"/>
        <w:jc w:val="both"/>
        <w:rPr>
          <w:rFonts w:ascii="Palatino Linotype" w:hAnsi="Palatino Linotype" w:cs="Arial"/>
        </w:rPr>
      </w:pPr>
    </w:p>
    <w:p w14:paraId="6E5A139A" w14:textId="77777777" w:rsidR="00FA1F2E" w:rsidRPr="00FA1F2E" w:rsidRDefault="00FA1F2E" w:rsidP="00FA1F2E">
      <w:pPr>
        <w:numPr>
          <w:ilvl w:val="0"/>
          <w:numId w:val="11"/>
        </w:numPr>
        <w:tabs>
          <w:tab w:val="left" w:pos="284"/>
        </w:tabs>
        <w:spacing w:line="360" w:lineRule="auto"/>
        <w:ind w:left="0" w:right="-787" w:firstLine="0"/>
        <w:jc w:val="both"/>
        <w:rPr>
          <w:rFonts w:ascii="Palatino Linotype" w:hAnsi="Palatino Linotype" w:cs="Arial"/>
        </w:rPr>
      </w:pPr>
      <w:r w:rsidRPr="00FA1F2E">
        <w:rPr>
          <w:rFonts w:ascii="Palatino Linotype" w:hAnsi="Palatino Linotype" w:cs="Arial"/>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10AEF78E" w14:textId="77777777" w:rsidR="00FA1F2E" w:rsidRPr="00FA1F2E" w:rsidRDefault="00FA1F2E" w:rsidP="00FA1F2E">
      <w:pPr>
        <w:pStyle w:val="Prrafodelista"/>
        <w:autoSpaceDE w:val="0"/>
        <w:autoSpaceDN w:val="0"/>
        <w:adjustRightInd w:val="0"/>
        <w:spacing w:line="360" w:lineRule="auto"/>
        <w:ind w:left="0"/>
        <w:jc w:val="both"/>
        <w:rPr>
          <w:rFonts w:ascii="Palatino Linotype" w:hAnsi="Palatino Linotype" w:cs="Arial"/>
          <w:sz w:val="24"/>
        </w:rPr>
      </w:pPr>
    </w:p>
    <w:p w14:paraId="235BB8C3" w14:textId="77777777" w:rsidR="00FA1F2E" w:rsidRPr="00FA1F2E" w:rsidRDefault="00FA1F2E" w:rsidP="00FA1F2E">
      <w:pPr>
        <w:numPr>
          <w:ilvl w:val="0"/>
          <w:numId w:val="11"/>
        </w:numPr>
        <w:tabs>
          <w:tab w:val="left" w:pos="284"/>
        </w:tabs>
        <w:spacing w:line="360" w:lineRule="auto"/>
        <w:ind w:left="0" w:right="-787" w:firstLine="0"/>
        <w:jc w:val="both"/>
        <w:rPr>
          <w:rFonts w:ascii="Palatino Linotype" w:hAnsi="Palatino Linotype" w:cs="Arial"/>
          <w:sz w:val="28"/>
        </w:rPr>
      </w:pPr>
      <w:r w:rsidRPr="00FA1F2E">
        <w:rPr>
          <w:rFonts w:ascii="Palatino Linotype" w:hAnsi="Palatino Linotype" w:cs="Arial"/>
        </w:rPr>
        <w:t xml:space="preserve">Por </w:t>
      </w:r>
      <w:r w:rsidRPr="00FA1F2E">
        <w:rPr>
          <w:rFonts w:ascii="Palatino Linotype" w:hAnsi="Palatino Linotype" w:cs="Arial"/>
          <w:bCs/>
          <w:iCs/>
          <w:color w:val="000000"/>
          <w:lang w:val="es-MX"/>
        </w:rPr>
        <w:t>tales</w:t>
      </w:r>
      <w:r w:rsidRPr="00FA1F2E">
        <w:rPr>
          <w:rFonts w:ascii="Palatino Linotype" w:hAnsi="Palatino Linotype" w:cs="Arial"/>
        </w:rPr>
        <w:t xml:space="preserve"> consideraciones, resulta procedente la reserva del </w:t>
      </w:r>
      <w:r w:rsidRPr="00FA1F2E">
        <w:rPr>
          <w:rFonts w:ascii="Palatino Linotype" w:hAnsi="Palatino Linotype" w:cs="Arial"/>
          <w:b/>
        </w:rPr>
        <w:t>nombre de los elementos operativos</w:t>
      </w:r>
      <w:r w:rsidRPr="00FA1F2E">
        <w:rPr>
          <w:rFonts w:ascii="Palatino Linotype" w:hAnsi="Palatino Linotype" w:cs="Arial"/>
        </w:rPr>
        <w:t xml:space="preserve"> de la Dirección de Seguridad Pública Municipal, en términos del artículo 140, fracción IV, de la Ley de Transparencia </w:t>
      </w:r>
      <w:r w:rsidRPr="00FA1F2E">
        <w:rPr>
          <w:rFonts w:ascii="Palatino Linotype" w:hAnsi="Palatino Linotype" w:cs="Arial"/>
          <w:sz w:val="28"/>
        </w:rPr>
        <w:t>y Acceso a la Información Pública del Estado de México y Municipios.</w:t>
      </w:r>
    </w:p>
    <w:p w14:paraId="10CBD0D5" w14:textId="77777777" w:rsidR="00FA1F2E" w:rsidRPr="00FA1F2E" w:rsidRDefault="00FA1F2E" w:rsidP="00FA1F2E">
      <w:pPr>
        <w:tabs>
          <w:tab w:val="left" w:pos="284"/>
        </w:tabs>
        <w:spacing w:line="360" w:lineRule="auto"/>
        <w:ind w:right="-787"/>
        <w:jc w:val="both"/>
        <w:rPr>
          <w:color w:val="000000"/>
        </w:rPr>
      </w:pPr>
    </w:p>
    <w:p w14:paraId="7617337F" w14:textId="77777777" w:rsidR="00FA1F2E" w:rsidRPr="00FA1F2E" w:rsidRDefault="00FA1F2E" w:rsidP="00FA1F2E">
      <w:pPr>
        <w:tabs>
          <w:tab w:val="left" w:pos="284"/>
        </w:tabs>
        <w:spacing w:line="360" w:lineRule="auto"/>
        <w:ind w:right="-787"/>
        <w:jc w:val="both"/>
        <w:rPr>
          <w:color w:val="000000"/>
        </w:rPr>
      </w:pPr>
    </w:p>
    <w:p w14:paraId="731F9136" w14:textId="77777777" w:rsidR="00715B3A" w:rsidRDefault="002F487C" w:rsidP="00FA1F2E">
      <w:pPr>
        <w:numPr>
          <w:ilvl w:val="0"/>
          <w:numId w:val="11"/>
        </w:numPr>
        <w:tabs>
          <w:tab w:val="left" w:pos="284"/>
        </w:tabs>
        <w:spacing w:line="360" w:lineRule="auto"/>
        <w:ind w:left="0" w:right="-787" w:firstLine="0"/>
        <w:jc w:val="both"/>
        <w:rPr>
          <w:color w:val="000000"/>
        </w:rPr>
      </w:pPr>
      <w:r>
        <w:rPr>
          <w:rFonts w:ascii="Palatino Linotype" w:eastAsia="Palatino Linotype" w:hAnsi="Palatino Linotype" w:cs="Palatino Linotype"/>
        </w:rPr>
        <w:lastRenderedPageBreak/>
        <w:t xml:space="preserve"> </w:t>
      </w:r>
      <w:r w:rsidR="00FA1F2E">
        <w:rPr>
          <w:rFonts w:ascii="Palatino Linotype" w:eastAsia="Palatino Linotype" w:hAnsi="Palatino Linotype" w:cs="Palatino Linotype"/>
        </w:rPr>
        <w:t xml:space="preserve">Si </w:t>
      </w:r>
      <w:r>
        <w:rPr>
          <w:rFonts w:ascii="Palatino Linotype" w:eastAsia="Palatino Linotype" w:hAnsi="Palatino Linotype" w:cs="Palatino Linotype"/>
        </w:rPr>
        <w:t>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D12AB0C" w14:textId="77777777" w:rsidR="00FA1F2E" w:rsidRPr="00FA1F2E" w:rsidRDefault="00FA1F2E" w:rsidP="00FA1F2E">
      <w:pPr>
        <w:tabs>
          <w:tab w:val="left" w:pos="284"/>
        </w:tabs>
        <w:spacing w:line="360" w:lineRule="auto"/>
        <w:ind w:right="-787"/>
        <w:jc w:val="both"/>
        <w:rPr>
          <w:color w:val="000000"/>
        </w:rPr>
      </w:pPr>
    </w:p>
    <w:p w14:paraId="7038AA85" w14:textId="77777777" w:rsidR="00FA1F2E" w:rsidRDefault="00FA1F2E" w:rsidP="00FA1F2E">
      <w:pPr>
        <w:numPr>
          <w:ilvl w:val="0"/>
          <w:numId w:val="11"/>
        </w:numPr>
        <w:tabs>
          <w:tab w:val="left" w:pos="284"/>
        </w:tabs>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del número de cuenta bancario, en el Criterio 10/17 emitido por el Pleno del Instituto Nacional de Transparencia, Acceso a la Información y Protección de Datos </w:t>
      </w:r>
      <w:proofErr w:type="gramStart"/>
      <w:r>
        <w:rPr>
          <w:rFonts w:ascii="Palatino Linotype" w:eastAsia="Palatino Linotype" w:hAnsi="Palatino Linotype" w:cs="Palatino Linotype"/>
        </w:rPr>
        <w:t>Personales  se</w:t>
      </w:r>
      <w:proofErr w:type="gramEnd"/>
      <w:r>
        <w:rPr>
          <w:rFonts w:ascii="Palatino Linotype" w:eastAsia="Palatino Linotype" w:hAnsi="Palatino Linotype" w:cs="Palatino Linotype"/>
        </w:rPr>
        <w:t xml:space="preserve"> establece lo siguiente:</w:t>
      </w:r>
    </w:p>
    <w:p w14:paraId="48F2B53D" w14:textId="77777777" w:rsidR="00FA1F2E" w:rsidRDefault="00FA1F2E" w:rsidP="00FA1F2E">
      <w:pPr>
        <w:shd w:val="clear" w:color="auto" w:fill="FFFFFF"/>
        <w:ind w:left="1134" w:right="104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Cuentas bancarias y/o CLABE interbancaria de personas físicas y morales privadas.</w:t>
      </w:r>
      <w:r>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sz w:val="22"/>
          <w:szCs w:val="22"/>
        </w:rPr>
        <w:t>.”</w:t>
      </w:r>
    </w:p>
    <w:p w14:paraId="221FC7FE" w14:textId="77777777" w:rsidR="00FA1F2E" w:rsidRDefault="00FA1F2E" w:rsidP="00FA1F2E">
      <w:pPr>
        <w:ind w:left="1134" w:right="-929"/>
        <w:jc w:val="both"/>
        <w:rPr>
          <w:rFonts w:ascii="Palatino Linotype" w:eastAsia="Palatino Linotype" w:hAnsi="Palatino Linotype" w:cs="Palatino Linotype"/>
        </w:rPr>
      </w:pPr>
    </w:p>
    <w:p w14:paraId="38482527" w14:textId="77777777" w:rsidR="00FA1F2E" w:rsidRDefault="00FA1F2E" w:rsidP="00FA1F2E">
      <w:pPr>
        <w:numPr>
          <w:ilvl w:val="0"/>
          <w:numId w:val="11"/>
        </w:numPr>
        <w:tabs>
          <w:tab w:val="left" w:pos="284"/>
        </w:tabs>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42C626C1" w14:textId="77777777" w:rsidR="00FA1F2E" w:rsidRPr="00FA1F2E" w:rsidRDefault="00FA1F2E" w:rsidP="00FA1F2E">
      <w:pPr>
        <w:spacing w:line="360" w:lineRule="auto"/>
        <w:ind w:right="-787"/>
        <w:jc w:val="both"/>
        <w:rPr>
          <w:color w:val="000000"/>
        </w:rPr>
      </w:pPr>
    </w:p>
    <w:p w14:paraId="46C98EEF" w14:textId="77777777" w:rsidR="00FA1F2E" w:rsidRDefault="00FA1F2E" w:rsidP="00FA1F2E">
      <w:pPr>
        <w:pStyle w:val="Prrafodelista"/>
        <w:rPr>
          <w:rFonts w:ascii="Palatino Linotype" w:eastAsia="Palatino Linotype" w:hAnsi="Palatino Linotype" w:cs="Palatino Linotype"/>
        </w:rPr>
      </w:pPr>
    </w:p>
    <w:p w14:paraId="3D7D31FA" w14:textId="77777777" w:rsidR="00715B3A" w:rsidRDefault="002F487C">
      <w:pPr>
        <w:numPr>
          <w:ilvl w:val="0"/>
          <w:numId w:val="11"/>
        </w:numPr>
        <w:spacing w:line="360" w:lineRule="auto"/>
        <w:ind w:left="0" w:right="-787" w:firstLine="0"/>
        <w:jc w:val="both"/>
        <w:rPr>
          <w:color w:val="000000"/>
        </w:rPr>
      </w:pPr>
      <w:r>
        <w:rPr>
          <w:rFonts w:ascii="Palatino Linotype" w:eastAsia="Palatino Linotype" w:hAnsi="Palatino Linotype" w:cs="Palatino Linotype"/>
        </w:rPr>
        <w:t>Por lo anteriormente expuesto, este Órgano Garante considera fundadas las razones o motivos de inconformidad que plantea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determinando </w:t>
      </w:r>
      <w:r>
        <w:rPr>
          <w:rFonts w:ascii="Palatino Linotype" w:eastAsia="Palatino Linotype" w:hAnsi="Palatino Linotype" w:cs="Palatino Linotype"/>
          <w:b/>
        </w:rPr>
        <w:t>MODIFICAR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Pr>
          <w:rFonts w:ascii="Palatino Linotype" w:eastAsia="Palatino Linotype" w:hAnsi="Palatino Linotype" w:cs="Palatino Linotype"/>
          <w:color w:val="000000"/>
        </w:rPr>
        <w:t xml:space="preserve">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06F324C8" w14:textId="77777777" w:rsidR="00715B3A" w:rsidRDefault="00715B3A">
      <w:pPr>
        <w:spacing w:line="360" w:lineRule="auto"/>
        <w:ind w:right="-787"/>
        <w:jc w:val="both"/>
        <w:rPr>
          <w:rFonts w:ascii="Palatino Linotype" w:eastAsia="Palatino Linotype" w:hAnsi="Palatino Linotype" w:cs="Palatino Linotype"/>
          <w:color w:val="000000"/>
        </w:rPr>
      </w:pPr>
    </w:p>
    <w:p w14:paraId="38D6C1C8" w14:textId="77777777" w:rsidR="00715B3A" w:rsidRDefault="002F487C">
      <w:pPr>
        <w:keepNext/>
        <w:keepLines/>
        <w:spacing w:line="360" w:lineRule="auto"/>
        <w:ind w:right="-78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O L U T I V O S</w:t>
      </w:r>
    </w:p>
    <w:p w14:paraId="21D4E72E" w14:textId="77777777" w:rsidR="00715B3A" w:rsidRDefault="00715B3A">
      <w:pPr>
        <w:spacing w:line="360" w:lineRule="auto"/>
        <w:ind w:right="-787"/>
        <w:jc w:val="center"/>
        <w:rPr>
          <w:rFonts w:ascii="Palatino Linotype" w:eastAsia="Palatino Linotype" w:hAnsi="Palatino Linotype" w:cs="Palatino Linotype"/>
        </w:rPr>
      </w:pPr>
    </w:p>
    <w:p w14:paraId="7FB59B29" w14:textId="77777777" w:rsidR="00715B3A" w:rsidRDefault="002F487C">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fundadas las razones o motivos de inconformidad hechos valer en los Recursos de Revisión </w:t>
      </w:r>
      <w:r>
        <w:rPr>
          <w:rFonts w:ascii="Palatino Linotype" w:eastAsia="Palatino Linotype" w:hAnsi="Palatino Linotype" w:cs="Palatino Linotype"/>
          <w:b/>
        </w:rPr>
        <w:t xml:space="preserve">00408/INFOEM/IP/RR/2024 y 00409/INFOEM/IP/RR/2024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rPr>
        <w:t xml:space="preserve">CUARTO </w:t>
      </w:r>
      <w:proofErr w:type="gramStart"/>
      <w:r>
        <w:rPr>
          <w:rFonts w:ascii="Palatino Linotype" w:eastAsia="Palatino Linotype" w:hAnsi="Palatino Linotype" w:cs="Palatino Linotype"/>
          <w:b/>
        </w:rPr>
        <w:t>y  SEXTO</w:t>
      </w:r>
      <w:proofErr w:type="gram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 la presente resolución. </w:t>
      </w:r>
    </w:p>
    <w:p w14:paraId="750E70B9" w14:textId="77777777" w:rsidR="00715B3A" w:rsidRDefault="00715B3A">
      <w:pPr>
        <w:spacing w:line="360" w:lineRule="auto"/>
        <w:ind w:right="-787"/>
        <w:jc w:val="both"/>
        <w:rPr>
          <w:rFonts w:ascii="Palatino Linotype" w:eastAsia="Palatino Linotype" w:hAnsi="Palatino Linotype" w:cs="Palatino Linotype"/>
        </w:rPr>
      </w:pPr>
    </w:p>
    <w:p w14:paraId="46075AB9" w14:textId="77777777" w:rsidR="00715B3A" w:rsidRDefault="002F487C">
      <w:pPr>
        <w:spacing w:line="360" w:lineRule="auto"/>
        <w:ind w:right="-787"/>
        <w:jc w:val="both"/>
        <w:rPr>
          <w:rFonts w:ascii="Palatino Linotype" w:eastAsia="Palatino Linotype" w:hAnsi="Palatino Linotype" w:cs="Palatino Linotype"/>
        </w:rPr>
      </w:pPr>
      <w:bookmarkStart w:id="17" w:name="_heading=h.z337ya" w:colFirst="0" w:colLast="0"/>
      <w:bookmarkEnd w:id="17"/>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MODIFICAN </w:t>
      </w:r>
      <w:r>
        <w:rPr>
          <w:rFonts w:ascii="Palatino Linotype" w:eastAsia="Palatino Linotype" w:hAnsi="Palatino Linotype" w:cs="Palatino Linotype"/>
          <w:color w:val="000000"/>
        </w:rPr>
        <w:t>las respuestas emitida</w:t>
      </w:r>
      <w:r w:rsidR="0067183F">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por el Ayuntamiento de Atizapán de Zaragoza 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entregar vía Sistema de Acceso a la Información Mexiquense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en versión pública:</w:t>
      </w:r>
    </w:p>
    <w:p w14:paraId="23304C3E" w14:textId="77777777" w:rsidR="00715B3A" w:rsidRDefault="002F487C">
      <w:pPr>
        <w:spacing w:line="360" w:lineRule="auto"/>
        <w:ind w:right="-787"/>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p>
    <w:p w14:paraId="0EE9A29F" w14:textId="77777777" w:rsidR="00715B3A" w:rsidRDefault="002F487C">
      <w:pPr>
        <w:numPr>
          <w:ilvl w:val="0"/>
          <w:numId w:val="7"/>
        </w:numPr>
        <w:pBdr>
          <w:top w:val="nil"/>
          <w:left w:val="nil"/>
          <w:bottom w:val="nil"/>
          <w:right w:val="nil"/>
          <w:between w:val="nil"/>
        </w:pBdr>
        <w:spacing w:line="360" w:lineRule="auto"/>
        <w:ind w:left="709" w:right="-787" w:hanging="567"/>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La dispersión de nómina de todo el personal adscrito al Ayuntamiento de Atizapán de Zaragoza, de la primera quincena de octubre de dos mil veintitrés y </w:t>
      </w:r>
    </w:p>
    <w:p w14:paraId="341054CD" w14:textId="77777777" w:rsidR="00715B3A" w:rsidRDefault="002F487C">
      <w:pPr>
        <w:numPr>
          <w:ilvl w:val="0"/>
          <w:numId w:val="7"/>
        </w:numPr>
        <w:pBdr>
          <w:top w:val="nil"/>
          <w:left w:val="nil"/>
          <w:bottom w:val="nil"/>
          <w:right w:val="nil"/>
          <w:between w:val="nil"/>
        </w:pBdr>
        <w:spacing w:line="360" w:lineRule="auto"/>
        <w:ind w:left="709" w:right="-787" w:hanging="567"/>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Los </w:t>
      </w:r>
      <w:r>
        <w:rPr>
          <w:rFonts w:ascii="Palatino Linotype" w:eastAsia="Palatino Linotype" w:hAnsi="Palatino Linotype" w:cs="Palatino Linotype"/>
          <w:b/>
        </w:rPr>
        <w:t>estados</w:t>
      </w:r>
      <w:r>
        <w:rPr>
          <w:rFonts w:ascii="Palatino Linotype" w:eastAsia="Palatino Linotype" w:hAnsi="Palatino Linotype" w:cs="Palatino Linotype"/>
          <w:b/>
          <w:color w:val="000000"/>
        </w:rPr>
        <w:t xml:space="preserve"> de cuenta bancarios donde se refleje el movimiento de la primera quincena de octubre de dos mil veintitrés.  </w:t>
      </w:r>
    </w:p>
    <w:p w14:paraId="7192084C" w14:textId="77777777" w:rsidR="00715B3A" w:rsidRDefault="00715B3A">
      <w:pPr>
        <w:pBdr>
          <w:top w:val="nil"/>
          <w:left w:val="nil"/>
          <w:bottom w:val="nil"/>
          <w:right w:val="nil"/>
          <w:between w:val="nil"/>
        </w:pBdr>
        <w:tabs>
          <w:tab w:val="left" w:pos="8080"/>
        </w:tabs>
        <w:spacing w:line="360" w:lineRule="auto"/>
        <w:ind w:left="1134" w:right="-787"/>
        <w:jc w:val="both"/>
        <w:rPr>
          <w:rFonts w:ascii="Palatino Linotype" w:eastAsia="Palatino Linotype" w:hAnsi="Palatino Linotype" w:cs="Palatino Linotype"/>
          <w:color w:val="000000"/>
        </w:rPr>
      </w:pPr>
    </w:p>
    <w:p w14:paraId="0A5544EC" w14:textId="77777777" w:rsidR="00715B3A" w:rsidRDefault="002F487C">
      <w:pPr>
        <w:pBdr>
          <w:top w:val="nil"/>
          <w:left w:val="nil"/>
          <w:bottom w:val="nil"/>
          <w:right w:val="nil"/>
          <w:between w:val="nil"/>
        </w:pBdr>
        <w:tabs>
          <w:tab w:val="left" w:pos="8080"/>
        </w:tabs>
        <w:spacing w:line="360" w:lineRule="auto"/>
        <w:ind w:right="-787"/>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Pr>
          <w:rFonts w:ascii="Palatino Linotype" w:eastAsia="Palatino Linotype" w:hAnsi="Palatino Linotype" w:cs="Palatino Linotype"/>
          <w:b/>
          <w:color w:val="000000"/>
        </w:rPr>
        <w:t>RECURRENTE.</w:t>
      </w:r>
    </w:p>
    <w:p w14:paraId="0441C836" w14:textId="77777777" w:rsidR="00715B3A" w:rsidRDefault="00715B3A">
      <w:pPr>
        <w:spacing w:line="360" w:lineRule="auto"/>
        <w:ind w:right="-787"/>
        <w:jc w:val="both"/>
        <w:rPr>
          <w:rFonts w:ascii="Palatino Linotype" w:eastAsia="Palatino Linotype" w:hAnsi="Palatino Linotype" w:cs="Palatino Linotype"/>
          <w:b/>
        </w:rPr>
      </w:pPr>
    </w:p>
    <w:p w14:paraId="6AAA751D" w14:textId="77777777" w:rsidR="00715B3A" w:rsidRDefault="002F487C">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rPr>
        <w:t xml:space="preserve">dé cumplimiento a lo ordenado dentro del plazo de diez días hábiles, </w:t>
      </w:r>
      <w:r>
        <w:rPr>
          <w:rFonts w:ascii="Palatino Linotype" w:eastAsia="Palatino Linotype" w:hAnsi="Palatino Linotype" w:cs="Palatino Linotype"/>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85BCDE7" w14:textId="77777777" w:rsidR="00715B3A" w:rsidRDefault="00715B3A">
      <w:pPr>
        <w:tabs>
          <w:tab w:val="left" w:pos="8080"/>
        </w:tabs>
        <w:spacing w:line="360" w:lineRule="auto"/>
        <w:ind w:right="-787"/>
        <w:jc w:val="both"/>
        <w:rPr>
          <w:rFonts w:ascii="Palatino Linotype" w:eastAsia="Palatino Linotype" w:hAnsi="Palatino Linotype" w:cs="Palatino Linotype"/>
          <w:highlight w:val="white"/>
        </w:rPr>
      </w:pPr>
    </w:p>
    <w:p w14:paraId="64F6CDC3" w14:textId="77777777" w:rsidR="00715B3A" w:rsidRDefault="002F487C">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6B40B08B" w14:textId="77777777" w:rsidR="00715B3A" w:rsidRDefault="00715B3A">
      <w:pPr>
        <w:spacing w:line="360" w:lineRule="auto"/>
        <w:ind w:right="-787"/>
        <w:jc w:val="both"/>
        <w:rPr>
          <w:rFonts w:ascii="Palatino Linotype" w:eastAsia="Palatino Linotype" w:hAnsi="Palatino Linotype" w:cs="Palatino Linotype"/>
        </w:rPr>
      </w:pPr>
    </w:p>
    <w:p w14:paraId="2BC1A442" w14:textId="77777777" w:rsidR="00715B3A" w:rsidRDefault="002F487C">
      <w:pPr>
        <w:tabs>
          <w:tab w:val="left" w:pos="8080"/>
        </w:tabs>
        <w:spacing w:line="360" w:lineRule="auto"/>
        <w:ind w:right="-787"/>
        <w:jc w:val="both"/>
        <w:rPr>
          <w:rFonts w:ascii="Palatino Linotype" w:eastAsia="Palatino Linotype" w:hAnsi="Palatino Linotype" w:cs="Palatino Linotype"/>
        </w:rPr>
      </w:pPr>
      <w:bookmarkStart w:id="18" w:name="_heading=h.3j2qqm3" w:colFirst="0" w:colLast="0"/>
      <w:bookmarkEnd w:id="18"/>
      <w:r>
        <w:rPr>
          <w:rFonts w:ascii="Palatino Linotype" w:eastAsia="Palatino Linotype" w:hAnsi="Palatino Linotype" w:cs="Palatino Linotype"/>
          <w:b/>
        </w:rPr>
        <w:lastRenderedPageBreak/>
        <w:t xml:space="preserve">QUINTO. </w:t>
      </w:r>
      <w:r>
        <w:rPr>
          <w:rFonts w:ascii="Palatino Linotype" w:eastAsia="Palatino Linotype" w:hAnsi="Palatino Linotype" w:cs="Palatino Linotype"/>
        </w:rPr>
        <w:t xml:space="preserve">Notifíquese 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la presente resolución, vía SAIMEX.</w:t>
      </w:r>
    </w:p>
    <w:p w14:paraId="3EC730D9" w14:textId="77777777" w:rsidR="00715B3A" w:rsidRDefault="00715B3A">
      <w:pPr>
        <w:tabs>
          <w:tab w:val="left" w:pos="8080"/>
        </w:tabs>
        <w:spacing w:line="360" w:lineRule="auto"/>
        <w:ind w:right="-787"/>
        <w:jc w:val="both"/>
        <w:rPr>
          <w:rFonts w:ascii="Palatino Linotype" w:eastAsia="Palatino Linotype" w:hAnsi="Palatino Linotype" w:cs="Palatino Linotype"/>
        </w:rPr>
      </w:pPr>
    </w:p>
    <w:p w14:paraId="7AA9C97F" w14:textId="77777777" w:rsidR="00715B3A" w:rsidRDefault="002F487C">
      <w:pPr>
        <w:shd w:val="clear" w:color="auto" w:fill="FFFFFF"/>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rPr>
        <w:t xml:space="preserve"> Se hace del conocimiento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5EA41714" w14:textId="77777777" w:rsidR="00715B3A" w:rsidRDefault="00715B3A">
      <w:pPr>
        <w:shd w:val="clear" w:color="auto" w:fill="FFFFFF"/>
        <w:spacing w:line="360" w:lineRule="auto"/>
        <w:ind w:right="-787"/>
        <w:jc w:val="both"/>
        <w:rPr>
          <w:rFonts w:ascii="Palatino Linotype" w:eastAsia="Palatino Linotype" w:hAnsi="Palatino Linotype" w:cs="Palatino Linotype"/>
        </w:rPr>
      </w:pPr>
    </w:p>
    <w:p w14:paraId="5816438A" w14:textId="77777777" w:rsidR="00715B3A" w:rsidRDefault="002F487C">
      <w:pPr>
        <w:shd w:val="clear" w:color="auto" w:fill="FFFFFF"/>
        <w:spacing w:line="360" w:lineRule="auto"/>
        <w:ind w:right="-787"/>
        <w:jc w:val="both"/>
        <w:rPr>
          <w:rFonts w:ascii="Palatino Linotype" w:eastAsia="Palatino Linotype" w:hAnsi="Palatino Linotype" w:cs="Palatino Linotype"/>
        </w:rPr>
      </w:pPr>
      <w:bookmarkStart w:id="19" w:name="_heading=h.1y810tw" w:colFirst="0" w:colLast="0"/>
      <w:bookmarkEnd w:id="19"/>
      <w:r>
        <w:rPr>
          <w:rFonts w:ascii="Palatino Linotype" w:eastAsia="Palatino Linotype" w:hAnsi="Palatino Linotype" w:cs="Palatino Linotype"/>
          <w:b/>
          <w:color w:val="000000"/>
        </w:rPr>
        <w:t>SÉPTIMO.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Con fundamento en lo dispuesto en los artículos 14, fracción XXVI y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QUINTO</w:t>
      </w:r>
      <w:r>
        <w:rPr>
          <w:rFonts w:ascii="Palatino Linotype" w:eastAsia="Palatino Linotype" w:hAnsi="Palatino Linotype" w:cs="Palatino Linotype"/>
        </w:rPr>
        <w:t xml:space="preserve"> la presente Resolución.</w:t>
      </w:r>
    </w:p>
    <w:p w14:paraId="6929E6D6" w14:textId="77777777" w:rsidR="00FA1F2E" w:rsidRDefault="00FA1F2E">
      <w:pPr>
        <w:shd w:val="clear" w:color="auto" w:fill="FFFFFF"/>
        <w:spacing w:line="360" w:lineRule="auto"/>
        <w:ind w:right="-787"/>
        <w:jc w:val="both"/>
        <w:rPr>
          <w:rFonts w:ascii="Palatino Linotype" w:eastAsia="Palatino Linotype" w:hAnsi="Palatino Linotype" w:cs="Palatino Linotype"/>
        </w:rPr>
      </w:pPr>
    </w:p>
    <w:p w14:paraId="07899A8E" w14:textId="77777777" w:rsidR="00FA1F2E" w:rsidRDefault="00FA1F2E">
      <w:pPr>
        <w:shd w:val="clear" w:color="auto" w:fill="FFFFFF"/>
        <w:spacing w:line="360" w:lineRule="auto"/>
        <w:ind w:right="-787"/>
        <w:jc w:val="both"/>
        <w:rPr>
          <w:rFonts w:ascii="Palatino Linotype" w:eastAsia="Palatino Linotype" w:hAnsi="Palatino Linotype" w:cs="Palatino Linotype"/>
          <w:color w:val="000000"/>
        </w:rPr>
      </w:pPr>
      <w:r w:rsidRPr="0066577C">
        <w:rPr>
          <w:rFonts w:ascii="Palatino Linotype" w:eastAsiaTheme="minorHAnsi" w:hAnsi="Palatino Linotype" w:cstheme="minorBidi"/>
          <w:b/>
          <w:lang w:eastAsia="es-ES_tradnl"/>
        </w:rPr>
        <w:t xml:space="preserve">OCTAVO. </w:t>
      </w:r>
      <w:r w:rsidRPr="0066577C">
        <w:rPr>
          <w:rFonts w:ascii="Palatino Linotype" w:eastAsiaTheme="minorHAnsi" w:hAnsi="Palatino Linotype" w:cstheme="minorBidi"/>
          <w:lang w:eastAsia="es-ES_tradnl"/>
        </w:rPr>
        <w:t>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44FAE1E6" w14:textId="77777777" w:rsidR="00715B3A" w:rsidRDefault="00715B3A">
      <w:pPr>
        <w:shd w:val="clear" w:color="auto" w:fill="FFFFFF"/>
        <w:spacing w:line="360" w:lineRule="auto"/>
        <w:ind w:right="-787"/>
        <w:jc w:val="both"/>
        <w:rPr>
          <w:rFonts w:ascii="Palatino Linotype" w:eastAsia="Palatino Linotype" w:hAnsi="Palatino Linotype" w:cs="Palatino Linotype"/>
        </w:rPr>
      </w:pPr>
    </w:p>
    <w:p w14:paraId="67B903C0" w14:textId="77777777" w:rsidR="0067183F" w:rsidRPr="003C7186" w:rsidRDefault="0067183F" w:rsidP="0067183F">
      <w:pPr>
        <w:spacing w:line="360" w:lineRule="auto"/>
        <w:ind w:left="-142" w:right="-234" w:firstLine="1"/>
        <w:jc w:val="both"/>
        <w:rPr>
          <w:rFonts w:ascii="Palatino Linotype" w:hAnsi="Palatino Linotype"/>
        </w:rPr>
      </w:pPr>
      <w:r w:rsidRPr="003C7186">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w:t>
      </w:r>
      <w:r w:rsidRPr="003C7186">
        <w:rPr>
          <w:rFonts w:ascii="Palatino Linotype" w:hAnsi="Palatino Linotype"/>
        </w:rPr>
        <w:lastRenderedPageBreak/>
        <w:t>PARRA NORIEGA</w:t>
      </w:r>
      <w:r>
        <w:rPr>
          <w:rFonts w:ascii="Palatino Linotype" w:hAnsi="Palatino Linotype"/>
        </w:rPr>
        <w:t xml:space="preserve"> </w:t>
      </w:r>
      <w:r w:rsidR="00844265">
        <w:rPr>
          <w:rFonts w:ascii="Palatino Linotype" w:hAnsi="Palatino Linotype"/>
        </w:rPr>
        <w:t xml:space="preserve">EMITIENDO VOTO PARTICULAR </w:t>
      </w:r>
      <w:r>
        <w:rPr>
          <w:rFonts w:ascii="Palatino Linotype" w:hAnsi="Palatino Linotype"/>
        </w:rPr>
        <w:t xml:space="preserve">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QUINTA </w:t>
      </w:r>
      <w:r w:rsidRPr="003C7186">
        <w:rPr>
          <w:rFonts w:ascii="Palatino Linotype" w:hAnsi="Palatino Linotype"/>
        </w:rPr>
        <w:t xml:space="preserve">SESIÓN ORDINARIA CELEBRADA EL </w:t>
      </w:r>
      <w:r>
        <w:rPr>
          <w:rFonts w:ascii="Palatino Linotype" w:hAnsi="Palatino Linotype"/>
        </w:rPr>
        <w:t>TRES</w:t>
      </w:r>
      <w:r w:rsidRPr="003C7186">
        <w:rPr>
          <w:rFonts w:ascii="Palatino Linotype" w:hAnsi="Palatino Linotype"/>
        </w:rPr>
        <w:t xml:space="preserve"> </w:t>
      </w:r>
      <w:r>
        <w:rPr>
          <w:rFonts w:ascii="Palatino Linotype" w:hAnsi="Palatino Linotype"/>
        </w:rPr>
        <w:t>(03) DE OCTUBRE</w:t>
      </w:r>
      <w:r w:rsidRPr="003C7186">
        <w:rPr>
          <w:rFonts w:ascii="Palatino Linotype" w:hAnsi="Palatino Linotype"/>
        </w:rPr>
        <w:t xml:space="preserve"> DE DOS MIL VEINTICUATRO, ANTE EL SECRETARIO TÉCNICO DEL PLENO ALEXIS TAPIA RAMÍREZ. </w:t>
      </w:r>
    </w:p>
    <w:p w14:paraId="3FD1DCBA" w14:textId="77777777" w:rsidR="0067183F" w:rsidRPr="00902BA4" w:rsidRDefault="0067183F" w:rsidP="0067183F">
      <w:pPr>
        <w:widowControl w:val="0"/>
        <w:autoSpaceDE w:val="0"/>
        <w:autoSpaceDN w:val="0"/>
        <w:adjustRightInd w:val="0"/>
        <w:spacing w:after="200" w:line="276" w:lineRule="auto"/>
        <w:ind w:left="-142" w:right="-234"/>
        <w:rPr>
          <w:rFonts w:ascii="Calibri" w:hAnsi="Calibri" w:cs="Calibri"/>
        </w:rPr>
      </w:pPr>
    </w:p>
    <w:p w14:paraId="710DAEB3" w14:textId="77777777" w:rsidR="0067183F" w:rsidRDefault="0067183F" w:rsidP="0067183F">
      <w:pPr>
        <w:spacing w:before="240" w:after="240" w:line="360" w:lineRule="auto"/>
        <w:ind w:firstLine="1"/>
        <w:jc w:val="both"/>
        <w:rPr>
          <w:rFonts w:ascii="Palatino Linotype" w:hAnsi="Palatino Linotype"/>
        </w:rPr>
      </w:pPr>
      <w:bookmarkStart w:id="20" w:name="_Hlk96506827"/>
    </w:p>
    <w:bookmarkEnd w:id="20"/>
    <w:p w14:paraId="34F3EEC8" w14:textId="77777777" w:rsidR="00715B3A" w:rsidRDefault="00715B3A">
      <w:pPr>
        <w:spacing w:line="360" w:lineRule="auto"/>
        <w:ind w:right="-787"/>
        <w:rPr>
          <w:rFonts w:ascii="Palatino Linotype" w:eastAsia="Palatino Linotype" w:hAnsi="Palatino Linotype" w:cs="Palatino Linotype"/>
        </w:rPr>
      </w:pPr>
    </w:p>
    <w:p w14:paraId="0D1C3BE9" w14:textId="77777777" w:rsidR="00715B3A" w:rsidRDefault="00715B3A">
      <w:pPr>
        <w:spacing w:line="360" w:lineRule="auto"/>
        <w:ind w:right="-787"/>
        <w:rPr>
          <w:rFonts w:ascii="Palatino Linotype" w:eastAsia="Palatino Linotype" w:hAnsi="Palatino Linotype" w:cs="Palatino Linotype"/>
        </w:rPr>
      </w:pPr>
    </w:p>
    <w:p w14:paraId="0F33178A" w14:textId="77777777" w:rsidR="00715B3A" w:rsidRDefault="00715B3A">
      <w:pPr>
        <w:spacing w:line="360" w:lineRule="auto"/>
        <w:ind w:right="-787"/>
        <w:rPr>
          <w:rFonts w:ascii="Palatino Linotype" w:eastAsia="Palatino Linotype" w:hAnsi="Palatino Linotype" w:cs="Palatino Linotype"/>
        </w:rPr>
      </w:pPr>
    </w:p>
    <w:p w14:paraId="361ABDF5" w14:textId="77777777" w:rsidR="00715B3A" w:rsidRDefault="00715B3A">
      <w:pPr>
        <w:spacing w:line="360" w:lineRule="auto"/>
        <w:ind w:right="-787"/>
        <w:rPr>
          <w:rFonts w:ascii="Palatino Linotype" w:eastAsia="Palatino Linotype" w:hAnsi="Palatino Linotype" w:cs="Palatino Linotype"/>
        </w:rPr>
      </w:pPr>
    </w:p>
    <w:p w14:paraId="3AF63C04" w14:textId="77777777" w:rsidR="00715B3A" w:rsidRDefault="00715B3A">
      <w:pPr>
        <w:spacing w:line="360" w:lineRule="auto"/>
        <w:ind w:right="-787"/>
        <w:rPr>
          <w:rFonts w:ascii="Palatino Linotype" w:eastAsia="Palatino Linotype" w:hAnsi="Palatino Linotype" w:cs="Palatino Linotype"/>
        </w:rPr>
      </w:pPr>
    </w:p>
    <w:p w14:paraId="13694165" w14:textId="77777777" w:rsidR="00715B3A" w:rsidRDefault="00715B3A">
      <w:pPr>
        <w:spacing w:line="360" w:lineRule="auto"/>
        <w:ind w:right="-787"/>
        <w:rPr>
          <w:rFonts w:ascii="Palatino Linotype" w:eastAsia="Palatino Linotype" w:hAnsi="Palatino Linotype" w:cs="Palatino Linotype"/>
        </w:rPr>
      </w:pPr>
    </w:p>
    <w:p w14:paraId="47FE6E4C" w14:textId="77777777" w:rsidR="00715B3A" w:rsidRDefault="00715B3A">
      <w:pPr>
        <w:spacing w:line="360" w:lineRule="auto"/>
        <w:ind w:right="-787"/>
        <w:rPr>
          <w:rFonts w:ascii="Palatino Linotype" w:eastAsia="Palatino Linotype" w:hAnsi="Palatino Linotype" w:cs="Palatino Linotype"/>
        </w:rPr>
      </w:pPr>
    </w:p>
    <w:p w14:paraId="06DA32B4" w14:textId="77777777" w:rsidR="00715B3A" w:rsidRDefault="00715B3A">
      <w:pPr>
        <w:spacing w:line="360" w:lineRule="auto"/>
        <w:ind w:right="-787"/>
        <w:rPr>
          <w:rFonts w:ascii="Palatino Linotype" w:eastAsia="Palatino Linotype" w:hAnsi="Palatino Linotype" w:cs="Palatino Linotype"/>
        </w:rPr>
      </w:pPr>
    </w:p>
    <w:p w14:paraId="7BD7D5BD" w14:textId="77777777" w:rsidR="00715B3A" w:rsidRDefault="00715B3A">
      <w:pPr>
        <w:spacing w:line="360" w:lineRule="auto"/>
        <w:ind w:right="-787"/>
        <w:rPr>
          <w:rFonts w:ascii="Palatino Linotype" w:eastAsia="Palatino Linotype" w:hAnsi="Palatino Linotype" w:cs="Palatino Linotype"/>
        </w:rPr>
      </w:pPr>
    </w:p>
    <w:p w14:paraId="222FB643" w14:textId="77777777" w:rsidR="00715B3A" w:rsidRDefault="00715B3A">
      <w:pPr>
        <w:spacing w:line="360" w:lineRule="auto"/>
        <w:ind w:right="-787"/>
        <w:rPr>
          <w:rFonts w:ascii="Palatino Linotype" w:eastAsia="Palatino Linotype" w:hAnsi="Palatino Linotype" w:cs="Palatino Linotype"/>
        </w:rPr>
      </w:pPr>
    </w:p>
    <w:p w14:paraId="1B6FF2E5" w14:textId="77777777" w:rsidR="00715B3A" w:rsidRDefault="00715B3A">
      <w:pPr>
        <w:spacing w:line="360" w:lineRule="auto"/>
        <w:ind w:right="-787"/>
        <w:rPr>
          <w:rFonts w:ascii="Palatino Linotype" w:eastAsia="Palatino Linotype" w:hAnsi="Palatino Linotype" w:cs="Palatino Linotype"/>
        </w:rPr>
      </w:pPr>
    </w:p>
    <w:p w14:paraId="30C60AC4" w14:textId="77777777" w:rsidR="00715B3A" w:rsidRDefault="00715B3A">
      <w:pPr>
        <w:spacing w:line="360" w:lineRule="auto"/>
        <w:ind w:right="-787"/>
        <w:rPr>
          <w:rFonts w:ascii="Palatino Linotype" w:eastAsia="Palatino Linotype" w:hAnsi="Palatino Linotype" w:cs="Palatino Linotype"/>
        </w:rPr>
      </w:pPr>
    </w:p>
    <w:p w14:paraId="3897D74C" w14:textId="77777777" w:rsidR="00715B3A" w:rsidRDefault="00715B3A">
      <w:pPr>
        <w:spacing w:line="360" w:lineRule="auto"/>
        <w:ind w:right="-787"/>
        <w:rPr>
          <w:rFonts w:ascii="Palatino Linotype" w:eastAsia="Palatino Linotype" w:hAnsi="Palatino Linotype" w:cs="Palatino Linotype"/>
        </w:rPr>
      </w:pPr>
    </w:p>
    <w:p w14:paraId="342B4D23" w14:textId="77777777" w:rsidR="00715B3A" w:rsidRDefault="00715B3A">
      <w:pPr>
        <w:spacing w:line="360" w:lineRule="auto"/>
        <w:ind w:right="-787"/>
        <w:rPr>
          <w:rFonts w:ascii="Palatino Linotype" w:eastAsia="Palatino Linotype" w:hAnsi="Palatino Linotype" w:cs="Palatino Linotype"/>
        </w:rPr>
      </w:pPr>
    </w:p>
    <w:p w14:paraId="7C3AF8F9" w14:textId="77777777" w:rsidR="00715B3A" w:rsidRDefault="00715B3A">
      <w:pPr>
        <w:ind w:right="-787"/>
      </w:pPr>
    </w:p>
    <w:p w14:paraId="7D6E70AC" w14:textId="77777777" w:rsidR="00715B3A" w:rsidRDefault="00715B3A">
      <w:pPr>
        <w:ind w:right="-787"/>
      </w:pPr>
    </w:p>
    <w:p w14:paraId="10E57F62" w14:textId="77777777" w:rsidR="00715B3A" w:rsidRDefault="00715B3A">
      <w:pPr>
        <w:ind w:right="-787"/>
      </w:pPr>
    </w:p>
    <w:p w14:paraId="4F5480AF" w14:textId="77777777" w:rsidR="00715B3A" w:rsidRDefault="00715B3A">
      <w:pPr>
        <w:ind w:right="-787"/>
      </w:pPr>
    </w:p>
    <w:p w14:paraId="77D9883F" w14:textId="77777777" w:rsidR="00715B3A" w:rsidRDefault="00715B3A">
      <w:pPr>
        <w:ind w:right="-787"/>
      </w:pPr>
    </w:p>
    <w:sectPr w:rsidR="00715B3A">
      <w:headerReference w:type="default" r:id="rId43"/>
      <w:footerReference w:type="default" r:id="rId44"/>
      <w:headerReference w:type="first" r:id="rId45"/>
      <w:footerReference w:type="first" r:id="rId46"/>
      <w:pgSz w:w="12240" w:h="15840"/>
      <w:pgMar w:top="2410" w:right="1701" w:bottom="1985"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3A8A4" w14:textId="77777777" w:rsidR="005B7D7E" w:rsidRDefault="005B7D7E">
      <w:r>
        <w:separator/>
      </w:r>
    </w:p>
  </w:endnote>
  <w:endnote w:type="continuationSeparator" w:id="0">
    <w:p w14:paraId="10473FB0" w14:textId="77777777" w:rsidR="005B7D7E" w:rsidRDefault="005B7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A4FA" w14:textId="77777777" w:rsidR="004E2BA8" w:rsidRDefault="004E2BA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31AC0">
      <w:rPr>
        <w:rFonts w:ascii="Arial" w:eastAsia="Arial" w:hAnsi="Arial" w:cs="Arial"/>
        <w:b/>
        <w:noProof/>
        <w:color w:val="000000"/>
        <w:sz w:val="20"/>
        <w:szCs w:val="20"/>
      </w:rPr>
      <w:t>70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31AC0">
      <w:rPr>
        <w:rFonts w:ascii="Arial" w:eastAsia="Arial" w:hAnsi="Arial" w:cs="Arial"/>
        <w:b/>
        <w:noProof/>
        <w:color w:val="000000"/>
        <w:sz w:val="20"/>
        <w:szCs w:val="20"/>
      </w:rPr>
      <w:t>70</w:t>
    </w:r>
    <w:r>
      <w:rPr>
        <w:rFonts w:ascii="Arial" w:eastAsia="Arial" w:hAnsi="Arial" w:cs="Arial"/>
        <w:b/>
        <w:color w:val="000000"/>
        <w:sz w:val="20"/>
        <w:szCs w:val="20"/>
      </w:rPr>
      <w:fldChar w:fldCharType="end"/>
    </w:r>
  </w:p>
  <w:p w14:paraId="1559E244" w14:textId="77777777" w:rsidR="004E2BA8" w:rsidRDefault="004E2BA8">
    <w:pPr>
      <w:pBdr>
        <w:top w:val="nil"/>
        <w:left w:val="nil"/>
        <w:bottom w:val="nil"/>
        <w:right w:val="nil"/>
        <w:between w:val="nil"/>
      </w:pBdr>
      <w:tabs>
        <w:tab w:val="center" w:pos="4252"/>
        <w:tab w:val="right" w:pos="8504"/>
      </w:tabs>
      <w:rPr>
        <w:color w:val="000000"/>
      </w:rPr>
    </w:pPr>
  </w:p>
  <w:p w14:paraId="3449FD35" w14:textId="77777777" w:rsidR="004E2BA8" w:rsidRDefault="004E2BA8">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85E47" w14:textId="77777777" w:rsidR="004E2BA8" w:rsidRDefault="004E2BA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31AC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31AC0">
      <w:rPr>
        <w:rFonts w:ascii="Arial" w:eastAsia="Arial" w:hAnsi="Arial" w:cs="Arial"/>
        <w:b/>
        <w:noProof/>
        <w:color w:val="000000"/>
        <w:sz w:val="20"/>
        <w:szCs w:val="20"/>
      </w:rPr>
      <w:t>70</w:t>
    </w:r>
    <w:r>
      <w:rPr>
        <w:rFonts w:ascii="Arial" w:eastAsia="Arial" w:hAnsi="Arial" w:cs="Arial"/>
        <w:b/>
        <w:color w:val="000000"/>
        <w:sz w:val="20"/>
        <w:szCs w:val="20"/>
      </w:rPr>
      <w:fldChar w:fldCharType="end"/>
    </w:r>
  </w:p>
  <w:p w14:paraId="5455BC0F" w14:textId="77777777" w:rsidR="004E2BA8" w:rsidRDefault="004E2BA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39139" w14:textId="77777777" w:rsidR="005B7D7E" w:rsidRDefault="005B7D7E">
      <w:r>
        <w:separator/>
      </w:r>
    </w:p>
  </w:footnote>
  <w:footnote w:type="continuationSeparator" w:id="0">
    <w:p w14:paraId="511AD1FD" w14:textId="77777777" w:rsidR="005B7D7E" w:rsidRDefault="005B7D7E">
      <w:r>
        <w:continuationSeparator/>
      </w:r>
    </w:p>
  </w:footnote>
  <w:footnote w:id="1">
    <w:p w14:paraId="1558F434" w14:textId="77777777" w:rsidR="004E2BA8" w:rsidRDefault="004E2BA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14:paraId="109D19AE" w14:textId="77777777" w:rsidR="004E2BA8" w:rsidRDefault="004E2BA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3">
    <w:p w14:paraId="75EED0D2" w14:textId="77777777" w:rsidR="004E2BA8" w:rsidRDefault="004E2BA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4">
    <w:p w14:paraId="65CDF35C" w14:textId="77777777" w:rsidR="004E2BA8" w:rsidRDefault="004E2BA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5">
    <w:p w14:paraId="28FDFFFE" w14:textId="77777777" w:rsidR="004E2BA8" w:rsidRDefault="004E2BA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0416" w14:textId="77777777" w:rsidR="004E2BA8" w:rsidRDefault="004E2BA8">
    <w:pPr>
      <w:widowControl w:val="0"/>
      <w:pBdr>
        <w:top w:val="nil"/>
        <w:left w:val="nil"/>
        <w:bottom w:val="nil"/>
        <w:right w:val="nil"/>
        <w:between w:val="nil"/>
      </w:pBdr>
      <w:spacing w:line="276" w:lineRule="auto"/>
      <w:rPr>
        <w:color w:val="000000"/>
        <w:sz w:val="20"/>
        <w:szCs w:val="20"/>
      </w:rPr>
    </w:pPr>
  </w:p>
  <w:tbl>
    <w:tblPr>
      <w:tblStyle w:val="a1"/>
      <w:tblW w:w="7230" w:type="dxa"/>
      <w:tblInd w:w="2977" w:type="dxa"/>
      <w:tblLayout w:type="fixed"/>
      <w:tblLook w:val="0400" w:firstRow="0" w:lastRow="0" w:firstColumn="0" w:lastColumn="0" w:noHBand="0" w:noVBand="1"/>
    </w:tblPr>
    <w:tblGrid>
      <w:gridCol w:w="2550"/>
      <w:gridCol w:w="4680"/>
    </w:tblGrid>
    <w:tr w:rsidR="004E2BA8" w14:paraId="2A4BE44E" w14:textId="77777777">
      <w:tc>
        <w:tcPr>
          <w:tcW w:w="2550" w:type="dxa"/>
          <w:vAlign w:val="center"/>
        </w:tcPr>
        <w:p w14:paraId="74756B26" w14:textId="77777777" w:rsidR="004E2BA8" w:rsidRDefault="004E2BA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4680" w:type="dxa"/>
          <w:vAlign w:val="center"/>
        </w:tcPr>
        <w:p w14:paraId="579C829F" w14:textId="77777777" w:rsidR="004E2BA8" w:rsidRDefault="004E2BA8">
          <w:pPr>
            <w:ind w:right="-151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00408/INFOEM/IP/RR/2024 y acumulado</w:t>
          </w:r>
        </w:p>
      </w:tc>
    </w:tr>
    <w:tr w:rsidR="004E2BA8" w14:paraId="016948B1" w14:textId="77777777">
      <w:trPr>
        <w:trHeight w:val="228"/>
      </w:trPr>
      <w:tc>
        <w:tcPr>
          <w:tcW w:w="2550" w:type="dxa"/>
          <w:vAlign w:val="center"/>
        </w:tcPr>
        <w:p w14:paraId="3C82564F" w14:textId="77777777" w:rsidR="004E2BA8" w:rsidRDefault="004E2BA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4680" w:type="dxa"/>
          <w:shd w:val="clear" w:color="auto" w:fill="auto"/>
          <w:vAlign w:val="center"/>
        </w:tcPr>
        <w:p w14:paraId="6F35E399" w14:textId="77777777" w:rsidR="004E2BA8" w:rsidRDefault="004E2BA8">
          <w:pPr>
            <w:ind w:right="-1518"/>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Atizapán de Zaragoza</w:t>
          </w:r>
        </w:p>
      </w:tc>
    </w:tr>
    <w:tr w:rsidR="004E2BA8" w14:paraId="5CDACAF3" w14:textId="77777777">
      <w:tc>
        <w:tcPr>
          <w:tcW w:w="2550" w:type="dxa"/>
          <w:vAlign w:val="center"/>
        </w:tcPr>
        <w:p w14:paraId="3F165530" w14:textId="77777777" w:rsidR="004E2BA8" w:rsidRDefault="004E2BA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4680" w:type="dxa"/>
          <w:vAlign w:val="center"/>
        </w:tcPr>
        <w:p w14:paraId="56CEF6B1" w14:textId="77777777" w:rsidR="004E2BA8" w:rsidRDefault="004E2BA8">
          <w:pPr>
            <w:ind w:right="-151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50A8C6A2" w14:textId="77777777" w:rsidR="004E2BA8" w:rsidRDefault="004E2BA8">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0D641FF2" wp14:editId="552A3631">
          <wp:simplePos x="0" y="0"/>
          <wp:positionH relativeFrom="column">
            <wp:posOffset>-1080134</wp:posOffset>
          </wp:positionH>
          <wp:positionV relativeFrom="paragraph">
            <wp:posOffset>-1492935</wp:posOffset>
          </wp:positionV>
          <wp:extent cx="7813085" cy="10170000"/>
          <wp:effectExtent l="0" t="0" r="0" b="0"/>
          <wp:wrapNone/>
          <wp:docPr id="9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B469" w14:textId="77777777" w:rsidR="004E2BA8" w:rsidRDefault="004E2BA8">
    <w:pPr>
      <w:pBdr>
        <w:top w:val="nil"/>
        <w:left w:val="nil"/>
        <w:bottom w:val="nil"/>
        <w:right w:val="nil"/>
        <w:between w:val="nil"/>
      </w:pBdr>
      <w:tabs>
        <w:tab w:val="center" w:pos="4252"/>
        <w:tab w:val="right" w:pos="8504"/>
        <w:tab w:val="left" w:pos="7154"/>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lang w:val="es-MX"/>
      </w:rPr>
      <w:drawing>
        <wp:anchor distT="0" distB="0" distL="0" distR="0" simplePos="0" relativeHeight="251659264" behindDoc="1" locked="0" layoutInCell="1" hidden="0" allowOverlap="1" wp14:anchorId="4F6DE73E" wp14:editId="464D0F83">
          <wp:simplePos x="0" y="0"/>
          <wp:positionH relativeFrom="column">
            <wp:posOffset>-1078864</wp:posOffset>
          </wp:positionH>
          <wp:positionV relativeFrom="paragraph">
            <wp:posOffset>-411479</wp:posOffset>
          </wp:positionV>
          <wp:extent cx="7813085" cy="10170000"/>
          <wp:effectExtent l="0" t="0" r="0" b="0"/>
          <wp:wrapNone/>
          <wp:docPr id="9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2"/>
      <w:tblW w:w="7245" w:type="dxa"/>
      <w:tblInd w:w="3119" w:type="dxa"/>
      <w:tblLayout w:type="fixed"/>
      <w:tblLook w:val="0400" w:firstRow="0" w:lastRow="0" w:firstColumn="0" w:lastColumn="0" w:noHBand="0" w:noVBand="1"/>
    </w:tblPr>
    <w:tblGrid>
      <w:gridCol w:w="2550"/>
      <w:gridCol w:w="4695"/>
    </w:tblGrid>
    <w:tr w:rsidR="004E2BA8" w14:paraId="609B87AD" w14:textId="77777777">
      <w:tc>
        <w:tcPr>
          <w:tcW w:w="2550" w:type="dxa"/>
          <w:vAlign w:val="center"/>
        </w:tcPr>
        <w:p w14:paraId="273D0FDD" w14:textId="77777777" w:rsidR="004E2BA8" w:rsidRDefault="004E2BA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4695" w:type="dxa"/>
          <w:vAlign w:val="center"/>
        </w:tcPr>
        <w:p w14:paraId="6C966487" w14:textId="77777777" w:rsidR="004E2BA8" w:rsidRDefault="004E2BA8">
          <w:pPr>
            <w:ind w:right="-1377"/>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00408/INFOEM/IP/RR/2024 y Acumulado</w:t>
          </w:r>
        </w:p>
      </w:tc>
    </w:tr>
    <w:tr w:rsidR="004E2BA8" w14:paraId="557E6F22" w14:textId="77777777">
      <w:tc>
        <w:tcPr>
          <w:tcW w:w="2550" w:type="dxa"/>
          <w:vAlign w:val="center"/>
        </w:tcPr>
        <w:p w14:paraId="49B0E2C5" w14:textId="77777777" w:rsidR="004E2BA8" w:rsidRDefault="004E2BA8">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4695" w:type="dxa"/>
          <w:shd w:val="clear" w:color="auto" w:fill="auto"/>
          <w:vAlign w:val="center"/>
        </w:tcPr>
        <w:p w14:paraId="21F88120" w14:textId="3B69A716" w:rsidR="004E2BA8" w:rsidRDefault="003F52CC">
          <w:pPr>
            <w:ind w:right="-1377"/>
            <w:rPr>
              <w:rFonts w:ascii="Palatino Linotype" w:eastAsia="Palatino Linotype" w:hAnsi="Palatino Linotype" w:cs="Palatino Linotype"/>
              <w:sz w:val="22"/>
              <w:szCs w:val="22"/>
            </w:rPr>
          </w:pPr>
          <w:bookmarkStart w:id="21" w:name="_heading=h.2xcytpi" w:colFirst="0" w:colLast="0"/>
          <w:bookmarkEnd w:id="21"/>
          <w:r>
            <w:rPr>
              <w:rFonts w:ascii="Palatino Linotype" w:eastAsia="Palatino Linotype" w:hAnsi="Palatino Linotype" w:cs="Palatino Linotype"/>
              <w:sz w:val="22"/>
              <w:szCs w:val="22"/>
            </w:rPr>
            <w:t xml:space="preserve">XXX </w:t>
          </w:r>
          <w:proofErr w:type="spellStart"/>
          <w:r>
            <w:rPr>
              <w:rFonts w:ascii="Palatino Linotype" w:eastAsia="Palatino Linotype" w:hAnsi="Palatino Linotype" w:cs="Palatino Linotype"/>
              <w:sz w:val="22"/>
              <w:szCs w:val="22"/>
            </w:rPr>
            <w:t>XXX</w:t>
          </w:r>
          <w:proofErr w:type="spellEnd"/>
        </w:p>
      </w:tc>
    </w:tr>
    <w:tr w:rsidR="004E2BA8" w14:paraId="20BEEBB0" w14:textId="77777777">
      <w:trPr>
        <w:trHeight w:val="228"/>
      </w:trPr>
      <w:tc>
        <w:tcPr>
          <w:tcW w:w="2550" w:type="dxa"/>
          <w:vAlign w:val="center"/>
        </w:tcPr>
        <w:p w14:paraId="6E7A4244" w14:textId="77777777" w:rsidR="004E2BA8" w:rsidRDefault="004E2BA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4695" w:type="dxa"/>
          <w:shd w:val="clear" w:color="auto" w:fill="auto"/>
          <w:vAlign w:val="center"/>
        </w:tcPr>
        <w:p w14:paraId="634D1F84" w14:textId="77777777" w:rsidR="004E2BA8" w:rsidRDefault="004E2BA8">
          <w:pPr>
            <w:ind w:left="35" w:right="-1377" w:hanging="35"/>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Atizapán de Zaragoza</w:t>
          </w:r>
        </w:p>
      </w:tc>
    </w:tr>
    <w:tr w:rsidR="004E2BA8" w14:paraId="63641E38" w14:textId="77777777">
      <w:tc>
        <w:tcPr>
          <w:tcW w:w="2550" w:type="dxa"/>
          <w:vAlign w:val="center"/>
        </w:tcPr>
        <w:p w14:paraId="57648585" w14:textId="77777777" w:rsidR="004E2BA8" w:rsidRDefault="004E2BA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4695" w:type="dxa"/>
          <w:vAlign w:val="center"/>
        </w:tcPr>
        <w:p w14:paraId="46631D34" w14:textId="77777777" w:rsidR="004E2BA8" w:rsidRDefault="004E2BA8">
          <w:pPr>
            <w:ind w:right="-1377"/>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12E82B61" w14:textId="77777777" w:rsidR="004E2BA8" w:rsidRDefault="004E2BA8">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45FCF"/>
    <w:multiLevelType w:val="multilevel"/>
    <w:tmpl w:val="BE3C956C"/>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 w15:restartNumberingAfterBreak="0">
    <w:nsid w:val="1C2734A4"/>
    <w:multiLevelType w:val="multilevel"/>
    <w:tmpl w:val="59FCB3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927E11"/>
    <w:multiLevelType w:val="multilevel"/>
    <w:tmpl w:val="70748E70"/>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317490"/>
    <w:multiLevelType w:val="hybridMultilevel"/>
    <w:tmpl w:val="91E4402A"/>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7934DD6"/>
    <w:multiLevelType w:val="multilevel"/>
    <w:tmpl w:val="87A071A2"/>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37B97958"/>
    <w:multiLevelType w:val="multilevel"/>
    <w:tmpl w:val="D80CF7D8"/>
    <w:lvl w:ilvl="0">
      <w:start w:val="1"/>
      <w:numFmt w:val="lowerLetter"/>
      <w:lvlText w:val="%1)"/>
      <w:lvlJc w:val="left"/>
      <w:pPr>
        <w:ind w:left="1636"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6" w15:restartNumberingAfterBreak="0">
    <w:nsid w:val="39F64D76"/>
    <w:multiLevelType w:val="multilevel"/>
    <w:tmpl w:val="E6F4B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44087D"/>
    <w:multiLevelType w:val="multilevel"/>
    <w:tmpl w:val="9CDE7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470EBC"/>
    <w:multiLevelType w:val="multilevel"/>
    <w:tmpl w:val="DF56A7EE"/>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9" w15:restartNumberingAfterBreak="0">
    <w:nsid w:val="560839D1"/>
    <w:multiLevelType w:val="hybridMultilevel"/>
    <w:tmpl w:val="0E1EFA88"/>
    <w:lvl w:ilvl="0" w:tplc="F0A0BF90">
      <w:start w:val="1"/>
      <w:numFmt w:val="decimal"/>
      <w:lvlText w:val="%1."/>
      <w:lvlJc w:val="left"/>
      <w:pPr>
        <w:ind w:left="928"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E022A5C"/>
    <w:multiLevelType w:val="multilevel"/>
    <w:tmpl w:val="744E4390"/>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1" w15:restartNumberingAfterBreak="0">
    <w:nsid w:val="5F9B02AA"/>
    <w:multiLevelType w:val="multilevel"/>
    <w:tmpl w:val="AFC6CF2C"/>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2" w15:restartNumberingAfterBreak="0">
    <w:nsid w:val="643E782B"/>
    <w:multiLevelType w:val="multilevel"/>
    <w:tmpl w:val="D068B9E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3" w15:restartNumberingAfterBreak="0">
    <w:nsid w:val="66261AAE"/>
    <w:multiLevelType w:val="multilevel"/>
    <w:tmpl w:val="9412EB9C"/>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4" w15:restartNumberingAfterBreak="0">
    <w:nsid w:val="6DBE5112"/>
    <w:multiLevelType w:val="multilevel"/>
    <w:tmpl w:val="EB98D18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5" w15:restartNumberingAfterBreak="0">
    <w:nsid w:val="7D3E048F"/>
    <w:multiLevelType w:val="multilevel"/>
    <w:tmpl w:val="0756A8C8"/>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num w:numId="1" w16cid:durableId="1311132747">
    <w:abstractNumId w:val="0"/>
  </w:num>
  <w:num w:numId="2" w16cid:durableId="1544712828">
    <w:abstractNumId w:val="10"/>
  </w:num>
  <w:num w:numId="3" w16cid:durableId="499854938">
    <w:abstractNumId w:val="4"/>
  </w:num>
  <w:num w:numId="4" w16cid:durableId="1215236048">
    <w:abstractNumId w:val="13"/>
  </w:num>
  <w:num w:numId="5" w16cid:durableId="482434295">
    <w:abstractNumId w:val="7"/>
  </w:num>
  <w:num w:numId="6" w16cid:durableId="55973839">
    <w:abstractNumId w:val="15"/>
  </w:num>
  <w:num w:numId="7" w16cid:durableId="245070397">
    <w:abstractNumId w:val="5"/>
  </w:num>
  <w:num w:numId="8" w16cid:durableId="1579249032">
    <w:abstractNumId w:val="11"/>
  </w:num>
  <w:num w:numId="9" w16cid:durableId="1423146197">
    <w:abstractNumId w:val="6"/>
  </w:num>
  <w:num w:numId="10" w16cid:durableId="687099770">
    <w:abstractNumId w:val="14"/>
  </w:num>
  <w:num w:numId="11" w16cid:durableId="591863780">
    <w:abstractNumId w:val="2"/>
  </w:num>
  <w:num w:numId="12" w16cid:durableId="558710601">
    <w:abstractNumId w:val="12"/>
  </w:num>
  <w:num w:numId="13" w16cid:durableId="1352224636">
    <w:abstractNumId w:val="1"/>
  </w:num>
  <w:num w:numId="14" w16cid:durableId="1882939171">
    <w:abstractNumId w:val="8"/>
  </w:num>
  <w:num w:numId="15" w16cid:durableId="1903372480">
    <w:abstractNumId w:val="3"/>
  </w:num>
  <w:num w:numId="16" w16cid:durableId="335047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B3A"/>
    <w:rsid w:val="000426EC"/>
    <w:rsid w:val="000D6C08"/>
    <w:rsid w:val="0010298F"/>
    <w:rsid w:val="002F487C"/>
    <w:rsid w:val="003F52CC"/>
    <w:rsid w:val="004E2BA8"/>
    <w:rsid w:val="005B7D7E"/>
    <w:rsid w:val="0066577C"/>
    <w:rsid w:val="0067183F"/>
    <w:rsid w:val="00715B3A"/>
    <w:rsid w:val="00715E4E"/>
    <w:rsid w:val="00835F0D"/>
    <w:rsid w:val="00844265"/>
    <w:rsid w:val="0092610F"/>
    <w:rsid w:val="00B064A6"/>
    <w:rsid w:val="00B633FB"/>
    <w:rsid w:val="00C45CC0"/>
    <w:rsid w:val="00D31AC0"/>
    <w:rsid w:val="00E77983"/>
    <w:rsid w:val="00FA1F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5B94E"/>
  <w15:docId w15:val="{ACDCB447-F75A-4482-BFE6-E2E5D7173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0E4"/>
  </w:style>
  <w:style w:type="paragraph" w:styleId="Ttulo1">
    <w:name w:val="heading 1"/>
    <w:basedOn w:val="Normal"/>
    <w:next w:val="Normal"/>
    <w:link w:val="Ttulo1Car"/>
    <w:uiPriority w:val="9"/>
    <w:qFormat/>
    <w:rsid w:val="00D343EC"/>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D343EC"/>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D343EC"/>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D343EC"/>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D343EC"/>
    <w:pPr>
      <w:tabs>
        <w:tab w:val="center" w:pos="4252"/>
        <w:tab w:val="right" w:pos="8504"/>
      </w:tabs>
    </w:pPr>
    <w:rPr>
      <w:rFonts w:asciiTheme="minorHAnsi" w:eastAsiaTheme="minorEastAsia" w:hAnsiTheme="minorHAnsi" w:cstheme="minorBidi"/>
      <w:lang w:eastAsia="es-ES"/>
    </w:rPr>
  </w:style>
  <w:style w:type="character" w:customStyle="1" w:styleId="EncabezadoCar">
    <w:name w:val="Encabezado Car"/>
    <w:basedOn w:val="Fuentedeprrafopredeter"/>
    <w:link w:val="Encabezado"/>
    <w:uiPriority w:val="99"/>
    <w:rsid w:val="00D343EC"/>
    <w:rPr>
      <w:rFonts w:eastAsiaTheme="minorEastAsia"/>
      <w:sz w:val="24"/>
      <w:szCs w:val="24"/>
      <w:lang w:val="es-ES_tradnl" w:eastAsia="es-ES"/>
    </w:rPr>
  </w:style>
  <w:style w:type="paragraph" w:styleId="Piedepgina">
    <w:name w:val="footer"/>
    <w:basedOn w:val="Normal"/>
    <w:link w:val="PiedepginaCar"/>
    <w:uiPriority w:val="99"/>
    <w:unhideWhenUsed/>
    <w:rsid w:val="00D343EC"/>
    <w:pPr>
      <w:tabs>
        <w:tab w:val="center" w:pos="4252"/>
        <w:tab w:val="right" w:pos="8504"/>
      </w:tabs>
    </w:pPr>
    <w:rPr>
      <w:rFonts w:asciiTheme="minorHAnsi" w:eastAsiaTheme="minorEastAsia" w:hAnsiTheme="minorHAnsi" w:cstheme="minorBidi"/>
      <w:lang w:eastAsia="es-ES"/>
    </w:rPr>
  </w:style>
  <w:style w:type="character" w:customStyle="1" w:styleId="PiedepginaCar">
    <w:name w:val="Pie de página Car"/>
    <w:basedOn w:val="Fuentedeprrafopredeter"/>
    <w:link w:val="Piedepgina"/>
    <w:uiPriority w:val="99"/>
    <w:rsid w:val="00D343EC"/>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3EC"/>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3EC"/>
    <w:pPr>
      <w:ind w:left="708"/>
    </w:pPr>
    <w:rPr>
      <w:sz w:val="22"/>
      <w:szCs w:val="22"/>
      <w:lang w:val="es-ES" w:eastAsia="en-US"/>
    </w:rPr>
  </w:style>
  <w:style w:type="table" w:styleId="Tablaconcuadrcula">
    <w:name w:val="Table Grid"/>
    <w:basedOn w:val="Tablanormal"/>
    <w:uiPriority w:val="59"/>
    <w:rsid w:val="00D343EC"/>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343E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343EC"/>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343EC"/>
    <w:rPr>
      <w:vertAlign w:val="superscript"/>
    </w:rPr>
  </w:style>
  <w:style w:type="paragraph" w:styleId="Continuarlista">
    <w:name w:val="List Continue"/>
    <w:basedOn w:val="Normal"/>
    <w:uiPriority w:val="99"/>
    <w:unhideWhenUsed/>
    <w:rsid w:val="00D343EC"/>
    <w:pPr>
      <w:spacing w:after="120"/>
      <w:ind w:left="283"/>
      <w:contextualSpacing/>
    </w:pPr>
  </w:style>
  <w:style w:type="paragraph" w:styleId="Sangradetextonormal">
    <w:name w:val="Body Text Indent"/>
    <w:basedOn w:val="Normal"/>
    <w:link w:val="SangradetextonormalCar"/>
    <w:uiPriority w:val="99"/>
    <w:unhideWhenUsed/>
    <w:rsid w:val="00D343EC"/>
    <w:pPr>
      <w:spacing w:after="120"/>
      <w:ind w:left="283"/>
    </w:pPr>
  </w:style>
  <w:style w:type="character" w:customStyle="1" w:styleId="SangradetextonormalCar">
    <w:name w:val="Sangría de texto normal Car"/>
    <w:basedOn w:val="Fuentedeprrafopredeter"/>
    <w:link w:val="Sangradetextonormal"/>
    <w:uiPriority w:val="99"/>
    <w:rsid w:val="00D343EC"/>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D343E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343EC"/>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D343EC"/>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017360.page" TargetMode="External"/><Relationship Id="rId13" Type="http://schemas.openxmlformats.org/officeDocument/2006/relationships/image" Target="media/image4.png"/><Relationship Id="rId39" Type="http://schemas.openxmlformats.org/officeDocument/2006/relationships/image" Target="media/image22.png"/><Relationship Id="rId3" Type="http://schemas.openxmlformats.org/officeDocument/2006/relationships/styles" Target="styles.xml"/><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40" Type="http://schemas.openxmlformats.org/officeDocument/2006/relationships/image" Target="media/image9.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2017360.page" TargetMode="External"/><Relationship Id="rId14" Type="http://schemas.openxmlformats.org/officeDocument/2006/relationships/image" Target="media/image5.png"/><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8m8Fee3lWTXNaAFiu4+rMmMe4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RpN29qaHAyCWguMnhjeXRwaTgAciExbTBRSlZRSlFia1R2cWx6eWVObGlzbFJseUMxMjJUa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70</Pages>
  <Words>17656</Words>
  <Characters>97113</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INFOEM399</dc:creator>
  <cp:lastModifiedBy>inf03m612@outlook.com</cp:lastModifiedBy>
  <cp:revision>8</cp:revision>
  <cp:lastPrinted>2024-10-07T17:43:00Z</cp:lastPrinted>
  <dcterms:created xsi:type="dcterms:W3CDTF">2024-09-30T18:58:00Z</dcterms:created>
  <dcterms:modified xsi:type="dcterms:W3CDTF">2024-10-23T20:54:00Z</dcterms:modified>
</cp:coreProperties>
</file>