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8C4D" w14:textId="77777777" w:rsidR="00A70A38" w:rsidRPr="00340EF9" w:rsidRDefault="007C5AAF">
      <w:pPr>
        <w:spacing w:line="360" w:lineRule="auto"/>
        <w:jc w:val="both"/>
        <w:rPr>
          <w:rFonts w:ascii="Palatino Linotype" w:eastAsia="Palatino Linotype" w:hAnsi="Palatino Linotype" w:cs="Palatino Linotype"/>
        </w:rPr>
      </w:pPr>
      <w:r w:rsidRPr="00340EF9">
        <w:rPr>
          <w:rFonts w:ascii="Palatino Linotype" w:eastAsia="Palatino Linotype" w:hAnsi="Palatino Linotype" w:cs="Palatino Linotype"/>
        </w:rPr>
        <w:t xml:space="preserve"> Resolución del Pleno del Instituto de Transparencia, Acceso a la Información Pública y Protección de Datos Personales del Estado de México y Municipios, con domicilio en Metepec, Estado de México; de fecha veintiséis (26) de junio de dos mil veinticuatro.</w:t>
      </w:r>
    </w:p>
    <w:p w14:paraId="180F29B6" w14:textId="77777777" w:rsidR="00A70A38" w:rsidRPr="00340EF9" w:rsidRDefault="00A70A38">
      <w:pPr>
        <w:spacing w:line="360" w:lineRule="auto"/>
        <w:jc w:val="both"/>
        <w:rPr>
          <w:rFonts w:ascii="Palatino Linotype" w:eastAsia="Palatino Linotype" w:hAnsi="Palatino Linotype" w:cs="Palatino Linotype"/>
        </w:rPr>
      </w:pPr>
    </w:p>
    <w:p w14:paraId="18BFE663" w14:textId="5C9AE662" w:rsidR="00A70A38" w:rsidRPr="00340EF9" w:rsidRDefault="007C5AAF">
      <w:pPr>
        <w:spacing w:line="360" w:lineRule="auto"/>
        <w:jc w:val="both"/>
        <w:rPr>
          <w:rFonts w:ascii="Palatino Linotype" w:eastAsia="Palatino Linotype" w:hAnsi="Palatino Linotype" w:cs="Palatino Linotype"/>
        </w:rPr>
      </w:pPr>
      <w:r w:rsidRPr="00340EF9">
        <w:rPr>
          <w:rFonts w:ascii="Palatino Linotype" w:eastAsia="Palatino Linotype" w:hAnsi="Palatino Linotype" w:cs="Palatino Linotype"/>
          <w:b/>
        </w:rPr>
        <w:t>VISTO</w:t>
      </w:r>
      <w:r w:rsidRPr="00340EF9">
        <w:rPr>
          <w:rFonts w:ascii="Palatino Linotype" w:eastAsia="Palatino Linotype" w:hAnsi="Palatino Linotype" w:cs="Palatino Linotype"/>
        </w:rPr>
        <w:t xml:space="preserve"> el expediente electrónico formado con motivo del recurso de revisión número </w:t>
      </w:r>
      <w:r w:rsidRPr="00340EF9">
        <w:rPr>
          <w:rFonts w:ascii="Palatino Linotype" w:eastAsia="Palatino Linotype" w:hAnsi="Palatino Linotype" w:cs="Palatino Linotype"/>
          <w:b/>
        </w:rPr>
        <w:t xml:space="preserve">02688/INFOEM/IP/RR/2024, </w:t>
      </w:r>
      <w:r w:rsidRPr="00340EF9">
        <w:rPr>
          <w:rFonts w:ascii="Palatino Linotype" w:eastAsia="Palatino Linotype" w:hAnsi="Palatino Linotype" w:cs="Palatino Linotype"/>
        </w:rPr>
        <w:t xml:space="preserve">promovido por </w:t>
      </w:r>
      <w:r w:rsidR="00C748C5">
        <w:rPr>
          <w:rFonts w:ascii="Palatino Linotype" w:eastAsia="Palatino Linotype" w:hAnsi="Palatino Linotype" w:cs="Palatino Linotype"/>
          <w:sz w:val="22"/>
          <w:szCs w:val="22"/>
        </w:rPr>
        <w:t xml:space="preserve">XXX </w:t>
      </w:r>
      <w:proofErr w:type="spellStart"/>
      <w:r w:rsidR="00C748C5">
        <w:rPr>
          <w:rFonts w:ascii="Palatino Linotype" w:eastAsia="Palatino Linotype" w:hAnsi="Palatino Linotype" w:cs="Palatino Linotype"/>
          <w:sz w:val="22"/>
          <w:szCs w:val="22"/>
        </w:rPr>
        <w:t>XXX</w:t>
      </w:r>
      <w:proofErr w:type="spellEnd"/>
      <w:r w:rsidRPr="00340EF9">
        <w:rPr>
          <w:rFonts w:ascii="Palatino Linotype" w:eastAsia="Palatino Linotype" w:hAnsi="Palatino Linotype" w:cs="Palatino Linotype"/>
          <w:b/>
        </w:rPr>
        <w:t>,</w:t>
      </w:r>
      <w:r w:rsidR="00340EF9">
        <w:rPr>
          <w:rFonts w:ascii="Palatino Linotype" w:eastAsia="Palatino Linotype" w:hAnsi="Palatino Linotype" w:cs="Palatino Linotype"/>
        </w:rPr>
        <w:t xml:space="preserve"> a quien en lo sucesivo se </w:t>
      </w:r>
      <w:r w:rsidR="00340EF9" w:rsidRPr="00340EF9">
        <w:rPr>
          <w:rFonts w:ascii="Palatino Linotype" w:eastAsia="Palatino Linotype" w:hAnsi="Palatino Linotype" w:cs="Palatino Linotype"/>
        </w:rPr>
        <w:t>identific</w:t>
      </w:r>
      <w:r w:rsidR="00340EF9">
        <w:rPr>
          <w:rFonts w:ascii="Palatino Linotype" w:eastAsia="Palatino Linotype" w:hAnsi="Palatino Linotype" w:cs="Palatino Linotype"/>
        </w:rPr>
        <w:t>ará</w:t>
      </w:r>
      <w:r w:rsidRPr="00340EF9">
        <w:rPr>
          <w:rFonts w:ascii="Palatino Linotype" w:eastAsia="Palatino Linotype" w:hAnsi="Palatino Linotype" w:cs="Palatino Linotype"/>
        </w:rPr>
        <w:t xml:space="preserve"> como </w:t>
      </w:r>
      <w:r w:rsidRPr="00340EF9">
        <w:rPr>
          <w:rFonts w:ascii="Palatino Linotype" w:eastAsia="Palatino Linotype" w:hAnsi="Palatino Linotype" w:cs="Palatino Linotype"/>
          <w:b/>
        </w:rPr>
        <w:t xml:space="preserve">RECURRENTE, </w:t>
      </w:r>
      <w:r w:rsidRPr="00340EF9">
        <w:rPr>
          <w:rFonts w:ascii="Palatino Linotype" w:eastAsia="Palatino Linotype" w:hAnsi="Palatino Linotype" w:cs="Palatino Linotype"/>
        </w:rPr>
        <w:t>en contra de la respuesta de la</w:t>
      </w:r>
      <w:r w:rsidRPr="00340EF9">
        <w:rPr>
          <w:rFonts w:ascii="Palatino Linotype" w:eastAsia="Palatino Linotype" w:hAnsi="Palatino Linotype" w:cs="Palatino Linotype"/>
          <w:b/>
        </w:rPr>
        <w:t xml:space="preserve"> Secretaría de la Contraloría, </w:t>
      </w:r>
      <w:r w:rsidRPr="00340EF9">
        <w:rPr>
          <w:rFonts w:ascii="Palatino Linotype" w:eastAsia="Palatino Linotype" w:hAnsi="Palatino Linotype" w:cs="Palatino Linotype"/>
        </w:rPr>
        <w:t xml:space="preserve">en adelante el </w:t>
      </w:r>
      <w:r w:rsidRPr="00340EF9">
        <w:rPr>
          <w:rFonts w:ascii="Palatino Linotype" w:eastAsia="Palatino Linotype" w:hAnsi="Palatino Linotype" w:cs="Palatino Linotype"/>
          <w:b/>
        </w:rPr>
        <w:t xml:space="preserve">SUJETO OBLIGADO, </w:t>
      </w:r>
      <w:r w:rsidRPr="00340EF9">
        <w:rPr>
          <w:rFonts w:ascii="Palatino Linotype" w:eastAsia="Palatino Linotype" w:hAnsi="Palatino Linotype" w:cs="Palatino Linotype"/>
        </w:rPr>
        <w:t xml:space="preserve">se procede a dictar la presente resolución, con base en los siguientes: </w:t>
      </w:r>
    </w:p>
    <w:p w14:paraId="14F63172" w14:textId="77777777" w:rsidR="00A70A38" w:rsidRPr="00340EF9" w:rsidRDefault="00A70A38">
      <w:pPr>
        <w:spacing w:line="360" w:lineRule="auto"/>
        <w:jc w:val="both"/>
        <w:rPr>
          <w:rFonts w:ascii="Palatino Linotype" w:eastAsia="Palatino Linotype" w:hAnsi="Palatino Linotype" w:cs="Palatino Linotype"/>
        </w:rPr>
      </w:pPr>
    </w:p>
    <w:p w14:paraId="43D38ED9" w14:textId="77777777" w:rsidR="00A70A38" w:rsidRPr="00340EF9" w:rsidRDefault="007C5AAF">
      <w:pPr>
        <w:keepNext/>
        <w:keepLines/>
        <w:spacing w:before="240" w:line="360" w:lineRule="auto"/>
        <w:jc w:val="center"/>
        <w:rPr>
          <w:rFonts w:ascii="Palatino Linotype" w:eastAsia="Palatino Linotype" w:hAnsi="Palatino Linotype" w:cs="Palatino Linotype"/>
          <w:b/>
          <w:color w:val="000000"/>
        </w:rPr>
      </w:pPr>
      <w:bookmarkStart w:id="0" w:name="_heading=h.gjdgxs" w:colFirst="0" w:colLast="0"/>
      <w:bookmarkEnd w:id="0"/>
      <w:r w:rsidRPr="00340EF9">
        <w:rPr>
          <w:rFonts w:ascii="Palatino Linotype" w:eastAsia="Palatino Linotype" w:hAnsi="Palatino Linotype" w:cs="Palatino Linotype"/>
          <w:b/>
          <w:color w:val="000000"/>
        </w:rPr>
        <w:t>A N T E C E D E N T E S</w:t>
      </w:r>
    </w:p>
    <w:p w14:paraId="261BE9A9" w14:textId="77777777" w:rsidR="00A70A38" w:rsidRPr="00340EF9" w:rsidRDefault="00A70A38">
      <w:pPr>
        <w:tabs>
          <w:tab w:val="left" w:pos="426"/>
        </w:tabs>
        <w:spacing w:line="360" w:lineRule="auto"/>
        <w:jc w:val="both"/>
        <w:rPr>
          <w:rFonts w:ascii="Palatino Linotype" w:eastAsia="Palatino Linotype" w:hAnsi="Palatino Linotype" w:cs="Palatino Linotype"/>
          <w:color w:val="000000"/>
        </w:rPr>
      </w:pPr>
    </w:p>
    <w:p w14:paraId="17DFAF2B" w14:textId="77777777" w:rsidR="00A70A38" w:rsidRPr="00340EF9" w:rsidRDefault="007C5AAF">
      <w:pPr>
        <w:numPr>
          <w:ilvl w:val="0"/>
          <w:numId w:val="1"/>
        </w:numPr>
        <w:tabs>
          <w:tab w:val="left" w:pos="426"/>
        </w:tabs>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color w:val="000000"/>
        </w:rPr>
        <w:t xml:space="preserve">El quince de marzo de dos mil veinticuatro, el </w:t>
      </w:r>
      <w:r w:rsidRPr="00340EF9">
        <w:rPr>
          <w:rFonts w:ascii="Palatino Linotype" w:eastAsia="Palatino Linotype" w:hAnsi="Palatino Linotype" w:cs="Palatino Linotype"/>
          <w:b/>
          <w:color w:val="000000"/>
        </w:rPr>
        <w:t>RECURRENTE</w:t>
      </w:r>
      <w:r w:rsidRPr="00340EF9">
        <w:rPr>
          <w:rFonts w:ascii="Palatino Linotype" w:eastAsia="Palatino Linotype" w:hAnsi="Palatino Linotype" w:cs="Palatino Linotype"/>
          <w:color w:val="000000"/>
        </w:rPr>
        <w:t xml:space="preserve"> presentó una solicitud de acceso a la información pública </w:t>
      </w:r>
      <w:r w:rsidRPr="00340EF9">
        <w:rPr>
          <w:rFonts w:ascii="Palatino Linotype" w:eastAsia="Palatino Linotype" w:hAnsi="Palatino Linotype" w:cs="Palatino Linotype"/>
        </w:rPr>
        <w:t xml:space="preserve">a través de </w:t>
      </w:r>
      <w:r w:rsidRPr="00340EF9">
        <w:rPr>
          <w:rFonts w:ascii="Palatino Linotype" w:eastAsia="Palatino Linotype" w:hAnsi="Palatino Linotype" w:cs="Palatino Linotype"/>
          <w:b/>
        </w:rPr>
        <w:t>la Plataforma Nacional de Transparencia</w:t>
      </w:r>
      <w:r w:rsidRPr="00340EF9">
        <w:rPr>
          <w:rFonts w:ascii="Palatino Linotype" w:eastAsia="Palatino Linotype" w:hAnsi="Palatino Linotype" w:cs="Palatino Linotype"/>
        </w:rPr>
        <w:t xml:space="preserve"> </w:t>
      </w:r>
      <w:r w:rsidRPr="00340EF9">
        <w:rPr>
          <w:rFonts w:ascii="Palatino Linotype" w:eastAsia="Palatino Linotype" w:hAnsi="Palatino Linotype" w:cs="Palatino Linotype"/>
          <w:b/>
        </w:rPr>
        <w:t>(PNT),</w:t>
      </w:r>
      <w:r w:rsidRPr="00340EF9">
        <w:rPr>
          <w:rFonts w:ascii="Palatino Linotype" w:eastAsia="Palatino Linotype" w:hAnsi="Palatino Linotype" w:cs="Palatino Linotype"/>
        </w:rPr>
        <w:t xml:space="preserve"> quedando registrada en el </w:t>
      </w:r>
      <w:r w:rsidRPr="00340EF9">
        <w:rPr>
          <w:rFonts w:ascii="Palatino Linotype" w:eastAsia="Palatino Linotype" w:hAnsi="Palatino Linotype" w:cs="Palatino Linotype"/>
          <w:color w:val="000000"/>
        </w:rPr>
        <w:t xml:space="preserve">Sistema de Acceso a la Información Mexiquense </w:t>
      </w:r>
      <w:r w:rsidRPr="00340EF9">
        <w:rPr>
          <w:rFonts w:ascii="Palatino Linotype" w:eastAsia="Palatino Linotype" w:hAnsi="Palatino Linotype" w:cs="Palatino Linotype"/>
          <w:b/>
          <w:color w:val="000000"/>
        </w:rPr>
        <w:t xml:space="preserve">(SAIMEX) </w:t>
      </w:r>
      <w:r w:rsidRPr="00340EF9">
        <w:rPr>
          <w:rFonts w:ascii="Palatino Linotype" w:eastAsia="Palatino Linotype" w:hAnsi="Palatino Linotype" w:cs="Palatino Linotype"/>
          <w:color w:val="000000"/>
        </w:rPr>
        <w:t>con el número</w:t>
      </w:r>
      <w:r w:rsidRPr="00340EF9">
        <w:rPr>
          <w:rFonts w:ascii="Verdana" w:eastAsia="Verdana" w:hAnsi="Verdana" w:cs="Verdana"/>
          <w:b/>
          <w:color w:val="FF0000"/>
        </w:rPr>
        <w:t xml:space="preserve"> </w:t>
      </w:r>
      <w:r w:rsidRPr="00340EF9">
        <w:rPr>
          <w:rFonts w:ascii="Palatino Linotype" w:eastAsia="Palatino Linotype" w:hAnsi="Palatino Linotype" w:cs="Palatino Linotype"/>
          <w:b/>
          <w:color w:val="000000"/>
        </w:rPr>
        <w:t>00089/SECOGEM/IP/2024,</w:t>
      </w:r>
      <w:r w:rsidRPr="00340EF9">
        <w:rPr>
          <w:rFonts w:ascii="Palatino Linotype" w:eastAsia="Palatino Linotype" w:hAnsi="Palatino Linotype" w:cs="Palatino Linotype"/>
          <w:color w:val="000000"/>
        </w:rPr>
        <w:t xml:space="preserve"> </w:t>
      </w:r>
      <w:r w:rsidRPr="00340EF9">
        <w:rPr>
          <w:rFonts w:ascii="Palatino Linotype" w:eastAsia="Palatino Linotype" w:hAnsi="Palatino Linotype" w:cs="Palatino Linotype"/>
        </w:rPr>
        <w:t xml:space="preserve">en la que </w:t>
      </w:r>
      <w:r w:rsidRPr="00340EF9">
        <w:rPr>
          <w:rFonts w:ascii="Palatino Linotype" w:eastAsia="Palatino Linotype" w:hAnsi="Palatino Linotype" w:cs="Palatino Linotype"/>
          <w:color w:val="000000"/>
        </w:rPr>
        <w:t xml:space="preserve">requirió: </w:t>
      </w:r>
    </w:p>
    <w:p w14:paraId="7B4FD5FD" w14:textId="77777777" w:rsidR="00A70A38" w:rsidRPr="00340EF9" w:rsidRDefault="00A70A38">
      <w:pPr>
        <w:ind w:right="539"/>
        <w:jc w:val="both"/>
        <w:rPr>
          <w:rFonts w:ascii="Palatino Linotype" w:eastAsia="Palatino Linotype" w:hAnsi="Palatino Linotype" w:cs="Palatino Linotype"/>
          <w:i/>
          <w:color w:val="000000"/>
        </w:rPr>
      </w:pPr>
    </w:p>
    <w:p w14:paraId="40D15527" w14:textId="77777777" w:rsidR="00A70A38" w:rsidRDefault="007C5AAF">
      <w:pPr>
        <w:ind w:left="567" w:right="539"/>
        <w:jc w:val="both"/>
        <w:rPr>
          <w:rFonts w:ascii="Palatino Linotype" w:eastAsia="Palatino Linotype" w:hAnsi="Palatino Linotype" w:cs="Palatino Linotype"/>
          <w:i/>
          <w:color w:val="000000"/>
        </w:rPr>
      </w:pPr>
      <w:r w:rsidRPr="00340EF9">
        <w:rPr>
          <w:rFonts w:ascii="Palatino Linotype" w:eastAsia="Palatino Linotype" w:hAnsi="Palatino Linotype" w:cs="Palatino Linotype"/>
          <w:i/>
          <w:color w:val="000000"/>
        </w:rPr>
        <w:t>“Requiero el soporte documental, sobre el procedimiento que se siguió para garantizar 1) la igualdad de oportunidades, 2) el mérito, y 3) que eran los mejores candidatos a ocupar el cargo; lo anterior, sobre la designación de los Titulares de los Órganos Internos de Control de cada una de las dependencias de la administración pública estatal, a partir del 16 de septiembre del año 2023, en concordancia con lo que establece la Ley de Responsabilidades Administrativas del Estado de México y Municipios.” (Sic)</w:t>
      </w:r>
    </w:p>
    <w:p w14:paraId="39BC97F4" w14:textId="77777777" w:rsidR="00340EF9" w:rsidRPr="00340EF9" w:rsidRDefault="00340EF9">
      <w:pPr>
        <w:ind w:left="567" w:right="539"/>
        <w:jc w:val="both"/>
        <w:rPr>
          <w:rFonts w:ascii="Palatino Linotype" w:eastAsia="Palatino Linotype" w:hAnsi="Palatino Linotype" w:cs="Palatino Linotype"/>
          <w:i/>
          <w:color w:val="000000"/>
        </w:rPr>
      </w:pPr>
    </w:p>
    <w:p w14:paraId="131E3CDE"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t>Se hace constar que se señaló como modalidad de entrega de la información</w:t>
      </w:r>
      <w:r w:rsidRPr="00340EF9">
        <w:rPr>
          <w:rFonts w:ascii="Palatino Linotype" w:eastAsia="Palatino Linotype" w:hAnsi="Palatino Linotype" w:cs="Palatino Linotype"/>
          <w:b/>
        </w:rPr>
        <w:t>:</w:t>
      </w:r>
      <w:r w:rsidRPr="00340EF9">
        <w:rPr>
          <w:rFonts w:ascii="Palatino Linotype" w:eastAsia="Palatino Linotype" w:hAnsi="Palatino Linotype" w:cs="Palatino Linotype"/>
        </w:rPr>
        <w:t xml:space="preserve"> </w:t>
      </w:r>
      <w:r w:rsidRPr="00340EF9">
        <w:rPr>
          <w:rFonts w:ascii="Palatino Linotype" w:eastAsia="Palatino Linotype" w:hAnsi="Palatino Linotype" w:cs="Palatino Linotype"/>
          <w:b/>
        </w:rPr>
        <w:t xml:space="preserve">a través </w:t>
      </w:r>
      <w:r w:rsidRPr="00340EF9">
        <w:rPr>
          <w:rFonts w:ascii="Palatino Linotype" w:eastAsia="Palatino Linotype" w:hAnsi="Palatino Linotype" w:cs="Palatino Linotype"/>
          <w:b/>
          <w:color w:val="000000"/>
        </w:rPr>
        <w:t xml:space="preserve">del </w:t>
      </w:r>
      <w:r w:rsidRPr="00340EF9">
        <w:rPr>
          <w:rFonts w:ascii="Palatino Linotype" w:eastAsia="Palatino Linotype" w:hAnsi="Palatino Linotype" w:cs="Palatino Linotype"/>
          <w:b/>
        </w:rPr>
        <w:t>Sistema de Acceso a la Información Mexiquense</w:t>
      </w:r>
      <w:r w:rsidRPr="00340EF9">
        <w:rPr>
          <w:rFonts w:ascii="Palatino Linotype" w:eastAsia="Palatino Linotype" w:hAnsi="Palatino Linotype" w:cs="Palatino Linotype"/>
        </w:rPr>
        <w:t xml:space="preserve"> </w:t>
      </w:r>
      <w:r w:rsidRPr="00340EF9">
        <w:rPr>
          <w:rFonts w:ascii="Palatino Linotype" w:eastAsia="Palatino Linotype" w:hAnsi="Palatino Linotype" w:cs="Palatino Linotype"/>
          <w:b/>
        </w:rPr>
        <w:t>(SAIMEX).</w:t>
      </w:r>
    </w:p>
    <w:p w14:paraId="0A11C03B"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lastRenderedPageBreak/>
        <w:t xml:space="preserve">El veintiuno de marzo de dos mil veinticuatro, </w:t>
      </w:r>
      <w:r w:rsidRPr="00340EF9">
        <w:rPr>
          <w:rFonts w:ascii="Palatino Linotype" w:eastAsia="Palatino Linotype" w:hAnsi="Palatino Linotype" w:cs="Palatino Linotype"/>
          <w:color w:val="000000"/>
        </w:rPr>
        <w:t xml:space="preserve">el </w:t>
      </w:r>
      <w:r w:rsidRPr="00340EF9">
        <w:rPr>
          <w:rFonts w:ascii="Palatino Linotype" w:eastAsia="Palatino Linotype" w:hAnsi="Palatino Linotype" w:cs="Palatino Linotype"/>
          <w:b/>
          <w:color w:val="000000"/>
        </w:rPr>
        <w:t xml:space="preserve">SUJETO OBLIGADO </w:t>
      </w:r>
      <w:r w:rsidRPr="00340EF9">
        <w:rPr>
          <w:rFonts w:ascii="Palatino Linotype" w:eastAsia="Palatino Linotype" w:hAnsi="Palatino Linotype" w:cs="Palatino Linotype"/>
        </w:rPr>
        <w:t>dio respuesta a la solicitud de información, en los siguientes términos:</w:t>
      </w:r>
    </w:p>
    <w:p w14:paraId="66085805" w14:textId="77777777" w:rsidR="00A70A38" w:rsidRPr="00340EF9" w:rsidRDefault="007C5AAF">
      <w:pPr>
        <w:ind w:left="567" w:right="539"/>
        <w:jc w:val="both"/>
        <w:rPr>
          <w:rFonts w:ascii="Palatino Linotype" w:eastAsia="Palatino Linotype" w:hAnsi="Palatino Linotype" w:cs="Palatino Linotype"/>
          <w:i/>
          <w:color w:val="000000"/>
          <w:sz w:val="22"/>
        </w:rPr>
      </w:pPr>
      <w:r w:rsidRPr="00340EF9">
        <w:rPr>
          <w:rFonts w:ascii="Palatino Linotype" w:eastAsia="Palatino Linotype" w:hAnsi="Palatino Linotype" w:cs="Palatino Linotype"/>
          <w:i/>
          <w:color w:val="000000"/>
          <w:sz w:val="22"/>
        </w:rPr>
        <w:t>“SIRVASE ENCONTRAR EN ARCHIVOS ADJUNTOS, EN FORMATO .PDF, OFICIO DE RESPUESTA SIGNADO POR EL ENCARGADO DE DESPACHO DE LA UNIDAD DE PREVENCIÓN DE LA CORRUPCIÓN Y RESPONSABLE DE LA UNIDAD DE TRANSPARENCIA, ASÍ COMO EL OFICIO SIGNADO POR EL SERVIDOR PÚBLICO HABILITADO QUE ATENDIO EL REQUERIMIENTO</w:t>
      </w:r>
      <w:r w:rsidRPr="00340EF9">
        <w:rPr>
          <w:rFonts w:ascii="Palatino Linotype" w:eastAsia="Palatino Linotype" w:hAnsi="Palatino Linotype" w:cs="Palatino Linotype"/>
          <w:i/>
          <w:sz w:val="22"/>
        </w:rPr>
        <w:t xml:space="preserve">…” </w:t>
      </w:r>
      <w:r w:rsidRPr="00340EF9">
        <w:rPr>
          <w:rFonts w:ascii="Palatino Linotype" w:eastAsia="Palatino Linotype" w:hAnsi="Palatino Linotype" w:cs="Palatino Linotype"/>
          <w:i/>
          <w:color w:val="000000"/>
          <w:sz w:val="22"/>
        </w:rPr>
        <w:t>(Sic)</w:t>
      </w:r>
    </w:p>
    <w:p w14:paraId="6925A7AF" w14:textId="77777777" w:rsidR="00A70A38" w:rsidRPr="00340EF9" w:rsidRDefault="00A70A38">
      <w:pPr>
        <w:ind w:right="539"/>
        <w:jc w:val="both"/>
        <w:rPr>
          <w:rFonts w:ascii="Palatino Linotype" w:eastAsia="Palatino Linotype" w:hAnsi="Palatino Linotype" w:cs="Palatino Linotype"/>
          <w:i/>
          <w:color w:val="000000"/>
          <w:sz w:val="22"/>
        </w:rPr>
      </w:pPr>
    </w:p>
    <w:p w14:paraId="649EC5AE" w14:textId="77777777" w:rsidR="00A70A38" w:rsidRPr="00340EF9" w:rsidRDefault="007C5AAF">
      <w:pPr>
        <w:ind w:right="-28"/>
        <w:jc w:val="both"/>
        <w:rPr>
          <w:rFonts w:ascii="Palatino Linotype" w:eastAsia="Palatino Linotype" w:hAnsi="Palatino Linotype" w:cs="Palatino Linotype"/>
          <w:color w:val="000000"/>
          <w:sz w:val="22"/>
        </w:rPr>
      </w:pPr>
      <w:r w:rsidRPr="00340EF9">
        <w:rPr>
          <w:rFonts w:ascii="Palatino Linotype" w:eastAsia="Palatino Linotype" w:hAnsi="Palatino Linotype" w:cs="Palatino Linotype"/>
          <w:color w:val="000000"/>
          <w:sz w:val="22"/>
        </w:rPr>
        <w:t>Archivos electrónicos adjuntos:</w:t>
      </w:r>
    </w:p>
    <w:p w14:paraId="3A128DA3" w14:textId="77777777" w:rsidR="00A70A38" w:rsidRPr="00340EF9" w:rsidRDefault="00A70A38">
      <w:pPr>
        <w:ind w:right="-28"/>
        <w:jc w:val="both"/>
        <w:rPr>
          <w:rFonts w:ascii="Palatino Linotype" w:eastAsia="Palatino Linotype" w:hAnsi="Palatino Linotype" w:cs="Palatino Linotype"/>
          <w:sz w:val="22"/>
        </w:rPr>
      </w:pPr>
    </w:p>
    <w:p w14:paraId="74D06F7E" w14:textId="77777777" w:rsidR="00A70A38" w:rsidRPr="00340EF9" w:rsidRDefault="00BF60DC">
      <w:pPr>
        <w:ind w:left="567" w:right="539"/>
        <w:jc w:val="both"/>
        <w:rPr>
          <w:rFonts w:ascii="Palatino Linotype" w:eastAsia="Palatino Linotype" w:hAnsi="Palatino Linotype" w:cs="Palatino Linotype"/>
          <w:sz w:val="22"/>
        </w:rPr>
      </w:pPr>
      <w:hyperlink r:id="rId8">
        <w:r w:rsidR="007C5AAF" w:rsidRPr="00340EF9">
          <w:rPr>
            <w:rFonts w:ascii="Palatino Linotype" w:eastAsia="Palatino Linotype" w:hAnsi="Palatino Linotype" w:cs="Palatino Linotype"/>
            <w:b/>
            <w:color w:val="000000"/>
            <w:sz w:val="22"/>
          </w:rPr>
          <w:t>OFICIO DE RESPUESTA SPH_1.PDF</w:t>
        </w:r>
      </w:hyperlink>
      <w:r w:rsidR="007C5AAF" w:rsidRPr="00340EF9">
        <w:rPr>
          <w:rFonts w:ascii="Palatino Linotype" w:eastAsia="Palatino Linotype" w:hAnsi="Palatino Linotype" w:cs="Palatino Linotype"/>
          <w:b/>
          <w:sz w:val="22"/>
        </w:rPr>
        <w:t xml:space="preserve">: </w:t>
      </w:r>
      <w:r w:rsidR="007C5AAF" w:rsidRPr="00340EF9">
        <w:rPr>
          <w:rFonts w:ascii="Palatino Linotype" w:eastAsia="Palatino Linotype" w:hAnsi="Palatino Linotype" w:cs="Palatino Linotype"/>
          <w:sz w:val="22"/>
        </w:rPr>
        <w:t xml:space="preserve">Oficio 21800001S/058/2024 suscrito por el Servidor Público Habilitado, por medio del cual, remitió en enlace electrónico  </w:t>
      </w:r>
      <w:hyperlink r:id="rId9">
        <w:r w:rsidR="007C5AAF" w:rsidRPr="00340EF9">
          <w:rPr>
            <w:rFonts w:ascii="Palatino Linotype" w:eastAsia="Palatino Linotype" w:hAnsi="Palatino Linotype" w:cs="Palatino Linotype"/>
            <w:color w:val="000000"/>
            <w:sz w:val="22"/>
          </w:rPr>
          <w:t>https://Iegislacion.edomex.gob.mx/sites/legislacion.edomex.gob.mxJfiles/files/pdf/rgl/vig/rglvigls 4.pdf</w:t>
        </w:r>
      </w:hyperlink>
      <w:r w:rsidR="007C5AAF" w:rsidRPr="00340EF9">
        <w:rPr>
          <w:rFonts w:ascii="Palatino Linotype" w:eastAsia="Palatino Linotype" w:hAnsi="Palatino Linotype" w:cs="Palatino Linotype"/>
          <w:sz w:val="22"/>
        </w:rPr>
        <w:t>, para su consulta.</w:t>
      </w:r>
    </w:p>
    <w:p w14:paraId="7B522756" w14:textId="77777777" w:rsidR="00A70A38" w:rsidRPr="00340EF9" w:rsidRDefault="00A70A38">
      <w:pPr>
        <w:ind w:left="567" w:right="539"/>
        <w:jc w:val="both"/>
        <w:rPr>
          <w:rFonts w:ascii="Palatino Linotype" w:eastAsia="Palatino Linotype" w:hAnsi="Palatino Linotype" w:cs="Palatino Linotype"/>
          <w:b/>
          <w:sz w:val="22"/>
        </w:rPr>
      </w:pPr>
    </w:p>
    <w:p w14:paraId="19BC041B" w14:textId="77777777" w:rsidR="00A70A38" w:rsidRPr="00340EF9" w:rsidRDefault="00BF60DC">
      <w:pPr>
        <w:ind w:left="567" w:right="539"/>
        <w:jc w:val="both"/>
        <w:rPr>
          <w:rFonts w:ascii="Palatino Linotype" w:eastAsia="Palatino Linotype" w:hAnsi="Palatino Linotype" w:cs="Palatino Linotype"/>
          <w:b/>
          <w:sz w:val="22"/>
        </w:rPr>
      </w:pPr>
      <w:hyperlink r:id="rId10">
        <w:r w:rsidR="007C5AAF" w:rsidRPr="00340EF9">
          <w:rPr>
            <w:rFonts w:ascii="Palatino Linotype" w:eastAsia="Palatino Linotype" w:hAnsi="Palatino Linotype" w:cs="Palatino Linotype"/>
            <w:b/>
            <w:color w:val="000000"/>
            <w:sz w:val="22"/>
          </w:rPr>
          <w:t>OFICIO DE RESPUESTA UT089-2024.pdf</w:t>
        </w:r>
      </w:hyperlink>
      <w:r w:rsidR="007C5AAF" w:rsidRPr="00340EF9">
        <w:rPr>
          <w:rFonts w:ascii="Palatino Linotype" w:eastAsia="Palatino Linotype" w:hAnsi="Palatino Linotype" w:cs="Palatino Linotype"/>
          <w:b/>
          <w:sz w:val="22"/>
        </w:rPr>
        <w:t xml:space="preserve">: </w:t>
      </w:r>
      <w:r w:rsidR="007C5AAF" w:rsidRPr="00340EF9">
        <w:rPr>
          <w:rFonts w:ascii="Palatino Linotype" w:eastAsia="Palatino Linotype" w:hAnsi="Palatino Linotype" w:cs="Palatino Linotype"/>
          <w:sz w:val="22"/>
        </w:rPr>
        <w:t>Oficio 000B9/SECOGEM/IP/2024 suscrito por el Responsable de la Unidad de Transparencia, por medio del cual, refirió hacer entrega de la respuesta emitida por el Servidor Público Habilitado.</w:t>
      </w:r>
    </w:p>
    <w:p w14:paraId="5CF64F02" w14:textId="77777777" w:rsidR="00A70A38" w:rsidRPr="00340EF9" w:rsidRDefault="00A70A38">
      <w:pPr>
        <w:jc w:val="both"/>
        <w:rPr>
          <w:rFonts w:ascii="Palatino Linotype" w:eastAsia="Palatino Linotype" w:hAnsi="Palatino Linotype" w:cs="Palatino Linotype"/>
          <w:color w:val="000000"/>
        </w:rPr>
      </w:pPr>
    </w:p>
    <w:p w14:paraId="7041D957" w14:textId="77777777" w:rsidR="00A70A38" w:rsidRPr="00340EF9" w:rsidRDefault="007C5AAF">
      <w:pPr>
        <w:numPr>
          <w:ilvl w:val="0"/>
          <w:numId w:val="1"/>
        </w:numPr>
        <w:tabs>
          <w:tab w:val="left" w:pos="426"/>
        </w:tabs>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color w:val="000000"/>
        </w:rPr>
        <w:t xml:space="preserve">El nueve de mayo de dos mil veinticuatro de dos mil veinticuatro, se interpuso el recurso de revisión, en contra de la respuesta, señalando como: </w:t>
      </w:r>
    </w:p>
    <w:p w14:paraId="293BC1BD" w14:textId="77777777" w:rsidR="00A70A38" w:rsidRPr="00340EF9" w:rsidRDefault="007C5AAF">
      <w:pPr>
        <w:ind w:left="567" w:right="539"/>
        <w:jc w:val="both"/>
        <w:rPr>
          <w:rFonts w:ascii="Palatino Linotype" w:eastAsia="Palatino Linotype" w:hAnsi="Palatino Linotype" w:cs="Palatino Linotype"/>
          <w:b/>
          <w:sz w:val="22"/>
        </w:rPr>
      </w:pPr>
      <w:r w:rsidRPr="00340EF9">
        <w:rPr>
          <w:rFonts w:ascii="Palatino Linotype" w:eastAsia="Palatino Linotype" w:hAnsi="Palatino Linotype" w:cs="Palatino Linotype"/>
          <w:b/>
          <w:sz w:val="22"/>
        </w:rPr>
        <w:t>Acto impugnado:</w:t>
      </w:r>
    </w:p>
    <w:p w14:paraId="74842F1F" w14:textId="77777777" w:rsidR="00A70A38" w:rsidRPr="00340EF9" w:rsidRDefault="007C5AAF">
      <w:pPr>
        <w:ind w:left="567" w:right="539"/>
        <w:jc w:val="both"/>
        <w:rPr>
          <w:rFonts w:ascii="Palatino Linotype" w:eastAsia="Palatino Linotype" w:hAnsi="Palatino Linotype" w:cs="Palatino Linotype"/>
          <w:i/>
          <w:sz w:val="22"/>
        </w:rPr>
      </w:pPr>
      <w:r w:rsidRPr="00340EF9">
        <w:rPr>
          <w:rFonts w:ascii="Palatino Linotype" w:eastAsia="Palatino Linotype" w:hAnsi="Palatino Linotype" w:cs="Palatino Linotype"/>
          <w:i/>
          <w:sz w:val="22"/>
        </w:rPr>
        <w:t>“</w:t>
      </w:r>
      <w:r w:rsidRPr="00340EF9">
        <w:rPr>
          <w:rFonts w:ascii="Palatino Linotype" w:eastAsia="Palatino Linotype" w:hAnsi="Palatino Linotype" w:cs="Palatino Linotype"/>
          <w:i/>
          <w:color w:val="000000"/>
          <w:sz w:val="22"/>
        </w:rPr>
        <w:t xml:space="preserve">La </w:t>
      </w:r>
      <w:r w:rsidRPr="00340EF9">
        <w:rPr>
          <w:rFonts w:ascii="Palatino Linotype" w:eastAsia="Palatino Linotype" w:hAnsi="Palatino Linotype" w:cs="Palatino Linotype"/>
          <w:i/>
          <w:sz w:val="22"/>
        </w:rPr>
        <w:t xml:space="preserve"> información que me brinda el Servidor Público Habilitado de la Secretaría de la Contraloría, no corresponde con lo que solicité, por lo que es claro que se está resolviendo de manera negativa mi solicitud de acceso a la información, por lo cual se promueve el presente recurso a fin de hacer valer mi derecho de acceso a dicha información, ya que en mi petición fui claro en exponer que requiero el soporte documental, sobre el procedimiento que se siguió para garantizar 1) la igualdad de oportunidades, 2) el mérito, y 3) que eran los mejores candidatos a ocupar el cargo, sobre la designación de los Titulares de los Órganos Internos de Control de cada una de las dependencias de la administración pública estatal, a partir del 16 de septiembre del año 2023, en concordancia con lo que establece la Ley de Responsabilidades Administrativas del Estado de México y Municipios. Sin embargo, la respuesta que emite el Servidor Público Habilitado de la Secretaría de la </w:t>
      </w:r>
      <w:r w:rsidRPr="00340EF9">
        <w:rPr>
          <w:rFonts w:ascii="Palatino Linotype" w:eastAsia="Palatino Linotype" w:hAnsi="Palatino Linotype" w:cs="Palatino Linotype"/>
          <w:i/>
          <w:sz w:val="22"/>
        </w:rPr>
        <w:lastRenderedPageBreak/>
        <w:t>Contraloría, se limita a señalar que dichas designaciones se realizan conforme a las atribuciones que el Reglamento Interior de la Secretaría de la Contraloría le confiere a su titular, para lo cual se proporciona una dirección electrónica para su consulta. En este sentido, el Servidor Público Habilitado de la Secretaría de la Contraloría, al señalar que las designaciones de dichos funcionarios, se realiza conforme a las atribuciones que otorga el Reglamento Interior de la Secretaría Contraloría a su titular, descarta toda posibilidad de que dichas designaciones deban realizarse, con base en la igualdad de oportunidades, el mérito que cada aspirante haya tenido y de que se trataba de los mejores candidatos para ocupar dichos cargos. Esta postura es errónea, ya que en la respuesta que se emite a mis solicitud, se soslaya que la Ley de Responsabilidades Administrativas del Estado de México y Municipios, establece, en su artículo 21, que en la selección de los integrantes de ,os órganos internos de control se deberá observar un sistema que dé prioridad y garantice la igualdad de oportunidades en el acceso al servicio público con base en el mérito y a través de mecanismos eficientes que permitan la profesionalización y nombramiento de los mejores candidatos a ocupar los puestos a través de procedimientos transparentes, objetivos y equitativos. Por lo anterior, es claro que la designación de los Titulares de los Órganos Internos de Control, no solo se debe realizar con base en las atribuciones que el Reglamento Interior de la Secretaría de la Contraloría establece para su titular, sino que el propio titular de dicha dependencia, debe ajustarse, en la designación de dichos funcionarios, a los procedimientos transparentes, objetivos y equitativos, que garanticen 1) la igualdad de oportunidades, 2)el mérito y, 3) que se trata de los mejores candidatos a ocupar los cargos. Esto es mandato de la Ley, no consideración propia, y si la Ley lo establece, debe de cumplirse. Ahora bien, si como lo expone el Servidor Público Habilitado, la designación de los titulares de los Órganos Internos de Control, es atribución del titular de la Secretaría de la Contraloría, éste tiene el deber de observar en la designación, el mandato que deriva del artículo 21 de la Ley de Responsabilidades Administrativas del Estado de México y Municipios y, en consecuencia, documentar los procedimientos respectivos que sean transparentes, objetivos y equitativos, pero además ponerlos al alcance de la ciudadanía a través de los medios que la Ley permite. El no contar con el soporte documental de los procedimientos de designación en los términos expuestos, evidencia el incumplimiento al mandato legal señalado, por lo que, en todo caso, sería procedente que el órgano colegiado competente, se pronuncie sobre la inexistencia de la información requerida.</w:t>
      </w:r>
      <w:r w:rsidRPr="00340EF9">
        <w:rPr>
          <w:rFonts w:ascii="Palatino Linotype" w:eastAsia="Palatino Linotype" w:hAnsi="Palatino Linotype" w:cs="Palatino Linotype"/>
          <w:i/>
          <w:color w:val="000000"/>
          <w:sz w:val="22"/>
        </w:rPr>
        <w:t>” (Sic)</w:t>
      </w:r>
    </w:p>
    <w:p w14:paraId="0E10B2B3" w14:textId="77777777" w:rsidR="00A70A38" w:rsidRPr="00340EF9" w:rsidRDefault="007C5AAF">
      <w:pPr>
        <w:ind w:left="567" w:right="539"/>
        <w:jc w:val="both"/>
        <w:rPr>
          <w:rFonts w:ascii="Palatino Linotype" w:eastAsia="Palatino Linotype" w:hAnsi="Palatino Linotype" w:cs="Palatino Linotype"/>
          <w:b/>
          <w:sz w:val="22"/>
        </w:rPr>
      </w:pPr>
      <w:r w:rsidRPr="00340EF9">
        <w:rPr>
          <w:rFonts w:ascii="Palatino Linotype" w:eastAsia="Palatino Linotype" w:hAnsi="Palatino Linotype" w:cs="Palatino Linotype"/>
          <w:b/>
          <w:sz w:val="22"/>
        </w:rPr>
        <w:t>Razones o motivos de inconformidad:</w:t>
      </w:r>
    </w:p>
    <w:p w14:paraId="31A42903" w14:textId="77777777" w:rsidR="00A70A38" w:rsidRPr="00340EF9" w:rsidRDefault="00A70A38">
      <w:pPr>
        <w:ind w:right="539"/>
        <w:jc w:val="both"/>
        <w:rPr>
          <w:rFonts w:ascii="Palatino Linotype" w:eastAsia="Palatino Linotype" w:hAnsi="Palatino Linotype" w:cs="Palatino Linotype"/>
          <w:sz w:val="22"/>
        </w:rPr>
      </w:pPr>
    </w:p>
    <w:p w14:paraId="01C62379" w14:textId="77777777" w:rsidR="00A70A38" w:rsidRPr="00340EF9" w:rsidRDefault="007C5AAF">
      <w:pPr>
        <w:spacing w:before="280" w:after="280"/>
        <w:rPr>
          <w:rFonts w:ascii="Palatino Linotype" w:eastAsia="Palatino Linotype" w:hAnsi="Palatino Linotype" w:cs="Palatino Linotype"/>
          <w:sz w:val="22"/>
        </w:rPr>
      </w:pPr>
      <w:r w:rsidRPr="00340EF9">
        <w:rPr>
          <w:rFonts w:ascii="Palatino Linotype" w:eastAsia="Palatino Linotype" w:hAnsi="Palatino Linotype" w:cs="Palatino Linotype"/>
          <w:sz w:val="22"/>
        </w:rPr>
        <w:t xml:space="preserve">Se adjuntó el archivo electrónico denominado </w:t>
      </w:r>
      <w:hyperlink r:id="rId11">
        <w:r w:rsidRPr="00340EF9">
          <w:rPr>
            <w:rFonts w:ascii="Palatino Linotype" w:eastAsia="Palatino Linotype" w:hAnsi="Palatino Linotype" w:cs="Palatino Linotype"/>
            <w:b/>
            <w:color w:val="000000"/>
            <w:sz w:val="22"/>
          </w:rPr>
          <w:t>Archivo1715283293144null</w:t>
        </w:r>
      </w:hyperlink>
      <w:r w:rsidRPr="00340EF9">
        <w:rPr>
          <w:rFonts w:ascii="Palatino Linotype" w:eastAsia="Palatino Linotype" w:hAnsi="Palatino Linotype" w:cs="Palatino Linotype"/>
          <w:sz w:val="22"/>
        </w:rPr>
        <w:t>, al cual, no se puede acceder.</w:t>
      </w:r>
    </w:p>
    <w:p w14:paraId="294B8218" w14:textId="77777777" w:rsidR="00A70A38" w:rsidRPr="00340EF9" w:rsidRDefault="00A70A38">
      <w:pPr>
        <w:ind w:right="539"/>
        <w:jc w:val="both"/>
        <w:rPr>
          <w:rFonts w:ascii="Palatino Linotype" w:eastAsia="Palatino Linotype" w:hAnsi="Palatino Linotype" w:cs="Palatino Linotype"/>
          <w:i/>
        </w:rPr>
      </w:pPr>
    </w:p>
    <w:p w14:paraId="50CAA1D8"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i/>
        </w:rPr>
      </w:pPr>
      <w:r w:rsidRPr="00340EF9">
        <w:rPr>
          <w:rFonts w:ascii="Palatino Linotype" w:eastAsia="Palatino Linotype" w:hAnsi="Palatino Linotype" w:cs="Palatino Linotype"/>
        </w:rPr>
        <w:lastRenderedPageBreak/>
        <w:t xml:space="preserve">Se registró el recurso de revisión bajo el número de expediente al rubro indicado, con fundamento en lo dispuesto por el artículo 185 fracción I de la </w:t>
      </w:r>
      <w:r w:rsidRPr="00340EF9">
        <w:rPr>
          <w:rFonts w:ascii="Palatino Linotype" w:eastAsia="Palatino Linotype" w:hAnsi="Palatino Linotype" w:cs="Palatino Linotype"/>
          <w:b/>
        </w:rPr>
        <w:t xml:space="preserve">Ley de Transparencia y Acceso a la Información Pública del Estado de México y Municipios </w:t>
      </w:r>
      <w:r w:rsidRPr="00340EF9">
        <w:rPr>
          <w:rFonts w:ascii="Palatino Linotype" w:eastAsia="Palatino Linotype" w:hAnsi="Palatino Linotype" w:cs="Palatino Linotype"/>
        </w:rPr>
        <w:t xml:space="preserve">se turna a la </w:t>
      </w:r>
      <w:r w:rsidRPr="00340EF9">
        <w:rPr>
          <w:rFonts w:ascii="Palatino Linotype" w:eastAsia="Palatino Linotype" w:hAnsi="Palatino Linotype" w:cs="Palatino Linotype"/>
          <w:b/>
        </w:rPr>
        <w:t xml:space="preserve">Comisionada María del Rosario Mejía Ayala, </w:t>
      </w:r>
      <w:r w:rsidRPr="00340EF9">
        <w:rPr>
          <w:rFonts w:ascii="Palatino Linotype" w:eastAsia="Palatino Linotype" w:hAnsi="Palatino Linotype" w:cs="Palatino Linotype"/>
        </w:rPr>
        <w:t xml:space="preserve">para su análisis. </w:t>
      </w:r>
    </w:p>
    <w:p w14:paraId="08AFC51F" w14:textId="77777777" w:rsidR="00A70A38" w:rsidRPr="00340EF9" w:rsidRDefault="00A70A38">
      <w:pPr>
        <w:spacing w:line="360" w:lineRule="auto"/>
        <w:jc w:val="both"/>
        <w:rPr>
          <w:rFonts w:ascii="Palatino Linotype" w:eastAsia="Palatino Linotype" w:hAnsi="Palatino Linotype" w:cs="Palatino Linotype"/>
          <w:i/>
        </w:rPr>
      </w:pPr>
    </w:p>
    <w:p w14:paraId="5A29EE15"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rPr>
      </w:pPr>
      <w:r w:rsidRPr="00340EF9">
        <w:rPr>
          <w:rFonts w:ascii="Palatino Linotype" w:eastAsia="Palatino Linotype" w:hAnsi="Palatino Linotype" w:cs="Palatino Linotype"/>
        </w:rPr>
        <w:t>La Comisionada Ponente con fundamento en lo dispuesto por el artículo 185 fracción II de la ley de la materia, a través del acuerdo de admisión de fecha quince de mayo de dos mil veinticuatro, puso a disposición de las partes el expediente electrónico vía Sistema de Acceso a la Información Mexiquense (</w:t>
      </w:r>
      <w:r w:rsidRPr="00340EF9">
        <w:rPr>
          <w:rFonts w:ascii="Palatino Linotype" w:eastAsia="Palatino Linotype" w:hAnsi="Palatino Linotype" w:cs="Palatino Linotype"/>
          <w:b/>
        </w:rPr>
        <w:t xml:space="preserve">SAIMEX) </w:t>
      </w:r>
      <w:r w:rsidRPr="00340EF9">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340EF9">
        <w:rPr>
          <w:rFonts w:ascii="Palatino Linotype" w:eastAsia="Palatino Linotype" w:hAnsi="Palatino Linotype" w:cs="Palatino Linotype"/>
          <w:b/>
        </w:rPr>
        <w:t>SUJETO OBLIGADO</w:t>
      </w:r>
      <w:r w:rsidRPr="00340EF9">
        <w:rPr>
          <w:rFonts w:ascii="Palatino Linotype" w:eastAsia="Palatino Linotype" w:hAnsi="Palatino Linotype" w:cs="Palatino Linotype"/>
        </w:rPr>
        <w:t xml:space="preserve"> presentará el Informe Justificado procedente.</w:t>
      </w:r>
    </w:p>
    <w:p w14:paraId="159F81D6" w14:textId="77777777" w:rsidR="00A70A38" w:rsidRPr="00340EF9" w:rsidRDefault="00A70A38">
      <w:pPr>
        <w:rPr>
          <w:rFonts w:ascii="Palatino Linotype" w:eastAsia="Palatino Linotype" w:hAnsi="Palatino Linotype" w:cs="Palatino Linotype"/>
        </w:rPr>
      </w:pPr>
    </w:p>
    <w:p w14:paraId="234498EE"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t>E</w:t>
      </w:r>
      <w:r w:rsidRPr="00340EF9">
        <w:rPr>
          <w:rFonts w:ascii="Palatino Linotype" w:eastAsia="Palatino Linotype" w:hAnsi="Palatino Linotype" w:cs="Palatino Linotype"/>
          <w:color w:val="000000"/>
        </w:rPr>
        <w:t xml:space="preserve">l </w:t>
      </w:r>
      <w:r w:rsidRPr="00340EF9">
        <w:rPr>
          <w:rFonts w:ascii="Palatino Linotype" w:eastAsia="Palatino Linotype" w:hAnsi="Palatino Linotype" w:cs="Palatino Linotype"/>
          <w:b/>
          <w:color w:val="000000"/>
        </w:rPr>
        <w:t xml:space="preserve">SUJETO OBLIGADO </w:t>
      </w:r>
      <w:r w:rsidRPr="00340EF9">
        <w:rPr>
          <w:rFonts w:ascii="Palatino Linotype" w:eastAsia="Palatino Linotype" w:hAnsi="Palatino Linotype" w:cs="Palatino Linotype"/>
          <w:color w:val="000000"/>
        </w:rPr>
        <w:t xml:space="preserve">rindió el informe justificado correspondiente por medio del archivo electrónico denominado </w:t>
      </w:r>
      <w:r w:rsidRPr="00340EF9">
        <w:rPr>
          <w:rFonts w:ascii="Palatino Linotype" w:eastAsia="Palatino Linotype" w:hAnsi="Palatino Linotype" w:cs="Palatino Linotype"/>
          <w:b/>
          <w:color w:val="000000"/>
        </w:rPr>
        <w:t>INFORME JUSTIFICADO 02688_1.PDF</w:t>
      </w:r>
      <w:r w:rsidRPr="00340EF9">
        <w:rPr>
          <w:rFonts w:ascii="Palatino Linotype" w:eastAsia="Palatino Linotype" w:hAnsi="Palatino Linotype" w:cs="Palatino Linotype"/>
          <w:color w:val="000000"/>
        </w:rPr>
        <w:t xml:space="preserve">, por medio del cual, reiteró su respuesta inicial. No obstante, dicha documental no fue puesta a la vista del </w:t>
      </w:r>
      <w:r w:rsidRPr="00340EF9">
        <w:rPr>
          <w:rFonts w:ascii="Palatino Linotype" w:eastAsia="Palatino Linotype" w:hAnsi="Palatino Linotype" w:cs="Palatino Linotype"/>
          <w:b/>
          <w:color w:val="000000"/>
        </w:rPr>
        <w:t>RECURRENTE</w:t>
      </w:r>
      <w:r w:rsidRPr="00340EF9">
        <w:rPr>
          <w:rFonts w:ascii="Palatino Linotype" w:eastAsia="Palatino Linotype" w:hAnsi="Palatino Linotype" w:cs="Palatino Linotype"/>
          <w:color w:val="000000"/>
        </w:rPr>
        <w:t>.</w:t>
      </w:r>
    </w:p>
    <w:p w14:paraId="19ABA00E" w14:textId="77777777" w:rsidR="00A70A38" w:rsidRPr="00340EF9" w:rsidRDefault="00A70A38">
      <w:pPr>
        <w:rPr>
          <w:rFonts w:ascii="Palatino Linotype" w:eastAsia="Palatino Linotype" w:hAnsi="Palatino Linotype" w:cs="Palatino Linotype"/>
          <w:color w:val="000000"/>
        </w:rPr>
      </w:pPr>
    </w:p>
    <w:p w14:paraId="6827F866"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b/>
        </w:rPr>
      </w:pPr>
      <w:r w:rsidRPr="00340EF9">
        <w:rPr>
          <w:rFonts w:ascii="Palatino Linotype" w:eastAsia="Palatino Linotype" w:hAnsi="Palatino Linotype" w:cs="Palatino Linotype"/>
          <w:color w:val="000000"/>
        </w:rPr>
        <w:t xml:space="preserve">Por su parte, el </w:t>
      </w:r>
      <w:r w:rsidRPr="00340EF9">
        <w:rPr>
          <w:rFonts w:ascii="Palatino Linotype" w:eastAsia="Palatino Linotype" w:hAnsi="Palatino Linotype" w:cs="Palatino Linotype"/>
          <w:b/>
          <w:color w:val="000000"/>
        </w:rPr>
        <w:t xml:space="preserve">RECURRENTE </w:t>
      </w:r>
      <w:r w:rsidRPr="00340EF9">
        <w:rPr>
          <w:rFonts w:ascii="Palatino Linotype" w:eastAsia="Palatino Linotype" w:hAnsi="Palatino Linotype" w:cs="Palatino Linotype"/>
          <w:color w:val="000000"/>
        </w:rPr>
        <w:t xml:space="preserve">no realizó manifestaciones, ni ofreció pruebas o alegatos que a su derecho </w:t>
      </w:r>
      <w:r w:rsidRPr="00340EF9">
        <w:rPr>
          <w:rFonts w:ascii="Palatino Linotype" w:eastAsia="Palatino Linotype" w:hAnsi="Palatino Linotype" w:cs="Palatino Linotype"/>
        </w:rPr>
        <w:t>conviniera</w:t>
      </w:r>
      <w:r w:rsidRPr="00340EF9">
        <w:rPr>
          <w:rFonts w:ascii="Palatino Linotype" w:eastAsia="Palatino Linotype" w:hAnsi="Palatino Linotype" w:cs="Palatino Linotype"/>
          <w:color w:val="000000"/>
        </w:rPr>
        <w:t xml:space="preserve">, según consta en el Sistema de Acceso a la Información Mexiquense </w:t>
      </w:r>
      <w:r w:rsidRPr="00340EF9">
        <w:rPr>
          <w:rFonts w:ascii="Palatino Linotype" w:eastAsia="Palatino Linotype" w:hAnsi="Palatino Linotype" w:cs="Palatino Linotype"/>
          <w:b/>
          <w:color w:val="000000"/>
        </w:rPr>
        <w:t>SAIMEX.</w:t>
      </w:r>
    </w:p>
    <w:p w14:paraId="60714D8D" w14:textId="77777777" w:rsidR="00A70A38" w:rsidRPr="00340EF9" w:rsidRDefault="00A70A38">
      <w:pPr>
        <w:rPr>
          <w:rFonts w:ascii="Palatino Linotype" w:eastAsia="Palatino Linotype" w:hAnsi="Palatino Linotype" w:cs="Palatino Linotype"/>
        </w:rPr>
      </w:pPr>
    </w:p>
    <w:p w14:paraId="75B8F4A8" w14:textId="77777777" w:rsidR="00A70A38" w:rsidRPr="00340EF9" w:rsidRDefault="00340EF9">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 Comisionada</w:t>
      </w:r>
      <w:r w:rsidR="007C5AAF" w:rsidRPr="00340EF9">
        <w:rPr>
          <w:rFonts w:ascii="Palatino Linotype" w:eastAsia="Palatino Linotype" w:hAnsi="Palatino Linotype" w:cs="Palatino Linotype"/>
        </w:rPr>
        <w:t xml:space="preserve"> Ponente decretó el cierre de instrucción mediante acuerdo del veintinueve de mayo de dos mil veinticuatro; posterior a ello, se ordenó turnar el expediente a resolución.---------------------------------------------------------------------------------</w:t>
      </w:r>
    </w:p>
    <w:p w14:paraId="538EDA73" w14:textId="77777777" w:rsidR="00A70A38" w:rsidRDefault="00A70A38">
      <w:pPr>
        <w:spacing w:line="360" w:lineRule="auto"/>
        <w:jc w:val="both"/>
        <w:rPr>
          <w:rFonts w:ascii="Palatino Linotype" w:eastAsia="Palatino Linotype" w:hAnsi="Palatino Linotype" w:cs="Palatino Linotype"/>
        </w:rPr>
      </w:pPr>
    </w:p>
    <w:p w14:paraId="2A5F4CB7" w14:textId="77777777" w:rsidR="00340EF9" w:rsidRDefault="00340EF9">
      <w:pPr>
        <w:spacing w:line="360" w:lineRule="auto"/>
        <w:jc w:val="both"/>
        <w:rPr>
          <w:rFonts w:ascii="Palatino Linotype" w:eastAsia="Palatino Linotype" w:hAnsi="Palatino Linotype" w:cs="Palatino Linotype"/>
        </w:rPr>
      </w:pPr>
    </w:p>
    <w:p w14:paraId="250EC147" w14:textId="77777777" w:rsidR="00340EF9" w:rsidRPr="00340EF9" w:rsidRDefault="00340EF9">
      <w:pPr>
        <w:spacing w:line="360" w:lineRule="auto"/>
        <w:jc w:val="both"/>
        <w:rPr>
          <w:rFonts w:ascii="Palatino Linotype" w:eastAsia="Palatino Linotype" w:hAnsi="Palatino Linotype" w:cs="Palatino Linotype"/>
        </w:rPr>
      </w:pPr>
    </w:p>
    <w:p w14:paraId="42198E7E" w14:textId="77777777" w:rsidR="00A70A38" w:rsidRPr="00340EF9" w:rsidRDefault="007C5AAF">
      <w:pPr>
        <w:spacing w:line="360" w:lineRule="auto"/>
        <w:ind w:left="360"/>
        <w:jc w:val="center"/>
        <w:rPr>
          <w:rFonts w:ascii="Palatino Linotype" w:eastAsia="Palatino Linotype" w:hAnsi="Palatino Linotype" w:cs="Palatino Linotype"/>
          <w:b/>
        </w:rPr>
      </w:pPr>
      <w:bookmarkStart w:id="1" w:name="_heading=h.30j0zll" w:colFirst="0" w:colLast="0"/>
      <w:bookmarkEnd w:id="1"/>
      <w:r w:rsidRPr="00340EF9">
        <w:rPr>
          <w:rFonts w:ascii="Palatino Linotype" w:eastAsia="Palatino Linotype" w:hAnsi="Palatino Linotype" w:cs="Palatino Linotype"/>
          <w:b/>
        </w:rPr>
        <w:t>C O N S I D E R A N D O</w:t>
      </w:r>
    </w:p>
    <w:p w14:paraId="697C5F79" w14:textId="77777777" w:rsidR="00A70A38" w:rsidRPr="00340EF9" w:rsidRDefault="00A70A38">
      <w:pPr>
        <w:spacing w:line="360" w:lineRule="auto"/>
        <w:ind w:left="360"/>
        <w:jc w:val="center"/>
        <w:rPr>
          <w:rFonts w:ascii="Palatino Linotype" w:eastAsia="Palatino Linotype" w:hAnsi="Palatino Linotype" w:cs="Palatino Linotype"/>
          <w:b/>
        </w:rPr>
      </w:pPr>
      <w:bookmarkStart w:id="2" w:name="_heading=h.qxp8xe8idmtu" w:colFirst="0" w:colLast="0"/>
      <w:bookmarkEnd w:id="2"/>
    </w:p>
    <w:p w14:paraId="63678DC8" w14:textId="77777777" w:rsidR="00A70A38" w:rsidRPr="00340EF9" w:rsidRDefault="007C5AAF">
      <w:pPr>
        <w:keepNext/>
        <w:keepLines/>
        <w:spacing w:line="360" w:lineRule="auto"/>
        <w:rPr>
          <w:rFonts w:ascii="Palatino Linotype" w:eastAsia="Palatino Linotype" w:hAnsi="Palatino Linotype" w:cs="Palatino Linotype"/>
          <w:b/>
          <w:color w:val="000000"/>
        </w:rPr>
      </w:pPr>
      <w:bookmarkStart w:id="3" w:name="_heading=h.1fob9te" w:colFirst="0" w:colLast="0"/>
      <w:bookmarkEnd w:id="3"/>
      <w:r w:rsidRPr="00340EF9">
        <w:rPr>
          <w:rFonts w:ascii="Palatino Linotype" w:eastAsia="Palatino Linotype" w:hAnsi="Palatino Linotype" w:cs="Palatino Linotype"/>
          <w:b/>
          <w:color w:val="000000"/>
        </w:rPr>
        <w:t xml:space="preserve">PRIMERO. De la competencia. </w:t>
      </w:r>
    </w:p>
    <w:p w14:paraId="16B70FEB"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rPr>
      </w:pPr>
      <w:r w:rsidRPr="00340EF9">
        <w:rPr>
          <w:rFonts w:ascii="Palatino Linotype" w:eastAsia="Palatino Linotype" w:hAnsi="Palatino Linotype" w:cs="Palatino Linotype"/>
        </w:rPr>
        <w:t xml:space="preserve">Este </w:t>
      </w:r>
      <w:r w:rsidRPr="00340EF9">
        <w:rPr>
          <w:rFonts w:ascii="Palatino Linotype" w:eastAsia="Palatino Linotype" w:hAnsi="Palatino Linotype" w:cs="Palatino Linotype"/>
          <w:color w:val="000000"/>
        </w:rPr>
        <w:t>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r w:rsidRPr="00340EF9">
        <w:rPr>
          <w:rFonts w:ascii="Palatino Linotype" w:eastAsia="Palatino Linotype" w:hAnsi="Palatino Linotype" w:cs="Palatino Linotype"/>
        </w:rPr>
        <w:t>.</w:t>
      </w:r>
    </w:p>
    <w:p w14:paraId="07EA712F" w14:textId="77777777" w:rsidR="00A70A38" w:rsidRPr="00340EF9" w:rsidRDefault="007C5AAF">
      <w:pPr>
        <w:keepNext/>
        <w:keepLines/>
        <w:spacing w:before="240" w:line="360" w:lineRule="auto"/>
        <w:rPr>
          <w:rFonts w:ascii="Palatino Linotype" w:eastAsia="Palatino Linotype" w:hAnsi="Palatino Linotype" w:cs="Palatino Linotype"/>
          <w:b/>
          <w:color w:val="000000"/>
        </w:rPr>
      </w:pPr>
      <w:bookmarkStart w:id="4" w:name="_heading=h.3znysh7" w:colFirst="0" w:colLast="0"/>
      <w:bookmarkEnd w:id="4"/>
      <w:r w:rsidRPr="00340EF9">
        <w:rPr>
          <w:rFonts w:ascii="Palatino Linotype" w:eastAsia="Palatino Linotype" w:hAnsi="Palatino Linotype" w:cs="Palatino Linotype"/>
          <w:b/>
          <w:color w:val="000000"/>
        </w:rPr>
        <w:t>SEGUNDO. De la oportunidad y procedencia</w:t>
      </w:r>
    </w:p>
    <w:p w14:paraId="4804BE23" w14:textId="77777777" w:rsidR="00A70A38" w:rsidRPr="00340EF9" w:rsidRDefault="007C5AAF">
      <w:pPr>
        <w:numPr>
          <w:ilvl w:val="0"/>
          <w:numId w:val="1"/>
        </w:numPr>
        <w:spacing w:before="240" w:after="240"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color w:val="000000"/>
        </w:rPr>
        <w:t xml:space="preserve">El medio de impugnación fue presentado a través de </w:t>
      </w:r>
      <w:r w:rsidRPr="00340EF9">
        <w:rPr>
          <w:rFonts w:ascii="Palatino Linotype" w:eastAsia="Palatino Linotype" w:hAnsi="Palatino Linotype" w:cs="Palatino Linotype"/>
          <w:b/>
          <w:color w:val="000000"/>
        </w:rPr>
        <w:t>SAIMEX,</w:t>
      </w:r>
      <w:r w:rsidRPr="00340EF9">
        <w:rPr>
          <w:rFonts w:ascii="Palatino Linotype" w:eastAsia="Palatino Linotype" w:hAnsi="Palatino Linotype" w:cs="Palatino Linotype"/>
          <w:color w:val="000000"/>
        </w:rPr>
        <w:t xml:space="preserve"> en el formato previamente aprobado para tal efecto, s</w:t>
      </w:r>
      <w:r w:rsidRPr="00340EF9">
        <w:rPr>
          <w:rFonts w:ascii="Palatino Linotype" w:eastAsia="Palatino Linotype" w:hAnsi="Palatino Linotype" w:cs="Palatino Linotype"/>
        </w:rPr>
        <w:t xml:space="preserve">in embargo por cuanto hace al requisito de oportunidad que debe reunir el recurso de revisión interpuesto, se advierte que el recurso de revisión fue interpuesto </w:t>
      </w:r>
      <w:r w:rsidRPr="00340EF9">
        <w:rPr>
          <w:rFonts w:ascii="Palatino Linotype" w:eastAsia="Palatino Linotype" w:hAnsi="Palatino Linotype" w:cs="Palatino Linotype"/>
          <w:u w:val="single"/>
        </w:rPr>
        <w:t>fuera del plazo</w:t>
      </w:r>
      <w:r w:rsidRPr="00340EF9">
        <w:rPr>
          <w:rFonts w:ascii="Palatino Linotype" w:eastAsia="Palatino Linotype" w:hAnsi="Palatino Linotype" w:cs="Palatino Linotype"/>
        </w:rPr>
        <w:t xml:space="preserve"> de quince días hábiles contados a partir del día siguiente al que el</w:t>
      </w:r>
      <w:r w:rsidRPr="00340EF9">
        <w:rPr>
          <w:rFonts w:ascii="Palatino Linotype" w:eastAsia="Palatino Linotype" w:hAnsi="Palatino Linotype" w:cs="Palatino Linotype"/>
          <w:b/>
        </w:rPr>
        <w:t xml:space="preserve"> RECURRENTE </w:t>
      </w:r>
      <w:r w:rsidRPr="00340EF9">
        <w:rPr>
          <w:rFonts w:ascii="Palatino Linotype" w:eastAsia="Palatino Linotype" w:hAnsi="Palatino Linotype" w:cs="Palatino Linotype"/>
        </w:rPr>
        <w:t xml:space="preserve">tuvo conocimiento de la respuesta </w:t>
      </w:r>
      <w:r w:rsidRPr="00340EF9">
        <w:rPr>
          <w:rFonts w:ascii="Palatino Linotype" w:eastAsia="Palatino Linotype" w:hAnsi="Palatino Linotype" w:cs="Palatino Linotype"/>
        </w:rPr>
        <w:lastRenderedPageBreak/>
        <w:t>impugnada, tal y como lo prevé el artículo 178 de la Ley de Transparencia y Acceso a la Información Pública del Estado de México y Municipios, que establece:</w:t>
      </w:r>
    </w:p>
    <w:p w14:paraId="78FF290A" w14:textId="77777777" w:rsidR="00A70A38" w:rsidRPr="007B0763" w:rsidRDefault="007C5AAF">
      <w:pPr>
        <w:spacing w:before="240" w:after="240"/>
        <w:ind w:left="567" w:right="539"/>
        <w:jc w:val="both"/>
        <w:rPr>
          <w:rFonts w:ascii="Palatino Linotype" w:eastAsia="Palatino Linotype" w:hAnsi="Palatino Linotype" w:cs="Palatino Linotype"/>
          <w:color w:val="000000"/>
          <w:sz w:val="22"/>
        </w:rPr>
      </w:pPr>
      <w:r w:rsidRPr="007B0763">
        <w:rPr>
          <w:rFonts w:ascii="Palatino Linotype" w:eastAsia="Palatino Linotype" w:hAnsi="Palatino Linotype" w:cs="Palatino Linotype"/>
          <w:i/>
          <w:sz w:val="22"/>
        </w:rPr>
        <w:t>“</w:t>
      </w:r>
      <w:r w:rsidRPr="007B0763">
        <w:rPr>
          <w:rFonts w:ascii="Palatino Linotype" w:eastAsia="Palatino Linotype" w:hAnsi="Palatino Linotype" w:cs="Palatino Linotype"/>
          <w:b/>
          <w:i/>
          <w:sz w:val="22"/>
        </w:rPr>
        <w:t>Artículo 178.</w:t>
      </w:r>
      <w:r w:rsidRPr="007B0763">
        <w:rPr>
          <w:rFonts w:ascii="Palatino Linotype" w:eastAsia="Palatino Linotype" w:hAnsi="Palatino Linotype" w:cs="Palatino Linotype"/>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FD66D26" w14:textId="77777777" w:rsidR="00A70A38" w:rsidRPr="007B0763" w:rsidRDefault="007C5AAF">
      <w:pPr>
        <w:spacing w:before="240" w:after="240"/>
        <w:ind w:left="567" w:right="539"/>
        <w:jc w:val="both"/>
        <w:rPr>
          <w:rFonts w:ascii="Palatino Linotype" w:eastAsia="Palatino Linotype" w:hAnsi="Palatino Linotype" w:cs="Palatino Linotype"/>
          <w:color w:val="000000"/>
          <w:sz w:val="22"/>
        </w:rPr>
      </w:pPr>
      <w:r w:rsidRPr="007B0763">
        <w:rPr>
          <w:rFonts w:ascii="Palatino Linotype" w:eastAsia="Palatino Linotype" w:hAnsi="Palatino Linotype" w:cs="Palatino Linotype"/>
          <w:i/>
          <w:sz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0264936" w14:textId="77777777" w:rsidR="00A70A38" w:rsidRPr="007B0763" w:rsidRDefault="007C5AAF">
      <w:pPr>
        <w:spacing w:before="120" w:after="120"/>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En el caso de que se interponga ante la Unidad de Transparencia, ésta deberá remitir el recurso de revisión al Instituto a más tardar al día siguiente de haberlo recibido.”</w:t>
      </w:r>
    </w:p>
    <w:p w14:paraId="27D36094" w14:textId="77777777" w:rsidR="00A70A38" w:rsidRPr="007B0763" w:rsidRDefault="007C5AAF">
      <w:pPr>
        <w:spacing w:before="120" w:after="120"/>
        <w:ind w:left="567" w:right="539"/>
        <w:jc w:val="both"/>
        <w:rPr>
          <w:rFonts w:ascii="Palatino Linotype" w:eastAsia="Palatino Linotype" w:hAnsi="Palatino Linotype" w:cs="Palatino Linotype"/>
          <w:b/>
          <w:i/>
          <w:sz w:val="22"/>
        </w:rPr>
      </w:pPr>
      <w:r w:rsidRPr="007B0763">
        <w:rPr>
          <w:rFonts w:ascii="Palatino Linotype" w:eastAsia="Palatino Linotype" w:hAnsi="Palatino Linotype" w:cs="Palatino Linotype"/>
          <w:b/>
          <w:i/>
          <w:sz w:val="22"/>
        </w:rPr>
        <w:t>(Énfasis añadido)</w:t>
      </w:r>
    </w:p>
    <w:p w14:paraId="732CDDF0" w14:textId="77777777" w:rsidR="00A70A38" w:rsidRPr="00340EF9" w:rsidRDefault="00A70A38">
      <w:pPr>
        <w:spacing w:before="120" w:after="120"/>
        <w:ind w:right="709"/>
        <w:jc w:val="both"/>
        <w:rPr>
          <w:rFonts w:ascii="Palatino Linotype" w:eastAsia="Palatino Linotype" w:hAnsi="Palatino Linotype" w:cs="Palatino Linotype"/>
          <w:b/>
          <w:i/>
        </w:rPr>
      </w:pPr>
    </w:p>
    <w:p w14:paraId="1B4B27AB" w14:textId="77777777" w:rsidR="00A70A38" w:rsidRPr="00340EF9" w:rsidRDefault="007C5AAF">
      <w:pPr>
        <w:numPr>
          <w:ilvl w:val="0"/>
          <w:numId w:val="1"/>
        </w:numPr>
        <w:spacing w:before="120"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t xml:space="preserve">En esa tesitura, atendiendo que </w:t>
      </w:r>
      <w:r w:rsidRPr="00340EF9">
        <w:rPr>
          <w:rFonts w:ascii="Palatino Linotype" w:eastAsia="Palatino Linotype" w:hAnsi="Palatino Linotype" w:cs="Palatino Linotype"/>
          <w:b/>
        </w:rPr>
        <w:t>el SUJETO OBLIGADO</w:t>
      </w:r>
      <w:r w:rsidRPr="00340EF9">
        <w:rPr>
          <w:rFonts w:ascii="Palatino Linotype" w:eastAsia="Palatino Linotype" w:hAnsi="Palatino Linotype" w:cs="Palatino Linotype"/>
        </w:rPr>
        <w:t xml:space="preserve"> notificó la respuesta a la solicitud de información pública el </w:t>
      </w:r>
      <w:r w:rsidRPr="00340EF9">
        <w:rPr>
          <w:rFonts w:ascii="Palatino Linotype" w:eastAsia="Palatino Linotype" w:hAnsi="Palatino Linotype" w:cs="Palatino Linotype"/>
          <w:b/>
        </w:rPr>
        <w:t>veintiuno de marzo de dos mil veinticuatro</w:t>
      </w:r>
      <w:r w:rsidRPr="00340EF9">
        <w:rPr>
          <w:rFonts w:ascii="Palatino Linotype" w:eastAsia="Palatino Linotype" w:hAnsi="Palatino Linotype" w:cs="Palatino Linotype"/>
        </w:rPr>
        <w:t xml:space="preserve">, el plazo de quince días hábiles que el artículo 178 de la Ley de la materia otorga al </w:t>
      </w:r>
      <w:r w:rsidRPr="00340EF9">
        <w:rPr>
          <w:rFonts w:ascii="Palatino Linotype" w:eastAsia="Palatino Linotype" w:hAnsi="Palatino Linotype" w:cs="Palatino Linotype"/>
          <w:b/>
        </w:rPr>
        <w:t>RECURRENTE</w:t>
      </w:r>
      <w:r w:rsidRPr="00340EF9">
        <w:rPr>
          <w:rFonts w:ascii="Palatino Linotype" w:eastAsia="Palatino Linotype" w:hAnsi="Palatino Linotype" w:cs="Palatino Linotype"/>
        </w:rPr>
        <w:t xml:space="preserve"> para presentar el recurso de revisión, transcurrió del </w:t>
      </w:r>
      <w:r w:rsidRPr="00340EF9">
        <w:rPr>
          <w:rFonts w:ascii="Palatino Linotype" w:eastAsia="Palatino Linotype" w:hAnsi="Palatino Linotype" w:cs="Palatino Linotype"/>
          <w:b/>
        </w:rPr>
        <w:t xml:space="preserve">veintidós de marzo </w:t>
      </w:r>
      <w:r w:rsidRPr="00340EF9">
        <w:rPr>
          <w:rFonts w:ascii="Palatino Linotype" w:eastAsia="Palatino Linotype" w:hAnsi="Palatino Linotype" w:cs="Palatino Linotype"/>
        </w:rPr>
        <w:t>al</w:t>
      </w:r>
      <w:r w:rsidRPr="00340EF9">
        <w:rPr>
          <w:rFonts w:ascii="Palatino Linotype" w:eastAsia="Palatino Linotype" w:hAnsi="Palatino Linotype" w:cs="Palatino Linotype"/>
          <w:b/>
        </w:rPr>
        <w:t xml:space="preserve"> dieciocho de abril de dos mil veinticuatro.</w:t>
      </w:r>
    </w:p>
    <w:p w14:paraId="2D3D78C1" w14:textId="77777777" w:rsidR="00340EF9" w:rsidRPr="00340EF9" w:rsidRDefault="00340EF9" w:rsidP="00340EF9">
      <w:pPr>
        <w:spacing w:before="120" w:line="360" w:lineRule="auto"/>
        <w:jc w:val="both"/>
        <w:rPr>
          <w:rFonts w:ascii="Palatino Linotype" w:eastAsia="Palatino Linotype" w:hAnsi="Palatino Linotype" w:cs="Palatino Linotype"/>
          <w:color w:val="000000"/>
        </w:rPr>
      </w:pPr>
    </w:p>
    <w:p w14:paraId="2A4E4F58"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t>En ese tenor, si el recurso de revisión que nos ocupa, se interpuso el día</w:t>
      </w:r>
      <w:r w:rsidRPr="00340EF9">
        <w:rPr>
          <w:rFonts w:ascii="Palatino Linotype" w:eastAsia="Palatino Linotype" w:hAnsi="Palatino Linotype" w:cs="Palatino Linotype"/>
          <w:b/>
        </w:rPr>
        <w:t xml:space="preserve"> nueve de mayo de dos mil veinticuatro</w:t>
      </w:r>
      <w:r w:rsidRPr="00340EF9">
        <w:rPr>
          <w:rFonts w:ascii="Palatino Linotype" w:eastAsia="Palatino Linotype" w:hAnsi="Palatino Linotype" w:cs="Palatino Linotype"/>
        </w:rPr>
        <w:t xml:space="preserve">, se encuentra </w:t>
      </w:r>
      <w:r w:rsidRPr="00340EF9">
        <w:rPr>
          <w:rFonts w:ascii="Palatino Linotype" w:eastAsia="Palatino Linotype" w:hAnsi="Palatino Linotype" w:cs="Palatino Linotype"/>
          <w:b/>
          <w:u w:val="single"/>
        </w:rPr>
        <w:t>fuera</w:t>
      </w:r>
      <w:r w:rsidRPr="00340EF9">
        <w:rPr>
          <w:rFonts w:ascii="Palatino Linotype" w:eastAsia="Palatino Linotype" w:hAnsi="Palatino Linotype" w:cs="Palatino Linotype"/>
        </w:rPr>
        <w:t xml:space="preserve"> de los márgenes temporales previstos en el precepto legal señalado en el artículo 178 de la Ley de Transparencia y Acceso a la Información Pública del Estado de México y Municipios y, por tanto, su interposición </w:t>
      </w:r>
      <w:r w:rsidRPr="00340EF9">
        <w:rPr>
          <w:rFonts w:ascii="Palatino Linotype" w:eastAsia="Palatino Linotype" w:hAnsi="Palatino Linotype" w:cs="Palatino Linotype"/>
          <w:b/>
        </w:rPr>
        <w:t>no se considera oportuna</w:t>
      </w:r>
      <w:r w:rsidRPr="00340EF9">
        <w:rPr>
          <w:rFonts w:ascii="Palatino Linotype" w:eastAsia="Palatino Linotype" w:hAnsi="Palatino Linotype" w:cs="Palatino Linotype"/>
        </w:rPr>
        <w:t xml:space="preserve">. </w:t>
      </w:r>
    </w:p>
    <w:p w14:paraId="1946A489" w14:textId="77777777" w:rsidR="00A70A38" w:rsidRPr="00340EF9" w:rsidRDefault="00A70A38">
      <w:pPr>
        <w:spacing w:line="360" w:lineRule="auto"/>
        <w:jc w:val="both"/>
        <w:rPr>
          <w:rFonts w:ascii="Palatino Linotype" w:eastAsia="Palatino Linotype" w:hAnsi="Palatino Linotype" w:cs="Palatino Linotype"/>
          <w:color w:val="000000"/>
        </w:rPr>
      </w:pPr>
    </w:p>
    <w:p w14:paraId="4622CCC6"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lastRenderedPageBreak/>
        <w:t>En atención a las consideraciones anteriores, esta Ponencia Resolutoria</w:t>
      </w:r>
      <w:r w:rsidRPr="00340EF9">
        <w:rPr>
          <w:rFonts w:ascii="Palatino Linotype" w:eastAsia="Palatino Linotype" w:hAnsi="Palatino Linotype" w:cs="Palatino Linotype"/>
          <w:color w:val="000000"/>
        </w:rPr>
        <w:t xml:space="preserve"> advierte que, en el presente caso, se actualiza la hipótesis prevista en </w:t>
      </w:r>
      <w:r w:rsidRPr="00340EF9">
        <w:rPr>
          <w:rFonts w:ascii="Palatino Linotype" w:eastAsia="Palatino Linotype" w:hAnsi="Palatino Linotype" w:cs="Palatino Linotype"/>
        </w:rPr>
        <w:t xml:space="preserve">el </w:t>
      </w:r>
      <w:r w:rsidRPr="00340EF9">
        <w:rPr>
          <w:rFonts w:ascii="Palatino Linotype" w:eastAsia="Palatino Linotype" w:hAnsi="Palatino Linotype" w:cs="Palatino Linotype"/>
          <w:color w:val="000000"/>
        </w:rPr>
        <w:t>artículo 191 fracción I de</w:t>
      </w:r>
      <w:r w:rsidRPr="00340EF9">
        <w:rPr>
          <w:rFonts w:ascii="Palatino Linotype" w:eastAsia="Palatino Linotype" w:hAnsi="Palatino Linotype" w:cs="Palatino Linotype"/>
        </w:rPr>
        <w:t xml:space="preserve"> la Ley de Transparencia y Acceso a la Información Pública del Estado de México y Municipios, </w:t>
      </w:r>
      <w:r w:rsidRPr="00340EF9">
        <w:rPr>
          <w:rFonts w:ascii="Palatino Linotype" w:eastAsia="Palatino Linotype" w:hAnsi="Palatino Linotype" w:cs="Palatino Linotype"/>
          <w:color w:val="000000"/>
        </w:rPr>
        <w:t xml:space="preserve">que dispone lo siguiente: </w:t>
      </w:r>
    </w:p>
    <w:p w14:paraId="401699D4" w14:textId="77777777" w:rsidR="00A70A38" w:rsidRPr="007B0763" w:rsidRDefault="007C5AAF">
      <w:pPr>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w:t>
      </w:r>
      <w:r w:rsidRPr="007B0763">
        <w:rPr>
          <w:rFonts w:ascii="Palatino Linotype" w:eastAsia="Palatino Linotype" w:hAnsi="Palatino Linotype" w:cs="Palatino Linotype"/>
          <w:b/>
          <w:i/>
          <w:sz w:val="22"/>
        </w:rPr>
        <w:t>Artículo 191</w:t>
      </w:r>
      <w:r w:rsidRPr="007B0763">
        <w:rPr>
          <w:rFonts w:ascii="Palatino Linotype" w:eastAsia="Palatino Linotype" w:hAnsi="Palatino Linotype" w:cs="Palatino Linotype"/>
          <w:i/>
          <w:sz w:val="22"/>
        </w:rPr>
        <w:t xml:space="preserve">. El recurso será desechado por improcedente cuando: </w:t>
      </w:r>
    </w:p>
    <w:p w14:paraId="3E1821F2" w14:textId="77777777" w:rsidR="00A70A38" w:rsidRPr="007B0763" w:rsidRDefault="007C5AAF">
      <w:pPr>
        <w:spacing w:before="120"/>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I. Sea extemporáneo por haber transcurrido el plazo establecido en la presente Ley, a partir de la respuesta;</w:t>
      </w:r>
    </w:p>
    <w:p w14:paraId="3EDB2924" w14:textId="77777777" w:rsidR="00A70A38" w:rsidRPr="007B0763" w:rsidRDefault="007C5AAF">
      <w:pPr>
        <w:spacing w:before="120"/>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w:t>
      </w:r>
    </w:p>
    <w:p w14:paraId="78C616F4" w14:textId="77777777" w:rsidR="00A70A38" w:rsidRPr="007B0763" w:rsidRDefault="00A70A38">
      <w:pPr>
        <w:spacing w:before="120" w:line="360" w:lineRule="auto"/>
        <w:ind w:right="709"/>
        <w:jc w:val="both"/>
        <w:rPr>
          <w:rFonts w:ascii="Palatino Linotype" w:eastAsia="Palatino Linotype" w:hAnsi="Palatino Linotype" w:cs="Palatino Linotype"/>
          <w:sz w:val="22"/>
        </w:rPr>
      </w:pPr>
    </w:p>
    <w:p w14:paraId="626B766A"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t xml:space="preserve">Derivado de lo anterior, se obvia el análisis de fondo en el presente recurso de revisión, respecto de las razones o motivos de inconformidad expresados por el </w:t>
      </w:r>
      <w:r w:rsidRPr="00340EF9">
        <w:rPr>
          <w:rFonts w:ascii="Palatino Linotype" w:eastAsia="Palatino Linotype" w:hAnsi="Palatino Linotype" w:cs="Palatino Linotype"/>
          <w:b/>
        </w:rPr>
        <w:t>RECURRENTE</w:t>
      </w:r>
      <w:r w:rsidRPr="00340EF9">
        <w:rPr>
          <w:rFonts w:ascii="Palatino Linotype" w:eastAsia="Palatino Linotype" w:hAnsi="Palatino Linotype" w:cs="Palatino Linotype"/>
        </w:rPr>
        <w:t>, pues aunque éstas resultaren fundadas, en nada abonará llegar a dicha conclusión, pues el recurso de revisión debe desecharse por ser notoriamente improcedente al haberse interpuesto de manera extemporánea. Sirve de apoyo a lo anterior, por analogía la Tesis Jurisprudencial con número de registro 2011170 de la Décima Época de la Primera Sala de la Suprema Corte de Justicia de la Nación, publicada en la página 966 del Libro 28, Tomo I, de marzo de 2016, del Semanario Judicial de la Federación y su Gaceta, misma que es del tenor literal siguiente:</w:t>
      </w:r>
    </w:p>
    <w:p w14:paraId="4FAAB060" w14:textId="77777777" w:rsidR="00A70A38" w:rsidRPr="007B0763" w:rsidRDefault="007C5AAF">
      <w:pPr>
        <w:ind w:left="567" w:right="539"/>
        <w:jc w:val="both"/>
        <w:rPr>
          <w:rFonts w:ascii="Palatino Linotype" w:eastAsia="Palatino Linotype" w:hAnsi="Palatino Linotype" w:cs="Palatino Linotype"/>
          <w:b/>
          <w:i/>
          <w:sz w:val="22"/>
        </w:rPr>
      </w:pPr>
      <w:r w:rsidRPr="007B0763">
        <w:rPr>
          <w:rFonts w:ascii="Palatino Linotype" w:eastAsia="Palatino Linotype" w:hAnsi="Palatino Linotype" w:cs="Palatino Linotype"/>
          <w:b/>
          <w:i/>
          <w:sz w:val="22"/>
        </w:rPr>
        <w:t>REVISIÓN EN AMPARO DIRECTO. ES EXTEMPORÁNEO CUANDO SU ADMISIÓN SE BASA EN EL SUPUESTO DE "PRESUNCIÓN DE OPORTUNIDAD", POR LO QUE DEBE PROCEDER SU DESECHAMIENTO POR IMPROCEDENTE.</w:t>
      </w:r>
    </w:p>
    <w:p w14:paraId="623D33FB" w14:textId="77777777" w:rsidR="00A70A38" w:rsidRPr="007B0763" w:rsidRDefault="00A70A38">
      <w:pPr>
        <w:ind w:left="567" w:right="539"/>
        <w:rPr>
          <w:rFonts w:ascii="Palatino Linotype" w:eastAsia="Palatino Linotype" w:hAnsi="Palatino Linotype" w:cs="Palatino Linotype"/>
          <w:i/>
          <w:sz w:val="22"/>
        </w:rPr>
      </w:pPr>
    </w:p>
    <w:p w14:paraId="61000D9B" w14:textId="77777777" w:rsidR="00A70A38" w:rsidRPr="007B0763" w:rsidRDefault="007C5AAF">
      <w:pPr>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Es extemporánea la interposición del recurso de revisión en amparo directo, cuando el escrito de agravios se presenta fuera del plazo de diez días previsto en el artículo </w:t>
      </w:r>
      <w:hyperlink r:id="rId12">
        <w:r w:rsidRPr="007B0763">
          <w:rPr>
            <w:rFonts w:ascii="Palatino Linotype" w:eastAsia="Palatino Linotype" w:hAnsi="Palatino Linotype" w:cs="Palatino Linotype"/>
            <w:i/>
            <w:sz w:val="22"/>
          </w:rPr>
          <w:t>86, párrafo primero, de la Ley de Amparo</w:t>
        </w:r>
      </w:hyperlink>
      <w:r w:rsidRPr="007B0763">
        <w:rPr>
          <w:rFonts w:ascii="Palatino Linotype" w:eastAsia="Palatino Linotype" w:hAnsi="Palatino Linotype" w:cs="Palatino Linotype"/>
          <w:i/>
          <w:sz w:val="22"/>
        </w:rPr>
        <w:t xml:space="preserve">, contados a partir del siguiente al en que hubiera surtido efectos la notificación de la resolución recurrida, a fin de estimar acreditado el requisito de oportunidad. Ello, con independencia de la forma en que se llevó a cabo la notificación y cómo se ordenó su realización. En ese sentido, si en el acuerdo de presidencia se admite el recurso de revisión bajo el supuesto de "presunción de oportunidad", al </w:t>
      </w:r>
      <w:r w:rsidRPr="007B0763">
        <w:rPr>
          <w:rFonts w:ascii="Palatino Linotype" w:eastAsia="Palatino Linotype" w:hAnsi="Palatino Linotype" w:cs="Palatino Linotype"/>
          <w:i/>
          <w:sz w:val="22"/>
        </w:rPr>
        <w:lastRenderedPageBreak/>
        <w:t>considerarse que fue incorrecto que se notificara la sentencia recurrida por medio de lista, por advertir de la demanda de amparo una solicitud de interpretación constitucional, lo cual daba lugar a considerar la oportunidad del medio de impugnación, dicha circunstancia es incorrecta, en razón de que el recurso de revisión en amparo directo no es la vía idónea para tener por subsanada, incluso de oficio, la incorrecta notificación de la sentencia constitucional realizada a las partes, sino el incidente de nulidad de notificación previsto en el artículo </w:t>
      </w:r>
      <w:hyperlink r:id="rId13">
        <w:r w:rsidRPr="007B0763">
          <w:rPr>
            <w:rFonts w:ascii="Palatino Linotype" w:eastAsia="Palatino Linotype" w:hAnsi="Palatino Linotype" w:cs="Palatino Linotype"/>
            <w:i/>
            <w:sz w:val="22"/>
          </w:rPr>
          <w:t>68 de la Ley de Amparo</w:t>
        </w:r>
      </w:hyperlink>
      <w:r w:rsidRPr="007B0763">
        <w:rPr>
          <w:rFonts w:ascii="Palatino Linotype" w:eastAsia="Palatino Linotype" w:hAnsi="Palatino Linotype" w:cs="Palatino Linotype"/>
          <w:i/>
          <w:sz w:val="22"/>
        </w:rPr>
        <w:t xml:space="preserve">, por lo que si al </w:t>
      </w:r>
      <w:r w:rsidRPr="007B0763">
        <w:rPr>
          <w:rFonts w:ascii="Palatino Linotype" w:eastAsia="Palatino Linotype" w:hAnsi="Palatino Linotype" w:cs="Palatino Linotype"/>
          <w:b/>
          <w:i/>
          <w:sz w:val="22"/>
        </w:rPr>
        <w:t>reexaminar la temporalidad de la interposición del recurso se advierte que se hizo valer de forma extemporánea, debe proceder su desechamiento por improcedente</w:t>
      </w:r>
      <w:r w:rsidRPr="007B0763">
        <w:rPr>
          <w:rFonts w:ascii="Palatino Linotype" w:eastAsia="Palatino Linotype" w:hAnsi="Palatino Linotype" w:cs="Palatino Linotype"/>
          <w:i/>
          <w:sz w:val="22"/>
        </w:rPr>
        <w:t>.</w:t>
      </w:r>
    </w:p>
    <w:p w14:paraId="5A16E2F3" w14:textId="77777777" w:rsidR="00A70A38" w:rsidRPr="00340EF9" w:rsidRDefault="00A70A38">
      <w:pPr>
        <w:tabs>
          <w:tab w:val="left" w:pos="426"/>
        </w:tabs>
        <w:spacing w:line="360" w:lineRule="auto"/>
        <w:jc w:val="both"/>
        <w:rPr>
          <w:rFonts w:ascii="Palatino Linotype" w:eastAsia="Palatino Linotype" w:hAnsi="Palatino Linotype" w:cs="Palatino Linotype"/>
          <w:color w:val="000000"/>
        </w:rPr>
      </w:pPr>
    </w:p>
    <w:p w14:paraId="3B0D76D8"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color w:val="000000"/>
        </w:rPr>
        <w:t xml:space="preserve">Es por ello, que la Ley en la materia contempla que en los casos en que el recurso de revisión </w:t>
      </w:r>
      <w:r w:rsidRPr="00340EF9">
        <w:rPr>
          <w:rFonts w:ascii="Palatino Linotype" w:eastAsia="Palatino Linotype" w:hAnsi="Palatino Linotype" w:cs="Palatino Linotype"/>
        </w:rPr>
        <w:t>al ser interpuesto de manera extemporánea respecto del plazo otorgado para tales efectos, deberá ser desechado de conformidad con lo señalado en el artículo 191 fracción I de la Ley de Transparencia y Acceso a la Información Pública del Estado de México y Municipios, mismos que se transcriben a continuación:</w:t>
      </w:r>
    </w:p>
    <w:p w14:paraId="0E950BE5" w14:textId="77777777" w:rsidR="00A70A38" w:rsidRPr="007B0763" w:rsidRDefault="007C5AAF">
      <w:pPr>
        <w:ind w:left="567" w:right="539"/>
        <w:jc w:val="both"/>
        <w:rPr>
          <w:rFonts w:ascii="Palatino Linotype" w:eastAsia="Palatino Linotype" w:hAnsi="Palatino Linotype" w:cs="Palatino Linotype"/>
          <w:b/>
          <w:i/>
          <w:sz w:val="22"/>
          <w:u w:val="single"/>
        </w:rPr>
      </w:pPr>
      <w:r w:rsidRPr="007B0763">
        <w:rPr>
          <w:rFonts w:ascii="Palatino Linotype" w:eastAsia="Palatino Linotype" w:hAnsi="Palatino Linotype" w:cs="Palatino Linotype"/>
          <w:i/>
          <w:sz w:val="22"/>
        </w:rPr>
        <w:t>“</w:t>
      </w:r>
      <w:r w:rsidRPr="007B0763">
        <w:rPr>
          <w:rFonts w:ascii="Palatino Linotype" w:eastAsia="Palatino Linotype" w:hAnsi="Palatino Linotype" w:cs="Palatino Linotype"/>
          <w:b/>
          <w:i/>
          <w:sz w:val="22"/>
        </w:rPr>
        <w:t>Artículo 191.</w:t>
      </w:r>
      <w:r w:rsidRPr="007B0763">
        <w:rPr>
          <w:rFonts w:ascii="Palatino Linotype" w:eastAsia="Palatino Linotype" w:hAnsi="Palatino Linotype" w:cs="Palatino Linotype"/>
          <w:i/>
          <w:sz w:val="22"/>
        </w:rPr>
        <w:t xml:space="preserve"> El recurso será </w:t>
      </w:r>
      <w:r w:rsidRPr="007B0763">
        <w:rPr>
          <w:rFonts w:ascii="Palatino Linotype" w:eastAsia="Palatino Linotype" w:hAnsi="Palatino Linotype" w:cs="Palatino Linotype"/>
          <w:b/>
          <w:i/>
          <w:sz w:val="22"/>
        </w:rPr>
        <w:t>desechado por improcedente</w:t>
      </w:r>
      <w:r w:rsidRPr="007B0763">
        <w:rPr>
          <w:rFonts w:ascii="Palatino Linotype" w:eastAsia="Palatino Linotype" w:hAnsi="Palatino Linotype" w:cs="Palatino Linotype"/>
          <w:i/>
          <w:sz w:val="22"/>
        </w:rPr>
        <w:t xml:space="preserve"> cuando:</w:t>
      </w:r>
    </w:p>
    <w:p w14:paraId="06F6185A" w14:textId="77777777" w:rsidR="00A70A38" w:rsidRPr="007B0763" w:rsidRDefault="007C5AAF">
      <w:pPr>
        <w:spacing w:before="120"/>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 xml:space="preserve">I. Sea </w:t>
      </w:r>
      <w:r w:rsidRPr="007B0763">
        <w:rPr>
          <w:rFonts w:ascii="Palatino Linotype" w:eastAsia="Palatino Linotype" w:hAnsi="Palatino Linotype" w:cs="Palatino Linotype"/>
          <w:b/>
          <w:i/>
          <w:sz w:val="22"/>
        </w:rPr>
        <w:t>extemporáneo</w:t>
      </w:r>
      <w:r w:rsidRPr="007B0763">
        <w:rPr>
          <w:rFonts w:ascii="Palatino Linotype" w:eastAsia="Palatino Linotype" w:hAnsi="Palatino Linotype" w:cs="Palatino Linotype"/>
          <w:i/>
          <w:sz w:val="22"/>
        </w:rPr>
        <w:t xml:space="preserve"> por haber transcurrido el plazo establecido en la presente Ley, a partir de la respuesta;</w:t>
      </w:r>
    </w:p>
    <w:p w14:paraId="2A10E51A" w14:textId="77777777" w:rsidR="00A70A38" w:rsidRDefault="007C5AAF">
      <w:pPr>
        <w:spacing w:before="120"/>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w:t>
      </w:r>
    </w:p>
    <w:p w14:paraId="6531D6F5" w14:textId="77777777" w:rsidR="007B0763" w:rsidRPr="007B0763" w:rsidRDefault="007B0763">
      <w:pPr>
        <w:spacing w:before="120"/>
        <w:ind w:left="567" w:right="539"/>
        <w:jc w:val="both"/>
        <w:rPr>
          <w:rFonts w:ascii="Palatino Linotype" w:eastAsia="Palatino Linotype" w:hAnsi="Palatino Linotype" w:cs="Palatino Linotype"/>
          <w:i/>
          <w:sz w:val="22"/>
        </w:rPr>
      </w:pPr>
    </w:p>
    <w:p w14:paraId="44105DE7"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color w:val="000000"/>
        </w:rPr>
        <w:t xml:space="preserve">Consecuentemente, en términos del artículo 191, fracción I, de la Ley de Transparencia y Acceso a la Información Pública del Estado de México y Municipios, este Instituto </w:t>
      </w:r>
      <w:r w:rsidRPr="00340EF9">
        <w:rPr>
          <w:rFonts w:ascii="Palatino Linotype" w:eastAsia="Palatino Linotype" w:hAnsi="Palatino Linotype" w:cs="Palatino Linotype"/>
        </w:rPr>
        <w:t xml:space="preserve">determina el </w:t>
      </w:r>
      <w:r w:rsidRPr="00340EF9">
        <w:rPr>
          <w:rFonts w:ascii="Palatino Linotype" w:eastAsia="Palatino Linotype" w:hAnsi="Palatino Linotype" w:cs="Palatino Linotype"/>
          <w:b/>
        </w:rPr>
        <w:t xml:space="preserve">SOBRESEIMIENTO </w:t>
      </w:r>
      <w:r w:rsidRPr="00340EF9">
        <w:rPr>
          <w:rFonts w:ascii="Palatino Linotype" w:eastAsia="Palatino Linotype" w:hAnsi="Palatino Linotype" w:cs="Palatino Linotype"/>
        </w:rPr>
        <w:t>del presente recurso de revisión, por resultar improcedente, de acuerdo con el artículo 192, fracción IV de la misma Ley.</w:t>
      </w:r>
    </w:p>
    <w:p w14:paraId="42EF4C25" w14:textId="77777777" w:rsidR="00A70A38" w:rsidRPr="007B0763" w:rsidRDefault="007C5AAF">
      <w:pPr>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w:t>
      </w:r>
      <w:r w:rsidRPr="007B0763">
        <w:rPr>
          <w:rFonts w:ascii="Palatino Linotype" w:eastAsia="Palatino Linotype" w:hAnsi="Palatino Linotype" w:cs="Palatino Linotype"/>
          <w:b/>
          <w:i/>
          <w:sz w:val="22"/>
        </w:rPr>
        <w:t>Artículo 192.</w:t>
      </w:r>
      <w:r w:rsidRPr="007B0763">
        <w:rPr>
          <w:rFonts w:ascii="Palatino Linotype" w:eastAsia="Palatino Linotype" w:hAnsi="Palatino Linotype" w:cs="Palatino Linotype"/>
          <w:i/>
          <w:sz w:val="22"/>
        </w:rPr>
        <w:t xml:space="preserve"> El recurso será </w:t>
      </w:r>
      <w:r w:rsidRPr="007B0763">
        <w:rPr>
          <w:rFonts w:ascii="Palatino Linotype" w:eastAsia="Palatino Linotype" w:hAnsi="Palatino Linotype" w:cs="Palatino Linotype"/>
          <w:b/>
          <w:i/>
          <w:sz w:val="22"/>
        </w:rPr>
        <w:t>sobreseído</w:t>
      </w:r>
      <w:r w:rsidRPr="007B0763">
        <w:rPr>
          <w:rFonts w:ascii="Palatino Linotype" w:eastAsia="Palatino Linotype" w:hAnsi="Palatino Linotype" w:cs="Palatino Linotype"/>
          <w:i/>
          <w:sz w:val="22"/>
        </w:rPr>
        <w:t>, en todo o parte, cuando una vez admitido, se actualicen alguno de los siguientes supuestos:</w:t>
      </w:r>
    </w:p>
    <w:p w14:paraId="7149107D" w14:textId="77777777" w:rsidR="00A70A38" w:rsidRPr="007B0763" w:rsidRDefault="007C5AAF">
      <w:pPr>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w:t>
      </w:r>
    </w:p>
    <w:p w14:paraId="1B0A7E94" w14:textId="77777777" w:rsidR="00A70A38" w:rsidRPr="007B0763" w:rsidRDefault="007C5AAF">
      <w:pPr>
        <w:ind w:left="567" w:right="539"/>
        <w:jc w:val="both"/>
        <w:rPr>
          <w:rFonts w:ascii="Palatino Linotype" w:eastAsia="Palatino Linotype" w:hAnsi="Palatino Linotype" w:cs="Palatino Linotype"/>
          <w:b/>
          <w:i/>
          <w:sz w:val="22"/>
        </w:rPr>
      </w:pPr>
      <w:r w:rsidRPr="007B0763">
        <w:rPr>
          <w:rFonts w:ascii="Palatino Linotype" w:eastAsia="Palatino Linotype" w:hAnsi="Palatino Linotype" w:cs="Palatino Linotype"/>
          <w:b/>
          <w:i/>
          <w:sz w:val="22"/>
        </w:rPr>
        <w:t>IV. Admitido el recurso de revisión, aparezca alguna causal de improcedencia en los términos de la presente Ley; y</w:t>
      </w:r>
    </w:p>
    <w:p w14:paraId="7CA6AE48" w14:textId="77777777" w:rsidR="00A70A38" w:rsidRPr="007B0763" w:rsidRDefault="007C5AAF">
      <w:pPr>
        <w:ind w:left="567" w:right="539"/>
        <w:jc w:val="both"/>
        <w:rPr>
          <w:rFonts w:ascii="Palatino Linotype" w:eastAsia="Palatino Linotype" w:hAnsi="Palatino Linotype" w:cs="Palatino Linotype"/>
          <w:i/>
          <w:sz w:val="22"/>
        </w:rPr>
      </w:pPr>
      <w:r w:rsidRPr="007B0763">
        <w:rPr>
          <w:rFonts w:ascii="Palatino Linotype" w:eastAsia="Palatino Linotype" w:hAnsi="Palatino Linotype" w:cs="Palatino Linotype"/>
          <w:i/>
          <w:sz w:val="22"/>
        </w:rPr>
        <w:t>(…)”</w:t>
      </w:r>
    </w:p>
    <w:p w14:paraId="2178FB0A" w14:textId="77777777" w:rsidR="00A70A38" w:rsidRPr="00340EF9" w:rsidRDefault="00A70A38">
      <w:pPr>
        <w:spacing w:line="360" w:lineRule="auto"/>
        <w:jc w:val="both"/>
        <w:rPr>
          <w:rFonts w:ascii="Palatino Linotype" w:eastAsia="Palatino Linotype" w:hAnsi="Palatino Linotype" w:cs="Palatino Linotype"/>
          <w:color w:val="000000"/>
        </w:rPr>
      </w:pPr>
    </w:p>
    <w:p w14:paraId="39438447"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color w:val="000000"/>
        </w:rPr>
      </w:pPr>
      <w:r w:rsidRPr="00340EF9">
        <w:rPr>
          <w:rFonts w:ascii="Palatino Linotype" w:eastAsia="Palatino Linotype" w:hAnsi="Palatino Linotype" w:cs="Palatino Linotype"/>
        </w:rPr>
        <w:lastRenderedPageBreak/>
        <w:t xml:space="preserve">Finalmente, es de precisar que se dejan a salvo los derechos del </w:t>
      </w:r>
      <w:r w:rsidRPr="00340EF9">
        <w:rPr>
          <w:rFonts w:ascii="Palatino Linotype" w:eastAsia="Palatino Linotype" w:hAnsi="Palatino Linotype" w:cs="Palatino Linotype"/>
          <w:b/>
        </w:rPr>
        <w:t>RECURRENTE</w:t>
      </w:r>
      <w:r w:rsidRPr="00340EF9">
        <w:rPr>
          <w:rFonts w:ascii="Palatino Linotype" w:eastAsia="Palatino Linotype" w:hAnsi="Palatino Linotype" w:cs="Palatino Linotype"/>
        </w:rPr>
        <w:t xml:space="preserve"> a fin de que formule las solicitudes de acceso a la información pública que a su derecho convengan.</w:t>
      </w:r>
    </w:p>
    <w:p w14:paraId="6E3662DE" w14:textId="77777777" w:rsidR="00A70A38" w:rsidRPr="00340EF9" w:rsidRDefault="00A70A38">
      <w:pPr>
        <w:tabs>
          <w:tab w:val="left" w:pos="426"/>
        </w:tabs>
        <w:spacing w:line="360" w:lineRule="auto"/>
        <w:jc w:val="both"/>
        <w:rPr>
          <w:rFonts w:ascii="Palatino Linotype" w:eastAsia="Palatino Linotype" w:hAnsi="Palatino Linotype" w:cs="Palatino Linotype"/>
          <w:color w:val="000000"/>
        </w:rPr>
      </w:pPr>
    </w:p>
    <w:p w14:paraId="377BDF00" w14:textId="77777777" w:rsidR="00A70A38" w:rsidRPr="00340EF9" w:rsidRDefault="007C5AAF">
      <w:pPr>
        <w:numPr>
          <w:ilvl w:val="0"/>
          <w:numId w:val="1"/>
        </w:numPr>
        <w:spacing w:line="360" w:lineRule="auto"/>
        <w:ind w:left="0" w:firstLine="0"/>
        <w:jc w:val="both"/>
        <w:rPr>
          <w:rFonts w:ascii="Palatino Linotype" w:eastAsia="Palatino Linotype" w:hAnsi="Palatino Linotype" w:cs="Palatino Linotype"/>
        </w:rPr>
      </w:pPr>
      <w:r w:rsidRPr="00340EF9">
        <w:rPr>
          <w:rFonts w:ascii="Palatino Linotype" w:eastAsia="Palatino Linotype" w:hAnsi="Palatino Linotype" w:cs="Palatino Linotype"/>
        </w:rPr>
        <w:t xml:space="preserve">Por lo anteriormente expuesto y fundado, este </w:t>
      </w:r>
      <w:r w:rsidRPr="00340EF9">
        <w:rPr>
          <w:rFonts w:ascii="Palatino Linotype" w:eastAsia="Palatino Linotype" w:hAnsi="Palatino Linotype" w:cs="Palatino Linotype"/>
          <w:b/>
        </w:rPr>
        <w:t>ÓRGANO GARANTE</w:t>
      </w:r>
      <w:r w:rsidRPr="00340EF9">
        <w:rPr>
          <w:rFonts w:ascii="Palatino Linotype" w:eastAsia="Palatino Linotype" w:hAnsi="Palatino Linotype" w:cs="Palatino Linotype"/>
        </w:rPr>
        <w:t xml:space="preserve"> emite los siguientes:</w:t>
      </w:r>
    </w:p>
    <w:p w14:paraId="2626E2AF" w14:textId="77777777" w:rsidR="00A70A38" w:rsidRPr="00340EF9" w:rsidRDefault="00A70A38">
      <w:pPr>
        <w:spacing w:line="360" w:lineRule="auto"/>
        <w:jc w:val="both"/>
        <w:rPr>
          <w:rFonts w:ascii="Palatino Linotype" w:eastAsia="Palatino Linotype" w:hAnsi="Palatino Linotype" w:cs="Palatino Linotype"/>
        </w:rPr>
      </w:pPr>
    </w:p>
    <w:p w14:paraId="3CD32BB1" w14:textId="77777777" w:rsidR="00A70A38" w:rsidRPr="00340EF9" w:rsidRDefault="007C5AAF">
      <w:pPr>
        <w:keepNext/>
        <w:keepLines/>
        <w:spacing w:line="360" w:lineRule="auto"/>
        <w:jc w:val="center"/>
        <w:rPr>
          <w:rFonts w:ascii="Palatino Linotype" w:eastAsia="Palatino Linotype" w:hAnsi="Palatino Linotype" w:cs="Palatino Linotype"/>
          <w:color w:val="000000"/>
        </w:rPr>
      </w:pPr>
      <w:bookmarkStart w:id="5" w:name="_heading=h.2et92p0" w:colFirst="0" w:colLast="0"/>
      <w:bookmarkEnd w:id="5"/>
      <w:r w:rsidRPr="00340EF9">
        <w:rPr>
          <w:rFonts w:ascii="Palatino Linotype" w:eastAsia="Palatino Linotype" w:hAnsi="Palatino Linotype" w:cs="Palatino Linotype"/>
          <w:b/>
          <w:color w:val="000000"/>
        </w:rPr>
        <w:t>R E S O L U T I V O S</w:t>
      </w:r>
    </w:p>
    <w:p w14:paraId="0C3FF028" w14:textId="77777777" w:rsidR="00A70A38" w:rsidRPr="00340EF9" w:rsidRDefault="00A70A38">
      <w:pPr>
        <w:spacing w:line="360" w:lineRule="auto"/>
        <w:rPr>
          <w:rFonts w:ascii="Palatino Linotype" w:eastAsia="Palatino Linotype" w:hAnsi="Palatino Linotype" w:cs="Palatino Linotype"/>
        </w:rPr>
      </w:pPr>
    </w:p>
    <w:p w14:paraId="0BECF39E" w14:textId="77777777" w:rsidR="00A70A38" w:rsidRPr="00340EF9" w:rsidRDefault="007C5AAF">
      <w:pPr>
        <w:spacing w:line="360" w:lineRule="auto"/>
        <w:jc w:val="both"/>
        <w:rPr>
          <w:rFonts w:ascii="Palatino Linotype" w:eastAsia="Palatino Linotype" w:hAnsi="Palatino Linotype" w:cs="Palatino Linotype"/>
        </w:rPr>
      </w:pPr>
      <w:r w:rsidRPr="00340EF9">
        <w:rPr>
          <w:rFonts w:ascii="Palatino Linotype" w:eastAsia="Palatino Linotype" w:hAnsi="Palatino Linotype" w:cs="Palatino Linotype"/>
          <w:b/>
        </w:rPr>
        <w:t>PRIMERO</w:t>
      </w:r>
      <w:r w:rsidRPr="00340EF9">
        <w:rPr>
          <w:rFonts w:ascii="Palatino Linotype" w:eastAsia="Palatino Linotype" w:hAnsi="Palatino Linotype" w:cs="Palatino Linotype"/>
        </w:rPr>
        <w:t xml:space="preserve">. Se </w:t>
      </w:r>
      <w:r w:rsidRPr="00340EF9">
        <w:rPr>
          <w:rFonts w:ascii="Palatino Linotype" w:eastAsia="Palatino Linotype" w:hAnsi="Palatino Linotype" w:cs="Palatino Linotype"/>
          <w:b/>
        </w:rPr>
        <w:t xml:space="preserve">SOBRESEE </w:t>
      </w:r>
      <w:r w:rsidRPr="00340EF9">
        <w:rPr>
          <w:rFonts w:ascii="Palatino Linotype" w:eastAsia="Palatino Linotype" w:hAnsi="Palatino Linotype" w:cs="Palatino Linotype"/>
        </w:rPr>
        <w:t>el recurso de revisión</w:t>
      </w:r>
      <w:r w:rsidRPr="00340EF9">
        <w:rPr>
          <w:rFonts w:ascii="Palatino Linotype" w:eastAsia="Palatino Linotype" w:hAnsi="Palatino Linotype" w:cs="Palatino Linotype"/>
          <w:b/>
        </w:rPr>
        <w:t xml:space="preserve"> 02688/INFOEM/IP/RR/2024</w:t>
      </w:r>
      <w:r w:rsidRPr="00340EF9">
        <w:rPr>
          <w:rFonts w:ascii="Palatino Linotype" w:eastAsia="Palatino Linotype" w:hAnsi="Palatino Linotype" w:cs="Palatino Linotype"/>
        </w:rPr>
        <w:t xml:space="preserve">, conforme al artículo 192 fracción IV, en relación con el artículo 191, fracción I, de la Ley de Transparencia y Acceso a la Información Pública del Estado de México y Municipios, en términos del </w:t>
      </w:r>
      <w:r w:rsidRPr="00340EF9">
        <w:rPr>
          <w:rFonts w:ascii="Palatino Linotype" w:eastAsia="Palatino Linotype" w:hAnsi="Palatino Linotype" w:cs="Palatino Linotype"/>
          <w:b/>
        </w:rPr>
        <w:t xml:space="preserve">Considerando Segundo </w:t>
      </w:r>
      <w:r w:rsidRPr="00340EF9">
        <w:rPr>
          <w:rFonts w:ascii="Palatino Linotype" w:eastAsia="Palatino Linotype" w:hAnsi="Palatino Linotype" w:cs="Palatino Linotype"/>
        </w:rPr>
        <w:t>de la presente Resolución.</w:t>
      </w:r>
    </w:p>
    <w:p w14:paraId="1C4ABA02" w14:textId="77777777" w:rsidR="00A70A38" w:rsidRPr="00340EF9" w:rsidRDefault="00A70A38">
      <w:pPr>
        <w:spacing w:line="360" w:lineRule="auto"/>
        <w:jc w:val="both"/>
        <w:rPr>
          <w:rFonts w:ascii="Palatino Linotype" w:eastAsia="Palatino Linotype" w:hAnsi="Palatino Linotype" w:cs="Palatino Linotype"/>
          <w:b/>
        </w:rPr>
      </w:pPr>
    </w:p>
    <w:p w14:paraId="79CEAEBF" w14:textId="77777777" w:rsidR="00A70A38" w:rsidRPr="00340EF9" w:rsidRDefault="007C5AAF">
      <w:pPr>
        <w:spacing w:line="360" w:lineRule="auto"/>
        <w:jc w:val="both"/>
        <w:rPr>
          <w:rFonts w:ascii="Palatino Linotype" w:eastAsia="Palatino Linotype" w:hAnsi="Palatino Linotype" w:cs="Palatino Linotype"/>
          <w:b/>
          <w:highlight w:val="white"/>
        </w:rPr>
      </w:pPr>
      <w:r w:rsidRPr="00340EF9">
        <w:rPr>
          <w:rFonts w:ascii="Palatino Linotype" w:eastAsia="Palatino Linotype" w:hAnsi="Palatino Linotype" w:cs="Palatino Linotype"/>
          <w:b/>
        </w:rPr>
        <w:t xml:space="preserve">SEGUNDO. REMÍTASE, </w:t>
      </w:r>
      <w:r w:rsidRPr="00340EF9">
        <w:rPr>
          <w:rFonts w:ascii="Palatino Linotype" w:eastAsia="Palatino Linotype" w:hAnsi="Palatino Linotype" w:cs="Palatino Linotype"/>
        </w:rPr>
        <w:t>vía Sistema de Acceso a Información Mexiquense, (</w:t>
      </w:r>
      <w:r w:rsidRPr="00340EF9">
        <w:rPr>
          <w:rFonts w:ascii="Palatino Linotype" w:eastAsia="Palatino Linotype" w:hAnsi="Palatino Linotype" w:cs="Palatino Linotype"/>
          <w:b/>
        </w:rPr>
        <w:t xml:space="preserve">SAIMEX), </w:t>
      </w:r>
      <w:r w:rsidRPr="00340EF9">
        <w:rPr>
          <w:rFonts w:ascii="Palatino Linotype" w:eastAsia="Palatino Linotype" w:hAnsi="Palatino Linotype" w:cs="Palatino Linotype"/>
        </w:rPr>
        <w:t xml:space="preserve">la presente resolución al Titular de la Unidad de Transparencia </w:t>
      </w:r>
      <w:r w:rsidRPr="00340EF9">
        <w:rPr>
          <w:rFonts w:ascii="Palatino Linotype" w:eastAsia="Palatino Linotype" w:hAnsi="Palatino Linotype" w:cs="Palatino Linotype"/>
          <w:color w:val="222222"/>
          <w:highlight w:val="white"/>
        </w:rPr>
        <w:t xml:space="preserve">del </w:t>
      </w:r>
      <w:r w:rsidRPr="00340EF9">
        <w:rPr>
          <w:rFonts w:ascii="Palatino Linotype" w:eastAsia="Palatino Linotype" w:hAnsi="Palatino Linotype" w:cs="Palatino Linotype"/>
          <w:b/>
          <w:highlight w:val="white"/>
        </w:rPr>
        <w:t>SUJETO OBLIGADO.</w:t>
      </w:r>
    </w:p>
    <w:p w14:paraId="0912D54B" w14:textId="77777777" w:rsidR="00A70A38" w:rsidRPr="00340EF9" w:rsidRDefault="007C5AAF">
      <w:pPr>
        <w:shd w:val="clear" w:color="auto" w:fill="FFFFFF"/>
        <w:spacing w:before="240" w:after="360" w:line="360" w:lineRule="auto"/>
        <w:jc w:val="both"/>
        <w:rPr>
          <w:rFonts w:ascii="Palatino Linotype" w:eastAsia="Palatino Linotype" w:hAnsi="Palatino Linotype" w:cs="Palatino Linotype"/>
        </w:rPr>
      </w:pPr>
      <w:r w:rsidRPr="00340EF9">
        <w:rPr>
          <w:rFonts w:ascii="Palatino Linotype" w:eastAsia="Palatino Linotype" w:hAnsi="Palatino Linotype" w:cs="Palatino Linotype"/>
          <w:b/>
        </w:rPr>
        <w:t xml:space="preserve">TERCERO. </w:t>
      </w:r>
      <w:r w:rsidRPr="00340EF9">
        <w:rPr>
          <w:rFonts w:ascii="Palatino Linotype" w:eastAsia="Palatino Linotype" w:hAnsi="Palatino Linotype" w:cs="Palatino Linotype"/>
        </w:rPr>
        <w:t xml:space="preserve">Notifíquese al </w:t>
      </w:r>
      <w:r w:rsidRPr="00340EF9">
        <w:rPr>
          <w:rFonts w:ascii="Palatino Linotype" w:eastAsia="Palatino Linotype" w:hAnsi="Palatino Linotype" w:cs="Palatino Linotype"/>
          <w:b/>
        </w:rPr>
        <w:t xml:space="preserve">RECURRENTE </w:t>
      </w:r>
      <w:r w:rsidRPr="00340EF9">
        <w:rPr>
          <w:rFonts w:ascii="Palatino Linotype" w:eastAsia="Palatino Linotype" w:hAnsi="Palatino Linotype" w:cs="Palatino Linotype"/>
        </w:rPr>
        <w:t>la presente resolución vía Sistema de Acceso a Información Mexiquense (</w:t>
      </w:r>
      <w:r w:rsidRPr="00340EF9">
        <w:rPr>
          <w:rFonts w:ascii="Palatino Linotype" w:eastAsia="Palatino Linotype" w:hAnsi="Palatino Linotype" w:cs="Palatino Linotype"/>
          <w:b/>
        </w:rPr>
        <w:t>SAIMEX).</w:t>
      </w:r>
    </w:p>
    <w:p w14:paraId="328D541F" w14:textId="77777777" w:rsidR="00A70A38" w:rsidRDefault="007C5AAF">
      <w:pPr>
        <w:spacing w:line="360" w:lineRule="auto"/>
        <w:jc w:val="both"/>
        <w:rPr>
          <w:rFonts w:ascii="Palatino Linotype" w:eastAsia="Palatino Linotype" w:hAnsi="Palatino Linotype" w:cs="Palatino Linotype"/>
        </w:rPr>
      </w:pPr>
      <w:r w:rsidRPr="00340EF9">
        <w:rPr>
          <w:rFonts w:ascii="Palatino Linotype" w:eastAsia="Palatino Linotype" w:hAnsi="Palatino Linotype" w:cs="Palatino Linotype"/>
          <w:b/>
        </w:rPr>
        <w:t>CUARTO.</w:t>
      </w:r>
      <w:r w:rsidRPr="00340EF9">
        <w:rPr>
          <w:rFonts w:ascii="Palatino Linotype" w:eastAsia="Palatino Linotype" w:hAnsi="Palatino Linotype" w:cs="Palatino Linotype"/>
        </w:rPr>
        <w:t xml:space="preserve"> Se hace del conocimiento del</w:t>
      </w:r>
      <w:r w:rsidRPr="00340EF9">
        <w:rPr>
          <w:rFonts w:ascii="Palatino Linotype" w:eastAsia="Palatino Linotype" w:hAnsi="Palatino Linotype" w:cs="Palatino Linotype"/>
          <w:b/>
        </w:rPr>
        <w:t xml:space="preserve"> RECURRENTE</w:t>
      </w:r>
      <w:r w:rsidRPr="00340EF9">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w:t>
      </w:r>
      <w:r w:rsidRPr="00340EF9">
        <w:rPr>
          <w:rFonts w:ascii="Palatino Linotype" w:eastAsia="Palatino Linotype" w:hAnsi="Palatino Linotype" w:cs="Palatino Linotype"/>
        </w:rPr>
        <w:lastRenderedPageBreak/>
        <w:t>le cause algún perjuicio podrá impugnar vía juicio de amparo en los términos de las leyes aplicables.</w:t>
      </w:r>
    </w:p>
    <w:p w14:paraId="72E0F3BD" w14:textId="77777777" w:rsidR="00EB07A4" w:rsidRDefault="00EB07A4">
      <w:pPr>
        <w:spacing w:line="360" w:lineRule="auto"/>
        <w:jc w:val="both"/>
        <w:rPr>
          <w:rFonts w:ascii="Palatino Linotype" w:eastAsia="Palatino Linotype" w:hAnsi="Palatino Linotype" w:cs="Palatino Linotype"/>
        </w:rPr>
      </w:pPr>
    </w:p>
    <w:p w14:paraId="3AF388A1" w14:textId="77777777" w:rsidR="00EB07A4" w:rsidRDefault="00EB07A4">
      <w:pPr>
        <w:spacing w:line="360" w:lineRule="auto"/>
        <w:jc w:val="both"/>
        <w:rPr>
          <w:rFonts w:ascii="Palatino Linotype" w:eastAsia="Palatino Linotype" w:hAnsi="Palatino Linotype" w:cs="Palatino Linotype"/>
        </w:rPr>
      </w:pPr>
    </w:p>
    <w:p w14:paraId="2BCD62C7" w14:textId="77777777" w:rsidR="00EB07A4" w:rsidRDefault="00EB07A4">
      <w:pPr>
        <w:spacing w:line="360" w:lineRule="auto"/>
        <w:jc w:val="both"/>
        <w:rPr>
          <w:rFonts w:ascii="Palatino Linotype" w:eastAsia="Palatino Linotype" w:hAnsi="Palatino Linotype" w:cs="Palatino Linotype"/>
        </w:rPr>
      </w:pPr>
    </w:p>
    <w:p w14:paraId="0153416A" w14:textId="77777777" w:rsidR="00EB07A4" w:rsidRDefault="00EB07A4">
      <w:pPr>
        <w:spacing w:line="360" w:lineRule="auto"/>
        <w:jc w:val="both"/>
        <w:rPr>
          <w:rFonts w:ascii="Palatino Linotype" w:eastAsia="Palatino Linotype" w:hAnsi="Palatino Linotype" w:cs="Palatino Linotype"/>
        </w:rPr>
      </w:pPr>
    </w:p>
    <w:p w14:paraId="7201402B" w14:textId="77777777" w:rsidR="00EB07A4" w:rsidRPr="00340EF9" w:rsidRDefault="00EB07A4">
      <w:pPr>
        <w:spacing w:line="360" w:lineRule="auto"/>
        <w:jc w:val="both"/>
        <w:rPr>
          <w:rFonts w:ascii="Palatino Linotype" w:eastAsia="Palatino Linotype" w:hAnsi="Palatino Linotype" w:cs="Palatino Linotype"/>
        </w:rPr>
      </w:pPr>
    </w:p>
    <w:p w14:paraId="3507A876" w14:textId="77777777" w:rsidR="00BC208F" w:rsidRPr="003C7186" w:rsidRDefault="00BC208F" w:rsidP="00BC208F">
      <w:pPr>
        <w:spacing w:line="360" w:lineRule="auto"/>
        <w:ind w:firstLine="1"/>
        <w:jc w:val="both"/>
        <w:rPr>
          <w:rFonts w:ascii="Palatino Linotype" w:hAnsi="Palatino Linotype"/>
        </w:rPr>
      </w:pPr>
      <w:bookmarkStart w:id="6" w:name="_heading=h.tyjcwt" w:colFirst="0" w:colLast="0"/>
      <w:bookmarkEnd w:id="6"/>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01D67908" w14:textId="77777777" w:rsidR="007B0763" w:rsidRDefault="007B0763">
      <w:pPr>
        <w:spacing w:before="240" w:after="240" w:line="360" w:lineRule="auto"/>
        <w:jc w:val="both"/>
        <w:rPr>
          <w:rFonts w:ascii="Palatino Linotype" w:eastAsia="Palatino Linotype" w:hAnsi="Palatino Linotype" w:cs="Palatino Linotype"/>
        </w:rPr>
      </w:pPr>
    </w:p>
    <w:p w14:paraId="1BEDEA4C" w14:textId="77777777" w:rsidR="007B0763" w:rsidRDefault="007B0763">
      <w:pPr>
        <w:spacing w:before="240" w:after="240" w:line="360" w:lineRule="auto"/>
        <w:jc w:val="both"/>
        <w:rPr>
          <w:rFonts w:ascii="Palatino Linotype" w:eastAsia="Palatino Linotype" w:hAnsi="Palatino Linotype" w:cs="Palatino Linotype"/>
        </w:rPr>
      </w:pPr>
    </w:p>
    <w:p w14:paraId="1142168B" w14:textId="77777777" w:rsidR="007B0763" w:rsidRDefault="007B0763">
      <w:pPr>
        <w:spacing w:before="240" w:after="240" w:line="360" w:lineRule="auto"/>
        <w:jc w:val="both"/>
        <w:rPr>
          <w:rFonts w:ascii="Palatino Linotype" w:eastAsia="Palatino Linotype" w:hAnsi="Palatino Linotype" w:cs="Palatino Linotype"/>
        </w:rPr>
      </w:pPr>
    </w:p>
    <w:p w14:paraId="2F678E11" w14:textId="77777777" w:rsidR="007B0763" w:rsidRDefault="007B0763">
      <w:pPr>
        <w:spacing w:before="240" w:after="240" w:line="360" w:lineRule="auto"/>
        <w:jc w:val="both"/>
        <w:rPr>
          <w:rFonts w:ascii="Palatino Linotype" w:eastAsia="Palatino Linotype" w:hAnsi="Palatino Linotype" w:cs="Palatino Linotype"/>
        </w:rPr>
      </w:pPr>
    </w:p>
    <w:p w14:paraId="32C1E52A" w14:textId="77777777" w:rsidR="007B0763" w:rsidRDefault="007B0763">
      <w:pPr>
        <w:spacing w:before="240" w:after="240" w:line="360" w:lineRule="auto"/>
        <w:jc w:val="both"/>
        <w:rPr>
          <w:rFonts w:ascii="Palatino Linotype" w:eastAsia="Palatino Linotype" w:hAnsi="Palatino Linotype" w:cs="Palatino Linotype"/>
        </w:rPr>
      </w:pPr>
    </w:p>
    <w:p w14:paraId="53813E92" w14:textId="77777777" w:rsidR="007B0763" w:rsidRDefault="007B0763">
      <w:pPr>
        <w:spacing w:before="240" w:after="240" w:line="360" w:lineRule="auto"/>
        <w:jc w:val="both"/>
        <w:rPr>
          <w:rFonts w:ascii="Palatino Linotype" w:eastAsia="Palatino Linotype" w:hAnsi="Palatino Linotype" w:cs="Palatino Linotype"/>
        </w:rPr>
      </w:pPr>
    </w:p>
    <w:p w14:paraId="204A375D" w14:textId="77777777" w:rsidR="007B0763" w:rsidRDefault="007B0763">
      <w:pPr>
        <w:spacing w:before="240" w:after="240" w:line="360" w:lineRule="auto"/>
        <w:jc w:val="both"/>
        <w:rPr>
          <w:rFonts w:ascii="Palatino Linotype" w:eastAsia="Palatino Linotype" w:hAnsi="Palatino Linotype" w:cs="Palatino Linotype"/>
        </w:rPr>
      </w:pPr>
    </w:p>
    <w:p w14:paraId="5A3AB9D5" w14:textId="77777777" w:rsidR="007B0763" w:rsidRDefault="007B0763">
      <w:pPr>
        <w:spacing w:before="240" w:after="240" w:line="360" w:lineRule="auto"/>
        <w:jc w:val="both"/>
        <w:rPr>
          <w:rFonts w:ascii="Palatino Linotype" w:eastAsia="Palatino Linotype" w:hAnsi="Palatino Linotype" w:cs="Palatino Linotype"/>
        </w:rPr>
      </w:pPr>
    </w:p>
    <w:p w14:paraId="19F8126C" w14:textId="77777777" w:rsidR="007B0763" w:rsidRDefault="007B0763">
      <w:pPr>
        <w:spacing w:before="240" w:after="240" w:line="360" w:lineRule="auto"/>
        <w:jc w:val="both"/>
        <w:rPr>
          <w:rFonts w:ascii="Palatino Linotype" w:eastAsia="Palatino Linotype" w:hAnsi="Palatino Linotype" w:cs="Palatino Linotype"/>
        </w:rPr>
      </w:pPr>
    </w:p>
    <w:p w14:paraId="5CE77E3E" w14:textId="77777777" w:rsidR="007B0763" w:rsidRDefault="007B0763">
      <w:pPr>
        <w:spacing w:before="240" w:after="240" w:line="360" w:lineRule="auto"/>
        <w:jc w:val="both"/>
        <w:rPr>
          <w:rFonts w:ascii="Palatino Linotype" w:eastAsia="Palatino Linotype" w:hAnsi="Palatino Linotype" w:cs="Palatino Linotype"/>
        </w:rPr>
      </w:pPr>
    </w:p>
    <w:p w14:paraId="37E2F587" w14:textId="77777777" w:rsidR="007B0763" w:rsidRDefault="007B0763">
      <w:pPr>
        <w:spacing w:before="240" w:after="240" w:line="360" w:lineRule="auto"/>
        <w:jc w:val="both"/>
        <w:rPr>
          <w:rFonts w:ascii="Palatino Linotype" w:eastAsia="Palatino Linotype" w:hAnsi="Palatino Linotype" w:cs="Palatino Linotype"/>
        </w:rPr>
      </w:pPr>
    </w:p>
    <w:p w14:paraId="18F21031" w14:textId="77777777" w:rsidR="007B0763" w:rsidRDefault="007B0763">
      <w:pPr>
        <w:spacing w:before="240" w:after="240" w:line="360" w:lineRule="auto"/>
        <w:jc w:val="both"/>
        <w:rPr>
          <w:rFonts w:ascii="Palatino Linotype" w:eastAsia="Palatino Linotype" w:hAnsi="Palatino Linotype" w:cs="Palatino Linotype"/>
        </w:rPr>
      </w:pPr>
    </w:p>
    <w:p w14:paraId="1963DA9B" w14:textId="77777777" w:rsidR="007B0763" w:rsidRPr="00340EF9" w:rsidRDefault="007B0763">
      <w:pPr>
        <w:spacing w:before="240" w:after="240" w:line="360" w:lineRule="auto"/>
        <w:jc w:val="both"/>
        <w:rPr>
          <w:rFonts w:ascii="Palatino Linotype" w:eastAsia="Palatino Linotype" w:hAnsi="Palatino Linotype" w:cs="Palatino Linotype"/>
        </w:rPr>
      </w:pPr>
    </w:p>
    <w:p w14:paraId="26C625A1" w14:textId="77777777" w:rsidR="00A70A38" w:rsidRPr="00340EF9" w:rsidRDefault="00A70A38">
      <w:pPr>
        <w:spacing w:before="240" w:after="240" w:line="360" w:lineRule="auto"/>
        <w:jc w:val="both"/>
        <w:rPr>
          <w:rFonts w:ascii="Palatino Linotype" w:eastAsia="Palatino Linotype" w:hAnsi="Palatino Linotype" w:cs="Palatino Linotype"/>
        </w:rPr>
      </w:pPr>
    </w:p>
    <w:p w14:paraId="1A9E699B" w14:textId="77777777" w:rsidR="00A70A38" w:rsidRPr="00340EF9" w:rsidRDefault="00A70A38"/>
    <w:sectPr w:rsidR="00A70A38" w:rsidRPr="00340EF9">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907A" w14:textId="77777777" w:rsidR="00BF60DC" w:rsidRDefault="00BF60DC">
      <w:r>
        <w:separator/>
      </w:r>
    </w:p>
  </w:endnote>
  <w:endnote w:type="continuationSeparator" w:id="0">
    <w:p w14:paraId="121EC527" w14:textId="77777777" w:rsidR="00BF60DC" w:rsidRDefault="00BF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7503" w14:textId="77777777" w:rsidR="00A70A38" w:rsidRDefault="007C5AA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B07A4">
      <w:rPr>
        <w:b/>
        <w:noProof/>
        <w:color w:val="000000"/>
      </w:rPr>
      <w:t>11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B07A4">
      <w:rPr>
        <w:b/>
        <w:noProof/>
        <w:color w:val="000000"/>
      </w:rPr>
      <w:t>11</w:t>
    </w:r>
    <w:r>
      <w:rPr>
        <w:b/>
        <w:color w:val="000000"/>
      </w:rPr>
      <w:fldChar w:fldCharType="end"/>
    </w:r>
  </w:p>
  <w:p w14:paraId="3893C10B" w14:textId="77777777" w:rsidR="00A70A38" w:rsidRDefault="00A70A3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2C83" w14:textId="77777777" w:rsidR="00A70A38" w:rsidRDefault="007C5AA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B07A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B07A4">
      <w:rPr>
        <w:b/>
        <w:noProof/>
        <w:color w:val="000000"/>
      </w:rPr>
      <w:t>11</w:t>
    </w:r>
    <w:r>
      <w:rPr>
        <w:b/>
        <w:color w:val="000000"/>
      </w:rPr>
      <w:fldChar w:fldCharType="end"/>
    </w:r>
  </w:p>
  <w:p w14:paraId="2F6757E3" w14:textId="77777777" w:rsidR="00A70A38" w:rsidRDefault="00A70A3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9D3B" w14:textId="77777777" w:rsidR="00BF60DC" w:rsidRDefault="00BF60DC">
      <w:r>
        <w:separator/>
      </w:r>
    </w:p>
  </w:footnote>
  <w:footnote w:type="continuationSeparator" w:id="0">
    <w:p w14:paraId="04E25D5F" w14:textId="77777777" w:rsidR="00BF60DC" w:rsidRDefault="00BF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F537" w14:textId="77777777" w:rsidR="00A70A38" w:rsidRDefault="00BF60DC">
    <w:pPr>
      <w:pBdr>
        <w:top w:val="nil"/>
        <w:left w:val="nil"/>
        <w:bottom w:val="nil"/>
        <w:right w:val="nil"/>
        <w:between w:val="nil"/>
      </w:pBdr>
      <w:tabs>
        <w:tab w:val="center" w:pos="4419"/>
        <w:tab w:val="right" w:pos="8838"/>
      </w:tabs>
      <w:rPr>
        <w:color w:val="000000"/>
      </w:rPr>
    </w:pPr>
    <w:r>
      <w:rPr>
        <w:color w:val="000000"/>
      </w:rPr>
      <w:pict w14:anchorId="43AA9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9214" w:type="dxa"/>
      <w:tblInd w:w="0" w:type="dxa"/>
      <w:tblLayout w:type="fixed"/>
      <w:tblLook w:val="0400" w:firstRow="0" w:lastRow="0" w:firstColumn="0" w:lastColumn="0" w:noHBand="0" w:noVBand="1"/>
    </w:tblPr>
    <w:tblGrid>
      <w:gridCol w:w="2268"/>
      <w:gridCol w:w="6946"/>
    </w:tblGrid>
    <w:tr w:rsidR="00A70A38" w14:paraId="0E426B3C" w14:textId="77777777">
      <w:trPr>
        <w:trHeight w:val="1435"/>
      </w:trPr>
      <w:tc>
        <w:tcPr>
          <w:tcW w:w="2268" w:type="dxa"/>
          <w:shd w:val="clear" w:color="auto" w:fill="auto"/>
        </w:tcPr>
        <w:p w14:paraId="03891BD5" w14:textId="77777777" w:rsidR="00A70A38" w:rsidRDefault="00A70A38">
          <w:pPr>
            <w:tabs>
              <w:tab w:val="right" w:pos="4273"/>
            </w:tabs>
            <w:rPr>
              <w:rFonts w:ascii="Garamond" w:eastAsia="Garamond" w:hAnsi="Garamond" w:cs="Garamond"/>
              <w:sz w:val="16"/>
              <w:szCs w:val="16"/>
            </w:rPr>
          </w:pPr>
        </w:p>
      </w:tc>
      <w:tc>
        <w:tcPr>
          <w:tcW w:w="6946" w:type="dxa"/>
          <w:shd w:val="clear" w:color="auto" w:fill="auto"/>
        </w:tcPr>
        <w:tbl>
          <w:tblPr>
            <w:tblStyle w:val="a0"/>
            <w:tblW w:w="6660" w:type="dxa"/>
            <w:tblInd w:w="452" w:type="dxa"/>
            <w:tblLayout w:type="fixed"/>
            <w:tblLook w:val="0400" w:firstRow="0" w:lastRow="0" w:firstColumn="0" w:lastColumn="0" w:noHBand="0" w:noVBand="1"/>
          </w:tblPr>
          <w:tblGrid>
            <w:gridCol w:w="2807"/>
            <w:gridCol w:w="3853"/>
          </w:tblGrid>
          <w:tr w:rsidR="00A70A38" w14:paraId="0B0BCE59" w14:textId="77777777" w:rsidTr="00340EF9">
            <w:trPr>
              <w:trHeight w:val="150"/>
            </w:trPr>
            <w:tc>
              <w:tcPr>
                <w:tcW w:w="2807" w:type="dxa"/>
                <w:shd w:val="clear" w:color="auto" w:fill="auto"/>
              </w:tcPr>
              <w:p w14:paraId="3DFD59A0" w14:textId="77777777" w:rsidR="00A70A38" w:rsidRDefault="00340EF9">
                <w:pPr>
                  <w:tabs>
                    <w:tab w:val="right" w:pos="8838"/>
                  </w:tabs>
                  <w:ind w:left="283" w:right="-41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w:t>
                </w:r>
                <w:r w:rsidR="007C5AAF">
                  <w:rPr>
                    <w:rFonts w:ascii="Palatino Linotype" w:eastAsia="Palatino Linotype" w:hAnsi="Palatino Linotype" w:cs="Palatino Linotype"/>
                    <w:b/>
                    <w:sz w:val="22"/>
                    <w:szCs w:val="22"/>
                  </w:rPr>
                  <w:t>ecurso de Revisión:</w:t>
                </w:r>
              </w:p>
            </w:tc>
            <w:tc>
              <w:tcPr>
                <w:tcW w:w="3853" w:type="dxa"/>
                <w:shd w:val="clear" w:color="auto" w:fill="auto"/>
              </w:tcPr>
              <w:p w14:paraId="3B641F26" w14:textId="77777777" w:rsidR="00A70A38" w:rsidRDefault="007C5AAF">
                <w:pPr>
                  <w:tabs>
                    <w:tab w:val="right" w:pos="8838"/>
                  </w:tabs>
                  <w:ind w:left="283" w:right="-4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02688/INFOEM/IP/RR/2024</w:t>
                </w:r>
              </w:p>
            </w:tc>
          </w:tr>
          <w:tr w:rsidR="00A70A38" w14:paraId="47A6EC03" w14:textId="77777777" w:rsidTr="00340EF9">
            <w:trPr>
              <w:trHeight w:val="295"/>
            </w:trPr>
            <w:tc>
              <w:tcPr>
                <w:tcW w:w="2807" w:type="dxa"/>
                <w:shd w:val="clear" w:color="auto" w:fill="auto"/>
              </w:tcPr>
              <w:p w14:paraId="5EF7E221" w14:textId="77777777" w:rsidR="00A70A38" w:rsidRDefault="007C5AAF">
                <w:pPr>
                  <w:tabs>
                    <w:tab w:val="right" w:pos="8838"/>
                  </w:tabs>
                  <w:ind w:left="283" w:right="-41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53" w:type="dxa"/>
                <w:shd w:val="clear" w:color="auto" w:fill="auto"/>
              </w:tcPr>
              <w:p w14:paraId="66AAF5DC" w14:textId="77777777" w:rsidR="00A70A38" w:rsidRDefault="007C5AAF">
                <w:pPr>
                  <w:tabs>
                    <w:tab w:val="left" w:pos="2834"/>
                    <w:tab w:val="right" w:pos="8838"/>
                  </w:tabs>
                  <w:ind w:left="283" w:right="-41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Secretaría de la Contraloría</w:t>
                </w:r>
              </w:p>
            </w:tc>
          </w:tr>
          <w:tr w:rsidR="00A70A38" w14:paraId="79EE5852" w14:textId="77777777" w:rsidTr="00340EF9">
            <w:trPr>
              <w:trHeight w:val="295"/>
            </w:trPr>
            <w:tc>
              <w:tcPr>
                <w:tcW w:w="2807" w:type="dxa"/>
                <w:shd w:val="clear" w:color="auto" w:fill="auto"/>
              </w:tcPr>
              <w:p w14:paraId="69B908ED" w14:textId="77777777" w:rsidR="00A70A38" w:rsidRDefault="007C5AAF">
                <w:pPr>
                  <w:tabs>
                    <w:tab w:val="right" w:pos="8838"/>
                  </w:tabs>
                  <w:ind w:left="283" w:right="-41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853" w:type="dxa"/>
                <w:shd w:val="clear" w:color="auto" w:fill="auto"/>
              </w:tcPr>
              <w:p w14:paraId="7A986421" w14:textId="77777777" w:rsidR="00A70A38" w:rsidRDefault="007C5AAF">
                <w:pPr>
                  <w:tabs>
                    <w:tab w:val="right" w:pos="8838"/>
                  </w:tabs>
                  <w:ind w:left="283" w:right="-4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34645BE" w14:textId="77777777" w:rsidR="00A70A38" w:rsidRDefault="00A70A38">
                <w:pPr>
                  <w:tabs>
                    <w:tab w:val="right" w:pos="8838"/>
                  </w:tabs>
                  <w:ind w:left="283" w:right="-418"/>
                  <w:jc w:val="both"/>
                  <w:rPr>
                    <w:rFonts w:ascii="Palatino Linotype" w:eastAsia="Palatino Linotype" w:hAnsi="Palatino Linotype" w:cs="Palatino Linotype"/>
                    <w:b/>
                    <w:sz w:val="22"/>
                    <w:szCs w:val="22"/>
                  </w:rPr>
                </w:pPr>
              </w:p>
            </w:tc>
          </w:tr>
        </w:tbl>
        <w:p w14:paraId="47BF3ADF" w14:textId="77777777" w:rsidR="00A70A38" w:rsidRDefault="00A70A38">
          <w:pPr>
            <w:tabs>
              <w:tab w:val="right" w:pos="8838"/>
            </w:tabs>
            <w:ind w:left="-28"/>
            <w:jc w:val="both"/>
            <w:rPr>
              <w:rFonts w:ascii="Arial" w:eastAsia="Arial" w:hAnsi="Arial" w:cs="Arial"/>
              <w:b/>
              <w:sz w:val="22"/>
              <w:szCs w:val="22"/>
            </w:rPr>
          </w:pPr>
        </w:p>
      </w:tc>
    </w:tr>
  </w:tbl>
  <w:p w14:paraId="251897B1" w14:textId="77777777" w:rsidR="00A70A38" w:rsidRDefault="00BF60DC">
    <w:pPr>
      <w:pBdr>
        <w:top w:val="nil"/>
        <w:left w:val="nil"/>
        <w:bottom w:val="nil"/>
        <w:right w:val="nil"/>
        <w:between w:val="nil"/>
      </w:pBdr>
      <w:tabs>
        <w:tab w:val="center" w:pos="4419"/>
        <w:tab w:val="right" w:pos="8838"/>
      </w:tabs>
      <w:rPr>
        <w:color w:val="000000"/>
        <w:sz w:val="14"/>
        <w:szCs w:val="14"/>
      </w:rPr>
    </w:pPr>
    <w:r>
      <w:rPr>
        <w:sz w:val="14"/>
        <w:szCs w:val="14"/>
      </w:rPr>
      <w:pict w14:anchorId="0317E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76.65pt;margin-top:-126.1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072" w:type="dxa"/>
      <w:tblInd w:w="0" w:type="dxa"/>
      <w:tblLayout w:type="fixed"/>
      <w:tblLook w:val="0400" w:firstRow="0" w:lastRow="0" w:firstColumn="0" w:lastColumn="0" w:noHBand="0" w:noVBand="1"/>
    </w:tblPr>
    <w:tblGrid>
      <w:gridCol w:w="2268"/>
      <w:gridCol w:w="6804"/>
    </w:tblGrid>
    <w:tr w:rsidR="00A70A38" w14:paraId="45496085" w14:textId="77777777">
      <w:trPr>
        <w:trHeight w:val="1435"/>
      </w:trPr>
      <w:tc>
        <w:tcPr>
          <w:tcW w:w="2268" w:type="dxa"/>
          <w:shd w:val="clear" w:color="auto" w:fill="auto"/>
        </w:tcPr>
        <w:p w14:paraId="142CCD8D" w14:textId="77777777" w:rsidR="00A70A38" w:rsidRDefault="00A70A38" w:rsidP="00340EF9">
          <w:pPr>
            <w:pBdr>
              <w:top w:val="nil"/>
            </w:pBdr>
            <w:tabs>
              <w:tab w:val="right" w:pos="4273"/>
            </w:tabs>
            <w:rPr>
              <w:rFonts w:ascii="Garamond" w:eastAsia="Garamond" w:hAnsi="Garamond" w:cs="Garamond"/>
              <w:sz w:val="22"/>
              <w:szCs w:val="22"/>
            </w:rPr>
          </w:pPr>
        </w:p>
      </w:tc>
      <w:tc>
        <w:tcPr>
          <w:tcW w:w="6804" w:type="dxa"/>
          <w:shd w:val="clear" w:color="auto" w:fill="auto"/>
        </w:tcPr>
        <w:tbl>
          <w:tblPr>
            <w:tblStyle w:val="a2"/>
            <w:tblW w:w="6660" w:type="dxa"/>
            <w:tblInd w:w="878" w:type="dxa"/>
            <w:tblLayout w:type="fixed"/>
            <w:tblLook w:val="0400" w:firstRow="0" w:lastRow="0" w:firstColumn="0" w:lastColumn="0" w:noHBand="0" w:noVBand="1"/>
          </w:tblPr>
          <w:tblGrid>
            <w:gridCol w:w="2567"/>
            <w:gridCol w:w="4093"/>
          </w:tblGrid>
          <w:tr w:rsidR="00A70A38" w14:paraId="0A7B6E70" w14:textId="77777777" w:rsidTr="00340EF9">
            <w:trPr>
              <w:trHeight w:val="144"/>
            </w:trPr>
            <w:tc>
              <w:tcPr>
                <w:tcW w:w="2567" w:type="dxa"/>
                <w:shd w:val="clear" w:color="auto" w:fill="auto"/>
              </w:tcPr>
              <w:p w14:paraId="15D64E60" w14:textId="77777777" w:rsidR="00A70A38" w:rsidRDefault="007C5AAF" w:rsidP="00340EF9">
                <w:pPr>
                  <w:pBdr>
                    <w:top w:val="nil"/>
                  </w:pBd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93" w:type="dxa"/>
                <w:shd w:val="clear" w:color="auto" w:fill="auto"/>
              </w:tcPr>
              <w:p w14:paraId="59897C89" w14:textId="77777777" w:rsidR="00A70A38" w:rsidRDefault="007C5AAF" w:rsidP="00340EF9">
                <w:pPr>
                  <w:pBdr>
                    <w:top w:val="nil"/>
                  </w:pBdr>
                  <w:tabs>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02688/INFOEM/IP/RR/2024</w:t>
                </w:r>
              </w:p>
            </w:tc>
          </w:tr>
          <w:tr w:rsidR="00A70A38" w14:paraId="4413B1E1" w14:textId="77777777" w:rsidTr="00340EF9">
            <w:trPr>
              <w:trHeight w:val="144"/>
            </w:trPr>
            <w:tc>
              <w:tcPr>
                <w:tcW w:w="2567" w:type="dxa"/>
                <w:shd w:val="clear" w:color="auto" w:fill="auto"/>
              </w:tcPr>
              <w:p w14:paraId="3C4869EC" w14:textId="77777777" w:rsidR="00A70A38" w:rsidRDefault="007C5AAF" w:rsidP="00340EF9">
                <w:pPr>
                  <w:pBdr>
                    <w:top w:val="nil"/>
                  </w:pBd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93" w:type="dxa"/>
                <w:shd w:val="clear" w:color="auto" w:fill="auto"/>
              </w:tcPr>
              <w:p w14:paraId="41145528" w14:textId="090E6C1A" w:rsidR="00A70A38" w:rsidRDefault="00C748C5" w:rsidP="00340EF9">
                <w:pPr>
                  <w:pBdr>
                    <w:top w:val="nil"/>
                  </w:pBd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A70A38" w14:paraId="06DFBE2F" w14:textId="77777777" w:rsidTr="00340EF9">
            <w:trPr>
              <w:trHeight w:val="83"/>
            </w:trPr>
            <w:tc>
              <w:tcPr>
                <w:tcW w:w="2567" w:type="dxa"/>
                <w:shd w:val="clear" w:color="auto" w:fill="auto"/>
              </w:tcPr>
              <w:p w14:paraId="429BD01E" w14:textId="77777777" w:rsidR="00A70A38" w:rsidRDefault="007C5AAF" w:rsidP="00340EF9">
                <w:pPr>
                  <w:pBdr>
                    <w:top w:val="nil"/>
                  </w:pBd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93" w:type="dxa"/>
                <w:shd w:val="clear" w:color="auto" w:fill="auto"/>
              </w:tcPr>
              <w:p w14:paraId="6E8BDE65" w14:textId="77777777" w:rsidR="00A70A38" w:rsidRDefault="007C5AAF" w:rsidP="00340EF9">
                <w:pPr>
                  <w:pBdr>
                    <w:top w:val="nil"/>
                  </w:pBd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la Contraloría</w:t>
                </w:r>
              </w:p>
            </w:tc>
          </w:tr>
          <w:tr w:rsidR="00A70A38" w14:paraId="1A2326E4" w14:textId="77777777" w:rsidTr="00340EF9">
            <w:trPr>
              <w:trHeight w:val="283"/>
            </w:trPr>
            <w:tc>
              <w:tcPr>
                <w:tcW w:w="2567" w:type="dxa"/>
                <w:shd w:val="clear" w:color="auto" w:fill="auto"/>
              </w:tcPr>
              <w:p w14:paraId="508FBD5B" w14:textId="77777777" w:rsidR="00A70A38" w:rsidRDefault="007C5AAF" w:rsidP="00340EF9">
                <w:pPr>
                  <w:pBdr>
                    <w:top w:val="nil"/>
                  </w:pBd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93" w:type="dxa"/>
                <w:shd w:val="clear" w:color="auto" w:fill="auto"/>
              </w:tcPr>
              <w:p w14:paraId="35603350" w14:textId="77777777" w:rsidR="00A70A38" w:rsidRDefault="007C5AAF" w:rsidP="00340EF9">
                <w:pPr>
                  <w:pBdr>
                    <w:top w:val="nil"/>
                  </w:pBdr>
                  <w:tabs>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69D4314" w14:textId="77777777" w:rsidR="00A70A38" w:rsidRDefault="00A70A38" w:rsidP="00340EF9">
                <w:pPr>
                  <w:pBdr>
                    <w:top w:val="nil"/>
                  </w:pBdr>
                  <w:tabs>
                    <w:tab w:val="right" w:pos="8838"/>
                  </w:tabs>
                  <w:ind w:right="-105"/>
                  <w:jc w:val="both"/>
                  <w:rPr>
                    <w:rFonts w:ascii="Palatino Linotype" w:eastAsia="Palatino Linotype" w:hAnsi="Palatino Linotype" w:cs="Palatino Linotype"/>
                    <w:b/>
                    <w:sz w:val="22"/>
                    <w:szCs w:val="22"/>
                  </w:rPr>
                </w:pPr>
              </w:p>
            </w:tc>
          </w:tr>
        </w:tbl>
        <w:p w14:paraId="5197BD63" w14:textId="77777777" w:rsidR="00A70A38" w:rsidRDefault="00A70A38" w:rsidP="00340EF9">
          <w:pPr>
            <w:pBdr>
              <w:top w:val="nil"/>
            </w:pBdr>
            <w:tabs>
              <w:tab w:val="right" w:pos="8838"/>
            </w:tabs>
            <w:ind w:left="-28"/>
            <w:jc w:val="both"/>
            <w:rPr>
              <w:rFonts w:ascii="Arial" w:eastAsia="Arial" w:hAnsi="Arial" w:cs="Arial"/>
              <w:b/>
              <w:sz w:val="22"/>
              <w:szCs w:val="22"/>
            </w:rPr>
          </w:pPr>
        </w:p>
      </w:tc>
    </w:tr>
  </w:tbl>
  <w:p w14:paraId="2B08BB30" w14:textId="77777777" w:rsidR="00A70A38" w:rsidRDefault="00BF60DC">
    <w:pPr>
      <w:pBdr>
        <w:top w:val="nil"/>
        <w:left w:val="nil"/>
        <w:bottom w:val="nil"/>
        <w:right w:val="nil"/>
        <w:between w:val="nil"/>
      </w:pBdr>
      <w:tabs>
        <w:tab w:val="center" w:pos="4419"/>
        <w:tab w:val="right" w:pos="8838"/>
      </w:tabs>
      <w:rPr>
        <w:color w:val="000000"/>
        <w:sz w:val="2"/>
        <w:szCs w:val="2"/>
      </w:rPr>
    </w:pPr>
    <w:r>
      <w:rPr>
        <w:sz w:val="14"/>
        <w:szCs w:val="14"/>
      </w:rPr>
      <w:pict w14:anchorId="46724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8.45pt;margin-top:-285.45pt;width:589.8pt;height:768pt;z-index:-251658752;mso-position-horizontal-relative:margin;mso-position-vertical-relative:margin">
          <v:imagedata r:id="rId1" o:title="image1" croptop="-13439f" cropbottom="13439f" cropleft="500f" cropright="-500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E7FBA"/>
    <w:multiLevelType w:val="multilevel"/>
    <w:tmpl w:val="B21EDB32"/>
    <w:lvl w:ilvl="0">
      <w:start w:val="1"/>
      <w:numFmt w:val="decimal"/>
      <w:lvlText w:val="%1."/>
      <w:lvlJc w:val="left"/>
      <w:pPr>
        <w:ind w:left="862" w:hanging="720"/>
      </w:pPr>
      <w:rPr>
        <w:b/>
        <w:i w:val="0"/>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61035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38"/>
    <w:rsid w:val="00340EF9"/>
    <w:rsid w:val="00374672"/>
    <w:rsid w:val="007B0763"/>
    <w:rsid w:val="007C333A"/>
    <w:rsid w:val="007C5AAF"/>
    <w:rsid w:val="00A70A38"/>
    <w:rsid w:val="00BC208F"/>
    <w:rsid w:val="00BF60DC"/>
    <w:rsid w:val="00C748C5"/>
    <w:rsid w:val="00EB0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A1CF"/>
  <w15:docId w15:val="{E4468863-CEC3-4C11-BBC7-4BA60D98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E4B84"/>
    <w:pPr>
      <w:tabs>
        <w:tab w:val="center" w:pos="4419"/>
        <w:tab w:val="right" w:pos="8838"/>
      </w:tabs>
    </w:pPr>
  </w:style>
  <w:style w:type="character" w:customStyle="1" w:styleId="EncabezadoCar">
    <w:name w:val="Encabezado Car"/>
    <w:basedOn w:val="Fuentedeprrafopredeter"/>
    <w:link w:val="Encabezado"/>
    <w:uiPriority w:val="99"/>
    <w:rsid w:val="00AE4B8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AE4B84"/>
    <w:pPr>
      <w:tabs>
        <w:tab w:val="center" w:pos="4419"/>
        <w:tab w:val="right" w:pos="8838"/>
      </w:tabs>
    </w:pPr>
  </w:style>
  <w:style w:type="character" w:customStyle="1" w:styleId="PiedepginaCar">
    <w:name w:val="Pie de página Car"/>
    <w:basedOn w:val="Fuentedeprrafopredeter"/>
    <w:link w:val="Piedepgina"/>
    <w:uiPriority w:val="99"/>
    <w:rsid w:val="00AE4B84"/>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B5195"/>
    <w:pPr>
      <w:ind w:left="720"/>
      <w:contextualSpacing/>
    </w:pPr>
  </w:style>
  <w:style w:type="character" w:styleId="Hipervnculo">
    <w:name w:val="Hyperlink"/>
    <w:basedOn w:val="Fuentedeprrafopredeter"/>
    <w:uiPriority w:val="99"/>
    <w:unhideWhenUsed/>
    <w:rsid w:val="00BB5195"/>
    <w:rPr>
      <w:color w:val="0000FF"/>
      <w:u w:val="single"/>
    </w:rPr>
  </w:style>
  <w:style w:type="character" w:styleId="Hipervnculovisitado">
    <w:name w:val="FollowedHyperlink"/>
    <w:basedOn w:val="Fuentedeprrafopredeter"/>
    <w:uiPriority w:val="99"/>
    <w:semiHidden/>
    <w:unhideWhenUsed/>
    <w:rsid w:val="009C2AB6"/>
    <w:rPr>
      <w:color w:val="954F72" w:themeColor="followed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4BAD"/>
    <w:rPr>
      <w:rFonts w:ascii="Times New Roman" w:eastAsia="Times New Roman" w:hAnsi="Times New Roman" w:cs="Times New Roman"/>
      <w:sz w:val="24"/>
      <w:szCs w:val="24"/>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7B076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51122.page"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96389.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051129.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egislacion.edomex.gob.mx/sites/legislacion.edomex.gob.mxJfiles/files/pdf/rgl/vig/rglvigls%20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JScZeGY0Ga84OhYJ6tg1YBmkg==">CgMxLjAyCGguZ2pkZ3hzMgloLjMwajB6bGwyDmgucXhwOHhlOGlkbXR1MgloLjFmb2I5dGUyCWguM3pueXNoNzIJaC4yZXQ5MnAwMghoLnR5amN3dDIIaC50eWpjd3Q4AHIhMVB1U0YxM21JeF9jNUNkX3BZMURmb0w3dldmX0ZuVVdy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2727</Words>
  <Characters>14999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5</cp:revision>
  <cp:lastPrinted>2024-06-27T21:20:00Z</cp:lastPrinted>
  <dcterms:created xsi:type="dcterms:W3CDTF">2024-05-30T02:53:00Z</dcterms:created>
  <dcterms:modified xsi:type="dcterms:W3CDTF">2024-07-02T19:17:00Z</dcterms:modified>
</cp:coreProperties>
</file>