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31" w:rsidRDefault="006161C6">
      <w:pPr>
        <w:spacing w:line="360" w:lineRule="auto"/>
        <w:ind w:right="-734"/>
        <w:jc w:val="both"/>
        <w:rPr>
          <w:rFonts w:ascii="Palatino Linotype" w:eastAsia="Palatino Linotype" w:hAnsi="Palatino Linotype" w:cs="Palatino Linotype"/>
        </w:rPr>
      </w:pPr>
      <w:bookmarkStart w:id="0" w:name="_GoBack"/>
      <w:bookmarkEnd w:id="0"/>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tres (03) de octubre de dos mil veinticuatro. </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00038/INFOEM/IP/RR/2024, </w:t>
      </w:r>
      <w:r>
        <w:rPr>
          <w:rFonts w:ascii="Palatino Linotype" w:eastAsia="Palatino Linotype" w:hAnsi="Palatino Linotype" w:cs="Palatino Linotype"/>
        </w:rPr>
        <w:t xml:space="preserve">promovido </w:t>
      </w:r>
      <w:r>
        <w:rPr>
          <w:rFonts w:ascii="Palatino Linotype" w:eastAsia="Palatino Linotype" w:hAnsi="Palatino Linotype" w:cs="Palatino Linotype"/>
          <w:b/>
        </w:rPr>
        <w:t>por un usuario del Sistema de Acceso a la Información Mexiquense (SAIMEX),</w:t>
      </w:r>
      <w:r>
        <w:rPr>
          <w:rFonts w:ascii="Palatino Linotype" w:eastAsia="Palatino Linotype" w:hAnsi="Palatino Linotype" w:cs="Palatino Linotype"/>
        </w:rPr>
        <w:t xml:space="preserve"> quien no registró nombre alguno y en lo sucesivo se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Secretaría Ejecutiva del Sistema Estatal Anticorrupción,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por lo que se procede a dictar la presente resolución, con base en los siguientes:</w:t>
      </w:r>
    </w:p>
    <w:p w:rsidR="00D91E31" w:rsidRDefault="00D91E31">
      <w:pPr>
        <w:spacing w:line="360" w:lineRule="auto"/>
        <w:ind w:right="-734"/>
        <w:jc w:val="both"/>
        <w:rPr>
          <w:rFonts w:ascii="Palatino Linotype" w:eastAsia="Palatino Linotype" w:hAnsi="Palatino Linotype" w:cs="Palatino Linotype"/>
          <w:b/>
        </w:rPr>
      </w:pPr>
    </w:p>
    <w:p w:rsidR="00D91E31" w:rsidRDefault="006161C6">
      <w:pPr>
        <w:keepNext/>
        <w:keepLines/>
        <w:spacing w:line="360" w:lineRule="auto"/>
        <w:ind w:right="-734"/>
        <w:jc w:val="center"/>
        <w:rPr>
          <w:rFonts w:ascii="Palatino Linotype" w:eastAsia="Palatino Linotype" w:hAnsi="Palatino Linotype" w:cs="Palatino Linotype"/>
          <w:b/>
        </w:rPr>
      </w:pPr>
      <w:bookmarkStart w:id="1" w:name="_heading=h.gjdgxs" w:colFirst="0" w:colLast="0"/>
      <w:bookmarkEnd w:id="1"/>
      <w:r>
        <w:rPr>
          <w:rFonts w:ascii="Palatino Linotype" w:eastAsia="Palatino Linotype" w:hAnsi="Palatino Linotype" w:cs="Palatino Linotype"/>
          <w:b/>
        </w:rPr>
        <w:t>A N T E C E D E N T E S</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veintiocho (28) de noviembre de dos mil veintitrés,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Pr>
          <w:rFonts w:ascii="Palatino Linotype" w:eastAsia="Palatino Linotype" w:hAnsi="Palatino Linotype" w:cs="Palatino Linotype"/>
          <w:b/>
          <w:color w:val="000000"/>
        </w:rPr>
        <w:t xml:space="preserve">00333/SESEA/IP/2023,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solicitó lo siguiente:</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pBdr>
          <w:top w:val="nil"/>
          <w:left w:val="nil"/>
          <w:bottom w:val="nil"/>
          <w:right w:val="nil"/>
          <w:between w:val="nil"/>
        </w:pBdr>
        <w:spacing w:line="360" w:lineRule="auto"/>
        <w:ind w:left="720" w:right="-7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“Solicito todos los fideicomisos con los cuales cuenta esta Secretaría” (Sic)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señaló como modalidad de entrega a través de SAIMEX.</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veintinueve (29) de noviembre de dos mil veintitrés, se realizó un requerimiento al servidor público habilitado. </w:t>
      </w: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El primero (01) de diciembre de dos mil veintitrés, El Sujeto Obligado dio respuesta a la solicitud de información en los siguientes términos:</w:t>
      </w:r>
    </w:p>
    <w:p w:rsidR="00D91E31" w:rsidRDefault="00D91E31">
      <w:pPr>
        <w:pBdr>
          <w:top w:val="nil"/>
          <w:left w:val="nil"/>
          <w:bottom w:val="nil"/>
          <w:right w:val="nil"/>
          <w:between w:val="nil"/>
        </w:pBdr>
        <w:ind w:left="720" w:right="-734"/>
        <w:rPr>
          <w:rFonts w:ascii="Palatino Linotype" w:eastAsia="Palatino Linotype" w:hAnsi="Palatino Linotype" w:cs="Palatino Linotype"/>
          <w:color w:val="000000"/>
        </w:rPr>
      </w:pPr>
    </w:p>
    <w:tbl>
      <w:tblPr>
        <w:tblStyle w:val="a"/>
        <w:tblW w:w="7894" w:type="dxa"/>
        <w:jc w:val="center"/>
        <w:tblInd w:w="0" w:type="dxa"/>
        <w:tblLayout w:type="fixed"/>
        <w:tblLook w:val="0400" w:firstRow="0" w:lastRow="0" w:firstColumn="0" w:lastColumn="0" w:noHBand="0" w:noVBand="1"/>
      </w:tblPr>
      <w:tblGrid>
        <w:gridCol w:w="7894"/>
      </w:tblGrid>
      <w:tr w:rsidR="00D91E31">
        <w:trPr>
          <w:trHeight w:val="286"/>
          <w:jc w:val="center"/>
        </w:trPr>
        <w:tc>
          <w:tcPr>
            <w:tcW w:w="7894" w:type="dxa"/>
            <w:vAlign w:val="center"/>
          </w:tcPr>
          <w:p w:rsidR="00D91E31" w:rsidRDefault="006161C6">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Metepec, México a 01 de Diciembre de 2023</w:t>
            </w:r>
          </w:p>
        </w:tc>
      </w:tr>
      <w:tr w:rsidR="00D91E31">
        <w:trPr>
          <w:trHeight w:val="286"/>
          <w:jc w:val="center"/>
        </w:trPr>
        <w:tc>
          <w:tcPr>
            <w:tcW w:w="7894" w:type="dxa"/>
            <w:vAlign w:val="center"/>
          </w:tcPr>
          <w:p w:rsidR="00D91E31" w:rsidRDefault="006161C6">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D91E31">
        <w:trPr>
          <w:trHeight w:val="286"/>
          <w:jc w:val="center"/>
        </w:trPr>
        <w:tc>
          <w:tcPr>
            <w:tcW w:w="7894" w:type="dxa"/>
            <w:vAlign w:val="center"/>
          </w:tcPr>
          <w:p w:rsidR="00D91E31" w:rsidRDefault="006161C6">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00333/SESEA/IP/2023</w:t>
            </w:r>
          </w:p>
        </w:tc>
      </w:tr>
      <w:tr w:rsidR="00D91E31">
        <w:trPr>
          <w:trHeight w:val="429"/>
          <w:jc w:val="center"/>
        </w:trPr>
        <w:tc>
          <w:tcPr>
            <w:tcW w:w="7894" w:type="dxa"/>
            <w:vAlign w:val="center"/>
          </w:tcPr>
          <w:p w:rsidR="00D91E31" w:rsidRDefault="00D91E31">
            <w:pPr>
              <w:ind w:right="-734"/>
              <w:jc w:val="right"/>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6161C6">
            <w:pPr>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91E31">
        <w:trPr>
          <w:trHeight w:val="358"/>
          <w:jc w:val="center"/>
        </w:trPr>
        <w:tc>
          <w:tcPr>
            <w:tcW w:w="7894" w:type="dxa"/>
            <w:vAlign w:val="center"/>
          </w:tcPr>
          <w:p w:rsidR="00D91E31" w:rsidRDefault="00D91E31">
            <w:pPr>
              <w:ind w:right="-734"/>
              <w:jc w:val="both"/>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6161C6">
            <w:pPr>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Toluca, Estado de México; a 01 de diciembre del 2023 Ciudadano (a) solicitante de información pública con folio 000333/SESEA/IP/2023 Presente. Con fundamento en los artículos 50, 51, 52, 53 fracciones II, IV, V, VI y XIV, 156, 160, 161, 163, 164, 166 y 168 de la Ley de Transparencia y Acceso a la Información Pública del Estado de México y Municipios, se otorga respuesta a la solicitud de información pública 000333/SESEA/IP/2023. Atentamente Ivan Medina Arcos Suplente en la Titularidad de la Unidad de Planeación y Transparencia de la Secretaría Ejecutiva del Sistema Estatal Anticorrupción</w:t>
            </w:r>
          </w:p>
        </w:tc>
      </w:tr>
      <w:tr w:rsidR="00D91E31">
        <w:trPr>
          <w:trHeight w:val="358"/>
          <w:jc w:val="center"/>
        </w:trPr>
        <w:tc>
          <w:tcPr>
            <w:tcW w:w="7894" w:type="dxa"/>
            <w:vAlign w:val="center"/>
          </w:tcPr>
          <w:p w:rsidR="00D91E31" w:rsidRDefault="00D91E31">
            <w:pPr>
              <w:ind w:right="-734"/>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D91E31">
            <w:pPr>
              <w:ind w:right="-734"/>
              <w:jc w:val="center"/>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D91E31">
            <w:pPr>
              <w:ind w:right="-734"/>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6161C6">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D91E31">
        <w:trPr>
          <w:trHeight w:val="214"/>
          <w:jc w:val="center"/>
        </w:trPr>
        <w:tc>
          <w:tcPr>
            <w:tcW w:w="7894" w:type="dxa"/>
            <w:vAlign w:val="center"/>
          </w:tcPr>
          <w:p w:rsidR="00D91E31" w:rsidRDefault="00D91E31">
            <w:pPr>
              <w:ind w:right="-734"/>
              <w:rPr>
                <w:rFonts w:ascii="Palatino Linotype" w:eastAsia="Palatino Linotype" w:hAnsi="Palatino Linotype" w:cs="Palatino Linotype"/>
                <w:i/>
                <w:sz w:val="22"/>
                <w:szCs w:val="22"/>
              </w:rPr>
            </w:pPr>
          </w:p>
        </w:tc>
      </w:tr>
      <w:tr w:rsidR="00D91E31">
        <w:trPr>
          <w:trHeight w:val="143"/>
          <w:jc w:val="center"/>
        </w:trPr>
        <w:tc>
          <w:tcPr>
            <w:tcW w:w="7894" w:type="dxa"/>
            <w:vAlign w:val="center"/>
          </w:tcPr>
          <w:p w:rsidR="00D91E31" w:rsidRDefault="006161C6">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Unidad de Planeación y Transparencia</w:t>
            </w:r>
          </w:p>
        </w:tc>
      </w:tr>
    </w:tbl>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D91E31">
      <w:pPr>
        <w:spacing w:line="360" w:lineRule="auto"/>
        <w:ind w:right="-734"/>
        <w:jc w:val="both"/>
        <w:rPr>
          <w:rFonts w:ascii="Palatino Linotype" w:eastAsia="Palatino Linotype" w:hAnsi="Palatino Linotype" w:cs="Palatino Linotype"/>
        </w:rPr>
      </w:pPr>
    </w:p>
    <w:p w:rsidR="00D91E31" w:rsidRDefault="006161C6">
      <w:pPr>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la respuesta se adjuntan los archivos que se describen enseguida:</w:t>
      </w:r>
    </w:p>
    <w:p w:rsidR="00D91E31" w:rsidRDefault="00F316B1" w:rsidP="00D826F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8">
        <w:r w:rsidR="006161C6">
          <w:rPr>
            <w:rFonts w:ascii="Palatino Linotype" w:eastAsia="Palatino Linotype" w:hAnsi="Palatino Linotype" w:cs="Palatino Linotype"/>
            <w:b/>
            <w:color w:val="000000"/>
            <w:sz w:val="22"/>
            <w:szCs w:val="22"/>
            <w:u w:val="single"/>
          </w:rPr>
          <w:t>resp asol uni 333 CAYF.pdf</w:t>
        </w:r>
      </w:hyperlink>
      <w:r w:rsidR="006161C6">
        <w:rPr>
          <w:rFonts w:ascii="Palatino Linotype" w:eastAsia="Palatino Linotype" w:hAnsi="Palatino Linotype" w:cs="Palatino Linotype"/>
          <w:color w:val="000000"/>
          <w:sz w:val="22"/>
          <w:szCs w:val="22"/>
        </w:rPr>
        <w:t xml:space="preserve">: oficio número 41100100040000S/0759/2023 de fecha primero de diciembre de dos mil veintitrés, suscrito por el Coordinador de Administración y Finanzas en el que señaló que la </w:t>
      </w:r>
      <w:r w:rsidR="006161C6">
        <w:rPr>
          <w:rFonts w:ascii="Palatino Linotype" w:eastAsia="Palatino Linotype" w:hAnsi="Palatino Linotype" w:cs="Palatino Linotype"/>
          <w:sz w:val="22"/>
          <w:szCs w:val="22"/>
        </w:rPr>
        <w:t>Secretaría</w:t>
      </w:r>
      <w:r w:rsidR="006161C6">
        <w:rPr>
          <w:rFonts w:ascii="Palatino Linotype" w:eastAsia="Palatino Linotype" w:hAnsi="Palatino Linotype" w:cs="Palatino Linotype"/>
          <w:color w:val="000000"/>
          <w:sz w:val="22"/>
          <w:szCs w:val="22"/>
        </w:rPr>
        <w:t xml:space="preserve"> desde su creación a la fecha, no cuenta con fideicomisos. </w:t>
      </w:r>
    </w:p>
    <w:p w:rsidR="00D91E31" w:rsidRDefault="00F316B1" w:rsidP="00D826F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9">
        <w:r w:rsidR="006161C6">
          <w:rPr>
            <w:rFonts w:ascii="Palatino Linotype" w:eastAsia="Palatino Linotype" w:hAnsi="Palatino Linotype" w:cs="Palatino Linotype"/>
            <w:b/>
            <w:color w:val="000000"/>
            <w:sz w:val="22"/>
            <w:szCs w:val="22"/>
            <w:u w:val="single"/>
          </w:rPr>
          <w:t>RESP A SOL 333.pdf</w:t>
        </w:r>
      </w:hyperlink>
      <w:r w:rsidR="006161C6">
        <w:rPr>
          <w:rFonts w:ascii="Palatino Linotype" w:eastAsia="Palatino Linotype" w:hAnsi="Palatino Linotype" w:cs="Palatino Linotype"/>
          <w:color w:val="000000"/>
          <w:sz w:val="22"/>
          <w:szCs w:val="22"/>
        </w:rPr>
        <w:t xml:space="preserve">:Oficio número 41100100030000S/00616/2023 de fecha primero de diciembre de dos mil veintitrés, suscrito por el Suplente en la Titularidad de la </w:t>
      </w:r>
      <w:r w:rsidR="006161C6">
        <w:rPr>
          <w:rFonts w:ascii="Palatino Linotype" w:eastAsia="Palatino Linotype" w:hAnsi="Palatino Linotype" w:cs="Palatino Linotype"/>
          <w:color w:val="000000"/>
          <w:sz w:val="22"/>
          <w:szCs w:val="22"/>
        </w:rPr>
        <w:lastRenderedPageBreak/>
        <w:t xml:space="preserve">Unidad de Planeación y Transparencia, en el que señaló que se adjunta información remitida por la Coordinación de Administración y Finanzas. </w:t>
      </w:r>
    </w:p>
    <w:p w:rsidR="00D91E31" w:rsidRDefault="00F316B1" w:rsidP="00D826F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0">
        <w:r w:rsidR="006161C6">
          <w:rPr>
            <w:rFonts w:ascii="Palatino Linotype" w:eastAsia="Palatino Linotype" w:hAnsi="Palatino Linotype" w:cs="Palatino Linotype"/>
            <w:b/>
            <w:color w:val="000000"/>
            <w:sz w:val="22"/>
            <w:szCs w:val="22"/>
            <w:u w:val="single"/>
          </w:rPr>
          <w:t>RESP A SOL 333.docx</w:t>
        </w:r>
      </w:hyperlink>
      <w:r w:rsidR="006161C6">
        <w:rPr>
          <w:rFonts w:ascii="Palatino Linotype" w:eastAsia="Palatino Linotype" w:hAnsi="Palatino Linotype" w:cs="Palatino Linotype"/>
          <w:color w:val="000000"/>
          <w:sz w:val="22"/>
          <w:szCs w:val="22"/>
        </w:rPr>
        <w:t xml:space="preserve">: Oficio descrito en el párrafo anterior en formato Word. </w:t>
      </w:r>
    </w:p>
    <w:p w:rsidR="00D91E31" w:rsidRDefault="00F316B1" w:rsidP="00D826F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1">
        <w:r w:rsidR="006161C6">
          <w:rPr>
            <w:rFonts w:ascii="Palatino Linotype" w:eastAsia="Palatino Linotype" w:hAnsi="Palatino Linotype" w:cs="Palatino Linotype"/>
            <w:b/>
            <w:color w:val="000000"/>
            <w:sz w:val="22"/>
            <w:szCs w:val="22"/>
            <w:u w:val="single"/>
          </w:rPr>
          <w:t>LTAIPEMYM.pdf</w:t>
        </w:r>
      </w:hyperlink>
      <w:r w:rsidR="006161C6">
        <w:rPr>
          <w:rFonts w:ascii="Palatino Linotype" w:eastAsia="Palatino Linotype" w:hAnsi="Palatino Linotype" w:cs="Palatino Linotype"/>
          <w:color w:val="000000"/>
          <w:sz w:val="22"/>
          <w:szCs w:val="22"/>
        </w:rPr>
        <w:t xml:space="preserve">: Ley de Transparencia y Acceso a la Información Pública del Estado de México y Municipios. </w:t>
      </w:r>
    </w:p>
    <w:p w:rsidR="00D91E31" w:rsidRDefault="00F316B1" w:rsidP="00D826F5">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2">
        <w:r w:rsidR="006161C6">
          <w:rPr>
            <w:rFonts w:ascii="Palatino Linotype" w:eastAsia="Palatino Linotype" w:hAnsi="Palatino Linotype" w:cs="Palatino Linotype"/>
            <w:b/>
            <w:color w:val="000000"/>
            <w:sz w:val="22"/>
            <w:szCs w:val="22"/>
            <w:u w:val="single"/>
          </w:rPr>
          <w:t>LSAEMYM.pdf</w:t>
        </w:r>
      </w:hyperlink>
      <w:r w:rsidR="006161C6">
        <w:rPr>
          <w:rFonts w:ascii="Palatino Linotype" w:eastAsia="Palatino Linotype" w:hAnsi="Palatino Linotype" w:cs="Palatino Linotype"/>
          <w:color w:val="000000"/>
          <w:sz w:val="22"/>
          <w:szCs w:val="22"/>
        </w:rPr>
        <w:t xml:space="preserve">: Ley del Sistema Anticorrupción del Estado de México y Municipios. </w:t>
      </w:r>
    </w:p>
    <w:p w:rsidR="00D91E31" w:rsidRDefault="00D91E31">
      <w:pPr>
        <w:spacing w:line="360" w:lineRule="auto"/>
        <w:ind w:right="-734"/>
        <w:rPr>
          <w:rFonts w:ascii="Palatino Linotype" w:eastAsia="Palatino Linotype" w:hAnsi="Palatino Linotype" w:cs="Palatino Linotype"/>
          <w:b/>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once (11) de enero de dos mil veinticuatro, </w:t>
      </w:r>
      <w:r>
        <w:rPr>
          <w:rFonts w:ascii="Palatino Linotype" w:eastAsia="Palatino Linotype" w:hAnsi="Palatino Linotype" w:cs="Palatino Linotype"/>
          <w:b/>
          <w:color w:val="000000"/>
        </w:rPr>
        <w:t>EL RECURRENTE</w:t>
      </w:r>
      <w:r>
        <w:rPr>
          <w:rFonts w:ascii="Palatino Linotype" w:eastAsia="Palatino Linotype" w:hAnsi="Palatino Linotype" w:cs="Palatino Linotype"/>
          <w:color w:val="000000"/>
        </w:rPr>
        <w:t xml:space="preserve"> interpuso el recurso de revisión, en contra de la respuesta, señalando como:</w:t>
      </w:r>
    </w:p>
    <w:p w:rsidR="00D91E31" w:rsidRDefault="006161C6" w:rsidP="00D826F5">
      <w:pPr>
        <w:numPr>
          <w:ilvl w:val="0"/>
          <w:numId w:val="5"/>
        </w:numPr>
        <w:spacing w:line="360" w:lineRule="auto"/>
        <w:ind w:right="-28"/>
        <w:jc w:val="both"/>
        <w:rPr>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b/>
          <w:i/>
          <w:sz w:val="22"/>
          <w:szCs w:val="22"/>
        </w:rPr>
        <w:t>:</w:t>
      </w:r>
      <w:r>
        <w:rPr>
          <w:rFonts w:ascii="Palatino Linotype" w:eastAsia="Palatino Linotype" w:hAnsi="Palatino Linotype" w:cs="Palatino Linotype"/>
          <w:i/>
          <w:color w:val="000000"/>
          <w:sz w:val="22"/>
          <w:szCs w:val="22"/>
        </w:rPr>
        <w:t xml:space="preserve"> "</w:t>
      </w:r>
      <w:r>
        <w:rPr>
          <w:rFonts w:ascii="Verdana" w:eastAsia="Verdana" w:hAnsi="Verdana" w:cs="Verdana"/>
          <w:color w:val="000000"/>
          <w:sz w:val="22"/>
          <w:szCs w:val="22"/>
        </w:rPr>
        <w:t xml:space="preserve"> </w:t>
      </w:r>
      <w:r>
        <w:rPr>
          <w:rFonts w:ascii="Palatino Linotype" w:eastAsia="Palatino Linotype" w:hAnsi="Palatino Linotype" w:cs="Palatino Linotype"/>
          <w:i/>
          <w:color w:val="000000"/>
          <w:sz w:val="22"/>
          <w:szCs w:val="22"/>
        </w:rPr>
        <w:t>Información incompleta, hacen falta oficios de gestión realizados por la unidad administrativa encargada de dar respuesta a dicha solicitud." (Sic)</w:t>
      </w:r>
    </w:p>
    <w:p w:rsidR="00D91E31" w:rsidRDefault="006161C6" w:rsidP="00D826F5">
      <w:pPr>
        <w:numPr>
          <w:ilvl w:val="0"/>
          <w:numId w:val="5"/>
        </w:numPr>
        <w:spacing w:line="360" w:lineRule="auto"/>
        <w:ind w:right="-28"/>
        <w:jc w:val="both"/>
        <w:rPr>
          <w:sz w:val="22"/>
          <w:szCs w:val="22"/>
        </w:rPr>
      </w:pPr>
      <w:r>
        <w:rPr>
          <w:rFonts w:ascii="Palatino Linotype" w:eastAsia="Palatino Linotype" w:hAnsi="Palatino Linotype" w:cs="Palatino Linotype"/>
          <w:b/>
          <w:sz w:val="22"/>
          <w:szCs w:val="22"/>
        </w:rPr>
        <w:t>Razones o Motivos de inconformidad:</w:t>
      </w:r>
      <w:r>
        <w:rPr>
          <w:rFonts w:ascii="Verdana" w:eastAsia="Verdana" w:hAnsi="Verdana" w:cs="Verdana"/>
          <w:color w:val="000000"/>
          <w:sz w:val="22"/>
          <w:szCs w:val="22"/>
        </w:rPr>
        <w:t xml:space="preserve"> </w:t>
      </w:r>
      <w:r>
        <w:rPr>
          <w:rFonts w:ascii="Palatino Linotype" w:eastAsia="Palatino Linotype" w:hAnsi="Palatino Linotype" w:cs="Palatino Linotype"/>
          <w:i/>
          <w:color w:val="000000"/>
          <w:sz w:val="22"/>
          <w:szCs w:val="22"/>
        </w:rPr>
        <w:t>“Información incompleta, hacen falta oficios de gestión realizados por la unidad administrativa encargada de dar respuesta a dicha solicitud.”</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 xml:space="preserve">Comisionada María del Rosario Mejía Ayala,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D826F5">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w:t>
      </w:r>
      <w:r w:rsidR="006161C6">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quince (15) de enero de dos mil veinticuatro, puso a disposición de las partes el expediente electrónico vía </w:t>
      </w:r>
      <w:r w:rsidR="006161C6">
        <w:rPr>
          <w:rFonts w:ascii="Palatino Linotype" w:eastAsia="Palatino Linotype" w:hAnsi="Palatino Linotype" w:cs="Palatino Linotype"/>
          <w:b/>
          <w:color w:val="000000"/>
        </w:rPr>
        <w:t xml:space="preserve">SAIMEX </w:t>
      </w:r>
      <w:r w:rsidR="006161C6">
        <w:rPr>
          <w:rFonts w:ascii="Palatino Linotype" w:eastAsia="Palatino Linotype" w:hAnsi="Palatino Linotype" w:cs="Palatino Linotype"/>
          <w:color w:val="000000"/>
        </w:rPr>
        <w:t xml:space="preserve">a efecto de que en un plazo máximo de siete días </w:t>
      </w:r>
      <w:r w:rsidR="006161C6">
        <w:rPr>
          <w:rFonts w:ascii="Palatino Linotype" w:eastAsia="Palatino Linotype" w:hAnsi="Palatino Linotype" w:cs="Palatino Linotype"/>
        </w:rPr>
        <w:t>manifestara</w:t>
      </w:r>
      <w:r w:rsidR="006161C6">
        <w:rPr>
          <w:rFonts w:ascii="Palatino Linotype" w:eastAsia="Palatino Linotype" w:hAnsi="Palatino Linotype" w:cs="Palatino Linotype"/>
          <w:color w:val="000000"/>
        </w:rPr>
        <w:t xml:space="preserve"> lo que a derecho </w:t>
      </w:r>
      <w:r w:rsidR="006161C6">
        <w:rPr>
          <w:rFonts w:ascii="Palatino Linotype" w:eastAsia="Palatino Linotype" w:hAnsi="Palatino Linotype" w:cs="Palatino Linotype"/>
        </w:rPr>
        <w:t>conviniera</w:t>
      </w:r>
      <w:r w:rsidR="006161C6">
        <w:rPr>
          <w:rFonts w:ascii="Palatino Linotype" w:eastAsia="Palatino Linotype" w:hAnsi="Palatino Linotype" w:cs="Palatino Linotype"/>
          <w:color w:val="000000"/>
        </w:rPr>
        <w:t xml:space="preserve">, </w:t>
      </w:r>
      <w:r w:rsidR="006161C6">
        <w:rPr>
          <w:rFonts w:ascii="Palatino Linotype" w:eastAsia="Palatino Linotype" w:hAnsi="Palatino Linotype" w:cs="Palatino Linotype"/>
        </w:rPr>
        <w:t>ofreciera</w:t>
      </w:r>
      <w:r w:rsidR="006161C6">
        <w:rPr>
          <w:rFonts w:ascii="Palatino Linotype" w:eastAsia="Palatino Linotype" w:hAnsi="Palatino Linotype" w:cs="Palatino Linotype"/>
          <w:color w:val="000000"/>
        </w:rPr>
        <w:t xml:space="preserve"> pruebas y alegatos según corresponda al caso concreto, de esta forma para que el </w:t>
      </w:r>
      <w:r w:rsidR="006161C6">
        <w:rPr>
          <w:rFonts w:ascii="Palatino Linotype" w:eastAsia="Palatino Linotype" w:hAnsi="Palatino Linotype" w:cs="Palatino Linotype"/>
          <w:b/>
          <w:color w:val="000000"/>
        </w:rPr>
        <w:t>SUJETO OBLIGADO</w:t>
      </w:r>
      <w:r w:rsidR="006161C6">
        <w:rPr>
          <w:rFonts w:ascii="Palatino Linotype" w:eastAsia="Palatino Linotype" w:hAnsi="Palatino Linotype" w:cs="Palatino Linotype"/>
          <w:color w:val="000000"/>
        </w:rPr>
        <w:t xml:space="preserve"> </w:t>
      </w:r>
      <w:r w:rsidR="006161C6">
        <w:rPr>
          <w:rFonts w:ascii="Palatino Linotype" w:eastAsia="Palatino Linotype" w:hAnsi="Palatino Linotype" w:cs="Palatino Linotype"/>
        </w:rPr>
        <w:t>presentará</w:t>
      </w:r>
      <w:r w:rsidR="006161C6">
        <w:rPr>
          <w:rFonts w:ascii="Palatino Linotype" w:eastAsia="Palatino Linotype" w:hAnsi="Palatino Linotype" w:cs="Palatino Linotype"/>
          <w:color w:val="000000"/>
        </w:rPr>
        <w:t xml:space="preserve"> el informe justificado procedente. </w:t>
      </w: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De las constancias del expediente electrónico SAIMEX no se advierten manifestaciones del Recurrente; por su parte, el Sujeto Obligado entregó informe justificado el veinticinco (25) de enero de dos mil veinticuatro y se puso a la vista del particular el diecinueve (19) de septiembre del mismo año,  a través de los archivos que se describen enseguida:</w:t>
      </w:r>
    </w:p>
    <w:p w:rsidR="00D91E31" w:rsidRDefault="00F316B1" w:rsidP="00BE39ED">
      <w:pPr>
        <w:numPr>
          <w:ilvl w:val="0"/>
          <w:numId w:val="2"/>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3">
        <w:r w:rsidR="006161C6">
          <w:rPr>
            <w:rFonts w:ascii="Palatino Linotype" w:eastAsia="Palatino Linotype" w:hAnsi="Palatino Linotype" w:cs="Palatino Linotype"/>
            <w:b/>
            <w:color w:val="000000"/>
            <w:sz w:val="22"/>
            <w:szCs w:val="22"/>
            <w:u w:val="single"/>
          </w:rPr>
          <w:t>Informe Justificado RR 38.pdf</w:t>
        </w:r>
      </w:hyperlink>
      <w:r w:rsidR="006161C6">
        <w:rPr>
          <w:rFonts w:ascii="Palatino Linotype" w:eastAsia="Palatino Linotype" w:hAnsi="Palatino Linotype" w:cs="Palatino Linotype"/>
          <w:color w:val="000000"/>
          <w:sz w:val="22"/>
          <w:szCs w:val="22"/>
        </w:rPr>
        <w:t xml:space="preserve">: Informe justificado con número de oficio 41100100030000S/109/2023, suscrito por el Suplente Titular de la Unidad de Planeación y Transparencia, en el que de forma medular ratificó su respuesta. </w:t>
      </w:r>
    </w:p>
    <w:p w:rsidR="00D91E31" w:rsidRDefault="00F316B1" w:rsidP="00BE39ED">
      <w:pPr>
        <w:numPr>
          <w:ilvl w:val="0"/>
          <w:numId w:val="2"/>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4">
        <w:r w:rsidR="006161C6">
          <w:rPr>
            <w:rFonts w:ascii="Palatino Linotype" w:eastAsia="Palatino Linotype" w:hAnsi="Palatino Linotype" w:cs="Palatino Linotype"/>
            <w:b/>
            <w:color w:val="000000"/>
            <w:sz w:val="22"/>
            <w:szCs w:val="22"/>
            <w:u w:val="single"/>
          </w:rPr>
          <w:t>065-RR0038 CAF.pdf</w:t>
        </w:r>
      </w:hyperlink>
      <w:r w:rsidR="006161C6">
        <w:rPr>
          <w:rFonts w:ascii="Palatino Linotype" w:eastAsia="Palatino Linotype" w:hAnsi="Palatino Linotype" w:cs="Palatino Linotype"/>
          <w:color w:val="000000"/>
          <w:sz w:val="22"/>
          <w:szCs w:val="22"/>
        </w:rPr>
        <w:t xml:space="preserve">: oficio 41100100040000S/0032/202 de fecha diecinueve de enero de dos mil veinticuatro, suscrito por el Coordinador de Administración y Finanzas, en el que señaló que derivado de la búsqueda exhaustiva y razonable en sus archivos, no se localizó la información solicitada. </w:t>
      </w:r>
    </w:p>
    <w:p w:rsidR="00D91E31" w:rsidRDefault="00F316B1" w:rsidP="00BE39ED">
      <w:pPr>
        <w:numPr>
          <w:ilvl w:val="0"/>
          <w:numId w:val="2"/>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hyperlink r:id="rId15">
        <w:r w:rsidR="006161C6">
          <w:rPr>
            <w:rFonts w:ascii="Palatino Linotype" w:eastAsia="Palatino Linotype" w:hAnsi="Palatino Linotype" w:cs="Palatino Linotype"/>
            <w:b/>
            <w:color w:val="000000"/>
            <w:sz w:val="22"/>
            <w:szCs w:val="22"/>
            <w:u w:val="single"/>
          </w:rPr>
          <w:t>resp asol uni 333 CAYF.pdf</w:t>
        </w:r>
      </w:hyperlink>
      <w:r w:rsidR="006161C6">
        <w:rPr>
          <w:rFonts w:ascii="Palatino Linotype" w:eastAsia="Palatino Linotype" w:hAnsi="Palatino Linotype" w:cs="Palatino Linotype"/>
          <w:color w:val="000000"/>
          <w:sz w:val="22"/>
          <w:szCs w:val="22"/>
        </w:rPr>
        <w:t xml:space="preserve">: oficio 41100100040000S/0759/2023 de fecha primero de diciembre de dos mil veintitrés, suscrito por el Coordinador de Administración y Finanzas, en el que refirió que desde su creación a la fecha no se cuenta con fideicomisos.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catorce (14) de marzo de dos mil veinticuatro, se notificó el acuerdo a través del cual se aprobó la ampliación de plazo para emitir resolución, por un periodo de quince días.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91E31" w:rsidRDefault="00D91E31">
      <w:pPr>
        <w:spacing w:line="360" w:lineRule="auto"/>
        <w:ind w:right="-734"/>
        <w:jc w:val="both"/>
        <w:rPr>
          <w:rFonts w:ascii="Palatino Linotype" w:eastAsia="Palatino Linotype" w:hAnsi="Palatino Linotype" w:cs="Palatino Linotype"/>
          <w:b/>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D91E31" w:rsidRDefault="006161C6" w:rsidP="00BE39ED">
      <w:pPr>
        <w:numPr>
          <w:ilvl w:val="0"/>
          <w:numId w:val="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D91E31" w:rsidRDefault="006161C6" w:rsidP="00BE39ED">
      <w:pPr>
        <w:numPr>
          <w:ilvl w:val="0"/>
          <w:numId w:val="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D91E31" w:rsidRDefault="006161C6" w:rsidP="00BE39ED">
      <w:pPr>
        <w:numPr>
          <w:ilvl w:val="0"/>
          <w:numId w:val="3"/>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D91E31" w:rsidRDefault="006161C6" w:rsidP="00BE39ED">
      <w:pPr>
        <w:spacing w:line="360" w:lineRule="auto"/>
        <w:ind w:left="567" w:right="11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91E31" w:rsidRDefault="00D91E31">
      <w:pPr>
        <w:spacing w:line="360" w:lineRule="auto"/>
        <w:ind w:right="-734"/>
        <w:jc w:val="both"/>
        <w:rPr>
          <w:rFonts w:ascii="Palatino Linotype" w:eastAsia="Palatino Linotype" w:hAnsi="Palatino Linotype" w:cs="Palatino Linotype"/>
          <w:b/>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D91E31" w:rsidRDefault="006161C6">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rsidR="00D91E31" w:rsidRDefault="00D91E31">
      <w:pPr>
        <w:spacing w:line="360" w:lineRule="auto"/>
        <w:ind w:left="851" w:right="-25"/>
        <w:jc w:val="both"/>
        <w:rPr>
          <w:rFonts w:ascii="Palatino Linotype" w:eastAsia="Palatino Linotype" w:hAnsi="Palatino Linotype" w:cs="Palatino Linotype"/>
          <w:b/>
          <w:sz w:val="22"/>
          <w:szCs w:val="22"/>
        </w:rPr>
      </w:pPr>
    </w:p>
    <w:p w:rsidR="00D91E31" w:rsidRDefault="006161C6">
      <w:pPr>
        <w:spacing w:line="360" w:lineRule="auto"/>
        <w:ind w:left="851" w:right="-2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rsidR="00D91E31" w:rsidRDefault="00D91E31">
      <w:pPr>
        <w:spacing w:line="360" w:lineRule="auto"/>
        <w:ind w:right="-734"/>
        <w:jc w:val="both"/>
        <w:rPr>
          <w:rFonts w:ascii="Palatino Linotype" w:eastAsia="Palatino Linotype" w:hAnsi="Palatino Linotype" w:cs="Palatino Linotype"/>
          <w:i/>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Comisionada Ponente decretó el cierre de instrucción mediante el acuerdo del veinticinco (25) de septiembre de dos mil veinticuatro.</w:t>
      </w:r>
    </w:p>
    <w:p w:rsidR="00D91E31" w:rsidRDefault="00D91E31">
      <w:pPr>
        <w:spacing w:line="360" w:lineRule="auto"/>
        <w:ind w:right="-734"/>
        <w:rPr>
          <w:rFonts w:ascii="Palatino Linotype" w:eastAsia="Palatino Linotype" w:hAnsi="Palatino Linotype" w:cs="Palatino Linotype"/>
        </w:rPr>
      </w:pPr>
    </w:p>
    <w:p w:rsidR="00BE39ED" w:rsidRDefault="00BE39ED">
      <w:pPr>
        <w:spacing w:line="360" w:lineRule="auto"/>
        <w:ind w:right="-734"/>
        <w:rPr>
          <w:rFonts w:ascii="Palatino Linotype" w:eastAsia="Palatino Linotype" w:hAnsi="Palatino Linotype" w:cs="Palatino Linotype"/>
        </w:rPr>
      </w:pPr>
    </w:p>
    <w:p w:rsidR="00BE39ED" w:rsidRDefault="00BE39ED">
      <w:pPr>
        <w:spacing w:line="360" w:lineRule="auto"/>
        <w:ind w:right="-734"/>
        <w:rPr>
          <w:rFonts w:ascii="Palatino Linotype" w:eastAsia="Palatino Linotype" w:hAnsi="Palatino Linotype" w:cs="Palatino Linotype"/>
        </w:rPr>
      </w:pPr>
    </w:p>
    <w:p w:rsidR="00D91E31" w:rsidRDefault="006161C6">
      <w:pPr>
        <w:spacing w:line="360" w:lineRule="auto"/>
        <w:ind w:right="-734"/>
        <w:jc w:val="center"/>
        <w:rPr>
          <w:rFonts w:ascii="Palatino Linotype" w:eastAsia="Palatino Linotype" w:hAnsi="Palatino Linotype" w:cs="Palatino Linotype"/>
        </w:rPr>
      </w:pPr>
      <w:bookmarkStart w:id="2" w:name="_heading=h.30j0zll" w:colFirst="0" w:colLast="0"/>
      <w:bookmarkEnd w:id="2"/>
      <w:r>
        <w:rPr>
          <w:rFonts w:ascii="Palatino Linotype" w:eastAsia="Palatino Linotype" w:hAnsi="Palatino Linotype" w:cs="Palatino Linotype"/>
          <w:b/>
        </w:rPr>
        <w:lastRenderedPageBreak/>
        <w:t>C O N S I D E R A N D O</w:t>
      </w:r>
    </w:p>
    <w:p w:rsidR="00D91E31" w:rsidRDefault="00D91E31">
      <w:pPr>
        <w:spacing w:line="360" w:lineRule="auto"/>
        <w:ind w:right="-734"/>
        <w:jc w:val="center"/>
        <w:rPr>
          <w:rFonts w:ascii="Palatino Linotype" w:eastAsia="Palatino Linotype" w:hAnsi="Palatino Linotype" w:cs="Palatino Linotype"/>
        </w:rPr>
      </w:pPr>
    </w:p>
    <w:p w:rsidR="00D91E31" w:rsidRDefault="006161C6">
      <w:pPr>
        <w:spacing w:line="360" w:lineRule="auto"/>
        <w:ind w:right="-734"/>
        <w:jc w:val="both"/>
        <w:rPr>
          <w:rFonts w:ascii="Palatino Linotype" w:eastAsia="Palatino Linotype" w:hAnsi="Palatino Linotype" w:cs="Palatino Linotype"/>
          <w:b/>
        </w:rPr>
      </w:pPr>
      <w:bookmarkStart w:id="3" w:name="_heading=h.1fob9te" w:colFirst="0" w:colLast="0"/>
      <w:bookmarkEnd w:id="3"/>
      <w:r>
        <w:rPr>
          <w:rFonts w:ascii="Palatino Linotype" w:eastAsia="Palatino Linotype" w:hAnsi="Palatino Linotype" w:cs="Palatino Linotype"/>
          <w:b/>
        </w:rPr>
        <w:t>PRIMERO. De la competencia</w:t>
      </w:r>
    </w:p>
    <w:p w:rsidR="00D91E31" w:rsidRDefault="006161C6">
      <w:pPr>
        <w:numPr>
          <w:ilvl w:val="0"/>
          <w:numId w:val="4"/>
        </w:numPr>
        <w:pBdr>
          <w:top w:val="nil"/>
          <w:left w:val="nil"/>
          <w:bottom w:val="nil"/>
          <w:right w:val="nil"/>
          <w:between w:val="nil"/>
        </w:pBdr>
        <w:spacing w:before="240" w:after="24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D91E31" w:rsidRDefault="006161C6">
      <w:pPr>
        <w:keepNext/>
        <w:keepLines/>
        <w:spacing w:line="360" w:lineRule="auto"/>
        <w:ind w:right="-734"/>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SEGUNDO. De la oportunidad y procedencia.</w:t>
      </w: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respuesta a la solicitud el día primero (01) de diciembre de dos mil veintitrés, de tal forma que el plazo para interponer el recurso de revisión transcurrió del cuatro (04) de diciembre de dos mil veintitrés al doce (12) de enero de dos mil veinticuatro; en consecuencia, presentó su inconformidad el día once (11) de enero de dos mil veinticuatro, por lo que se encuentra dentro de los márgenes temporales previstos en el artículo 178 de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vigente.</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otra parte, de la revisión al expediente electrónico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se desprende que la parte solicitante en ejercicio de su derecho de acceso a la información pública en el expediente que se revisa, tanto en la solicitud de información como en el recurso de revisión no proporciona su nombre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D91E31" w:rsidRDefault="00D91E31">
      <w:pPr>
        <w:pBdr>
          <w:top w:val="nil"/>
          <w:left w:val="nil"/>
          <w:bottom w:val="nil"/>
          <w:right w:val="nil"/>
          <w:between w:val="nil"/>
        </w:pBdr>
        <w:ind w:left="720" w:right="-734"/>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Esto es así, ya que de conformidad con los artículos 6, Apartado A, fracciones III y IV de la Constitución Política de los Estados Unidos Mexicanos y 5, párrafos vigésimo, vigésimo primero y vigésimo </w:t>
      </w:r>
      <w:r>
        <w:rPr>
          <w:rFonts w:ascii="Palatino Linotype" w:eastAsia="Palatino Linotype" w:hAnsi="Palatino Linotype" w:cs="Palatino Linotype"/>
        </w:rPr>
        <w:t>segundo</w:t>
      </w:r>
      <w:r>
        <w:rPr>
          <w:rFonts w:ascii="Palatino Linotype" w:eastAsia="Palatino Linotype" w:hAnsi="Palatino Linotype" w:cs="Palatino Linotype"/>
          <w:color w:val="000000"/>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D91E31" w:rsidRDefault="00D91E31">
      <w:pPr>
        <w:pBdr>
          <w:top w:val="nil"/>
          <w:left w:val="nil"/>
          <w:bottom w:val="nil"/>
          <w:right w:val="nil"/>
          <w:between w:val="nil"/>
        </w:pBdr>
        <w:ind w:left="720" w:right="-734"/>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Pr>
          <w:rFonts w:ascii="Palatino Linotype" w:eastAsia="Palatino Linotype" w:hAnsi="Palatino Linotype" w:cs="Palatino Linotype"/>
          <w:color w:val="000000"/>
        </w:rPr>
        <w:lastRenderedPageBreak/>
        <w:t>inclusive, la solicitud de acceso a la información pueda ser anónima o no contener un nombre que identifique al solicitante o que permita tener certeza sobre su identidad.</w:t>
      </w:r>
    </w:p>
    <w:p w:rsidR="00D91E31" w:rsidRDefault="00D91E31">
      <w:pPr>
        <w:pBdr>
          <w:top w:val="nil"/>
          <w:left w:val="nil"/>
          <w:bottom w:val="nil"/>
          <w:right w:val="nil"/>
          <w:between w:val="nil"/>
        </w:pBdr>
        <w:ind w:left="720" w:right="-734"/>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D91E31" w:rsidRDefault="00D91E31">
      <w:pPr>
        <w:pBdr>
          <w:top w:val="nil"/>
          <w:left w:val="nil"/>
          <w:bottom w:val="nil"/>
          <w:right w:val="nil"/>
          <w:between w:val="nil"/>
        </w:pBdr>
        <w:ind w:left="720" w:right="-734"/>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el nombre del </w:t>
      </w:r>
      <w:r>
        <w:rPr>
          <w:rFonts w:ascii="Palatino Linotype" w:eastAsia="Palatino Linotype" w:hAnsi="Palatino Linotype" w:cs="Palatino Linotype"/>
        </w:rPr>
        <w:t>solicitante</w:t>
      </w:r>
      <w:r>
        <w:rPr>
          <w:rFonts w:ascii="Palatino Linotype" w:eastAsia="Palatino Linotype" w:hAnsi="Palatino Linotype" w:cs="Palatino Linotype"/>
          <w:color w:val="000000"/>
        </w:rPr>
        <w:t xml:space="preserve"> y recurrente no puede ser considerado un requisito indispensable de procedibilidad del recurso de revisión que nos ocupa, ya que el acceso a la información no está condicionado a acreditar algún interés ya sea jurídico o legítimo, máxime que es un elemento subsanable por este Órgano Resolutor.</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spacing w:line="360" w:lineRule="auto"/>
        <w:ind w:right="-734"/>
        <w:jc w:val="both"/>
        <w:rPr>
          <w:rFonts w:ascii="Palatino Linotype" w:eastAsia="Palatino Linotype" w:hAnsi="Palatino Linotype" w:cs="Palatino Linotype"/>
          <w:b/>
        </w:rPr>
      </w:pPr>
      <w:bookmarkStart w:id="5" w:name="_heading=h.2et92p0" w:colFirst="0" w:colLast="0"/>
      <w:bookmarkEnd w:id="5"/>
      <w:r>
        <w:rPr>
          <w:rFonts w:ascii="Palatino Linotype" w:eastAsia="Palatino Linotype" w:hAnsi="Palatino Linotype" w:cs="Palatino Linotype"/>
          <w:b/>
        </w:rPr>
        <w:t>TERCERO. Planteamiento de la Litis.</w:t>
      </w: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El particular solicitó los fideicomisos con que cuenta la Secretaría Ejecutiva del Sistema Estatal Anticorrupción. </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respuesta, el Servidor Público Habilitado de la Coordinación de Administración y Finanzas señaló que desde su creación a la fecha de la solicitud, no se cuenta con fideicomisos. Posteriormente el particular interpuso recurso de revisión en el que señaló, de forma medular, su inconformidad por la entrega de información incompleta. </w:t>
      </w:r>
    </w:p>
    <w:p w:rsidR="00D91E31" w:rsidRDefault="006161C6">
      <w:pPr>
        <w:numPr>
          <w:ilvl w:val="0"/>
          <w:numId w:val="4"/>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En consecuencia, la Litis a resolver en este recurso, se circunscribe a determinar si la respuesta colma con lo solicitado o si se actualiza la causal de procedencia prevista en el artículo 179, fracción I de la Ley de Transparencia y Acceso a la Información Pública del Estado de México y Municipios; que establece la negativa de la información.</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keepNext/>
        <w:keepLines/>
        <w:spacing w:line="360" w:lineRule="auto"/>
        <w:ind w:right="-734"/>
        <w:rPr>
          <w:rFonts w:ascii="Palatino Linotype" w:eastAsia="Palatino Linotype" w:hAnsi="Palatino Linotype" w:cs="Palatino Linotype"/>
          <w:b/>
        </w:rPr>
      </w:pPr>
      <w:bookmarkStart w:id="6" w:name="_heading=h.tyjcwt" w:colFirst="0" w:colLast="0"/>
      <w:bookmarkEnd w:id="6"/>
      <w:r>
        <w:rPr>
          <w:rFonts w:ascii="Palatino Linotype" w:eastAsia="Palatino Linotype" w:hAnsi="Palatino Linotype" w:cs="Palatino Linotype"/>
          <w:b/>
        </w:rPr>
        <w:t>CUARTO. Del estudio y resolución del recurso de revisión.</w:t>
      </w: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este caso, el particular solicitó los fideicomisos con que cuenta la Secretaría Ejecutiva del Sistema Estatal Anticorrupción. </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contexto, es necesario señalar que el artículo 162 de la Ley de Transparencia y Acceso a la Información Pública del Estado de México establece que para atender una solicitud de acceso a la información, la Unidad de Transparencia debe turnar el requerimiento a todas las áreas que pudieran haber generado o poseer la información requerida para efectos de que realicen una búsqueda exhaustiva en sus archivos que permita localizar los documentos existentes y generados previamente al momento en que fuera formulada la solicitud, para efectos de su entrega al particular, lo que implica un procedimiento de gestión documental según lo regulado por las disposiciones legales y reglamentarias aplicables.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Lo anterior no equivale a la práctica de una investigación, en los términos señalados por el artículo 12 del mismo ordenamiento jurídico ya que dicha hipótesis normativa implica analizar y extraer información a partir de la realidad misma o del contenido de diversos documentos para someterla a un proceso de actividades intelectuales y experimentales de modo sistemático con el propósito de aumentar los conocimientos sobre una determinada materia, los cuales se hacen constar en un nuevo documento que se genera como consecuencia de la investigación practicada.</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w:t>
      </w:r>
      <w:r>
        <w:rPr>
          <w:rFonts w:ascii="Palatino Linotype" w:eastAsia="Palatino Linotype" w:hAnsi="Palatino Linotype" w:cs="Palatino Linotype"/>
          <w:i/>
          <w:color w:val="000000"/>
        </w:rPr>
        <w:t xml:space="preserve">a todas las áreas competentes que cuenten con la información o deban tenerla de acuerdo a sus facultades, competencias y funciones, </w:t>
      </w:r>
      <w:r>
        <w:rPr>
          <w:rFonts w:ascii="Palatino Linotype" w:eastAsia="Palatino Linotype" w:hAnsi="Palatino Linotype" w:cs="Palatino Linotype"/>
          <w:b/>
          <w:i/>
          <w:color w:val="000000"/>
          <w:u w:val="single"/>
        </w:rPr>
        <w:t>con el objeto de que realicen una búsqueda exhaustiva y razonable de la información solicitada</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rPr>
        <w:t xml:space="preserve"> según se asienta en el artículo 162 de la ley citada. </w:t>
      </w:r>
    </w:p>
    <w:p w:rsidR="00D91E31" w:rsidRDefault="00D91E31">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el buscar exhaustivamente en sus archivos, identificar la unidad administrativa que resguarda el documento al que una persona pretende acceder, es practicar una adecuada gestión documental que nos permite localizar el documento, como bien señala el artículo 159 de la Ley de Transparencia. </w:t>
      </w:r>
    </w:p>
    <w:p w:rsidR="00D91E31" w:rsidRDefault="00D91E31">
      <w:pPr>
        <w:pBdr>
          <w:top w:val="nil"/>
          <w:left w:val="nil"/>
          <w:bottom w:val="nil"/>
          <w:right w:val="nil"/>
          <w:between w:val="nil"/>
        </w:pBdr>
        <w:spacing w:line="360" w:lineRule="auto"/>
        <w:ind w:left="720" w:right="-734"/>
        <w:jc w:val="both"/>
        <w:rPr>
          <w:rFonts w:ascii="Palatino Linotype" w:eastAsia="Palatino Linotype" w:hAnsi="Palatino Linotype" w:cs="Palatino Linotype"/>
        </w:rPr>
      </w:pPr>
    </w:p>
    <w:p w:rsidR="00D91E31" w:rsidRDefault="006161C6">
      <w:pPr>
        <w:numPr>
          <w:ilvl w:val="0"/>
          <w:numId w:val="4"/>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este caso, la respuesta fue emitida por el servidor público habilitado de la Dirección de Administración y Finanzas, que de acuerdo al artículo 25 del Estatuto Orgánico de la Secretaría Ejecutiva del Sistema Estatal Anticorrupción, le corresponden, entre otras, las siguientes atribuciones:</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“Artículo 25.- Corresponde a la Coordinación de Administración y Finanzas, el ejercicio de las atribuciones siguientes:</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Representar a la Secretaría Ejecutiva ante autoridades administrativas federales, estatales y municipales, y ante particulares, en actos relativos a la administración de la Secretaría Ejecutiva, previo mandato que al efecto le otorgue el Secretario Técnico; </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Programar, organizar, coordinar y controlar el suministro, administración, aplicación y aprovechamiento de </w:t>
      </w:r>
      <w:r>
        <w:rPr>
          <w:rFonts w:ascii="Palatino Linotype" w:eastAsia="Palatino Linotype" w:hAnsi="Palatino Linotype" w:cs="Palatino Linotype"/>
          <w:b/>
          <w:i/>
          <w:color w:val="000000"/>
          <w:sz w:val="22"/>
          <w:szCs w:val="22"/>
        </w:rPr>
        <w:t>los recursos</w:t>
      </w:r>
      <w:r>
        <w:rPr>
          <w:rFonts w:ascii="Palatino Linotype" w:eastAsia="Palatino Linotype" w:hAnsi="Palatino Linotype" w:cs="Palatino Linotype"/>
          <w:i/>
          <w:color w:val="000000"/>
          <w:sz w:val="22"/>
          <w:szCs w:val="22"/>
        </w:rPr>
        <w:t xml:space="preserve"> humanos, </w:t>
      </w:r>
      <w:r>
        <w:rPr>
          <w:rFonts w:ascii="Palatino Linotype" w:eastAsia="Palatino Linotype" w:hAnsi="Palatino Linotype" w:cs="Palatino Linotype"/>
          <w:b/>
          <w:i/>
          <w:color w:val="000000"/>
          <w:sz w:val="22"/>
          <w:szCs w:val="22"/>
        </w:rPr>
        <w:t>materiales, financieros</w:t>
      </w:r>
      <w:r>
        <w:rPr>
          <w:rFonts w:ascii="Palatino Linotype" w:eastAsia="Palatino Linotype" w:hAnsi="Palatino Linotype" w:cs="Palatino Linotype"/>
          <w:i/>
          <w:color w:val="000000"/>
          <w:sz w:val="22"/>
          <w:szCs w:val="22"/>
        </w:rPr>
        <w:t xml:space="preserve"> y técnicos, a fin de que se manejen en forma racional, así como los servicios generales necesarios para el funcionamiento de las unidades administrativas de la Secretaría Ejecutiva, de conformidad con la normatividad aplicable; </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Coordinar la integración del anteproyecto anual de presupuesto y estructura programática de la Secretaría Ejecutiva, de acuerdo con la normatividad aplicable, y llevar a cabo la calendarización del presupuesto autorizado, para su autorización por el Órgano de Gobierno; </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Autorizar los traspasos internos, en materia presupuestal, y los ajustes en materia de programación, que deban aplicarse a la Secretaría Ejecutiva; </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Verificar que los registros contables, financieros y presupuestales, se realicen de acuerdo a la normatividad vigente a efecto de emitir los estados financieros correspondientes; </w:t>
      </w:r>
    </w:p>
    <w:p w:rsidR="00D91E31" w:rsidRDefault="006161C6" w:rsidP="00BE39ED">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rsidR="00D91E31" w:rsidRDefault="00D91E31">
      <w:pPr>
        <w:pBdr>
          <w:top w:val="nil"/>
          <w:left w:val="nil"/>
          <w:bottom w:val="nil"/>
          <w:right w:val="nil"/>
          <w:between w:val="nil"/>
        </w:pBdr>
        <w:spacing w:after="240" w:line="360" w:lineRule="auto"/>
        <w:ind w:right="-734"/>
        <w:jc w:val="both"/>
        <w:rPr>
          <w:rFonts w:ascii="Palatino Linotype" w:eastAsia="Palatino Linotype" w:hAnsi="Palatino Linotype" w:cs="Palatino Linotype"/>
          <w:b/>
          <w:color w:val="000000"/>
        </w:rPr>
      </w:pPr>
    </w:p>
    <w:p w:rsidR="00D91E31" w:rsidRDefault="006161C6">
      <w:pPr>
        <w:numPr>
          <w:ilvl w:val="0"/>
          <w:numId w:val="4"/>
        </w:numPr>
        <w:pBdr>
          <w:top w:val="nil"/>
          <w:left w:val="nil"/>
          <w:bottom w:val="nil"/>
          <w:right w:val="nil"/>
          <w:between w:val="nil"/>
        </w:pBdr>
        <w:tabs>
          <w:tab w:val="left" w:pos="0"/>
        </w:tabs>
        <w:spacing w:before="240" w:after="36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se advierte del precepto legal señalado, la Coordinación de Administración y Finanzas es la encargada de administrar los recursos financieros del Sujeto Obligado, por ello, es el área que de acuerdo a sus facultades genera, posee o administra la información solicitada.  </w:t>
      </w:r>
    </w:p>
    <w:p w:rsidR="00D91E31" w:rsidRDefault="006161C6">
      <w:pPr>
        <w:numPr>
          <w:ilvl w:val="0"/>
          <w:numId w:val="4"/>
        </w:numPr>
        <w:pBdr>
          <w:top w:val="nil"/>
          <w:left w:val="nil"/>
          <w:bottom w:val="nil"/>
          <w:right w:val="nil"/>
          <w:between w:val="nil"/>
        </w:pBdr>
        <w:tabs>
          <w:tab w:val="left" w:pos="0"/>
        </w:tabs>
        <w:spacing w:before="240" w:after="360"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xml:space="preserve"> establece que la información pública generada, administrada o en </w:t>
      </w:r>
      <w:r>
        <w:rPr>
          <w:rFonts w:ascii="Palatino Linotype" w:eastAsia="Palatino Linotype" w:hAnsi="Palatino Linotype" w:cs="Palatino Linotype"/>
          <w:color w:val="000000"/>
        </w:rPr>
        <w:lastRenderedPageBreak/>
        <w:t>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D91E31" w:rsidRDefault="006161C6">
      <w:pPr>
        <w:pBdr>
          <w:top w:val="nil"/>
          <w:left w:val="nil"/>
          <w:bottom w:val="nil"/>
          <w:right w:val="nil"/>
          <w:between w:val="nil"/>
        </w:pBdr>
        <w:spacing w:line="360" w:lineRule="auto"/>
        <w:ind w:left="720" w:right="-25"/>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D91E31" w:rsidRDefault="00D91E31">
      <w:pPr>
        <w:pBdr>
          <w:top w:val="nil"/>
          <w:left w:val="nil"/>
          <w:bottom w:val="nil"/>
          <w:right w:val="nil"/>
          <w:between w:val="nil"/>
        </w:pBdr>
        <w:tabs>
          <w:tab w:val="left" w:pos="709"/>
        </w:tabs>
        <w:spacing w:line="360" w:lineRule="auto"/>
        <w:ind w:left="720" w:right="-734"/>
        <w:jc w:val="both"/>
        <w:rPr>
          <w:rFonts w:ascii="Palatino Linotype" w:eastAsia="Palatino Linotype" w:hAnsi="Palatino Linotype" w:cs="Palatino Linotype"/>
          <w:color w:val="000000"/>
        </w:rPr>
      </w:pPr>
    </w:p>
    <w:p w:rsidR="00D91E31" w:rsidRDefault="006161C6">
      <w:pPr>
        <w:numPr>
          <w:ilvl w:val="0"/>
          <w:numId w:val="4"/>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Numerales que compelen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apegarse en todo momento a los criterios ya expuestos, impidiendo a este Órgano Colegiado cuestionar la veracidad de la información.</w:t>
      </w:r>
    </w:p>
    <w:p w:rsidR="00D91E31" w:rsidRDefault="00D91E31">
      <w:pPr>
        <w:pBdr>
          <w:top w:val="nil"/>
          <w:left w:val="nil"/>
          <w:bottom w:val="nil"/>
          <w:right w:val="nil"/>
          <w:between w:val="nil"/>
        </w:pBdr>
        <w:tabs>
          <w:tab w:val="left" w:pos="0"/>
        </w:tabs>
        <w:spacing w:line="360" w:lineRule="auto"/>
        <w:ind w:left="720" w:right="-734"/>
        <w:jc w:val="both"/>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Atento a todo lo anteriormente señalado, resultan infundadas las razones o motivos de inconformidad hechos valer por el </w:t>
      </w:r>
      <w:r>
        <w:rPr>
          <w:rFonts w:ascii="Palatino Linotype" w:eastAsia="Palatino Linotype" w:hAnsi="Palatino Linotype" w:cs="Palatino Linotype"/>
          <w:b/>
        </w:rPr>
        <w:t>RECURRENTE, y</w:t>
      </w:r>
      <w:r>
        <w:rPr>
          <w:rFonts w:ascii="Palatino Linotype" w:eastAsia="Palatino Linotype" w:hAnsi="Palatino Linotype" w:cs="Palatino Linotype"/>
        </w:rPr>
        <w:t xml:space="preserve"> en términos del artículo 186 fracción II este Pleno determina procedente </w:t>
      </w:r>
      <w:r>
        <w:rPr>
          <w:rFonts w:ascii="Palatino Linotype" w:eastAsia="Palatino Linotype" w:hAnsi="Palatino Linotype" w:cs="Palatino Linotype"/>
          <w:b/>
        </w:rPr>
        <w:t>CONFIRMAR</w:t>
      </w:r>
      <w:r>
        <w:rPr>
          <w:rFonts w:ascii="Palatino Linotype" w:eastAsia="Palatino Linotype" w:hAnsi="Palatino Linotype" w:cs="Palatino Linotype"/>
        </w:rPr>
        <w:t xml:space="preserve"> la respuesta del presente recurso de revisión, toda vez que no hubo afectación al derecho de acceso a la información pública establecido constitucionalmente a favor del particular.</w:t>
      </w:r>
    </w:p>
    <w:p w:rsidR="00D91E31" w:rsidRDefault="00D91E31">
      <w:pPr>
        <w:spacing w:line="360" w:lineRule="auto"/>
        <w:ind w:right="-734"/>
        <w:rPr>
          <w:rFonts w:ascii="Palatino Linotype" w:eastAsia="Palatino Linotype" w:hAnsi="Palatino Linotype" w:cs="Palatino Linotype"/>
        </w:rPr>
      </w:pPr>
    </w:p>
    <w:p w:rsidR="00D91E31" w:rsidRDefault="006161C6">
      <w:pPr>
        <w:numPr>
          <w:ilvl w:val="0"/>
          <w:numId w:val="4"/>
        </w:numPr>
        <w:spacing w:line="360" w:lineRule="auto"/>
        <w:ind w:left="0" w:right="-734"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Por lo anteriormente expuesto y fundado, este </w:t>
      </w:r>
      <w:r>
        <w:rPr>
          <w:rFonts w:ascii="Palatino Linotype" w:eastAsia="Palatino Linotype" w:hAnsi="Palatino Linotype" w:cs="Palatino Linotype"/>
          <w:b/>
        </w:rPr>
        <w:t>ÓRGANO GARANTE</w:t>
      </w:r>
      <w:r>
        <w:rPr>
          <w:rFonts w:ascii="Palatino Linotype" w:eastAsia="Palatino Linotype" w:hAnsi="Palatino Linotype" w:cs="Palatino Linotype"/>
        </w:rPr>
        <w:t xml:space="preserve"> emite los siguientes:</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keepNext/>
        <w:keepLines/>
        <w:spacing w:line="360" w:lineRule="auto"/>
        <w:ind w:right="-734"/>
        <w:jc w:val="center"/>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lastRenderedPageBreak/>
        <w:t>R E S O L U T I V O S</w:t>
      </w:r>
    </w:p>
    <w:p w:rsidR="00D91E31" w:rsidRDefault="00D91E31">
      <w:pPr>
        <w:keepNext/>
        <w:keepLines/>
        <w:spacing w:line="360" w:lineRule="auto"/>
        <w:ind w:right="-734"/>
        <w:jc w:val="center"/>
        <w:rPr>
          <w:rFonts w:ascii="Palatino Linotype" w:eastAsia="Palatino Linotype" w:hAnsi="Palatino Linotype" w:cs="Palatino Linotype"/>
          <w:b/>
          <w:color w:val="000000"/>
        </w:rPr>
      </w:pPr>
    </w:p>
    <w:p w:rsidR="00D91E31" w:rsidRDefault="006161C6">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infundadas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razones o motivos de inconformidad hechos valer en el recurso de revisión </w:t>
      </w:r>
      <w:r>
        <w:rPr>
          <w:rFonts w:ascii="Palatino Linotype" w:eastAsia="Palatino Linotype" w:hAnsi="Palatino Linotype" w:cs="Palatino Linotype"/>
          <w:b/>
        </w:rPr>
        <w:t xml:space="preserve">00038/INFOEM/IP/RR/2024, </w:t>
      </w:r>
      <w:r>
        <w:rPr>
          <w:rFonts w:ascii="Palatino Linotype" w:eastAsia="Palatino Linotype" w:hAnsi="Palatino Linotype" w:cs="Palatino Linotype"/>
        </w:rPr>
        <w:t xml:space="preserve">en términos del </w:t>
      </w:r>
      <w:r>
        <w:rPr>
          <w:rFonts w:ascii="Palatino Linotype" w:eastAsia="Palatino Linotype" w:hAnsi="Palatino Linotype" w:cs="Palatino Linotype"/>
          <w:b/>
        </w:rPr>
        <w:t>Considerando</w:t>
      </w:r>
      <w:r>
        <w:rPr>
          <w:rFonts w:ascii="Palatino Linotype" w:eastAsia="Palatino Linotype" w:hAnsi="Palatino Linotype" w:cs="Palatino Linotype"/>
        </w:rPr>
        <w:t xml:space="preserve">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b/>
          <w:color w:val="2E75B5"/>
        </w:rPr>
        <w:t xml:space="preserve"> </w:t>
      </w:r>
      <w:r>
        <w:rPr>
          <w:rFonts w:ascii="Palatino Linotype" w:eastAsia="Palatino Linotype" w:hAnsi="Palatino Linotype" w:cs="Palatino Linotype"/>
        </w:rPr>
        <w:t>Se</w:t>
      </w:r>
      <w:r>
        <w:rPr>
          <w:rFonts w:ascii="Palatino Linotype" w:eastAsia="Palatino Linotype" w:hAnsi="Palatino Linotype" w:cs="Palatino Linotype"/>
          <w:b/>
        </w:rPr>
        <w:t xml:space="preserve"> CONFIRMA </w:t>
      </w:r>
      <w:r>
        <w:rPr>
          <w:rFonts w:ascii="Palatino Linotype" w:eastAsia="Palatino Linotype" w:hAnsi="Palatino Linotype" w:cs="Palatino Linotype"/>
        </w:rPr>
        <w:t xml:space="preserve">la respuesta emitida por la </w:t>
      </w:r>
      <w:r>
        <w:rPr>
          <w:rFonts w:ascii="Palatino Linotype" w:eastAsia="Palatino Linotype" w:hAnsi="Palatino Linotype" w:cs="Palatino Linotype"/>
          <w:b/>
        </w:rPr>
        <w:t xml:space="preserve">Secretaría Ejecutiva del Sistema Estatal Anticorrupción </w:t>
      </w:r>
      <w:r>
        <w:rPr>
          <w:rFonts w:ascii="Palatino Linotype" w:eastAsia="Palatino Linotype" w:hAnsi="Palatino Linotype" w:cs="Palatino Linotype"/>
        </w:rPr>
        <w:t xml:space="preserve">a la solicitud </w:t>
      </w:r>
      <w:r>
        <w:rPr>
          <w:rFonts w:ascii="Palatino Linotype" w:eastAsia="Palatino Linotype" w:hAnsi="Palatino Linotype" w:cs="Palatino Linotype"/>
          <w:b/>
        </w:rPr>
        <w:t>00333/SESEA/IP/2023.</w:t>
      </w:r>
      <w:r>
        <w:rPr>
          <w:rFonts w:ascii="Palatino Linotype" w:eastAsia="Palatino Linotype" w:hAnsi="Palatino Linotype" w:cs="Palatino Linotype"/>
        </w:rPr>
        <w:t xml:space="preserve"> </w:t>
      </w:r>
    </w:p>
    <w:p w:rsidR="00D91E31" w:rsidRDefault="00D91E31">
      <w:pPr>
        <w:spacing w:line="360" w:lineRule="auto"/>
        <w:ind w:right="-734"/>
        <w:jc w:val="both"/>
        <w:rPr>
          <w:rFonts w:ascii="Palatino Linotype" w:eastAsia="Palatino Linotype" w:hAnsi="Palatino Linotype" w:cs="Palatino Linotype"/>
        </w:rPr>
      </w:pPr>
    </w:p>
    <w:p w:rsidR="00D91E31" w:rsidRDefault="006161C6">
      <w:pPr>
        <w:tabs>
          <w:tab w:val="left" w:pos="8080"/>
        </w:tabs>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REMÍTASE, </w:t>
      </w:r>
      <w:r>
        <w:rPr>
          <w:rFonts w:ascii="Palatino Linotype" w:eastAsia="Palatino Linotype" w:hAnsi="Palatino Linotype" w:cs="Palatino Linotype"/>
        </w:rPr>
        <w:t xml:space="preserve">vía Sistema de Acceso a la Información Mexiquense (SAIMEX), la presente resolución al Titular de la Unidad de Transparencia del </w:t>
      </w:r>
      <w:r>
        <w:rPr>
          <w:rFonts w:ascii="Palatino Linotype" w:eastAsia="Palatino Linotype" w:hAnsi="Palatino Linotype" w:cs="Palatino Linotype"/>
          <w:b/>
        </w:rPr>
        <w:t>SUJETO OBLIGADO.</w:t>
      </w:r>
    </w:p>
    <w:p w:rsidR="00D91E31" w:rsidRDefault="00D91E31">
      <w:pPr>
        <w:tabs>
          <w:tab w:val="left" w:pos="8080"/>
        </w:tabs>
        <w:spacing w:line="360" w:lineRule="auto"/>
        <w:ind w:right="-734"/>
        <w:jc w:val="both"/>
        <w:rPr>
          <w:rFonts w:ascii="Palatino Linotype" w:eastAsia="Palatino Linotype" w:hAnsi="Palatino Linotype" w:cs="Palatino Linotype"/>
          <w:b/>
        </w:rPr>
      </w:pPr>
    </w:p>
    <w:p w:rsidR="00D91E31" w:rsidRDefault="006161C6">
      <w:pPr>
        <w:shd w:val="clear" w:color="auto" w:fill="FFFFFF"/>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 xml:space="preserve">CUARTO. Notifíquese al RECURRENTE </w:t>
      </w:r>
      <w:r>
        <w:rPr>
          <w:rFonts w:ascii="Palatino Linotype" w:eastAsia="Palatino Linotype" w:hAnsi="Palatino Linotype" w:cs="Palatino Linotype"/>
        </w:rPr>
        <w:t>la presente resolución vía SAIMEX.</w:t>
      </w:r>
    </w:p>
    <w:p w:rsidR="00D91E31" w:rsidRDefault="00D91E31">
      <w:pPr>
        <w:shd w:val="clear" w:color="auto" w:fill="FFFFFF"/>
        <w:spacing w:line="360" w:lineRule="auto"/>
        <w:ind w:right="-734"/>
        <w:jc w:val="both"/>
        <w:rPr>
          <w:rFonts w:ascii="Palatino Linotype" w:eastAsia="Palatino Linotype" w:hAnsi="Palatino Linotype" w:cs="Palatino Linotype"/>
        </w:rPr>
      </w:pPr>
    </w:p>
    <w:p w:rsidR="00D91E31" w:rsidRDefault="006161C6">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D91E31" w:rsidRDefault="00D91E31">
      <w:pPr>
        <w:spacing w:line="360" w:lineRule="auto"/>
        <w:ind w:right="-734"/>
        <w:jc w:val="both"/>
        <w:rPr>
          <w:rFonts w:ascii="Palatino Linotype" w:eastAsia="Palatino Linotype" w:hAnsi="Palatino Linotype" w:cs="Palatino Linotype"/>
        </w:rPr>
      </w:pPr>
    </w:p>
    <w:p w:rsidR="000E6F87" w:rsidRPr="003C7186" w:rsidRDefault="000E6F87" w:rsidP="00AB4B82">
      <w:pPr>
        <w:spacing w:line="360" w:lineRule="auto"/>
        <w:ind w:left="-142" w:right="-737"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QUINTA </w:t>
      </w:r>
      <w:r w:rsidRPr="003C7186">
        <w:rPr>
          <w:rFonts w:ascii="Palatino Linotype" w:hAnsi="Palatino Linotype"/>
        </w:rPr>
        <w:t xml:space="preserve">SESIÓN ORDINARIA </w:t>
      </w:r>
      <w:r w:rsidRPr="003C7186">
        <w:rPr>
          <w:rFonts w:ascii="Palatino Linotype" w:hAnsi="Palatino Linotype"/>
        </w:rPr>
        <w:lastRenderedPageBreak/>
        <w:t xml:space="preserve">CELEBRADA EL </w:t>
      </w:r>
      <w:r>
        <w:rPr>
          <w:rFonts w:ascii="Palatino Linotype" w:hAnsi="Palatino Linotype"/>
        </w:rPr>
        <w:t>TRES</w:t>
      </w:r>
      <w:r w:rsidRPr="003C7186">
        <w:rPr>
          <w:rFonts w:ascii="Palatino Linotype" w:hAnsi="Palatino Linotype"/>
        </w:rPr>
        <w:t xml:space="preserve"> </w:t>
      </w:r>
      <w:r>
        <w:rPr>
          <w:rFonts w:ascii="Palatino Linotype" w:hAnsi="Palatino Linotype"/>
        </w:rPr>
        <w:t>(03) DE OCTUBRE</w:t>
      </w:r>
      <w:r w:rsidRPr="003C7186">
        <w:rPr>
          <w:rFonts w:ascii="Palatino Linotype" w:hAnsi="Palatino Linotype"/>
        </w:rPr>
        <w:t xml:space="preserve"> DE DOS MIL VEINTICUATRO, ANTE EL SECRETARIO TÉCNICO DEL PLENO ALEXIS TAPIA RAMÍREZ. </w:t>
      </w:r>
    </w:p>
    <w:p w:rsidR="000E6F87" w:rsidRPr="00902BA4" w:rsidRDefault="000E6F87" w:rsidP="000E6F87">
      <w:pPr>
        <w:widowControl w:val="0"/>
        <w:autoSpaceDE w:val="0"/>
        <w:autoSpaceDN w:val="0"/>
        <w:adjustRightInd w:val="0"/>
        <w:spacing w:after="200" w:line="276" w:lineRule="auto"/>
        <w:ind w:left="-142" w:right="-234"/>
        <w:rPr>
          <w:rFonts w:ascii="Calibri" w:hAnsi="Calibri" w:cs="Calibri"/>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spacing w:line="360" w:lineRule="auto"/>
        <w:ind w:right="-734"/>
        <w:jc w:val="both"/>
        <w:rPr>
          <w:rFonts w:ascii="Palatino Linotype" w:eastAsia="Palatino Linotype" w:hAnsi="Palatino Linotype" w:cs="Palatino Linotype"/>
        </w:rPr>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p w:rsidR="00D91E31" w:rsidRDefault="00D91E31">
      <w:pPr>
        <w:ind w:right="-734"/>
      </w:pPr>
    </w:p>
    <w:sectPr w:rsidR="00D91E31">
      <w:headerReference w:type="even" r:id="rId16"/>
      <w:headerReference w:type="default" r:id="rId17"/>
      <w:footerReference w:type="default" r:id="rId18"/>
      <w:headerReference w:type="first" r:id="rId19"/>
      <w:footerReference w:type="first" r:id="rId20"/>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B1" w:rsidRDefault="00F316B1">
      <w:r>
        <w:separator/>
      </w:r>
    </w:p>
  </w:endnote>
  <w:endnote w:type="continuationSeparator" w:id="0">
    <w:p w:rsidR="00F316B1" w:rsidRDefault="00F3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1" w:rsidRDefault="006161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3D14">
      <w:rPr>
        <w:b/>
        <w:noProof/>
        <w:color w:val="000000"/>
      </w:rPr>
      <w:t>17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3D14">
      <w:rPr>
        <w:b/>
        <w:noProof/>
        <w:color w:val="000000"/>
      </w:rPr>
      <w:t>17</w:t>
    </w:r>
    <w:r>
      <w:rPr>
        <w:b/>
        <w:color w:val="000000"/>
      </w:rPr>
      <w:fldChar w:fldCharType="end"/>
    </w:r>
  </w:p>
  <w:p w:rsidR="00D91E31" w:rsidRDefault="00D91E3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1" w:rsidRDefault="006161C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C3D14">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C3D14">
      <w:rPr>
        <w:b/>
        <w:noProof/>
        <w:color w:val="000000"/>
      </w:rPr>
      <w:t>17</w:t>
    </w:r>
    <w:r>
      <w:rPr>
        <w:b/>
        <w:color w:val="000000"/>
      </w:rPr>
      <w:fldChar w:fldCharType="end"/>
    </w:r>
  </w:p>
  <w:p w:rsidR="00D91E31" w:rsidRDefault="00D91E3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B1" w:rsidRDefault="00F316B1">
      <w:r>
        <w:separator/>
      </w:r>
    </w:p>
  </w:footnote>
  <w:footnote w:type="continuationSeparator" w:id="0">
    <w:p w:rsidR="00F316B1" w:rsidRDefault="00F3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1" w:rsidRDefault="00F316B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9214" w:type="dxa"/>
      <w:tblInd w:w="0" w:type="dxa"/>
      <w:tblLayout w:type="fixed"/>
      <w:tblLook w:val="0400" w:firstRow="0" w:lastRow="0" w:firstColumn="0" w:lastColumn="0" w:noHBand="0" w:noVBand="1"/>
    </w:tblPr>
    <w:tblGrid>
      <w:gridCol w:w="2268"/>
      <w:gridCol w:w="6946"/>
    </w:tblGrid>
    <w:tr w:rsidR="00D91E31">
      <w:trPr>
        <w:trHeight w:val="1435"/>
      </w:trPr>
      <w:tc>
        <w:tcPr>
          <w:tcW w:w="2268" w:type="dxa"/>
          <w:shd w:val="clear" w:color="auto" w:fill="auto"/>
        </w:tcPr>
        <w:p w:rsidR="00D91E31" w:rsidRDefault="00D91E31">
          <w:pPr>
            <w:tabs>
              <w:tab w:val="right" w:pos="4273"/>
            </w:tabs>
            <w:rPr>
              <w:rFonts w:ascii="Garamond" w:eastAsia="Garamond" w:hAnsi="Garamond" w:cs="Garamond"/>
              <w:sz w:val="16"/>
              <w:szCs w:val="16"/>
            </w:rPr>
          </w:pPr>
        </w:p>
      </w:tc>
      <w:tc>
        <w:tcPr>
          <w:tcW w:w="6946" w:type="dxa"/>
          <w:shd w:val="clear" w:color="auto" w:fill="auto"/>
        </w:tcPr>
        <w:tbl>
          <w:tblPr>
            <w:tblStyle w:val="a1"/>
            <w:tblW w:w="6973" w:type="dxa"/>
            <w:tblInd w:w="452" w:type="dxa"/>
            <w:tblLayout w:type="fixed"/>
            <w:tblLook w:val="0400" w:firstRow="0" w:lastRow="0" w:firstColumn="0" w:lastColumn="0" w:noHBand="0" w:noVBand="1"/>
          </w:tblPr>
          <w:tblGrid>
            <w:gridCol w:w="2520"/>
            <w:gridCol w:w="4453"/>
          </w:tblGrid>
          <w:tr w:rsidR="00D91E31" w:rsidTr="00D826F5">
            <w:trPr>
              <w:trHeight w:val="150"/>
            </w:trPr>
            <w:tc>
              <w:tcPr>
                <w:tcW w:w="2520" w:type="dxa"/>
                <w:shd w:val="clear" w:color="auto" w:fill="auto"/>
              </w:tcPr>
              <w:p w:rsidR="00D91E31" w:rsidRDefault="006161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3" w:type="dxa"/>
                <w:shd w:val="clear" w:color="auto" w:fill="auto"/>
              </w:tcPr>
              <w:p w:rsidR="00D91E31" w:rsidRPr="00D826F5" w:rsidRDefault="006161C6">
                <w:pPr>
                  <w:tabs>
                    <w:tab w:val="right" w:pos="8838"/>
                  </w:tabs>
                  <w:ind w:left="-108" w:right="-1232"/>
                  <w:rPr>
                    <w:rFonts w:ascii="Palatino Linotype" w:eastAsia="Palatino Linotype" w:hAnsi="Palatino Linotype" w:cs="Palatino Linotype"/>
                    <w:sz w:val="22"/>
                    <w:szCs w:val="22"/>
                  </w:rPr>
                </w:pPr>
                <w:r w:rsidRPr="00D826F5">
                  <w:rPr>
                    <w:rFonts w:ascii="Palatino Linotype" w:eastAsia="Palatino Linotype" w:hAnsi="Palatino Linotype" w:cs="Palatino Linotype"/>
                    <w:sz w:val="22"/>
                    <w:szCs w:val="22"/>
                  </w:rPr>
                  <w:t>00038/INFOEM/IP/RR/2024</w:t>
                </w:r>
                <w:r w:rsidRPr="00D826F5">
                  <w:rPr>
                    <w:rFonts w:ascii="Palatino Linotype" w:eastAsia="Palatino Linotype" w:hAnsi="Palatino Linotype" w:cs="Palatino Linotype"/>
                    <w:b/>
                    <w:sz w:val="22"/>
                    <w:szCs w:val="22"/>
                  </w:rPr>
                  <w:t xml:space="preserve"> </w:t>
                </w:r>
              </w:p>
            </w:tc>
          </w:tr>
          <w:tr w:rsidR="00D91E31" w:rsidTr="00D826F5">
            <w:trPr>
              <w:trHeight w:val="295"/>
            </w:trPr>
            <w:tc>
              <w:tcPr>
                <w:tcW w:w="2520" w:type="dxa"/>
                <w:shd w:val="clear" w:color="auto" w:fill="auto"/>
              </w:tcPr>
              <w:p w:rsidR="00D91E31" w:rsidRDefault="006161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3" w:type="dxa"/>
                <w:shd w:val="clear" w:color="auto" w:fill="auto"/>
              </w:tcPr>
              <w:p w:rsidR="00D826F5" w:rsidRPr="00D826F5" w:rsidRDefault="006161C6">
                <w:pPr>
                  <w:ind w:left="-108" w:right="-1232"/>
                  <w:rPr>
                    <w:rFonts w:ascii="Palatino Linotype" w:eastAsia="Palatino Linotype" w:hAnsi="Palatino Linotype" w:cs="Palatino Linotype"/>
                    <w:sz w:val="22"/>
                    <w:szCs w:val="22"/>
                  </w:rPr>
                </w:pPr>
                <w:r w:rsidRPr="00D826F5">
                  <w:rPr>
                    <w:rFonts w:ascii="Palatino Linotype" w:eastAsia="Palatino Linotype" w:hAnsi="Palatino Linotype" w:cs="Palatino Linotype"/>
                    <w:sz w:val="22"/>
                    <w:szCs w:val="22"/>
                  </w:rPr>
                  <w:t xml:space="preserve">Secretaría Ejecutiva del Sistema Estatal </w:t>
                </w:r>
              </w:p>
              <w:p w:rsidR="00D91E31" w:rsidRPr="00D826F5" w:rsidRDefault="006161C6">
                <w:pPr>
                  <w:ind w:left="-108" w:right="-1232"/>
                  <w:rPr>
                    <w:rFonts w:ascii="Palatino Linotype" w:eastAsia="Palatino Linotype" w:hAnsi="Palatino Linotype" w:cs="Palatino Linotype"/>
                    <w:sz w:val="22"/>
                    <w:szCs w:val="22"/>
                  </w:rPr>
                </w:pPr>
                <w:r w:rsidRPr="00D826F5">
                  <w:rPr>
                    <w:rFonts w:ascii="Palatino Linotype" w:eastAsia="Palatino Linotype" w:hAnsi="Palatino Linotype" w:cs="Palatino Linotype"/>
                    <w:sz w:val="22"/>
                    <w:szCs w:val="22"/>
                  </w:rPr>
                  <w:t>Anticorrupción</w:t>
                </w:r>
              </w:p>
            </w:tc>
          </w:tr>
          <w:tr w:rsidR="00D91E31" w:rsidTr="00D826F5">
            <w:trPr>
              <w:trHeight w:val="295"/>
            </w:trPr>
            <w:tc>
              <w:tcPr>
                <w:tcW w:w="2520" w:type="dxa"/>
                <w:shd w:val="clear" w:color="auto" w:fill="auto"/>
              </w:tcPr>
              <w:p w:rsidR="00D91E31" w:rsidRDefault="006161C6">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453" w:type="dxa"/>
                <w:shd w:val="clear" w:color="auto" w:fill="auto"/>
              </w:tcPr>
              <w:p w:rsidR="00D91E31" w:rsidRPr="00D826F5" w:rsidRDefault="006161C6">
                <w:pPr>
                  <w:ind w:left="-108" w:right="-1232"/>
                  <w:rPr>
                    <w:rFonts w:ascii="Palatino Linotype" w:eastAsia="Palatino Linotype" w:hAnsi="Palatino Linotype" w:cs="Palatino Linotype"/>
                    <w:sz w:val="22"/>
                    <w:szCs w:val="22"/>
                  </w:rPr>
                </w:pPr>
                <w:r w:rsidRPr="00D826F5">
                  <w:rPr>
                    <w:rFonts w:ascii="Palatino Linotype" w:eastAsia="Palatino Linotype" w:hAnsi="Palatino Linotype" w:cs="Palatino Linotype"/>
                    <w:sz w:val="22"/>
                    <w:szCs w:val="22"/>
                  </w:rPr>
                  <w:t>María del Rosario Mejía Ayala</w:t>
                </w:r>
              </w:p>
              <w:p w:rsidR="00D91E31" w:rsidRPr="00D826F5" w:rsidRDefault="00D91E31">
                <w:pPr>
                  <w:tabs>
                    <w:tab w:val="right" w:pos="8838"/>
                  </w:tabs>
                  <w:ind w:left="-108" w:right="-1232"/>
                  <w:rPr>
                    <w:rFonts w:ascii="Palatino Linotype" w:eastAsia="Palatino Linotype" w:hAnsi="Palatino Linotype" w:cs="Palatino Linotype"/>
                    <w:b/>
                    <w:sz w:val="22"/>
                    <w:szCs w:val="22"/>
                  </w:rPr>
                </w:pPr>
              </w:p>
            </w:tc>
          </w:tr>
        </w:tbl>
        <w:p w:rsidR="00D91E31" w:rsidRDefault="00D91E31">
          <w:pPr>
            <w:tabs>
              <w:tab w:val="right" w:pos="8838"/>
            </w:tabs>
            <w:ind w:left="-28"/>
            <w:jc w:val="both"/>
            <w:rPr>
              <w:rFonts w:ascii="Arial" w:eastAsia="Arial" w:hAnsi="Arial" w:cs="Arial"/>
              <w:b/>
              <w:sz w:val="22"/>
              <w:szCs w:val="22"/>
            </w:rPr>
          </w:pPr>
        </w:p>
      </w:tc>
    </w:tr>
  </w:tbl>
  <w:p w:rsidR="00D91E31" w:rsidRDefault="00F316B1">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395" w:type="dxa"/>
      <w:tblInd w:w="0" w:type="dxa"/>
      <w:tblLayout w:type="fixed"/>
      <w:tblLook w:val="0400" w:firstRow="0" w:lastRow="0" w:firstColumn="0" w:lastColumn="0" w:noHBand="0" w:noVBand="1"/>
    </w:tblPr>
    <w:tblGrid>
      <w:gridCol w:w="2265"/>
      <w:gridCol w:w="8130"/>
    </w:tblGrid>
    <w:tr w:rsidR="00D91E31">
      <w:trPr>
        <w:trHeight w:val="1435"/>
      </w:trPr>
      <w:tc>
        <w:tcPr>
          <w:tcW w:w="2265" w:type="dxa"/>
          <w:shd w:val="clear" w:color="auto" w:fill="auto"/>
        </w:tcPr>
        <w:p w:rsidR="00D91E31" w:rsidRDefault="00D91E31">
          <w:pPr>
            <w:tabs>
              <w:tab w:val="right" w:pos="4273"/>
            </w:tabs>
            <w:rPr>
              <w:rFonts w:ascii="Garamond" w:eastAsia="Garamond" w:hAnsi="Garamond" w:cs="Garamond"/>
              <w:sz w:val="22"/>
              <w:szCs w:val="22"/>
            </w:rPr>
          </w:pPr>
        </w:p>
      </w:tc>
      <w:tc>
        <w:tcPr>
          <w:tcW w:w="8130" w:type="dxa"/>
          <w:shd w:val="clear" w:color="auto" w:fill="auto"/>
        </w:tcPr>
        <w:tbl>
          <w:tblPr>
            <w:tblStyle w:val="a3"/>
            <w:tblW w:w="7078" w:type="dxa"/>
            <w:tblInd w:w="1164" w:type="dxa"/>
            <w:tblLayout w:type="fixed"/>
            <w:tblLook w:val="0400" w:firstRow="0" w:lastRow="0" w:firstColumn="0" w:lastColumn="0" w:noHBand="0" w:noVBand="1"/>
          </w:tblPr>
          <w:tblGrid>
            <w:gridCol w:w="2445"/>
            <w:gridCol w:w="4633"/>
          </w:tblGrid>
          <w:tr w:rsidR="00D91E31" w:rsidTr="00D826F5">
            <w:trPr>
              <w:trHeight w:val="144"/>
            </w:trPr>
            <w:tc>
              <w:tcPr>
                <w:tcW w:w="2445" w:type="dxa"/>
                <w:shd w:val="clear" w:color="auto" w:fill="auto"/>
              </w:tcPr>
              <w:p w:rsidR="00D91E31" w:rsidRDefault="006161C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33" w:type="dxa"/>
                <w:shd w:val="clear" w:color="auto" w:fill="auto"/>
              </w:tcPr>
              <w:p w:rsidR="00D91E31" w:rsidRDefault="006161C6">
                <w:pPr>
                  <w:ind w:left="-74" w:right="-14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00038/INFOEM/IP/RR/2024</w:t>
                </w:r>
              </w:p>
            </w:tc>
          </w:tr>
          <w:tr w:rsidR="00D91E31" w:rsidTr="00D826F5">
            <w:trPr>
              <w:trHeight w:val="144"/>
            </w:trPr>
            <w:tc>
              <w:tcPr>
                <w:tcW w:w="2445" w:type="dxa"/>
                <w:shd w:val="clear" w:color="auto" w:fill="auto"/>
              </w:tcPr>
              <w:p w:rsidR="00D91E31" w:rsidRDefault="006161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33" w:type="dxa"/>
                <w:shd w:val="clear" w:color="auto" w:fill="auto"/>
              </w:tcPr>
              <w:p w:rsidR="00D91E31" w:rsidRDefault="00D91E31">
                <w:pPr>
                  <w:tabs>
                    <w:tab w:val="left" w:pos="3122"/>
                  </w:tabs>
                  <w:ind w:left="-74" w:right="-1410"/>
                  <w:rPr>
                    <w:rFonts w:ascii="Palatino Linotype" w:eastAsia="Palatino Linotype" w:hAnsi="Palatino Linotype" w:cs="Palatino Linotype"/>
                    <w:sz w:val="22"/>
                    <w:szCs w:val="22"/>
                  </w:rPr>
                </w:pPr>
              </w:p>
            </w:tc>
          </w:tr>
          <w:tr w:rsidR="00D91E31" w:rsidTr="00D826F5">
            <w:trPr>
              <w:trHeight w:val="283"/>
            </w:trPr>
            <w:tc>
              <w:tcPr>
                <w:tcW w:w="2445" w:type="dxa"/>
                <w:shd w:val="clear" w:color="auto" w:fill="auto"/>
              </w:tcPr>
              <w:p w:rsidR="00D91E31" w:rsidRDefault="006161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33" w:type="dxa"/>
                <w:shd w:val="clear" w:color="auto" w:fill="auto"/>
              </w:tcPr>
              <w:p w:rsidR="00D826F5" w:rsidRDefault="006161C6">
                <w:pPr>
                  <w:tabs>
                    <w:tab w:val="left" w:pos="2834"/>
                  </w:tabs>
                  <w:ind w:left="-74" w:right="-14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Secretaría Ejecutiva del Sistema Estatal </w:t>
                </w:r>
              </w:p>
              <w:p w:rsidR="00D91E31" w:rsidRDefault="006161C6" w:rsidP="00D826F5">
                <w:pPr>
                  <w:ind w:left="-74" w:right="-14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Anticorrupción</w:t>
                </w:r>
              </w:p>
            </w:tc>
          </w:tr>
          <w:tr w:rsidR="00D91E31" w:rsidTr="00D826F5">
            <w:trPr>
              <w:trHeight w:val="283"/>
            </w:trPr>
            <w:tc>
              <w:tcPr>
                <w:tcW w:w="2445" w:type="dxa"/>
                <w:shd w:val="clear" w:color="auto" w:fill="auto"/>
              </w:tcPr>
              <w:p w:rsidR="00D91E31" w:rsidRDefault="006161C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33" w:type="dxa"/>
                <w:shd w:val="clear" w:color="auto" w:fill="auto"/>
              </w:tcPr>
              <w:p w:rsidR="00D91E31" w:rsidRDefault="006161C6">
                <w:pPr>
                  <w:ind w:left="-74" w:right="-14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91E31" w:rsidRDefault="00D91E31">
                <w:pPr>
                  <w:ind w:left="-74" w:right="-1410"/>
                  <w:rPr>
                    <w:rFonts w:ascii="Palatino Linotype" w:eastAsia="Palatino Linotype" w:hAnsi="Palatino Linotype" w:cs="Palatino Linotype"/>
                    <w:b/>
                    <w:sz w:val="22"/>
                    <w:szCs w:val="22"/>
                  </w:rPr>
                </w:pPr>
              </w:p>
            </w:tc>
          </w:tr>
        </w:tbl>
        <w:p w:rsidR="00D91E31" w:rsidRDefault="00D91E31">
          <w:pPr>
            <w:tabs>
              <w:tab w:val="right" w:pos="8838"/>
            </w:tabs>
            <w:ind w:left="-28"/>
            <w:jc w:val="both"/>
            <w:rPr>
              <w:rFonts w:ascii="Arial" w:eastAsia="Arial" w:hAnsi="Arial" w:cs="Arial"/>
              <w:b/>
              <w:sz w:val="22"/>
              <w:szCs w:val="22"/>
            </w:rPr>
          </w:pPr>
        </w:p>
      </w:tc>
    </w:tr>
  </w:tbl>
  <w:p w:rsidR="00D91E31" w:rsidRDefault="00F316B1">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2EEF"/>
    <w:multiLevelType w:val="multilevel"/>
    <w:tmpl w:val="A7A046B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E17404F"/>
    <w:multiLevelType w:val="multilevel"/>
    <w:tmpl w:val="D5281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E000B7"/>
    <w:multiLevelType w:val="multilevel"/>
    <w:tmpl w:val="4344176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48135B"/>
    <w:multiLevelType w:val="multilevel"/>
    <w:tmpl w:val="668EB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C94596"/>
    <w:multiLevelType w:val="multilevel"/>
    <w:tmpl w:val="90ACC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31"/>
    <w:rsid w:val="000D437F"/>
    <w:rsid w:val="000E6F87"/>
    <w:rsid w:val="00317DBE"/>
    <w:rsid w:val="006161C6"/>
    <w:rsid w:val="00AB4B82"/>
    <w:rsid w:val="00BE39ED"/>
    <w:rsid w:val="00D826F5"/>
    <w:rsid w:val="00D91E31"/>
    <w:rsid w:val="00EC3D14"/>
    <w:rsid w:val="00F3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C7DC5E-6D42-477E-B5DB-540064CF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F9"/>
  </w:style>
  <w:style w:type="paragraph" w:styleId="Ttulo1">
    <w:name w:val="heading 1"/>
    <w:basedOn w:val="Normal"/>
    <w:next w:val="Normal"/>
    <w:link w:val="Ttulo1Car"/>
    <w:uiPriority w:val="9"/>
    <w:qFormat/>
    <w:rsid w:val="008068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068F9"/>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8068F9"/>
    <w:pPr>
      <w:tabs>
        <w:tab w:val="center" w:pos="4419"/>
        <w:tab w:val="right" w:pos="8838"/>
      </w:tabs>
    </w:pPr>
  </w:style>
  <w:style w:type="character" w:customStyle="1" w:styleId="EncabezadoCar">
    <w:name w:val="Encabezado Car"/>
    <w:basedOn w:val="Fuentedeprrafopredeter"/>
    <w:link w:val="Encabezado"/>
    <w:uiPriority w:val="99"/>
    <w:rsid w:val="008068F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068F9"/>
    <w:pPr>
      <w:tabs>
        <w:tab w:val="center" w:pos="4419"/>
        <w:tab w:val="right" w:pos="8838"/>
      </w:tabs>
    </w:pPr>
  </w:style>
  <w:style w:type="character" w:customStyle="1" w:styleId="PiedepginaCar">
    <w:name w:val="Pie de página Car"/>
    <w:basedOn w:val="Fuentedeprrafopredeter"/>
    <w:link w:val="Piedepgina"/>
    <w:uiPriority w:val="99"/>
    <w:rsid w:val="008068F9"/>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68F9"/>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068F9"/>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068F9"/>
    <w:rPr>
      <w:color w:val="0563C1"/>
      <w:u w:val="single"/>
    </w:rPr>
  </w:style>
  <w:style w:type="paragraph" w:customStyle="1" w:styleId="Default">
    <w:name w:val="Default"/>
    <w:rsid w:val="008068F9"/>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70685.page" TargetMode="External"/><Relationship Id="rId13" Type="http://schemas.openxmlformats.org/officeDocument/2006/relationships/hyperlink" Target="https://saimex.org.mx/saimex/solicitud/downloadAttach/1999629.pa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imex.org.mx/saimex/solicitud/downloadAttach/1970689.pa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70688.page" TargetMode="External"/><Relationship Id="rId5" Type="http://schemas.openxmlformats.org/officeDocument/2006/relationships/webSettings" Target="webSettings.xml"/><Relationship Id="rId15" Type="http://schemas.openxmlformats.org/officeDocument/2006/relationships/hyperlink" Target="https://saimex.org.mx/saimex/solicitud/downloadAttach/1999631.page" TargetMode="External"/><Relationship Id="rId10" Type="http://schemas.openxmlformats.org/officeDocument/2006/relationships/hyperlink" Target="https://saimex.org.mx/saimex/solicitud/downloadAttach/1970687.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1970686.page" TargetMode="External"/><Relationship Id="rId14" Type="http://schemas.openxmlformats.org/officeDocument/2006/relationships/hyperlink" Target="https://saimex.org.mx/saimex/solicitud/downloadAttach/1999630.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fDHvWNEN3Dixi2o75BZOF3hA==">CgMxLjAyCGguZ2pkZ3hzMgloLjMwajB6bGwyCWguMWZvYjl0ZTIJaC4zem55c2g3MgloLjJldDkycDAyCGgudHlqY3d0MgloLjF0M2g1c2Y4AHIhMWRKRl9udHFfWVFZZU14cGN0U3NEYy11WlZwSXdPeEZW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3832</Words>
  <Characters>21077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USUARIO</cp:lastModifiedBy>
  <cp:revision>5</cp:revision>
  <cp:lastPrinted>2024-10-07T17:43:00Z</cp:lastPrinted>
  <dcterms:created xsi:type="dcterms:W3CDTF">2024-09-19T20:32:00Z</dcterms:created>
  <dcterms:modified xsi:type="dcterms:W3CDTF">2024-10-07T17:43:00Z</dcterms:modified>
</cp:coreProperties>
</file>