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DFF0F" w14:textId="7B1B6293" w:rsidR="00FC4BEF" w:rsidRDefault="004947EF">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w:t>
      </w:r>
      <w:r w:rsidR="00095FB6">
        <w:rPr>
          <w:rFonts w:ascii="Palatino Linotype" w:eastAsia="Palatino Linotype" w:hAnsi="Palatino Linotype" w:cs="Palatino Linotype"/>
          <w:color w:val="000000"/>
          <w:sz w:val="24"/>
          <w:szCs w:val="24"/>
        </w:rPr>
        <w:t xml:space="preserve"> en Metepec, Estado de México, de</w:t>
      </w:r>
      <w:r>
        <w:rPr>
          <w:rFonts w:ascii="Palatino Linotype" w:eastAsia="Palatino Linotype" w:hAnsi="Palatino Linotype" w:cs="Palatino Linotype"/>
          <w:color w:val="000000"/>
          <w:sz w:val="24"/>
          <w:szCs w:val="24"/>
        </w:rPr>
        <w:t xml:space="preserve"> dieciséis (16) de octubre de dos mil veinticuatro. </w:t>
      </w:r>
    </w:p>
    <w:p w14:paraId="3A3EBCE3" w14:textId="77777777" w:rsidR="00FC4BEF" w:rsidRDefault="00FC4BEF">
      <w:pPr>
        <w:shd w:val="clear" w:color="auto" w:fill="FFFFFF"/>
        <w:spacing w:after="0" w:line="360" w:lineRule="auto"/>
        <w:jc w:val="both"/>
        <w:rPr>
          <w:rFonts w:ascii="Palatino Linotype" w:eastAsia="Palatino Linotype" w:hAnsi="Palatino Linotype" w:cs="Palatino Linotype"/>
          <w:color w:val="000000"/>
          <w:sz w:val="24"/>
          <w:szCs w:val="24"/>
        </w:rPr>
      </w:pPr>
    </w:p>
    <w:p w14:paraId="13E13386" w14:textId="76324FC6"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número </w:t>
      </w:r>
      <w:r>
        <w:rPr>
          <w:rFonts w:ascii="Palatino Linotype" w:eastAsia="Palatino Linotype" w:hAnsi="Palatino Linotype" w:cs="Palatino Linotype"/>
          <w:b/>
          <w:sz w:val="24"/>
          <w:szCs w:val="24"/>
        </w:rPr>
        <w:t xml:space="preserve">05788/INFOEM/IP/RR/2024, </w:t>
      </w:r>
      <w:r>
        <w:rPr>
          <w:rFonts w:ascii="Palatino Linotype" w:eastAsia="Palatino Linotype" w:hAnsi="Palatino Linotype" w:cs="Palatino Linotype"/>
          <w:sz w:val="24"/>
          <w:szCs w:val="24"/>
        </w:rPr>
        <w:t xml:space="preserve">interpuesto por </w:t>
      </w:r>
      <w:r w:rsidR="00153EDA">
        <w:rPr>
          <w:rFonts w:ascii="Palatino Linotype" w:eastAsia="Palatino Linotype" w:hAnsi="Palatino Linotype" w:cs="Palatino Linotype"/>
          <w:b/>
          <w:sz w:val="24"/>
          <w:szCs w:val="24"/>
        </w:rPr>
        <w:t>XXXX XXXXXX XXXXX</w:t>
      </w:r>
      <w:r>
        <w:rPr>
          <w:rFonts w:ascii="Palatino Linotype" w:eastAsia="Palatino Linotype" w:hAnsi="Palatino Linotype" w:cs="Palatino Linotype"/>
          <w:sz w:val="24"/>
          <w:szCs w:val="24"/>
        </w:rPr>
        <w:t xml:space="preserve">, en lo sucesivo </w:t>
      </w:r>
      <w:r>
        <w:rPr>
          <w:rFonts w:ascii="Palatino Linotype" w:eastAsia="Palatino Linotype" w:hAnsi="Palatino Linotype" w:cs="Palatino Linotype"/>
          <w:b/>
          <w:sz w:val="24"/>
          <w:szCs w:val="24"/>
        </w:rPr>
        <w:t xml:space="preserve">El Recurrente, </w:t>
      </w:r>
      <w:r>
        <w:rPr>
          <w:rFonts w:ascii="Palatino Linotype" w:eastAsia="Palatino Linotype" w:hAnsi="Palatino Linotype" w:cs="Palatino Linotype"/>
          <w:sz w:val="24"/>
          <w:szCs w:val="24"/>
        </w:rPr>
        <w:t xml:space="preserve">en contra de la falta de respuesta del </w:t>
      </w:r>
      <w:r>
        <w:rPr>
          <w:rFonts w:ascii="Palatino Linotype" w:eastAsia="Palatino Linotype" w:hAnsi="Palatino Linotype" w:cs="Palatino Linotype"/>
          <w:b/>
        </w:rPr>
        <w:t>Ayuntamiento de Xalatlaco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se procede a dictar la presente resolución. </w:t>
      </w:r>
    </w:p>
    <w:p w14:paraId="4182541A" w14:textId="77777777" w:rsidR="00FC4BEF" w:rsidRDefault="00FC4BEF">
      <w:pPr>
        <w:spacing w:after="0" w:line="360" w:lineRule="auto"/>
        <w:jc w:val="both"/>
        <w:rPr>
          <w:rFonts w:ascii="Palatino Linotype" w:eastAsia="Palatino Linotype" w:hAnsi="Palatino Linotype" w:cs="Palatino Linotype"/>
          <w:sz w:val="24"/>
          <w:szCs w:val="24"/>
        </w:rPr>
      </w:pPr>
    </w:p>
    <w:p w14:paraId="3FE13AAB" w14:textId="77777777" w:rsidR="00FC4BEF" w:rsidRDefault="004947EF">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3E948810" w14:textId="77777777" w:rsidR="00FC4BEF" w:rsidRDefault="00FC4BEF">
      <w:pPr>
        <w:spacing w:after="0" w:line="360" w:lineRule="auto"/>
        <w:rPr>
          <w:rFonts w:ascii="Palatino Linotype" w:eastAsia="Palatino Linotype" w:hAnsi="Palatino Linotype" w:cs="Palatino Linotype"/>
          <w:b/>
          <w:sz w:val="24"/>
          <w:szCs w:val="24"/>
        </w:rPr>
      </w:pPr>
    </w:p>
    <w:p w14:paraId="6334B4C3" w14:textId="77777777" w:rsidR="00FC4BEF" w:rsidRDefault="004947EF">
      <w:pPr>
        <w:spacing w:after="0" w:line="360" w:lineRule="auto"/>
        <w:jc w:val="both"/>
        <w:rPr>
          <w:rFonts w:ascii="Palatino Linotype" w:eastAsia="Palatino Linotype" w:hAnsi="Palatino Linotype" w:cs="Palatino Linotype"/>
          <w:b/>
          <w:sz w:val="32"/>
          <w:szCs w:val="32"/>
        </w:rPr>
      </w:pPr>
      <w:r>
        <w:rPr>
          <w:rFonts w:ascii="Palatino Linotype" w:eastAsia="Palatino Linotype" w:hAnsi="Palatino Linotype" w:cs="Palatino Linotype"/>
          <w:b/>
          <w:sz w:val="32"/>
          <w:szCs w:val="32"/>
        </w:rPr>
        <w:t xml:space="preserve">PRIMERO. </w:t>
      </w:r>
      <w:r>
        <w:rPr>
          <w:rFonts w:ascii="Palatino Linotype" w:eastAsia="Palatino Linotype" w:hAnsi="Palatino Linotype" w:cs="Palatino Linotype"/>
          <w:b/>
          <w:color w:val="000000"/>
          <w:sz w:val="32"/>
          <w:szCs w:val="32"/>
        </w:rPr>
        <w:t>De la solicitud de información</w:t>
      </w:r>
    </w:p>
    <w:p w14:paraId="78078CB4"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 xml:space="preserve">treinta de agosto de dos mil veinticuatro,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presentó a través de la Plataforma Nacional de Transparencia (PN), la solicitud de acceso a la información pública, misma que se registró en el sistema SAIMEX con número de folio </w:t>
      </w:r>
      <w:r>
        <w:rPr>
          <w:rFonts w:ascii="Palatino Linotype" w:eastAsia="Palatino Linotype" w:hAnsi="Palatino Linotype" w:cs="Palatino Linotype"/>
          <w:b/>
          <w:sz w:val="24"/>
          <w:szCs w:val="24"/>
        </w:rPr>
        <w:t xml:space="preserve">00040/XALATLA/IP/2024, </w:t>
      </w:r>
      <w:r>
        <w:rPr>
          <w:rFonts w:ascii="Palatino Linotype" w:eastAsia="Palatino Linotype" w:hAnsi="Palatino Linotype" w:cs="Palatino Linotype"/>
          <w:sz w:val="24"/>
          <w:szCs w:val="24"/>
        </w:rPr>
        <w:t xml:space="preserve">lo siguiente: </w:t>
      </w:r>
    </w:p>
    <w:p w14:paraId="54ADDCDC" w14:textId="77777777" w:rsidR="00FC4BEF" w:rsidRDefault="00FC4BEF">
      <w:pPr>
        <w:spacing w:after="0" w:line="360" w:lineRule="auto"/>
        <w:jc w:val="both"/>
        <w:rPr>
          <w:rFonts w:ascii="Palatino Linotype" w:eastAsia="Palatino Linotype" w:hAnsi="Palatino Linotype" w:cs="Palatino Linotype"/>
          <w:sz w:val="24"/>
          <w:szCs w:val="24"/>
        </w:rPr>
      </w:pPr>
    </w:p>
    <w:p w14:paraId="2CFECD59" w14:textId="77777777" w:rsidR="00FC4BEF" w:rsidRDefault="004947EF">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“Solicito los siguientes reportes que sin pretextos o excusas de argucias legales o evasivas sin fundamento jurídico legal obran en sus archivos del Ente </w:t>
      </w:r>
      <w:proofErr w:type="spellStart"/>
      <w:r>
        <w:rPr>
          <w:rFonts w:ascii="Palatino Linotype" w:eastAsia="Palatino Linotype" w:hAnsi="Palatino Linotype" w:cs="Palatino Linotype"/>
          <w:i/>
          <w:color w:val="000000"/>
        </w:rPr>
        <w:t>Publico</w:t>
      </w:r>
      <w:proofErr w:type="spellEnd"/>
      <w:r>
        <w:rPr>
          <w:rFonts w:ascii="Palatino Linotype" w:eastAsia="Palatino Linotype" w:hAnsi="Palatino Linotype" w:cs="Palatino Linotype"/>
          <w:i/>
          <w:color w:val="000000"/>
        </w:rPr>
        <w:t xml:space="preserve"> Obligado y que sin ningún pretexto se pueden extraer de sus portales en no </w:t>
      </w:r>
      <w:proofErr w:type="spellStart"/>
      <w:r>
        <w:rPr>
          <w:rFonts w:ascii="Palatino Linotype" w:eastAsia="Palatino Linotype" w:hAnsi="Palatino Linotype" w:cs="Palatino Linotype"/>
          <w:i/>
          <w:color w:val="000000"/>
        </w:rPr>
        <w:t>mas</w:t>
      </w:r>
      <w:proofErr w:type="spellEnd"/>
      <w:r>
        <w:rPr>
          <w:rFonts w:ascii="Palatino Linotype" w:eastAsia="Palatino Linotype" w:hAnsi="Palatino Linotype" w:cs="Palatino Linotype"/>
          <w:i/>
          <w:color w:val="000000"/>
        </w:rPr>
        <w:t xml:space="preserve"> de 30 minutos tal cual se solicitan de manera, ordenada, clara, precisa y puntual y que se enfatizan obran en sus archivos. Esperando se pueda tener a la brevedad. Sin tener que seguir </w:t>
      </w:r>
      <w:proofErr w:type="spellStart"/>
      <w:r>
        <w:rPr>
          <w:rFonts w:ascii="Palatino Linotype" w:eastAsia="Palatino Linotype" w:hAnsi="Palatino Linotype" w:cs="Palatino Linotype"/>
          <w:i/>
          <w:color w:val="000000"/>
        </w:rPr>
        <w:t>litigimos</w:t>
      </w:r>
      <w:proofErr w:type="spellEnd"/>
      <w:r>
        <w:rPr>
          <w:rFonts w:ascii="Palatino Linotype" w:eastAsia="Palatino Linotype" w:hAnsi="Palatino Linotype" w:cs="Palatino Linotype"/>
          <w:i/>
          <w:color w:val="000000"/>
        </w:rPr>
        <w:t xml:space="preserve"> de Recursos de Revisión esto debido a trabas por servidores </w:t>
      </w:r>
      <w:proofErr w:type="spellStart"/>
      <w:r>
        <w:rPr>
          <w:rFonts w:ascii="Palatino Linotype" w:eastAsia="Palatino Linotype" w:hAnsi="Palatino Linotype" w:cs="Palatino Linotype"/>
          <w:i/>
          <w:color w:val="000000"/>
        </w:rPr>
        <w:t>publicos</w:t>
      </w:r>
      <w:proofErr w:type="spellEnd"/>
      <w:r>
        <w:rPr>
          <w:rFonts w:ascii="Palatino Linotype" w:eastAsia="Palatino Linotype" w:hAnsi="Palatino Linotype" w:cs="Palatino Linotype"/>
          <w:i/>
          <w:color w:val="000000"/>
        </w:rPr>
        <w:t xml:space="preserve"> o desconocimiento de sus archivos se me haga llegar en formato </w:t>
      </w:r>
      <w:proofErr w:type="spellStart"/>
      <w:r>
        <w:rPr>
          <w:rFonts w:ascii="Palatino Linotype" w:eastAsia="Palatino Linotype" w:hAnsi="Palatino Linotype" w:cs="Palatino Linotype"/>
          <w:i/>
          <w:color w:val="000000"/>
        </w:rPr>
        <w:t>pdf</w:t>
      </w:r>
      <w:proofErr w:type="spellEnd"/>
      <w:r>
        <w:rPr>
          <w:rFonts w:ascii="Palatino Linotype" w:eastAsia="Palatino Linotype" w:hAnsi="Palatino Linotype" w:cs="Palatino Linotype"/>
          <w:i/>
          <w:color w:val="000000"/>
        </w:rPr>
        <w:t xml:space="preserve">. Vía </w:t>
      </w:r>
      <w:r>
        <w:rPr>
          <w:rFonts w:ascii="Palatino Linotype" w:eastAsia="Palatino Linotype" w:hAnsi="Palatino Linotype" w:cs="Palatino Linotype"/>
          <w:i/>
          <w:color w:val="000000"/>
        </w:rPr>
        <w:lastRenderedPageBreak/>
        <w:t xml:space="preserve">datos adjuntos o link de nube por correo electrónico. Agradezco la atención quedo pendiente de lo solicitado. Gracias. *El visor de nómina por sueldos y salarios, es un reporte que baja el tesorero del municipio de la plataforma del SAT en unos pocos minutos, usando la clave CIEC o la FIEL. </w:t>
      </w:r>
      <w:proofErr w:type="gramStart"/>
      <w:r>
        <w:rPr>
          <w:rFonts w:ascii="Palatino Linotype" w:eastAsia="Palatino Linotype" w:hAnsi="Palatino Linotype" w:cs="Palatino Linotype"/>
          <w:i/>
          <w:color w:val="000000"/>
        </w:rPr>
        <w:t>del</w:t>
      </w:r>
      <w:proofErr w:type="gramEnd"/>
      <w:r>
        <w:rPr>
          <w:rFonts w:ascii="Palatino Linotype" w:eastAsia="Palatino Linotype" w:hAnsi="Palatino Linotype" w:cs="Palatino Linotype"/>
          <w:i/>
          <w:color w:val="000000"/>
        </w:rPr>
        <w:t xml:space="preserve">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w:t>
      </w:r>
      <w:proofErr w:type="gramStart"/>
      <w:r>
        <w:rPr>
          <w:rFonts w:ascii="Palatino Linotype" w:eastAsia="Palatino Linotype" w:hAnsi="Palatino Linotype" w:cs="Palatino Linotype"/>
          <w:i/>
          <w:color w:val="000000"/>
        </w:rPr>
        <w:t>Éstos</w:t>
      </w:r>
      <w:proofErr w:type="gramEnd"/>
      <w:r>
        <w:rPr>
          <w:rFonts w:ascii="Palatino Linotype" w:eastAsia="Palatino Linotype" w:hAnsi="Palatino Linotype" w:cs="Palatino Linotype"/>
          <w:i/>
          <w:color w:val="000000"/>
        </w:rPr>
        <w:t xml:space="preserve">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w:t>
      </w:r>
      <w:proofErr w:type="spellStart"/>
      <w:r>
        <w:rPr>
          <w:rFonts w:ascii="Palatino Linotype" w:eastAsia="Palatino Linotype" w:hAnsi="Palatino Linotype" w:cs="Palatino Linotype"/>
          <w:i/>
          <w:color w:val="000000"/>
        </w:rPr>
        <w:t>pdf</w:t>
      </w:r>
      <w:proofErr w:type="spellEnd"/>
      <w:r>
        <w:rPr>
          <w:rFonts w:ascii="Palatino Linotype" w:eastAsia="Palatino Linotype" w:hAnsi="Palatino Linotype" w:cs="Palatino Linotype"/>
          <w:i/>
          <w:color w:val="000000"/>
        </w:rPr>
        <w:t xml:space="preserve">. de un Ente </w:t>
      </w:r>
      <w:proofErr w:type="spellStart"/>
      <w:r>
        <w:rPr>
          <w:rFonts w:ascii="Palatino Linotype" w:eastAsia="Palatino Linotype" w:hAnsi="Palatino Linotype" w:cs="Palatino Linotype"/>
          <w:i/>
          <w:color w:val="000000"/>
        </w:rPr>
        <w:t>Publico</w:t>
      </w:r>
      <w:proofErr w:type="spellEnd"/>
      <w:r>
        <w:rPr>
          <w:rFonts w:ascii="Palatino Linotype" w:eastAsia="Palatino Linotype" w:hAnsi="Palatino Linotype" w:cs="Palatino Linotype"/>
          <w:i/>
          <w:color w:val="000000"/>
        </w:rPr>
        <w:t xml:space="preserve"> Municipal del estado de Guanajuato para que les sirva de ejemplo y no existan dudas de lo que se está requiriendo. Y como se me entrego de una forma total, en una sola </w:t>
      </w:r>
      <w:proofErr w:type="gramStart"/>
      <w:r>
        <w:rPr>
          <w:rFonts w:ascii="Palatino Linotype" w:eastAsia="Palatino Linotype" w:hAnsi="Palatino Linotype" w:cs="Palatino Linotype"/>
          <w:i/>
          <w:color w:val="000000"/>
        </w:rPr>
        <w:t>exhibición ,</w:t>
      </w:r>
      <w:proofErr w:type="gramEnd"/>
      <w:r>
        <w:rPr>
          <w:rFonts w:ascii="Palatino Linotype" w:eastAsia="Palatino Linotype" w:hAnsi="Palatino Linotype" w:cs="Palatino Linotype"/>
          <w:i/>
          <w:color w:val="000000"/>
        </w:rPr>
        <w:t xml:space="preserve"> clara y legiblemente y sobre todo ordenada.”</w:t>
      </w:r>
      <w:r>
        <w:rPr>
          <w:rFonts w:ascii="Palatino Linotype" w:eastAsia="Palatino Linotype" w:hAnsi="Palatino Linotype" w:cs="Palatino Linotype"/>
          <w:b/>
          <w:i/>
          <w:color w:val="000000"/>
        </w:rPr>
        <w:t xml:space="preserve"> (Sic)</w:t>
      </w:r>
    </w:p>
    <w:p w14:paraId="4618989D"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8A38B3D"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adjuntó a la solicitud un archivo que contiene el oficio suscrito por el Titular de la Unidad de Transparencia del Ayuntamiento de Irapuato, mediante el cual remite tres respuestas de diversas áreas del ayuntamiento de Irapuato a una solicitud de información ingresada a dicho ayuntamiento.   </w:t>
      </w:r>
    </w:p>
    <w:p w14:paraId="75217295"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F35ACA7"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92D3325"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Modalidad de entrega: </w:t>
      </w:r>
      <w:r>
        <w:rPr>
          <w:rFonts w:ascii="Palatino Linotype" w:eastAsia="Palatino Linotype" w:hAnsi="Palatino Linotype" w:cs="Palatino Linotype"/>
          <w:color w:val="000000"/>
          <w:sz w:val="24"/>
          <w:szCs w:val="24"/>
        </w:rPr>
        <w:t>a través de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correo electrónic</w:t>
      </w:r>
      <w:r>
        <w:rPr>
          <w:rFonts w:ascii="Palatino Linotype" w:eastAsia="Palatino Linotype" w:hAnsi="Palatino Linotype" w:cs="Palatino Linotype"/>
          <w:sz w:val="24"/>
          <w:szCs w:val="24"/>
        </w:rPr>
        <w:t>o</w:t>
      </w:r>
      <w:r>
        <w:rPr>
          <w:rFonts w:ascii="Palatino Linotype" w:eastAsia="Palatino Linotype" w:hAnsi="Palatino Linotype" w:cs="Palatino Linotype"/>
          <w:color w:val="000000"/>
          <w:sz w:val="24"/>
          <w:szCs w:val="24"/>
        </w:rPr>
        <w:t>.</w:t>
      </w:r>
    </w:p>
    <w:p w14:paraId="0610004A" w14:textId="77777777" w:rsidR="00FC4BEF" w:rsidRDefault="00FC4BEF">
      <w:pPr>
        <w:spacing w:after="0" w:line="360" w:lineRule="auto"/>
        <w:jc w:val="both"/>
        <w:rPr>
          <w:rFonts w:ascii="Palatino Linotype" w:eastAsia="Palatino Linotype" w:hAnsi="Palatino Linotype" w:cs="Palatino Linotype"/>
          <w:sz w:val="24"/>
          <w:szCs w:val="24"/>
        </w:rPr>
      </w:pPr>
    </w:p>
    <w:p w14:paraId="2EE7D54D" w14:textId="77777777" w:rsidR="00FC4BEF" w:rsidRDefault="004947EF">
      <w:pPr>
        <w:spacing w:after="0" w:line="360" w:lineRule="auto"/>
        <w:ind w:right="334"/>
        <w:jc w:val="both"/>
        <w:rPr>
          <w:rFonts w:ascii="Palatino Linotype" w:eastAsia="Palatino Linotype" w:hAnsi="Palatino Linotype" w:cs="Palatino Linotype"/>
        </w:rPr>
      </w:pPr>
      <w:r>
        <w:rPr>
          <w:rFonts w:ascii="Palatino Linotype" w:eastAsia="Palatino Linotype" w:hAnsi="Palatino Linotype" w:cs="Palatino Linotype"/>
          <w:b/>
          <w:sz w:val="28"/>
          <w:szCs w:val="28"/>
        </w:rPr>
        <w:t xml:space="preserve">SEGUNDO. </w:t>
      </w:r>
      <w:r>
        <w:rPr>
          <w:rFonts w:ascii="Palatino Linotype" w:eastAsia="Palatino Linotype" w:hAnsi="Palatino Linotype" w:cs="Palatino Linotype"/>
          <w:b/>
          <w:color w:val="000000"/>
          <w:sz w:val="28"/>
          <w:szCs w:val="28"/>
        </w:rPr>
        <w:t>De la falta de respuesta del Sujeto Obligado.</w:t>
      </w:r>
    </w:p>
    <w:p w14:paraId="0EEEAA37"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7504BF24"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25CD00"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sz w:val="28"/>
          <w:szCs w:val="28"/>
        </w:rPr>
        <w:t xml:space="preserve">TERCERO. </w:t>
      </w:r>
      <w:r>
        <w:rPr>
          <w:rFonts w:ascii="Palatino Linotype" w:eastAsia="Palatino Linotype" w:hAnsi="Palatino Linotype" w:cs="Palatino Linotype"/>
          <w:b/>
          <w:color w:val="000000"/>
          <w:sz w:val="28"/>
          <w:szCs w:val="28"/>
        </w:rPr>
        <w:t>Del recurso de revisión.</w:t>
      </w:r>
    </w:p>
    <w:p w14:paraId="0F365BD5" w14:textId="77777777" w:rsidR="00FC4BEF" w:rsidRDefault="004947E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el </w:t>
      </w:r>
      <w:r>
        <w:rPr>
          <w:rFonts w:ascii="Palatino Linotype" w:eastAsia="Palatino Linotype" w:hAnsi="Palatino Linotype" w:cs="Palatino Linotype"/>
          <w:b/>
          <w:sz w:val="24"/>
          <w:szCs w:val="24"/>
        </w:rPr>
        <w:t xml:space="preserve">veinticuatro de septiembre de dos mil veinticuatro, </w:t>
      </w:r>
      <w:r>
        <w:rPr>
          <w:rFonts w:ascii="Palatino Linotype" w:eastAsia="Palatino Linotype" w:hAnsi="Palatino Linotype" w:cs="Palatino Linotype"/>
          <w:sz w:val="24"/>
          <w:szCs w:val="24"/>
        </w:rPr>
        <w:t xml:space="preserve">registrado 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número de expediente </w:t>
      </w:r>
      <w:r>
        <w:rPr>
          <w:rFonts w:ascii="Palatino Linotype" w:eastAsia="Palatino Linotype" w:hAnsi="Palatino Linotype" w:cs="Palatino Linotype"/>
          <w:b/>
          <w:sz w:val="24"/>
          <w:szCs w:val="24"/>
        </w:rPr>
        <w:t xml:space="preserve">05788/INFOEM/IP/RR/2024, </w:t>
      </w:r>
      <w:r>
        <w:rPr>
          <w:rFonts w:ascii="Palatino Linotype" w:eastAsia="Palatino Linotype" w:hAnsi="Palatino Linotype" w:cs="Palatino Linotype"/>
          <w:sz w:val="24"/>
          <w:szCs w:val="24"/>
        </w:rPr>
        <w:t>en el cual aduce, las siguientes manifestaciones:</w:t>
      </w:r>
    </w:p>
    <w:p w14:paraId="336DC442" w14:textId="77777777" w:rsidR="00FC4BEF" w:rsidRDefault="00FC4BEF">
      <w:pPr>
        <w:rPr>
          <w:rFonts w:ascii="Palatino Linotype" w:eastAsia="Palatino Linotype" w:hAnsi="Palatino Linotype" w:cs="Palatino Linotype"/>
          <w:b/>
          <w:sz w:val="24"/>
          <w:szCs w:val="24"/>
        </w:rPr>
      </w:pPr>
    </w:p>
    <w:p w14:paraId="150EF591" w14:textId="77777777" w:rsidR="00FC4BEF" w:rsidRDefault="004947EF">
      <w:pPr>
        <w:numPr>
          <w:ilvl w:val="0"/>
          <w:numId w:val="1"/>
        </w:numPr>
        <w:spacing w:after="0"/>
        <w:jc w:val="both"/>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 xml:space="preserve">Acto Impugnado: </w:t>
      </w:r>
    </w:p>
    <w:p w14:paraId="79EF6A21" w14:textId="77777777" w:rsidR="00FC4BEF" w:rsidRDefault="004947EF">
      <w:pPr>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no respuesta en el tiempo establecido por ley a mi solicitud de reportes” (Sic).</w:t>
      </w:r>
    </w:p>
    <w:p w14:paraId="70C76581" w14:textId="77777777" w:rsidR="00FC4BEF" w:rsidRDefault="00FC4BEF">
      <w:pPr>
        <w:ind w:left="720"/>
        <w:jc w:val="both"/>
        <w:rPr>
          <w:rFonts w:ascii="Palatino Linotype" w:eastAsia="Palatino Linotype" w:hAnsi="Palatino Linotype" w:cs="Palatino Linotype"/>
          <w:b/>
          <w:sz w:val="24"/>
          <w:szCs w:val="24"/>
        </w:rPr>
      </w:pPr>
    </w:p>
    <w:p w14:paraId="2C8DE6E6" w14:textId="77777777" w:rsidR="00FC4BEF" w:rsidRDefault="004947EF">
      <w:pPr>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6"/>
          <w:szCs w:val="26"/>
        </w:rPr>
      </w:pPr>
      <w:r>
        <w:rPr>
          <w:rFonts w:ascii="Palatino Linotype" w:eastAsia="Palatino Linotype" w:hAnsi="Palatino Linotype" w:cs="Palatino Linotype"/>
          <w:b/>
          <w:color w:val="000000"/>
          <w:sz w:val="26"/>
          <w:szCs w:val="26"/>
        </w:rPr>
        <w:t>Razones o Motivos de Inconformidad</w:t>
      </w:r>
      <w:r>
        <w:rPr>
          <w:rFonts w:ascii="Palatino Linotype" w:eastAsia="Palatino Linotype" w:hAnsi="Palatino Linotype" w:cs="Palatino Linotype"/>
          <w:color w:val="000000"/>
          <w:sz w:val="26"/>
          <w:szCs w:val="26"/>
        </w:rPr>
        <w:t xml:space="preserve">: </w:t>
      </w:r>
    </w:p>
    <w:p w14:paraId="5ADFC1B9" w14:textId="68C956A9" w:rsidR="00FC4BEF" w:rsidRDefault="004947EF">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w:t>
      </w:r>
      <w:proofErr w:type="spellStart"/>
      <w:r>
        <w:rPr>
          <w:rFonts w:ascii="Palatino Linotype" w:eastAsia="Palatino Linotype" w:hAnsi="Palatino Linotype" w:cs="Palatino Linotype"/>
          <w:i/>
          <w:color w:val="000000"/>
        </w:rPr>
        <w:t>mi</w:t>
      </w:r>
      <w:proofErr w:type="spellEnd"/>
      <w:r>
        <w:rPr>
          <w:rFonts w:ascii="Palatino Linotype" w:eastAsia="Palatino Linotype" w:hAnsi="Palatino Linotype" w:cs="Palatino Linotype"/>
          <w:i/>
          <w:color w:val="000000"/>
        </w:rPr>
        <w:t xml:space="preserve">. Gracias. Mi correo es </w:t>
      </w:r>
      <w:r w:rsidR="00153EDA">
        <w:rPr>
          <w:rFonts w:ascii="Palatino Linotype" w:eastAsia="Palatino Linotype" w:hAnsi="Palatino Linotype" w:cs="Palatino Linotype"/>
          <w:i/>
          <w:color w:val="000000"/>
        </w:rPr>
        <w:t>XXXXXXXXXXXXX</w:t>
      </w:r>
      <w:bookmarkStart w:id="0" w:name="_GoBack"/>
      <w:bookmarkEnd w:id="0"/>
      <w:r>
        <w:rPr>
          <w:rFonts w:ascii="Palatino Linotype" w:eastAsia="Palatino Linotype" w:hAnsi="Palatino Linotype" w:cs="Palatino Linotype"/>
          <w:i/>
          <w:color w:val="000000"/>
        </w:rPr>
        <w:t xml:space="preserve"> Adjunto nuevamente ejemplo de la solicitud requerida” (Sic)</w:t>
      </w:r>
    </w:p>
    <w:p w14:paraId="5517AA93" w14:textId="77777777" w:rsidR="00FC4BEF" w:rsidRDefault="00FC4BEF">
      <w:pPr>
        <w:spacing w:after="0" w:line="360" w:lineRule="auto"/>
        <w:jc w:val="both"/>
        <w:rPr>
          <w:rFonts w:ascii="Palatino Linotype" w:eastAsia="Palatino Linotype" w:hAnsi="Palatino Linotype" w:cs="Palatino Linotype"/>
          <w:sz w:val="24"/>
          <w:szCs w:val="24"/>
        </w:rPr>
      </w:pPr>
    </w:p>
    <w:p w14:paraId="07F7B77A"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turno y admisión del recurso de revisión.</w:t>
      </w:r>
    </w:p>
    <w:p w14:paraId="45467047"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Pr>
          <w:rFonts w:ascii="Palatino Linotype" w:eastAsia="Palatino Linotype" w:hAnsi="Palatino Linotype" w:cs="Palatino Linotype"/>
          <w:b/>
          <w:color w:val="000000"/>
          <w:sz w:val="24"/>
          <w:szCs w:val="24"/>
        </w:rPr>
        <w:t xml:space="preserve">veintisiete de septiembre de dos mil veinticuatro, </w:t>
      </w:r>
      <w:r>
        <w:rPr>
          <w:rFonts w:ascii="Palatino Linotype" w:eastAsia="Palatino Linotype" w:hAnsi="Palatino Linotype" w:cs="Palatino Linotype"/>
          <w:color w:val="000000"/>
          <w:sz w:val="24"/>
          <w:szCs w:val="24"/>
        </w:rPr>
        <w:t xml:space="preserve">determinándose, un plazo de siete días para que las partes manifestaran lo que a su derecho corresponda en términos de los numerales ya citados. </w:t>
      </w:r>
    </w:p>
    <w:p w14:paraId="3A4E2D09"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422728E"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QUINTO. De la etapa de instrucción.</w:t>
      </w:r>
    </w:p>
    <w:p w14:paraId="1891ABF2"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Sujeto Obligado fue omiso en rendir el Informe Justificado; asimismo el Recurrente no realizó manifestaciones, alegatos ni presentó pruebas que a su derecho convinieran.</w:t>
      </w:r>
    </w:p>
    <w:p w14:paraId="277E2E25"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EBD0301" w14:textId="77777777" w:rsidR="00FC4BEF" w:rsidRDefault="004947E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SEXTO. Del cierre de instrucción.</w:t>
      </w:r>
    </w:p>
    <w:p w14:paraId="242914BB"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Pr>
          <w:rFonts w:ascii="Palatino Linotype" w:eastAsia="Palatino Linotype" w:hAnsi="Palatino Linotype" w:cs="Palatino Linotype"/>
          <w:b/>
          <w:color w:val="000000"/>
          <w:sz w:val="24"/>
          <w:szCs w:val="24"/>
        </w:rPr>
        <w:t xml:space="preserve">el diez de octubre de dos mil veinticuatro </w:t>
      </w:r>
      <w:r>
        <w:rPr>
          <w:rFonts w:ascii="Palatino Linotype" w:eastAsia="Palatino Linotype" w:hAnsi="Palatino Linotype" w:cs="Palatino Linotype"/>
          <w:color w:val="000000"/>
          <w:sz w:val="24"/>
          <w:szCs w:val="24"/>
        </w:rPr>
        <w:t xml:space="preserve">se decretó el cierre de instrucción, y </w:t>
      </w:r>
      <w:r>
        <w:rPr>
          <w:rFonts w:ascii="Palatino Linotype" w:eastAsia="Palatino Linotype" w:hAnsi="Palatino Linotype" w:cs="Palatino Linotype"/>
          <w:sz w:val="24"/>
          <w:szCs w:val="24"/>
        </w:rPr>
        <w:t xml:space="preserve">se ordenó la Resolución que conforme a Derecho proceda, de acuerdo con los siguientes: </w:t>
      </w:r>
    </w:p>
    <w:p w14:paraId="570D1BD4" w14:textId="77777777" w:rsidR="00FC4BEF" w:rsidRDefault="00FC4BEF">
      <w:pPr>
        <w:spacing w:after="0" w:line="360" w:lineRule="auto"/>
        <w:jc w:val="center"/>
        <w:rPr>
          <w:rFonts w:ascii="Palatino Linotype" w:eastAsia="Palatino Linotype" w:hAnsi="Palatino Linotype" w:cs="Palatino Linotype"/>
          <w:b/>
          <w:sz w:val="28"/>
          <w:szCs w:val="28"/>
        </w:rPr>
      </w:pPr>
    </w:p>
    <w:p w14:paraId="2CF18250" w14:textId="77777777" w:rsidR="00FC4BEF" w:rsidRDefault="004947EF">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4820F8ED" w14:textId="77777777" w:rsidR="00FC4BEF" w:rsidRDefault="00FC4BEF">
      <w:pPr>
        <w:spacing w:after="0" w:line="360" w:lineRule="auto"/>
        <w:jc w:val="both"/>
        <w:rPr>
          <w:rFonts w:ascii="Palatino Linotype" w:eastAsia="Palatino Linotype" w:hAnsi="Palatino Linotype" w:cs="Palatino Linotype"/>
          <w:sz w:val="24"/>
          <w:szCs w:val="24"/>
        </w:rPr>
      </w:pPr>
    </w:p>
    <w:p w14:paraId="33FA68FA" w14:textId="77777777" w:rsidR="00FC4BEF" w:rsidRDefault="004947EF">
      <w:pPr>
        <w:spacing w:after="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PRIMERO. De la competencia</w:t>
      </w:r>
      <w:r>
        <w:rPr>
          <w:rFonts w:ascii="Palatino Linotype" w:eastAsia="Palatino Linotype" w:hAnsi="Palatino Linotype" w:cs="Palatino Linotype"/>
          <w:sz w:val="28"/>
          <w:szCs w:val="28"/>
        </w:rPr>
        <w:t>.</w:t>
      </w:r>
    </w:p>
    <w:p w14:paraId="289A003C"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Palatino Linotype" w:hAnsi="Palatino Linotype" w:cs="Palatino Linotype"/>
          <w:sz w:val="24"/>
          <w:szCs w:val="24"/>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707C73A" w14:textId="77777777" w:rsidR="00FC4BEF" w:rsidRDefault="00FC4BEF">
      <w:pPr>
        <w:spacing w:after="0" w:line="360" w:lineRule="auto"/>
        <w:jc w:val="both"/>
        <w:rPr>
          <w:rFonts w:ascii="Palatino Linotype" w:eastAsia="Palatino Linotype" w:hAnsi="Palatino Linotype" w:cs="Palatino Linotype"/>
          <w:sz w:val="24"/>
          <w:szCs w:val="24"/>
        </w:rPr>
      </w:pPr>
    </w:p>
    <w:p w14:paraId="4072D636" w14:textId="77777777" w:rsidR="00FC4BEF" w:rsidRDefault="004947EF">
      <w:pPr>
        <w:spacing w:after="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SEGUNDO. De la Oportunidad y Procedencia del Recurso de Revisión</w:t>
      </w:r>
      <w:r>
        <w:rPr>
          <w:rFonts w:ascii="Palatino Linotype" w:eastAsia="Palatino Linotype" w:hAnsi="Palatino Linotype" w:cs="Palatino Linotype"/>
          <w:sz w:val="28"/>
          <w:szCs w:val="28"/>
        </w:rPr>
        <w:t>.</w:t>
      </w:r>
    </w:p>
    <w:p w14:paraId="10909CCD" w14:textId="77777777" w:rsidR="00FC4BEF" w:rsidRDefault="004947EF">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16DC2D61" w14:textId="77777777" w:rsidR="00FC4BEF" w:rsidRDefault="00FC4BEF">
      <w:pPr>
        <w:spacing w:after="0" w:line="360" w:lineRule="auto"/>
        <w:jc w:val="both"/>
        <w:rPr>
          <w:rFonts w:ascii="Palatino Linotype" w:eastAsia="Palatino Linotype" w:hAnsi="Palatino Linotype" w:cs="Palatino Linotype"/>
          <w:sz w:val="24"/>
          <w:szCs w:val="24"/>
        </w:rPr>
      </w:pPr>
    </w:p>
    <w:p w14:paraId="17C5B1F7"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lastRenderedPageBreak/>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16490E66" w14:textId="77777777" w:rsidR="00FC4BEF" w:rsidRDefault="00FC4BEF">
      <w:pPr>
        <w:spacing w:after="0" w:line="360" w:lineRule="auto"/>
        <w:jc w:val="both"/>
        <w:rPr>
          <w:rFonts w:ascii="Palatino Linotype" w:eastAsia="Palatino Linotype" w:hAnsi="Palatino Linotype" w:cs="Palatino Linotype"/>
          <w:sz w:val="24"/>
          <w:szCs w:val="24"/>
        </w:rPr>
      </w:pPr>
    </w:p>
    <w:p w14:paraId="0BBA2557" w14:textId="77777777" w:rsidR="00FC4BEF" w:rsidRDefault="004947EF">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7F373C9D" w14:textId="77777777" w:rsidR="00FC4BEF" w:rsidRDefault="00FC4BEF">
      <w:pPr>
        <w:spacing w:after="0" w:line="360" w:lineRule="auto"/>
        <w:jc w:val="both"/>
        <w:rPr>
          <w:rFonts w:ascii="Palatino Linotype" w:eastAsia="Palatino Linotype" w:hAnsi="Palatino Linotype" w:cs="Palatino Linotype"/>
          <w:sz w:val="24"/>
          <w:szCs w:val="24"/>
        </w:rPr>
      </w:pPr>
    </w:p>
    <w:p w14:paraId="051D5437"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1347B26" w14:textId="77777777" w:rsidR="00FC4BEF" w:rsidRDefault="00FC4BEF">
      <w:pPr>
        <w:spacing w:after="0" w:line="360" w:lineRule="auto"/>
        <w:jc w:val="both"/>
        <w:rPr>
          <w:rFonts w:ascii="Palatino Linotype" w:eastAsia="Palatino Linotype" w:hAnsi="Palatino Linotype" w:cs="Palatino Linotype"/>
          <w:sz w:val="24"/>
          <w:szCs w:val="24"/>
        </w:rPr>
      </w:pPr>
    </w:p>
    <w:p w14:paraId="65655158" w14:textId="77777777" w:rsidR="00FC4BEF" w:rsidRDefault="004947EF">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7AEE966D" w14:textId="77777777" w:rsidR="00FC4BEF" w:rsidRDefault="004947EF">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w:t>
      </w:r>
      <w:r>
        <w:rPr>
          <w:rFonts w:ascii="Palatino Linotype" w:eastAsia="Palatino Linotype" w:hAnsi="Palatino Linotype" w:cs="Palatino Linotype"/>
          <w:color w:val="000000"/>
          <w:sz w:val="24"/>
          <w:szCs w:val="24"/>
        </w:rPr>
        <w:lastRenderedPageBreak/>
        <w:t xml:space="preserve">administren o posean las autoridades en ejercicio de sus respectivas atribuciones y competencias. </w:t>
      </w:r>
    </w:p>
    <w:p w14:paraId="2E0DBE4C" w14:textId="77777777" w:rsidR="00FC4BEF" w:rsidRDefault="00FC4BEF">
      <w:pPr>
        <w:spacing w:after="0" w:line="360" w:lineRule="auto"/>
        <w:jc w:val="both"/>
        <w:rPr>
          <w:rFonts w:ascii="Palatino Linotype" w:eastAsia="Palatino Linotype" w:hAnsi="Palatino Linotype" w:cs="Palatino Linotype"/>
          <w:sz w:val="24"/>
          <w:szCs w:val="24"/>
        </w:rPr>
      </w:pPr>
    </w:p>
    <w:p w14:paraId="604A3642"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las solicitudes de información dentro de los plazos establecidos en la Ley de Transparencia Loca.</w:t>
      </w:r>
    </w:p>
    <w:p w14:paraId="1A107B37" w14:textId="77777777" w:rsidR="00FC4BEF" w:rsidRDefault="00FC4BEF">
      <w:pPr>
        <w:spacing w:after="0" w:line="360" w:lineRule="auto"/>
        <w:jc w:val="both"/>
        <w:rPr>
          <w:rFonts w:ascii="Palatino Linotype" w:eastAsia="Palatino Linotype" w:hAnsi="Palatino Linotype" w:cs="Palatino Linotype"/>
          <w:sz w:val="24"/>
          <w:szCs w:val="24"/>
        </w:rPr>
      </w:pPr>
    </w:p>
    <w:p w14:paraId="05539C6A"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73A44128" w14:textId="77777777" w:rsidR="00FC4BEF" w:rsidRDefault="00FC4BEF">
      <w:pPr>
        <w:spacing w:after="0" w:line="360" w:lineRule="auto"/>
        <w:jc w:val="both"/>
        <w:rPr>
          <w:rFonts w:ascii="Palatino Linotype" w:eastAsia="Palatino Linotype" w:hAnsi="Palatino Linotype" w:cs="Palatino Linotype"/>
          <w:sz w:val="24"/>
          <w:szCs w:val="24"/>
        </w:rPr>
      </w:pPr>
    </w:p>
    <w:p w14:paraId="7F6493A3"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conformidad con lo establecido en los </w:t>
      </w:r>
      <w:r>
        <w:rPr>
          <w:rFonts w:ascii="Palatino Linotype" w:eastAsia="Palatino Linotype" w:hAnsi="Palatino Linotype" w:cs="Palatino Linotype"/>
          <w:sz w:val="24"/>
          <w:szCs w:val="24"/>
        </w:rPr>
        <w:lastRenderedPageBreak/>
        <w:t>artículos 4, 12, 23 fracción IV, 24 último párrafo y 160 de la Ley de Transparencia y Acceso a la Información Pública del Estado de México y Municipios.</w:t>
      </w:r>
    </w:p>
    <w:p w14:paraId="5080DB03" w14:textId="77777777" w:rsidR="00FC4BEF" w:rsidRDefault="00FC4BEF">
      <w:pPr>
        <w:spacing w:after="0" w:line="360" w:lineRule="auto"/>
        <w:jc w:val="both"/>
        <w:rPr>
          <w:rFonts w:ascii="Palatino Linotype" w:eastAsia="Palatino Linotype" w:hAnsi="Palatino Linotype" w:cs="Palatino Linotype"/>
          <w:sz w:val="24"/>
          <w:szCs w:val="24"/>
        </w:rPr>
      </w:pPr>
    </w:p>
    <w:p w14:paraId="7A5ED33C" w14:textId="77777777" w:rsidR="00FC4BEF" w:rsidRDefault="004947EF">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22DA9A23" w14:textId="77777777" w:rsidR="00FC4BEF" w:rsidRDefault="00FC4BEF">
      <w:pPr>
        <w:widowControl w:val="0"/>
        <w:tabs>
          <w:tab w:val="left" w:pos="1276"/>
        </w:tabs>
        <w:spacing w:after="0" w:line="360" w:lineRule="auto"/>
        <w:jc w:val="both"/>
        <w:rPr>
          <w:rFonts w:ascii="Palatino Linotype" w:eastAsia="Palatino Linotype" w:hAnsi="Palatino Linotype" w:cs="Palatino Linotype"/>
          <w:sz w:val="24"/>
          <w:szCs w:val="24"/>
        </w:rPr>
      </w:pPr>
    </w:p>
    <w:p w14:paraId="3757F593" w14:textId="77777777" w:rsidR="00FC4BEF" w:rsidRDefault="004947EF">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474DF78" w14:textId="77777777" w:rsidR="00FC4BEF" w:rsidRDefault="00FC4BEF">
      <w:pPr>
        <w:widowControl w:val="0"/>
        <w:tabs>
          <w:tab w:val="left" w:pos="1276"/>
        </w:tabs>
        <w:spacing w:after="0" w:line="360" w:lineRule="auto"/>
        <w:jc w:val="both"/>
        <w:rPr>
          <w:rFonts w:ascii="Palatino Linotype" w:eastAsia="Palatino Linotype" w:hAnsi="Palatino Linotype" w:cs="Palatino Linotype"/>
          <w:sz w:val="24"/>
          <w:szCs w:val="24"/>
        </w:rPr>
      </w:pPr>
    </w:p>
    <w:p w14:paraId="52ADDAFB"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w:t>
      </w:r>
      <w:r>
        <w:rPr>
          <w:rFonts w:ascii="Palatino Linotype" w:eastAsia="Palatino Linotype" w:hAnsi="Palatino Linotype" w:cs="Palatino Linotype"/>
          <w:sz w:val="24"/>
          <w:szCs w:val="24"/>
        </w:rPr>
        <w:lastRenderedPageBreak/>
        <w:t>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72B6A799" w14:textId="77777777" w:rsidR="00FC4BEF" w:rsidRDefault="00FC4BEF">
      <w:pPr>
        <w:spacing w:after="0" w:line="360" w:lineRule="auto"/>
        <w:jc w:val="both"/>
        <w:rPr>
          <w:rFonts w:ascii="Palatino Linotype" w:eastAsia="Palatino Linotype" w:hAnsi="Palatino Linotype" w:cs="Palatino Linotype"/>
          <w:sz w:val="24"/>
          <w:szCs w:val="24"/>
        </w:rPr>
      </w:pPr>
    </w:p>
    <w:p w14:paraId="64487F4F" w14:textId="77777777" w:rsidR="00FC4BEF" w:rsidRDefault="004947EF">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4C48D4BD" w14:textId="77777777" w:rsidR="00FC4BEF" w:rsidRDefault="00FC4BEF">
      <w:pPr>
        <w:spacing w:after="0" w:line="360" w:lineRule="auto"/>
        <w:jc w:val="both"/>
        <w:rPr>
          <w:rFonts w:ascii="Palatino Linotype" w:eastAsia="Palatino Linotype" w:hAnsi="Palatino Linotype" w:cs="Palatino Linotype"/>
          <w:sz w:val="24"/>
          <w:szCs w:val="24"/>
        </w:rPr>
      </w:pPr>
    </w:p>
    <w:p w14:paraId="211624BD"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98C2479" w14:textId="77777777" w:rsidR="00FC4BEF" w:rsidRDefault="00FC4BEF">
      <w:pPr>
        <w:spacing w:after="0" w:line="360" w:lineRule="auto"/>
        <w:jc w:val="both"/>
        <w:rPr>
          <w:rFonts w:ascii="Palatino Linotype" w:eastAsia="Palatino Linotype" w:hAnsi="Palatino Linotype" w:cs="Palatino Linotype"/>
          <w:sz w:val="24"/>
          <w:szCs w:val="24"/>
        </w:rPr>
      </w:pPr>
    </w:p>
    <w:p w14:paraId="4060308A" w14:textId="77777777" w:rsidR="00FC4BEF" w:rsidRDefault="004947EF">
      <w:pPr>
        <w:numPr>
          <w:ilvl w:val="0"/>
          <w:numId w:val="2"/>
        </w:numPr>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De la clasificación de la información</w:t>
      </w:r>
    </w:p>
    <w:p w14:paraId="4532FE44"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w:t>
      </w:r>
      <w:r>
        <w:rPr>
          <w:rFonts w:ascii="Palatino Linotype" w:eastAsia="Palatino Linotype" w:hAnsi="Palatino Linotype" w:cs="Palatino Linotype"/>
          <w:sz w:val="24"/>
          <w:szCs w:val="24"/>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515244" w14:textId="77777777" w:rsidR="00FC4BEF" w:rsidRDefault="00FC4BEF">
      <w:pPr>
        <w:spacing w:after="0" w:line="360" w:lineRule="auto"/>
        <w:jc w:val="both"/>
        <w:rPr>
          <w:rFonts w:ascii="Palatino Linotype" w:eastAsia="Palatino Linotype" w:hAnsi="Palatino Linotype" w:cs="Palatino Linotype"/>
          <w:sz w:val="24"/>
          <w:szCs w:val="24"/>
        </w:rPr>
      </w:pPr>
    </w:p>
    <w:p w14:paraId="5ACDD331"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252BEC7F"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211C9AFB"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17256AA"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7A739C88"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4049195F"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4F5F370A"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12CF5932"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379D8F7B"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29643FE" w14:textId="77777777" w:rsidR="00FC4BEF" w:rsidRDefault="00FC4BEF">
      <w:pPr>
        <w:spacing w:after="0" w:line="360" w:lineRule="auto"/>
        <w:ind w:right="51"/>
        <w:jc w:val="both"/>
        <w:rPr>
          <w:rFonts w:ascii="Palatino Linotype" w:eastAsia="Palatino Linotype" w:hAnsi="Palatino Linotype" w:cs="Palatino Linotype"/>
        </w:rPr>
      </w:pPr>
    </w:p>
    <w:p w14:paraId="49BB26BD"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BC9F4BB" w14:textId="77777777" w:rsidR="00FC4BEF" w:rsidRDefault="00FC4BEF">
      <w:pPr>
        <w:spacing w:after="0" w:line="360" w:lineRule="auto"/>
        <w:jc w:val="both"/>
        <w:rPr>
          <w:rFonts w:ascii="Palatino Linotype" w:eastAsia="Palatino Linotype" w:hAnsi="Palatino Linotype" w:cs="Palatino Linotype"/>
        </w:rPr>
      </w:pPr>
    </w:p>
    <w:p w14:paraId="7DBE7C20"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FACE1CC"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765F007C"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35A289C9"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378CBDDC"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2D5C7298" w14:textId="77777777" w:rsidR="00FC4BEF" w:rsidRDefault="00FC4BEF">
      <w:pPr>
        <w:spacing w:after="0" w:line="360" w:lineRule="auto"/>
        <w:jc w:val="both"/>
        <w:rPr>
          <w:rFonts w:ascii="Palatino Linotype" w:eastAsia="Palatino Linotype" w:hAnsi="Palatino Linotype" w:cs="Palatino Linotype"/>
          <w:sz w:val="24"/>
          <w:szCs w:val="24"/>
        </w:rPr>
      </w:pPr>
    </w:p>
    <w:p w14:paraId="4EA50A9C" w14:textId="77777777" w:rsidR="00FC4BEF" w:rsidRDefault="004947EF">
      <w:pPr>
        <w:numPr>
          <w:ilvl w:val="0"/>
          <w:numId w:val="3"/>
        </w:numPr>
        <w:tabs>
          <w:tab w:val="left" w:pos="7938"/>
        </w:tabs>
        <w:spacing w:after="0" w:line="360" w:lineRule="auto"/>
        <w:ind w:left="426"/>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2C94D0E6" w14:textId="77777777" w:rsidR="00FC4BEF" w:rsidRDefault="004947EF">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w:t>
      </w:r>
      <w:r>
        <w:rPr>
          <w:rFonts w:ascii="Palatino Linotype" w:eastAsia="Palatino Linotype" w:hAnsi="Palatino Linotype" w:cs="Palatino Linotype"/>
          <w:sz w:val="24"/>
          <w:szCs w:val="24"/>
        </w:rPr>
        <w:lastRenderedPageBreak/>
        <w:t>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41ED34E"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 xml:space="preserve">00040/XALATLA/IP/2024, </w:t>
      </w:r>
      <w:r>
        <w:rPr>
          <w:rFonts w:ascii="Palatino Linotype" w:eastAsia="Palatino Linotype" w:hAnsi="Palatino Linotype" w:cs="Palatino Linotype"/>
          <w:sz w:val="24"/>
          <w:szCs w:val="24"/>
        </w:rPr>
        <w:t xml:space="preserve">que han sido materia del presente fallo. </w:t>
      </w:r>
    </w:p>
    <w:p w14:paraId="0D9D49AE" w14:textId="77777777" w:rsidR="00FC4BEF" w:rsidRDefault="00FC4BEF">
      <w:pPr>
        <w:spacing w:after="0" w:line="360" w:lineRule="auto"/>
        <w:jc w:val="both"/>
        <w:rPr>
          <w:rFonts w:ascii="Palatino Linotype" w:eastAsia="Palatino Linotype" w:hAnsi="Palatino Linotype" w:cs="Palatino Linotype"/>
          <w:sz w:val="24"/>
          <w:szCs w:val="24"/>
        </w:rPr>
      </w:pPr>
    </w:p>
    <w:p w14:paraId="662052BA"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0112A475" w14:textId="77777777" w:rsidR="00FC4BEF" w:rsidRDefault="00FC4BEF">
      <w:pPr>
        <w:spacing w:after="0" w:line="360" w:lineRule="auto"/>
        <w:ind w:left="426"/>
        <w:jc w:val="center"/>
        <w:rPr>
          <w:rFonts w:ascii="Palatino Linotype" w:eastAsia="Palatino Linotype" w:hAnsi="Palatino Linotype" w:cs="Palatino Linotype"/>
          <w:b/>
          <w:color w:val="000000"/>
          <w:sz w:val="28"/>
          <w:szCs w:val="28"/>
        </w:rPr>
      </w:pPr>
    </w:p>
    <w:p w14:paraId="433BCBC9" w14:textId="77777777" w:rsidR="00FC4BEF" w:rsidRDefault="004947EF">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 E    R E S U E L V E</w:t>
      </w:r>
    </w:p>
    <w:p w14:paraId="6805A919"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3C350989"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59BBA45C" w14:textId="4602F3C4"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00040/</w:t>
      </w:r>
      <w:r w:rsidRPr="005D41EC">
        <w:rPr>
          <w:rFonts w:ascii="Palatino Linotype" w:eastAsia="Palatino Linotype" w:hAnsi="Palatino Linotype" w:cs="Palatino Linotype"/>
          <w:b/>
          <w:sz w:val="24"/>
          <w:szCs w:val="24"/>
        </w:rPr>
        <w:t xml:space="preserve">XALATLA/IP/2024, </w:t>
      </w:r>
      <w:r w:rsidRPr="005D41EC">
        <w:rPr>
          <w:rFonts w:ascii="Palatino Linotype" w:eastAsia="Palatino Linotype" w:hAnsi="Palatino Linotype" w:cs="Palatino Linotype"/>
          <w:sz w:val="24"/>
          <w:szCs w:val="24"/>
        </w:rPr>
        <w:t xml:space="preserve">vía Sistema de Acceso a la Información Mexiquense </w:t>
      </w:r>
      <w:r w:rsidRPr="005D41EC">
        <w:rPr>
          <w:rFonts w:ascii="Palatino Linotype" w:eastAsia="Palatino Linotype" w:hAnsi="Palatino Linotype" w:cs="Palatino Linotype"/>
          <w:b/>
          <w:sz w:val="24"/>
          <w:szCs w:val="24"/>
        </w:rPr>
        <w:t>(SAIMEX)</w:t>
      </w:r>
      <w:r w:rsidR="00E97941" w:rsidRPr="005D41EC">
        <w:rPr>
          <w:rFonts w:ascii="Palatino Linotype" w:eastAsia="Palatino Linotype" w:hAnsi="Palatino Linotype" w:cs="Palatino Linotype"/>
          <w:b/>
          <w:sz w:val="24"/>
          <w:szCs w:val="24"/>
        </w:rPr>
        <w:t xml:space="preserve"> y correo electrónico</w:t>
      </w:r>
      <w:r w:rsidRPr="005D41EC">
        <w:rPr>
          <w:rFonts w:ascii="Palatino Linotype" w:eastAsia="Palatino Linotype" w:hAnsi="Palatino Linotype" w:cs="Palatino Linotype"/>
          <w:sz w:val="24"/>
          <w:szCs w:val="24"/>
        </w:rPr>
        <w:t xml:space="preserve">, en términos del Considerando </w:t>
      </w:r>
      <w:r w:rsidRPr="005D41EC">
        <w:rPr>
          <w:rFonts w:ascii="Palatino Linotype" w:eastAsia="Palatino Linotype" w:hAnsi="Palatino Linotype" w:cs="Palatino Linotype"/>
          <w:b/>
          <w:sz w:val="24"/>
          <w:szCs w:val="24"/>
        </w:rPr>
        <w:t xml:space="preserve">TERCERO </w:t>
      </w:r>
      <w:r w:rsidRPr="005D41EC">
        <w:rPr>
          <w:rFonts w:ascii="Palatino Linotype" w:eastAsia="Palatino Linotype" w:hAnsi="Palatino Linotype" w:cs="Palatino Linotype"/>
          <w:sz w:val="24"/>
          <w:szCs w:val="24"/>
        </w:rPr>
        <w:t>de esta resolución</w:t>
      </w:r>
      <w:r w:rsidRPr="005D41EC">
        <w:rPr>
          <w:rFonts w:ascii="Palatino Linotype" w:eastAsia="Palatino Linotype" w:hAnsi="Palatino Linotype" w:cs="Palatino Linotype"/>
          <w:b/>
          <w:sz w:val="24"/>
          <w:szCs w:val="24"/>
        </w:rPr>
        <w:t>.</w:t>
      </w:r>
    </w:p>
    <w:p w14:paraId="0E9D443A" w14:textId="77777777" w:rsidR="00FC4BEF" w:rsidRDefault="00FC4BEF">
      <w:pPr>
        <w:tabs>
          <w:tab w:val="left" w:pos="8647"/>
        </w:tabs>
        <w:spacing w:after="0" w:line="360" w:lineRule="auto"/>
        <w:ind w:right="51"/>
        <w:jc w:val="both"/>
        <w:rPr>
          <w:rFonts w:ascii="Palatino Linotype" w:eastAsia="Palatino Linotype" w:hAnsi="Palatino Linotype" w:cs="Palatino Linotype"/>
          <w:sz w:val="24"/>
          <w:szCs w:val="24"/>
        </w:rPr>
      </w:pPr>
    </w:p>
    <w:p w14:paraId="424F20A3"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sz w:val="28"/>
          <w:szCs w:val="28"/>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w:t>
      </w:r>
      <w:r>
        <w:rPr>
          <w:rFonts w:ascii="Palatino Linotype" w:eastAsia="Palatino Linotype" w:hAnsi="Palatino Linotype" w:cs="Palatino Linotype"/>
          <w:sz w:val="24"/>
          <w:szCs w:val="24"/>
        </w:rPr>
        <w:lastRenderedPageBreak/>
        <w:t>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A3F690" w14:textId="77777777" w:rsidR="00FC4BEF" w:rsidRDefault="00FC4BEF">
      <w:pPr>
        <w:tabs>
          <w:tab w:val="left" w:pos="8647"/>
        </w:tabs>
        <w:spacing w:after="0" w:line="360" w:lineRule="auto"/>
        <w:ind w:right="51"/>
        <w:jc w:val="both"/>
        <w:rPr>
          <w:rFonts w:ascii="Palatino Linotype" w:eastAsia="Palatino Linotype" w:hAnsi="Palatino Linotype" w:cs="Palatino Linotype"/>
          <w:b/>
          <w:sz w:val="28"/>
          <w:szCs w:val="28"/>
        </w:rPr>
      </w:pPr>
    </w:p>
    <w:p w14:paraId="5D36DAFC" w14:textId="77777777" w:rsidR="00FC4BEF" w:rsidRDefault="004947EF">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sz w:val="28"/>
          <w:szCs w:val="28"/>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y correo electrónico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1C7BEC50" w14:textId="77777777" w:rsidR="00FC4BEF" w:rsidRDefault="00FC4BEF">
      <w:pPr>
        <w:spacing w:after="0" w:line="360" w:lineRule="auto"/>
        <w:jc w:val="both"/>
        <w:rPr>
          <w:rFonts w:ascii="Palatino Linotype" w:eastAsia="Palatino Linotype" w:hAnsi="Palatino Linotype" w:cs="Palatino Linotype"/>
          <w:sz w:val="24"/>
          <w:szCs w:val="24"/>
        </w:rPr>
      </w:pPr>
    </w:p>
    <w:p w14:paraId="592568B7" w14:textId="77777777" w:rsidR="00FC4BEF" w:rsidRDefault="004947E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0B2F2267" w14:textId="77777777" w:rsidR="00FC4BEF" w:rsidRDefault="00FC4BEF">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p>
    <w:p w14:paraId="163E2FF5" w14:textId="6EB4CEFD" w:rsidR="00FC4BEF" w:rsidRPr="005D41EC" w:rsidRDefault="004947EF" w:rsidP="005D41EC">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sz w:val="28"/>
          <w:szCs w:val="28"/>
        </w:rPr>
        <w:t>.</w:t>
      </w:r>
      <w:r>
        <w:rPr>
          <w:rFonts w:ascii="Palatino Linotype" w:eastAsia="Palatino Linotype" w:hAnsi="Palatino Linotype" w:cs="Palatino Linotype"/>
          <w:sz w:val="32"/>
          <w:szCs w:val="32"/>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w:t>
      </w:r>
      <w:r>
        <w:rPr>
          <w:rFonts w:ascii="Palatino Linotype" w:eastAsia="Palatino Linotype" w:hAnsi="Palatino Linotype" w:cs="Palatino Linotype"/>
          <w:sz w:val="24"/>
          <w:szCs w:val="24"/>
        </w:rPr>
        <w:lastRenderedPageBreak/>
        <w:t xml:space="preserve">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14:paraId="6AC2898A" w14:textId="77777777" w:rsidR="00FC4BEF" w:rsidRDefault="00FC4BE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3"/>
          <w:szCs w:val="23"/>
        </w:rPr>
      </w:pPr>
    </w:p>
    <w:p w14:paraId="59A5ACDF" w14:textId="0CE2E9FB" w:rsidR="005D41EC" w:rsidRDefault="00095FB6" w:rsidP="00095FB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7836F07C" w14:textId="77777777" w:rsidR="005D41EC" w:rsidRDefault="005D41EC">
      <w:pPr>
        <w:rPr>
          <w:rFonts w:ascii="Palatino Linotype" w:hAnsi="Palatino Linotype"/>
        </w:rPr>
      </w:pPr>
      <w:r>
        <w:rPr>
          <w:rFonts w:ascii="Palatino Linotype" w:hAnsi="Palatino Linotype"/>
        </w:rPr>
        <w:br w:type="page"/>
      </w:r>
    </w:p>
    <w:p w14:paraId="441C4DD6" w14:textId="77777777" w:rsidR="00095FB6" w:rsidRPr="003C7186" w:rsidRDefault="00095FB6" w:rsidP="00095FB6">
      <w:pPr>
        <w:spacing w:line="360" w:lineRule="auto"/>
        <w:ind w:left="-142" w:right="-234" w:firstLine="1"/>
        <w:jc w:val="both"/>
        <w:rPr>
          <w:rFonts w:ascii="Palatino Linotype" w:hAnsi="Palatino Linotype"/>
        </w:rPr>
      </w:pPr>
    </w:p>
    <w:p w14:paraId="43E5BB9B" w14:textId="77777777" w:rsidR="00095FB6" w:rsidRPr="00902BA4" w:rsidRDefault="00095FB6" w:rsidP="00095FB6">
      <w:pPr>
        <w:widowControl w:val="0"/>
        <w:autoSpaceDE w:val="0"/>
        <w:autoSpaceDN w:val="0"/>
        <w:adjustRightInd w:val="0"/>
        <w:spacing w:after="200" w:line="276" w:lineRule="auto"/>
        <w:ind w:left="-142" w:right="-234"/>
      </w:pPr>
    </w:p>
    <w:p w14:paraId="5F5B05EB" w14:textId="77777777" w:rsidR="00095FB6" w:rsidRDefault="00095FB6" w:rsidP="00095FB6">
      <w:pPr>
        <w:spacing w:before="240" w:after="240" w:line="360" w:lineRule="auto"/>
        <w:ind w:firstLine="1"/>
        <w:jc w:val="both"/>
        <w:rPr>
          <w:rFonts w:ascii="Palatino Linotype" w:hAnsi="Palatino Linotype"/>
        </w:rPr>
      </w:pPr>
      <w:bookmarkStart w:id="2" w:name="_Hlk96506827"/>
    </w:p>
    <w:bookmarkEnd w:id="2"/>
    <w:p w14:paraId="41FEF5B1" w14:textId="77777777" w:rsidR="00095FB6" w:rsidRDefault="00095FB6" w:rsidP="00095FB6">
      <w:pPr>
        <w:spacing w:before="240" w:after="240" w:line="360" w:lineRule="auto"/>
        <w:ind w:firstLine="1"/>
        <w:jc w:val="both"/>
        <w:rPr>
          <w:rFonts w:ascii="Palatino Linotype" w:hAnsi="Palatino Linotype"/>
        </w:rPr>
      </w:pPr>
    </w:p>
    <w:p w14:paraId="69E1C939" w14:textId="77777777" w:rsidR="00FC4BEF" w:rsidRDefault="00FC4BEF">
      <w:pPr>
        <w:spacing w:after="0"/>
      </w:pPr>
    </w:p>
    <w:sectPr w:rsidR="00FC4BEF">
      <w:headerReference w:type="default" r:id="rId8"/>
      <w:footerReference w:type="default" r:id="rId9"/>
      <w:headerReference w:type="first" r:id="rId10"/>
      <w:footerReference w:type="first" r:id="rId11"/>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53253" w14:textId="77777777" w:rsidR="00C407CE" w:rsidRDefault="00C407CE">
      <w:pPr>
        <w:spacing w:after="0" w:line="240" w:lineRule="auto"/>
      </w:pPr>
      <w:r>
        <w:separator/>
      </w:r>
    </w:p>
  </w:endnote>
  <w:endnote w:type="continuationSeparator" w:id="0">
    <w:p w14:paraId="5DF6F590" w14:textId="77777777" w:rsidR="00C407CE" w:rsidRDefault="00C4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8680" w14:textId="77777777" w:rsidR="00FC4BEF" w:rsidRDefault="004947E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3ED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3ED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615BAB79" w14:textId="77777777" w:rsidR="00FC4BEF" w:rsidRDefault="00FC4BE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A1C8" w14:textId="77777777" w:rsidR="00FC4BEF" w:rsidRDefault="004947E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3ED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3ED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20A0386B" w14:textId="77777777" w:rsidR="00FC4BEF" w:rsidRDefault="00FC4BE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02841" w14:textId="77777777" w:rsidR="00C407CE" w:rsidRDefault="00C407CE">
      <w:pPr>
        <w:spacing w:after="0" w:line="240" w:lineRule="auto"/>
      </w:pPr>
      <w:r>
        <w:separator/>
      </w:r>
    </w:p>
  </w:footnote>
  <w:footnote w:type="continuationSeparator" w:id="0">
    <w:p w14:paraId="15EF399B" w14:textId="77777777" w:rsidR="00C407CE" w:rsidRDefault="00C40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2DE2" w14:textId="77777777" w:rsidR="00FC4BEF" w:rsidRDefault="00FC4BEF">
    <w:pPr>
      <w:widowControl w:val="0"/>
      <w:pBdr>
        <w:top w:val="nil"/>
        <w:left w:val="nil"/>
        <w:bottom w:val="nil"/>
        <w:right w:val="nil"/>
        <w:between w:val="nil"/>
      </w:pBdr>
      <w:spacing w:after="0" w:line="276" w:lineRule="auto"/>
    </w:pPr>
  </w:p>
  <w:tbl>
    <w:tblPr>
      <w:tblStyle w:val="a"/>
      <w:tblW w:w="10065" w:type="dxa"/>
      <w:tblInd w:w="-851" w:type="dxa"/>
      <w:tblLayout w:type="fixed"/>
      <w:tblLook w:val="0400" w:firstRow="0" w:lastRow="0" w:firstColumn="0" w:lastColumn="0" w:noHBand="0" w:noVBand="1"/>
    </w:tblPr>
    <w:tblGrid>
      <w:gridCol w:w="5246"/>
      <w:gridCol w:w="4819"/>
    </w:tblGrid>
    <w:tr w:rsidR="00FC4BEF" w14:paraId="627D8F9B" w14:textId="77777777">
      <w:trPr>
        <w:trHeight w:val="227"/>
      </w:trPr>
      <w:tc>
        <w:tcPr>
          <w:tcW w:w="5246" w:type="dxa"/>
        </w:tcPr>
        <w:p w14:paraId="57AB2BEA" w14:textId="77777777" w:rsidR="00FC4BEF" w:rsidRDefault="004947EF">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5CC090BD" w14:textId="77777777" w:rsidR="00FC4BEF" w:rsidRDefault="004947E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05788/INFOEM/IP/RR/2024</w:t>
          </w:r>
        </w:p>
      </w:tc>
    </w:tr>
    <w:tr w:rsidR="00FC4BEF" w14:paraId="32688DCF" w14:textId="77777777">
      <w:trPr>
        <w:trHeight w:val="242"/>
      </w:trPr>
      <w:tc>
        <w:tcPr>
          <w:tcW w:w="5246" w:type="dxa"/>
        </w:tcPr>
        <w:p w14:paraId="05FB0B33" w14:textId="77777777" w:rsidR="00FC4BEF" w:rsidRDefault="004947EF">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0AE9477F" w14:textId="77777777" w:rsidR="00FC4BEF" w:rsidRDefault="004947EF">
          <w:pPr>
            <w:spacing w:after="120" w:line="256" w:lineRule="auto"/>
            <w:ind w:left="-73" w:right="214"/>
            <w:jc w:val="right"/>
            <w:rPr>
              <w:rFonts w:ascii="Palatino Linotype" w:eastAsia="Palatino Linotype" w:hAnsi="Palatino Linotype" w:cs="Palatino Linotype"/>
              <w:b/>
            </w:rPr>
          </w:pPr>
          <w:r>
            <w:rPr>
              <w:rFonts w:ascii="Palatino Linotype" w:eastAsia="Palatino Linotype" w:hAnsi="Palatino Linotype" w:cs="Palatino Linotype"/>
              <w:b/>
            </w:rPr>
            <w:t>Ayuntamiento de Xalatlaco</w:t>
          </w:r>
        </w:p>
      </w:tc>
    </w:tr>
    <w:tr w:rsidR="00FC4BEF" w14:paraId="07679836" w14:textId="77777777">
      <w:trPr>
        <w:trHeight w:val="342"/>
      </w:trPr>
      <w:tc>
        <w:tcPr>
          <w:tcW w:w="5246" w:type="dxa"/>
        </w:tcPr>
        <w:p w14:paraId="7014FA4A" w14:textId="77777777" w:rsidR="00FC4BEF" w:rsidRDefault="004947EF">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6FD2DCA5" w14:textId="77777777" w:rsidR="00FC4BEF" w:rsidRDefault="004947EF">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2C47033F" w14:textId="77777777" w:rsidR="00FC4BEF" w:rsidRDefault="004947EF">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8240" behindDoc="1" locked="0" layoutInCell="1" hidden="0" allowOverlap="1" wp14:anchorId="394682A1" wp14:editId="610E30BB">
          <wp:simplePos x="0" y="0"/>
          <wp:positionH relativeFrom="page">
            <wp:align>center</wp:align>
          </wp:positionH>
          <wp:positionV relativeFrom="margin">
            <wp:posOffset>-1379219</wp:posOffset>
          </wp:positionV>
          <wp:extent cx="7705725" cy="10048875"/>
          <wp:effectExtent l="0" t="0" r="0" b="0"/>
          <wp:wrapNone/>
          <wp:docPr id="5"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F809" w14:textId="77777777" w:rsidR="00FC4BEF" w:rsidRDefault="00FC4BE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0"/>
      <w:tblW w:w="9923" w:type="dxa"/>
      <w:tblInd w:w="-851" w:type="dxa"/>
      <w:tblLayout w:type="fixed"/>
      <w:tblLook w:val="0400" w:firstRow="0" w:lastRow="0" w:firstColumn="0" w:lastColumn="0" w:noHBand="0" w:noVBand="1"/>
    </w:tblPr>
    <w:tblGrid>
      <w:gridCol w:w="5104"/>
      <w:gridCol w:w="4819"/>
    </w:tblGrid>
    <w:tr w:rsidR="00FC4BEF" w14:paraId="5D61C21D" w14:textId="77777777">
      <w:trPr>
        <w:trHeight w:val="227"/>
      </w:trPr>
      <w:tc>
        <w:tcPr>
          <w:tcW w:w="5104" w:type="dxa"/>
        </w:tcPr>
        <w:p w14:paraId="62E755E5" w14:textId="77777777" w:rsidR="00FC4BEF" w:rsidRDefault="004947EF">
          <w:pPr>
            <w:spacing w:after="120" w:line="256" w:lineRule="auto"/>
            <w:ind w:right="204"/>
            <w:jc w:val="right"/>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Recurso de Revisión N°:</w:t>
          </w:r>
        </w:p>
      </w:tc>
      <w:tc>
        <w:tcPr>
          <w:tcW w:w="4819" w:type="dxa"/>
        </w:tcPr>
        <w:p w14:paraId="5FD73038" w14:textId="77777777" w:rsidR="00FC4BEF" w:rsidRDefault="004947E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05788/INFOEM/IP/RR/2024</w:t>
          </w:r>
        </w:p>
      </w:tc>
    </w:tr>
    <w:tr w:rsidR="00FC4BEF" w14:paraId="2B32B075" w14:textId="77777777">
      <w:trPr>
        <w:trHeight w:val="242"/>
      </w:trPr>
      <w:tc>
        <w:tcPr>
          <w:tcW w:w="5104" w:type="dxa"/>
        </w:tcPr>
        <w:p w14:paraId="0A60B059" w14:textId="77777777" w:rsidR="00FC4BEF" w:rsidRDefault="004947EF">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A5A09B1" w14:textId="77777777" w:rsidR="00FC4BEF" w:rsidRDefault="004947EF">
          <w:pPr>
            <w:spacing w:after="120" w:line="256" w:lineRule="auto"/>
            <w:ind w:left="-67" w:right="214"/>
            <w:jc w:val="right"/>
            <w:rPr>
              <w:rFonts w:ascii="Palatino Linotype" w:eastAsia="Palatino Linotype" w:hAnsi="Palatino Linotype" w:cs="Palatino Linotype"/>
              <w:b/>
            </w:rPr>
          </w:pPr>
          <w:r>
            <w:rPr>
              <w:rFonts w:ascii="Palatino Linotype" w:eastAsia="Palatino Linotype" w:hAnsi="Palatino Linotype" w:cs="Palatino Linotype"/>
              <w:b/>
            </w:rPr>
            <w:t>Ayuntamiento de Xalatlaco</w:t>
          </w:r>
        </w:p>
      </w:tc>
    </w:tr>
    <w:tr w:rsidR="00FC4BEF" w14:paraId="7DDDE3EB" w14:textId="77777777">
      <w:trPr>
        <w:trHeight w:val="342"/>
      </w:trPr>
      <w:tc>
        <w:tcPr>
          <w:tcW w:w="5104" w:type="dxa"/>
        </w:tcPr>
        <w:p w14:paraId="52A83439" w14:textId="77777777" w:rsidR="00FC4BEF" w:rsidRDefault="004947EF">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19E83FA2" w14:textId="5A1D0C2C" w:rsidR="00FC4BEF" w:rsidRDefault="00153ED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 xml:space="preserve">XXXX </w:t>
          </w:r>
          <w:proofErr w:type="spellStart"/>
          <w:r>
            <w:rPr>
              <w:rFonts w:ascii="Palatino Linotype" w:eastAsia="Palatino Linotype" w:hAnsi="Palatino Linotype" w:cs="Palatino Linotype"/>
              <w:b/>
              <w:sz w:val="24"/>
              <w:szCs w:val="24"/>
            </w:rPr>
            <w:t>XXXX</w:t>
          </w:r>
          <w:proofErr w:type="spellEnd"/>
          <w:r>
            <w:rPr>
              <w:rFonts w:ascii="Palatino Linotype" w:eastAsia="Palatino Linotype" w:hAnsi="Palatino Linotype" w:cs="Palatino Linotype"/>
              <w:b/>
              <w:sz w:val="24"/>
              <w:szCs w:val="24"/>
            </w:rPr>
            <w:t xml:space="preserve"> XXXXX</w:t>
          </w:r>
          <w:r w:rsidR="004947EF">
            <w:rPr>
              <w:rFonts w:ascii="Palatino Linotype" w:eastAsia="Palatino Linotype" w:hAnsi="Palatino Linotype" w:cs="Palatino Linotype"/>
              <w:b/>
            </w:rPr>
            <w:t xml:space="preserve"> </w:t>
          </w:r>
          <w:r w:rsidR="004947EF">
            <w:t xml:space="preserve"> </w:t>
          </w:r>
          <w:r w:rsidR="004947EF">
            <w:rPr>
              <w:noProof/>
            </w:rPr>
            <w:drawing>
              <wp:anchor distT="0" distB="0" distL="0" distR="0" simplePos="0" relativeHeight="251659264" behindDoc="1" locked="0" layoutInCell="1" hidden="0" allowOverlap="1" wp14:anchorId="78705264" wp14:editId="0815CC14">
                <wp:simplePos x="0" y="0"/>
                <wp:positionH relativeFrom="column">
                  <wp:posOffset>-3769994</wp:posOffset>
                </wp:positionH>
                <wp:positionV relativeFrom="paragraph">
                  <wp:posOffset>0</wp:posOffset>
                </wp:positionV>
                <wp:extent cx="7705725" cy="10048875"/>
                <wp:effectExtent l="0" t="0" r="0" b="0"/>
                <wp:wrapNone/>
                <wp:docPr id="4"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c>
    </w:tr>
    <w:tr w:rsidR="00FC4BEF" w14:paraId="1EE97FD4" w14:textId="77777777">
      <w:trPr>
        <w:trHeight w:val="342"/>
      </w:trPr>
      <w:tc>
        <w:tcPr>
          <w:tcW w:w="5104" w:type="dxa"/>
        </w:tcPr>
        <w:p w14:paraId="447DA5CF" w14:textId="77777777" w:rsidR="00FC4BEF" w:rsidRDefault="004947EF">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234EBE5B" w14:textId="77777777" w:rsidR="00FC4BEF" w:rsidRDefault="004947EF">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7ED9A886" w14:textId="77777777" w:rsidR="00FC4BEF" w:rsidRDefault="00FC4BE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4A09"/>
    <w:multiLevelType w:val="multilevel"/>
    <w:tmpl w:val="25965C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75D2CD5"/>
    <w:multiLevelType w:val="multilevel"/>
    <w:tmpl w:val="5CAC875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160B67"/>
    <w:multiLevelType w:val="multilevel"/>
    <w:tmpl w:val="4D2E7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8D1006"/>
    <w:multiLevelType w:val="multilevel"/>
    <w:tmpl w:val="DEFCE43E"/>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EF"/>
    <w:rsid w:val="00095FB6"/>
    <w:rsid w:val="00153EDA"/>
    <w:rsid w:val="004947EF"/>
    <w:rsid w:val="004A3A55"/>
    <w:rsid w:val="005D41EC"/>
    <w:rsid w:val="00C407CE"/>
    <w:rsid w:val="00E97941"/>
    <w:rsid w:val="00EC258E"/>
    <w:rsid w:val="00FC4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516F"/>
  <w15:docId w15:val="{AD11D9EC-B0F4-4DA6-81BB-F46AC73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59361F"/>
    <w:pPr>
      <w:numPr>
        <w:numId w:val="4"/>
      </w:numPr>
      <w:spacing w:after="0" w:line="240" w:lineRule="auto"/>
      <w:contextualSpacing/>
    </w:pPr>
    <w:rPr>
      <w:rFonts w:ascii="Times New Roman" w:eastAsia="Times New Roman" w:hAnsi="Times New Roman" w:cs="Times New Roman"/>
      <w:sz w:val="24"/>
      <w:szCs w:val="24"/>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5kUZyvpPbXz8WSTsjP/+kQ+ug==">CgMxLjAyCGguZ2pkZ3hzMgloLjMwajB6bGw4AHIhMXFHaU5Vekl2emhkTjhqcXg3S3I5Z2cwTjlfREx4Z0ds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3528</Words>
  <Characters>19407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cp:lastPrinted>2024-10-18T00:05:00Z</cp:lastPrinted>
  <dcterms:created xsi:type="dcterms:W3CDTF">2024-09-24T20:13:00Z</dcterms:created>
  <dcterms:modified xsi:type="dcterms:W3CDTF">2024-10-25T19:10:00Z</dcterms:modified>
</cp:coreProperties>
</file>