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B5" w:rsidRPr="00995B5B" w:rsidRDefault="00712BB5" w:rsidP="00712BB5">
      <w:pPr>
        <w:pStyle w:val="Prrafodelista"/>
        <w:spacing w:line="360" w:lineRule="auto"/>
        <w:ind w:left="0"/>
        <w:jc w:val="both"/>
        <w:rPr>
          <w:rFonts w:ascii="Palatino Linotype" w:eastAsia="Calibri" w:hAnsi="Palatino Linotype" w:cs="Arial"/>
          <w:sz w:val="24"/>
          <w:szCs w:val="24"/>
        </w:rPr>
      </w:pPr>
      <w:r w:rsidRPr="00995B5B">
        <w:rPr>
          <w:rFonts w:ascii="Palatino Linotype" w:eastAsia="Calibri" w:hAnsi="Palatino Linotype" w:cs="Arial"/>
          <w:sz w:val="24"/>
          <w:szCs w:val="24"/>
        </w:rPr>
        <w:t xml:space="preserve">Resolución del Pleno del Instituto de Transparencia, Acceso a la Información Pública y Protección de Datos Personales del Estado de México y Municipios, con domicilio en Metepec, Estado de México; de </w:t>
      </w:r>
      <w:r>
        <w:rPr>
          <w:rFonts w:ascii="Palatino Linotype" w:eastAsia="Calibri" w:hAnsi="Palatino Linotype" w:cs="Arial"/>
          <w:sz w:val="24"/>
          <w:szCs w:val="24"/>
        </w:rPr>
        <w:t>dieciséis</w:t>
      </w:r>
      <w:r w:rsidR="006E5E43">
        <w:rPr>
          <w:rFonts w:ascii="Palatino Linotype" w:eastAsia="Calibri" w:hAnsi="Palatino Linotype" w:cs="Arial"/>
          <w:sz w:val="24"/>
          <w:szCs w:val="24"/>
        </w:rPr>
        <w:t xml:space="preserve"> (16)</w:t>
      </w:r>
      <w:r>
        <w:rPr>
          <w:rFonts w:ascii="Palatino Linotype" w:eastAsia="Calibri" w:hAnsi="Palatino Linotype" w:cs="Arial"/>
          <w:sz w:val="24"/>
          <w:szCs w:val="24"/>
        </w:rPr>
        <w:t xml:space="preserve"> de octubre </w:t>
      </w:r>
      <w:r w:rsidRPr="00995B5B">
        <w:rPr>
          <w:rFonts w:ascii="Palatino Linotype" w:eastAsia="Calibri" w:hAnsi="Palatino Linotype" w:cs="Arial"/>
          <w:sz w:val="24"/>
          <w:szCs w:val="24"/>
        </w:rPr>
        <w:t>de dos mil veinticuatro.</w:t>
      </w:r>
    </w:p>
    <w:p w:rsidR="00712BB5" w:rsidRPr="00995B5B" w:rsidRDefault="00712BB5" w:rsidP="00712BB5">
      <w:pPr>
        <w:pStyle w:val="Prrafodelista"/>
        <w:spacing w:line="360" w:lineRule="auto"/>
        <w:ind w:left="0"/>
        <w:jc w:val="both"/>
        <w:rPr>
          <w:rFonts w:ascii="Palatino Linotype" w:eastAsia="Calibri" w:hAnsi="Palatino Linotype" w:cs="Arial"/>
          <w:sz w:val="24"/>
          <w:szCs w:val="24"/>
        </w:rPr>
      </w:pPr>
    </w:p>
    <w:p w:rsidR="00712BB5" w:rsidRPr="00995B5B" w:rsidRDefault="00712BB5" w:rsidP="00712BB5">
      <w:pPr>
        <w:pStyle w:val="Prrafodelista"/>
        <w:spacing w:line="360" w:lineRule="auto"/>
        <w:ind w:left="0"/>
        <w:jc w:val="both"/>
        <w:rPr>
          <w:rFonts w:ascii="Palatino Linotype" w:eastAsia="Calibri" w:hAnsi="Palatino Linotype" w:cs="Arial"/>
          <w:sz w:val="24"/>
          <w:szCs w:val="24"/>
        </w:rPr>
      </w:pPr>
      <w:r w:rsidRPr="00995B5B">
        <w:rPr>
          <w:rFonts w:ascii="Palatino Linotype" w:eastAsia="Calibri" w:hAnsi="Palatino Linotype" w:cs="Arial"/>
          <w:sz w:val="24"/>
          <w:szCs w:val="24"/>
        </w:rPr>
        <w:t xml:space="preserve">VISTOS los expedientes electrónicos formados con motivo de los Recursos de Revisión </w:t>
      </w:r>
      <w:r>
        <w:rPr>
          <w:rFonts w:ascii="Palatino Linotype" w:eastAsia="Calibri" w:hAnsi="Palatino Linotype" w:cs="Arial"/>
          <w:b/>
          <w:sz w:val="24"/>
          <w:szCs w:val="24"/>
        </w:rPr>
        <w:t xml:space="preserve"> 05233/INFOEM/IP/RR/2024 y  05504/INFOEM/IP/RR/2024 </w:t>
      </w:r>
      <w:r w:rsidRPr="00995B5B">
        <w:rPr>
          <w:rFonts w:ascii="Palatino Linotype" w:eastAsia="Calibri" w:hAnsi="Palatino Linotype" w:cs="Arial"/>
          <w:sz w:val="24"/>
          <w:szCs w:val="24"/>
        </w:rPr>
        <w:t xml:space="preserve">acumulados, promovidos por  una persona que no proporciona datos de identificación, a través del Sistema de Acceso a la Información Mexiquense (SAIMEX), a quien en lo sucesivo se le identificará como </w:t>
      </w:r>
      <w:r w:rsidRPr="00995B5B">
        <w:rPr>
          <w:rFonts w:ascii="Palatino Linotype" w:eastAsia="Calibri" w:hAnsi="Palatino Linotype" w:cs="Arial"/>
          <w:b/>
          <w:sz w:val="24"/>
          <w:szCs w:val="24"/>
        </w:rPr>
        <w:t>EL RECURRENTE</w:t>
      </w:r>
      <w:r w:rsidRPr="00995B5B">
        <w:rPr>
          <w:rFonts w:ascii="Palatino Linotype" w:eastAsia="Calibri" w:hAnsi="Palatino Linotype" w:cs="Arial"/>
          <w:sz w:val="24"/>
          <w:szCs w:val="24"/>
        </w:rPr>
        <w:t xml:space="preserve">, en contra de las respuestas del </w:t>
      </w:r>
      <w:r>
        <w:rPr>
          <w:rFonts w:ascii="Palatino Linotype" w:eastAsia="Calibri" w:hAnsi="Palatino Linotype" w:cs="Arial"/>
          <w:b/>
          <w:sz w:val="24"/>
          <w:szCs w:val="24"/>
        </w:rPr>
        <w:t>Ayuntamiento de Atlacomulco</w:t>
      </w:r>
      <w:r w:rsidRPr="00995B5B">
        <w:rPr>
          <w:rFonts w:ascii="Palatino Linotype" w:eastAsia="Calibri" w:hAnsi="Palatino Linotype" w:cs="Arial"/>
          <w:sz w:val="24"/>
          <w:szCs w:val="24"/>
        </w:rPr>
        <w:t xml:space="preserve">, en lo sucesivo </w:t>
      </w:r>
      <w:r w:rsidRPr="00995B5B">
        <w:rPr>
          <w:rFonts w:ascii="Palatino Linotype" w:eastAsia="Calibri" w:hAnsi="Palatino Linotype" w:cs="Arial"/>
          <w:b/>
          <w:sz w:val="24"/>
          <w:szCs w:val="24"/>
        </w:rPr>
        <w:t>EL SUJETO OBLIGADO</w:t>
      </w:r>
      <w:r w:rsidRPr="00995B5B">
        <w:rPr>
          <w:rFonts w:ascii="Palatino Linotype" w:eastAsia="Calibri" w:hAnsi="Palatino Linotype" w:cs="Arial"/>
          <w:sz w:val="24"/>
          <w:szCs w:val="24"/>
        </w:rPr>
        <w:t>, se procede a dictar la presente resolución, con base en los siguientes:</w:t>
      </w:r>
      <w:bookmarkStart w:id="0" w:name="_Toc85733154"/>
    </w:p>
    <w:p w:rsidR="00712BB5" w:rsidRPr="00995B5B" w:rsidRDefault="00712BB5" w:rsidP="00712BB5">
      <w:pPr>
        <w:pStyle w:val="Prrafodelista"/>
        <w:spacing w:line="360" w:lineRule="auto"/>
        <w:ind w:left="0"/>
        <w:jc w:val="both"/>
        <w:rPr>
          <w:rFonts w:ascii="Palatino Linotype" w:eastAsia="Calibri" w:hAnsi="Palatino Linotype" w:cs="Arial"/>
          <w:sz w:val="24"/>
          <w:szCs w:val="24"/>
        </w:rPr>
      </w:pPr>
    </w:p>
    <w:p w:rsidR="00712BB5" w:rsidRPr="00995B5B" w:rsidRDefault="00712BB5" w:rsidP="00712BB5">
      <w:pPr>
        <w:pStyle w:val="Prrafodelista"/>
        <w:spacing w:line="360" w:lineRule="auto"/>
        <w:ind w:left="0"/>
        <w:jc w:val="center"/>
        <w:rPr>
          <w:rFonts w:ascii="Palatino Linotype" w:eastAsia="Calibri" w:hAnsi="Palatino Linotype" w:cs="Arial"/>
          <w:sz w:val="24"/>
          <w:szCs w:val="24"/>
        </w:rPr>
      </w:pPr>
      <w:r w:rsidRPr="00995B5B">
        <w:rPr>
          <w:rFonts w:ascii="Palatino Linotype" w:eastAsia="Calibri" w:hAnsi="Palatino Linotype" w:cs="Arial"/>
          <w:sz w:val="24"/>
          <w:szCs w:val="24"/>
        </w:rPr>
        <w:t>A N T E C E D E N T E S</w:t>
      </w:r>
      <w:bookmarkEnd w:id="0"/>
    </w:p>
    <w:p w:rsidR="00712BB5" w:rsidRPr="00995B5B" w:rsidRDefault="00712BB5" w:rsidP="00712BB5">
      <w:pPr>
        <w:spacing w:line="360" w:lineRule="auto"/>
        <w:rPr>
          <w:rFonts w:ascii="Palatino Linotype" w:hAnsi="Palatino Linotype"/>
          <w:lang w:val="es-ES" w:eastAsia="es-ES"/>
        </w:rPr>
      </w:pPr>
    </w:p>
    <w:p w:rsidR="00712BB5" w:rsidRPr="00995B5B" w:rsidRDefault="00712BB5" w:rsidP="00712BB5">
      <w:pPr>
        <w:pStyle w:val="Prrafodelista"/>
        <w:numPr>
          <w:ilvl w:val="0"/>
          <w:numId w:val="2"/>
        </w:numPr>
        <w:spacing w:line="360" w:lineRule="auto"/>
        <w:ind w:left="0" w:firstLine="0"/>
        <w:jc w:val="both"/>
        <w:rPr>
          <w:rFonts w:ascii="Palatino Linotype" w:eastAsia="Calibri" w:hAnsi="Palatino Linotype" w:cs="Arial"/>
          <w:sz w:val="24"/>
          <w:szCs w:val="24"/>
        </w:rPr>
      </w:pPr>
      <w:r w:rsidRPr="00995B5B">
        <w:rPr>
          <w:rFonts w:ascii="Palatino Linotype" w:eastAsia="Calibri" w:hAnsi="Palatino Linotype" w:cs="Arial"/>
          <w:sz w:val="24"/>
          <w:szCs w:val="24"/>
        </w:rPr>
        <w:t xml:space="preserve">El </w:t>
      </w:r>
      <w:r>
        <w:rPr>
          <w:rFonts w:ascii="Palatino Linotype" w:eastAsia="Calibri" w:hAnsi="Palatino Linotype" w:cs="Arial"/>
          <w:sz w:val="24"/>
          <w:szCs w:val="24"/>
        </w:rPr>
        <w:t>seis de julio y cinco de agosto de dos mil veinticuatro</w:t>
      </w:r>
      <w:r w:rsidRPr="00995B5B">
        <w:rPr>
          <w:rFonts w:ascii="Palatino Linotype" w:eastAsia="Calibri" w:hAnsi="Palatino Linotype" w:cs="Arial"/>
          <w:sz w:val="24"/>
          <w:szCs w:val="24"/>
        </w:rPr>
        <w:t xml:space="preserve">, </w:t>
      </w:r>
      <w:r w:rsidRPr="00995B5B">
        <w:rPr>
          <w:rFonts w:ascii="Palatino Linotype" w:hAnsi="Palatino Linotype"/>
          <w:b/>
          <w:sz w:val="24"/>
          <w:szCs w:val="24"/>
        </w:rPr>
        <w:t xml:space="preserve">, </w:t>
      </w:r>
      <w:r w:rsidRPr="00995B5B">
        <w:rPr>
          <w:rFonts w:ascii="Palatino Linotype" w:eastAsia="Calibri" w:hAnsi="Palatino Linotype" w:cs="Arial"/>
          <w:sz w:val="24"/>
          <w:szCs w:val="24"/>
        </w:rPr>
        <w:t xml:space="preserve">se presentó ante el </w:t>
      </w:r>
      <w:r w:rsidRPr="00995B5B">
        <w:rPr>
          <w:rFonts w:ascii="Palatino Linotype" w:eastAsia="Calibri" w:hAnsi="Palatino Linotype" w:cs="Arial"/>
          <w:b/>
          <w:sz w:val="24"/>
          <w:szCs w:val="24"/>
        </w:rPr>
        <w:t>SUJETO OBLIGADO</w:t>
      </w:r>
      <w:r w:rsidRPr="00995B5B">
        <w:rPr>
          <w:rFonts w:ascii="Palatino Linotype" w:eastAsia="Calibri" w:hAnsi="Palatino Linotype" w:cs="Arial"/>
          <w:sz w:val="24"/>
          <w:szCs w:val="24"/>
        </w:rPr>
        <w:t xml:space="preserve"> vía </w:t>
      </w:r>
      <w:r w:rsidRPr="00995B5B">
        <w:rPr>
          <w:rFonts w:ascii="Palatino Linotype" w:eastAsia="Calibri" w:hAnsi="Palatino Linotype" w:cs="Arial"/>
          <w:b/>
          <w:sz w:val="24"/>
          <w:szCs w:val="24"/>
        </w:rPr>
        <w:t>SAIMEX</w:t>
      </w:r>
      <w:r w:rsidRPr="00995B5B">
        <w:rPr>
          <w:rFonts w:ascii="Palatino Linotype" w:eastAsia="Calibri" w:hAnsi="Palatino Linotype" w:cs="Arial"/>
          <w:sz w:val="24"/>
          <w:szCs w:val="24"/>
        </w:rPr>
        <w:t>, las solicitudes de información pública registradas con los números</w:t>
      </w:r>
      <w:r w:rsidRPr="00995B5B">
        <w:rPr>
          <w:rFonts w:ascii="Palatino Linotype" w:hAnsi="Palatino Linotype"/>
          <w:b/>
          <w:bCs/>
          <w:color w:val="000000" w:themeColor="text1"/>
          <w:sz w:val="24"/>
          <w:szCs w:val="24"/>
        </w:rPr>
        <w:t xml:space="preserve"> </w:t>
      </w:r>
      <w:r>
        <w:rPr>
          <w:rFonts w:ascii="Palatino Linotype" w:hAnsi="Palatino Linotype"/>
          <w:b/>
          <w:bCs/>
          <w:sz w:val="24"/>
          <w:szCs w:val="24"/>
          <w:lang w:val="es-MX"/>
        </w:rPr>
        <w:t xml:space="preserve"> 00213/ATLACOM/IP/2024 y 00225/ATLACOM/IP/2024</w:t>
      </w:r>
      <w:r w:rsidRPr="00995B5B">
        <w:rPr>
          <w:rFonts w:ascii="Palatino Linotype" w:hAnsi="Palatino Linotype"/>
          <w:b/>
          <w:bCs/>
          <w:color w:val="000000" w:themeColor="text1"/>
          <w:sz w:val="24"/>
          <w:szCs w:val="24"/>
          <w:lang w:val="es-MX"/>
        </w:rPr>
        <w:t xml:space="preserve">, </w:t>
      </w:r>
      <w:r w:rsidRPr="00995B5B">
        <w:rPr>
          <w:rFonts w:ascii="Palatino Linotype" w:eastAsia="Calibri" w:hAnsi="Palatino Linotype" w:cs="Arial"/>
          <w:sz w:val="24"/>
          <w:szCs w:val="24"/>
        </w:rPr>
        <w:t>mediante las cuales se solicitó la siguiente información:</w:t>
      </w:r>
    </w:p>
    <w:p w:rsidR="00712BB5" w:rsidRPr="00995B5B" w:rsidRDefault="00712BB5" w:rsidP="00712BB5">
      <w:pPr>
        <w:pStyle w:val="Prrafodelista"/>
        <w:spacing w:line="360" w:lineRule="auto"/>
        <w:ind w:left="0"/>
        <w:jc w:val="both"/>
        <w:rPr>
          <w:rFonts w:ascii="Palatino Linotype" w:eastAsia="Calibri" w:hAnsi="Palatino Linotype" w:cs="Arial"/>
          <w:sz w:val="24"/>
          <w:szCs w:val="24"/>
        </w:rPr>
      </w:pPr>
    </w:p>
    <w:p w:rsidR="00712BB5" w:rsidRPr="00995B5B" w:rsidRDefault="00712BB5" w:rsidP="00712BB5">
      <w:pPr>
        <w:pStyle w:val="Prrafodelista"/>
        <w:ind w:left="1134" w:right="900"/>
        <w:jc w:val="both"/>
        <w:rPr>
          <w:rFonts w:ascii="Palatino Linotype" w:eastAsia="Calibri" w:hAnsi="Palatino Linotype" w:cs="Arial"/>
          <w:bCs/>
          <w:i/>
          <w:sz w:val="24"/>
          <w:szCs w:val="24"/>
          <w:lang w:val="es-MX"/>
        </w:rPr>
      </w:pPr>
      <w:r>
        <w:rPr>
          <w:rFonts w:ascii="Palatino Linotype" w:eastAsia="Calibri" w:hAnsi="Palatino Linotype" w:cs="Arial"/>
          <w:b/>
          <w:i/>
          <w:sz w:val="24"/>
          <w:szCs w:val="24"/>
        </w:rPr>
        <w:t xml:space="preserve">Solicitud 000213/ATLACOM/IP/2024: </w:t>
      </w:r>
      <w:r w:rsidRPr="00995B5B">
        <w:rPr>
          <w:rFonts w:ascii="Palatino Linotype" w:eastAsia="Calibri" w:hAnsi="Palatino Linotype" w:cs="Arial"/>
          <w:bCs/>
          <w:i/>
          <w:sz w:val="24"/>
          <w:szCs w:val="24"/>
          <w:lang w:val="es-MX"/>
        </w:rPr>
        <w:t>“</w:t>
      </w:r>
      <w:r w:rsidRPr="00712BB5">
        <w:rPr>
          <w:rFonts w:ascii="Palatino Linotype" w:eastAsia="Calibri" w:hAnsi="Palatino Linotype" w:cs="Arial"/>
          <w:bCs/>
          <w:i/>
          <w:sz w:val="24"/>
          <w:szCs w:val="24"/>
          <w:lang w:val="es-MX"/>
        </w:rPr>
        <w:t>NOMINA DE VIRIDIANA FIGUEROA ROMERO Y POLIZA DE CHEQUE O COMPROBANTE QUE SE EXPIDE A SU NOMBRE Y QUE RECIBE POR CONCEPTO DE PENSION ALIMENTICIA</w:t>
      </w:r>
      <w:r w:rsidRPr="00995B5B">
        <w:rPr>
          <w:rFonts w:ascii="Palatino Linotype" w:eastAsia="Calibri" w:hAnsi="Palatino Linotype" w:cs="Arial"/>
          <w:bCs/>
          <w:i/>
          <w:sz w:val="24"/>
          <w:szCs w:val="24"/>
          <w:lang w:val="es-MX"/>
        </w:rPr>
        <w:t>.”</w:t>
      </w:r>
    </w:p>
    <w:p w:rsidR="00712BB5" w:rsidRPr="00995B5B" w:rsidRDefault="00712BB5" w:rsidP="00712BB5">
      <w:pPr>
        <w:pStyle w:val="Prrafodelista"/>
        <w:ind w:left="1134" w:right="900"/>
        <w:jc w:val="both"/>
        <w:rPr>
          <w:rFonts w:ascii="Palatino Linotype" w:eastAsia="Calibri" w:hAnsi="Palatino Linotype" w:cs="Arial"/>
          <w:bCs/>
          <w:i/>
          <w:sz w:val="24"/>
          <w:szCs w:val="24"/>
          <w:lang w:val="es-MX"/>
        </w:rPr>
      </w:pPr>
      <w:r>
        <w:rPr>
          <w:rFonts w:ascii="Palatino Linotype" w:eastAsia="Calibri" w:hAnsi="Palatino Linotype" w:cs="Arial"/>
          <w:b/>
          <w:i/>
          <w:sz w:val="24"/>
          <w:szCs w:val="24"/>
        </w:rPr>
        <w:lastRenderedPageBreak/>
        <w:t xml:space="preserve">Solicitud 00225/ATLACOM/IP/2024: </w:t>
      </w:r>
      <w:r w:rsidRPr="00995B5B">
        <w:rPr>
          <w:rFonts w:ascii="Palatino Linotype" w:eastAsia="Calibri" w:hAnsi="Palatino Linotype" w:cs="Arial"/>
          <w:bCs/>
          <w:i/>
          <w:sz w:val="24"/>
          <w:szCs w:val="24"/>
          <w:lang w:val="es-MX"/>
        </w:rPr>
        <w:t>“</w:t>
      </w:r>
      <w:r w:rsidRPr="00712BB5">
        <w:rPr>
          <w:rFonts w:ascii="Palatino Linotype" w:eastAsia="Calibri" w:hAnsi="Palatino Linotype" w:cs="Arial"/>
          <w:bCs/>
          <w:i/>
          <w:sz w:val="24"/>
          <w:szCs w:val="24"/>
          <w:lang w:val="es-MX"/>
        </w:rPr>
        <w:t>DESEO CONOCER NOMINA</w:t>
      </w:r>
      <w:proofErr w:type="gramStart"/>
      <w:r w:rsidRPr="00712BB5">
        <w:rPr>
          <w:rFonts w:ascii="Palatino Linotype" w:eastAsia="Calibri" w:hAnsi="Palatino Linotype" w:cs="Arial"/>
          <w:bCs/>
          <w:i/>
          <w:sz w:val="24"/>
          <w:szCs w:val="24"/>
          <w:lang w:val="es-MX"/>
        </w:rPr>
        <w:t>,NOMBRAMIENTO</w:t>
      </w:r>
      <w:proofErr w:type="gramEnd"/>
      <w:r w:rsidRPr="00712BB5">
        <w:rPr>
          <w:rFonts w:ascii="Palatino Linotype" w:eastAsia="Calibri" w:hAnsi="Palatino Linotype" w:cs="Arial"/>
          <w:bCs/>
          <w:i/>
          <w:sz w:val="24"/>
          <w:szCs w:val="24"/>
          <w:lang w:val="es-MX"/>
        </w:rPr>
        <w:t>, MOVIMIENTO DE ALTA DE ISSEMYN DE LA CRONISTA MUNICIPAL</w:t>
      </w:r>
      <w:r w:rsidRPr="00995B5B">
        <w:rPr>
          <w:rFonts w:ascii="Palatino Linotype" w:eastAsia="Calibri" w:hAnsi="Palatino Linotype" w:cs="Arial"/>
          <w:bCs/>
          <w:i/>
          <w:sz w:val="24"/>
          <w:szCs w:val="24"/>
          <w:lang w:val="es-MX"/>
        </w:rPr>
        <w:t>”</w:t>
      </w:r>
    </w:p>
    <w:p w:rsidR="00712BB5" w:rsidRPr="00995B5B" w:rsidRDefault="00712BB5" w:rsidP="00712BB5">
      <w:pPr>
        <w:pStyle w:val="Prrafodelista"/>
        <w:spacing w:line="360" w:lineRule="auto"/>
        <w:ind w:left="0"/>
        <w:jc w:val="both"/>
        <w:rPr>
          <w:rFonts w:ascii="Palatino Linotype" w:eastAsia="Calibri" w:hAnsi="Palatino Linotype" w:cs="Arial"/>
          <w:bCs/>
          <w:i/>
          <w:sz w:val="24"/>
          <w:szCs w:val="24"/>
          <w:lang w:val="es-MX"/>
        </w:rPr>
      </w:pPr>
    </w:p>
    <w:p w:rsidR="00712BB5" w:rsidRPr="00995B5B" w:rsidRDefault="00712BB5" w:rsidP="00712BB5">
      <w:pPr>
        <w:pStyle w:val="Prrafodelista"/>
        <w:numPr>
          <w:ilvl w:val="0"/>
          <w:numId w:val="1"/>
        </w:numPr>
        <w:spacing w:line="360" w:lineRule="auto"/>
        <w:ind w:left="709" w:right="474"/>
        <w:contextualSpacing/>
        <w:jc w:val="both"/>
        <w:rPr>
          <w:rFonts w:ascii="Palatino Linotype" w:eastAsia="Calibri" w:hAnsi="Palatino Linotype" w:cs="Arial"/>
          <w:sz w:val="24"/>
          <w:szCs w:val="24"/>
        </w:rPr>
      </w:pPr>
      <w:r w:rsidRPr="00995B5B">
        <w:rPr>
          <w:rFonts w:ascii="Palatino Linotype" w:eastAsia="Calibri" w:hAnsi="Palatino Linotype" w:cs="Arial"/>
          <w:b/>
          <w:sz w:val="24"/>
          <w:szCs w:val="24"/>
        </w:rPr>
        <w:t>Modalidad de entrega</w:t>
      </w:r>
      <w:r w:rsidRPr="00995B5B">
        <w:rPr>
          <w:rFonts w:ascii="Palatino Linotype" w:eastAsia="Calibri" w:hAnsi="Palatino Linotype" w:cs="Arial"/>
          <w:sz w:val="24"/>
          <w:szCs w:val="24"/>
        </w:rPr>
        <w:t>: Vía SAIMEX.</w:t>
      </w:r>
    </w:p>
    <w:p w:rsidR="00712BB5" w:rsidRPr="00995B5B" w:rsidRDefault="00712BB5" w:rsidP="00712BB5">
      <w:pPr>
        <w:pStyle w:val="Prrafodelista"/>
        <w:spacing w:line="360" w:lineRule="auto"/>
        <w:ind w:left="0"/>
        <w:jc w:val="both"/>
        <w:rPr>
          <w:rFonts w:ascii="Palatino Linotype" w:eastAsiaTheme="minorEastAsia" w:hAnsi="Palatino Linotype" w:cs="Arial"/>
          <w:i/>
          <w:sz w:val="24"/>
          <w:szCs w:val="24"/>
          <w:lang w:val="es-ES_tradnl"/>
        </w:rPr>
      </w:pPr>
    </w:p>
    <w:p w:rsidR="00712BB5" w:rsidRPr="00712BB5" w:rsidRDefault="00712BB5" w:rsidP="00712BB5">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 xml:space="preserve">El ocho de julio y seis de agosto de dos mil veinticuatro, el </w:t>
      </w:r>
      <w:r>
        <w:rPr>
          <w:rFonts w:ascii="Palatino Linotype" w:eastAsiaTheme="minorEastAsia" w:hAnsi="Palatino Linotype" w:cs="Arial"/>
          <w:b/>
          <w:sz w:val="24"/>
          <w:szCs w:val="24"/>
          <w:lang w:val="es-ES_tradnl"/>
        </w:rPr>
        <w:t xml:space="preserve">SUJETO OBLIGADO </w:t>
      </w:r>
      <w:r>
        <w:rPr>
          <w:rFonts w:ascii="Palatino Linotype" w:eastAsiaTheme="minorEastAsia" w:hAnsi="Palatino Linotype" w:cs="Arial"/>
          <w:sz w:val="24"/>
          <w:szCs w:val="24"/>
          <w:lang w:val="es-ES_tradnl"/>
        </w:rPr>
        <w:t xml:space="preserve">giro los requerimientos de información para que fueran atendidas las solicitudes de información </w:t>
      </w:r>
      <w:r>
        <w:rPr>
          <w:rFonts w:ascii="Palatino Linotype" w:hAnsi="Palatino Linotype"/>
          <w:b/>
          <w:bCs/>
          <w:sz w:val="24"/>
          <w:szCs w:val="24"/>
          <w:lang w:val="es-MX"/>
        </w:rPr>
        <w:t xml:space="preserve">00213/ATLACOM/IP/2024 y 00225/ATLACOM/IP/2024. </w:t>
      </w:r>
    </w:p>
    <w:p w:rsidR="00712BB5" w:rsidRDefault="00712BB5" w:rsidP="00712BB5">
      <w:pPr>
        <w:pStyle w:val="Prrafodelista"/>
        <w:spacing w:line="360" w:lineRule="auto"/>
        <w:ind w:left="0"/>
        <w:jc w:val="both"/>
        <w:rPr>
          <w:rFonts w:ascii="Palatino Linotype" w:eastAsiaTheme="minorEastAsia" w:hAnsi="Palatino Linotype" w:cs="Arial"/>
          <w:sz w:val="24"/>
          <w:szCs w:val="24"/>
          <w:lang w:val="es-ES_tradnl"/>
        </w:rPr>
      </w:pPr>
    </w:p>
    <w:p w:rsidR="00712BB5" w:rsidRPr="00995B5B" w:rsidRDefault="00712BB5" w:rsidP="00712BB5">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995B5B">
        <w:rPr>
          <w:rFonts w:ascii="Palatino Linotype" w:eastAsiaTheme="minorEastAsia" w:hAnsi="Palatino Linotype" w:cs="Arial"/>
          <w:sz w:val="24"/>
          <w:szCs w:val="24"/>
          <w:lang w:val="es-ES_tradnl"/>
        </w:rPr>
        <w:t xml:space="preserve">De lo anterior, en fecha </w:t>
      </w:r>
      <w:r w:rsidRPr="00712BB5">
        <w:rPr>
          <w:rFonts w:ascii="Palatino Linotype" w:eastAsiaTheme="minorEastAsia" w:hAnsi="Palatino Linotype" w:cs="Arial"/>
          <w:b/>
          <w:sz w:val="24"/>
          <w:szCs w:val="24"/>
          <w:lang w:val="es-ES_tradnl"/>
        </w:rPr>
        <w:t>nueve de agosto y cuatro de septiembre de dos mil veinticuatro</w:t>
      </w:r>
      <w:r w:rsidRPr="00995B5B">
        <w:rPr>
          <w:rFonts w:ascii="Palatino Linotype" w:eastAsiaTheme="minorEastAsia" w:hAnsi="Palatino Linotype" w:cs="Arial"/>
          <w:sz w:val="24"/>
          <w:szCs w:val="24"/>
          <w:lang w:val="es-ES_tradnl"/>
        </w:rPr>
        <w:t xml:space="preserve">, el </w:t>
      </w:r>
      <w:r w:rsidRPr="00995B5B">
        <w:rPr>
          <w:rFonts w:ascii="Palatino Linotype" w:eastAsiaTheme="minorEastAsia" w:hAnsi="Palatino Linotype" w:cs="Arial"/>
          <w:b/>
          <w:sz w:val="24"/>
          <w:szCs w:val="24"/>
          <w:lang w:val="es-ES_tradnl"/>
        </w:rPr>
        <w:t xml:space="preserve">SUJETO OBLIGADO </w:t>
      </w:r>
      <w:r w:rsidRPr="00995B5B">
        <w:rPr>
          <w:rFonts w:ascii="Palatino Linotype" w:eastAsiaTheme="minorEastAsia" w:hAnsi="Palatino Linotype" w:cs="Arial"/>
          <w:sz w:val="24"/>
          <w:szCs w:val="24"/>
          <w:lang w:val="es-ES_tradnl"/>
        </w:rPr>
        <w:t xml:space="preserve">dio respuesta a las solicitudes de información </w:t>
      </w:r>
      <w:r>
        <w:rPr>
          <w:rFonts w:ascii="Palatino Linotype" w:hAnsi="Palatino Linotype"/>
          <w:b/>
          <w:bCs/>
          <w:sz w:val="24"/>
          <w:szCs w:val="24"/>
          <w:lang w:val="es-MX"/>
        </w:rPr>
        <w:t xml:space="preserve"> 00213/ATLACOM/IP/2024 y 00225/ATLACOM/IP/2024</w:t>
      </w:r>
      <w:r w:rsidRPr="00995B5B">
        <w:rPr>
          <w:rFonts w:ascii="Palatino Linotype" w:hAnsi="Palatino Linotype"/>
          <w:b/>
          <w:bCs/>
          <w:sz w:val="24"/>
          <w:szCs w:val="24"/>
          <w:lang w:val="es-MX"/>
        </w:rPr>
        <w:t xml:space="preserve">, </w:t>
      </w:r>
      <w:r w:rsidRPr="00995B5B">
        <w:rPr>
          <w:rFonts w:ascii="Palatino Linotype" w:hAnsi="Palatino Linotype"/>
          <w:bCs/>
          <w:sz w:val="24"/>
          <w:szCs w:val="24"/>
          <w:lang w:val="es-MX"/>
        </w:rPr>
        <w:t xml:space="preserve">con los siguientes documentos cuyo contenido grosso modo es: </w:t>
      </w:r>
    </w:p>
    <w:p w:rsidR="00712BB5" w:rsidRPr="00712BB5" w:rsidRDefault="00712BB5" w:rsidP="00712BB5">
      <w:pPr>
        <w:pStyle w:val="Prrafodelista"/>
        <w:ind w:left="1134" w:right="900"/>
        <w:jc w:val="both"/>
        <w:rPr>
          <w:rFonts w:ascii="Palatino Linotype" w:eastAsiaTheme="minorEastAsia" w:hAnsi="Palatino Linotype" w:cs="Arial"/>
          <w:b/>
          <w:i/>
          <w:szCs w:val="24"/>
          <w:lang w:val="es-ES_tradnl"/>
        </w:rPr>
      </w:pPr>
      <w:r w:rsidRPr="00712BB5">
        <w:rPr>
          <w:rFonts w:ascii="Palatino Linotype" w:eastAsiaTheme="minorEastAsia" w:hAnsi="Palatino Linotype" w:cs="Arial"/>
          <w:b/>
          <w:i/>
          <w:szCs w:val="24"/>
          <w:lang w:val="es-ES_tradnl"/>
        </w:rPr>
        <w:t xml:space="preserve">Solicitud 000213/ATLACOM/IP/2024: </w:t>
      </w:r>
    </w:p>
    <w:p w:rsidR="00712BB5" w:rsidRDefault="00712BB5" w:rsidP="00712BB5">
      <w:pPr>
        <w:pStyle w:val="Prrafodelista"/>
        <w:ind w:left="1134" w:right="900"/>
        <w:jc w:val="both"/>
        <w:rPr>
          <w:rFonts w:ascii="Palatino Linotype" w:eastAsiaTheme="minorEastAsia" w:hAnsi="Palatino Linotype" w:cs="Arial"/>
          <w:i/>
          <w:szCs w:val="24"/>
          <w:lang w:val="es-ES_tradnl"/>
        </w:rPr>
      </w:pPr>
      <w:r w:rsidRPr="00712BB5">
        <w:rPr>
          <w:rFonts w:ascii="Palatino Linotype" w:eastAsiaTheme="minorEastAsia" w:hAnsi="Palatino Linotype" w:cs="Arial"/>
          <w:b/>
          <w:i/>
          <w:szCs w:val="24"/>
          <w:lang w:val="es-ES_tradnl"/>
        </w:rPr>
        <w:t xml:space="preserve">213_RSOL_TM_2024_RECNOM_VIR_30062024.pdf: </w:t>
      </w:r>
      <w:r w:rsidRPr="00712BB5">
        <w:rPr>
          <w:rFonts w:ascii="Palatino Linotype" w:eastAsiaTheme="minorEastAsia" w:hAnsi="Palatino Linotype" w:cs="Arial"/>
          <w:i/>
          <w:szCs w:val="24"/>
          <w:lang w:val="es-ES_tradnl"/>
        </w:rPr>
        <w:t xml:space="preserve">oficio de la Tesorera Municipal, mediante la informa que se adjunta en versión pública el recibo de nómina de la servidora pública referida en la solicitud de información, correspondiente del 16 al 30 de junio de dos mil veinticuatro. </w:t>
      </w:r>
    </w:p>
    <w:p w:rsidR="00712BB5" w:rsidRPr="00712BB5" w:rsidRDefault="00712BB5" w:rsidP="00712BB5">
      <w:pPr>
        <w:pStyle w:val="Prrafodelista"/>
        <w:ind w:left="1134" w:right="900"/>
        <w:jc w:val="both"/>
        <w:rPr>
          <w:rFonts w:ascii="Palatino Linotype" w:eastAsiaTheme="minorEastAsia" w:hAnsi="Palatino Linotype" w:cs="Arial"/>
          <w:i/>
          <w:szCs w:val="24"/>
          <w:lang w:val="es-ES_tradnl"/>
        </w:rPr>
      </w:pPr>
      <w:r>
        <w:rPr>
          <w:rFonts w:ascii="Palatino Linotype" w:eastAsiaTheme="minorEastAsia" w:hAnsi="Palatino Linotype" w:cs="Arial"/>
          <w:i/>
          <w:szCs w:val="24"/>
          <w:lang w:val="es-ES_tradnl"/>
        </w:rPr>
        <w:t xml:space="preserve">En respuesta, </w:t>
      </w:r>
      <w:proofErr w:type="spellStart"/>
      <w:r>
        <w:rPr>
          <w:rFonts w:ascii="Palatino Linotype" w:eastAsiaTheme="minorEastAsia" w:hAnsi="Palatino Linotype" w:cs="Arial"/>
          <w:i/>
          <w:szCs w:val="24"/>
          <w:lang w:val="es-ES_tradnl"/>
        </w:rPr>
        <w:t>tambien</w:t>
      </w:r>
      <w:proofErr w:type="spellEnd"/>
      <w:r>
        <w:rPr>
          <w:rFonts w:ascii="Palatino Linotype" w:eastAsiaTheme="minorEastAsia" w:hAnsi="Palatino Linotype" w:cs="Arial"/>
          <w:i/>
          <w:szCs w:val="24"/>
          <w:lang w:val="es-ES_tradnl"/>
        </w:rPr>
        <w:t xml:space="preserve"> refiere que el Concepto que recibe por pensión alimenticia </w:t>
      </w:r>
      <w:r w:rsidR="00FD6ED9">
        <w:rPr>
          <w:rFonts w:ascii="Palatino Linotype" w:eastAsiaTheme="minorEastAsia" w:hAnsi="Palatino Linotype" w:cs="Arial"/>
          <w:i/>
          <w:szCs w:val="24"/>
          <w:lang w:val="es-ES_tradnl"/>
        </w:rPr>
        <w:t xml:space="preserve">corresponde a pagos estrictamente personales. </w:t>
      </w:r>
    </w:p>
    <w:p w:rsidR="00712BB5" w:rsidRDefault="00712BB5" w:rsidP="00712BB5">
      <w:pPr>
        <w:pStyle w:val="Prrafodelista"/>
        <w:ind w:left="1134" w:right="900"/>
        <w:jc w:val="both"/>
        <w:rPr>
          <w:rFonts w:ascii="Palatino Linotype" w:eastAsiaTheme="minorEastAsia" w:hAnsi="Palatino Linotype" w:cs="Arial"/>
          <w:i/>
          <w:szCs w:val="24"/>
          <w:lang w:val="es-ES_tradnl"/>
        </w:rPr>
      </w:pPr>
      <w:r w:rsidRPr="00712BB5">
        <w:rPr>
          <w:rFonts w:ascii="Palatino Linotype" w:eastAsiaTheme="minorEastAsia" w:hAnsi="Palatino Linotype" w:cs="Arial"/>
          <w:b/>
          <w:i/>
          <w:szCs w:val="24"/>
          <w:lang w:val="es-ES_tradnl"/>
        </w:rPr>
        <w:t>028_ACT_EXT_CT_0708_2024.pdf</w:t>
      </w:r>
      <w:r>
        <w:rPr>
          <w:rFonts w:ascii="Palatino Linotype" w:eastAsiaTheme="minorEastAsia" w:hAnsi="Palatino Linotype" w:cs="Arial"/>
          <w:b/>
          <w:i/>
          <w:szCs w:val="24"/>
          <w:lang w:val="es-ES_tradnl"/>
        </w:rPr>
        <w:t xml:space="preserve">: </w:t>
      </w:r>
      <w:r>
        <w:rPr>
          <w:rFonts w:ascii="Palatino Linotype" w:eastAsiaTheme="minorEastAsia" w:hAnsi="Palatino Linotype" w:cs="Arial"/>
          <w:i/>
          <w:szCs w:val="24"/>
          <w:lang w:val="es-ES_tradnl"/>
        </w:rPr>
        <w:t xml:space="preserve">Acta de la Vigésima Octava Sesión Extraordinaria del Comité de Transparencia, mediante la cual en el punto número cinco, clasifican como confidencial lo relativo al Código  Postal, al Registro Federal de Contribuyentes, Clave </w:t>
      </w:r>
      <w:proofErr w:type="spellStart"/>
      <w:r>
        <w:rPr>
          <w:rFonts w:ascii="Palatino Linotype" w:eastAsiaTheme="minorEastAsia" w:hAnsi="Palatino Linotype" w:cs="Arial"/>
          <w:i/>
          <w:szCs w:val="24"/>
          <w:lang w:val="es-ES_tradnl"/>
        </w:rPr>
        <w:t>Unica</w:t>
      </w:r>
      <w:proofErr w:type="spellEnd"/>
      <w:r>
        <w:rPr>
          <w:rFonts w:ascii="Palatino Linotype" w:eastAsiaTheme="minorEastAsia" w:hAnsi="Palatino Linotype" w:cs="Arial"/>
          <w:i/>
          <w:szCs w:val="24"/>
          <w:lang w:val="es-ES_tradnl"/>
        </w:rPr>
        <w:t xml:space="preserve"> de Registro de Población, Clave de Seguridad Social del Instituto de Seguridad Social del Estado de México y Municipios, Deducciones Personales, Institución  Bancaria, Cuenta Bancaria y Código QR. </w:t>
      </w:r>
    </w:p>
    <w:p w:rsidR="00FD6ED9" w:rsidRDefault="00FD6ED9" w:rsidP="00712BB5">
      <w:pPr>
        <w:pStyle w:val="Prrafodelista"/>
        <w:ind w:left="1134" w:right="900"/>
        <w:jc w:val="both"/>
        <w:rPr>
          <w:rFonts w:ascii="Palatino Linotype" w:eastAsiaTheme="minorEastAsia" w:hAnsi="Palatino Linotype" w:cs="Arial"/>
          <w:i/>
          <w:szCs w:val="24"/>
          <w:lang w:val="es-ES_tradnl"/>
        </w:rPr>
      </w:pPr>
      <w:r w:rsidRPr="00FD6ED9">
        <w:rPr>
          <w:rFonts w:ascii="Palatino Linotype" w:eastAsiaTheme="minorEastAsia" w:hAnsi="Palatino Linotype" w:cs="Arial"/>
          <w:b/>
          <w:i/>
          <w:szCs w:val="24"/>
          <w:lang w:val="es-ES_tradnl"/>
        </w:rPr>
        <w:t>0213_RES_UT_2024.pdf</w:t>
      </w:r>
      <w:r>
        <w:rPr>
          <w:rFonts w:ascii="Palatino Linotype" w:eastAsiaTheme="minorEastAsia" w:hAnsi="Palatino Linotype" w:cs="Arial"/>
          <w:b/>
          <w:i/>
          <w:szCs w:val="24"/>
          <w:lang w:val="es-ES_tradnl"/>
        </w:rPr>
        <w:t xml:space="preserve">: </w:t>
      </w:r>
      <w:r>
        <w:rPr>
          <w:rFonts w:ascii="Palatino Linotype" w:eastAsiaTheme="minorEastAsia" w:hAnsi="Palatino Linotype" w:cs="Arial"/>
          <w:i/>
          <w:szCs w:val="24"/>
          <w:lang w:val="es-ES_tradnl"/>
        </w:rPr>
        <w:t xml:space="preserve">oficio de la Titular de la Unidad de Transparencia, mediante el cual refiere que remite el oficio de respuesta y el Acta del Comité de Transparencia. </w:t>
      </w:r>
    </w:p>
    <w:p w:rsidR="00F63CAB" w:rsidRDefault="00F63CAB" w:rsidP="00F63CAB">
      <w:pPr>
        <w:pStyle w:val="Prrafodelista"/>
        <w:ind w:left="1134" w:right="900"/>
        <w:jc w:val="both"/>
        <w:rPr>
          <w:rFonts w:ascii="Palatino Linotype" w:eastAsiaTheme="minorEastAsia" w:hAnsi="Palatino Linotype" w:cs="Arial"/>
          <w:b/>
          <w:i/>
          <w:szCs w:val="24"/>
          <w:lang w:val="es-ES_tradnl"/>
        </w:rPr>
      </w:pPr>
      <w:r w:rsidRPr="00712BB5">
        <w:rPr>
          <w:rFonts w:ascii="Palatino Linotype" w:eastAsiaTheme="minorEastAsia" w:hAnsi="Palatino Linotype" w:cs="Arial"/>
          <w:b/>
          <w:i/>
          <w:szCs w:val="24"/>
          <w:lang w:val="es-ES_tradnl"/>
        </w:rPr>
        <w:lastRenderedPageBreak/>
        <w:t xml:space="preserve">Solicitud </w:t>
      </w:r>
      <w:r w:rsidRPr="00F63CAB">
        <w:rPr>
          <w:rFonts w:ascii="Palatino Linotype" w:eastAsiaTheme="minorEastAsia" w:hAnsi="Palatino Linotype" w:cs="Arial"/>
          <w:b/>
          <w:bCs/>
          <w:i/>
          <w:szCs w:val="24"/>
          <w:lang w:val="es-MX"/>
        </w:rPr>
        <w:t>00225/ATLACOM/IP/2024</w:t>
      </w:r>
      <w:r w:rsidRPr="00712BB5">
        <w:rPr>
          <w:rFonts w:ascii="Palatino Linotype" w:eastAsiaTheme="minorEastAsia" w:hAnsi="Palatino Linotype" w:cs="Arial"/>
          <w:b/>
          <w:i/>
          <w:szCs w:val="24"/>
          <w:lang w:val="es-ES_tradnl"/>
        </w:rPr>
        <w:t xml:space="preserve">: </w:t>
      </w:r>
    </w:p>
    <w:p w:rsidR="00F63CAB" w:rsidRPr="00712BB5" w:rsidRDefault="00F63CAB" w:rsidP="00F63CAB">
      <w:pPr>
        <w:pStyle w:val="Prrafodelista"/>
        <w:ind w:left="1134" w:right="900"/>
        <w:jc w:val="both"/>
        <w:rPr>
          <w:rFonts w:ascii="Palatino Linotype" w:eastAsiaTheme="minorEastAsia" w:hAnsi="Palatino Linotype" w:cs="Arial"/>
          <w:b/>
          <w:i/>
          <w:szCs w:val="24"/>
          <w:lang w:val="es-ES_tradnl"/>
        </w:rPr>
      </w:pPr>
    </w:p>
    <w:p w:rsidR="00F63CAB" w:rsidRDefault="00F63CAB" w:rsidP="00F63CAB">
      <w:pPr>
        <w:pStyle w:val="Prrafodelista"/>
        <w:ind w:left="1134" w:right="900"/>
        <w:jc w:val="both"/>
        <w:rPr>
          <w:rFonts w:ascii="Palatino Linotype" w:eastAsiaTheme="minorEastAsia" w:hAnsi="Palatino Linotype" w:cs="Arial"/>
          <w:i/>
          <w:szCs w:val="24"/>
          <w:lang w:val="es-ES_tradnl"/>
        </w:rPr>
      </w:pPr>
      <w:r w:rsidRPr="00F63CAB">
        <w:rPr>
          <w:rFonts w:ascii="Palatino Linotype" w:eastAsiaTheme="minorEastAsia" w:hAnsi="Palatino Linotype" w:cs="Arial"/>
          <w:b/>
          <w:i/>
          <w:szCs w:val="24"/>
          <w:lang w:val="es-ES_tradnl"/>
        </w:rPr>
        <w:t>225_RSOL_TM_2024_CRONISTA.pdf</w:t>
      </w:r>
      <w:r>
        <w:rPr>
          <w:rFonts w:ascii="Palatino Linotype" w:eastAsiaTheme="minorEastAsia" w:hAnsi="Palatino Linotype" w:cs="Arial"/>
          <w:b/>
          <w:i/>
          <w:szCs w:val="24"/>
          <w:lang w:val="es-ES_tradnl"/>
        </w:rPr>
        <w:t xml:space="preserve">: </w:t>
      </w:r>
      <w:r>
        <w:rPr>
          <w:rFonts w:ascii="Palatino Linotype" w:eastAsiaTheme="minorEastAsia" w:hAnsi="Palatino Linotype" w:cs="Arial"/>
          <w:i/>
          <w:szCs w:val="24"/>
          <w:lang w:val="es-ES_tradnl"/>
        </w:rPr>
        <w:t xml:space="preserve">oficio de la Tesorera Municipal, mediante el cual informa que por medio de la liga electrónica </w:t>
      </w:r>
      <w:hyperlink r:id="rId7" w:history="1">
        <w:r w:rsidRPr="006323EF">
          <w:rPr>
            <w:rStyle w:val="Hipervnculo"/>
            <w:rFonts w:ascii="Palatino Linotype" w:eastAsiaTheme="minorEastAsia" w:hAnsi="Palatino Linotype" w:cs="Arial"/>
            <w:i/>
            <w:szCs w:val="24"/>
            <w:lang w:val="es-ES_tradnl"/>
          </w:rPr>
          <w:t>https://acortar-link/4JRxL</w:t>
        </w:r>
      </w:hyperlink>
      <w:r>
        <w:rPr>
          <w:rFonts w:ascii="Palatino Linotype" w:eastAsiaTheme="minorEastAsia" w:hAnsi="Palatino Linotype" w:cs="Arial"/>
          <w:i/>
          <w:szCs w:val="24"/>
          <w:lang w:val="es-ES_tradnl"/>
        </w:rPr>
        <w:t>, puede consultar la información en la fracción VIIIA de remuneraciones, indicando que tiene que buscar el apartado de Secretaría del Ayuntamiento y Seleccionar Cronista Municipal</w:t>
      </w:r>
      <w:r w:rsidR="000D29A5">
        <w:rPr>
          <w:rFonts w:ascii="Palatino Linotype" w:eastAsiaTheme="minorEastAsia" w:hAnsi="Palatino Linotype" w:cs="Arial"/>
          <w:i/>
          <w:szCs w:val="24"/>
          <w:lang w:val="es-ES_tradnl"/>
        </w:rPr>
        <w:t xml:space="preserve">. </w:t>
      </w:r>
    </w:p>
    <w:p w:rsidR="000D29A5" w:rsidRDefault="000D29A5" w:rsidP="00F63CAB">
      <w:pPr>
        <w:pStyle w:val="Prrafodelista"/>
        <w:ind w:left="1134" w:right="900"/>
        <w:jc w:val="both"/>
        <w:rPr>
          <w:rFonts w:ascii="Palatino Linotype" w:eastAsiaTheme="minorEastAsia" w:hAnsi="Palatino Linotype" w:cs="Arial"/>
          <w:i/>
          <w:szCs w:val="24"/>
          <w:lang w:val="es-ES_tradnl"/>
        </w:rPr>
      </w:pPr>
      <w:proofErr w:type="gramStart"/>
      <w:r>
        <w:rPr>
          <w:rFonts w:ascii="Palatino Linotype" w:eastAsiaTheme="minorEastAsia" w:hAnsi="Palatino Linotype" w:cs="Arial"/>
          <w:i/>
          <w:szCs w:val="24"/>
          <w:lang w:val="es-ES_tradnl"/>
        </w:rPr>
        <w:t>del</w:t>
      </w:r>
      <w:proofErr w:type="gramEnd"/>
      <w:r>
        <w:rPr>
          <w:rFonts w:ascii="Palatino Linotype" w:eastAsiaTheme="minorEastAsia" w:hAnsi="Palatino Linotype" w:cs="Arial"/>
          <w:i/>
          <w:szCs w:val="24"/>
          <w:lang w:val="es-ES_tradnl"/>
        </w:rPr>
        <w:t xml:space="preserve"> mismo oficio se observa que se adjunta captura de pantalla de la remuneración bruta y neta de la Cronista Municipal. </w:t>
      </w:r>
    </w:p>
    <w:p w:rsidR="000D29A5" w:rsidRDefault="00CE315A" w:rsidP="00CE315A">
      <w:pPr>
        <w:ind w:left="1134" w:right="900"/>
        <w:jc w:val="both"/>
        <w:rPr>
          <w:rFonts w:ascii="Palatino Linotype" w:eastAsiaTheme="minorEastAsia" w:hAnsi="Palatino Linotype" w:cs="Arial"/>
          <w:i/>
          <w:lang w:val="es-ES_tradnl"/>
        </w:rPr>
      </w:pPr>
      <w:r w:rsidRPr="00CE315A">
        <w:rPr>
          <w:rFonts w:ascii="Palatino Linotype" w:eastAsiaTheme="minorEastAsia" w:hAnsi="Palatino Linotype" w:cs="Arial"/>
          <w:b/>
          <w:i/>
          <w:lang w:val="es-ES_tradnl"/>
        </w:rPr>
        <w:t xml:space="preserve"> </w:t>
      </w:r>
      <w:hyperlink r:id="rId8" w:tgtFrame="_blank" w:history="1">
        <w:r w:rsidRPr="00CE315A">
          <w:rPr>
            <w:rStyle w:val="Hipervnculo"/>
            <w:rFonts w:ascii="Palatino Linotype" w:eastAsiaTheme="minorEastAsia" w:hAnsi="Palatino Linotype" w:cs="Arial"/>
            <w:b/>
            <w:bCs/>
            <w:i/>
            <w:color w:val="auto"/>
          </w:rPr>
          <w:t>225_SOL_RESP_ADMON_2024.pdf</w:t>
        </w:r>
      </w:hyperlink>
      <w:r>
        <w:rPr>
          <w:rFonts w:ascii="Palatino Linotype" w:eastAsiaTheme="minorEastAsia" w:hAnsi="Palatino Linotype" w:cs="Arial"/>
          <w:b/>
          <w:i/>
          <w:lang w:val="es-ES_tradnl"/>
        </w:rPr>
        <w:t xml:space="preserve">: </w:t>
      </w:r>
      <w:r>
        <w:rPr>
          <w:rFonts w:ascii="Palatino Linotype" w:eastAsiaTheme="minorEastAsia" w:hAnsi="Palatino Linotype" w:cs="Arial"/>
          <w:i/>
          <w:lang w:val="es-ES_tradnl"/>
        </w:rPr>
        <w:t xml:space="preserve">oficio del Jefe de Recursos Humanos, mediante el cual informa que se anexa el nombramiento de la Cronista Municipal, así como también informa no cuenta con la prestación del servicio del ISSEMYM por parte del Ayuntamiento de Atlacomulco. </w:t>
      </w:r>
    </w:p>
    <w:p w:rsidR="00CE315A" w:rsidRDefault="00CE315A" w:rsidP="00CE315A">
      <w:pPr>
        <w:ind w:left="1134" w:right="900"/>
        <w:jc w:val="both"/>
        <w:rPr>
          <w:rFonts w:ascii="Palatino Linotype" w:eastAsiaTheme="minorEastAsia" w:hAnsi="Palatino Linotype" w:cs="Arial"/>
          <w:i/>
          <w:lang w:val="es-ES_tradnl"/>
        </w:rPr>
      </w:pPr>
      <w:r w:rsidRPr="00CE315A">
        <w:rPr>
          <w:rFonts w:ascii="Palatino Linotype" w:eastAsiaTheme="minorEastAsia" w:hAnsi="Palatino Linotype" w:cs="Arial"/>
          <w:b/>
          <w:i/>
          <w:lang w:val="es-ES_tradnl"/>
        </w:rPr>
        <w:t>225_SOL_ANEXO_ADMON_2024.pdf</w:t>
      </w:r>
      <w:r>
        <w:rPr>
          <w:rFonts w:ascii="Palatino Linotype" w:eastAsiaTheme="minorEastAsia" w:hAnsi="Palatino Linotype" w:cs="Arial"/>
          <w:b/>
          <w:i/>
          <w:lang w:val="es-ES_tradnl"/>
        </w:rPr>
        <w:t xml:space="preserve">: </w:t>
      </w:r>
      <w:r>
        <w:rPr>
          <w:rFonts w:ascii="Palatino Linotype" w:eastAsiaTheme="minorEastAsia" w:hAnsi="Palatino Linotype" w:cs="Arial"/>
          <w:i/>
          <w:lang w:val="es-ES_tradnl"/>
        </w:rPr>
        <w:t xml:space="preserve">Nombramiento de la Cronista Municipal de fecha uno de febrero de dos mil veintidós. </w:t>
      </w:r>
    </w:p>
    <w:p w:rsidR="00CE315A" w:rsidRPr="00CE315A" w:rsidRDefault="00CE315A" w:rsidP="00CE315A">
      <w:pPr>
        <w:ind w:left="1134" w:right="900"/>
        <w:jc w:val="both"/>
        <w:rPr>
          <w:rFonts w:ascii="Palatino Linotype" w:eastAsiaTheme="minorEastAsia" w:hAnsi="Palatino Linotype" w:cs="Arial"/>
          <w:i/>
          <w:lang w:val="es-ES_tradnl"/>
        </w:rPr>
      </w:pPr>
      <w:r w:rsidRPr="00CE315A">
        <w:rPr>
          <w:rFonts w:ascii="Palatino Linotype" w:eastAsiaTheme="minorEastAsia" w:hAnsi="Palatino Linotype" w:cs="Arial"/>
          <w:b/>
          <w:i/>
          <w:lang w:val="es-ES_tradnl"/>
        </w:rPr>
        <w:t>225_RES_UT_2024.pdf</w:t>
      </w:r>
      <w:r>
        <w:rPr>
          <w:rFonts w:ascii="Palatino Linotype" w:eastAsiaTheme="minorEastAsia" w:hAnsi="Palatino Linotype" w:cs="Arial"/>
          <w:b/>
          <w:i/>
          <w:lang w:val="es-ES_tradnl"/>
        </w:rPr>
        <w:t xml:space="preserve">: </w:t>
      </w:r>
      <w:r>
        <w:rPr>
          <w:rFonts w:ascii="Palatino Linotype" w:eastAsiaTheme="minorEastAsia" w:hAnsi="Palatino Linotype" w:cs="Arial"/>
          <w:i/>
          <w:lang w:val="es-ES_tradnl"/>
        </w:rPr>
        <w:t xml:space="preserve">oficio de la Titular de la Unidad de Transparencia, mediante el cual informa que anexa el oficio de respuesta del área habilitada. </w:t>
      </w:r>
    </w:p>
    <w:p w:rsidR="00712BB5" w:rsidRPr="00FD6ED9" w:rsidRDefault="00712BB5" w:rsidP="00712BB5">
      <w:pPr>
        <w:pStyle w:val="Prrafodelista"/>
        <w:spacing w:line="360" w:lineRule="auto"/>
        <w:ind w:left="0"/>
        <w:jc w:val="both"/>
        <w:rPr>
          <w:rFonts w:ascii="Palatino Linotype" w:eastAsiaTheme="minorEastAsia" w:hAnsi="Palatino Linotype" w:cs="Arial"/>
          <w:b/>
          <w:sz w:val="24"/>
          <w:szCs w:val="24"/>
          <w:lang w:val="es-ES_tradnl"/>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eastAsia="Calibri" w:hAnsi="Palatino Linotype" w:cs="Arial"/>
          <w:sz w:val="24"/>
          <w:szCs w:val="24"/>
          <w:lang w:val="es-AR"/>
        </w:rPr>
        <w:t xml:space="preserve">El </w:t>
      </w:r>
      <w:r w:rsidR="005D59F6" w:rsidRPr="005D59F6">
        <w:rPr>
          <w:rFonts w:ascii="Palatino Linotype" w:eastAsia="Calibri" w:hAnsi="Palatino Linotype" w:cs="Arial"/>
          <w:b/>
          <w:sz w:val="24"/>
          <w:szCs w:val="24"/>
          <w:lang w:val="es-AR"/>
        </w:rPr>
        <w:t>veintinueve de agosto y cinco de septiembre de dos mil veinticuatro</w:t>
      </w:r>
      <w:r w:rsidRPr="00995B5B">
        <w:rPr>
          <w:rFonts w:ascii="Palatino Linotype" w:hAnsi="Palatino Linotype"/>
          <w:sz w:val="24"/>
          <w:szCs w:val="24"/>
        </w:rPr>
        <w:t xml:space="preserve">, el solicitante interpuso recurso de revisión en las solicitudes de información </w:t>
      </w:r>
      <w:r>
        <w:rPr>
          <w:rFonts w:ascii="Palatino Linotype" w:hAnsi="Palatino Linotype"/>
          <w:b/>
          <w:bCs/>
          <w:sz w:val="24"/>
          <w:szCs w:val="24"/>
          <w:lang w:val="es-MX"/>
        </w:rPr>
        <w:t xml:space="preserve"> 00213/ATLACOM/IP/2024 y 00225/ATLACOM/IP/2024</w:t>
      </w:r>
      <w:r w:rsidRPr="00995B5B">
        <w:rPr>
          <w:rFonts w:ascii="Palatino Linotype" w:hAnsi="Palatino Linotype"/>
          <w:b/>
          <w:bCs/>
          <w:color w:val="000000" w:themeColor="text1"/>
          <w:sz w:val="24"/>
          <w:szCs w:val="24"/>
          <w:lang w:val="es-MX"/>
        </w:rPr>
        <w:t xml:space="preserve">, </w:t>
      </w:r>
      <w:r w:rsidRPr="00995B5B">
        <w:rPr>
          <w:rFonts w:ascii="Palatino Linotype" w:hAnsi="Palatino Linotype"/>
          <w:sz w:val="24"/>
          <w:szCs w:val="24"/>
        </w:rPr>
        <w:t xml:space="preserve">en contra de las respuestas emitidas a por el </w:t>
      </w:r>
      <w:r w:rsidRPr="00995B5B">
        <w:rPr>
          <w:rFonts w:ascii="Palatino Linotype" w:hAnsi="Palatino Linotype"/>
          <w:b/>
          <w:sz w:val="24"/>
          <w:szCs w:val="24"/>
        </w:rPr>
        <w:t>SUJETO OBLIGADO</w:t>
      </w:r>
      <w:r w:rsidRPr="00995B5B">
        <w:rPr>
          <w:rFonts w:ascii="Palatino Linotype" w:hAnsi="Palatino Linotype" w:cs="Arial"/>
          <w:sz w:val="24"/>
          <w:szCs w:val="24"/>
        </w:rPr>
        <w:t>, señalando las siguientes razones o motivos de inconformidad:</w:t>
      </w:r>
    </w:p>
    <w:p w:rsidR="00712BB5" w:rsidRPr="00995B5B" w:rsidRDefault="00712BB5" w:rsidP="00712BB5">
      <w:pPr>
        <w:pStyle w:val="Prrafodelista"/>
        <w:spacing w:line="360" w:lineRule="auto"/>
        <w:ind w:left="0"/>
        <w:jc w:val="both"/>
        <w:rPr>
          <w:rFonts w:ascii="Palatino Linotype" w:hAnsi="Palatino Linotype"/>
          <w:sz w:val="24"/>
          <w:szCs w:val="24"/>
        </w:rPr>
      </w:pPr>
    </w:p>
    <w:p w:rsidR="00712BB5" w:rsidRPr="00995B5B" w:rsidRDefault="00592820" w:rsidP="00712BB5">
      <w:pPr>
        <w:pStyle w:val="Prrafodelista"/>
        <w:spacing w:line="360" w:lineRule="auto"/>
        <w:ind w:left="0"/>
        <w:jc w:val="both"/>
        <w:rPr>
          <w:rFonts w:ascii="Palatino Linotype" w:hAnsi="Palatino Linotype"/>
          <w:bCs/>
          <w:sz w:val="24"/>
          <w:szCs w:val="24"/>
          <w:lang w:val="es-MX"/>
        </w:rPr>
      </w:pPr>
      <w:r>
        <w:rPr>
          <w:rFonts w:ascii="Palatino Linotype" w:hAnsi="Palatino Linotype"/>
          <w:b/>
          <w:sz w:val="24"/>
          <w:szCs w:val="24"/>
        </w:rPr>
        <w:t xml:space="preserve">Recurso de Revisión 05233/INFOEM/IP/RR/2024: </w:t>
      </w:r>
    </w:p>
    <w:p w:rsidR="00712BB5" w:rsidRPr="00995B5B" w:rsidRDefault="00712BB5" w:rsidP="00712BB5">
      <w:pPr>
        <w:pStyle w:val="Prrafodelista"/>
        <w:spacing w:line="360" w:lineRule="auto"/>
        <w:ind w:left="0"/>
        <w:jc w:val="both"/>
        <w:rPr>
          <w:rFonts w:ascii="Palatino Linotype" w:hAnsi="Palatino Linotype"/>
          <w:bCs/>
          <w:sz w:val="24"/>
          <w:szCs w:val="24"/>
          <w:lang w:val="es-MX"/>
        </w:rPr>
      </w:pPr>
    </w:p>
    <w:p w:rsidR="00712BB5" w:rsidRPr="00995B5B" w:rsidRDefault="00712BB5" w:rsidP="00712BB5">
      <w:pPr>
        <w:pStyle w:val="Prrafodelista"/>
        <w:numPr>
          <w:ilvl w:val="0"/>
          <w:numId w:val="4"/>
        </w:numPr>
        <w:spacing w:line="360" w:lineRule="auto"/>
        <w:contextualSpacing/>
        <w:jc w:val="both"/>
        <w:rPr>
          <w:rStyle w:val="Ttulo2Car"/>
          <w:rFonts w:ascii="Palatino Linotype" w:hAnsi="Palatino Linotype"/>
          <w:i/>
          <w:color w:val="000000" w:themeColor="text1"/>
          <w:sz w:val="24"/>
          <w:szCs w:val="24"/>
        </w:rPr>
      </w:pPr>
      <w:bookmarkStart w:id="1" w:name="_Toc466982514"/>
      <w:bookmarkStart w:id="2" w:name="_Toc51854302"/>
      <w:bookmarkStart w:id="3" w:name="_Toc53584976"/>
      <w:bookmarkStart w:id="4" w:name="_Toc60925403"/>
      <w:bookmarkStart w:id="5" w:name="_Toc81364833"/>
      <w:bookmarkStart w:id="6" w:name="_Toc81390610"/>
      <w:bookmarkStart w:id="7" w:name="_Toc82611033"/>
      <w:bookmarkStart w:id="8" w:name="_Toc83128576"/>
      <w:bookmarkStart w:id="9" w:name="_Toc27589208"/>
      <w:bookmarkStart w:id="10" w:name="_Toc29395022"/>
      <w:bookmarkStart w:id="11" w:name="_Toc29481467"/>
      <w:bookmarkStart w:id="12" w:name="_Toc33113911"/>
      <w:bookmarkStart w:id="13" w:name="_Toc33643059"/>
      <w:bookmarkStart w:id="14" w:name="_Toc33724991"/>
      <w:bookmarkStart w:id="15" w:name="_Toc33726434"/>
      <w:bookmarkStart w:id="16" w:name="_Toc34157662"/>
      <w:bookmarkStart w:id="17" w:name="_Toc35003615"/>
      <w:bookmarkStart w:id="18" w:name="_Toc35535691"/>
      <w:bookmarkStart w:id="19" w:name="_Toc51262525"/>
      <w:bookmarkStart w:id="20" w:name="_Toc471908126"/>
      <w:bookmarkStart w:id="21" w:name="_Toc491791300"/>
      <w:bookmarkStart w:id="22" w:name="_Toc496726170"/>
      <w:bookmarkStart w:id="23" w:name="_Toc497242134"/>
      <w:bookmarkStart w:id="24" w:name="_Toc497292517"/>
      <w:bookmarkStart w:id="25" w:name="_Toc498503716"/>
      <w:bookmarkStart w:id="26" w:name="_Toc499568660"/>
      <w:bookmarkStart w:id="27" w:name="_Toc499568693"/>
      <w:bookmarkStart w:id="28" w:name="_Toc499665452"/>
      <w:bookmarkStart w:id="29" w:name="_Toc499729819"/>
      <w:bookmarkStart w:id="30" w:name="_Toc499835024"/>
      <w:bookmarkStart w:id="31" w:name="_Toc499835835"/>
      <w:bookmarkStart w:id="32" w:name="_Toc499835858"/>
      <w:bookmarkStart w:id="33" w:name="_Toc500264537"/>
      <w:bookmarkStart w:id="34" w:name="_Toc503290275"/>
      <w:bookmarkStart w:id="35" w:name="_Toc524009637"/>
      <w:bookmarkStart w:id="36" w:name="_Toc524009672"/>
      <w:bookmarkStart w:id="37" w:name="_Toc524602720"/>
      <w:bookmarkStart w:id="38" w:name="_Toc526365279"/>
      <w:bookmarkStart w:id="39" w:name="_Toc526365337"/>
      <w:bookmarkStart w:id="40" w:name="_Toc530067664"/>
      <w:bookmarkStart w:id="41" w:name="_Toc530067692"/>
      <w:bookmarkStart w:id="42" w:name="_Toc530067939"/>
      <w:bookmarkStart w:id="43" w:name="_Toc530590420"/>
      <w:bookmarkStart w:id="44" w:name="_Toc530593951"/>
      <w:bookmarkStart w:id="45" w:name="_Toc531190248"/>
      <w:bookmarkStart w:id="46" w:name="_Toc531190295"/>
      <w:bookmarkStart w:id="47" w:name="_Toc534908208"/>
      <w:bookmarkStart w:id="48" w:name="_Toc534909344"/>
      <w:bookmarkStart w:id="49" w:name="_Toc535353305"/>
      <w:bookmarkStart w:id="50" w:name="_Toc535353791"/>
      <w:bookmarkStart w:id="51" w:name="_Toc18436351"/>
      <w:bookmarkStart w:id="52" w:name="_Toc18436385"/>
      <w:bookmarkStart w:id="53" w:name="_Toc18513477"/>
      <w:bookmarkStart w:id="54" w:name="_Toc18513503"/>
      <w:bookmarkStart w:id="55" w:name="_Toc18606801"/>
      <w:bookmarkStart w:id="56" w:name="_Toc19723536"/>
      <w:bookmarkStart w:id="57" w:name="_Toc20322795"/>
      <w:bookmarkStart w:id="58" w:name="_Toc20323052"/>
      <w:bookmarkStart w:id="59" w:name="_Toc20323181"/>
      <w:bookmarkStart w:id="60" w:name="_Toc20420591"/>
      <w:bookmarkStart w:id="61" w:name="_Toc20421579"/>
      <w:bookmarkStart w:id="62" w:name="_Toc21027316"/>
      <w:bookmarkStart w:id="63" w:name="_Toc22660652"/>
      <w:bookmarkStart w:id="64" w:name="_Toc22811623"/>
      <w:bookmarkStart w:id="65" w:name="_Toc26436015"/>
      <w:r w:rsidRPr="00995B5B">
        <w:rPr>
          <w:rStyle w:val="Ttulo2Car"/>
          <w:rFonts w:ascii="Palatino Linotype" w:hAnsi="Palatino Linotype"/>
          <w:b/>
          <w:color w:val="auto"/>
          <w:sz w:val="24"/>
          <w:szCs w:val="24"/>
        </w:rPr>
        <w:t>Acto impugnado</w:t>
      </w:r>
      <w:bookmarkEnd w:id="1"/>
      <w:r w:rsidRPr="00995B5B">
        <w:rPr>
          <w:rStyle w:val="Ttulo2Car"/>
          <w:rFonts w:ascii="Palatino Linotype" w:hAnsi="Palatino Linotype"/>
          <w:b/>
          <w:color w:val="000000" w:themeColor="text1"/>
          <w:sz w:val="24"/>
          <w:szCs w:val="24"/>
        </w:rPr>
        <w:t xml:space="preserve">: </w:t>
      </w:r>
      <w:bookmarkEnd w:id="2"/>
      <w:bookmarkEnd w:id="3"/>
      <w:bookmarkEnd w:id="4"/>
      <w:bookmarkEnd w:id="5"/>
      <w:bookmarkEnd w:id="6"/>
      <w:bookmarkEnd w:id="7"/>
      <w:bookmarkEnd w:id="8"/>
      <w:r w:rsidR="00592820" w:rsidRPr="00592820">
        <w:rPr>
          <w:rFonts w:ascii="Palatino Linotype" w:eastAsiaTheme="majorEastAsia" w:hAnsi="Palatino Linotype" w:cstheme="majorBidi"/>
          <w:i/>
          <w:color w:val="000000" w:themeColor="text1"/>
          <w:sz w:val="24"/>
          <w:szCs w:val="24"/>
          <w:lang w:val="es-MX"/>
        </w:rPr>
        <w:t>la respuesta</w:t>
      </w:r>
      <w:r w:rsidRPr="00995B5B">
        <w:rPr>
          <w:rStyle w:val="Ttulo2Car"/>
          <w:rFonts w:ascii="Palatino Linotype" w:hAnsi="Palatino Linotype"/>
          <w:i/>
          <w:color w:val="000000" w:themeColor="text1"/>
          <w:sz w:val="24"/>
          <w:szCs w:val="24"/>
        </w:rPr>
        <w:t>.”</w:t>
      </w:r>
      <w:bookmarkStart w:id="66" w:name="_Toc466982515"/>
      <w:bookmarkStart w:id="67" w:name="_Toc27589209"/>
      <w:bookmarkStart w:id="68" w:name="_Toc29395023"/>
      <w:bookmarkStart w:id="69" w:name="_Toc29481468"/>
      <w:bookmarkStart w:id="70" w:name="_Toc33113912"/>
      <w:bookmarkStart w:id="71" w:name="_Toc33643060"/>
      <w:bookmarkStart w:id="72" w:name="_Toc33724992"/>
      <w:bookmarkStart w:id="73" w:name="_Toc33726435"/>
      <w:bookmarkStart w:id="74" w:name="_Toc34157663"/>
      <w:bookmarkStart w:id="75" w:name="_Toc35003616"/>
      <w:bookmarkStart w:id="76" w:name="_Toc35535692"/>
      <w:bookmarkStart w:id="77" w:name="_Toc51262526"/>
      <w:bookmarkStart w:id="78" w:name="_Toc471908127"/>
      <w:bookmarkStart w:id="79" w:name="_Toc491791301"/>
      <w:bookmarkStart w:id="80" w:name="_Toc496726171"/>
      <w:bookmarkStart w:id="81" w:name="_Toc497242135"/>
      <w:bookmarkStart w:id="82" w:name="_Toc497292518"/>
      <w:bookmarkStart w:id="83" w:name="_Toc498503717"/>
      <w:bookmarkStart w:id="84" w:name="_Toc499568661"/>
      <w:bookmarkStart w:id="85" w:name="_Toc499568694"/>
      <w:bookmarkStart w:id="86" w:name="_Toc499665453"/>
      <w:bookmarkStart w:id="87" w:name="_Toc499729820"/>
      <w:bookmarkStart w:id="88" w:name="_Toc499835025"/>
      <w:bookmarkStart w:id="89" w:name="_Toc499835836"/>
      <w:bookmarkStart w:id="90" w:name="_Toc499835859"/>
      <w:bookmarkStart w:id="91" w:name="_Toc500264538"/>
      <w:bookmarkStart w:id="92" w:name="_Toc503290276"/>
      <w:bookmarkStart w:id="93" w:name="_Toc524009638"/>
      <w:bookmarkStart w:id="94" w:name="_Toc524009673"/>
      <w:bookmarkStart w:id="95" w:name="_Toc524602721"/>
      <w:bookmarkStart w:id="96" w:name="_Toc526365280"/>
      <w:bookmarkStart w:id="97" w:name="_Toc526365338"/>
      <w:bookmarkStart w:id="98" w:name="_Toc530067665"/>
      <w:bookmarkStart w:id="99" w:name="_Toc530067693"/>
      <w:bookmarkStart w:id="100" w:name="_Toc530067940"/>
      <w:bookmarkStart w:id="101" w:name="_Toc530590421"/>
      <w:bookmarkStart w:id="102" w:name="_Toc530593952"/>
      <w:bookmarkStart w:id="103" w:name="_Toc531190249"/>
      <w:bookmarkStart w:id="104" w:name="_Toc531190296"/>
      <w:bookmarkStart w:id="105" w:name="_Toc534908209"/>
      <w:bookmarkStart w:id="106" w:name="_Toc534909345"/>
      <w:bookmarkStart w:id="107" w:name="_Toc535353306"/>
      <w:bookmarkStart w:id="108" w:name="_Toc535353792"/>
      <w:bookmarkStart w:id="109" w:name="_Toc18436352"/>
      <w:bookmarkStart w:id="110" w:name="_Toc18436386"/>
      <w:bookmarkStart w:id="111" w:name="_Toc18513478"/>
      <w:bookmarkStart w:id="112" w:name="_Toc18513504"/>
      <w:bookmarkStart w:id="113" w:name="_Toc18606802"/>
      <w:bookmarkStart w:id="114" w:name="_Toc19723537"/>
      <w:bookmarkStart w:id="115" w:name="_Toc20322796"/>
      <w:bookmarkStart w:id="116" w:name="_Toc20323053"/>
      <w:bookmarkStart w:id="117" w:name="_Toc20323182"/>
      <w:bookmarkStart w:id="118" w:name="_Toc20420592"/>
      <w:bookmarkStart w:id="119" w:name="_Toc20421580"/>
      <w:bookmarkStart w:id="120" w:name="_Toc21027317"/>
      <w:bookmarkStart w:id="121" w:name="_Toc22660653"/>
      <w:bookmarkStart w:id="122" w:name="_Toc22811624"/>
      <w:bookmarkStart w:id="123" w:name="_Toc26436016"/>
      <w:bookmarkStart w:id="124" w:name="_Toc5185430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712BB5" w:rsidRPr="00995B5B" w:rsidRDefault="00712BB5" w:rsidP="00712BB5">
      <w:pPr>
        <w:pStyle w:val="Prrafodelista"/>
        <w:numPr>
          <w:ilvl w:val="0"/>
          <w:numId w:val="4"/>
        </w:numPr>
        <w:spacing w:line="360" w:lineRule="auto"/>
        <w:contextualSpacing/>
        <w:jc w:val="both"/>
        <w:rPr>
          <w:rFonts w:ascii="Palatino Linotype" w:hAnsi="Palatino Linotype"/>
          <w:i/>
          <w:color w:val="000000" w:themeColor="text1"/>
          <w:sz w:val="24"/>
          <w:szCs w:val="24"/>
        </w:rPr>
      </w:pPr>
      <w:bookmarkStart w:id="125" w:name="_Toc53584977"/>
      <w:bookmarkStart w:id="126" w:name="_Toc60925404"/>
      <w:bookmarkStart w:id="127" w:name="_Toc81364834"/>
      <w:bookmarkStart w:id="128" w:name="_Toc81390611"/>
      <w:bookmarkStart w:id="129" w:name="_Toc82611034"/>
      <w:bookmarkStart w:id="130" w:name="_Toc83128577"/>
      <w:r w:rsidRPr="00995B5B">
        <w:rPr>
          <w:rStyle w:val="Ttulo2Car"/>
          <w:rFonts w:ascii="Palatino Linotype" w:hAnsi="Palatino Linotype"/>
          <w:b/>
          <w:color w:val="000000" w:themeColor="text1"/>
          <w:sz w:val="24"/>
          <w:szCs w:val="24"/>
        </w:rPr>
        <w:t>Razones o Motivos de inconformidad:</w:t>
      </w:r>
      <w:bookmarkEnd w:id="66"/>
      <w:bookmarkEnd w:id="125"/>
      <w:bookmarkEnd w:id="126"/>
      <w:bookmarkEnd w:id="127"/>
      <w:bookmarkEnd w:id="128"/>
      <w:bookmarkEnd w:id="129"/>
      <w:bookmarkEnd w:id="130"/>
      <w:r w:rsidRPr="00995B5B">
        <w:rPr>
          <w:rFonts w:ascii="Palatino Linotype" w:hAnsi="Palatino Linotype"/>
          <w:b/>
          <w:color w:val="000000" w:themeColor="text1"/>
          <w:sz w:val="24"/>
          <w:szCs w:val="24"/>
        </w:rPr>
        <w:t xml:space="preserve"> </w:t>
      </w:r>
      <w:r w:rsidRPr="00995B5B">
        <w:rPr>
          <w:rFonts w:ascii="Palatino Linotype" w:hAnsi="Palatino Linotype"/>
          <w:i/>
          <w:color w:val="000000" w:themeColor="text1"/>
          <w:sz w:val="24"/>
          <w:szCs w:val="24"/>
        </w:rPr>
        <w:t>“</w:t>
      </w:r>
      <w:r w:rsidR="00592820" w:rsidRPr="00592820">
        <w:rPr>
          <w:rFonts w:ascii="Palatino Linotype" w:hAnsi="Palatino Linotype"/>
          <w:i/>
          <w:color w:val="000000" w:themeColor="text1"/>
          <w:sz w:val="24"/>
          <w:szCs w:val="24"/>
          <w:lang w:val="es-MX"/>
        </w:rPr>
        <w:t>respuesta del sujeto obligado</w:t>
      </w:r>
      <w:r w:rsidRPr="00995B5B">
        <w:rPr>
          <w:rFonts w:ascii="Palatino Linotype" w:hAnsi="Palatino Linotype"/>
          <w:i/>
          <w:color w:val="000000" w:themeColor="text1"/>
          <w:sz w:val="24"/>
          <w:szCs w:val="24"/>
          <w:lang w:val="es-MX"/>
        </w:rPr>
        <w: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712BB5" w:rsidRPr="00995B5B" w:rsidRDefault="00712BB5" w:rsidP="00712BB5">
      <w:pPr>
        <w:pStyle w:val="Prrafodelista"/>
        <w:spacing w:line="360" w:lineRule="auto"/>
        <w:ind w:left="0"/>
        <w:jc w:val="both"/>
        <w:rPr>
          <w:rFonts w:ascii="Palatino Linotype" w:hAnsi="Palatino Linotype"/>
          <w:bCs/>
          <w:sz w:val="24"/>
          <w:szCs w:val="24"/>
          <w:lang w:val="es-MX"/>
        </w:rPr>
      </w:pPr>
    </w:p>
    <w:p w:rsidR="00712BB5" w:rsidRPr="00995B5B" w:rsidRDefault="00592820" w:rsidP="00712BB5">
      <w:pPr>
        <w:pStyle w:val="Prrafodelista"/>
        <w:spacing w:line="360" w:lineRule="auto"/>
        <w:ind w:left="0"/>
        <w:jc w:val="both"/>
        <w:rPr>
          <w:rFonts w:ascii="Palatino Linotype" w:hAnsi="Palatino Linotype"/>
          <w:bCs/>
          <w:sz w:val="24"/>
          <w:szCs w:val="24"/>
          <w:lang w:val="es-MX"/>
        </w:rPr>
      </w:pPr>
      <w:r>
        <w:rPr>
          <w:rFonts w:ascii="Palatino Linotype" w:hAnsi="Palatino Linotype"/>
          <w:b/>
          <w:sz w:val="24"/>
          <w:szCs w:val="24"/>
        </w:rPr>
        <w:t xml:space="preserve">Recurso de Revisión 05504/INFOEM/IP/RR/2024: </w:t>
      </w:r>
    </w:p>
    <w:p w:rsidR="00712BB5" w:rsidRPr="00995B5B" w:rsidRDefault="00712BB5" w:rsidP="00592820">
      <w:pPr>
        <w:pStyle w:val="Prrafodelista"/>
        <w:numPr>
          <w:ilvl w:val="0"/>
          <w:numId w:val="9"/>
        </w:numPr>
        <w:spacing w:line="360" w:lineRule="auto"/>
        <w:jc w:val="both"/>
        <w:rPr>
          <w:rFonts w:ascii="Palatino Linotype" w:hAnsi="Palatino Linotype"/>
          <w:b/>
          <w:i/>
          <w:color w:val="000000" w:themeColor="text1"/>
          <w:sz w:val="24"/>
          <w:szCs w:val="24"/>
          <w:lang w:val="es-MX"/>
        </w:rPr>
      </w:pPr>
      <w:r w:rsidRPr="00995B5B">
        <w:rPr>
          <w:rStyle w:val="Ttulo2Car"/>
          <w:rFonts w:ascii="Palatino Linotype" w:hAnsi="Palatino Linotype"/>
          <w:b/>
          <w:color w:val="auto"/>
          <w:sz w:val="24"/>
          <w:szCs w:val="24"/>
        </w:rPr>
        <w:t>Acto impugnado</w:t>
      </w:r>
      <w:r w:rsidRPr="00995B5B">
        <w:rPr>
          <w:rStyle w:val="Ttulo2Car"/>
          <w:rFonts w:ascii="Palatino Linotype" w:hAnsi="Palatino Linotype"/>
          <w:b/>
          <w:color w:val="000000" w:themeColor="text1"/>
          <w:sz w:val="24"/>
          <w:szCs w:val="24"/>
        </w:rPr>
        <w:t>:</w:t>
      </w:r>
      <w:r w:rsidRPr="00995B5B">
        <w:rPr>
          <w:rFonts w:ascii="Palatino Linotype" w:hAnsi="Palatino Linotype"/>
          <w:i/>
          <w:color w:val="000000" w:themeColor="text1"/>
          <w:sz w:val="24"/>
          <w:szCs w:val="24"/>
          <w:lang w:val="es-MX"/>
        </w:rPr>
        <w:t xml:space="preserve"> “</w:t>
      </w:r>
      <w:r w:rsidR="00592820" w:rsidRPr="00592820">
        <w:rPr>
          <w:rFonts w:ascii="Palatino Linotype" w:hAnsi="Palatino Linotype"/>
          <w:i/>
          <w:color w:val="000000" w:themeColor="text1"/>
          <w:sz w:val="24"/>
          <w:szCs w:val="24"/>
          <w:lang w:val="es-MX"/>
        </w:rPr>
        <w:t>la respuesta de la tesorera</w:t>
      </w:r>
      <w:r w:rsidRPr="00995B5B">
        <w:rPr>
          <w:rFonts w:ascii="Palatino Linotype" w:hAnsi="Palatino Linotype"/>
          <w:i/>
          <w:color w:val="000000" w:themeColor="text1"/>
          <w:sz w:val="24"/>
          <w:szCs w:val="24"/>
          <w:lang w:val="es-MX"/>
        </w:rPr>
        <w:t>”</w:t>
      </w:r>
      <w:r w:rsidRPr="00995B5B">
        <w:rPr>
          <w:rFonts w:ascii="Palatino Linotype" w:hAnsi="Palatino Linotype"/>
          <w:b/>
          <w:i/>
          <w:color w:val="000000" w:themeColor="text1"/>
          <w:sz w:val="24"/>
          <w:szCs w:val="24"/>
          <w:lang w:val="es-MX"/>
        </w:rPr>
        <w:t xml:space="preserve"> </w:t>
      </w:r>
    </w:p>
    <w:p w:rsidR="00712BB5" w:rsidRPr="00995B5B" w:rsidRDefault="00712BB5" w:rsidP="00592820">
      <w:pPr>
        <w:pStyle w:val="Prrafodelista"/>
        <w:numPr>
          <w:ilvl w:val="0"/>
          <w:numId w:val="9"/>
        </w:numPr>
        <w:spacing w:line="360" w:lineRule="auto"/>
        <w:jc w:val="both"/>
        <w:rPr>
          <w:rFonts w:ascii="Palatino Linotype" w:hAnsi="Palatino Linotype"/>
          <w:b/>
          <w:i/>
          <w:color w:val="000000" w:themeColor="text1"/>
          <w:sz w:val="24"/>
          <w:szCs w:val="24"/>
          <w:lang w:val="es-MX"/>
        </w:rPr>
      </w:pPr>
      <w:r w:rsidRPr="00995B5B">
        <w:rPr>
          <w:rStyle w:val="Ttulo2Car"/>
          <w:rFonts w:ascii="Palatino Linotype" w:hAnsi="Palatino Linotype"/>
          <w:b/>
          <w:color w:val="000000" w:themeColor="text1"/>
          <w:sz w:val="24"/>
          <w:szCs w:val="24"/>
        </w:rPr>
        <w:t>Razones o Motivos de inconformidad:</w:t>
      </w:r>
      <w:r w:rsidRPr="00995B5B">
        <w:rPr>
          <w:rFonts w:ascii="Palatino Linotype" w:hAnsi="Palatino Linotype"/>
          <w:i/>
          <w:color w:val="000000" w:themeColor="text1"/>
          <w:sz w:val="24"/>
          <w:szCs w:val="24"/>
          <w:lang w:val="es-MX"/>
        </w:rPr>
        <w:t xml:space="preserve"> “</w:t>
      </w:r>
      <w:r w:rsidR="00592820" w:rsidRPr="00592820">
        <w:rPr>
          <w:rFonts w:ascii="Palatino Linotype" w:hAnsi="Palatino Linotype"/>
          <w:i/>
          <w:color w:val="000000" w:themeColor="text1"/>
          <w:sz w:val="24"/>
          <w:szCs w:val="24"/>
          <w:lang w:val="es-MX"/>
        </w:rPr>
        <w:t>la respuesta de la tesorera y recursos humanos</w:t>
      </w:r>
      <w:r w:rsidRPr="00995B5B">
        <w:rPr>
          <w:rFonts w:ascii="Palatino Linotype" w:hAnsi="Palatino Linotype"/>
          <w:b/>
          <w:i/>
          <w:color w:val="000000" w:themeColor="text1"/>
          <w:sz w:val="24"/>
          <w:szCs w:val="24"/>
          <w:lang w:val="es-MX"/>
        </w:rPr>
        <w:t>”</w:t>
      </w:r>
    </w:p>
    <w:p w:rsidR="00712BB5" w:rsidRPr="00995B5B" w:rsidRDefault="00712BB5" w:rsidP="00712BB5">
      <w:pPr>
        <w:pStyle w:val="Prrafodelista"/>
        <w:spacing w:line="360" w:lineRule="auto"/>
        <w:ind w:left="0"/>
        <w:jc w:val="both"/>
        <w:rPr>
          <w:rFonts w:ascii="Palatino Linotype" w:hAnsi="Palatino Linotype"/>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Consecutivamente</w:t>
      </w:r>
      <w:r w:rsidRPr="00995B5B">
        <w:rPr>
          <w:rFonts w:ascii="Palatino Linotype" w:hAnsi="Palatino Linotype"/>
          <w:i/>
          <w:sz w:val="24"/>
          <w:szCs w:val="24"/>
        </w:rPr>
        <w:t xml:space="preserve">, </w:t>
      </w:r>
      <w:r w:rsidRPr="00995B5B">
        <w:rPr>
          <w:rFonts w:ascii="Palatino Linotype" w:hAnsi="Palatino Linotype"/>
          <w:sz w:val="24"/>
          <w:szCs w:val="24"/>
        </w:rPr>
        <w:t xml:space="preserve">con fundamento en lo dispuesto por el artículo 185 </w:t>
      </w:r>
      <w:proofErr w:type="gramStart"/>
      <w:r w:rsidRPr="00995B5B">
        <w:rPr>
          <w:rFonts w:ascii="Palatino Linotype" w:hAnsi="Palatino Linotype"/>
          <w:sz w:val="24"/>
          <w:szCs w:val="24"/>
        </w:rPr>
        <w:t>fracción</w:t>
      </w:r>
      <w:proofErr w:type="gramEnd"/>
      <w:r w:rsidRPr="00995B5B">
        <w:rPr>
          <w:rFonts w:ascii="Palatino Linotype" w:hAnsi="Palatino Linotype"/>
          <w:sz w:val="24"/>
          <w:szCs w:val="24"/>
        </w:rPr>
        <w:t xml:space="preserve"> I de la Ley de Transparencia y Acceso a la Información Pública del Estado de </w:t>
      </w:r>
      <w:r w:rsidRPr="00995B5B">
        <w:rPr>
          <w:rFonts w:ascii="Palatino Linotype" w:hAnsi="Palatino Linotype"/>
          <w:color w:val="000000"/>
          <w:sz w:val="24"/>
          <w:szCs w:val="24"/>
        </w:rPr>
        <w:t>México</w:t>
      </w:r>
      <w:r w:rsidRPr="00995B5B">
        <w:rPr>
          <w:rFonts w:ascii="Palatino Linotype" w:hAnsi="Palatino Linotype"/>
          <w:sz w:val="24"/>
          <w:szCs w:val="24"/>
        </w:rPr>
        <w:t xml:space="preserve"> y Municipios, los recursos de referencia, fueron turnados</w:t>
      </w:r>
      <w:r w:rsidRPr="00995B5B">
        <w:rPr>
          <w:rFonts w:ascii="Palatino Linotype" w:hAnsi="Palatino Linotype"/>
          <w:b/>
          <w:sz w:val="24"/>
          <w:szCs w:val="24"/>
        </w:rPr>
        <w:t xml:space="preserve"> </w:t>
      </w:r>
      <w:r w:rsidRPr="00995B5B">
        <w:rPr>
          <w:rFonts w:ascii="Palatino Linotype" w:hAnsi="Palatino Linotype"/>
          <w:sz w:val="24"/>
          <w:szCs w:val="24"/>
        </w:rPr>
        <w:t>a las Comisionadas</w:t>
      </w:r>
      <w:r w:rsidR="0085290E">
        <w:rPr>
          <w:rFonts w:ascii="Palatino Linotype" w:hAnsi="Palatino Linotype"/>
          <w:b/>
          <w:sz w:val="24"/>
          <w:szCs w:val="24"/>
        </w:rPr>
        <w:t xml:space="preserve"> María del Rosario Mejía Ayala y Guadalupe Ramírez Peña</w:t>
      </w:r>
      <w:r w:rsidRPr="00995B5B">
        <w:rPr>
          <w:rFonts w:ascii="Palatino Linotype" w:hAnsi="Palatino Linotype"/>
          <w:sz w:val="24"/>
          <w:szCs w:val="24"/>
        </w:rPr>
        <w:t xml:space="preserve"> respectivamente,</w:t>
      </w:r>
      <w:r w:rsidRPr="00995B5B">
        <w:rPr>
          <w:rFonts w:ascii="Palatino Linotype" w:hAnsi="Palatino Linotype"/>
          <w:b/>
          <w:sz w:val="24"/>
          <w:szCs w:val="24"/>
        </w:rPr>
        <w:t xml:space="preserve"> </w:t>
      </w:r>
      <w:r w:rsidRPr="00995B5B">
        <w:rPr>
          <w:rFonts w:ascii="Palatino Linotype" w:hAnsi="Palatino Linotype"/>
          <w:sz w:val="24"/>
          <w:szCs w:val="24"/>
        </w:rPr>
        <w:t>con el objeto de su análisis.</w:t>
      </w:r>
    </w:p>
    <w:p w:rsidR="00712BB5" w:rsidRPr="00995B5B" w:rsidRDefault="00712BB5" w:rsidP="00712BB5">
      <w:pPr>
        <w:pStyle w:val="Prrafodelista"/>
        <w:spacing w:line="360" w:lineRule="auto"/>
        <w:ind w:left="0"/>
        <w:jc w:val="both"/>
        <w:rPr>
          <w:rFonts w:ascii="Palatino Linotype" w:hAnsi="Palatino Linotype"/>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color w:val="000000"/>
          <w:sz w:val="24"/>
          <w:szCs w:val="24"/>
        </w:rPr>
      </w:pPr>
      <w:r w:rsidRPr="00995B5B">
        <w:rPr>
          <w:rFonts w:ascii="Palatino Linotype" w:hAnsi="Palatino Linotype"/>
          <w:color w:val="000000"/>
          <w:sz w:val="24"/>
          <w:szCs w:val="24"/>
        </w:rPr>
        <w:t xml:space="preserve">Los Comisionados Ponentes de origen con fundamento en lo dispuesto por el artículo 185 </w:t>
      </w:r>
      <w:r w:rsidRPr="00995B5B">
        <w:rPr>
          <w:rFonts w:ascii="Palatino Linotype" w:eastAsia="Calibri" w:hAnsi="Palatino Linotype" w:cs="Arial"/>
          <w:sz w:val="24"/>
          <w:szCs w:val="24"/>
        </w:rPr>
        <w:t>fracción</w:t>
      </w:r>
      <w:r w:rsidRPr="00995B5B">
        <w:rPr>
          <w:rFonts w:ascii="Palatino Linotype" w:hAnsi="Palatino Linotype"/>
          <w:color w:val="000000"/>
          <w:sz w:val="24"/>
          <w:szCs w:val="24"/>
        </w:rPr>
        <w:t xml:space="preserve"> II de la ley de la materia, a través de los </w:t>
      </w:r>
      <w:r w:rsidRPr="00995B5B">
        <w:rPr>
          <w:rFonts w:ascii="Palatino Linotype" w:hAnsi="Palatino Linotype"/>
          <w:b/>
          <w:color w:val="000000"/>
          <w:sz w:val="24"/>
          <w:szCs w:val="24"/>
        </w:rPr>
        <w:t xml:space="preserve">acuerdos de admisión </w:t>
      </w:r>
      <w:r w:rsidRPr="00995B5B">
        <w:rPr>
          <w:rFonts w:ascii="Palatino Linotype" w:hAnsi="Palatino Linotype"/>
          <w:color w:val="000000"/>
          <w:sz w:val="24"/>
          <w:szCs w:val="24"/>
        </w:rPr>
        <w:t xml:space="preserve">de fechas </w:t>
      </w:r>
      <w:r w:rsidR="0085290E">
        <w:rPr>
          <w:rFonts w:ascii="Palatino Linotype" w:hAnsi="Palatino Linotype"/>
          <w:b/>
          <w:color w:val="000000"/>
          <w:sz w:val="24"/>
          <w:szCs w:val="24"/>
        </w:rPr>
        <w:t>dos de septiembre y diez de septiembre de dos mil veinticuatro</w:t>
      </w:r>
      <w:r w:rsidRPr="00995B5B">
        <w:rPr>
          <w:rFonts w:ascii="Palatino Linotype" w:hAnsi="Palatino Linotype"/>
          <w:color w:val="000000"/>
          <w:sz w:val="24"/>
          <w:szCs w:val="24"/>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Pr="00995B5B">
        <w:rPr>
          <w:rFonts w:ascii="Palatino Linotype" w:hAnsi="Palatino Linotype"/>
          <w:b/>
          <w:color w:val="000000"/>
          <w:sz w:val="24"/>
          <w:szCs w:val="24"/>
        </w:rPr>
        <w:t xml:space="preserve">SUJETO OBLIGADO </w:t>
      </w:r>
      <w:r w:rsidRPr="00995B5B">
        <w:rPr>
          <w:rFonts w:ascii="Palatino Linotype" w:hAnsi="Palatino Linotype"/>
          <w:color w:val="000000"/>
          <w:sz w:val="24"/>
          <w:szCs w:val="24"/>
        </w:rPr>
        <w:t>presentara el Informe Justificado procedente.</w:t>
      </w:r>
    </w:p>
    <w:p w:rsidR="00712BB5" w:rsidRPr="00995B5B" w:rsidRDefault="00712BB5" w:rsidP="00712BB5">
      <w:pPr>
        <w:pStyle w:val="Prrafodelista"/>
        <w:spacing w:line="360" w:lineRule="auto"/>
        <w:ind w:left="0"/>
        <w:jc w:val="both"/>
        <w:rPr>
          <w:rFonts w:ascii="Palatino Linotype" w:hAnsi="Palatino Linotype"/>
          <w:color w:val="000000"/>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Posteriormente el Pleno de este Órgano Autónomo, en la</w:t>
      </w:r>
      <w:r w:rsidRPr="00995B5B">
        <w:rPr>
          <w:rFonts w:ascii="Palatino Linotype" w:hAnsi="Palatino Linotype"/>
          <w:b/>
          <w:sz w:val="24"/>
          <w:szCs w:val="24"/>
        </w:rPr>
        <w:t xml:space="preserve"> Trigésima Quinta Sesión </w:t>
      </w:r>
      <w:r w:rsidRPr="00995B5B">
        <w:rPr>
          <w:rFonts w:ascii="Palatino Linotype" w:hAnsi="Palatino Linotype"/>
          <w:b/>
          <w:color w:val="000000"/>
          <w:sz w:val="24"/>
          <w:szCs w:val="24"/>
        </w:rPr>
        <w:t>Ordinaria</w:t>
      </w:r>
      <w:r w:rsidRPr="00995B5B">
        <w:rPr>
          <w:rFonts w:ascii="Palatino Linotype" w:hAnsi="Palatino Linotype"/>
          <w:b/>
          <w:sz w:val="24"/>
          <w:szCs w:val="24"/>
        </w:rPr>
        <w:t xml:space="preserve"> </w:t>
      </w:r>
      <w:r w:rsidRPr="00995B5B">
        <w:rPr>
          <w:rFonts w:ascii="Palatino Linotype" w:hAnsi="Palatino Linotype"/>
          <w:sz w:val="24"/>
          <w:szCs w:val="24"/>
        </w:rPr>
        <w:t>de fecha</w:t>
      </w:r>
      <w:r w:rsidRPr="00995B5B">
        <w:rPr>
          <w:rFonts w:ascii="Palatino Linotype" w:hAnsi="Palatino Linotype"/>
          <w:b/>
          <w:sz w:val="24"/>
          <w:szCs w:val="24"/>
        </w:rPr>
        <w:t xml:space="preserve"> </w:t>
      </w:r>
      <w:r w:rsidR="0085290E">
        <w:rPr>
          <w:rFonts w:ascii="Palatino Linotype" w:hAnsi="Palatino Linotype"/>
          <w:b/>
          <w:sz w:val="24"/>
          <w:szCs w:val="24"/>
        </w:rPr>
        <w:t>tres de octubre de dos mil veinticuatro</w:t>
      </w:r>
      <w:r w:rsidRPr="00995B5B">
        <w:rPr>
          <w:rFonts w:ascii="Palatino Linotype" w:hAnsi="Palatino Linotype"/>
          <w:sz w:val="24"/>
          <w:szCs w:val="24"/>
        </w:rPr>
        <w:t xml:space="preserve">; ordenó la acumulación de los recursos de revisión de mérito, a efecto de que la Ponencia de la </w:t>
      </w:r>
      <w:r w:rsidRPr="00995B5B">
        <w:rPr>
          <w:rFonts w:ascii="Palatino Linotype" w:hAnsi="Palatino Linotype"/>
          <w:b/>
          <w:sz w:val="24"/>
          <w:szCs w:val="24"/>
        </w:rPr>
        <w:lastRenderedPageBreak/>
        <w:t xml:space="preserve">Comisionada María del Rosario Mejía Ayala </w:t>
      </w:r>
      <w:r w:rsidRPr="00995B5B">
        <w:rPr>
          <w:rFonts w:ascii="Palatino Linotype" w:hAnsi="Palatino Linotype"/>
          <w:sz w:val="24"/>
          <w:szCs w:val="24"/>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995B5B">
        <w:rPr>
          <w:rFonts w:ascii="Palatino Linotype" w:hAnsi="Palatino Linotype"/>
          <w:i/>
          <w:sz w:val="24"/>
          <w:szCs w:val="24"/>
          <w:vertAlign w:val="superscript"/>
        </w:rPr>
        <w:footnoteReference w:id="1"/>
      </w:r>
      <w:r w:rsidRPr="00995B5B">
        <w:rPr>
          <w:rFonts w:ascii="Palatino Linotype" w:hAnsi="Palatino Linotype"/>
          <w:sz w:val="24"/>
          <w:szCs w:val="24"/>
        </w:rPr>
        <w:t>, que señala:</w:t>
      </w:r>
    </w:p>
    <w:p w:rsidR="00712BB5" w:rsidRPr="00995B5B" w:rsidRDefault="00712BB5" w:rsidP="00712BB5">
      <w:pPr>
        <w:pStyle w:val="Prrafodelista"/>
        <w:tabs>
          <w:tab w:val="left" w:pos="0"/>
        </w:tabs>
        <w:spacing w:line="360" w:lineRule="auto"/>
        <w:ind w:left="0" w:right="49"/>
        <w:jc w:val="both"/>
        <w:rPr>
          <w:rFonts w:ascii="Palatino Linotype" w:hAnsi="Palatino Linotype"/>
          <w:sz w:val="24"/>
          <w:szCs w:val="24"/>
        </w:rPr>
      </w:pPr>
    </w:p>
    <w:p w:rsidR="00712BB5" w:rsidRPr="00995B5B" w:rsidRDefault="00712BB5" w:rsidP="00712BB5">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b/>
          <w:i/>
          <w:sz w:val="24"/>
          <w:szCs w:val="24"/>
        </w:rPr>
        <w:t>“ONCE.</w:t>
      </w:r>
      <w:r w:rsidRPr="00995B5B">
        <w:rPr>
          <w:rFonts w:ascii="Palatino Linotype" w:hAnsi="Palatino Linotype"/>
          <w:i/>
          <w:sz w:val="24"/>
          <w:szCs w:val="24"/>
        </w:rPr>
        <w:t xml:space="preserve"> El Instituto, para mejor resolver y evitar la emisión de resoluciones contradictorias, podrá acordar la acumulación de los expedientes de recursos de revisión, de oficio o a petición de parte cuando:</w:t>
      </w:r>
    </w:p>
    <w:p w:rsidR="00712BB5" w:rsidRPr="00995B5B" w:rsidRDefault="00712BB5" w:rsidP="00712BB5">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w:t>
      </w:r>
      <w:r w:rsidRPr="00995B5B">
        <w:rPr>
          <w:rFonts w:ascii="Palatino Linotype" w:hAnsi="Palatino Linotype"/>
          <w:i/>
          <w:sz w:val="24"/>
          <w:szCs w:val="24"/>
        </w:rPr>
        <w:tab/>
      </w:r>
    </w:p>
    <w:p w:rsidR="00712BB5" w:rsidRPr="00995B5B" w:rsidRDefault="00712BB5" w:rsidP="00712BB5">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b) Las partes o los actos impugnados sean iguales</w:t>
      </w:r>
    </w:p>
    <w:p w:rsidR="00712BB5" w:rsidRPr="00995B5B" w:rsidRDefault="00712BB5" w:rsidP="00712BB5">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c) Cuando se trate del mismo solicitante, el mismo SUJETO OBLIGADO, aunque se trate de solicitudes diversas;</w:t>
      </w:r>
    </w:p>
    <w:p w:rsidR="00712BB5" w:rsidRPr="00995B5B" w:rsidRDefault="00712BB5" w:rsidP="00712BB5">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w:t>
      </w:r>
    </w:p>
    <w:p w:rsidR="00712BB5" w:rsidRPr="00995B5B" w:rsidRDefault="00712BB5" w:rsidP="00712BB5">
      <w:pPr>
        <w:pStyle w:val="Prrafodelista"/>
        <w:tabs>
          <w:tab w:val="left" w:pos="1134"/>
        </w:tabs>
        <w:ind w:left="1134" w:right="900"/>
        <w:jc w:val="both"/>
        <w:rPr>
          <w:rFonts w:ascii="Palatino Linotype" w:hAnsi="Palatino Linotype"/>
          <w:sz w:val="24"/>
          <w:szCs w:val="24"/>
        </w:rPr>
      </w:pPr>
      <w:r w:rsidRPr="00995B5B">
        <w:rPr>
          <w:rFonts w:ascii="Palatino Linotype" w:hAnsi="Palatino Linotype"/>
          <w:sz w:val="24"/>
          <w:szCs w:val="24"/>
        </w:rPr>
        <w:t>(Énfasis añadido)</w:t>
      </w:r>
    </w:p>
    <w:p w:rsidR="00712BB5" w:rsidRPr="00995B5B" w:rsidRDefault="00712BB5" w:rsidP="00712BB5">
      <w:pPr>
        <w:pStyle w:val="Prrafodelista"/>
        <w:tabs>
          <w:tab w:val="left" w:pos="1134"/>
        </w:tabs>
        <w:ind w:left="1134" w:right="900"/>
        <w:jc w:val="both"/>
        <w:rPr>
          <w:rFonts w:ascii="Palatino Linotype" w:hAnsi="Palatino Linotype"/>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Es así que,</w:t>
      </w:r>
      <w:r w:rsidRPr="00995B5B">
        <w:rPr>
          <w:rFonts w:ascii="Palatino Linotype" w:hAnsi="Palatino Linotype"/>
          <w:i/>
          <w:sz w:val="24"/>
          <w:szCs w:val="24"/>
        </w:rPr>
        <w:t xml:space="preserve"> </w:t>
      </w:r>
      <w:r w:rsidRPr="00995B5B">
        <w:rPr>
          <w:rFonts w:ascii="Palatino Linotype" w:hAnsi="Palatino Linotype"/>
          <w:sz w:val="24"/>
          <w:szCs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712BB5" w:rsidRPr="00995B5B" w:rsidRDefault="00712BB5" w:rsidP="00712BB5">
      <w:pPr>
        <w:pStyle w:val="Prrafodelista"/>
        <w:spacing w:line="360" w:lineRule="auto"/>
        <w:ind w:left="0"/>
        <w:jc w:val="both"/>
        <w:rPr>
          <w:rFonts w:ascii="Palatino Linotype" w:hAnsi="Palatino Linotype"/>
          <w:i/>
          <w:sz w:val="24"/>
          <w:szCs w:val="24"/>
        </w:rPr>
      </w:pPr>
    </w:p>
    <w:p w:rsidR="00712BB5" w:rsidRPr="00995B5B" w:rsidRDefault="00712BB5" w:rsidP="00712BB5">
      <w:pPr>
        <w:pStyle w:val="Textoindependienteprimerasangra2"/>
        <w:ind w:left="1134" w:right="900" w:firstLine="0"/>
        <w:jc w:val="both"/>
        <w:rPr>
          <w:rFonts w:ascii="Palatino Linotype" w:hAnsi="Palatino Linotype"/>
          <w:b/>
          <w:i/>
        </w:rPr>
      </w:pPr>
      <w:r w:rsidRPr="00995B5B">
        <w:rPr>
          <w:rFonts w:ascii="Palatino Linotype" w:hAnsi="Palatino Linotype"/>
          <w:b/>
          <w:i/>
        </w:rPr>
        <w:lastRenderedPageBreak/>
        <w:t>Código de Procedimientos Administrativos del Estado de México.</w:t>
      </w:r>
    </w:p>
    <w:p w:rsidR="00712BB5" w:rsidRPr="00995B5B" w:rsidRDefault="00712BB5" w:rsidP="00712BB5">
      <w:pPr>
        <w:pStyle w:val="Textoindependienteprimerasangra2"/>
        <w:ind w:left="1134" w:right="900" w:firstLine="0"/>
        <w:jc w:val="both"/>
        <w:rPr>
          <w:rFonts w:ascii="Palatino Linotype" w:hAnsi="Palatino Linotype"/>
          <w:i/>
        </w:rPr>
      </w:pPr>
      <w:r w:rsidRPr="00995B5B">
        <w:rPr>
          <w:rFonts w:ascii="Palatino Linotype" w:hAnsi="Palatino Linotype"/>
          <w:b/>
          <w:i/>
        </w:rPr>
        <w:t>“Artículo 18.-</w:t>
      </w:r>
      <w:r w:rsidRPr="00995B5B">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712BB5" w:rsidRPr="00995B5B" w:rsidRDefault="00712BB5" w:rsidP="00712BB5">
      <w:pPr>
        <w:pStyle w:val="Textoindependienteprimerasangra2"/>
        <w:ind w:left="1134" w:right="900" w:firstLine="0"/>
        <w:jc w:val="both"/>
        <w:rPr>
          <w:rFonts w:ascii="Palatino Linotype" w:hAnsi="Palatino Linotype"/>
          <w:b/>
          <w:i/>
        </w:rPr>
      </w:pPr>
      <w:r w:rsidRPr="00995B5B">
        <w:rPr>
          <w:rFonts w:ascii="Palatino Linotype" w:hAnsi="Palatino Linotype"/>
          <w:b/>
          <w:i/>
        </w:rPr>
        <w:t>Ley de Transparencia y Acceso a la Información Pública del Estado de México y Municipios</w:t>
      </w:r>
    </w:p>
    <w:p w:rsidR="00712BB5" w:rsidRPr="00995B5B" w:rsidRDefault="00712BB5" w:rsidP="00712BB5">
      <w:pPr>
        <w:pStyle w:val="Textoindependienteprimerasangra2"/>
        <w:ind w:left="1134" w:right="900" w:firstLine="0"/>
        <w:jc w:val="both"/>
        <w:rPr>
          <w:rFonts w:ascii="Palatino Linotype" w:hAnsi="Palatino Linotype"/>
          <w:i/>
        </w:rPr>
      </w:pPr>
      <w:r w:rsidRPr="00995B5B">
        <w:rPr>
          <w:rFonts w:ascii="Palatino Linotype" w:hAnsi="Palatino Linotype"/>
          <w:b/>
          <w:i/>
        </w:rPr>
        <w:t>“Artículo 195.</w:t>
      </w:r>
      <w:r w:rsidRPr="00995B5B">
        <w:rPr>
          <w:rFonts w:ascii="Palatino Linotype" w:hAnsi="Palatino Linotype"/>
          <w:i/>
        </w:rPr>
        <w:t xml:space="preserve"> En la tramitación del recurso de revisión se aplicarán supletoriamente las disposiciones contenidas en el Código de Procedimientos Administrativos del Estado de México.”</w:t>
      </w:r>
    </w:p>
    <w:p w:rsidR="00712BB5" w:rsidRPr="00995B5B" w:rsidRDefault="00712BB5" w:rsidP="00712BB5">
      <w:pPr>
        <w:pStyle w:val="Textoindependienteprimerasangra2"/>
        <w:ind w:left="1134" w:right="900" w:firstLine="0"/>
        <w:jc w:val="both"/>
        <w:rPr>
          <w:rFonts w:ascii="Palatino Linotype" w:hAnsi="Palatino Linotype"/>
          <w:i/>
        </w:rPr>
      </w:pPr>
      <w:r w:rsidRPr="00995B5B">
        <w:rPr>
          <w:rFonts w:ascii="Palatino Linotype" w:hAnsi="Palatino Linotype"/>
          <w:i/>
        </w:rPr>
        <w:t>(Énfasis añadido)</w:t>
      </w:r>
    </w:p>
    <w:p w:rsidR="00712BB5" w:rsidRPr="00995B5B" w:rsidRDefault="00712BB5" w:rsidP="00712BB5">
      <w:pPr>
        <w:pStyle w:val="Textoindependienteprimerasangra2"/>
        <w:rPr>
          <w:rFonts w:ascii="Palatino Linotype" w:hAnsi="Palatino Linotype"/>
          <w:i/>
        </w:rPr>
      </w:pPr>
    </w:p>
    <w:p w:rsidR="0085290E" w:rsidRPr="0085290E" w:rsidRDefault="00712BB5" w:rsidP="00712BB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 xml:space="preserve">De lo anterior el </w:t>
      </w:r>
      <w:r w:rsidR="0085290E">
        <w:rPr>
          <w:rFonts w:ascii="Palatino Linotype" w:hAnsi="Palatino Linotype"/>
          <w:b/>
          <w:sz w:val="24"/>
          <w:szCs w:val="24"/>
        </w:rPr>
        <w:t xml:space="preserve">nueve de septiembre y diecisiete de septiembre de dos mil veinticuatro el </w:t>
      </w:r>
      <w:r w:rsidRPr="00995B5B">
        <w:rPr>
          <w:rFonts w:ascii="Palatino Linotype" w:hAnsi="Palatino Linotype"/>
          <w:b/>
          <w:sz w:val="24"/>
          <w:szCs w:val="24"/>
        </w:rPr>
        <w:t>SUJETO OBLIGADO</w:t>
      </w:r>
      <w:r w:rsidR="0085290E">
        <w:rPr>
          <w:rFonts w:ascii="Palatino Linotype" w:hAnsi="Palatino Linotype"/>
          <w:sz w:val="24"/>
          <w:szCs w:val="24"/>
        </w:rPr>
        <w:t xml:space="preserve"> entrego un archivo electrónico en formato PDF por cada recurso de revisión, cuyo contenido grosso modo es el siguiente. </w:t>
      </w:r>
      <w:r w:rsidRPr="00995B5B">
        <w:rPr>
          <w:rFonts w:ascii="Palatino Linotype" w:hAnsi="Palatino Linotype"/>
          <w:b/>
          <w:sz w:val="24"/>
          <w:szCs w:val="24"/>
        </w:rPr>
        <w:t xml:space="preserve"> </w:t>
      </w:r>
    </w:p>
    <w:p w:rsidR="0085290E" w:rsidRPr="0085290E" w:rsidRDefault="0085290E" w:rsidP="0085290E">
      <w:pPr>
        <w:spacing w:line="360" w:lineRule="auto"/>
        <w:ind w:left="1134" w:right="900"/>
        <w:rPr>
          <w:rFonts w:ascii="Palatino Linotype" w:hAnsi="Palatino Linotype"/>
          <w:bCs/>
        </w:rPr>
      </w:pPr>
      <w:r w:rsidRPr="0085290E">
        <w:rPr>
          <w:rFonts w:ascii="Palatino Linotype" w:hAnsi="Palatino Linotype"/>
          <w:b/>
        </w:rPr>
        <w:t xml:space="preserve">Recurso de Revisión </w:t>
      </w:r>
      <w:r w:rsidRPr="0085290E">
        <w:rPr>
          <w:rFonts w:ascii="Palatino Linotype" w:hAnsi="Palatino Linotype"/>
          <w:b/>
          <w:bCs/>
        </w:rPr>
        <w:t xml:space="preserve">05233/INFOEM/IP/RR/2024: </w:t>
      </w:r>
    </w:p>
    <w:p w:rsidR="0085290E" w:rsidRDefault="0085290E" w:rsidP="0085290E">
      <w:pPr>
        <w:pStyle w:val="Prrafodelista"/>
        <w:spacing w:line="360" w:lineRule="auto"/>
        <w:ind w:left="1134" w:right="900"/>
        <w:jc w:val="both"/>
        <w:rPr>
          <w:rFonts w:ascii="Palatino Linotype" w:hAnsi="Palatino Linotype"/>
          <w:i/>
          <w:sz w:val="24"/>
          <w:szCs w:val="24"/>
        </w:rPr>
      </w:pPr>
      <w:r w:rsidRPr="0085290E">
        <w:rPr>
          <w:rFonts w:ascii="Palatino Linotype" w:hAnsi="Palatino Linotype"/>
          <w:b/>
          <w:sz w:val="24"/>
          <w:szCs w:val="24"/>
        </w:rPr>
        <w:t>INFORME JUSTIFICADO RR_5233_2024.pdf</w:t>
      </w:r>
      <w:r>
        <w:rPr>
          <w:rFonts w:ascii="Palatino Linotype" w:hAnsi="Palatino Linotype"/>
          <w:b/>
          <w:sz w:val="24"/>
          <w:szCs w:val="24"/>
        </w:rPr>
        <w:t xml:space="preserve">: </w:t>
      </w:r>
      <w:r>
        <w:rPr>
          <w:rFonts w:ascii="Palatino Linotype" w:hAnsi="Palatino Linotype"/>
          <w:i/>
          <w:sz w:val="24"/>
          <w:szCs w:val="24"/>
        </w:rPr>
        <w:t xml:space="preserve">oficio de la Titular de la Unidad de Transparencia, mediante el cual grosso modo ratifica su respuesta. </w:t>
      </w:r>
    </w:p>
    <w:p w:rsidR="0085290E" w:rsidRPr="00995B5B" w:rsidRDefault="0085290E" w:rsidP="0085290E">
      <w:pPr>
        <w:pStyle w:val="Prrafodelista"/>
        <w:spacing w:line="360" w:lineRule="auto"/>
        <w:ind w:left="1134" w:right="900"/>
        <w:rPr>
          <w:rFonts w:ascii="Palatino Linotype" w:hAnsi="Palatino Linotype"/>
          <w:bCs/>
          <w:sz w:val="24"/>
          <w:szCs w:val="24"/>
          <w:lang w:val="es-MX"/>
        </w:rPr>
      </w:pPr>
      <w:r w:rsidRPr="00995B5B">
        <w:rPr>
          <w:rFonts w:ascii="Palatino Linotype" w:hAnsi="Palatino Linotype"/>
          <w:b/>
          <w:sz w:val="24"/>
          <w:szCs w:val="24"/>
        </w:rPr>
        <w:t xml:space="preserve">Recurso de Revisión </w:t>
      </w:r>
      <w:r>
        <w:rPr>
          <w:rFonts w:ascii="Palatino Linotype" w:hAnsi="Palatino Linotype"/>
          <w:b/>
          <w:bCs/>
          <w:sz w:val="24"/>
          <w:szCs w:val="24"/>
          <w:lang w:val="es-MX"/>
        </w:rPr>
        <w:t>05504/INFOEM/IP/RR/2024</w:t>
      </w:r>
      <w:r w:rsidRPr="00995B5B">
        <w:rPr>
          <w:rFonts w:ascii="Palatino Linotype" w:hAnsi="Palatino Linotype"/>
          <w:b/>
          <w:bCs/>
          <w:sz w:val="24"/>
          <w:szCs w:val="24"/>
          <w:lang w:val="es-MX"/>
        </w:rPr>
        <w:t>:</w:t>
      </w:r>
    </w:p>
    <w:p w:rsidR="0085290E" w:rsidRDefault="0085290E" w:rsidP="0085290E">
      <w:pPr>
        <w:pStyle w:val="Prrafodelista"/>
        <w:spacing w:line="360" w:lineRule="auto"/>
        <w:ind w:left="1134" w:right="900"/>
        <w:jc w:val="both"/>
        <w:rPr>
          <w:rFonts w:ascii="Palatino Linotype" w:hAnsi="Palatino Linotype"/>
          <w:i/>
          <w:sz w:val="24"/>
          <w:szCs w:val="24"/>
        </w:rPr>
      </w:pPr>
      <w:r w:rsidRPr="0085290E">
        <w:rPr>
          <w:rFonts w:ascii="Palatino Linotype" w:hAnsi="Palatino Linotype"/>
          <w:b/>
          <w:i/>
          <w:sz w:val="24"/>
          <w:szCs w:val="24"/>
        </w:rPr>
        <w:t>INFORME JUSTIFICADO_RR_5504_2024.pdf</w:t>
      </w:r>
      <w:r>
        <w:rPr>
          <w:rFonts w:ascii="Palatino Linotype" w:hAnsi="Palatino Linotype"/>
          <w:b/>
          <w:i/>
          <w:sz w:val="24"/>
          <w:szCs w:val="24"/>
        </w:rPr>
        <w:t xml:space="preserve">: </w:t>
      </w:r>
      <w:r>
        <w:rPr>
          <w:rFonts w:ascii="Palatino Linotype" w:hAnsi="Palatino Linotype"/>
          <w:i/>
          <w:sz w:val="24"/>
          <w:szCs w:val="24"/>
        </w:rPr>
        <w:t xml:space="preserve">la Titular de la Unidad de Transparencia refiere que el </w:t>
      </w:r>
      <w:r>
        <w:rPr>
          <w:rFonts w:ascii="Palatino Linotype" w:hAnsi="Palatino Linotype"/>
          <w:b/>
          <w:i/>
          <w:sz w:val="24"/>
          <w:szCs w:val="24"/>
        </w:rPr>
        <w:t xml:space="preserve">Departamento de Recursos Humanos, </w:t>
      </w:r>
      <w:r>
        <w:rPr>
          <w:rFonts w:ascii="Palatino Linotype" w:hAnsi="Palatino Linotype"/>
          <w:i/>
          <w:sz w:val="24"/>
          <w:szCs w:val="24"/>
        </w:rPr>
        <w:t xml:space="preserve">ratifica su respuesta inicial. </w:t>
      </w:r>
    </w:p>
    <w:p w:rsidR="0085290E" w:rsidRPr="0085290E" w:rsidRDefault="0085290E" w:rsidP="0085290E">
      <w:pPr>
        <w:pStyle w:val="Prrafodelista"/>
        <w:spacing w:line="360" w:lineRule="auto"/>
        <w:ind w:left="1134" w:right="900"/>
        <w:jc w:val="both"/>
        <w:rPr>
          <w:rFonts w:ascii="Palatino Linotype" w:hAnsi="Palatino Linotype"/>
          <w:i/>
          <w:sz w:val="24"/>
          <w:szCs w:val="24"/>
        </w:rPr>
      </w:pPr>
      <w:r>
        <w:rPr>
          <w:rFonts w:ascii="Palatino Linotype" w:hAnsi="Palatino Linotype"/>
          <w:i/>
          <w:sz w:val="24"/>
          <w:szCs w:val="24"/>
        </w:rPr>
        <w:t xml:space="preserve">En cuanto a la </w:t>
      </w:r>
      <w:r>
        <w:rPr>
          <w:rFonts w:ascii="Palatino Linotype" w:hAnsi="Palatino Linotype"/>
          <w:b/>
          <w:i/>
          <w:sz w:val="24"/>
          <w:szCs w:val="24"/>
        </w:rPr>
        <w:t xml:space="preserve">Tesorería Municipal </w:t>
      </w:r>
      <w:r>
        <w:rPr>
          <w:rFonts w:ascii="Palatino Linotype" w:hAnsi="Palatino Linotype"/>
          <w:i/>
          <w:sz w:val="24"/>
          <w:szCs w:val="24"/>
        </w:rPr>
        <w:t xml:space="preserve">informa que se señaló el procedimiento por consulta de la nómina de la servidora pública, sin </w:t>
      </w:r>
      <w:r>
        <w:rPr>
          <w:rFonts w:ascii="Palatino Linotype" w:hAnsi="Palatino Linotype"/>
          <w:i/>
          <w:sz w:val="24"/>
          <w:szCs w:val="24"/>
        </w:rPr>
        <w:lastRenderedPageBreak/>
        <w:t xml:space="preserve">embargo en la etapa de manifestaciones la </w:t>
      </w:r>
      <w:r>
        <w:rPr>
          <w:rFonts w:ascii="Palatino Linotype" w:hAnsi="Palatino Linotype"/>
          <w:b/>
          <w:i/>
          <w:sz w:val="24"/>
          <w:szCs w:val="24"/>
        </w:rPr>
        <w:t xml:space="preserve">Tesorería Municipal </w:t>
      </w:r>
      <w:r>
        <w:rPr>
          <w:rFonts w:ascii="Palatino Linotype" w:hAnsi="Palatino Linotype"/>
          <w:i/>
          <w:sz w:val="24"/>
          <w:szCs w:val="24"/>
        </w:rPr>
        <w:t xml:space="preserve">remite dos recibos de nómina, correspondientes a las dos quincenas del mes de julio de dos mil veinticuatro. </w:t>
      </w:r>
    </w:p>
    <w:p w:rsidR="00712BB5" w:rsidRDefault="0085290E" w:rsidP="00CE20CC">
      <w:pPr>
        <w:pStyle w:val="Prrafode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t xml:space="preserve">Por su parte </w:t>
      </w:r>
      <w:r w:rsidR="00712BB5" w:rsidRPr="00995B5B">
        <w:rPr>
          <w:rFonts w:ascii="Palatino Linotype" w:hAnsi="Palatino Linotype"/>
          <w:b/>
          <w:sz w:val="24"/>
          <w:szCs w:val="24"/>
        </w:rPr>
        <w:t>LA PARTICULAR</w:t>
      </w:r>
      <w:r w:rsidR="00712BB5" w:rsidRPr="00995B5B">
        <w:rPr>
          <w:rFonts w:ascii="Palatino Linotype" w:hAnsi="Palatino Linotype"/>
          <w:sz w:val="24"/>
          <w:szCs w:val="24"/>
        </w:rPr>
        <w:t xml:space="preserve"> </w:t>
      </w:r>
      <w:r w:rsidR="00CE20CC">
        <w:rPr>
          <w:rFonts w:ascii="Palatino Linotype" w:hAnsi="Palatino Linotype"/>
          <w:sz w:val="24"/>
          <w:szCs w:val="24"/>
        </w:rPr>
        <w:t xml:space="preserve">dejo </w:t>
      </w:r>
      <w:r w:rsidR="00712BB5" w:rsidRPr="00995B5B">
        <w:rPr>
          <w:rFonts w:ascii="Palatino Linotype" w:hAnsi="Palatino Linotype"/>
          <w:sz w:val="24"/>
          <w:szCs w:val="24"/>
        </w:rPr>
        <w:t>de realizar manifestaciones que a su derecho conviniera y asistiera</w:t>
      </w:r>
      <w:r w:rsidR="00CE20CC">
        <w:rPr>
          <w:rFonts w:ascii="Palatino Linotype" w:hAnsi="Palatino Linotype"/>
          <w:sz w:val="24"/>
          <w:szCs w:val="24"/>
        </w:rPr>
        <w:t xml:space="preserve">. </w:t>
      </w:r>
    </w:p>
    <w:p w:rsidR="00CE20CC" w:rsidRPr="00995B5B" w:rsidRDefault="00CE20CC" w:rsidP="00CE20CC">
      <w:pPr>
        <w:pStyle w:val="Prrafodelista"/>
        <w:spacing w:line="360" w:lineRule="auto"/>
        <w:ind w:left="0"/>
        <w:jc w:val="both"/>
        <w:rPr>
          <w:rFonts w:ascii="Palatino Linotype" w:hAnsi="Palatino Linotype"/>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lang w:val="es-ES_tradnl" w:eastAsia="es-ES"/>
        </w:rPr>
        <w:t xml:space="preserve">En fecha </w:t>
      </w:r>
      <w:r w:rsidR="00DC561B" w:rsidRPr="00DC561B">
        <w:rPr>
          <w:rFonts w:ascii="Palatino Linotype" w:hAnsi="Palatino Linotype"/>
          <w:b/>
          <w:sz w:val="24"/>
          <w:szCs w:val="24"/>
          <w:lang w:val="es-ES_tradnl" w:eastAsia="es-ES"/>
        </w:rPr>
        <w:t>diez de octubre de dos mil veinticuatro</w:t>
      </w:r>
      <w:r w:rsidRPr="00995B5B">
        <w:rPr>
          <w:rFonts w:ascii="Palatino Linotype" w:hAnsi="Palatino Linotype"/>
          <w:sz w:val="24"/>
          <w:szCs w:val="24"/>
          <w:lang w:val="es-ES_tradnl" w:eastAsia="es-ES"/>
        </w:rPr>
        <w:t>, se amplió el término para resolver; al respecto es menester realizar las siguientes precisiones.</w:t>
      </w:r>
    </w:p>
    <w:p w:rsidR="00712BB5" w:rsidRPr="00995B5B" w:rsidRDefault="00712BB5" w:rsidP="00712BB5">
      <w:pPr>
        <w:pStyle w:val="Prrafodelista"/>
        <w:spacing w:line="360" w:lineRule="auto"/>
        <w:ind w:left="0"/>
        <w:jc w:val="both"/>
        <w:rPr>
          <w:rFonts w:ascii="Palatino Linotype" w:hAnsi="Palatino Linotype"/>
          <w:b/>
          <w:color w:val="000000" w:themeColor="text1"/>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sz w:val="24"/>
          <w:szCs w:val="24"/>
          <w:lang w:val="es-ES_tradnl" w:eastAsia="es-ES"/>
        </w:rPr>
      </w:pPr>
      <w:r w:rsidRPr="00995B5B">
        <w:rPr>
          <w:rFonts w:ascii="Palatino Linotype" w:hAnsi="Palatino Linotype"/>
          <w:sz w:val="24"/>
          <w:szCs w:val="24"/>
          <w:lang w:val="es-ES_tradnl" w:eastAsia="es-ES"/>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712BB5" w:rsidRPr="00995B5B" w:rsidRDefault="00712BB5" w:rsidP="00712BB5">
      <w:pPr>
        <w:pStyle w:val="Prrafodelista"/>
        <w:rPr>
          <w:rFonts w:ascii="Palatino Linotype" w:hAnsi="Palatino Linotype"/>
          <w:b/>
          <w:color w:val="000000" w:themeColor="text1"/>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12BB5" w:rsidRPr="00995B5B" w:rsidRDefault="00712BB5" w:rsidP="00712BB5">
      <w:pPr>
        <w:pStyle w:val="Prrafodelista"/>
        <w:rPr>
          <w:rFonts w:ascii="Palatino Linotype" w:hAnsi="Palatino Linotype"/>
          <w:b/>
          <w:color w:val="000000" w:themeColor="text1"/>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12BB5" w:rsidRPr="00995B5B" w:rsidRDefault="00712BB5" w:rsidP="00712BB5">
      <w:pPr>
        <w:pStyle w:val="Prrafodelista"/>
        <w:rPr>
          <w:rFonts w:ascii="Palatino Linotype" w:hAnsi="Palatino Linotype"/>
          <w:b/>
          <w:color w:val="000000" w:themeColor="text1"/>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712BB5" w:rsidRPr="00995B5B" w:rsidRDefault="00712BB5" w:rsidP="00712BB5">
      <w:pPr>
        <w:pStyle w:val="Prrafodelista"/>
        <w:rPr>
          <w:rFonts w:ascii="Palatino Linotype" w:hAnsi="Palatino Linotype"/>
          <w:b/>
          <w:color w:val="000000" w:themeColor="text1"/>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Por ello, excepcionalmente, si un asunto es resuelto con posterioridad a los plazos señalados por la norma debe analizarse la razonabilidad de dicha dilación atendiendo a los siguientes criterios:</w:t>
      </w:r>
    </w:p>
    <w:p w:rsidR="00712BB5" w:rsidRPr="00995B5B" w:rsidRDefault="00712BB5" w:rsidP="00712BB5">
      <w:pPr>
        <w:spacing w:line="360" w:lineRule="auto"/>
        <w:jc w:val="both"/>
        <w:rPr>
          <w:rFonts w:ascii="Palatino Linotype" w:hAnsi="Palatino Linotype"/>
        </w:rPr>
      </w:pPr>
    </w:p>
    <w:p w:rsidR="00712BB5" w:rsidRPr="00995B5B" w:rsidRDefault="00712BB5" w:rsidP="00712BB5">
      <w:pPr>
        <w:pStyle w:val="Prrafodelista"/>
        <w:numPr>
          <w:ilvl w:val="0"/>
          <w:numId w:val="11"/>
        </w:numPr>
        <w:spacing w:line="360" w:lineRule="auto"/>
        <w:contextualSpacing/>
        <w:jc w:val="both"/>
        <w:rPr>
          <w:rFonts w:ascii="Palatino Linotype" w:hAnsi="Palatino Linotype"/>
          <w:sz w:val="24"/>
          <w:szCs w:val="24"/>
        </w:rPr>
      </w:pPr>
      <w:r w:rsidRPr="00995B5B">
        <w:rPr>
          <w:rFonts w:ascii="Palatino Linotype" w:hAnsi="Palatino Linotype"/>
          <w:sz w:val="24"/>
          <w:szCs w:val="24"/>
        </w:rPr>
        <w:t xml:space="preserve">Complejidad del Asunto: La complejidad de la prueba, la pluralidad de sujetos procesales, el tiempo transcurrido, las características y contexto del recurso. </w:t>
      </w:r>
    </w:p>
    <w:p w:rsidR="00712BB5" w:rsidRPr="00995B5B" w:rsidRDefault="00712BB5" w:rsidP="00712BB5">
      <w:pPr>
        <w:pStyle w:val="Prrafodelista"/>
        <w:numPr>
          <w:ilvl w:val="0"/>
          <w:numId w:val="11"/>
        </w:numPr>
        <w:spacing w:line="360" w:lineRule="auto"/>
        <w:contextualSpacing/>
        <w:jc w:val="both"/>
        <w:rPr>
          <w:rFonts w:ascii="Palatino Linotype" w:hAnsi="Palatino Linotype"/>
          <w:sz w:val="24"/>
          <w:szCs w:val="24"/>
        </w:rPr>
      </w:pPr>
      <w:r w:rsidRPr="00995B5B">
        <w:rPr>
          <w:rFonts w:ascii="Palatino Linotype" w:hAnsi="Palatino Linotype"/>
          <w:sz w:val="24"/>
          <w:szCs w:val="24"/>
        </w:rPr>
        <w:t>Actividad Procesal del interesado. Acciones u omisiones del interesado.</w:t>
      </w:r>
    </w:p>
    <w:p w:rsidR="00712BB5" w:rsidRPr="00995B5B" w:rsidRDefault="00712BB5" w:rsidP="00712BB5">
      <w:pPr>
        <w:pStyle w:val="Prrafodelista"/>
        <w:numPr>
          <w:ilvl w:val="0"/>
          <w:numId w:val="11"/>
        </w:numPr>
        <w:spacing w:line="360" w:lineRule="auto"/>
        <w:contextualSpacing/>
        <w:jc w:val="both"/>
        <w:rPr>
          <w:rFonts w:ascii="Palatino Linotype" w:hAnsi="Palatino Linotype"/>
          <w:sz w:val="24"/>
          <w:szCs w:val="24"/>
        </w:rPr>
      </w:pPr>
      <w:r w:rsidRPr="00995B5B">
        <w:rPr>
          <w:rFonts w:ascii="Palatino Linotype" w:hAnsi="Palatino Linotype"/>
          <w:sz w:val="24"/>
          <w:szCs w:val="24"/>
        </w:rPr>
        <w:t>Conducta de la Autoridad: Las Acciones u omisiones realizadas en el procedimiento. Así como si la autoridad actuó con la debida diligencia.</w:t>
      </w:r>
    </w:p>
    <w:p w:rsidR="00712BB5" w:rsidRPr="00995B5B" w:rsidRDefault="00712BB5" w:rsidP="00712BB5">
      <w:pPr>
        <w:spacing w:line="360" w:lineRule="auto"/>
        <w:ind w:left="851" w:hanging="284"/>
        <w:jc w:val="both"/>
        <w:rPr>
          <w:rFonts w:ascii="Palatino Linotype" w:hAnsi="Palatino Linotype"/>
        </w:rPr>
      </w:pPr>
      <w:r w:rsidRPr="00995B5B">
        <w:rPr>
          <w:rFonts w:ascii="Palatino Linotype" w:hAnsi="Palatino Linotype"/>
        </w:rPr>
        <w:t>d) La afectación generada en la situación jurídica de la persona involucrada en el proceso: Violación a sus derechos humanos.</w:t>
      </w:r>
    </w:p>
    <w:p w:rsidR="00712BB5" w:rsidRPr="00995B5B" w:rsidRDefault="00712BB5" w:rsidP="00712BB5">
      <w:pPr>
        <w:pStyle w:val="Prrafodelista"/>
        <w:rPr>
          <w:rFonts w:ascii="Palatino Linotype" w:hAnsi="Palatino Linotype"/>
          <w:b/>
          <w:color w:val="000000" w:themeColor="text1"/>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12BB5" w:rsidRPr="00995B5B" w:rsidRDefault="00712BB5" w:rsidP="00712BB5">
      <w:pPr>
        <w:pStyle w:val="Prrafodelista"/>
        <w:spacing w:line="360" w:lineRule="auto"/>
        <w:ind w:left="0"/>
        <w:jc w:val="both"/>
        <w:rPr>
          <w:rFonts w:ascii="Palatino Linotype" w:hAnsi="Palatino Linotype"/>
          <w:b/>
          <w:color w:val="000000" w:themeColor="text1"/>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Argumento que encuentra sustento en la jurisprudencia P</w:t>
      </w:r>
      <w:proofErr w:type="gramStart"/>
      <w:r w:rsidRPr="00995B5B">
        <w:rPr>
          <w:rFonts w:ascii="Palatino Linotype" w:hAnsi="Palatino Linotype"/>
          <w:sz w:val="24"/>
          <w:szCs w:val="24"/>
        </w:rPr>
        <w:t>./</w:t>
      </w:r>
      <w:proofErr w:type="gramEnd"/>
      <w:r w:rsidRPr="00995B5B">
        <w:rPr>
          <w:rFonts w:ascii="Palatino Linotype" w:hAnsi="Palatino Linotype"/>
          <w:sz w:val="24"/>
          <w:szCs w:val="24"/>
        </w:rPr>
        <w:t xml:space="preserve">J. 32/92 emitida por el Pleno de la Suprema Corte de Justicia de la Nación de rubro </w:t>
      </w:r>
      <w:r w:rsidRPr="00995B5B">
        <w:rPr>
          <w:rFonts w:ascii="Palatino Linotype" w:hAnsi="Palatino Linotype"/>
          <w:i/>
          <w:sz w:val="24"/>
          <w:szCs w:val="24"/>
        </w:rPr>
        <w:t xml:space="preserve">“TÉRMINOS PROCESALES. PARA DETERMINAR SI UN FUNCIONARIO JUDICIAL ACTUÓ </w:t>
      </w:r>
      <w:r w:rsidRPr="00995B5B">
        <w:rPr>
          <w:rFonts w:ascii="Palatino Linotype" w:hAnsi="Palatino Linotype"/>
          <w:sz w:val="24"/>
          <w:szCs w:val="24"/>
        </w:rPr>
        <w:t>INDEBIDAMENTE</w:t>
      </w:r>
      <w:r w:rsidRPr="00995B5B">
        <w:rPr>
          <w:rFonts w:ascii="Palatino Linotype" w:hAnsi="Palatino Linotype"/>
          <w:i/>
          <w:sz w:val="24"/>
          <w:szCs w:val="24"/>
        </w:rPr>
        <w:t xml:space="preserve"> POR NO RESPETARLOS SE DEBE ATENDER AL PRESUPUESTO QUE CONSIDERÓ EL LEGISLADOR AL FIJARLOS Y LAS CARACTERÍSTICAS DEL CASO.”</w:t>
      </w:r>
      <w:r w:rsidRPr="00995B5B">
        <w:rPr>
          <w:rFonts w:ascii="Palatino Linotype" w:hAnsi="Palatino Linotype"/>
          <w:sz w:val="24"/>
          <w:szCs w:val="24"/>
        </w:rPr>
        <w:t>, visible en la Gaceta del Seminario Judicial de la Federación con el registro digital 205635.</w:t>
      </w:r>
    </w:p>
    <w:p w:rsidR="00712BB5" w:rsidRPr="00995B5B" w:rsidRDefault="00712BB5" w:rsidP="00712BB5">
      <w:pPr>
        <w:pStyle w:val="Prrafodelista"/>
        <w:rPr>
          <w:rFonts w:ascii="Palatino Linotype" w:hAnsi="Palatino Linotype"/>
          <w:b/>
          <w:color w:val="000000" w:themeColor="text1"/>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995B5B">
        <w:rPr>
          <w:rFonts w:ascii="Palatino Linotype" w:hAnsi="Palatino Linotype"/>
          <w:sz w:val="24"/>
          <w:szCs w:val="24"/>
        </w:rPr>
        <w:lastRenderedPageBreak/>
        <w:t>los términos legales previamente establecidos por la Ley, por tratarse de causas de fuerza mayor.</w:t>
      </w:r>
    </w:p>
    <w:p w:rsidR="00712BB5" w:rsidRPr="00995B5B" w:rsidRDefault="00712BB5" w:rsidP="00712BB5">
      <w:pPr>
        <w:pStyle w:val="Prrafodelista"/>
        <w:rPr>
          <w:rFonts w:ascii="Palatino Linotype" w:hAnsi="Palatino Linotype"/>
          <w:b/>
          <w:color w:val="000000" w:themeColor="text1"/>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rsidR="00712BB5" w:rsidRPr="00995B5B" w:rsidRDefault="00712BB5" w:rsidP="00712BB5">
      <w:pPr>
        <w:pStyle w:val="Prrafodelista"/>
        <w:rPr>
          <w:rFonts w:ascii="Palatino Linotype" w:hAnsi="Palatino Linotype"/>
          <w:b/>
          <w:color w:val="000000" w:themeColor="text1"/>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rsidR="00712BB5" w:rsidRPr="00995B5B" w:rsidRDefault="00712BB5" w:rsidP="00712BB5">
      <w:pPr>
        <w:spacing w:line="360" w:lineRule="auto"/>
        <w:jc w:val="both"/>
        <w:rPr>
          <w:rFonts w:ascii="Palatino Linotype" w:hAnsi="Palatino Linotype"/>
        </w:rPr>
      </w:pPr>
    </w:p>
    <w:p w:rsidR="00712BB5" w:rsidRPr="00995B5B" w:rsidRDefault="00712BB5" w:rsidP="00712BB5">
      <w:pPr>
        <w:spacing w:line="360" w:lineRule="auto"/>
        <w:ind w:left="425" w:right="476"/>
        <w:jc w:val="both"/>
        <w:rPr>
          <w:rFonts w:ascii="Palatino Linotype" w:hAnsi="Palatino Linotype"/>
        </w:rPr>
      </w:pPr>
      <w:r w:rsidRPr="00995B5B">
        <w:rPr>
          <w:rFonts w:ascii="Palatino Linotype" w:hAnsi="Palatino Linotype"/>
        </w:rPr>
        <w:t xml:space="preserve"> </w:t>
      </w:r>
      <w:r w:rsidRPr="00995B5B">
        <w:rPr>
          <w:rFonts w:ascii="Palatino Linotype" w:hAnsi="Palatino Linotype"/>
          <w:i/>
        </w:rPr>
        <w:t>“PLAZO RAZONABLE PARA RESOLVER. DIMENSIÓN Y EFECTOS DE ESTE CONCEPTO CUANDO SE ADUCE EXCESIVA CARGA DE TRABAJO.”</w:t>
      </w:r>
      <w:r w:rsidRPr="00995B5B">
        <w:rPr>
          <w:rFonts w:ascii="Palatino Linotype" w:hAnsi="Palatino Linotype"/>
        </w:rPr>
        <w:t xml:space="preserve"> consultable en el Seminario Judicial de la Federación y su gaceta, con el registro digital 2002351.</w:t>
      </w:r>
    </w:p>
    <w:p w:rsidR="00712BB5" w:rsidRPr="00995B5B" w:rsidRDefault="00712BB5" w:rsidP="00712BB5">
      <w:pPr>
        <w:spacing w:line="360" w:lineRule="auto"/>
        <w:ind w:left="425" w:right="476"/>
        <w:jc w:val="both"/>
        <w:rPr>
          <w:rFonts w:ascii="Palatino Linotype" w:hAnsi="Palatino Linotype"/>
          <w:b/>
        </w:rPr>
      </w:pPr>
    </w:p>
    <w:p w:rsidR="00712BB5" w:rsidRPr="00995B5B" w:rsidRDefault="00712BB5" w:rsidP="00712BB5">
      <w:pPr>
        <w:pStyle w:val="Prrafodelista"/>
        <w:rPr>
          <w:rFonts w:ascii="Palatino Linotype" w:hAnsi="Palatino Linotype"/>
          <w:b/>
          <w:color w:val="000000" w:themeColor="text1"/>
          <w:sz w:val="24"/>
          <w:szCs w:val="24"/>
        </w:rPr>
      </w:pPr>
      <w:r w:rsidRPr="00995B5B">
        <w:rPr>
          <w:rFonts w:ascii="Palatino Linotype" w:hAnsi="Palatino Linotype"/>
          <w:i/>
          <w:sz w:val="24"/>
          <w:szCs w:val="24"/>
        </w:rPr>
        <w:t>“PLAZO RAZONABLE PARA RESOLVER. CONCEPTO Y ELEMENTOS QUE LO INTEGRAN A LA LUZ DEL DERECHO INTERNACIONAL DE LOS DERECHOS HUMANOS.”</w:t>
      </w:r>
      <w:r w:rsidRPr="00995B5B">
        <w:rPr>
          <w:rFonts w:ascii="Palatino Linotype" w:hAnsi="Palatino Linotype"/>
          <w:sz w:val="24"/>
          <w:szCs w:val="24"/>
        </w:rPr>
        <w:t>, visible en el Seminario Judicial de la Federación y su gaceta, con el registro digital 2002350.”</w:t>
      </w:r>
    </w:p>
    <w:p w:rsidR="00712BB5" w:rsidRPr="00995B5B" w:rsidRDefault="00712BB5" w:rsidP="00712BB5">
      <w:pPr>
        <w:pStyle w:val="Prrafodelista"/>
        <w:spacing w:line="360" w:lineRule="auto"/>
        <w:ind w:left="0"/>
        <w:jc w:val="both"/>
        <w:rPr>
          <w:rFonts w:ascii="Palatino Linotype" w:hAnsi="Palatino Linotype"/>
          <w:b/>
          <w:color w:val="000000" w:themeColor="text1"/>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 xml:space="preserve">Finalmente, la Comisionada Ponente mediante acuerdos de fecha </w:t>
      </w:r>
      <w:r w:rsidR="00DC561B">
        <w:rPr>
          <w:rFonts w:ascii="Palatino Linotype" w:hAnsi="Palatino Linotype"/>
          <w:sz w:val="24"/>
          <w:szCs w:val="24"/>
        </w:rPr>
        <w:t>dieciséis de octubre de dos mil veinticuatro</w:t>
      </w:r>
      <w:r w:rsidRPr="00995B5B">
        <w:rPr>
          <w:rFonts w:ascii="Palatino Linotype" w:hAnsi="Palatino Linotype"/>
          <w:sz w:val="24"/>
          <w:szCs w:val="24"/>
        </w:rPr>
        <w:t>, decretó el cierre de instrucción de los expedientes</w:t>
      </w:r>
      <w:r w:rsidRPr="00995B5B">
        <w:rPr>
          <w:rFonts w:ascii="Palatino Linotype" w:hAnsi="Palatino Linotype" w:cs="Arial"/>
          <w:sz w:val="24"/>
          <w:szCs w:val="24"/>
        </w:rPr>
        <w:t>, por lo que no habiendo más que hacer constar, y ---</w:t>
      </w:r>
      <w:bookmarkStart w:id="131" w:name="_Toc491791302"/>
      <w:bookmarkStart w:id="132" w:name="_Toc74778592"/>
      <w:r w:rsidRPr="00995B5B">
        <w:rPr>
          <w:rFonts w:ascii="Palatino Linotype" w:hAnsi="Palatino Linotype" w:cs="Arial"/>
          <w:sz w:val="24"/>
          <w:szCs w:val="24"/>
        </w:rPr>
        <w:t>----------------</w:t>
      </w:r>
      <w:bookmarkStart w:id="133" w:name="_Toc85733157"/>
      <w:r w:rsidRPr="00995B5B">
        <w:rPr>
          <w:rFonts w:ascii="Palatino Linotype" w:hAnsi="Palatino Linotype" w:cs="Arial"/>
          <w:sz w:val="24"/>
          <w:szCs w:val="24"/>
        </w:rPr>
        <w:t>--------------------------</w:t>
      </w:r>
    </w:p>
    <w:p w:rsidR="00712BB5" w:rsidRPr="00995B5B" w:rsidRDefault="00712BB5" w:rsidP="00712BB5">
      <w:pPr>
        <w:spacing w:line="360" w:lineRule="auto"/>
        <w:rPr>
          <w:rFonts w:ascii="Palatino Linotype" w:hAnsi="Palatino Linotype"/>
          <w:b/>
          <w:color w:val="000000" w:themeColor="text1"/>
        </w:rPr>
      </w:pPr>
    </w:p>
    <w:p w:rsidR="00712BB5" w:rsidRPr="00995B5B" w:rsidRDefault="00712BB5" w:rsidP="00712BB5">
      <w:pPr>
        <w:pStyle w:val="Prrafodelista"/>
        <w:spacing w:line="360" w:lineRule="auto"/>
        <w:ind w:left="0"/>
        <w:jc w:val="center"/>
        <w:rPr>
          <w:rFonts w:ascii="Palatino Linotype" w:hAnsi="Palatino Linotype"/>
          <w:b/>
          <w:color w:val="000000" w:themeColor="text1"/>
          <w:sz w:val="24"/>
          <w:szCs w:val="24"/>
        </w:rPr>
      </w:pPr>
      <w:r w:rsidRPr="00995B5B">
        <w:rPr>
          <w:rFonts w:ascii="Palatino Linotype" w:hAnsi="Palatino Linotype"/>
          <w:b/>
          <w:color w:val="000000" w:themeColor="text1"/>
          <w:sz w:val="24"/>
          <w:szCs w:val="24"/>
        </w:rPr>
        <w:lastRenderedPageBreak/>
        <w:t>CONSIDERANDO</w:t>
      </w:r>
      <w:bookmarkEnd w:id="131"/>
      <w:bookmarkEnd w:id="132"/>
      <w:bookmarkEnd w:id="133"/>
    </w:p>
    <w:p w:rsidR="00712BB5" w:rsidRPr="00995B5B" w:rsidRDefault="00712BB5" w:rsidP="00712BB5">
      <w:pPr>
        <w:pStyle w:val="Ttulo2"/>
        <w:spacing w:before="0" w:line="360" w:lineRule="auto"/>
        <w:rPr>
          <w:rFonts w:ascii="Palatino Linotype" w:hAnsi="Palatino Linotype"/>
          <w:b/>
          <w:color w:val="auto"/>
          <w:sz w:val="24"/>
          <w:szCs w:val="24"/>
        </w:rPr>
      </w:pPr>
      <w:bookmarkStart w:id="134" w:name="_Toc491791303"/>
      <w:bookmarkStart w:id="135" w:name="_Toc74778593"/>
      <w:bookmarkStart w:id="136" w:name="_Toc85733158"/>
      <w:r w:rsidRPr="00995B5B">
        <w:rPr>
          <w:rFonts w:ascii="Palatino Linotype" w:hAnsi="Palatino Linotype"/>
          <w:b/>
          <w:color w:val="auto"/>
          <w:sz w:val="24"/>
          <w:szCs w:val="24"/>
        </w:rPr>
        <w:t>PRIMERO. De la competencia</w:t>
      </w:r>
      <w:bookmarkEnd w:id="134"/>
      <w:bookmarkEnd w:id="135"/>
      <w:bookmarkEnd w:id="136"/>
    </w:p>
    <w:p w:rsidR="00712BB5" w:rsidRPr="00995B5B" w:rsidRDefault="00712BB5" w:rsidP="00712BB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Este Instituto de Transparencia, Acceso a la Información Pública y Protección de Datos Personales del Estado de México y Municipios, es competente para conocer y resolver de los presentes recursos,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12BB5" w:rsidRPr="00995B5B" w:rsidRDefault="00712BB5" w:rsidP="00712BB5">
      <w:pPr>
        <w:pStyle w:val="Prrafodelista"/>
        <w:tabs>
          <w:tab w:val="left" w:pos="426"/>
        </w:tabs>
        <w:spacing w:line="360" w:lineRule="auto"/>
        <w:ind w:left="0"/>
        <w:jc w:val="both"/>
        <w:outlineLvl w:val="1"/>
        <w:rPr>
          <w:rFonts w:ascii="Palatino Linotype" w:hAnsi="Palatino Linotype"/>
          <w:b/>
          <w:bCs/>
          <w:color w:val="000000" w:themeColor="text1"/>
          <w:sz w:val="24"/>
          <w:szCs w:val="24"/>
        </w:rPr>
      </w:pPr>
      <w:bookmarkStart w:id="137" w:name="_Toc80699770"/>
      <w:bookmarkStart w:id="138" w:name="_Toc81260548"/>
    </w:p>
    <w:p w:rsidR="00712BB5" w:rsidRPr="00995B5B" w:rsidRDefault="00712BB5" w:rsidP="00712BB5">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39" w:name="_Toc85733159"/>
      <w:r w:rsidRPr="00995B5B">
        <w:rPr>
          <w:rFonts w:ascii="Palatino Linotype" w:hAnsi="Palatino Linotype"/>
          <w:b/>
          <w:bCs/>
          <w:color w:val="000000" w:themeColor="text1"/>
          <w:sz w:val="24"/>
          <w:szCs w:val="24"/>
        </w:rPr>
        <w:t>SEGUNDO.</w:t>
      </w:r>
      <w:bookmarkStart w:id="140" w:name="_Toc491791304"/>
      <w:bookmarkStart w:id="141" w:name="_Toc74778594"/>
      <w:bookmarkEnd w:id="137"/>
      <w:bookmarkEnd w:id="138"/>
      <w:r w:rsidRPr="00995B5B">
        <w:rPr>
          <w:rFonts w:ascii="Palatino Linotype" w:hAnsi="Palatino Linotype"/>
          <w:b/>
          <w:color w:val="000000" w:themeColor="text1"/>
          <w:sz w:val="24"/>
          <w:szCs w:val="24"/>
        </w:rPr>
        <w:t xml:space="preserve"> De la oportunidad y procedencia.</w:t>
      </w:r>
      <w:bookmarkEnd w:id="139"/>
      <w:bookmarkEnd w:id="140"/>
      <w:bookmarkEnd w:id="141"/>
    </w:p>
    <w:p w:rsidR="00712BB5" w:rsidRPr="00995B5B" w:rsidRDefault="00712BB5" w:rsidP="00712BB5">
      <w:pPr>
        <w:pStyle w:val="Prrafodelista"/>
        <w:numPr>
          <w:ilvl w:val="0"/>
          <w:numId w:val="2"/>
        </w:numPr>
        <w:spacing w:line="360" w:lineRule="auto"/>
        <w:ind w:left="0" w:firstLine="0"/>
        <w:jc w:val="both"/>
        <w:rPr>
          <w:rFonts w:ascii="Palatino Linotype" w:hAnsi="Palatino Linotype"/>
          <w:sz w:val="24"/>
          <w:szCs w:val="24"/>
        </w:rPr>
      </w:pPr>
      <w:bookmarkStart w:id="142" w:name="_Toc521431830"/>
      <w:bookmarkStart w:id="143" w:name="_Toc27653760"/>
      <w:r w:rsidRPr="00995B5B">
        <w:rPr>
          <w:rFonts w:ascii="Palatino Linotype" w:eastAsia="Calibri" w:hAnsi="Palatino Linotype" w:cs="Arial"/>
          <w:sz w:val="24"/>
          <w:szCs w:val="24"/>
        </w:rPr>
        <w:t xml:space="preserve">Los medios de impugnación fueron presentados a través del </w:t>
      </w:r>
      <w:r w:rsidRPr="00995B5B">
        <w:rPr>
          <w:rFonts w:ascii="Palatino Linotype" w:eastAsia="Calibri" w:hAnsi="Palatino Linotype" w:cs="Arial"/>
          <w:b/>
          <w:sz w:val="24"/>
          <w:szCs w:val="24"/>
        </w:rPr>
        <w:t>SAIMEX,</w:t>
      </w:r>
      <w:r w:rsidRPr="00995B5B">
        <w:rPr>
          <w:rFonts w:ascii="Palatino Linotype" w:eastAsia="Calibri" w:hAnsi="Palatino Linotype" w:cs="Arial"/>
          <w:sz w:val="24"/>
          <w:szCs w:val="24"/>
        </w:rPr>
        <w:t xml:space="preserve"> en el </w:t>
      </w:r>
      <w:r w:rsidRPr="00995B5B">
        <w:rPr>
          <w:rFonts w:ascii="Palatino Linotype" w:hAnsi="Palatino Linotype"/>
          <w:sz w:val="24"/>
          <w:szCs w:val="24"/>
        </w:rPr>
        <w:t>formato</w:t>
      </w:r>
      <w:r w:rsidRPr="00995B5B">
        <w:rPr>
          <w:rFonts w:ascii="Palatino Linotype" w:eastAsia="Calibri" w:hAnsi="Palatino Linotype" w:cs="Arial"/>
          <w:sz w:val="24"/>
          <w:szCs w:val="24"/>
        </w:rPr>
        <w:t xml:space="preserve"> previamente aprobado para tal efecto y dentro del plazo legal de quince días hábiles otorgados; para el caso en particular es de señalar que el </w:t>
      </w:r>
      <w:r w:rsidRPr="00995B5B">
        <w:rPr>
          <w:rFonts w:ascii="Palatino Linotype" w:eastAsia="Calibri" w:hAnsi="Palatino Linotype" w:cs="Arial"/>
          <w:b/>
          <w:sz w:val="24"/>
          <w:szCs w:val="24"/>
        </w:rPr>
        <w:t>SUJETO OBLIGADO</w:t>
      </w:r>
      <w:r w:rsidRPr="00995B5B">
        <w:rPr>
          <w:rFonts w:ascii="Palatino Linotype" w:eastAsia="Calibri" w:hAnsi="Palatino Linotype" w:cs="Arial"/>
          <w:sz w:val="24"/>
          <w:szCs w:val="24"/>
        </w:rPr>
        <w:t xml:space="preserve"> entregó sus respuestas </w:t>
      </w:r>
      <w:r w:rsidRPr="00DC561B">
        <w:rPr>
          <w:rFonts w:ascii="Palatino Linotype" w:eastAsia="Calibri" w:hAnsi="Palatino Linotype" w:cs="Arial"/>
          <w:b/>
          <w:sz w:val="24"/>
          <w:szCs w:val="24"/>
        </w:rPr>
        <w:t xml:space="preserve">el </w:t>
      </w:r>
      <w:r w:rsidR="00DC561B" w:rsidRPr="00DC561B">
        <w:rPr>
          <w:rFonts w:ascii="Palatino Linotype" w:eastAsia="Calibri" w:hAnsi="Palatino Linotype" w:cs="Arial"/>
          <w:b/>
          <w:sz w:val="24"/>
          <w:szCs w:val="24"/>
        </w:rPr>
        <w:t>nueve de agosto y cuatro de septiembre de dos mil veinticuatro</w:t>
      </w:r>
      <w:r w:rsidRPr="00995B5B">
        <w:rPr>
          <w:rFonts w:ascii="Palatino Linotype" w:eastAsia="Calibri" w:hAnsi="Palatino Linotype" w:cs="Arial"/>
          <w:sz w:val="24"/>
          <w:szCs w:val="24"/>
        </w:rPr>
        <w:t xml:space="preserve">, </w:t>
      </w:r>
      <w:r w:rsidRPr="00995B5B">
        <w:rPr>
          <w:rFonts w:ascii="Palatino Linotype" w:hAnsi="Palatino Linotype" w:cs="Arial"/>
          <w:sz w:val="24"/>
          <w:szCs w:val="24"/>
        </w:rPr>
        <w:t xml:space="preserve">de tal forma que el plazo para interponer el recurso de revisión transcurrió del día </w:t>
      </w:r>
      <w:r w:rsidR="00DC561B" w:rsidRPr="00DC561B">
        <w:rPr>
          <w:rFonts w:ascii="Palatino Linotype" w:hAnsi="Palatino Linotype" w:cs="Arial"/>
          <w:b/>
          <w:sz w:val="24"/>
          <w:szCs w:val="24"/>
        </w:rPr>
        <w:t xml:space="preserve">doce </w:t>
      </w:r>
      <w:r w:rsidR="00DC561B">
        <w:rPr>
          <w:rFonts w:ascii="Palatino Linotype" w:hAnsi="Palatino Linotype" w:cs="Arial"/>
          <w:b/>
          <w:sz w:val="24"/>
          <w:szCs w:val="24"/>
        </w:rPr>
        <w:t xml:space="preserve">al treinta de agosto </w:t>
      </w:r>
      <w:r w:rsidR="00DC561B" w:rsidRPr="00DC561B">
        <w:rPr>
          <w:rFonts w:ascii="Palatino Linotype" w:hAnsi="Palatino Linotype" w:cs="Arial"/>
          <w:b/>
          <w:sz w:val="24"/>
          <w:szCs w:val="24"/>
        </w:rPr>
        <w:t>de dos mil veinticuatro</w:t>
      </w:r>
      <w:r w:rsidRPr="00995B5B">
        <w:rPr>
          <w:rFonts w:ascii="Palatino Linotype" w:hAnsi="Palatino Linotype" w:cs="Arial"/>
          <w:sz w:val="24"/>
          <w:szCs w:val="24"/>
        </w:rPr>
        <w:t xml:space="preserve">, así como del </w:t>
      </w:r>
      <w:r w:rsidR="00DC561B" w:rsidRPr="00DC561B">
        <w:rPr>
          <w:rFonts w:ascii="Palatino Linotype" w:hAnsi="Palatino Linotype" w:cs="Arial"/>
          <w:b/>
          <w:sz w:val="24"/>
          <w:szCs w:val="24"/>
        </w:rPr>
        <w:t xml:space="preserve">cinco </w:t>
      </w:r>
      <w:r w:rsidR="00DC561B">
        <w:rPr>
          <w:rFonts w:ascii="Palatino Linotype" w:hAnsi="Palatino Linotype" w:cs="Arial"/>
          <w:b/>
          <w:sz w:val="24"/>
          <w:szCs w:val="24"/>
        </w:rPr>
        <w:t xml:space="preserve">al veintiséis </w:t>
      </w:r>
      <w:r w:rsidR="00DC561B" w:rsidRPr="00DC561B">
        <w:rPr>
          <w:rFonts w:ascii="Palatino Linotype" w:hAnsi="Palatino Linotype" w:cs="Arial"/>
          <w:b/>
          <w:sz w:val="24"/>
          <w:szCs w:val="24"/>
        </w:rPr>
        <w:t>de septiembre de dos mil veinticuatro</w:t>
      </w:r>
      <w:r w:rsidRPr="00995B5B">
        <w:rPr>
          <w:rFonts w:ascii="Palatino Linotype" w:hAnsi="Palatino Linotype" w:cs="Arial"/>
          <w:sz w:val="24"/>
          <w:szCs w:val="24"/>
        </w:rPr>
        <w:t xml:space="preserve">; en consecuencia, el ahora </w:t>
      </w:r>
      <w:r w:rsidRPr="00995B5B">
        <w:rPr>
          <w:rFonts w:ascii="Palatino Linotype" w:hAnsi="Palatino Linotype" w:cs="Arial"/>
          <w:b/>
          <w:sz w:val="24"/>
          <w:szCs w:val="24"/>
        </w:rPr>
        <w:t>RECURRENTE</w:t>
      </w:r>
      <w:r w:rsidRPr="00995B5B">
        <w:rPr>
          <w:rFonts w:ascii="Palatino Linotype" w:hAnsi="Palatino Linotype" w:cs="Arial"/>
          <w:sz w:val="24"/>
          <w:szCs w:val="24"/>
        </w:rPr>
        <w:t xml:space="preserve"> presentó sus inconformidades los días </w:t>
      </w:r>
      <w:r w:rsidR="00DC561B" w:rsidRPr="00DC561B">
        <w:rPr>
          <w:rFonts w:ascii="Palatino Linotype" w:hAnsi="Palatino Linotype" w:cs="Arial"/>
          <w:b/>
          <w:sz w:val="24"/>
          <w:szCs w:val="24"/>
        </w:rPr>
        <w:t xml:space="preserve">veintinueve de agosto y </w:t>
      </w:r>
      <w:r w:rsidR="00DC561B" w:rsidRPr="00DC561B">
        <w:rPr>
          <w:rFonts w:ascii="Palatino Linotype" w:hAnsi="Palatino Linotype" w:cs="Arial"/>
          <w:b/>
          <w:sz w:val="24"/>
          <w:szCs w:val="24"/>
        </w:rPr>
        <w:lastRenderedPageBreak/>
        <w:t>cinco de septiembre de dos mil veinticuatro</w:t>
      </w:r>
      <w:r w:rsidRPr="00995B5B">
        <w:rPr>
          <w:rFonts w:ascii="Palatino Linotype" w:hAnsi="Palatino Linotype" w:cs="Arial"/>
          <w:sz w:val="24"/>
          <w:szCs w:val="24"/>
        </w:rPr>
        <w:t>; es decir dentro del lapso legalmente establecido para tal efecto.</w:t>
      </w:r>
    </w:p>
    <w:p w:rsidR="00712BB5" w:rsidRPr="00995B5B" w:rsidRDefault="00712BB5" w:rsidP="00712BB5">
      <w:pPr>
        <w:pStyle w:val="Prrafodelista"/>
        <w:spacing w:line="360" w:lineRule="auto"/>
        <w:ind w:left="0"/>
        <w:jc w:val="both"/>
        <w:rPr>
          <w:rFonts w:ascii="Palatino Linotype" w:eastAsia="Palatino Linotype" w:hAnsi="Palatino Linotype" w:cs="Palatino Linotype"/>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hAnsi="Palatino Linotype"/>
          <w:sz w:val="24"/>
          <w:szCs w:val="24"/>
        </w:rPr>
        <w:t xml:space="preserve">Por </w:t>
      </w:r>
      <w:r w:rsidRPr="00995B5B">
        <w:rPr>
          <w:rFonts w:ascii="Palatino Linotype" w:eastAsia="Calibri" w:hAnsi="Palatino Linotype" w:cs="Arial"/>
          <w:sz w:val="24"/>
          <w:szCs w:val="24"/>
        </w:rPr>
        <w:t>otro</w:t>
      </w:r>
      <w:r w:rsidRPr="00995B5B">
        <w:rPr>
          <w:rFonts w:ascii="Palatino Linotype" w:hAnsi="Palatino Linotype"/>
          <w:sz w:val="24"/>
          <w:szCs w:val="24"/>
        </w:rPr>
        <w:t xml:space="preserve"> </w:t>
      </w:r>
      <w:r w:rsidRPr="00995B5B">
        <w:rPr>
          <w:rFonts w:ascii="Palatino Linotype" w:eastAsia="Calibri" w:hAnsi="Palatino Linotype" w:cs="Arial"/>
          <w:sz w:val="24"/>
          <w:szCs w:val="24"/>
        </w:rPr>
        <w:t>lado</w:t>
      </w:r>
      <w:r w:rsidRPr="00995B5B">
        <w:rPr>
          <w:rFonts w:ascii="Palatino Linotype" w:hAnsi="Palatino Linotype"/>
          <w:sz w:val="24"/>
          <w:szCs w:val="24"/>
        </w:rPr>
        <w:t xml:space="preserve">, </w:t>
      </w:r>
      <w:r w:rsidRPr="00995B5B">
        <w:rPr>
          <w:rFonts w:ascii="Palatino Linotype" w:eastAsia="Calibri" w:hAnsi="Palatino Linotype" w:cs="Arial"/>
          <w:sz w:val="24"/>
          <w:szCs w:val="24"/>
        </w:rPr>
        <w:t>es</w:t>
      </w:r>
      <w:r w:rsidRPr="00995B5B">
        <w:rPr>
          <w:rFonts w:ascii="Palatino Linotype" w:eastAsia="Palatino Linotype" w:hAnsi="Palatino Linotype" w:cs="Palatino Linotype"/>
          <w:sz w:val="24"/>
          <w:szCs w:val="24"/>
        </w:rPr>
        <w:t xml:space="preserve"> de suma importancia señalar que la parte recurrente no </w:t>
      </w:r>
      <w:r w:rsidRPr="00995B5B">
        <w:rPr>
          <w:rFonts w:ascii="Palatino Linotype" w:eastAsia="Calibri" w:hAnsi="Palatino Linotype" w:cs="Arial"/>
          <w:sz w:val="24"/>
          <w:szCs w:val="24"/>
        </w:rPr>
        <w:t>proporciona</w:t>
      </w:r>
      <w:r w:rsidRPr="00995B5B">
        <w:rPr>
          <w:rFonts w:ascii="Palatino Linotype" w:eastAsia="Palatino Linotype" w:hAnsi="Palatino Linotype" w:cs="Palatino Linotype"/>
          <w:sz w:val="24"/>
          <w:szCs w:val="24"/>
        </w:rPr>
        <w:t xml:space="preserve"> un nombre completo o datos de identificación como se advierte en el detalle de </w:t>
      </w:r>
      <w:r w:rsidRPr="00995B5B">
        <w:rPr>
          <w:rFonts w:ascii="Palatino Linotype" w:hAnsi="Palatino Linotype" w:cs="Arial"/>
          <w:sz w:val="24"/>
          <w:szCs w:val="24"/>
          <w:lang w:eastAsia="es-MX"/>
        </w:rPr>
        <w:t>seguimiento</w:t>
      </w:r>
      <w:r w:rsidRPr="00995B5B">
        <w:rPr>
          <w:rFonts w:ascii="Palatino Linotype" w:eastAsia="Palatino Linotype" w:hAnsi="Palatino Linotype" w:cs="Palatino Linotype"/>
          <w:sz w:val="24"/>
          <w:szCs w:val="24"/>
        </w:rPr>
        <w:t xml:space="preserve">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712BB5" w:rsidRPr="00995B5B" w:rsidRDefault="00712BB5" w:rsidP="00712BB5">
      <w:pPr>
        <w:pStyle w:val="Prrafodelista"/>
        <w:spacing w:line="360" w:lineRule="auto"/>
        <w:ind w:left="0"/>
        <w:jc w:val="both"/>
        <w:rPr>
          <w:rFonts w:ascii="Palatino Linotype" w:eastAsia="Palatino Linotype" w:hAnsi="Palatino Linotype" w:cs="Palatino Linotype"/>
          <w:sz w:val="24"/>
          <w:szCs w:val="24"/>
        </w:rPr>
      </w:pPr>
    </w:p>
    <w:p w:rsidR="00712BB5" w:rsidRPr="00995B5B" w:rsidRDefault="00712BB5" w:rsidP="00712BB5">
      <w:pPr>
        <w:pStyle w:val="Textoindependienteprimerasangra2"/>
        <w:ind w:left="1134" w:right="900" w:hanging="76"/>
        <w:jc w:val="both"/>
        <w:rPr>
          <w:rFonts w:ascii="Palatino Linotype" w:eastAsia="Palatino Linotype" w:hAnsi="Palatino Linotype"/>
          <w:i/>
        </w:rPr>
      </w:pPr>
      <w:r w:rsidRPr="00995B5B">
        <w:rPr>
          <w:rFonts w:ascii="Palatino Linotype" w:eastAsia="Palatino Linotype" w:hAnsi="Palatino Linotype"/>
          <w:i/>
        </w:rPr>
        <w:t>“</w:t>
      </w:r>
      <w:r w:rsidRPr="00995B5B">
        <w:rPr>
          <w:rFonts w:ascii="Palatino Linotype" w:eastAsia="Palatino Linotype" w:hAnsi="Palatino Linotype"/>
          <w:b/>
          <w:i/>
        </w:rPr>
        <w:t>Las solicitudes anónimas</w:t>
      </w:r>
      <w:r w:rsidRPr="00995B5B">
        <w:rPr>
          <w:rFonts w:ascii="Palatino Linotype" w:eastAsia="Palatino Linotype" w:hAnsi="Palatino Linotype"/>
          <w:i/>
        </w:rPr>
        <w:t xml:space="preserve">, con nombre incompleto o seudónimo </w:t>
      </w:r>
      <w:r w:rsidRPr="00995B5B">
        <w:rPr>
          <w:rFonts w:ascii="Palatino Linotype" w:eastAsia="Palatino Linotype" w:hAnsi="Palatino Linotype"/>
          <w:b/>
          <w:i/>
        </w:rPr>
        <w:t>serán procedentes para su trámite por parte del sujeto obligado ante quien se presente</w:t>
      </w:r>
      <w:r w:rsidRPr="00995B5B">
        <w:rPr>
          <w:rFonts w:ascii="Palatino Linotype" w:eastAsia="Palatino Linotype" w:hAnsi="Palatino Linotype"/>
          <w:i/>
        </w:rPr>
        <w:t>. No podrá requerirse información adicional con motivo del nombre proporcionado por el solicitante.”</w:t>
      </w:r>
    </w:p>
    <w:p w:rsidR="00712BB5" w:rsidRPr="00995B5B" w:rsidRDefault="00712BB5" w:rsidP="00712BB5">
      <w:pPr>
        <w:pStyle w:val="Textoindependienteprimerasangra2"/>
        <w:ind w:left="0" w:right="758" w:firstLine="0"/>
        <w:rPr>
          <w:rFonts w:ascii="Palatino Linotype" w:eastAsia="Palatino Linotype" w:hAnsi="Palatino Linotype"/>
          <w:i/>
        </w:rPr>
      </w:pPr>
    </w:p>
    <w:p w:rsidR="00712BB5" w:rsidRPr="00995B5B" w:rsidRDefault="00712BB5" w:rsidP="00712BB5">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hAnsi="Palatino Linotype"/>
          <w:sz w:val="24"/>
          <w:szCs w:val="24"/>
        </w:rPr>
        <w:t>Robusteciendo</w:t>
      </w:r>
      <w:r w:rsidRPr="00995B5B">
        <w:rPr>
          <w:rFonts w:ascii="Palatino Linotype" w:eastAsia="Palatino Linotype" w:hAnsi="Palatino Linotype" w:cs="Palatino Linotype"/>
          <w:sz w:val="24"/>
          <w:szCs w:val="24"/>
        </w:rPr>
        <w:t xml:space="preserve"> lo anterior se encuentra lo dispuesto en el artículo 6, Apartado A, </w:t>
      </w:r>
      <w:r w:rsidRPr="00995B5B">
        <w:rPr>
          <w:rFonts w:ascii="Palatino Linotype" w:eastAsia="Calibri" w:hAnsi="Palatino Linotype" w:cs="Arial"/>
          <w:sz w:val="24"/>
          <w:szCs w:val="24"/>
        </w:rPr>
        <w:t>fracciones</w:t>
      </w:r>
      <w:r w:rsidRPr="00995B5B">
        <w:rPr>
          <w:rFonts w:ascii="Palatino Linotype" w:eastAsia="Palatino Linotype" w:hAnsi="Palatino Linotype" w:cs="Palatino Linotype"/>
          <w:sz w:val="24"/>
          <w:szCs w:val="24"/>
        </w:rPr>
        <w:t xml:space="preserve"> III de la Constitución Política de los Estados Unidos Mexicanos que establece:</w:t>
      </w:r>
    </w:p>
    <w:p w:rsidR="00712BB5" w:rsidRPr="00995B5B" w:rsidRDefault="00712BB5" w:rsidP="00712BB5">
      <w:pPr>
        <w:spacing w:line="360" w:lineRule="auto"/>
        <w:ind w:right="474"/>
        <w:jc w:val="both"/>
        <w:rPr>
          <w:rFonts w:ascii="Palatino Linotype" w:eastAsia="Palatino Linotype" w:hAnsi="Palatino Linotype" w:cs="Palatino Linotype"/>
          <w:i/>
        </w:rPr>
      </w:pPr>
    </w:p>
    <w:p w:rsidR="00712BB5" w:rsidRPr="00995B5B" w:rsidRDefault="00712BB5" w:rsidP="00712BB5">
      <w:pPr>
        <w:pStyle w:val="Textoindependienteprimerasangra2"/>
        <w:ind w:left="1134" w:right="900" w:hanging="76"/>
        <w:jc w:val="both"/>
        <w:rPr>
          <w:rFonts w:ascii="Palatino Linotype" w:eastAsia="Palatino Linotype" w:hAnsi="Palatino Linotype"/>
          <w:i/>
        </w:rPr>
      </w:pPr>
      <w:r w:rsidRPr="00995B5B">
        <w:rPr>
          <w:rFonts w:ascii="Palatino Linotype" w:eastAsia="Palatino Linotype" w:hAnsi="Palatino Linotype"/>
          <w:i/>
        </w:rPr>
        <w:t>“</w:t>
      </w:r>
      <w:r w:rsidRPr="00995B5B">
        <w:rPr>
          <w:rFonts w:ascii="Palatino Linotype" w:eastAsia="Palatino Linotype" w:hAnsi="Palatino Linotype"/>
          <w:b/>
          <w:i/>
        </w:rPr>
        <w:t>Artículo 6.-</w:t>
      </w:r>
      <w:r w:rsidRPr="00995B5B">
        <w:rPr>
          <w:rFonts w:ascii="Palatino Linotype" w:eastAsia="Palatino Linotype" w:hAnsi="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712BB5" w:rsidRPr="00995B5B" w:rsidRDefault="00712BB5" w:rsidP="00712BB5">
      <w:pPr>
        <w:pStyle w:val="Sangradetextonormal"/>
        <w:ind w:left="1134" w:right="900"/>
        <w:jc w:val="both"/>
        <w:rPr>
          <w:rFonts w:ascii="Palatino Linotype" w:eastAsia="Palatino Linotype" w:hAnsi="Palatino Linotype"/>
          <w:i/>
        </w:rPr>
      </w:pPr>
      <w:r w:rsidRPr="00995B5B">
        <w:rPr>
          <w:rFonts w:ascii="Palatino Linotype" w:eastAsia="Palatino Linotype" w:hAnsi="Palatino Linotype"/>
          <w:i/>
        </w:rPr>
        <w:lastRenderedPageBreak/>
        <w:t>Para efectos de lo dispuesto en el presente artículo se observará lo siguiente:</w:t>
      </w:r>
    </w:p>
    <w:p w:rsidR="00712BB5" w:rsidRPr="00995B5B" w:rsidRDefault="00712BB5" w:rsidP="00712BB5">
      <w:pPr>
        <w:pStyle w:val="Textoindependienteprimerasangra2"/>
        <w:ind w:left="1134" w:right="900" w:firstLine="0"/>
        <w:jc w:val="both"/>
        <w:rPr>
          <w:rFonts w:ascii="Palatino Linotype" w:eastAsia="Palatino Linotype" w:hAnsi="Palatino Linotype"/>
          <w:i/>
        </w:rPr>
      </w:pPr>
      <w:r w:rsidRPr="00995B5B">
        <w:rPr>
          <w:rFonts w:ascii="Palatino Linotype" w:eastAsia="Palatino Linotype" w:hAnsi="Palatino Linotype"/>
          <w:i/>
        </w:rPr>
        <w:t>A. Para el ejercicio del derecho de acceso a la información, la Federación, los Estados y el Distrito Federal, en el ámbito de sus respectivas competencias, se regirán por los siguientes principios y bases:</w:t>
      </w:r>
    </w:p>
    <w:p w:rsidR="00712BB5" w:rsidRPr="00995B5B" w:rsidRDefault="00712BB5" w:rsidP="00712BB5">
      <w:pPr>
        <w:pStyle w:val="Textoindependienteprimerasangra2"/>
        <w:ind w:left="1134" w:right="900" w:firstLine="0"/>
        <w:jc w:val="both"/>
        <w:rPr>
          <w:rFonts w:ascii="Palatino Linotype" w:eastAsia="Palatino Linotype" w:hAnsi="Palatino Linotype"/>
          <w:i/>
        </w:rPr>
      </w:pPr>
      <w:r w:rsidRPr="00995B5B">
        <w:rPr>
          <w:rFonts w:ascii="Palatino Linotype" w:eastAsia="Palatino Linotype" w:hAnsi="Palatino Linotype"/>
          <w:i/>
        </w:rPr>
        <w:t>III. Toda persona, sin necesidad de acreditar interés alguno o justificar su utilización, tendrá acceso gratuito a la información pública, a sus datos personales o a la rectificación de éstos.”(Sic)</w:t>
      </w:r>
    </w:p>
    <w:p w:rsidR="00712BB5" w:rsidRPr="00995B5B" w:rsidRDefault="00712BB5" w:rsidP="00712BB5">
      <w:pPr>
        <w:pStyle w:val="Textoindependienteprimerasangra2"/>
        <w:ind w:hanging="76"/>
        <w:rPr>
          <w:rFonts w:ascii="Palatino Linotype" w:eastAsia="Palatino Linotype" w:hAnsi="Palatino Linotype"/>
          <w:i/>
        </w:rPr>
      </w:pPr>
    </w:p>
    <w:p w:rsidR="00712BB5" w:rsidRPr="00995B5B" w:rsidRDefault="00712BB5" w:rsidP="00712BB5">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eastAsia="Palatino Linotype" w:hAnsi="Palatino Linotype" w:cs="Palatino Linotype"/>
          <w:sz w:val="24"/>
          <w:szCs w:val="24"/>
        </w:rPr>
        <w:t xml:space="preserve">Así </w:t>
      </w:r>
      <w:r w:rsidRPr="00995B5B">
        <w:rPr>
          <w:rFonts w:ascii="Palatino Linotype" w:hAnsi="Palatino Linotype"/>
          <w:sz w:val="24"/>
          <w:szCs w:val="24"/>
        </w:rPr>
        <w:t>como</w:t>
      </w:r>
      <w:r w:rsidRPr="00995B5B">
        <w:rPr>
          <w:rFonts w:ascii="Palatino Linotype" w:eastAsia="Palatino Linotype" w:hAnsi="Palatino Linotype" w:cs="Palatino Linotype"/>
          <w:sz w:val="24"/>
          <w:szCs w:val="24"/>
        </w:rPr>
        <w:t xml:space="preserve"> el artículo 5 fracción III, párrafo vigésimo noveno, trigésimo y </w:t>
      </w:r>
      <w:r w:rsidRPr="00995B5B">
        <w:rPr>
          <w:rFonts w:ascii="Palatino Linotype" w:hAnsi="Palatino Linotype"/>
          <w:sz w:val="24"/>
          <w:szCs w:val="24"/>
        </w:rPr>
        <w:t>trigésimo</w:t>
      </w:r>
      <w:r w:rsidRPr="00995B5B">
        <w:rPr>
          <w:rFonts w:ascii="Palatino Linotype" w:eastAsia="Palatino Linotype" w:hAnsi="Palatino Linotype" w:cs="Palatino Linotype"/>
          <w:sz w:val="24"/>
          <w:szCs w:val="24"/>
        </w:rPr>
        <w:t xml:space="preserve"> </w:t>
      </w:r>
      <w:r w:rsidRPr="00995B5B">
        <w:rPr>
          <w:rFonts w:ascii="Palatino Linotype" w:eastAsia="Calibri" w:hAnsi="Palatino Linotype" w:cs="Arial"/>
          <w:sz w:val="24"/>
          <w:szCs w:val="24"/>
        </w:rPr>
        <w:t>primero</w:t>
      </w:r>
      <w:r w:rsidRPr="00995B5B">
        <w:rPr>
          <w:rFonts w:ascii="Palatino Linotype" w:eastAsia="Palatino Linotype" w:hAnsi="Palatino Linotype" w:cs="Palatino Linotype"/>
          <w:sz w:val="24"/>
          <w:szCs w:val="24"/>
        </w:rPr>
        <w:t>, de la Constitución Política del Estado Libre y Soberano de México, que determina lo siguiente:</w:t>
      </w:r>
    </w:p>
    <w:p w:rsidR="00712BB5" w:rsidRPr="00995B5B" w:rsidRDefault="00712BB5" w:rsidP="00712BB5">
      <w:pPr>
        <w:pStyle w:val="Prrafodelista"/>
        <w:spacing w:line="360" w:lineRule="auto"/>
        <w:ind w:left="0"/>
        <w:jc w:val="both"/>
        <w:rPr>
          <w:rFonts w:ascii="Palatino Linotype" w:eastAsia="Palatino Linotype" w:hAnsi="Palatino Linotype" w:cs="Palatino Linotype"/>
          <w:sz w:val="24"/>
          <w:szCs w:val="24"/>
        </w:rPr>
      </w:pPr>
    </w:p>
    <w:p w:rsidR="00712BB5" w:rsidRPr="00995B5B" w:rsidRDefault="00712BB5" w:rsidP="00712BB5">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t>“</w:t>
      </w:r>
      <w:r w:rsidRPr="00995B5B">
        <w:rPr>
          <w:rFonts w:ascii="Palatino Linotype" w:eastAsia="Palatino Linotype" w:hAnsi="Palatino Linotype"/>
          <w:b/>
          <w:i/>
        </w:rPr>
        <w:t>Artículo 5.-</w:t>
      </w:r>
      <w:r w:rsidRPr="00995B5B">
        <w:rPr>
          <w:rFonts w:ascii="Palatino Linotype" w:eastAsia="Palatino Linotype" w:hAnsi="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712BB5" w:rsidRPr="00995B5B" w:rsidRDefault="00712BB5" w:rsidP="00712BB5">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rsidR="00712BB5" w:rsidRPr="00995B5B" w:rsidRDefault="00712BB5" w:rsidP="00712BB5">
      <w:pPr>
        <w:pStyle w:val="Textoindependienteprimerasangra2"/>
        <w:ind w:left="1134" w:right="900"/>
        <w:jc w:val="both"/>
        <w:rPr>
          <w:rFonts w:ascii="Palatino Linotype" w:eastAsia="Palatino Linotype" w:hAnsi="Palatino Linotype"/>
          <w:i/>
        </w:rPr>
      </w:pPr>
      <w:r w:rsidRPr="00995B5B">
        <w:rPr>
          <w:rFonts w:ascii="Palatino Linotype" w:eastAsia="Palatino Linotype" w:hAnsi="Palatino Linotype"/>
          <w:i/>
        </w:rPr>
        <w:t>Toda persona en el Estado de México, tiene derecho al libre acceso a la información plural y oportuna, así como a buscar recibir y difundir información e ideas de toda índole por cualquier medio de expresión.</w:t>
      </w:r>
    </w:p>
    <w:p w:rsidR="00712BB5" w:rsidRPr="00995B5B" w:rsidRDefault="00712BB5" w:rsidP="00712BB5">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rsidR="00712BB5" w:rsidRPr="00995B5B" w:rsidRDefault="00712BB5" w:rsidP="00712BB5">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t>El derecho a la información será garantizado por el Estado. La ley establecerá las previsiones que permitan asegurar la protección, el respeto y la difusión de este derecho.</w:t>
      </w:r>
    </w:p>
    <w:p w:rsidR="00712BB5" w:rsidRPr="00995B5B" w:rsidRDefault="00712BB5" w:rsidP="00712BB5">
      <w:pPr>
        <w:pStyle w:val="Textoindependienteprimerasangra2"/>
        <w:ind w:left="1134" w:right="900" w:firstLine="66"/>
        <w:jc w:val="both"/>
        <w:rPr>
          <w:rFonts w:ascii="Palatino Linotype" w:eastAsia="Palatino Linotype" w:hAnsi="Palatino Linotype"/>
          <w:i/>
        </w:rPr>
      </w:pPr>
    </w:p>
    <w:p w:rsidR="00712BB5" w:rsidRPr="00995B5B" w:rsidRDefault="00712BB5" w:rsidP="00712BB5">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t xml:space="preserve">Para garantizar el ejercicio del derecho de transparencia, acceso a la información pública y protección de datos personales, los poderes </w:t>
      </w:r>
      <w:r w:rsidRPr="00995B5B">
        <w:rPr>
          <w:rFonts w:ascii="Palatino Linotype" w:eastAsia="Palatino Linotype" w:hAnsi="Palatino Linotype"/>
          <w:i/>
        </w:rPr>
        <w:lastRenderedPageBreak/>
        <w:t>públicos y los organismos autónomos, transparentarán sus acciones, en términos de las disposiciones aplicables, la información será oportuna, clara, veraz y de fácil acceso. Este derecho se regirá por los principios y bases siguientes:</w:t>
      </w:r>
    </w:p>
    <w:p w:rsidR="00712BB5" w:rsidRPr="00995B5B" w:rsidRDefault="00712BB5" w:rsidP="00712BB5">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t>III. Toda persona, sin necesidad de acreditar interés alguno o justificar su utilización, tendrá acceso gratuito a la información pública, a sus datos personales o a la rectificación de éstos;</w:t>
      </w:r>
    </w:p>
    <w:p w:rsidR="00712BB5" w:rsidRPr="00995B5B" w:rsidRDefault="00712BB5" w:rsidP="00712BB5">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rsidR="00712BB5" w:rsidRPr="00995B5B" w:rsidRDefault="00712BB5" w:rsidP="00712BB5">
      <w:pPr>
        <w:pStyle w:val="Textoindependienteprimerasangra2"/>
        <w:ind w:left="1134" w:right="900" w:hanging="76"/>
        <w:jc w:val="both"/>
        <w:rPr>
          <w:rFonts w:ascii="Palatino Linotype" w:eastAsia="Palatino Linotype" w:hAnsi="Palatino Linotype"/>
          <w:i/>
        </w:rPr>
      </w:pPr>
      <w:r w:rsidRPr="00995B5B">
        <w:rPr>
          <w:rFonts w:ascii="Palatino Linotype" w:eastAsia="Palatino Linotype" w:hAnsi="Palatino Linotype"/>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712BB5" w:rsidRPr="00995B5B" w:rsidRDefault="00712BB5" w:rsidP="00712BB5">
      <w:pPr>
        <w:pStyle w:val="Textoindependienteprimerasangra2"/>
        <w:ind w:hanging="76"/>
        <w:rPr>
          <w:rFonts w:ascii="Palatino Linotype" w:eastAsia="Palatino Linotype" w:hAnsi="Palatino Linotype"/>
          <w:i/>
        </w:rPr>
      </w:pPr>
    </w:p>
    <w:p w:rsidR="00712BB5" w:rsidRPr="00995B5B" w:rsidRDefault="00712BB5" w:rsidP="00712BB5">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rsidR="00712BB5" w:rsidRPr="00995B5B" w:rsidRDefault="00712BB5" w:rsidP="00712BB5">
      <w:pPr>
        <w:pStyle w:val="Prrafodelista"/>
        <w:spacing w:line="360" w:lineRule="auto"/>
        <w:ind w:left="0"/>
        <w:jc w:val="both"/>
        <w:rPr>
          <w:rFonts w:ascii="Palatino Linotype" w:eastAsia="Palatino Linotype" w:hAnsi="Palatino Linotype" w:cs="Palatino Linotype"/>
          <w:sz w:val="24"/>
          <w:szCs w:val="24"/>
        </w:rPr>
      </w:pPr>
    </w:p>
    <w:p w:rsidR="00712BB5" w:rsidRPr="00995B5B" w:rsidRDefault="00712BB5" w:rsidP="00712BB5">
      <w:pPr>
        <w:pStyle w:val="Textoindependienteprimerasangra2"/>
        <w:ind w:left="1134" w:right="900" w:hanging="76"/>
        <w:jc w:val="both"/>
        <w:rPr>
          <w:rFonts w:ascii="Palatino Linotype" w:eastAsia="Palatino Linotype" w:hAnsi="Palatino Linotype"/>
          <w:i/>
        </w:rPr>
      </w:pPr>
      <w:r w:rsidRPr="00995B5B">
        <w:rPr>
          <w:rFonts w:ascii="Palatino Linotype" w:eastAsia="Palatino Linotype" w:hAnsi="Palatino Linotype"/>
          <w:i/>
        </w:rPr>
        <w:t>“</w:t>
      </w:r>
      <w:r w:rsidRPr="00995B5B">
        <w:rPr>
          <w:rFonts w:ascii="Palatino Linotype" w:eastAsia="Palatino Linotype" w:hAnsi="Palatino Linotype"/>
          <w:b/>
          <w:i/>
        </w:rPr>
        <w:t>Artículo 1</w:t>
      </w:r>
      <w:r w:rsidRPr="00995B5B">
        <w:rPr>
          <w:rFonts w:ascii="Palatino Linotype" w:eastAsia="Palatino Linotype" w:hAnsi="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712BB5" w:rsidRPr="00995B5B" w:rsidRDefault="00712BB5" w:rsidP="00712BB5">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t>Las normas relativas a los derechos humanos se interpretarán de conformidad con esta Constitución y con los tratados internacionales de la materia favoreciendo en todo tiempo a las personas la protección más amplia.</w:t>
      </w:r>
    </w:p>
    <w:p w:rsidR="00712BB5" w:rsidRPr="00995B5B" w:rsidRDefault="00712BB5" w:rsidP="00712BB5">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t xml:space="preserve">Todas las autoridades, en el ámbito de sus competencias, tienen la obligación de promover, respetar, proteger y garantizar los derechos humanos de conformidad con los principios de universalidad, </w:t>
      </w:r>
      <w:r w:rsidRPr="00995B5B">
        <w:rPr>
          <w:rFonts w:ascii="Palatino Linotype" w:eastAsia="Palatino Linotype" w:hAnsi="Palatino Linotype"/>
          <w:i/>
        </w:rPr>
        <w:lastRenderedPageBreak/>
        <w:t>interdependencia, indivisibilidad y progresividad. En consecuencia, el Estado deberá prevenir, investigar, sancionar y reparar las violaciones a los derechos humanos, en los términos que establezca la ley.”(Sic)</w:t>
      </w:r>
    </w:p>
    <w:p w:rsidR="00712BB5" w:rsidRPr="00995B5B" w:rsidRDefault="00712BB5" w:rsidP="00712BB5">
      <w:pPr>
        <w:pStyle w:val="Textoindependienteprimerasangra2"/>
        <w:ind w:firstLine="66"/>
        <w:rPr>
          <w:rFonts w:ascii="Palatino Linotype" w:eastAsia="Palatino Linotype" w:hAnsi="Palatino Linotype"/>
          <w:i/>
        </w:rPr>
      </w:pPr>
    </w:p>
    <w:p w:rsidR="00712BB5" w:rsidRPr="00995B5B" w:rsidRDefault="00712BB5" w:rsidP="00712BB5">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eastAsia="Palatino Linotype" w:hAnsi="Palatino Linotype" w:cs="Palatino Linotype"/>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995B5B">
        <w:rPr>
          <w:rFonts w:ascii="Palatino Linotype" w:eastAsia="Palatino Linotype" w:hAnsi="Palatino Linotype" w:cs="Palatino Linotype"/>
          <w:i/>
          <w:sz w:val="24"/>
          <w:szCs w:val="24"/>
        </w:rPr>
        <w:t>derecho fundamental exime a quien lo ejerce</w:t>
      </w:r>
      <w:r w:rsidRPr="00995B5B">
        <w:rPr>
          <w:rFonts w:ascii="Palatino Linotype" w:eastAsia="Palatino Linotype" w:hAnsi="Palatino Linotype" w:cs="Palatino Linotype"/>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712BB5" w:rsidRPr="00995B5B" w:rsidRDefault="00712BB5" w:rsidP="00712BB5">
      <w:pPr>
        <w:pStyle w:val="Prrafodelista"/>
        <w:spacing w:line="360" w:lineRule="auto"/>
        <w:ind w:left="0"/>
        <w:jc w:val="both"/>
        <w:rPr>
          <w:rFonts w:ascii="Palatino Linotype" w:eastAsia="Palatino Linotype" w:hAnsi="Palatino Linotype" w:cs="Palatino Linotype"/>
          <w:sz w:val="24"/>
          <w:szCs w:val="24"/>
        </w:rPr>
      </w:pPr>
    </w:p>
    <w:p w:rsidR="00712BB5" w:rsidRPr="00995B5B" w:rsidRDefault="00712BB5" w:rsidP="00712BB5">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eastAsia="Palatino Linotype" w:hAnsi="Palatino Linotype" w:cs="Palatino Linotype"/>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712BB5" w:rsidRPr="00995B5B" w:rsidRDefault="00712BB5" w:rsidP="00712BB5">
      <w:pPr>
        <w:spacing w:line="360" w:lineRule="auto"/>
        <w:jc w:val="both"/>
        <w:rPr>
          <w:rFonts w:ascii="Palatino Linotype" w:eastAsia="Palatino Linotype" w:hAnsi="Palatino Linotype" w:cs="Palatino Linotype"/>
        </w:rPr>
      </w:pPr>
    </w:p>
    <w:p w:rsidR="00712BB5" w:rsidRPr="00995B5B" w:rsidRDefault="00712BB5" w:rsidP="00712BB5">
      <w:pPr>
        <w:pStyle w:val="Textoindependienteprimerasangra2"/>
        <w:ind w:left="1134" w:right="900" w:hanging="76"/>
        <w:jc w:val="both"/>
        <w:rPr>
          <w:rFonts w:ascii="Palatino Linotype" w:eastAsia="Palatino Linotype" w:hAnsi="Palatino Linotype"/>
          <w:i/>
        </w:rPr>
      </w:pPr>
      <w:r w:rsidRPr="00995B5B">
        <w:rPr>
          <w:rFonts w:ascii="Palatino Linotype" w:eastAsia="Palatino Linotype" w:hAnsi="Palatino Linotype"/>
          <w:i/>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w:t>
      </w:r>
      <w:r w:rsidRPr="00995B5B">
        <w:rPr>
          <w:rFonts w:ascii="Palatino Linotype" w:eastAsia="Palatino Linotype" w:hAnsi="Palatino Linotype"/>
          <w:i/>
        </w:rPr>
        <w:lastRenderedPageBreak/>
        <w:t>entidades, sólo deberán asegurarse de que, en su caso, se haya cubierto el pago de reproducción y envío de la información, mediante la exhibición del recibo correspondiente.”(Sic)</w:t>
      </w:r>
    </w:p>
    <w:p w:rsidR="00712BB5" w:rsidRPr="00995B5B" w:rsidRDefault="00712BB5" w:rsidP="00712BB5">
      <w:pPr>
        <w:pStyle w:val="Textoindependienteprimerasangra2"/>
        <w:ind w:hanging="76"/>
        <w:jc w:val="both"/>
        <w:rPr>
          <w:rFonts w:ascii="Palatino Linotype" w:eastAsia="Palatino Linotype" w:hAnsi="Palatino Linotype"/>
          <w:i/>
        </w:rPr>
      </w:pPr>
    </w:p>
    <w:p w:rsidR="00712BB5" w:rsidRPr="00995B5B" w:rsidRDefault="00712BB5" w:rsidP="00712BB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eastAsia="Calibri" w:hAnsi="Palatino Linotype" w:cs="Arial"/>
          <w:sz w:val="24"/>
          <w:szCs w:val="24"/>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712BB5" w:rsidRPr="00995B5B" w:rsidRDefault="00712BB5" w:rsidP="00712BB5">
      <w:pPr>
        <w:spacing w:line="360" w:lineRule="auto"/>
        <w:rPr>
          <w:rFonts w:ascii="Palatino Linotype" w:hAnsi="Palatino Linotype"/>
        </w:rPr>
      </w:pPr>
    </w:p>
    <w:p w:rsidR="00712BB5" w:rsidRPr="00995B5B" w:rsidRDefault="00712BB5" w:rsidP="00712BB5">
      <w:pPr>
        <w:pStyle w:val="Ttulo1"/>
        <w:spacing w:before="0" w:line="360" w:lineRule="auto"/>
        <w:rPr>
          <w:rFonts w:ascii="Palatino Linotype" w:hAnsi="Palatino Linotype"/>
          <w:b/>
          <w:color w:val="000000" w:themeColor="text1"/>
          <w:sz w:val="24"/>
          <w:szCs w:val="24"/>
        </w:rPr>
      </w:pPr>
      <w:bookmarkStart w:id="144" w:name="_Toc85733160"/>
      <w:r w:rsidRPr="00995B5B">
        <w:rPr>
          <w:rFonts w:ascii="Palatino Linotype" w:hAnsi="Palatino Linotype" w:cs="Arial"/>
          <w:b/>
          <w:color w:val="000000" w:themeColor="text1"/>
          <w:sz w:val="24"/>
          <w:szCs w:val="24"/>
        </w:rPr>
        <w:t xml:space="preserve">TERCERO. </w:t>
      </w:r>
      <w:bookmarkEnd w:id="142"/>
      <w:bookmarkEnd w:id="143"/>
      <w:bookmarkEnd w:id="144"/>
      <w:r w:rsidRPr="00995B5B">
        <w:rPr>
          <w:rFonts w:ascii="Palatino Linotype" w:hAnsi="Palatino Linotype"/>
          <w:b/>
          <w:color w:val="000000" w:themeColor="text1"/>
          <w:sz w:val="24"/>
          <w:szCs w:val="24"/>
        </w:rPr>
        <w:t xml:space="preserve">Del planteamiento de la </w:t>
      </w:r>
      <w:r w:rsidRPr="00995B5B">
        <w:rPr>
          <w:rFonts w:ascii="Palatino Linotype" w:hAnsi="Palatino Linotype"/>
          <w:b/>
          <w:i/>
          <w:color w:val="000000" w:themeColor="text1"/>
          <w:sz w:val="24"/>
          <w:szCs w:val="24"/>
        </w:rPr>
        <w:t>Litis</w:t>
      </w:r>
      <w:r w:rsidRPr="00995B5B">
        <w:rPr>
          <w:rFonts w:ascii="Palatino Linotype" w:hAnsi="Palatino Linotype"/>
          <w:b/>
          <w:color w:val="000000" w:themeColor="text1"/>
          <w:sz w:val="24"/>
          <w:szCs w:val="24"/>
        </w:rPr>
        <w:t>.</w:t>
      </w:r>
    </w:p>
    <w:p w:rsidR="00712BB5" w:rsidRPr="00995B5B" w:rsidRDefault="00712BB5" w:rsidP="00712BB5">
      <w:pPr>
        <w:pStyle w:val="Prrafodelista"/>
        <w:numPr>
          <w:ilvl w:val="0"/>
          <w:numId w:val="2"/>
        </w:numPr>
        <w:spacing w:line="360" w:lineRule="auto"/>
        <w:ind w:left="0" w:firstLine="0"/>
        <w:contextualSpacing/>
        <w:jc w:val="both"/>
        <w:rPr>
          <w:rFonts w:ascii="Palatino Linotype" w:eastAsiaTheme="minorEastAsia" w:hAnsi="Palatino Linotype" w:cs="Arial"/>
          <w:b/>
          <w:sz w:val="24"/>
          <w:szCs w:val="24"/>
          <w:lang w:val="es-ES_tradnl"/>
        </w:rPr>
      </w:pPr>
      <w:r w:rsidRPr="00995B5B">
        <w:rPr>
          <w:rFonts w:ascii="Palatino Linotype" w:eastAsiaTheme="minorEastAsia" w:hAnsi="Palatino Linotype" w:cs="Arial"/>
          <w:sz w:val="24"/>
          <w:szCs w:val="24"/>
          <w:lang w:val="es-ES_tradnl"/>
        </w:rPr>
        <w:t xml:space="preserve">De las constancias en el expediente al rubro indicado, se desprende que la particular </w:t>
      </w:r>
      <w:r w:rsidRPr="00995B5B">
        <w:rPr>
          <w:rFonts w:ascii="Palatino Linotype" w:eastAsia="Calibri" w:hAnsi="Palatino Linotype" w:cs="Arial"/>
          <w:sz w:val="24"/>
          <w:szCs w:val="24"/>
          <w:lang w:val="es-ES_tradnl"/>
        </w:rPr>
        <w:t>solicitó</w:t>
      </w:r>
      <w:r w:rsidRPr="00995B5B">
        <w:rPr>
          <w:rFonts w:ascii="Palatino Linotype" w:eastAsiaTheme="minorEastAsia" w:hAnsi="Palatino Linotype" w:cs="Arial"/>
          <w:sz w:val="24"/>
          <w:szCs w:val="24"/>
          <w:lang w:val="es-ES_tradnl"/>
        </w:rPr>
        <w:t xml:space="preserve"> la </w:t>
      </w:r>
      <w:r w:rsidRPr="00995B5B">
        <w:rPr>
          <w:rFonts w:ascii="Palatino Linotype" w:eastAsia="Calibri" w:hAnsi="Palatino Linotype" w:cs="Arial"/>
          <w:sz w:val="24"/>
          <w:szCs w:val="24"/>
        </w:rPr>
        <w:t>información</w:t>
      </w:r>
      <w:r w:rsidRPr="00995B5B">
        <w:rPr>
          <w:rFonts w:ascii="Palatino Linotype" w:eastAsiaTheme="minorEastAsia" w:hAnsi="Palatino Linotype" w:cs="Arial"/>
          <w:sz w:val="24"/>
          <w:szCs w:val="24"/>
          <w:lang w:val="es-ES_tradnl"/>
        </w:rPr>
        <w:t xml:space="preserve"> que a continuación se desagrega:</w:t>
      </w:r>
    </w:p>
    <w:p w:rsidR="00712BB5" w:rsidRPr="00995B5B" w:rsidRDefault="00712BB5" w:rsidP="00712BB5">
      <w:pPr>
        <w:pStyle w:val="Prrafodelista"/>
        <w:spacing w:line="360" w:lineRule="auto"/>
        <w:ind w:left="0"/>
        <w:contextualSpacing/>
        <w:jc w:val="both"/>
        <w:rPr>
          <w:rFonts w:ascii="Palatino Linotype" w:eastAsiaTheme="minorEastAsia" w:hAnsi="Palatino Linotype" w:cs="Arial"/>
          <w:b/>
          <w:sz w:val="24"/>
          <w:szCs w:val="24"/>
          <w:lang w:val="es-ES_tradnl"/>
        </w:rPr>
      </w:pPr>
    </w:p>
    <w:p w:rsidR="00712BB5" w:rsidRDefault="00DC561B" w:rsidP="00712BB5">
      <w:pPr>
        <w:pStyle w:val="Prrafodelista"/>
        <w:spacing w:line="360" w:lineRule="auto"/>
        <w:ind w:left="778"/>
        <w:contextualSpacing/>
        <w:jc w:val="both"/>
        <w:rPr>
          <w:rFonts w:ascii="Palatino Linotype" w:hAnsi="Palatino Linotype" w:cs="Arial"/>
          <w:b/>
          <w:bCs/>
          <w:sz w:val="24"/>
          <w:szCs w:val="24"/>
          <w:lang w:val="es-MX"/>
        </w:rPr>
      </w:pPr>
      <w:r>
        <w:rPr>
          <w:rFonts w:ascii="Palatino Linotype" w:hAnsi="Palatino Linotype" w:cs="Arial"/>
          <w:b/>
          <w:bCs/>
          <w:sz w:val="24"/>
          <w:szCs w:val="24"/>
          <w:lang w:val="es-MX"/>
        </w:rPr>
        <w:t xml:space="preserve">Recurso de Revisión </w:t>
      </w:r>
      <w:r w:rsidRPr="00DC561B">
        <w:rPr>
          <w:rFonts w:ascii="Palatino Linotype" w:hAnsi="Palatino Linotype" w:cs="Arial"/>
          <w:b/>
          <w:bCs/>
          <w:sz w:val="24"/>
          <w:szCs w:val="24"/>
          <w:lang w:val="es-MX"/>
        </w:rPr>
        <w:t>05233/INFOEM/IP/RR/2024</w:t>
      </w:r>
      <w:r>
        <w:rPr>
          <w:rFonts w:ascii="Palatino Linotype" w:hAnsi="Palatino Linotype" w:cs="Arial"/>
          <w:b/>
          <w:bCs/>
          <w:sz w:val="24"/>
          <w:szCs w:val="24"/>
          <w:lang w:val="es-MX"/>
        </w:rPr>
        <w:t xml:space="preserve">: </w:t>
      </w:r>
    </w:p>
    <w:p w:rsidR="00DC561B" w:rsidRDefault="00DC561B" w:rsidP="00DC561B">
      <w:pPr>
        <w:pStyle w:val="Prrafodelista"/>
        <w:numPr>
          <w:ilvl w:val="0"/>
          <w:numId w:val="25"/>
        </w:numPr>
        <w:spacing w:line="360" w:lineRule="auto"/>
        <w:contextualSpacing/>
        <w:jc w:val="both"/>
        <w:rPr>
          <w:rFonts w:ascii="Palatino Linotype" w:hAnsi="Palatino Linotype" w:cs="Arial"/>
          <w:b/>
          <w:sz w:val="24"/>
          <w:szCs w:val="24"/>
        </w:rPr>
      </w:pPr>
      <w:r>
        <w:rPr>
          <w:rFonts w:ascii="Palatino Linotype" w:hAnsi="Palatino Linotype" w:cs="Arial"/>
          <w:b/>
          <w:sz w:val="24"/>
          <w:szCs w:val="24"/>
        </w:rPr>
        <w:t xml:space="preserve">Nómina y concepto de pensión alimenticia de la servidora pública referida en la solicitud de información. </w:t>
      </w:r>
    </w:p>
    <w:p w:rsidR="007A0560" w:rsidRDefault="007A0560" w:rsidP="007A0560">
      <w:pPr>
        <w:spacing w:line="360" w:lineRule="auto"/>
        <w:ind w:left="851"/>
        <w:contextualSpacing/>
        <w:jc w:val="both"/>
        <w:rPr>
          <w:rFonts w:ascii="Palatino Linotype" w:hAnsi="Palatino Linotype" w:cs="Arial"/>
          <w:b/>
          <w:bCs/>
        </w:rPr>
      </w:pPr>
      <w:r w:rsidRPr="007A0560">
        <w:rPr>
          <w:rFonts w:ascii="Palatino Linotype" w:hAnsi="Palatino Linotype" w:cs="Arial"/>
          <w:b/>
          <w:bCs/>
        </w:rPr>
        <w:t>Recurso de Revisión 05</w:t>
      </w:r>
      <w:r>
        <w:rPr>
          <w:rFonts w:ascii="Palatino Linotype" w:hAnsi="Palatino Linotype" w:cs="Arial"/>
          <w:b/>
          <w:bCs/>
        </w:rPr>
        <w:t>504</w:t>
      </w:r>
      <w:r w:rsidRPr="007A0560">
        <w:rPr>
          <w:rFonts w:ascii="Palatino Linotype" w:hAnsi="Palatino Linotype" w:cs="Arial"/>
          <w:b/>
          <w:bCs/>
        </w:rPr>
        <w:t xml:space="preserve">/INFOEM/IP/RR/2024: </w:t>
      </w:r>
    </w:p>
    <w:p w:rsidR="007A0560" w:rsidRPr="007A0560" w:rsidRDefault="007A0560" w:rsidP="007A0560">
      <w:pPr>
        <w:pStyle w:val="Prrafodelista"/>
        <w:numPr>
          <w:ilvl w:val="0"/>
          <w:numId w:val="25"/>
        </w:numPr>
        <w:spacing w:line="360" w:lineRule="auto"/>
        <w:ind w:right="900"/>
        <w:contextualSpacing/>
        <w:jc w:val="both"/>
        <w:rPr>
          <w:rFonts w:ascii="Palatino Linotype" w:hAnsi="Palatino Linotype" w:cs="Arial"/>
          <w:b/>
          <w:bCs/>
          <w:sz w:val="24"/>
        </w:rPr>
      </w:pPr>
      <w:r w:rsidRPr="007A0560">
        <w:rPr>
          <w:rFonts w:ascii="Palatino Linotype" w:eastAsiaTheme="minorEastAsia" w:hAnsi="Palatino Linotype" w:cs="Arial"/>
          <w:b/>
          <w:sz w:val="24"/>
          <w:szCs w:val="24"/>
          <w:lang w:val="es-ES_tradnl"/>
        </w:rPr>
        <w:t xml:space="preserve">Nómina, nombramiento y movimiento de alta de ISSEMYM de la Cronista Municipal </w:t>
      </w:r>
    </w:p>
    <w:p w:rsidR="00DC561B" w:rsidRPr="00995B5B" w:rsidRDefault="00DC561B" w:rsidP="007A0560">
      <w:pPr>
        <w:pStyle w:val="Prrafodelista"/>
        <w:spacing w:line="360" w:lineRule="auto"/>
        <w:ind w:left="1498"/>
        <w:contextualSpacing/>
        <w:jc w:val="both"/>
        <w:rPr>
          <w:rFonts w:ascii="Palatino Linotype" w:hAnsi="Palatino Linotype" w:cs="Arial"/>
          <w:b/>
          <w:sz w:val="24"/>
          <w:szCs w:val="24"/>
        </w:rPr>
      </w:pPr>
    </w:p>
    <w:p w:rsidR="00712BB5" w:rsidRPr="00995B5B" w:rsidRDefault="00712BB5" w:rsidP="00712BB5">
      <w:pPr>
        <w:pStyle w:val="Prrafodelista"/>
        <w:numPr>
          <w:ilvl w:val="0"/>
          <w:numId w:val="2"/>
        </w:numPr>
        <w:spacing w:line="360" w:lineRule="auto"/>
        <w:ind w:left="0" w:firstLine="0"/>
        <w:contextualSpacing/>
        <w:jc w:val="both"/>
        <w:rPr>
          <w:rFonts w:ascii="Palatino Linotype" w:hAnsi="Palatino Linotype" w:cs="Arial"/>
          <w:sz w:val="24"/>
          <w:szCs w:val="24"/>
        </w:rPr>
      </w:pPr>
      <w:r w:rsidRPr="00995B5B">
        <w:rPr>
          <w:rFonts w:ascii="Palatino Linotype" w:hAnsi="Palatino Linotype" w:cs="Arial"/>
          <w:sz w:val="24"/>
          <w:szCs w:val="24"/>
        </w:rPr>
        <w:t xml:space="preserve">En respuesta, el </w:t>
      </w:r>
      <w:r w:rsidRPr="00995B5B">
        <w:rPr>
          <w:rFonts w:ascii="Palatino Linotype" w:hAnsi="Palatino Linotype" w:cs="Arial"/>
          <w:b/>
          <w:sz w:val="24"/>
          <w:szCs w:val="24"/>
        </w:rPr>
        <w:t xml:space="preserve">SUJETO OBLIGADO </w:t>
      </w:r>
      <w:r w:rsidRPr="00995B5B">
        <w:rPr>
          <w:rFonts w:ascii="Palatino Linotype" w:hAnsi="Palatino Linotype" w:cs="Arial"/>
          <w:sz w:val="24"/>
          <w:szCs w:val="24"/>
        </w:rPr>
        <w:t>remitió</w:t>
      </w:r>
      <w:r w:rsidR="007A0560">
        <w:rPr>
          <w:rFonts w:ascii="Palatino Linotype" w:hAnsi="Palatino Linotype" w:cs="Arial"/>
          <w:sz w:val="24"/>
          <w:szCs w:val="24"/>
        </w:rPr>
        <w:t xml:space="preserve"> por cada recurso de revisión</w:t>
      </w:r>
      <w:r w:rsidRPr="00995B5B">
        <w:rPr>
          <w:rFonts w:ascii="Palatino Linotype" w:hAnsi="Palatino Linotype" w:cs="Arial"/>
          <w:sz w:val="24"/>
          <w:szCs w:val="24"/>
        </w:rPr>
        <w:t xml:space="preserve"> archiv</w:t>
      </w:r>
      <w:r w:rsidR="007A0560">
        <w:rPr>
          <w:rFonts w:ascii="Palatino Linotype" w:hAnsi="Palatino Linotype" w:cs="Arial"/>
          <w:sz w:val="24"/>
          <w:szCs w:val="24"/>
        </w:rPr>
        <w:t xml:space="preserve">os electrónicos  en formato </w:t>
      </w:r>
      <w:proofErr w:type="spellStart"/>
      <w:r w:rsidR="007A0560">
        <w:rPr>
          <w:rFonts w:ascii="Palatino Linotype" w:hAnsi="Palatino Linotype" w:cs="Arial"/>
          <w:sz w:val="24"/>
          <w:szCs w:val="24"/>
        </w:rPr>
        <w:t>pdf</w:t>
      </w:r>
      <w:proofErr w:type="spellEnd"/>
      <w:r w:rsidRPr="00995B5B">
        <w:rPr>
          <w:rFonts w:ascii="Palatino Linotype" w:hAnsi="Palatino Linotype" w:cs="Arial"/>
          <w:sz w:val="24"/>
          <w:szCs w:val="24"/>
        </w:rPr>
        <w:t xml:space="preserve">, cuyo contenido toral es el siguiente: </w:t>
      </w:r>
    </w:p>
    <w:p w:rsidR="00712BB5" w:rsidRPr="00995B5B" w:rsidRDefault="00712BB5" w:rsidP="00712BB5">
      <w:pPr>
        <w:pStyle w:val="Prrafodelista"/>
        <w:spacing w:line="360" w:lineRule="auto"/>
        <w:ind w:left="0"/>
        <w:contextualSpacing/>
        <w:jc w:val="both"/>
        <w:rPr>
          <w:rFonts w:ascii="Palatino Linotype" w:hAnsi="Palatino Linotype" w:cs="Arial"/>
          <w:sz w:val="24"/>
          <w:szCs w:val="24"/>
        </w:rPr>
      </w:pPr>
    </w:p>
    <w:p w:rsidR="007A0560" w:rsidRPr="007A0560" w:rsidRDefault="007A0560" w:rsidP="007A0560">
      <w:pPr>
        <w:ind w:left="1134" w:right="900"/>
        <w:jc w:val="both"/>
        <w:rPr>
          <w:rFonts w:ascii="Palatino Linotype" w:eastAsiaTheme="minorEastAsia" w:hAnsi="Palatino Linotype" w:cs="Arial"/>
          <w:b/>
          <w:i/>
          <w:sz w:val="22"/>
          <w:lang w:val="es-ES_tradnl" w:eastAsia="en-US"/>
        </w:rPr>
      </w:pPr>
      <w:r w:rsidRPr="007A0560">
        <w:rPr>
          <w:rFonts w:ascii="Palatino Linotype" w:eastAsiaTheme="minorEastAsia" w:hAnsi="Palatino Linotype" w:cs="Arial"/>
          <w:b/>
          <w:i/>
          <w:sz w:val="22"/>
          <w:lang w:val="es-ES_tradnl" w:eastAsia="en-US"/>
        </w:rPr>
        <w:t xml:space="preserve">Solicitud 000213/ATLACOM/IP/2024: </w:t>
      </w:r>
    </w:p>
    <w:p w:rsidR="007A0560" w:rsidRPr="007A0560" w:rsidRDefault="007A0560" w:rsidP="007A0560">
      <w:pPr>
        <w:ind w:left="1134" w:right="900"/>
        <w:jc w:val="both"/>
        <w:rPr>
          <w:rFonts w:ascii="Palatino Linotype" w:eastAsiaTheme="minorEastAsia" w:hAnsi="Palatino Linotype" w:cs="Arial"/>
          <w:i/>
          <w:sz w:val="22"/>
          <w:lang w:val="es-ES_tradnl" w:eastAsia="en-US"/>
        </w:rPr>
      </w:pPr>
      <w:r w:rsidRPr="007A0560">
        <w:rPr>
          <w:rFonts w:ascii="Palatino Linotype" w:eastAsiaTheme="minorEastAsia" w:hAnsi="Palatino Linotype" w:cs="Arial"/>
          <w:b/>
          <w:i/>
          <w:sz w:val="22"/>
          <w:lang w:val="es-ES_tradnl" w:eastAsia="en-US"/>
        </w:rPr>
        <w:lastRenderedPageBreak/>
        <w:t xml:space="preserve">213_RSOL_TM_2024_RECNOM_VIR_30062024.pdf: </w:t>
      </w:r>
      <w:r w:rsidRPr="007A0560">
        <w:rPr>
          <w:rFonts w:ascii="Palatino Linotype" w:eastAsiaTheme="minorEastAsia" w:hAnsi="Palatino Linotype" w:cs="Arial"/>
          <w:i/>
          <w:sz w:val="22"/>
          <w:lang w:val="es-ES_tradnl" w:eastAsia="en-US"/>
        </w:rPr>
        <w:t xml:space="preserve">oficio de la Tesorera Municipal, mediante la informa que se adjunta en versión pública el recibo de nómina de la servidora pública referida en la solicitud de información, correspondiente del 16 al 30 de junio de dos mil veinticuatro. </w:t>
      </w:r>
    </w:p>
    <w:p w:rsidR="007A0560" w:rsidRPr="007A0560" w:rsidRDefault="007A0560" w:rsidP="007A0560">
      <w:pPr>
        <w:ind w:left="1134" w:right="900"/>
        <w:jc w:val="both"/>
        <w:rPr>
          <w:rFonts w:ascii="Palatino Linotype" w:eastAsiaTheme="minorEastAsia" w:hAnsi="Palatino Linotype" w:cs="Arial"/>
          <w:i/>
          <w:sz w:val="22"/>
          <w:lang w:val="es-ES_tradnl" w:eastAsia="en-US"/>
        </w:rPr>
      </w:pPr>
      <w:r w:rsidRPr="007A0560">
        <w:rPr>
          <w:rFonts w:ascii="Palatino Linotype" w:eastAsiaTheme="minorEastAsia" w:hAnsi="Palatino Linotype" w:cs="Arial"/>
          <w:i/>
          <w:sz w:val="22"/>
          <w:lang w:val="es-ES_tradnl" w:eastAsia="en-US"/>
        </w:rPr>
        <w:t xml:space="preserve">En respuesta, </w:t>
      </w:r>
      <w:proofErr w:type="spellStart"/>
      <w:r w:rsidRPr="007A0560">
        <w:rPr>
          <w:rFonts w:ascii="Palatino Linotype" w:eastAsiaTheme="minorEastAsia" w:hAnsi="Palatino Linotype" w:cs="Arial"/>
          <w:i/>
          <w:sz w:val="22"/>
          <w:lang w:val="es-ES_tradnl" w:eastAsia="en-US"/>
        </w:rPr>
        <w:t>tambien</w:t>
      </w:r>
      <w:proofErr w:type="spellEnd"/>
      <w:r w:rsidRPr="007A0560">
        <w:rPr>
          <w:rFonts w:ascii="Palatino Linotype" w:eastAsiaTheme="minorEastAsia" w:hAnsi="Palatino Linotype" w:cs="Arial"/>
          <w:i/>
          <w:sz w:val="22"/>
          <w:lang w:val="es-ES_tradnl" w:eastAsia="en-US"/>
        </w:rPr>
        <w:t xml:space="preserve"> refiere que el Concepto que recibe por pensión alimenticia corresponde a pagos estrictamente personales. </w:t>
      </w:r>
    </w:p>
    <w:p w:rsidR="007A0560" w:rsidRPr="007A0560" w:rsidRDefault="007A0560" w:rsidP="007A0560">
      <w:pPr>
        <w:ind w:left="1134" w:right="900"/>
        <w:jc w:val="both"/>
        <w:rPr>
          <w:rFonts w:ascii="Palatino Linotype" w:eastAsiaTheme="minorEastAsia" w:hAnsi="Palatino Linotype" w:cs="Arial"/>
          <w:i/>
          <w:sz w:val="22"/>
          <w:lang w:val="es-ES_tradnl" w:eastAsia="en-US"/>
        </w:rPr>
      </w:pPr>
      <w:r w:rsidRPr="007A0560">
        <w:rPr>
          <w:rFonts w:ascii="Palatino Linotype" w:eastAsiaTheme="minorEastAsia" w:hAnsi="Palatino Linotype" w:cs="Arial"/>
          <w:b/>
          <w:i/>
          <w:sz w:val="22"/>
          <w:lang w:val="es-ES_tradnl" w:eastAsia="en-US"/>
        </w:rPr>
        <w:t xml:space="preserve">028_ACT_EXT_CT_0708_2024.pdf: </w:t>
      </w:r>
      <w:r w:rsidRPr="007A0560">
        <w:rPr>
          <w:rFonts w:ascii="Palatino Linotype" w:eastAsiaTheme="minorEastAsia" w:hAnsi="Palatino Linotype" w:cs="Arial"/>
          <w:i/>
          <w:sz w:val="22"/>
          <w:lang w:val="es-ES_tradnl" w:eastAsia="en-US"/>
        </w:rPr>
        <w:t xml:space="preserve">Acta de la Vigésima Octava Sesión Extraordinaria del Comité de Transparencia, mediante la cual en el punto número cinco, clasifican como confidencial lo relativo al Código  Postal, al Registro Federal de Contribuyentes, Clave </w:t>
      </w:r>
      <w:proofErr w:type="spellStart"/>
      <w:r w:rsidRPr="007A0560">
        <w:rPr>
          <w:rFonts w:ascii="Palatino Linotype" w:eastAsiaTheme="minorEastAsia" w:hAnsi="Palatino Linotype" w:cs="Arial"/>
          <w:i/>
          <w:sz w:val="22"/>
          <w:lang w:val="es-ES_tradnl" w:eastAsia="en-US"/>
        </w:rPr>
        <w:t>Unica</w:t>
      </w:r>
      <w:proofErr w:type="spellEnd"/>
      <w:r w:rsidRPr="007A0560">
        <w:rPr>
          <w:rFonts w:ascii="Palatino Linotype" w:eastAsiaTheme="minorEastAsia" w:hAnsi="Palatino Linotype" w:cs="Arial"/>
          <w:i/>
          <w:sz w:val="22"/>
          <w:lang w:val="es-ES_tradnl" w:eastAsia="en-US"/>
        </w:rPr>
        <w:t xml:space="preserve"> de Registro de Población, Clave de Seguridad Social del Instituto de Seguridad Social del Estado de México y Municipios, Deducciones Personales, Institución  Bancaria, Cuenta Bancaria y Código QR. </w:t>
      </w:r>
    </w:p>
    <w:p w:rsidR="007A0560" w:rsidRPr="007A0560" w:rsidRDefault="007A0560" w:rsidP="007A0560">
      <w:pPr>
        <w:ind w:left="1134" w:right="900"/>
        <w:jc w:val="both"/>
        <w:rPr>
          <w:rFonts w:ascii="Palatino Linotype" w:eastAsiaTheme="minorEastAsia" w:hAnsi="Palatino Linotype" w:cs="Arial"/>
          <w:i/>
          <w:sz w:val="22"/>
          <w:lang w:val="es-ES_tradnl" w:eastAsia="en-US"/>
        </w:rPr>
      </w:pPr>
      <w:r w:rsidRPr="007A0560">
        <w:rPr>
          <w:rFonts w:ascii="Palatino Linotype" w:eastAsiaTheme="minorEastAsia" w:hAnsi="Palatino Linotype" w:cs="Arial"/>
          <w:b/>
          <w:i/>
          <w:sz w:val="22"/>
          <w:lang w:val="es-ES_tradnl" w:eastAsia="en-US"/>
        </w:rPr>
        <w:t xml:space="preserve">0213_RES_UT_2024.pdf: </w:t>
      </w:r>
      <w:r w:rsidRPr="007A0560">
        <w:rPr>
          <w:rFonts w:ascii="Palatino Linotype" w:eastAsiaTheme="minorEastAsia" w:hAnsi="Palatino Linotype" w:cs="Arial"/>
          <w:i/>
          <w:sz w:val="22"/>
          <w:lang w:val="es-ES_tradnl" w:eastAsia="en-US"/>
        </w:rPr>
        <w:t xml:space="preserve">oficio de la Titular de la Unidad de Transparencia, mediante el cual refiere que remite el oficio de respuesta y el Acta del Comité de Transparencia. </w:t>
      </w:r>
    </w:p>
    <w:p w:rsidR="007A0560" w:rsidRPr="007A0560" w:rsidRDefault="007A0560" w:rsidP="007A0560">
      <w:pPr>
        <w:ind w:left="1134" w:right="900"/>
        <w:jc w:val="both"/>
        <w:rPr>
          <w:rFonts w:ascii="Palatino Linotype" w:eastAsiaTheme="minorEastAsia" w:hAnsi="Palatino Linotype" w:cs="Arial"/>
          <w:b/>
          <w:i/>
          <w:sz w:val="22"/>
          <w:lang w:val="es-ES_tradnl" w:eastAsia="en-US"/>
        </w:rPr>
      </w:pPr>
      <w:r w:rsidRPr="007A0560">
        <w:rPr>
          <w:rFonts w:ascii="Palatino Linotype" w:eastAsiaTheme="minorEastAsia" w:hAnsi="Palatino Linotype" w:cs="Arial"/>
          <w:b/>
          <w:i/>
          <w:sz w:val="22"/>
          <w:lang w:val="es-ES_tradnl" w:eastAsia="en-US"/>
        </w:rPr>
        <w:t xml:space="preserve">Solicitud </w:t>
      </w:r>
      <w:r w:rsidRPr="007A0560">
        <w:rPr>
          <w:rFonts w:ascii="Palatino Linotype" w:eastAsiaTheme="minorEastAsia" w:hAnsi="Palatino Linotype" w:cs="Arial"/>
          <w:b/>
          <w:bCs/>
          <w:i/>
          <w:sz w:val="22"/>
          <w:lang w:eastAsia="en-US"/>
        </w:rPr>
        <w:t>00225/ATLACOM/IP/2024</w:t>
      </w:r>
      <w:r w:rsidRPr="007A0560">
        <w:rPr>
          <w:rFonts w:ascii="Palatino Linotype" w:eastAsiaTheme="minorEastAsia" w:hAnsi="Palatino Linotype" w:cs="Arial"/>
          <w:b/>
          <w:i/>
          <w:sz w:val="22"/>
          <w:lang w:val="es-ES_tradnl" w:eastAsia="en-US"/>
        </w:rPr>
        <w:t xml:space="preserve">: </w:t>
      </w:r>
    </w:p>
    <w:p w:rsidR="007A0560" w:rsidRPr="007A0560" w:rsidRDefault="007A0560" w:rsidP="007A0560">
      <w:pPr>
        <w:ind w:left="1134" w:right="900"/>
        <w:jc w:val="both"/>
        <w:rPr>
          <w:rFonts w:ascii="Palatino Linotype" w:eastAsiaTheme="minorEastAsia" w:hAnsi="Palatino Linotype" w:cs="Arial"/>
          <w:b/>
          <w:i/>
          <w:sz w:val="22"/>
          <w:lang w:val="es-ES_tradnl" w:eastAsia="en-US"/>
        </w:rPr>
      </w:pPr>
    </w:p>
    <w:p w:rsidR="007A0560" w:rsidRPr="007A0560" w:rsidRDefault="007A0560" w:rsidP="007A0560">
      <w:pPr>
        <w:ind w:left="1134" w:right="900"/>
        <w:jc w:val="both"/>
        <w:rPr>
          <w:rFonts w:ascii="Palatino Linotype" w:eastAsiaTheme="minorEastAsia" w:hAnsi="Palatino Linotype" w:cs="Arial"/>
          <w:i/>
          <w:sz w:val="22"/>
          <w:lang w:val="es-ES_tradnl" w:eastAsia="en-US"/>
        </w:rPr>
      </w:pPr>
      <w:r w:rsidRPr="007A0560">
        <w:rPr>
          <w:rFonts w:ascii="Palatino Linotype" w:eastAsiaTheme="minorEastAsia" w:hAnsi="Palatino Linotype" w:cs="Arial"/>
          <w:b/>
          <w:i/>
          <w:sz w:val="22"/>
          <w:lang w:val="es-ES_tradnl" w:eastAsia="en-US"/>
        </w:rPr>
        <w:t xml:space="preserve">225_RSOL_TM_2024_CRONISTA.pdf: </w:t>
      </w:r>
      <w:r w:rsidRPr="007A0560">
        <w:rPr>
          <w:rFonts w:ascii="Palatino Linotype" w:eastAsiaTheme="minorEastAsia" w:hAnsi="Palatino Linotype" w:cs="Arial"/>
          <w:i/>
          <w:sz w:val="22"/>
          <w:lang w:val="es-ES_tradnl" w:eastAsia="en-US"/>
        </w:rPr>
        <w:t xml:space="preserve">oficio de la Tesorera Municipal, mediante el cual informa que por medio de la liga electrónica </w:t>
      </w:r>
      <w:hyperlink r:id="rId9" w:history="1">
        <w:r w:rsidRPr="007A0560">
          <w:rPr>
            <w:rFonts w:ascii="Palatino Linotype" w:eastAsiaTheme="minorEastAsia" w:hAnsi="Palatino Linotype" w:cs="Arial"/>
            <w:i/>
            <w:color w:val="0563C1" w:themeColor="hyperlink"/>
            <w:sz w:val="22"/>
            <w:u w:val="single"/>
            <w:lang w:val="es-ES_tradnl" w:eastAsia="en-US"/>
          </w:rPr>
          <w:t>https://acortar-link/4JRxL</w:t>
        </w:r>
      </w:hyperlink>
      <w:r w:rsidRPr="007A0560">
        <w:rPr>
          <w:rFonts w:ascii="Palatino Linotype" w:eastAsiaTheme="minorEastAsia" w:hAnsi="Palatino Linotype" w:cs="Arial"/>
          <w:i/>
          <w:sz w:val="22"/>
          <w:lang w:val="es-ES_tradnl" w:eastAsia="en-US"/>
        </w:rPr>
        <w:t xml:space="preserve">, puede consultar la información en la fracción VIIIA de remuneraciones, indicando que tiene que buscar el apartado de Secretaría del Ayuntamiento y Seleccionar Cronista Municipal. </w:t>
      </w:r>
    </w:p>
    <w:p w:rsidR="007A0560" w:rsidRPr="007A0560" w:rsidRDefault="007A0560" w:rsidP="007A0560">
      <w:pPr>
        <w:ind w:left="1134" w:right="900"/>
        <w:jc w:val="both"/>
        <w:rPr>
          <w:rFonts w:ascii="Palatino Linotype" w:eastAsiaTheme="minorEastAsia" w:hAnsi="Palatino Linotype" w:cs="Arial"/>
          <w:i/>
          <w:sz w:val="22"/>
          <w:lang w:val="es-ES_tradnl" w:eastAsia="en-US"/>
        </w:rPr>
      </w:pPr>
      <w:proofErr w:type="gramStart"/>
      <w:r w:rsidRPr="007A0560">
        <w:rPr>
          <w:rFonts w:ascii="Palatino Linotype" w:eastAsiaTheme="minorEastAsia" w:hAnsi="Palatino Linotype" w:cs="Arial"/>
          <w:i/>
          <w:sz w:val="22"/>
          <w:lang w:val="es-ES_tradnl" w:eastAsia="en-US"/>
        </w:rPr>
        <w:t>del</w:t>
      </w:r>
      <w:proofErr w:type="gramEnd"/>
      <w:r w:rsidRPr="007A0560">
        <w:rPr>
          <w:rFonts w:ascii="Palatino Linotype" w:eastAsiaTheme="minorEastAsia" w:hAnsi="Palatino Linotype" w:cs="Arial"/>
          <w:i/>
          <w:sz w:val="22"/>
          <w:lang w:val="es-ES_tradnl" w:eastAsia="en-US"/>
        </w:rPr>
        <w:t xml:space="preserve"> mismo oficio se observa que se adjunta captura de pantalla de la remuneración bruta y neta de la Cronista Municipal. </w:t>
      </w:r>
    </w:p>
    <w:p w:rsidR="007A0560" w:rsidRPr="007A0560" w:rsidRDefault="007A0560" w:rsidP="007A0560">
      <w:pPr>
        <w:ind w:left="1134" w:right="900"/>
        <w:jc w:val="both"/>
        <w:rPr>
          <w:rFonts w:ascii="Palatino Linotype" w:eastAsiaTheme="minorEastAsia" w:hAnsi="Palatino Linotype" w:cs="Arial"/>
          <w:i/>
          <w:lang w:val="es-ES_tradnl"/>
        </w:rPr>
      </w:pPr>
      <w:r w:rsidRPr="007A0560">
        <w:rPr>
          <w:rFonts w:ascii="Palatino Linotype" w:eastAsiaTheme="minorEastAsia" w:hAnsi="Palatino Linotype" w:cs="Arial"/>
          <w:b/>
          <w:i/>
          <w:lang w:val="es-ES_tradnl"/>
        </w:rPr>
        <w:t xml:space="preserve"> </w:t>
      </w:r>
      <w:hyperlink r:id="rId10" w:tgtFrame="_blank" w:history="1">
        <w:r w:rsidRPr="007A0560">
          <w:rPr>
            <w:rFonts w:ascii="Palatino Linotype" w:eastAsiaTheme="minorEastAsia" w:hAnsi="Palatino Linotype" w:cs="Arial"/>
            <w:b/>
            <w:bCs/>
            <w:i/>
            <w:color w:val="0563C1" w:themeColor="hyperlink"/>
            <w:u w:val="single"/>
          </w:rPr>
          <w:t>225_SOL_RESP_ADMON_2024.pdf</w:t>
        </w:r>
      </w:hyperlink>
      <w:r w:rsidRPr="007A0560">
        <w:rPr>
          <w:rFonts w:ascii="Palatino Linotype" w:eastAsiaTheme="minorEastAsia" w:hAnsi="Palatino Linotype" w:cs="Arial"/>
          <w:b/>
          <w:i/>
          <w:lang w:val="es-ES_tradnl"/>
        </w:rPr>
        <w:t xml:space="preserve">: </w:t>
      </w:r>
      <w:r w:rsidRPr="007A0560">
        <w:rPr>
          <w:rFonts w:ascii="Palatino Linotype" w:eastAsiaTheme="minorEastAsia" w:hAnsi="Palatino Linotype" w:cs="Arial"/>
          <w:i/>
          <w:lang w:val="es-ES_tradnl"/>
        </w:rPr>
        <w:t xml:space="preserve">oficio del Jefe de Recursos Humanos, mediante el cual informa que se anexa el nombramiento de la Cronista Municipal, así como también informa no cuenta con la prestación del servicio del ISSEMYM por parte del Ayuntamiento de Atlacomulco. </w:t>
      </w:r>
    </w:p>
    <w:p w:rsidR="007A0560" w:rsidRPr="007A0560" w:rsidRDefault="007A0560" w:rsidP="007A0560">
      <w:pPr>
        <w:ind w:left="1134" w:right="900"/>
        <w:jc w:val="both"/>
        <w:rPr>
          <w:rFonts w:ascii="Palatino Linotype" w:eastAsiaTheme="minorEastAsia" w:hAnsi="Palatino Linotype" w:cs="Arial"/>
          <w:i/>
          <w:lang w:val="es-ES_tradnl"/>
        </w:rPr>
      </w:pPr>
      <w:r w:rsidRPr="007A0560">
        <w:rPr>
          <w:rFonts w:ascii="Palatino Linotype" w:eastAsiaTheme="minorEastAsia" w:hAnsi="Palatino Linotype" w:cs="Arial"/>
          <w:b/>
          <w:i/>
          <w:lang w:val="es-ES_tradnl"/>
        </w:rPr>
        <w:t xml:space="preserve">225_SOL_ANEXO_ADMON_2024.pdf: </w:t>
      </w:r>
      <w:r w:rsidRPr="007A0560">
        <w:rPr>
          <w:rFonts w:ascii="Palatino Linotype" w:eastAsiaTheme="minorEastAsia" w:hAnsi="Palatino Linotype" w:cs="Arial"/>
          <w:i/>
          <w:lang w:val="es-ES_tradnl"/>
        </w:rPr>
        <w:t xml:space="preserve">Nombramiento de la Cronista Municipal de fecha uno de febrero de dos mil veintidós. </w:t>
      </w:r>
    </w:p>
    <w:p w:rsidR="007A0560" w:rsidRPr="007A0560" w:rsidRDefault="007A0560" w:rsidP="007A0560">
      <w:pPr>
        <w:ind w:left="1134" w:right="900"/>
        <w:jc w:val="both"/>
        <w:rPr>
          <w:rFonts w:ascii="Palatino Linotype" w:eastAsiaTheme="minorEastAsia" w:hAnsi="Palatino Linotype" w:cs="Arial"/>
          <w:i/>
          <w:lang w:val="es-ES_tradnl"/>
        </w:rPr>
      </w:pPr>
      <w:r w:rsidRPr="007A0560">
        <w:rPr>
          <w:rFonts w:ascii="Palatino Linotype" w:eastAsiaTheme="minorEastAsia" w:hAnsi="Palatino Linotype" w:cs="Arial"/>
          <w:b/>
          <w:i/>
          <w:lang w:val="es-ES_tradnl"/>
        </w:rPr>
        <w:t xml:space="preserve">225_RES_UT_2024.pdf: </w:t>
      </w:r>
      <w:r w:rsidRPr="007A0560">
        <w:rPr>
          <w:rFonts w:ascii="Palatino Linotype" w:eastAsiaTheme="minorEastAsia" w:hAnsi="Palatino Linotype" w:cs="Arial"/>
          <w:i/>
          <w:lang w:val="es-ES_tradnl"/>
        </w:rPr>
        <w:t xml:space="preserve">oficio de la Titular de la Unidad de Transparencia, mediante el cual informa que anexa el oficio de respuesta del área habilitada. </w:t>
      </w:r>
    </w:p>
    <w:p w:rsidR="00712BB5" w:rsidRPr="00995B5B" w:rsidRDefault="00712BB5" w:rsidP="00712BB5">
      <w:pPr>
        <w:pStyle w:val="Prrafodelista"/>
        <w:spacing w:line="360" w:lineRule="auto"/>
        <w:ind w:left="0"/>
        <w:contextualSpacing/>
        <w:jc w:val="both"/>
        <w:rPr>
          <w:rFonts w:ascii="Palatino Linotype" w:hAnsi="Palatino Linotype" w:cs="Arial"/>
          <w:sz w:val="24"/>
          <w:szCs w:val="24"/>
        </w:rPr>
      </w:pPr>
    </w:p>
    <w:p w:rsidR="00712BB5" w:rsidRPr="00995B5B" w:rsidRDefault="00712BB5" w:rsidP="00712BB5">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995B5B">
        <w:rPr>
          <w:rFonts w:ascii="Palatino Linotype" w:eastAsia="MS Mincho" w:hAnsi="Palatino Linotype" w:cs="Arial"/>
          <w:sz w:val="24"/>
          <w:szCs w:val="24"/>
        </w:rPr>
        <w:lastRenderedPageBreak/>
        <w:t xml:space="preserve">En </w:t>
      </w:r>
      <w:r w:rsidRPr="00995B5B">
        <w:rPr>
          <w:rFonts w:ascii="Palatino Linotype" w:hAnsi="Palatino Linotype" w:cs="Arial"/>
          <w:sz w:val="24"/>
          <w:szCs w:val="24"/>
          <w:lang w:eastAsia="es-MX"/>
        </w:rPr>
        <w:t>dichas</w:t>
      </w:r>
      <w:r w:rsidRPr="00995B5B">
        <w:rPr>
          <w:rFonts w:ascii="Palatino Linotype" w:hAnsi="Palatino Linotype" w:cs="Arial"/>
          <w:sz w:val="24"/>
          <w:szCs w:val="24"/>
        </w:rPr>
        <w:t xml:space="preserve"> condiciones, la </w:t>
      </w:r>
      <w:r w:rsidRPr="00995B5B">
        <w:rPr>
          <w:rFonts w:ascii="Palatino Linotype" w:hAnsi="Palatino Linotype" w:cs="Arial"/>
          <w:i/>
          <w:sz w:val="24"/>
          <w:szCs w:val="24"/>
        </w:rPr>
        <w:t>Litis</w:t>
      </w:r>
      <w:r w:rsidRPr="00995B5B">
        <w:rPr>
          <w:rFonts w:ascii="Palatino Linotype" w:hAnsi="Palatino Linotype" w:cs="Arial"/>
          <w:sz w:val="24"/>
          <w:szCs w:val="24"/>
        </w:rPr>
        <w:t xml:space="preserve"> a resolver en este recurso se circunscribe a determinar si </w:t>
      </w:r>
      <w:r w:rsidRPr="00995B5B">
        <w:rPr>
          <w:rFonts w:ascii="Palatino Linotype" w:eastAsia="MS Mincho" w:hAnsi="Palatino Linotype" w:cs="Arial"/>
          <w:sz w:val="24"/>
          <w:szCs w:val="24"/>
        </w:rPr>
        <w:t xml:space="preserve">se actualizan las causales de procedencia previstas en el artículo 179, </w:t>
      </w:r>
      <w:r w:rsidR="00DD189A">
        <w:rPr>
          <w:rFonts w:ascii="Palatino Linotype" w:eastAsia="MS Mincho" w:hAnsi="Palatino Linotype" w:cs="Arial"/>
          <w:b/>
          <w:sz w:val="24"/>
          <w:szCs w:val="24"/>
        </w:rPr>
        <w:t>fracción XIII</w:t>
      </w:r>
      <w:r w:rsidRPr="00995B5B">
        <w:rPr>
          <w:rFonts w:ascii="Palatino Linotype" w:eastAsia="MS Mincho" w:hAnsi="Palatino Linotype" w:cs="Arial"/>
          <w:b/>
          <w:sz w:val="24"/>
          <w:szCs w:val="24"/>
        </w:rPr>
        <w:t xml:space="preserve"> </w:t>
      </w:r>
      <w:r w:rsidRPr="00995B5B">
        <w:rPr>
          <w:rFonts w:ascii="Palatino Linotype" w:eastAsia="MS Mincho" w:hAnsi="Palatino Linotype" w:cs="Arial"/>
          <w:sz w:val="24"/>
          <w:szCs w:val="24"/>
        </w:rPr>
        <w:t>de la</w:t>
      </w:r>
      <w:r w:rsidRPr="00995B5B">
        <w:rPr>
          <w:rFonts w:ascii="Palatino Linotype" w:hAnsi="Palatino Linotype" w:cs="Arial"/>
          <w:color w:val="000000" w:themeColor="text1"/>
          <w:sz w:val="24"/>
          <w:szCs w:val="24"/>
          <w:lang w:eastAsia="es-MX"/>
        </w:rPr>
        <w:t xml:space="preserve"> Ley</w:t>
      </w:r>
      <w:r w:rsidRPr="00995B5B">
        <w:rPr>
          <w:rFonts w:ascii="Palatino Linotype" w:eastAsia="MS Mincho" w:hAnsi="Palatino Linotype" w:cs="Arial"/>
          <w:b/>
          <w:sz w:val="24"/>
          <w:szCs w:val="24"/>
        </w:rPr>
        <w:t xml:space="preserve"> de Transparencia y Acceso a la Información Pública del Estado de </w:t>
      </w:r>
      <w:r w:rsidRPr="00995B5B">
        <w:rPr>
          <w:rFonts w:ascii="Palatino Linotype" w:hAnsi="Palatino Linotype" w:cs="Arial"/>
          <w:sz w:val="24"/>
          <w:szCs w:val="24"/>
        </w:rPr>
        <w:t>México</w:t>
      </w:r>
      <w:r w:rsidRPr="00995B5B">
        <w:rPr>
          <w:rFonts w:ascii="Palatino Linotype" w:eastAsia="MS Mincho" w:hAnsi="Palatino Linotype" w:cs="Arial"/>
          <w:b/>
          <w:sz w:val="24"/>
          <w:szCs w:val="24"/>
        </w:rPr>
        <w:t xml:space="preserve"> y Municipios</w:t>
      </w:r>
      <w:r w:rsidRPr="00995B5B">
        <w:rPr>
          <w:rFonts w:ascii="Palatino Linotype" w:eastAsia="MS Mincho" w:hAnsi="Palatino Linotype" w:cs="Arial"/>
          <w:sz w:val="24"/>
          <w:szCs w:val="24"/>
        </w:rPr>
        <w:t xml:space="preserve">; </w:t>
      </w:r>
      <w:r w:rsidRPr="00995B5B">
        <w:rPr>
          <w:rFonts w:ascii="Palatino Linotype" w:hAnsi="Palatino Linotype" w:cs="Arial"/>
          <w:color w:val="000000" w:themeColor="text1"/>
          <w:sz w:val="24"/>
          <w:szCs w:val="24"/>
          <w:lang w:eastAsia="es-MX"/>
        </w:rPr>
        <w:t xml:space="preserve">fracción que determina la hipótesis jurídica relativa a la </w:t>
      </w:r>
      <w:r w:rsidR="00DD189A">
        <w:rPr>
          <w:rFonts w:ascii="Palatino Linotype" w:hAnsi="Palatino Linotype" w:cs="Arial"/>
          <w:color w:val="000000" w:themeColor="text1"/>
          <w:sz w:val="24"/>
          <w:szCs w:val="24"/>
          <w:lang w:eastAsia="es-MX"/>
        </w:rPr>
        <w:t>falta, deficiencia o insuficiencia de la fundamentación y/o motivación de la respuesta</w:t>
      </w:r>
      <w:r w:rsidRPr="00995B5B">
        <w:rPr>
          <w:rFonts w:ascii="Palatino Linotype" w:hAnsi="Palatino Linotype" w:cs="Arial"/>
          <w:color w:val="000000" w:themeColor="text1"/>
          <w:sz w:val="24"/>
          <w:szCs w:val="24"/>
          <w:lang w:eastAsia="es-MX"/>
        </w:rPr>
        <w:t xml:space="preserve">; </w:t>
      </w:r>
      <w:r w:rsidRPr="00995B5B">
        <w:rPr>
          <w:rFonts w:ascii="Palatino Linotype" w:eastAsia="MS Mincho" w:hAnsi="Palatino Linotype" w:cs="Arial"/>
          <w:sz w:val="24"/>
          <w:szCs w:val="24"/>
        </w:rPr>
        <w:t xml:space="preserve">contexto del cual se dolió </w:t>
      </w:r>
      <w:r w:rsidRPr="00995B5B">
        <w:rPr>
          <w:rFonts w:ascii="Palatino Linotype" w:eastAsia="MS Mincho" w:hAnsi="Palatino Linotype" w:cs="Arial"/>
          <w:b/>
          <w:sz w:val="24"/>
          <w:szCs w:val="24"/>
        </w:rPr>
        <w:t xml:space="preserve">EL RECURRENTE </w:t>
      </w:r>
      <w:r w:rsidRPr="00995B5B">
        <w:rPr>
          <w:rFonts w:ascii="Palatino Linotype" w:eastAsia="MS Mincho" w:hAnsi="Palatino Linotype" w:cs="Arial"/>
          <w:sz w:val="24"/>
          <w:szCs w:val="24"/>
        </w:rPr>
        <w:t>al momento de interponer su inconformidad.</w:t>
      </w:r>
    </w:p>
    <w:p w:rsidR="00712BB5" w:rsidRPr="00995B5B" w:rsidRDefault="00712BB5" w:rsidP="00712BB5">
      <w:pPr>
        <w:pStyle w:val="Prrafodelista"/>
        <w:spacing w:line="360" w:lineRule="auto"/>
        <w:ind w:left="0"/>
        <w:contextualSpacing/>
        <w:jc w:val="both"/>
        <w:rPr>
          <w:rFonts w:ascii="Palatino Linotype" w:eastAsia="MS Mincho" w:hAnsi="Palatino Linotype" w:cs="Arial"/>
          <w:sz w:val="24"/>
          <w:szCs w:val="24"/>
        </w:rPr>
      </w:pPr>
    </w:p>
    <w:p w:rsidR="00712BB5" w:rsidRPr="00995B5B" w:rsidRDefault="00712BB5" w:rsidP="00712BB5">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995B5B">
        <w:rPr>
          <w:rFonts w:ascii="Palatino Linotype" w:hAnsi="Palatino Linotype" w:cs="Arial"/>
          <w:color w:val="000000" w:themeColor="text1"/>
          <w:sz w:val="24"/>
          <w:szCs w:val="24"/>
          <w:lang w:eastAsia="es-MX"/>
        </w:rPr>
        <w:t xml:space="preserve">De modo tal </w:t>
      </w:r>
      <w:r w:rsidRPr="00995B5B">
        <w:rPr>
          <w:rFonts w:ascii="Palatino Linotype" w:hAnsi="Palatino Linotype" w:cs="Arial"/>
          <w:color w:val="000000" w:themeColor="text1"/>
          <w:sz w:val="24"/>
          <w:szCs w:val="24"/>
        </w:rPr>
        <w:t xml:space="preserve">que el presente recurso de revisión se abocara en determinar si el </w:t>
      </w:r>
      <w:r w:rsidRPr="00995B5B">
        <w:rPr>
          <w:rFonts w:ascii="Palatino Linotype" w:eastAsia="MS Mincho" w:hAnsi="Palatino Linotype" w:cs="Arial"/>
          <w:b/>
          <w:sz w:val="24"/>
          <w:szCs w:val="24"/>
        </w:rPr>
        <w:t>SUJETO</w:t>
      </w:r>
      <w:r w:rsidRPr="00995B5B">
        <w:rPr>
          <w:rFonts w:ascii="Palatino Linotype" w:hAnsi="Palatino Linotype" w:cs="Arial"/>
          <w:b/>
          <w:color w:val="000000" w:themeColor="text1"/>
          <w:sz w:val="24"/>
          <w:szCs w:val="24"/>
        </w:rPr>
        <w:t xml:space="preserve"> OBLIGADO</w:t>
      </w:r>
      <w:r w:rsidRPr="00995B5B">
        <w:rPr>
          <w:rFonts w:ascii="Palatino Linotype" w:hAnsi="Palatino Linotype" w:cs="Arial"/>
          <w:color w:val="000000" w:themeColor="text1"/>
          <w:sz w:val="24"/>
          <w:szCs w:val="24"/>
        </w:rPr>
        <w:t xml:space="preserve"> con su respuesta ciertamente </w:t>
      </w:r>
      <w:r w:rsidRPr="00995B5B">
        <w:rPr>
          <w:rFonts w:ascii="Palatino Linotype" w:hAnsi="Palatino Linotype"/>
          <w:color w:val="000000" w:themeColor="text1"/>
          <w:sz w:val="24"/>
          <w:szCs w:val="24"/>
        </w:rPr>
        <w:t>actualiza la causal de procedencia</w:t>
      </w:r>
      <w:r w:rsidRPr="00995B5B">
        <w:rPr>
          <w:rFonts w:ascii="Palatino Linotype" w:hAnsi="Palatino Linotype"/>
          <w:b/>
          <w:color w:val="000000" w:themeColor="text1"/>
          <w:sz w:val="24"/>
          <w:szCs w:val="24"/>
        </w:rPr>
        <w:t xml:space="preserve"> </w:t>
      </w:r>
      <w:r w:rsidRPr="00995B5B">
        <w:rPr>
          <w:rFonts w:ascii="Palatino Linotype" w:hAnsi="Palatino Linotype" w:cs="Arial"/>
          <w:color w:val="000000" w:themeColor="text1"/>
          <w:sz w:val="24"/>
          <w:szCs w:val="24"/>
          <w:lang w:eastAsia="es-MX"/>
        </w:rPr>
        <w:t>antes señalada</w:t>
      </w:r>
      <w:r w:rsidRPr="00995B5B">
        <w:rPr>
          <w:rFonts w:ascii="Palatino Linotype" w:hAnsi="Palatino Linotype" w:cs="Arial"/>
          <w:color w:val="000000" w:themeColor="text1"/>
          <w:sz w:val="24"/>
          <w:szCs w:val="24"/>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712BB5" w:rsidRPr="00995B5B" w:rsidRDefault="00712BB5" w:rsidP="00712BB5">
      <w:pPr>
        <w:spacing w:line="360" w:lineRule="auto"/>
        <w:contextualSpacing/>
        <w:jc w:val="both"/>
        <w:rPr>
          <w:rFonts w:ascii="Palatino Linotype" w:hAnsi="Palatino Linotype" w:cs="Arial"/>
          <w:lang w:eastAsia="es-ES"/>
        </w:rPr>
      </w:pPr>
    </w:p>
    <w:p w:rsidR="00712BB5" w:rsidRPr="00995B5B" w:rsidRDefault="00712BB5" w:rsidP="00712BB5">
      <w:pPr>
        <w:keepNext/>
        <w:keepLines/>
        <w:spacing w:line="360" w:lineRule="auto"/>
        <w:outlineLvl w:val="0"/>
        <w:rPr>
          <w:rFonts w:ascii="Palatino Linotype" w:eastAsia="Palatino Linotype" w:hAnsi="Palatino Linotype" w:cs="Palatino Linotype"/>
          <w:b/>
          <w:color w:val="000000"/>
        </w:rPr>
      </w:pPr>
      <w:r w:rsidRPr="00995B5B">
        <w:rPr>
          <w:rFonts w:ascii="Palatino Linotype" w:eastAsia="Palatino Linotype" w:hAnsi="Palatino Linotype" w:cs="Palatino Linotype"/>
          <w:b/>
          <w:color w:val="000000"/>
        </w:rPr>
        <w:t>CUARTO. Del estudio y resolución del asunto</w:t>
      </w:r>
    </w:p>
    <w:p w:rsidR="00712BB5" w:rsidRPr="00995B5B" w:rsidRDefault="00712BB5" w:rsidP="00712BB5">
      <w:pPr>
        <w:spacing w:line="360" w:lineRule="auto"/>
        <w:jc w:val="both"/>
        <w:rPr>
          <w:rFonts w:ascii="Palatino Linotype" w:eastAsia="Palatino Linotype" w:hAnsi="Palatino Linotype" w:cs="Palatino Linotype"/>
        </w:rPr>
      </w:pPr>
    </w:p>
    <w:p w:rsidR="00712BB5" w:rsidRPr="00995B5B" w:rsidRDefault="00712BB5" w:rsidP="00712BB5">
      <w:pPr>
        <w:keepNext/>
        <w:keepLines/>
        <w:numPr>
          <w:ilvl w:val="0"/>
          <w:numId w:val="14"/>
        </w:numPr>
        <w:spacing w:after="240" w:line="360" w:lineRule="auto"/>
        <w:ind w:left="786"/>
        <w:rPr>
          <w:rFonts w:ascii="Palatino Linotype" w:eastAsia="Palatino Linotype" w:hAnsi="Palatino Linotype" w:cs="Palatino Linotype"/>
          <w:b/>
        </w:rPr>
      </w:pPr>
      <w:bookmarkStart w:id="145" w:name="_heading=h.1t3h5sf" w:colFirst="0" w:colLast="0"/>
      <w:bookmarkEnd w:id="145"/>
      <w:r w:rsidRPr="00995B5B">
        <w:rPr>
          <w:rFonts w:ascii="Palatino Linotype" w:eastAsia="Palatino Linotype" w:hAnsi="Palatino Linotype" w:cs="Palatino Linotype"/>
          <w:b/>
        </w:rPr>
        <w:t>Del derecho de acceso a la información.</w:t>
      </w:r>
    </w:p>
    <w:p w:rsidR="00712BB5" w:rsidRPr="00995B5B" w:rsidRDefault="00712BB5" w:rsidP="00712BB5">
      <w:pPr>
        <w:pStyle w:val="Prrafodelista"/>
        <w:numPr>
          <w:ilvl w:val="0"/>
          <w:numId w:val="2"/>
        </w:numPr>
        <w:spacing w:line="360" w:lineRule="auto"/>
        <w:ind w:left="0" w:firstLine="0"/>
        <w:contextualSpacing/>
        <w:jc w:val="both"/>
        <w:rPr>
          <w:rFonts w:ascii="Palatino Linotype" w:hAnsi="Palatino Linotype" w:cs="Arial"/>
          <w:color w:val="000000" w:themeColor="text1"/>
          <w:sz w:val="24"/>
          <w:szCs w:val="24"/>
          <w:lang w:eastAsia="es-MX"/>
        </w:rPr>
      </w:pPr>
      <w:r w:rsidRPr="00995B5B">
        <w:rPr>
          <w:rFonts w:ascii="Palatino Linotype" w:hAnsi="Palatino Linotype" w:cs="Arial"/>
          <w:color w:val="000000" w:themeColor="text1"/>
          <w:sz w:val="24"/>
          <w:szCs w:val="24"/>
          <w:lang w:eastAsia="es-MX"/>
        </w:rPr>
        <w:t xml:space="preserve">El Derecho de Acceso a la Información Pública, es un derecho humano reconocido en el Pacto de Derechos Civiles y Políticos en su artículo 19.2; en la Convención Americana sobre Derechos Humanos en su artículo 13.1; en el artículo </w:t>
      </w:r>
      <w:r w:rsidRPr="00995B5B">
        <w:rPr>
          <w:rFonts w:ascii="Palatino Linotype" w:hAnsi="Palatino Linotype" w:cs="Arial"/>
          <w:color w:val="000000" w:themeColor="text1"/>
          <w:sz w:val="24"/>
          <w:szCs w:val="24"/>
          <w:lang w:eastAsia="es-MX"/>
        </w:rPr>
        <w:lastRenderedPageBreak/>
        <w:t xml:space="preserve">sexto de la Constitución Política de los Estados Unidos Mexicanos y en el artículo quinto de la Particular del Estado de México. </w:t>
      </w:r>
    </w:p>
    <w:p w:rsidR="00712BB5" w:rsidRPr="00995B5B" w:rsidRDefault="00712BB5" w:rsidP="00712BB5">
      <w:pPr>
        <w:spacing w:line="360" w:lineRule="auto"/>
        <w:ind w:right="48"/>
        <w:jc w:val="both"/>
        <w:rPr>
          <w:rFonts w:ascii="Palatino Linotype" w:eastAsia="Palatino Linotype" w:hAnsi="Palatino Linotype" w:cs="Palatino Linotype"/>
        </w:rPr>
      </w:pPr>
    </w:p>
    <w:p w:rsidR="00712BB5" w:rsidRPr="00995B5B" w:rsidRDefault="00712BB5" w:rsidP="00712BB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Definiendo el Derecho de Acceso a la Información Pública como: </w:t>
      </w:r>
      <w:r w:rsidRPr="00995B5B">
        <w:rPr>
          <w:rFonts w:ascii="Palatino Linotype" w:eastAsia="Palatino Linotype" w:hAnsi="Palatino Linotype" w:cs="Palatino Linotype"/>
          <w:i/>
          <w:color w:val="000000"/>
        </w:rPr>
        <w:t>La igualdad de oportunidades para recibir, buscar e impartir información</w:t>
      </w:r>
      <w:r w:rsidRPr="00995B5B">
        <w:rPr>
          <w:rFonts w:ascii="Palatino Linotype" w:eastAsia="Palatino Linotype" w:hAnsi="Palatino Linotype" w:cs="Palatino Linotype"/>
          <w:i/>
          <w:vertAlign w:val="superscript"/>
        </w:rPr>
        <w:footnoteReference w:id="2"/>
      </w:r>
      <w:r w:rsidRPr="00995B5B">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95B5B">
        <w:rPr>
          <w:rFonts w:ascii="Palatino Linotype" w:eastAsia="Palatino Linotype" w:hAnsi="Palatino Linotype" w:cs="Palatino Linotype"/>
          <w:i/>
          <w:vertAlign w:val="superscript"/>
        </w:rPr>
        <w:footnoteReference w:id="3"/>
      </w:r>
      <w:r w:rsidRPr="00995B5B">
        <w:rPr>
          <w:rFonts w:ascii="Palatino Linotype" w:eastAsia="Palatino Linotype" w:hAnsi="Palatino Linotype" w:cs="Palatino Linotype"/>
          <w:color w:val="000000"/>
        </w:rPr>
        <w:t>que se constituye como una herramienta fundamental para ejercer</w:t>
      </w:r>
      <w:r w:rsidRPr="00995B5B">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995B5B">
        <w:rPr>
          <w:rFonts w:ascii="Palatino Linotype" w:eastAsia="Palatino Linotype" w:hAnsi="Palatino Linotype" w:cs="Palatino Linotype"/>
          <w:i/>
          <w:vertAlign w:val="superscript"/>
        </w:rPr>
        <w:footnoteReference w:id="4"/>
      </w:r>
      <w:r w:rsidRPr="00995B5B">
        <w:rPr>
          <w:rFonts w:ascii="Palatino Linotype" w:eastAsia="Palatino Linotype" w:hAnsi="Palatino Linotype" w:cs="Palatino Linotype"/>
          <w:color w:val="000000"/>
        </w:rPr>
        <w:t>fomentando</w:t>
      </w:r>
      <w:r w:rsidRPr="00995B5B">
        <w:rPr>
          <w:rFonts w:ascii="Palatino Linotype" w:eastAsia="Palatino Linotype" w:hAnsi="Palatino Linotype" w:cs="Palatino Linotype"/>
          <w:i/>
          <w:color w:val="000000"/>
        </w:rPr>
        <w:t xml:space="preserve"> la transparencia de las actividades estatales y </w:t>
      </w:r>
      <w:r w:rsidRPr="00995B5B">
        <w:rPr>
          <w:rFonts w:ascii="Palatino Linotype" w:eastAsia="Palatino Linotype" w:hAnsi="Palatino Linotype" w:cs="Palatino Linotype"/>
          <w:color w:val="000000"/>
        </w:rPr>
        <w:t>promoviendo</w:t>
      </w:r>
      <w:r w:rsidRPr="00995B5B">
        <w:rPr>
          <w:rFonts w:ascii="Palatino Linotype" w:eastAsia="Palatino Linotype" w:hAnsi="Palatino Linotype" w:cs="Palatino Linotype"/>
          <w:i/>
          <w:color w:val="000000"/>
        </w:rPr>
        <w:t xml:space="preserve"> la responsabilidad de los funcionarios sobre su gestión pública,</w:t>
      </w:r>
      <w:r w:rsidRPr="00995B5B">
        <w:rPr>
          <w:rFonts w:ascii="Palatino Linotype" w:eastAsia="Palatino Linotype" w:hAnsi="Palatino Linotype" w:cs="Palatino Linotype"/>
          <w:i/>
          <w:vertAlign w:val="superscript"/>
        </w:rPr>
        <w:footnoteReference w:id="5"/>
      </w:r>
      <w:r w:rsidRPr="00995B5B">
        <w:rPr>
          <w:rFonts w:ascii="Palatino Linotype" w:eastAsia="Palatino Linotype" w:hAnsi="Palatino Linotype" w:cs="Palatino Linotype"/>
          <w:color w:val="000000"/>
        </w:rPr>
        <w:t>que permite</w:t>
      </w:r>
      <w:r w:rsidRPr="00995B5B">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712BB5" w:rsidRPr="00995B5B" w:rsidRDefault="00712BB5" w:rsidP="00712BB5">
      <w:pPr>
        <w:spacing w:line="360" w:lineRule="auto"/>
        <w:ind w:right="49"/>
        <w:jc w:val="both"/>
        <w:rPr>
          <w:rFonts w:ascii="Palatino Linotype" w:eastAsia="Palatino Linotype" w:hAnsi="Palatino Linotype" w:cs="Palatino Linotype"/>
        </w:rPr>
      </w:pPr>
    </w:p>
    <w:p w:rsidR="00712BB5" w:rsidRPr="00995B5B" w:rsidRDefault="00712BB5" w:rsidP="00712BB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712BB5" w:rsidRPr="00995B5B" w:rsidRDefault="00712BB5" w:rsidP="00712BB5">
      <w:pPr>
        <w:ind w:right="49"/>
        <w:jc w:val="both"/>
        <w:rPr>
          <w:rFonts w:ascii="Palatino Linotype" w:eastAsia="Palatino Linotype" w:hAnsi="Palatino Linotype" w:cs="Palatino Linotype"/>
        </w:rPr>
      </w:pPr>
    </w:p>
    <w:p w:rsidR="00712BB5" w:rsidRPr="00995B5B" w:rsidRDefault="00712BB5" w:rsidP="00712BB5">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lastRenderedPageBreak/>
        <w:t>“</w:t>
      </w:r>
      <w:r w:rsidRPr="00995B5B">
        <w:rPr>
          <w:rFonts w:ascii="Palatino Linotype" w:eastAsia="Palatino Linotype" w:hAnsi="Palatino Linotype" w:cs="Palatino Linotype"/>
          <w:b/>
          <w:i/>
        </w:rPr>
        <w:t>Artículo 1.-</w:t>
      </w:r>
      <w:r w:rsidRPr="00995B5B">
        <w:rPr>
          <w:rFonts w:ascii="Palatino Linotype" w:eastAsia="Palatino Linotype" w:hAnsi="Palatino Linotype" w:cs="Palatino Linotype"/>
          <w:i/>
        </w:rPr>
        <w:t xml:space="preserve"> </w:t>
      </w:r>
    </w:p>
    <w:p w:rsidR="00712BB5" w:rsidRPr="00995B5B" w:rsidRDefault="00712BB5" w:rsidP="00712BB5">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rsidR="00712BB5" w:rsidRPr="00995B5B" w:rsidRDefault="00712BB5" w:rsidP="00712BB5">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Todas las</w:t>
      </w:r>
      <w:r w:rsidRPr="00995B5B">
        <w:rPr>
          <w:rFonts w:ascii="Palatino Linotype" w:eastAsia="Palatino Linotype" w:hAnsi="Palatino Linotype" w:cs="Palatino Linotype"/>
        </w:rPr>
        <w:t xml:space="preserve"> </w:t>
      </w:r>
      <w:r w:rsidRPr="00995B5B">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712BB5" w:rsidRPr="00995B5B" w:rsidRDefault="00712BB5" w:rsidP="00712BB5">
      <w:pPr>
        <w:ind w:left="1134" w:right="900"/>
        <w:jc w:val="both"/>
        <w:rPr>
          <w:rFonts w:ascii="Palatino Linotype" w:eastAsia="Palatino Linotype" w:hAnsi="Palatino Linotype" w:cs="Palatino Linotype"/>
        </w:rPr>
      </w:pPr>
      <w:r w:rsidRPr="00995B5B">
        <w:rPr>
          <w:rFonts w:ascii="Palatino Linotype" w:eastAsia="Palatino Linotype" w:hAnsi="Palatino Linotype" w:cs="Palatino Linotype"/>
          <w:i/>
        </w:rPr>
        <w:t>(…)</w:t>
      </w:r>
      <w:r w:rsidRPr="00995B5B">
        <w:rPr>
          <w:rFonts w:ascii="Palatino Linotype" w:eastAsia="Palatino Linotype" w:hAnsi="Palatino Linotype" w:cs="Palatino Linotype"/>
        </w:rPr>
        <w:t>”.</w:t>
      </w:r>
    </w:p>
    <w:p w:rsidR="00712BB5" w:rsidRPr="00995B5B" w:rsidRDefault="00712BB5" w:rsidP="00712BB5">
      <w:pPr>
        <w:ind w:left="1134" w:right="900"/>
        <w:jc w:val="both"/>
        <w:rPr>
          <w:rFonts w:ascii="Palatino Linotype" w:eastAsia="Palatino Linotype" w:hAnsi="Palatino Linotype" w:cs="Palatino Linotype"/>
          <w:b/>
        </w:rPr>
      </w:pPr>
    </w:p>
    <w:p w:rsidR="00712BB5" w:rsidRPr="00995B5B" w:rsidRDefault="00712BB5" w:rsidP="00712BB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712BB5" w:rsidRPr="00995B5B" w:rsidRDefault="00712BB5" w:rsidP="00712BB5">
      <w:pPr>
        <w:spacing w:line="360" w:lineRule="auto"/>
        <w:ind w:right="49"/>
        <w:jc w:val="both"/>
        <w:rPr>
          <w:rFonts w:ascii="Palatino Linotype" w:eastAsia="Palatino Linotype" w:hAnsi="Palatino Linotype" w:cs="Palatino Linotype"/>
        </w:rPr>
      </w:pPr>
    </w:p>
    <w:p w:rsidR="00712BB5" w:rsidRPr="00995B5B" w:rsidRDefault="00712BB5" w:rsidP="00712BB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712BB5" w:rsidRPr="00995B5B" w:rsidRDefault="00712BB5" w:rsidP="00712BB5">
      <w:pPr>
        <w:spacing w:line="360" w:lineRule="auto"/>
        <w:ind w:right="49"/>
        <w:jc w:val="both"/>
        <w:rPr>
          <w:rFonts w:ascii="Palatino Linotype" w:eastAsia="Palatino Linotype" w:hAnsi="Palatino Linotype" w:cs="Palatino Linotype"/>
        </w:rPr>
      </w:pPr>
    </w:p>
    <w:p w:rsidR="00712BB5" w:rsidRPr="00995B5B" w:rsidRDefault="00712BB5" w:rsidP="00712BB5">
      <w:pPr>
        <w:tabs>
          <w:tab w:val="left" w:pos="7938"/>
        </w:tabs>
        <w:spacing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Constitución Política de los Estados Unidos Mexicanos</w:t>
      </w:r>
    </w:p>
    <w:p w:rsidR="00712BB5" w:rsidRPr="00995B5B" w:rsidRDefault="00712BB5" w:rsidP="00712BB5">
      <w:pPr>
        <w:tabs>
          <w:tab w:val="left" w:pos="7938"/>
        </w:tabs>
        <w:spacing w:before="240"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“Artículo 6.</w:t>
      </w:r>
    </w:p>
    <w:p w:rsidR="00712BB5" w:rsidRPr="00995B5B" w:rsidRDefault="00712BB5" w:rsidP="00712BB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rsidR="00712BB5" w:rsidRPr="00995B5B" w:rsidRDefault="00712BB5" w:rsidP="00712BB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Para efectos de lo dispuesto en el presente artículo se observará lo siguiente:</w:t>
      </w:r>
    </w:p>
    <w:p w:rsidR="00712BB5" w:rsidRPr="00995B5B" w:rsidRDefault="00712BB5" w:rsidP="00712BB5">
      <w:pPr>
        <w:tabs>
          <w:tab w:val="left" w:pos="7938"/>
        </w:tabs>
        <w:spacing w:before="240"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lastRenderedPageBreak/>
        <w:t>A</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Para el ejercicio del derecho de acceso a la información</w:t>
      </w:r>
      <w:r w:rsidRPr="00995B5B">
        <w:rPr>
          <w:rFonts w:ascii="Palatino Linotype" w:eastAsia="Palatino Linotype" w:hAnsi="Palatino Linotype" w:cs="Palatino Linotype"/>
          <w:i/>
        </w:rPr>
        <w:t xml:space="preserve">, la Federación y </w:t>
      </w:r>
      <w:r w:rsidRPr="00995B5B">
        <w:rPr>
          <w:rFonts w:ascii="Palatino Linotype" w:eastAsia="Palatino Linotype" w:hAnsi="Palatino Linotype" w:cs="Palatino Linotype"/>
          <w:b/>
          <w:i/>
        </w:rPr>
        <w:t>las entidades federativas, en el ámbito de sus respectivas competencias, se regirán por los siguientes principios y bases:</w:t>
      </w:r>
    </w:p>
    <w:p w:rsidR="00712BB5" w:rsidRPr="00995B5B" w:rsidRDefault="00712BB5" w:rsidP="00712BB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I. Toda la información en posesión de cualquier</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autoridad</w:t>
      </w:r>
      <w:r w:rsidRPr="00995B5B">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95B5B">
        <w:rPr>
          <w:rFonts w:ascii="Palatino Linotype" w:eastAsia="Palatino Linotype" w:hAnsi="Palatino Linotype" w:cs="Palatino Linotype"/>
          <w:b/>
          <w:i/>
        </w:rPr>
        <w:t>municipal</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es pública</w:t>
      </w:r>
      <w:r w:rsidRPr="00995B5B">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995B5B">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995B5B">
        <w:rPr>
          <w:rFonts w:ascii="Palatino Linotype" w:eastAsia="Palatino Linotype" w:hAnsi="Palatino Linotype" w:cs="Palatino Linotype"/>
          <w:i/>
        </w:rPr>
        <w:t>, la ley determinará los supuestos específicos bajo los cuales procederá la declaración de inexistencia de la información.”</w:t>
      </w:r>
    </w:p>
    <w:p w:rsidR="00712BB5" w:rsidRPr="00995B5B" w:rsidRDefault="00712BB5" w:rsidP="00712BB5">
      <w:pPr>
        <w:tabs>
          <w:tab w:val="left" w:pos="567"/>
          <w:tab w:val="left" w:pos="7938"/>
        </w:tabs>
        <w:spacing w:before="240"/>
        <w:ind w:left="1134" w:right="900"/>
        <w:jc w:val="both"/>
        <w:rPr>
          <w:rFonts w:ascii="Palatino Linotype" w:eastAsia="Palatino Linotype" w:hAnsi="Palatino Linotype" w:cs="Palatino Linotype"/>
          <w:b/>
          <w:i/>
        </w:rPr>
      </w:pPr>
    </w:p>
    <w:p w:rsidR="00712BB5" w:rsidRPr="00995B5B" w:rsidRDefault="00712BB5" w:rsidP="00712BB5">
      <w:pPr>
        <w:tabs>
          <w:tab w:val="left" w:pos="7938"/>
        </w:tabs>
        <w:spacing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Constitución Política del Estado Libre y Soberano de México</w:t>
      </w:r>
    </w:p>
    <w:p w:rsidR="00712BB5" w:rsidRPr="00995B5B" w:rsidRDefault="00712BB5" w:rsidP="00712BB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“Artículo 5</w:t>
      </w:r>
      <w:r w:rsidRPr="00995B5B">
        <w:rPr>
          <w:rFonts w:ascii="Palatino Linotype" w:eastAsia="Palatino Linotype" w:hAnsi="Palatino Linotype" w:cs="Palatino Linotype"/>
          <w:i/>
        </w:rPr>
        <w:t xml:space="preserve">.- </w:t>
      </w:r>
    </w:p>
    <w:p w:rsidR="00712BB5" w:rsidRPr="00995B5B" w:rsidRDefault="00712BB5" w:rsidP="00712BB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rsidR="00712BB5" w:rsidRPr="00995B5B" w:rsidRDefault="00712BB5" w:rsidP="00712BB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995B5B">
        <w:rPr>
          <w:rFonts w:ascii="Palatino Linotype" w:eastAsia="Palatino Linotype" w:hAnsi="Palatino Linotype" w:cs="Palatino Linotype"/>
          <w:i/>
        </w:rPr>
        <w:t>.</w:t>
      </w:r>
    </w:p>
    <w:p w:rsidR="00712BB5" w:rsidRPr="00995B5B" w:rsidRDefault="00712BB5" w:rsidP="00712BB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712BB5" w:rsidRPr="00995B5B" w:rsidRDefault="00712BB5" w:rsidP="00712BB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Este derecho se regirá por los principios y bases siguientes</w:t>
      </w:r>
      <w:r w:rsidRPr="00995B5B">
        <w:rPr>
          <w:rFonts w:ascii="Palatino Linotype" w:eastAsia="Palatino Linotype" w:hAnsi="Palatino Linotype" w:cs="Palatino Linotype"/>
          <w:i/>
        </w:rPr>
        <w:t>:</w:t>
      </w:r>
    </w:p>
    <w:p w:rsidR="00712BB5" w:rsidRPr="00995B5B" w:rsidRDefault="00712BB5" w:rsidP="00712BB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lastRenderedPageBreak/>
        <w:t>I. Toda la información en posesión de cualquier autoridad, entidad, órgano y organismos de los</w:t>
      </w:r>
      <w:r w:rsidRPr="00995B5B">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995B5B">
        <w:rPr>
          <w:rFonts w:ascii="Palatino Linotype" w:eastAsia="Palatino Linotype" w:hAnsi="Palatino Linotype" w:cs="Palatino Linotype"/>
          <w:b/>
          <w:i/>
        </w:rPr>
        <w:t>municipales</w:t>
      </w:r>
      <w:r w:rsidRPr="00995B5B">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95B5B">
        <w:rPr>
          <w:rFonts w:ascii="Palatino Linotype" w:eastAsia="Palatino Linotype" w:hAnsi="Palatino Linotype" w:cs="Palatino Linotype"/>
          <w:b/>
          <w:i/>
        </w:rPr>
        <w:t>es pública</w:t>
      </w:r>
      <w:r w:rsidRPr="00995B5B">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995B5B">
        <w:rPr>
          <w:rFonts w:ascii="Palatino Linotype" w:eastAsia="Palatino Linotype" w:hAnsi="Palatino Linotype" w:cs="Palatino Linotype"/>
          <w:b/>
          <w:i/>
        </w:rPr>
        <w:t>En la interpretación de este derecho deberá prevalecer el principio de máxima publicidad</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Los sujetos obligados deberán documentar todo acto que derive del ejercicio de sus facultades, competencias o funciones</w:t>
      </w:r>
      <w:r w:rsidRPr="00995B5B">
        <w:rPr>
          <w:rFonts w:ascii="Palatino Linotype" w:eastAsia="Palatino Linotype" w:hAnsi="Palatino Linotype" w:cs="Palatino Linotype"/>
          <w:i/>
        </w:rPr>
        <w:t>, la ley determinará los supuestos específicos bajo los cuales procederá la declaración de inexistencia de la información.”</w:t>
      </w:r>
    </w:p>
    <w:p w:rsidR="00712BB5" w:rsidRPr="00995B5B" w:rsidRDefault="00712BB5" w:rsidP="00712BB5">
      <w:pPr>
        <w:tabs>
          <w:tab w:val="left" w:pos="567"/>
        </w:tabs>
        <w:spacing w:before="240" w:after="240"/>
        <w:ind w:right="567"/>
        <w:jc w:val="both"/>
        <w:rPr>
          <w:rFonts w:ascii="Palatino Linotype" w:eastAsia="Palatino Linotype" w:hAnsi="Palatino Linotype" w:cs="Palatino Linotype"/>
          <w:b/>
          <w:i/>
        </w:rPr>
      </w:pPr>
    </w:p>
    <w:p w:rsidR="00712BB5" w:rsidRPr="00995B5B" w:rsidRDefault="00712BB5" w:rsidP="00712BB5">
      <w:pPr>
        <w:numPr>
          <w:ilvl w:val="0"/>
          <w:numId w:val="2"/>
        </w:numPr>
        <w:spacing w:before="240"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995B5B">
        <w:rPr>
          <w:rFonts w:ascii="Palatino Linotype" w:eastAsia="Palatino Linotype" w:hAnsi="Palatino Linotype" w:cs="Palatino Linotype"/>
          <w:i/>
        </w:rPr>
        <w:t>por los principios de simplicidad, rapidez gratuidad del procedimiento, auxilio y orientación a los particulares</w:t>
      </w:r>
      <w:r w:rsidRPr="00995B5B">
        <w:rPr>
          <w:rFonts w:ascii="Palatino Linotype" w:eastAsia="Palatino Linotype" w:hAnsi="Palatino Linotype" w:cs="Palatino Linotype"/>
        </w:rPr>
        <w:t>, contemplando el derecho de las personas con discapacidad y hablantes de lengua indígena.</w:t>
      </w:r>
    </w:p>
    <w:p w:rsidR="00712BB5" w:rsidRPr="00995B5B" w:rsidRDefault="00712BB5" w:rsidP="00712BB5">
      <w:pPr>
        <w:spacing w:line="360" w:lineRule="auto"/>
        <w:ind w:right="49"/>
        <w:jc w:val="both"/>
        <w:rPr>
          <w:rFonts w:ascii="Palatino Linotype" w:eastAsia="Palatino Linotype" w:hAnsi="Palatino Linotype" w:cs="Palatino Linotype"/>
        </w:rPr>
      </w:pPr>
    </w:p>
    <w:p w:rsidR="00712BB5" w:rsidRPr="00995B5B" w:rsidRDefault="00712BB5" w:rsidP="00712BB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El Derecho de Acceso a la Información se garantiza y respeta oportunamente, y según lo que dispone la Ley, las </w:t>
      </w:r>
      <w:r w:rsidRPr="00995B5B">
        <w:rPr>
          <w:rFonts w:ascii="Palatino Linotype" w:eastAsia="Palatino Linotype" w:hAnsi="Palatino Linotype" w:cs="Palatino Linotype"/>
          <w:i/>
        </w:rPr>
        <w:t>solicitudes de acceso a la información</w:t>
      </w:r>
      <w:r w:rsidRPr="00995B5B">
        <w:rPr>
          <w:rFonts w:ascii="Palatino Linotype" w:eastAsia="Palatino Linotype" w:hAnsi="Palatino Linotype" w:cs="Palatino Linotype"/>
        </w:rPr>
        <w:t>.</w:t>
      </w:r>
    </w:p>
    <w:p w:rsidR="00712BB5" w:rsidRPr="00995B5B" w:rsidRDefault="00712BB5" w:rsidP="00712BB5">
      <w:pPr>
        <w:spacing w:line="360" w:lineRule="auto"/>
        <w:ind w:right="49"/>
        <w:jc w:val="both"/>
        <w:rPr>
          <w:rFonts w:ascii="Palatino Linotype" w:eastAsia="Palatino Linotype" w:hAnsi="Palatino Linotype" w:cs="Palatino Linotype"/>
        </w:rPr>
      </w:pPr>
    </w:p>
    <w:p w:rsidR="00712BB5" w:rsidRPr="00995B5B" w:rsidRDefault="00712BB5" w:rsidP="00712BB5">
      <w:pPr>
        <w:numPr>
          <w:ilvl w:val="0"/>
          <w:numId w:val="2"/>
        </w:numPr>
        <w:spacing w:line="360" w:lineRule="auto"/>
        <w:ind w:left="0" w:right="49" w:firstLine="0"/>
        <w:jc w:val="both"/>
        <w:rPr>
          <w:rFonts w:ascii="Palatino Linotype" w:eastAsia="Palatino Linotype" w:hAnsi="Palatino Linotype" w:cs="Palatino Linotype"/>
        </w:rPr>
      </w:pPr>
      <w:bookmarkStart w:id="146" w:name="_heading=h.4d34og8" w:colFirst="0" w:colLast="0"/>
      <w:bookmarkEnd w:id="146"/>
      <w:r w:rsidRPr="00995B5B">
        <w:rPr>
          <w:rFonts w:ascii="Palatino Linotype" w:eastAsia="Palatino Linotype" w:hAnsi="Palatino Linotype" w:cs="Palatino Linotype"/>
        </w:rPr>
        <w:t xml:space="preserve">Así entonces, se procede analizar, en primer lugar, si el </w:t>
      </w:r>
      <w:r w:rsidRPr="00995B5B">
        <w:rPr>
          <w:rFonts w:ascii="Palatino Linotype" w:eastAsia="Palatino Linotype" w:hAnsi="Palatino Linotype" w:cs="Palatino Linotype"/>
          <w:b/>
        </w:rPr>
        <w:t>SUJETO OBLIGADO</w:t>
      </w:r>
      <w:r w:rsidRPr="00995B5B">
        <w:rPr>
          <w:rFonts w:ascii="Palatino Linotype" w:eastAsia="Palatino Linotype" w:hAnsi="Palatino Linotype" w:cs="Palatino Linotype"/>
        </w:rPr>
        <w:t xml:space="preserve"> al atender la solicitud de acceso a la información, satisfizo la garantía </w:t>
      </w:r>
      <w:r w:rsidRPr="00995B5B">
        <w:rPr>
          <w:rFonts w:ascii="Palatino Linotype" w:eastAsia="Palatino Linotype" w:hAnsi="Palatino Linotype" w:cs="Palatino Linotype"/>
        </w:rPr>
        <w:lastRenderedPageBreak/>
        <w:t>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712BB5" w:rsidRPr="00995B5B" w:rsidRDefault="00712BB5" w:rsidP="00712BB5">
      <w:pPr>
        <w:spacing w:line="360" w:lineRule="auto"/>
        <w:ind w:right="49"/>
        <w:jc w:val="both"/>
        <w:rPr>
          <w:rFonts w:ascii="Palatino Linotype" w:eastAsia="Palatino Linotype" w:hAnsi="Palatino Linotype" w:cs="Palatino Linotype"/>
        </w:rPr>
      </w:pPr>
    </w:p>
    <w:p w:rsidR="00712BB5" w:rsidRPr="00995B5B" w:rsidRDefault="00712BB5" w:rsidP="00712BB5">
      <w:pPr>
        <w:keepNext/>
        <w:keepLines/>
        <w:spacing w:after="240" w:line="360" w:lineRule="auto"/>
        <w:rPr>
          <w:rFonts w:ascii="Palatino Linotype" w:eastAsia="Palatino Linotype" w:hAnsi="Palatino Linotype" w:cs="Palatino Linotype"/>
          <w:b/>
        </w:rPr>
      </w:pPr>
      <w:bookmarkStart w:id="147" w:name="_heading=h.2s8eyo1" w:colFirst="0" w:colLast="0"/>
      <w:bookmarkEnd w:id="147"/>
      <w:r w:rsidRPr="00995B5B">
        <w:rPr>
          <w:rFonts w:ascii="Palatino Linotype" w:eastAsia="Palatino Linotype" w:hAnsi="Palatino Linotype" w:cs="Palatino Linotype"/>
          <w:b/>
        </w:rPr>
        <w:t>II. De la información solicitada y la respuesta del SUJETO OBLIGADO</w:t>
      </w:r>
    </w:p>
    <w:p w:rsidR="00712BB5" w:rsidRPr="00995B5B" w:rsidRDefault="00712BB5" w:rsidP="00712BB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Ahora bien, por lo que hace al recurso  </w:t>
      </w:r>
      <w:r w:rsidR="0085290E">
        <w:rPr>
          <w:rFonts w:ascii="Palatino Linotype" w:eastAsia="Palatino Linotype" w:hAnsi="Palatino Linotype" w:cs="Palatino Linotype"/>
          <w:b/>
        </w:rPr>
        <w:t>05233/INFOEM/IP/RR/2024</w:t>
      </w:r>
      <w:r w:rsidRPr="00995B5B">
        <w:rPr>
          <w:rFonts w:ascii="Palatino Linotype" w:eastAsia="Palatino Linotype" w:hAnsi="Palatino Linotype" w:cs="Palatino Linotype"/>
          <w:b/>
        </w:rPr>
        <w:t xml:space="preserve">, </w:t>
      </w:r>
      <w:r w:rsidRPr="00995B5B">
        <w:rPr>
          <w:rFonts w:ascii="Palatino Linotype" w:eastAsia="Palatino Linotype" w:hAnsi="Palatino Linotype" w:cs="Palatino Linotype"/>
        </w:rPr>
        <w:t xml:space="preserve">es necesario recordar que el </w:t>
      </w:r>
      <w:r w:rsidRPr="00995B5B">
        <w:rPr>
          <w:rFonts w:ascii="Palatino Linotype" w:eastAsia="Palatino Linotype" w:hAnsi="Palatino Linotype" w:cs="Palatino Linotype"/>
          <w:b/>
        </w:rPr>
        <w:t xml:space="preserve">RECURRENTE </w:t>
      </w:r>
      <w:r w:rsidRPr="00995B5B">
        <w:rPr>
          <w:rFonts w:ascii="Palatino Linotype" w:eastAsia="Palatino Linotype" w:hAnsi="Palatino Linotype" w:cs="Palatino Linotype"/>
        </w:rPr>
        <w:t xml:space="preserve">solicito lo siguiente. </w:t>
      </w:r>
    </w:p>
    <w:p w:rsidR="00712BB5" w:rsidRDefault="00712BB5" w:rsidP="00886233">
      <w:pPr>
        <w:spacing w:line="360" w:lineRule="auto"/>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r w:rsidR="00886233" w:rsidRPr="00886233">
        <w:rPr>
          <w:rFonts w:ascii="Palatino Linotype" w:eastAsia="Palatino Linotype" w:hAnsi="Palatino Linotype" w:cs="Palatino Linotype"/>
          <w:i/>
        </w:rPr>
        <w:t>NOMINA DE VIRIDIANA FIGUEROA ROMERO Y POLIZA DE CHEQUE O COMPROBANTE QUE SE EXPIDE A SU NOMBRE Y QUE RECIBE POR CONCEPTO DE PENSION ALIMENTICIA</w:t>
      </w:r>
      <w:r w:rsidR="00886233">
        <w:rPr>
          <w:rFonts w:ascii="Palatino Linotype" w:eastAsia="Palatino Linotype" w:hAnsi="Palatino Linotype" w:cs="Palatino Linotype"/>
          <w:i/>
        </w:rPr>
        <w:t>…”</w:t>
      </w:r>
    </w:p>
    <w:p w:rsidR="00886233" w:rsidRPr="00995B5B" w:rsidRDefault="00886233" w:rsidP="00886233">
      <w:pPr>
        <w:spacing w:line="360" w:lineRule="auto"/>
        <w:ind w:right="900"/>
        <w:jc w:val="both"/>
        <w:rPr>
          <w:rFonts w:ascii="Palatino Linotype" w:eastAsia="Palatino Linotype" w:hAnsi="Palatino Linotype" w:cs="Palatino Linotype"/>
          <w:i/>
        </w:rPr>
      </w:pPr>
    </w:p>
    <w:p w:rsidR="00712BB5" w:rsidRPr="00995B5B" w:rsidRDefault="00712BB5" w:rsidP="00712BB5">
      <w:pPr>
        <w:numPr>
          <w:ilvl w:val="0"/>
          <w:numId w:val="2"/>
        </w:numPr>
        <w:spacing w:line="360" w:lineRule="auto"/>
        <w:ind w:left="0"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De lo anterior, el </w:t>
      </w:r>
      <w:r w:rsidRPr="00995B5B">
        <w:rPr>
          <w:rFonts w:ascii="Palatino Linotype" w:eastAsia="Palatino Linotype" w:hAnsi="Palatino Linotype" w:cs="Palatino Linotype"/>
          <w:b/>
        </w:rPr>
        <w:t xml:space="preserve">SUJETO OBLIGADO </w:t>
      </w:r>
      <w:r w:rsidRPr="00995B5B">
        <w:rPr>
          <w:rFonts w:ascii="Palatino Linotype" w:eastAsia="Palatino Linotype" w:hAnsi="Palatino Linotype" w:cs="Palatino Linotype"/>
        </w:rPr>
        <w:t xml:space="preserve">entrego en respuesta dos archivos electrónicos en formato </w:t>
      </w:r>
      <w:proofErr w:type="spellStart"/>
      <w:r w:rsidRPr="00995B5B">
        <w:rPr>
          <w:rFonts w:ascii="Palatino Linotype" w:eastAsia="Palatino Linotype" w:hAnsi="Palatino Linotype" w:cs="Palatino Linotype"/>
        </w:rPr>
        <w:t>pdf</w:t>
      </w:r>
      <w:proofErr w:type="spellEnd"/>
      <w:r w:rsidRPr="00995B5B">
        <w:rPr>
          <w:rFonts w:ascii="Palatino Linotype" w:eastAsia="Palatino Linotype" w:hAnsi="Palatino Linotype" w:cs="Palatino Linotype"/>
        </w:rPr>
        <w:t>, cuyo contenido grosso modo es el siguiente.</w:t>
      </w:r>
    </w:p>
    <w:p w:rsidR="00886233" w:rsidRPr="00712BB5" w:rsidRDefault="00886233" w:rsidP="00886233">
      <w:pPr>
        <w:pStyle w:val="Prrafodelista"/>
        <w:ind w:left="1134" w:right="900"/>
        <w:jc w:val="both"/>
        <w:rPr>
          <w:rFonts w:ascii="Palatino Linotype" w:eastAsiaTheme="minorEastAsia" w:hAnsi="Palatino Linotype" w:cs="Arial"/>
          <w:b/>
          <w:i/>
          <w:szCs w:val="24"/>
          <w:lang w:val="es-ES_tradnl"/>
        </w:rPr>
      </w:pPr>
      <w:r w:rsidRPr="00712BB5">
        <w:rPr>
          <w:rFonts w:ascii="Palatino Linotype" w:eastAsiaTheme="minorEastAsia" w:hAnsi="Palatino Linotype" w:cs="Arial"/>
          <w:b/>
          <w:i/>
          <w:szCs w:val="24"/>
          <w:lang w:val="es-ES_tradnl"/>
        </w:rPr>
        <w:t xml:space="preserve">Solicitud 000213/ATLACOM/IP/2024: </w:t>
      </w:r>
    </w:p>
    <w:p w:rsidR="00886233" w:rsidRDefault="00886233" w:rsidP="00886233">
      <w:pPr>
        <w:pStyle w:val="Prrafodelista"/>
        <w:ind w:left="1134" w:right="900"/>
        <w:jc w:val="both"/>
        <w:rPr>
          <w:rFonts w:ascii="Palatino Linotype" w:eastAsiaTheme="minorEastAsia" w:hAnsi="Palatino Linotype" w:cs="Arial"/>
          <w:i/>
          <w:szCs w:val="24"/>
          <w:lang w:val="es-ES_tradnl"/>
        </w:rPr>
      </w:pPr>
      <w:r w:rsidRPr="00712BB5">
        <w:rPr>
          <w:rFonts w:ascii="Palatino Linotype" w:eastAsiaTheme="minorEastAsia" w:hAnsi="Palatino Linotype" w:cs="Arial"/>
          <w:b/>
          <w:i/>
          <w:szCs w:val="24"/>
          <w:lang w:val="es-ES_tradnl"/>
        </w:rPr>
        <w:t xml:space="preserve">213_RSOL_TM_2024_RECNOM_VIR_30062024.pdf: </w:t>
      </w:r>
      <w:r w:rsidRPr="00712BB5">
        <w:rPr>
          <w:rFonts w:ascii="Palatino Linotype" w:eastAsiaTheme="minorEastAsia" w:hAnsi="Palatino Linotype" w:cs="Arial"/>
          <w:i/>
          <w:szCs w:val="24"/>
          <w:lang w:val="es-ES_tradnl"/>
        </w:rPr>
        <w:t xml:space="preserve">oficio de la Tesorera Municipal, mediante la informa que se adjunta en versión pública el recibo de nómina de la servidora pública referida en la solicitud de información, correspondiente del 16 al 30 de junio de dos mil veinticuatro. </w:t>
      </w:r>
    </w:p>
    <w:p w:rsidR="00886233" w:rsidRPr="00712BB5" w:rsidRDefault="00886233" w:rsidP="00886233">
      <w:pPr>
        <w:pStyle w:val="Prrafodelista"/>
        <w:ind w:left="1134" w:right="900"/>
        <w:jc w:val="both"/>
        <w:rPr>
          <w:rFonts w:ascii="Palatino Linotype" w:eastAsiaTheme="minorEastAsia" w:hAnsi="Palatino Linotype" w:cs="Arial"/>
          <w:i/>
          <w:szCs w:val="24"/>
          <w:lang w:val="es-ES_tradnl"/>
        </w:rPr>
      </w:pPr>
      <w:r>
        <w:rPr>
          <w:rFonts w:ascii="Palatino Linotype" w:eastAsiaTheme="minorEastAsia" w:hAnsi="Palatino Linotype" w:cs="Arial"/>
          <w:i/>
          <w:szCs w:val="24"/>
          <w:lang w:val="es-ES_tradnl"/>
        </w:rPr>
        <w:t xml:space="preserve">En respuesta, </w:t>
      </w:r>
      <w:proofErr w:type="spellStart"/>
      <w:r>
        <w:rPr>
          <w:rFonts w:ascii="Palatino Linotype" w:eastAsiaTheme="minorEastAsia" w:hAnsi="Palatino Linotype" w:cs="Arial"/>
          <w:i/>
          <w:szCs w:val="24"/>
          <w:lang w:val="es-ES_tradnl"/>
        </w:rPr>
        <w:t>tambien</w:t>
      </w:r>
      <w:proofErr w:type="spellEnd"/>
      <w:r>
        <w:rPr>
          <w:rFonts w:ascii="Palatino Linotype" w:eastAsiaTheme="minorEastAsia" w:hAnsi="Palatino Linotype" w:cs="Arial"/>
          <w:i/>
          <w:szCs w:val="24"/>
          <w:lang w:val="es-ES_tradnl"/>
        </w:rPr>
        <w:t xml:space="preserve"> refiere que el Concepto que recibe por pensión alimenticia corresponde a pagos estrictamente personales. </w:t>
      </w:r>
    </w:p>
    <w:p w:rsidR="00886233" w:rsidRDefault="00886233" w:rsidP="00886233">
      <w:pPr>
        <w:pStyle w:val="Prrafodelista"/>
        <w:ind w:left="1134" w:right="900"/>
        <w:jc w:val="both"/>
        <w:rPr>
          <w:rFonts w:ascii="Palatino Linotype" w:eastAsiaTheme="minorEastAsia" w:hAnsi="Palatino Linotype" w:cs="Arial"/>
          <w:i/>
          <w:szCs w:val="24"/>
          <w:lang w:val="es-ES_tradnl"/>
        </w:rPr>
      </w:pPr>
      <w:r w:rsidRPr="00712BB5">
        <w:rPr>
          <w:rFonts w:ascii="Palatino Linotype" w:eastAsiaTheme="minorEastAsia" w:hAnsi="Palatino Linotype" w:cs="Arial"/>
          <w:b/>
          <w:i/>
          <w:szCs w:val="24"/>
          <w:lang w:val="es-ES_tradnl"/>
        </w:rPr>
        <w:t>028_ACT_EXT_CT_0708_2024.pdf</w:t>
      </w:r>
      <w:r>
        <w:rPr>
          <w:rFonts w:ascii="Palatino Linotype" w:eastAsiaTheme="minorEastAsia" w:hAnsi="Palatino Linotype" w:cs="Arial"/>
          <w:b/>
          <w:i/>
          <w:szCs w:val="24"/>
          <w:lang w:val="es-ES_tradnl"/>
        </w:rPr>
        <w:t xml:space="preserve">: </w:t>
      </w:r>
      <w:r>
        <w:rPr>
          <w:rFonts w:ascii="Palatino Linotype" w:eastAsiaTheme="minorEastAsia" w:hAnsi="Palatino Linotype" w:cs="Arial"/>
          <w:i/>
          <w:szCs w:val="24"/>
          <w:lang w:val="es-ES_tradnl"/>
        </w:rPr>
        <w:t xml:space="preserve">Acta de la Vigésima Octava Sesión Extraordinaria del Comité de Transparencia, mediante la cual en el punto número cinco, clasifican como confidencial lo relativo al Código  Postal, al Registro Federal de Contribuyentes, Clave </w:t>
      </w:r>
      <w:proofErr w:type="spellStart"/>
      <w:r>
        <w:rPr>
          <w:rFonts w:ascii="Palatino Linotype" w:eastAsiaTheme="minorEastAsia" w:hAnsi="Palatino Linotype" w:cs="Arial"/>
          <w:i/>
          <w:szCs w:val="24"/>
          <w:lang w:val="es-ES_tradnl"/>
        </w:rPr>
        <w:t>Unica</w:t>
      </w:r>
      <w:proofErr w:type="spellEnd"/>
      <w:r>
        <w:rPr>
          <w:rFonts w:ascii="Palatino Linotype" w:eastAsiaTheme="minorEastAsia" w:hAnsi="Palatino Linotype" w:cs="Arial"/>
          <w:i/>
          <w:szCs w:val="24"/>
          <w:lang w:val="es-ES_tradnl"/>
        </w:rPr>
        <w:t xml:space="preserve"> de Registro de Población, Clave de Seguridad Social del Instituto de Seguridad Social del Estado de </w:t>
      </w:r>
      <w:r>
        <w:rPr>
          <w:rFonts w:ascii="Palatino Linotype" w:eastAsiaTheme="minorEastAsia" w:hAnsi="Palatino Linotype" w:cs="Arial"/>
          <w:i/>
          <w:szCs w:val="24"/>
          <w:lang w:val="es-ES_tradnl"/>
        </w:rPr>
        <w:lastRenderedPageBreak/>
        <w:t xml:space="preserve">México y Municipios, Deducciones Personales, Institución  Bancaria, Cuenta Bancaria y Código QR. </w:t>
      </w:r>
    </w:p>
    <w:p w:rsidR="00886233" w:rsidRDefault="00886233" w:rsidP="00886233">
      <w:pPr>
        <w:pStyle w:val="Prrafodelista"/>
        <w:ind w:left="1134" w:right="900"/>
        <w:jc w:val="both"/>
        <w:rPr>
          <w:rFonts w:ascii="Palatino Linotype" w:eastAsiaTheme="minorEastAsia" w:hAnsi="Palatino Linotype" w:cs="Arial"/>
          <w:i/>
          <w:szCs w:val="24"/>
          <w:lang w:val="es-ES_tradnl"/>
        </w:rPr>
      </w:pPr>
      <w:r w:rsidRPr="00FD6ED9">
        <w:rPr>
          <w:rFonts w:ascii="Palatino Linotype" w:eastAsiaTheme="minorEastAsia" w:hAnsi="Palatino Linotype" w:cs="Arial"/>
          <w:b/>
          <w:i/>
          <w:szCs w:val="24"/>
          <w:lang w:val="es-ES_tradnl"/>
        </w:rPr>
        <w:t>0213_RES_UT_2024.pdf</w:t>
      </w:r>
      <w:r>
        <w:rPr>
          <w:rFonts w:ascii="Palatino Linotype" w:eastAsiaTheme="minorEastAsia" w:hAnsi="Palatino Linotype" w:cs="Arial"/>
          <w:b/>
          <w:i/>
          <w:szCs w:val="24"/>
          <w:lang w:val="es-ES_tradnl"/>
        </w:rPr>
        <w:t xml:space="preserve">: </w:t>
      </w:r>
      <w:r>
        <w:rPr>
          <w:rFonts w:ascii="Palatino Linotype" w:eastAsiaTheme="minorEastAsia" w:hAnsi="Palatino Linotype" w:cs="Arial"/>
          <w:i/>
          <w:szCs w:val="24"/>
          <w:lang w:val="es-ES_tradnl"/>
        </w:rPr>
        <w:t xml:space="preserve">oficio de la Titular de la Unidad de Transparencia, mediante el cual refiere que remite el oficio de respuesta y el Acta del Comité de Transparencia. </w:t>
      </w:r>
    </w:p>
    <w:p w:rsidR="00712BB5" w:rsidRPr="00995B5B" w:rsidRDefault="00712BB5" w:rsidP="00712BB5">
      <w:pPr>
        <w:spacing w:line="360" w:lineRule="auto"/>
        <w:ind w:right="49"/>
        <w:jc w:val="both"/>
        <w:rPr>
          <w:rFonts w:ascii="Palatino Linotype" w:eastAsia="Palatino Linotype" w:hAnsi="Palatino Linotype" w:cs="Palatino Linotype"/>
        </w:rPr>
      </w:pPr>
    </w:p>
    <w:p w:rsidR="00B149F3" w:rsidRDefault="00712BB5" w:rsidP="00712BB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De la respuesta recibida el entonces solicitante, interpuso el recurso de revisión, manifestando que </w:t>
      </w:r>
      <w:r w:rsidR="00B149F3">
        <w:rPr>
          <w:rFonts w:ascii="Palatino Linotype" w:eastAsia="Palatino Linotype" w:hAnsi="Palatino Linotype" w:cs="Palatino Linotype"/>
        </w:rPr>
        <w:t xml:space="preserve">se encontraba inconforme con la respuesta del </w:t>
      </w:r>
      <w:r w:rsidR="00B149F3">
        <w:rPr>
          <w:rFonts w:ascii="Palatino Linotype" w:eastAsia="Palatino Linotype" w:hAnsi="Palatino Linotype" w:cs="Palatino Linotype"/>
          <w:b/>
        </w:rPr>
        <w:t xml:space="preserve">SUJETO OBLIGADO, </w:t>
      </w:r>
      <w:r w:rsidR="00B149F3">
        <w:rPr>
          <w:rFonts w:ascii="Palatino Linotype" w:eastAsia="Palatino Linotype" w:hAnsi="Palatino Linotype" w:cs="Palatino Linotype"/>
        </w:rPr>
        <w:t xml:space="preserve">situación por la cual en la etapa de manifestaciones el </w:t>
      </w:r>
      <w:r w:rsidR="00B149F3">
        <w:rPr>
          <w:rFonts w:ascii="Palatino Linotype" w:eastAsia="Palatino Linotype" w:hAnsi="Palatino Linotype" w:cs="Palatino Linotype"/>
          <w:b/>
        </w:rPr>
        <w:t xml:space="preserve">SUJETO OBLIGADO </w:t>
      </w:r>
      <w:r w:rsidR="00B149F3">
        <w:rPr>
          <w:rFonts w:ascii="Palatino Linotype" w:eastAsia="Palatino Linotype" w:hAnsi="Palatino Linotype" w:cs="Palatino Linotype"/>
        </w:rPr>
        <w:t xml:space="preserve">ratifico la respuesta inicial. </w:t>
      </w:r>
    </w:p>
    <w:p w:rsidR="00B149F3" w:rsidRDefault="00B149F3" w:rsidP="00B149F3">
      <w:pPr>
        <w:spacing w:line="360" w:lineRule="auto"/>
        <w:ind w:right="49"/>
        <w:jc w:val="both"/>
        <w:rPr>
          <w:rFonts w:ascii="Palatino Linotype" w:eastAsia="Palatino Linotype" w:hAnsi="Palatino Linotype" w:cs="Palatino Linotype"/>
        </w:rPr>
      </w:pPr>
    </w:p>
    <w:p w:rsidR="00244A1A" w:rsidRDefault="00244A1A" w:rsidP="00EF1B95">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es necesario referir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acepta que posee y administra la información solicitada, toda vez que en respuesta remite un recibo de nómina de la segunda quincena de junio, del cual se puede observar que no hizo una correcta versión pública, toda vez que se testaron datos que no debieron des testarse como lo es el nombre de la institución bancaria, tal y como se muestra a continuación. </w:t>
      </w:r>
    </w:p>
    <w:p w:rsidR="00244A1A" w:rsidRDefault="00244A1A" w:rsidP="00244A1A">
      <w:pPr>
        <w:pStyle w:val="Prrafodelista"/>
        <w:rPr>
          <w:rFonts w:ascii="Palatino Linotype" w:eastAsia="Palatino Linotype" w:hAnsi="Palatino Linotype" w:cs="Palatino Linotype"/>
        </w:rPr>
      </w:pPr>
      <w:r>
        <w:rPr>
          <w:rFonts w:ascii="Palatino Linotype" w:eastAsia="Palatino Linotype" w:hAnsi="Palatino Linotype" w:cs="Palatino Linotype"/>
          <w:noProof/>
          <w:lang w:val="es-MX" w:eastAsia="es-MX"/>
        </w:rPr>
        <mc:AlternateContent>
          <mc:Choice Requires="wps">
            <w:drawing>
              <wp:anchor distT="0" distB="0" distL="114300" distR="114300" simplePos="0" relativeHeight="251675648" behindDoc="0" locked="0" layoutInCell="1" allowOverlap="1">
                <wp:simplePos x="0" y="0"/>
                <wp:positionH relativeFrom="column">
                  <wp:posOffset>-54417</wp:posOffset>
                </wp:positionH>
                <wp:positionV relativeFrom="paragraph">
                  <wp:posOffset>227330</wp:posOffset>
                </wp:positionV>
                <wp:extent cx="6361044" cy="2679590"/>
                <wp:effectExtent l="0" t="0" r="20955" b="26035"/>
                <wp:wrapNone/>
                <wp:docPr id="21" name="Conector recto 21"/>
                <wp:cNvGraphicFramePr/>
                <a:graphic xmlns:a="http://schemas.openxmlformats.org/drawingml/2006/main">
                  <a:graphicData uri="http://schemas.microsoft.com/office/word/2010/wordprocessingShape">
                    <wps:wsp>
                      <wps:cNvCnPr/>
                      <wps:spPr>
                        <a:xfrm>
                          <a:off x="0" y="0"/>
                          <a:ext cx="6361044" cy="2679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8D4DD2" id="Conector recto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3pt,17.9pt" to="496.55pt,2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" strokecolor="black [3200]" strokeweight="1.5pt">
                <v:stroke joinstyle="miter"/>
              </v:line>
            </w:pict>
          </mc:Fallback>
        </mc:AlternateContent>
      </w:r>
    </w:p>
    <w:p w:rsidR="00244A1A" w:rsidRDefault="00244A1A" w:rsidP="00244A1A">
      <w:pPr>
        <w:spacing w:line="360" w:lineRule="auto"/>
        <w:ind w:right="49"/>
        <w:jc w:val="center"/>
        <w:rPr>
          <w:rFonts w:ascii="Palatino Linotype" w:eastAsia="Palatino Linotype" w:hAnsi="Palatino Linotype" w:cs="Palatino Linotype"/>
        </w:rPr>
      </w:pPr>
      <w:r w:rsidRPr="00244A1A">
        <w:rPr>
          <w:rFonts w:ascii="Palatino Linotype" w:eastAsia="Palatino Linotype" w:hAnsi="Palatino Linotype" w:cs="Palatino Linotype"/>
          <w:noProof/>
        </w:rPr>
        <w:lastRenderedPageBreak/>
        <w:drawing>
          <wp:inline distT="0" distB="0" distL="0" distR="0" wp14:anchorId="1F3B3079" wp14:editId="7282A7DF">
            <wp:extent cx="4158532" cy="3395335"/>
            <wp:effectExtent l="152400" t="152400" r="356870" b="3581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66234" cy="3401623"/>
                    </a:xfrm>
                    <a:prstGeom prst="rect">
                      <a:avLst/>
                    </a:prstGeom>
                    <a:ln>
                      <a:noFill/>
                    </a:ln>
                    <a:effectLst>
                      <a:outerShdw blurRad="292100" dist="139700" dir="2700000" algn="tl" rotWithShape="0">
                        <a:srgbClr val="333333">
                          <a:alpha val="65000"/>
                        </a:srgbClr>
                      </a:outerShdw>
                    </a:effectLst>
                  </pic:spPr>
                </pic:pic>
              </a:graphicData>
            </a:graphic>
          </wp:inline>
        </w:drawing>
      </w:r>
    </w:p>
    <w:p w:rsidR="00244A1A" w:rsidRDefault="00244A1A" w:rsidP="00244A1A">
      <w:pPr>
        <w:pStyle w:val="Prrafodelista"/>
        <w:rPr>
          <w:rFonts w:ascii="Palatino Linotype" w:eastAsia="Palatino Linotype" w:hAnsi="Palatino Linotype" w:cs="Palatino Linotype"/>
        </w:rPr>
      </w:pPr>
    </w:p>
    <w:p w:rsidR="00BC1A72" w:rsidRDefault="00244A1A" w:rsidP="00EF1B95">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Situación por la cual </w:t>
      </w:r>
      <w:r w:rsidR="00BC1A72">
        <w:rPr>
          <w:rFonts w:ascii="Palatino Linotype" w:eastAsia="Palatino Linotype" w:hAnsi="Palatino Linotype" w:cs="Palatino Linotype"/>
        </w:rPr>
        <w:t xml:space="preserve">no se puede tener por colmado el derecho de acceso a la información, toda vez que el conocer el nombre de la institución bancaria por la cual se realizó el pago por las remuneraciones de la servidora pública referida en la solicitud de información abono a los datos de transparencia. </w:t>
      </w:r>
    </w:p>
    <w:p w:rsidR="00BC1A72" w:rsidRDefault="00BC1A72" w:rsidP="00BC1A72">
      <w:pPr>
        <w:spacing w:line="360" w:lineRule="auto"/>
        <w:ind w:right="49"/>
        <w:jc w:val="both"/>
        <w:rPr>
          <w:rFonts w:ascii="Palatino Linotype" w:eastAsia="Palatino Linotype" w:hAnsi="Palatino Linotype" w:cs="Palatino Linotype"/>
        </w:rPr>
      </w:pPr>
    </w:p>
    <w:p w:rsidR="00BC1A72" w:rsidRDefault="00BC1A72" w:rsidP="00EF1B95">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mismo se debe de hacer mención que al entregar recibos de nómina, se debe de observar que cuando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no establezca el periodo de información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deberá de entregar las dos últimas quincenas generadas a la fecha de la solicitud, situación por la cual en respuesta se debió de </w:t>
      </w:r>
      <w:r>
        <w:rPr>
          <w:rFonts w:ascii="Palatino Linotype" w:eastAsia="Palatino Linotype" w:hAnsi="Palatino Linotype" w:cs="Palatino Linotype"/>
        </w:rPr>
        <w:lastRenderedPageBreak/>
        <w:t xml:space="preserve">entregar también el recibo de nómina correspondiente a la segunda quincena de mayo de dos mil veinticuatro. </w:t>
      </w:r>
    </w:p>
    <w:p w:rsidR="00BC1A72" w:rsidRDefault="00BC1A72" w:rsidP="00BC1A72">
      <w:pPr>
        <w:pStyle w:val="Prrafodelista"/>
        <w:rPr>
          <w:rFonts w:ascii="Palatino Linotype" w:eastAsia="Palatino Linotype" w:hAnsi="Palatino Linotype" w:cs="Palatino Linotype"/>
        </w:rPr>
      </w:pPr>
    </w:p>
    <w:p w:rsidR="0025708D" w:rsidRPr="00F03126" w:rsidRDefault="00BC1A72" w:rsidP="00EF1B95">
      <w:pPr>
        <w:numPr>
          <w:ilvl w:val="0"/>
          <w:numId w:val="2"/>
        </w:numPr>
        <w:spacing w:line="360" w:lineRule="auto"/>
        <w:ind w:left="0" w:right="49" w:firstLine="0"/>
        <w:jc w:val="both"/>
        <w:rPr>
          <w:rFonts w:ascii="Palatino Linotype" w:eastAsia="Palatino Linotype" w:hAnsi="Palatino Linotype" w:cs="Palatino Linotype"/>
        </w:rPr>
      </w:pPr>
      <w:r w:rsidRPr="00F03126">
        <w:rPr>
          <w:rFonts w:ascii="Palatino Linotype" w:eastAsia="Palatino Linotype" w:hAnsi="Palatino Linotype" w:cs="Palatino Linotype"/>
        </w:rPr>
        <w:t xml:space="preserve">Seguidamente, </w:t>
      </w:r>
      <w:r w:rsidR="0025708D" w:rsidRPr="00F03126">
        <w:rPr>
          <w:rFonts w:ascii="Palatino Linotype" w:eastAsia="Palatino Linotype" w:hAnsi="Palatino Linotype" w:cs="Palatino Linotype"/>
        </w:rPr>
        <w:t xml:space="preserve">se debe de precisar que toda vez que la inconformidad </w:t>
      </w:r>
      <w:r w:rsidRPr="00F03126">
        <w:rPr>
          <w:rFonts w:ascii="Palatino Linotype" w:eastAsia="Palatino Linotype" w:hAnsi="Palatino Linotype" w:cs="Palatino Linotype"/>
        </w:rPr>
        <w:t>en el</w:t>
      </w:r>
      <w:r w:rsidR="0025708D" w:rsidRPr="00F03126">
        <w:rPr>
          <w:rFonts w:ascii="Palatino Linotype" w:eastAsia="Palatino Linotype" w:hAnsi="Palatino Linotype" w:cs="Palatino Linotype"/>
        </w:rPr>
        <w:t xml:space="preserve"> recurso versa sobre la totalidad de la respuesta, es que se debe de mencionar que lo referente al monto del pago de pensión alimenticia no es información que obre, se genera, posea o administra dentro del </w:t>
      </w:r>
      <w:r w:rsidR="0025708D" w:rsidRPr="00F03126">
        <w:rPr>
          <w:rFonts w:ascii="Palatino Linotype" w:eastAsia="Palatino Linotype" w:hAnsi="Palatino Linotype" w:cs="Palatino Linotype"/>
          <w:b/>
        </w:rPr>
        <w:t xml:space="preserve">SUJETO OBLIGADO, </w:t>
      </w:r>
      <w:r w:rsidR="0025708D" w:rsidRPr="00F03126">
        <w:rPr>
          <w:rFonts w:ascii="Palatino Linotype" w:eastAsia="Palatino Linotype" w:hAnsi="Palatino Linotype" w:cs="Palatino Linotype"/>
        </w:rPr>
        <w:t xml:space="preserve">toda vez que esa información no tiene relación con el pago de la nómina que recibe la servidora pública referida </w:t>
      </w:r>
      <w:r w:rsidR="004939EB" w:rsidRPr="00F03126">
        <w:rPr>
          <w:rFonts w:ascii="Palatino Linotype" w:eastAsia="Palatino Linotype" w:hAnsi="Palatino Linotype" w:cs="Palatino Linotype"/>
        </w:rPr>
        <w:t xml:space="preserve">en la solicitud de información por el pago de las remuneraciones, además de que forma parte de información de carácter personal. </w:t>
      </w:r>
    </w:p>
    <w:p w:rsidR="0025708D" w:rsidRDefault="0025708D" w:rsidP="0025708D">
      <w:pPr>
        <w:pStyle w:val="Prrafodelista"/>
        <w:rPr>
          <w:rFonts w:ascii="Palatino Linotype" w:eastAsia="Palatino Linotype" w:hAnsi="Palatino Linotype" w:cs="Palatino Linotype"/>
        </w:rPr>
      </w:pPr>
    </w:p>
    <w:p w:rsidR="00BC1A72" w:rsidRDefault="00BC1A72" w:rsidP="00BC1A72">
      <w:pPr>
        <w:pStyle w:val="Prrafodelista"/>
        <w:rPr>
          <w:rFonts w:ascii="Palatino Linotype" w:eastAsia="Palatino Linotype" w:hAnsi="Palatino Linotype" w:cs="Palatino Linotype"/>
        </w:rPr>
      </w:pPr>
    </w:p>
    <w:p w:rsidR="00712BB5" w:rsidRDefault="00B149F3" w:rsidP="00EF1B95">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cuanto hace al recurso de revisión </w:t>
      </w:r>
      <w:r w:rsidR="00EF1B95">
        <w:rPr>
          <w:rFonts w:ascii="Palatino Linotype" w:eastAsia="Palatino Linotype" w:hAnsi="Palatino Linotype" w:cs="Palatino Linotype"/>
          <w:b/>
          <w:bCs/>
        </w:rPr>
        <w:t xml:space="preserve">05504/INFOEM/IP/RR/2024 </w:t>
      </w:r>
      <w:r w:rsidR="00EF1B95">
        <w:rPr>
          <w:rFonts w:ascii="Palatino Linotype" w:eastAsia="Palatino Linotype" w:hAnsi="Palatino Linotype" w:cs="Palatino Linotype"/>
        </w:rPr>
        <w:t xml:space="preserve">la información solicitada por el </w:t>
      </w:r>
      <w:r w:rsidR="00EF1B95">
        <w:rPr>
          <w:rFonts w:ascii="Palatino Linotype" w:eastAsia="Palatino Linotype" w:hAnsi="Palatino Linotype" w:cs="Palatino Linotype"/>
          <w:b/>
        </w:rPr>
        <w:t xml:space="preserve">RECURRENTE </w:t>
      </w:r>
      <w:r w:rsidR="00EF1B95">
        <w:rPr>
          <w:rFonts w:ascii="Palatino Linotype" w:eastAsia="Palatino Linotype" w:hAnsi="Palatino Linotype" w:cs="Palatino Linotype"/>
        </w:rPr>
        <w:t>consistió en lo siguiente</w:t>
      </w:r>
      <w:r w:rsidR="00712BB5" w:rsidRPr="00995B5B">
        <w:rPr>
          <w:rFonts w:ascii="Palatino Linotype" w:eastAsia="Palatino Linotype" w:hAnsi="Palatino Linotype" w:cs="Palatino Linotype"/>
        </w:rPr>
        <w:t xml:space="preserve">. </w:t>
      </w:r>
    </w:p>
    <w:p w:rsidR="00EF1B95" w:rsidRPr="00EF1B95" w:rsidRDefault="00EF1B95" w:rsidP="00EF1B95">
      <w:pPr>
        <w:spacing w:line="360" w:lineRule="auto"/>
        <w:ind w:right="49"/>
        <w:jc w:val="both"/>
        <w:rPr>
          <w:rFonts w:ascii="Palatino Linotype" w:eastAsia="Palatino Linotype" w:hAnsi="Palatino Linotype" w:cs="Palatino Linotype"/>
        </w:rPr>
      </w:pPr>
    </w:p>
    <w:p w:rsidR="00712BB5" w:rsidRPr="00995B5B" w:rsidRDefault="00712BB5" w:rsidP="00712BB5">
      <w:pPr>
        <w:spacing w:line="360" w:lineRule="auto"/>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r w:rsidR="00EF1B95" w:rsidRPr="00EF1B95">
        <w:rPr>
          <w:rFonts w:ascii="Palatino Linotype" w:eastAsia="Palatino Linotype" w:hAnsi="Palatino Linotype" w:cs="Palatino Linotype"/>
          <w:i/>
        </w:rPr>
        <w:t>DESEO CONOCER NOMINA</w:t>
      </w:r>
      <w:proofErr w:type="gramStart"/>
      <w:r w:rsidR="00EF1B95" w:rsidRPr="00EF1B95">
        <w:rPr>
          <w:rFonts w:ascii="Palatino Linotype" w:eastAsia="Palatino Linotype" w:hAnsi="Palatino Linotype" w:cs="Palatino Linotype"/>
          <w:i/>
        </w:rPr>
        <w:t>,NOMBRAMIENTO</w:t>
      </w:r>
      <w:proofErr w:type="gramEnd"/>
      <w:r w:rsidR="00EF1B95" w:rsidRPr="00EF1B95">
        <w:rPr>
          <w:rFonts w:ascii="Palatino Linotype" w:eastAsia="Palatino Linotype" w:hAnsi="Palatino Linotype" w:cs="Palatino Linotype"/>
          <w:i/>
        </w:rPr>
        <w:t>, MOVIMIENTO DE ALTA DE ISSEMYN DE LA CRONISTA MUNICIPAL</w:t>
      </w:r>
      <w:r w:rsidRPr="00995B5B">
        <w:rPr>
          <w:rFonts w:ascii="Palatino Linotype" w:eastAsia="Palatino Linotype" w:hAnsi="Palatino Linotype" w:cs="Palatino Linotype"/>
          <w:i/>
        </w:rPr>
        <w:t>”</w:t>
      </w:r>
    </w:p>
    <w:p w:rsidR="00712BB5" w:rsidRPr="00995B5B" w:rsidRDefault="00712BB5" w:rsidP="00712BB5">
      <w:pPr>
        <w:pStyle w:val="Prrafodelista"/>
        <w:rPr>
          <w:rFonts w:ascii="Palatino Linotype" w:eastAsia="Palatino Linotype" w:hAnsi="Palatino Linotype" w:cs="Palatino Linotype"/>
          <w:sz w:val="24"/>
          <w:szCs w:val="24"/>
        </w:rPr>
      </w:pPr>
    </w:p>
    <w:p w:rsidR="00712BB5" w:rsidRPr="00995B5B" w:rsidRDefault="00EF1B95" w:rsidP="00712BB5">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entrego distintos archivos electrónicos en formato </w:t>
      </w:r>
      <w:proofErr w:type="spellStart"/>
      <w:r>
        <w:rPr>
          <w:rFonts w:ascii="Palatino Linotype" w:eastAsia="Palatino Linotype" w:hAnsi="Palatino Linotype" w:cs="Palatino Linotype"/>
        </w:rPr>
        <w:t>pdf</w:t>
      </w:r>
      <w:proofErr w:type="spellEnd"/>
      <w:r>
        <w:rPr>
          <w:rFonts w:ascii="Palatino Linotype" w:eastAsia="Palatino Linotype" w:hAnsi="Palatino Linotype" w:cs="Palatino Linotype"/>
        </w:rPr>
        <w:t>, cuyo contenido grosso modo consistió en lo siguiente</w:t>
      </w:r>
      <w:r w:rsidR="00712BB5" w:rsidRPr="00995B5B">
        <w:rPr>
          <w:rFonts w:ascii="Palatino Linotype" w:eastAsia="Palatino Linotype" w:hAnsi="Palatino Linotype" w:cs="Palatino Linotype"/>
        </w:rPr>
        <w:t xml:space="preserve">. </w:t>
      </w:r>
    </w:p>
    <w:p w:rsidR="00EF1B95" w:rsidRDefault="00EF1B95" w:rsidP="00EF1B95">
      <w:pPr>
        <w:pStyle w:val="Prrafodelista"/>
        <w:ind w:left="1134" w:right="900"/>
        <w:jc w:val="both"/>
        <w:rPr>
          <w:rFonts w:ascii="Palatino Linotype" w:eastAsiaTheme="minorEastAsia" w:hAnsi="Palatino Linotype" w:cs="Arial"/>
          <w:i/>
          <w:szCs w:val="24"/>
          <w:lang w:val="es-ES_tradnl"/>
        </w:rPr>
      </w:pPr>
    </w:p>
    <w:p w:rsidR="00EF1B95" w:rsidRPr="00EF1B95" w:rsidRDefault="00EF1B95" w:rsidP="00EF1B95">
      <w:pPr>
        <w:pStyle w:val="Prrafodelista"/>
        <w:ind w:left="1134" w:right="900"/>
        <w:jc w:val="both"/>
        <w:rPr>
          <w:rFonts w:ascii="Palatino Linotype" w:eastAsiaTheme="minorEastAsia" w:hAnsi="Palatino Linotype" w:cs="Arial"/>
          <w:b/>
          <w:i/>
          <w:szCs w:val="24"/>
          <w:lang w:val="es-ES_tradnl"/>
        </w:rPr>
      </w:pPr>
      <w:r w:rsidRPr="00712BB5">
        <w:rPr>
          <w:rFonts w:ascii="Palatino Linotype" w:eastAsiaTheme="minorEastAsia" w:hAnsi="Palatino Linotype" w:cs="Arial"/>
          <w:b/>
          <w:i/>
          <w:szCs w:val="24"/>
          <w:lang w:val="es-ES_tradnl"/>
        </w:rPr>
        <w:t xml:space="preserve">Solicitud </w:t>
      </w:r>
      <w:r w:rsidRPr="00F63CAB">
        <w:rPr>
          <w:rFonts w:ascii="Palatino Linotype" w:eastAsiaTheme="minorEastAsia" w:hAnsi="Palatino Linotype" w:cs="Arial"/>
          <w:b/>
          <w:bCs/>
          <w:i/>
          <w:szCs w:val="24"/>
          <w:lang w:val="es-MX"/>
        </w:rPr>
        <w:t>00225/ATLACOM/IP/2024</w:t>
      </w:r>
      <w:r w:rsidRPr="00712BB5">
        <w:rPr>
          <w:rFonts w:ascii="Palatino Linotype" w:eastAsiaTheme="minorEastAsia" w:hAnsi="Palatino Linotype" w:cs="Arial"/>
          <w:b/>
          <w:i/>
          <w:szCs w:val="24"/>
          <w:lang w:val="es-ES_tradnl"/>
        </w:rPr>
        <w:t xml:space="preserve">: </w:t>
      </w:r>
    </w:p>
    <w:p w:rsidR="00EF1B95" w:rsidRDefault="00EF1B95" w:rsidP="00EF1B95">
      <w:pPr>
        <w:pStyle w:val="Prrafodelista"/>
        <w:ind w:left="1134" w:right="900"/>
        <w:jc w:val="both"/>
        <w:rPr>
          <w:rFonts w:ascii="Palatino Linotype" w:eastAsiaTheme="minorEastAsia" w:hAnsi="Palatino Linotype" w:cs="Arial"/>
          <w:i/>
          <w:szCs w:val="24"/>
          <w:lang w:val="es-ES_tradnl"/>
        </w:rPr>
      </w:pPr>
      <w:r w:rsidRPr="00F63CAB">
        <w:rPr>
          <w:rFonts w:ascii="Palatino Linotype" w:eastAsiaTheme="minorEastAsia" w:hAnsi="Palatino Linotype" w:cs="Arial"/>
          <w:b/>
          <w:i/>
          <w:szCs w:val="24"/>
          <w:lang w:val="es-ES_tradnl"/>
        </w:rPr>
        <w:t>225_RSOL_TM_2024_CRONISTA.pdf</w:t>
      </w:r>
      <w:r>
        <w:rPr>
          <w:rFonts w:ascii="Palatino Linotype" w:eastAsiaTheme="minorEastAsia" w:hAnsi="Palatino Linotype" w:cs="Arial"/>
          <w:b/>
          <w:i/>
          <w:szCs w:val="24"/>
          <w:lang w:val="es-ES_tradnl"/>
        </w:rPr>
        <w:t xml:space="preserve">: </w:t>
      </w:r>
      <w:r>
        <w:rPr>
          <w:rFonts w:ascii="Palatino Linotype" w:eastAsiaTheme="minorEastAsia" w:hAnsi="Palatino Linotype" w:cs="Arial"/>
          <w:i/>
          <w:szCs w:val="24"/>
          <w:lang w:val="es-ES_tradnl"/>
        </w:rPr>
        <w:t xml:space="preserve">oficio de la Tesorera Municipal, mediante el cual informa que por medio de la liga electrónica </w:t>
      </w:r>
      <w:hyperlink r:id="rId12" w:history="1">
        <w:r w:rsidRPr="006323EF">
          <w:rPr>
            <w:rStyle w:val="Hipervnculo"/>
            <w:rFonts w:ascii="Palatino Linotype" w:eastAsiaTheme="minorEastAsia" w:hAnsi="Palatino Linotype" w:cs="Arial"/>
            <w:i/>
            <w:szCs w:val="24"/>
            <w:lang w:val="es-ES_tradnl"/>
          </w:rPr>
          <w:t>https://acortar-link/4JRxL</w:t>
        </w:r>
      </w:hyperlink>
      <w:r>
        <w:rPr>
          <w:rFonts w:ascii="Palatino Linotype" w:eastAsiaTheme="minorEastAsia" w:hAnsi="Palatino Linotype" w:cs="Arial"/>
          <w:i/>
          <w:szCs w:val="24"/>
          <w:lang w:val="es-ES_tradnl"/>
        </w:rPr>
        <w:t xml:space="preserve">, puede consultar la información en la fracción VIIIA de </w:t>
      </w:r>
      <w:r>
        <w:rPr>
          <w:rFonts w:ascii="Palatino Linotype" w:eastAsiaTheme="minorEastAsia" w:hAnsi="Palatino Linotype" w:cs="Arial"/>
          <w:i/>
          <w:szCs w:val="24"/>
          <w:lang w:val="es-ES_tradnl"/>
        </w:rPr>
        <w:lastRenderedPageBreak/>
        <w:t xml:space="preserve">remuneraciones, indicando que tiene que buscar el apartado de Secretaría del Ayuntamiento y Seleccionar Cronista Municipal. </w:t>
      </w:r>
    </w:p>
    <w:p w:rsidR="00EF1B95" w:rsidRDefault="00EF1B95" w:rsidP="00EF1B95">
      <w:pPr>
        <w:pStyle w:val="Prrafodelista"/>
        <w:ind w:left="1134" w:right="900"/>
        <w:jc w:val="both"/>
        <w:rPr>
          <w:rFonts w:ascii="Palatino Linotype" w:eastAsiaTheme="minorEastAsia" w:hAnsi="Palatino Linotype" w:cs="Arial"/>
          <w:i/>
          <w:szCs w:val="24"/>
          <w:lang w:val="es-ES_tradnl"/>
        </w:rPr>
      </w:pPr>
      <w:proofErr w:type="gramStart"/>
      <w:r>
        <w:rPr>
          <w:rFonts w:ascii="Palatino Linotype" w:eastAsiaTheme="minorEastAsia" w:hAnsi="Palatino Linotype" w:cs="Arial"/>
          <w:i/>
          <w:szCs w:val="24"/>
          <w:lang w:val="es-ES_tradnl"/>
        </w:rPr>
        <w:t>del</w:t>
      </w:r>
      <w:proofErr w:type="gramEnd"/>
      <w:r>
        <w:rPr>
          <w:rFonts w:ascii="Palatino Linotype" w:eastAsiaTheme="minorEastAsia" w:hAnsi="Palatino Linotype" w:cs="Arial"/>
          <w:i/>
          <w:szCs w:val="24"/>
          <w:lang w:val="es-ES_tradnl"/>
        </w:rPr>
        <w:t xml:space="preserve"> mismo oficio se observa que se adjunta captura de pantalla de la remuneración bruta y neta de la Cronista Municipal. </w:t>
      </w:r>
    </w:p>
    <w:p w:rsidR="00EF1B95" w:rsidRDefault="00EF1B95" w:rsidP="00EF1B95">
      <w:pPr>
        <w:ind w:left="1134" w:right="900"/>
        <w:jc w:val="both"/>
        <w:rPr>
          <w:rFonts w:ascii="Palatino Linotype" w:eastAsiaTheme="minorEastAsia" w:hAnsi="Palatino Linotype" w:cs="Arial"/>
          <w:i/>
          <w:lang w:val="es-ES_tradnl"/>
        </w:rPr>
      </w:pPr>
      <w:r w:rsidRPr="00CE315A">
        <w:rPr>
          <w:rFonts w:ascii="Palatino Linotype" w:eastAsiaTheme="minorEastAsia" w:hAnsi="Palatino Linotype" w:cs="Arial"/>
          <w:b/>
          <w:i/>
          <w:lang w:val="es-ES_tradnl"/>
        </w:rPr>
        <w:t xml:space="preserve"> </w:t>
      </w:r>
      <w:hyperlink r:id="rId13" w:tgtFrame="_blank" w:history="1">
        <w:r w:rsidRPr="00CE315A">
          <w:rPr>
            <w:rStyle w:val="Hipervnculo"/>
            <w:rFonts w:ascii="Palatino Linotype" w:eastAsiaTheme="minorEastAsia" w:hAnsi="Palatino Linotype" w:cs="Arial"/>
            <w:b/>
            <w:bCs/>
            <w:i/>
            <w:color w:val="auto"/>
          </w:rPr>
          <w:t>225_SOL_RESP_ADMON_2024.pdf</w:t>
        </w:r>
      </w:hyperlink>
      <w:r>
        <w:rPr>
          <w:rFonts w:ascii="Palatino Linotype" w:eastAsiaTheme="minorEastAsia" w:hAnsi="Palatino Linotype" w:cs="Arial"/>
          <w:b/>
          <w:i/>
          <w:lang w:val="es-ES_tradnl"/>
        </w:rPr>
        <w:t xml:space="preserve">: </w:t>
      </w:r>
      <w:r>
        <w:rPr>
          <w:rFonts w:ascii="Palatino Linotype" w:eastAsiaTheme="minorEastAsia" w:hAnsi="Palatino Linotype" w:cs="Arial"/>
          <w:i/>
          <w:lang w:val="es-ES_tradnl"/>
        </w:rPr>
        <w:t xml:space="preserve">oficio del Jefe de Recursos Humanos, mediante el cual informa que se anexa el nombramiento de la Cronista Municipal, así como también informa no cuenta con la prestación del servicio del ISSEMYM por parte del Ayuntamiento de Atlacomulco. </w:t>
      </w:r>
    </w:p>
    <w:p w:rsidR="00EF1B95" w:rsidRDefault="00EF1B95" w:rsidP="00EF1B95">
      <w:pPr>
        <w:ind w:left="1134" w:right="900"/>
        <w:jc w:val="both"/>
        <w:rPr>
          <w:rFonts w:ascii="Palatino Linotype" w:eastAsiaTheme="minorEastAsia" w:hAnsi="Palatino Linotype" w:cs="Arial"/>
          <w:i/>
          <w:lang w:val="es-ES_tradnl"/>
        </w:rPr>
      </w:pPr>
      <w:r w:rsidRPr="00CE315A">
        <w:rPr>
          <w:rFonts w:ascii="Palatino Linotype" w:eastAsiaTheme="minorEastAsia" w:hAnsi="Palatino Linotype" w:cs="Arial"/>
          <w:b/>
          <w:i/>
          <w:lang w:val="es-ES_tradnl"/>
        </w:rPr>
        <w:t>225_SOL_ANEXO_ADMON_2024.pdf</w:t>
      </w:r>
      <w:r>
        <w:rPr>
          <w:rFonts w:ascii="Palatino Linotype" w:eastAsiaTheme="minorEastAsia" w:hAnsi="Palatino Linotype" w:cs="Arial"/>
          <w:b/>
          <w:i/>
          <w:lang w:val="es-ES_tradnl"/>
        </w:rPr>
        <w:t xml:space="preserve">: </w:t>
      </w:r>
      <w:r>
        <w:rPr>
          <w:rFonts w:ascii="Palatino Linotype" w:eastAsiaTheme="minorEastAsia" w:hAnsi="Palatino Linotype" w:cs="Arial"/>
          <w:i/>
          <w:lang w:val="es-ES_tradnl"/>
        </w:rPr>
        <w:t xml:space="preserve">Nombramiento de la Cronista Municipal de fecha uno de febrero de dos mil veintidós. </w:t>
      </w:r>
    </w:p>
    <w:p w:rsidR="00EF1B95" w:rsidRDefault="00EF1B95" w:rsidP="00EF1B95">
      <w:pPr>
        <w:ind w:left="1134" w:right="900"/>
        <w:jc w:val="both"/>
        <w:rPr>
          <w:rFonts w:ascii="Palatino Linotype" w:eastAsiaTheme="minorEastAsia" w:hAnsi="Palatino Linotype" w:cs="Arial"/>
          <w:i/>
          <w:lang w:val="es-ES_tradnl"/>
        </w:rPr>
      </w:pPr>
      <w:r w:rsidRPr="00CE315A">
        <w:rPr>
          <w:rFonts w:ascii="Palatino Linotype" w:eastAsiaTheme="minorEastAsia" w:hAnsi="Palatino Linotype" w:cs="Arial"/>
          <w:b/>
          <w:i/>
          <w:lang w:val="es-ES_tradnl"/>
        </w:rPr>
        <w:t>225_RES_UT_2024.pdf</w:t>
      </w:r>
      <w:r>
        <w:rPr>
          <w:rFonts w:ascii="Palatino Linotype" w:eastAsiaTheme="minorEastAsia" w:hAnsi="Palatino Linotype" w:cs="Arial"/>
          <w:b/>
          <w:i/>
          <w:lang w:val="es-ES_tradnl"/>
        </w:rPr>
        <w:t xml:space="preserve">: </w:t>
      </w:r>
      <w:r>
        <w:rPr>
          <w:rFonts w:ascii="Palatino Linotype" w:eastAsiaTheme="minorEastAsia" w:hAnsi="Palatino Linotype" w:cs="Arial"/>
          <w:i/>
          <w:lang w:val="es-ES_tradnl"/>
        </w:rPr>
        <w:t xml:space="preserve">oficio de la Titular de la Unidad de Transparencia, mediante el cual informa que anexa el oficio de respuesta del área habilitada. </w:t>
      </w:r>
    </w:p>
    <w:p w:rsidR="00EF1B95" w:rsidRPr="00CE315A" w:rsidRDefault="00EF1B95" w:rsidP="00EF1B95">
      <w:pPr>
        <w:ind w:left="1134" w:right="900"/>
        <w:jc w:val="both"/>
        <w:rPr>
          <w:rFonts w:ascii="Palatino Linotype" w:eastAsiaTheme="minorEastAsia" w:hAnsi="Palatino Linotype" w:cs="Arial"/>
          <w:i/>
          <w:lang w:val="es-ES_tradnl"/>
        </w:rPr>
      </w:pPr>
    </w:p>
    <w:p w:rsidR="00EF1B95" w:rsidRPr="0090240C" w:rsidRDefault="00EF1B95" w:rsidP="00712BB5">
      <w:pPr>
        <w:numPr>
          <w:ilvl w:val="0"/>
          <w:numId w:val="2"/>
        </w:numPr>
        <w:spacing w:line="360" w:lineRule="auto"/>
        <w:ind w:left="0" w:firstLine="0"/>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rPr>
        <w:t xml:space="preserve">De la respuesta recibida el entonces solicitante, interpuso el recurso de revisión, manifestando que </w:t>
      </w:r>
      <w:r>
        <w:rPr>
          <w:rFonts w:ascii="Palatino Linotype" w:eastAsia="Palatino Linotype" w:hAnsi="Palatino Linotype" w:cs="Palatino Linotype"/>
        </w:rPr>
        <w:t xml:space="preserve">se encontraba inconforme con la respuesta, situación por la cual el </w:t>
      </w:r>
      <w:r>
        <w:rPr>
          <w:rFonts w:ascii="Palatino Linotype" w:eastAsia="Palatino Linotype" w:hAnsi="Palatino Linotype" w:cs="Palatino Linotype"/>
          <w:b/>
        </w:rPr>
        <w:t>SUJ</w:t>
      </w:r>
      <w:r w:rsidR="007E3C91">
        <w:rPr>
          <w:rFonts w:ascii="Palatino Linotype" w:eastAsia="Palatino Linotype" w:hAnsi="Palatino Linotype" w:cs="Palatino Linotype"/>
          <w:b/>
        </w:rPr>
        <w:t>E</w:t>
      </w:r>
      <w:r>
        <w:rPr>
          <w:rFonts w:ascii="Palatino Linotype" w:eastAsia="Palatino Linotype" w:hAnsi="Palatino Linotype" w:cs="Palatino Linotype"/>
          <w:b/>
        </w:rPr>
        <w:t xml:space="preserve">TO OBLIGADO </w:t>
      </w:r>
      <w:r>
        <w:rPr>
          <w:rFonts w:ascii="Palatino Linotype" w:eastAsia="Palatino Linotype" w:hAnsi="Palatino Linotype" w:cs="Palatino Linotype"/>
        </w:rPr>
        <w:t>en la etapa de manifestaciones entrego un archivo electrónico en formato PDF, cuyo contenido grosso modo es el si</w:t>
      </w:r>
      <w:r w:rsidR="007B7615">
        <w:rPr>
          <w:rFonts w:ascii="Palatino Linotype" w:eastAsia="Palatino Linotype" w:hAnsi="Palatino Linotype" w:cs="Palatino Linotype"/>
        </w:rPr>
        <w:t xml:space="preserve">guiente. </w:t>
      </w:r>
    </w:p>
    <w:p w:rsidR="0090240C" w:rsidRPr="007B7615" w:rsidRDefault="0090240C" w:rsidP="0090240C">
      <w:pPr>
        <w:spacing w:line="360" w:lineRule="auto"/>
        <w:jc w:val="both"/>
        <w:rPr>
          <w:rFonts w:ascii="Palatino Linotype" w:eastAsia="Palatino Linotype" w:hAnsi="Palatino Linotype" w:cs="Palatino Linotype"/>
          <w:color w:val="000000"/>
        </w:rPr>
      </w:pPr>
    </w:p>
    <w:p w:rsidR="0090240C" w:rsidRDefault="0090240C" w:rsidP="0090240C">
      <w:pPr>
        <w:pStyle w:val="Prrafodelista"/>
        <w:spacing w:line="360" w:lineRule="auto"/>
        <w:ind w:left="1134" w:right="900"/>
        <w:jc w:val="both"/>
        <w:rPr>
          <w:rFonts w:ascii="Palatino Linotype" w:hAnsi="Palatino Linotype"/>
          <w:i/>
          <w:sz w:val="24"/>
          <w:szCs w:val="24"/>
        </w:rPr>
      </w:pPr>
      <w:r w:rsidRPr="0085290E">
        <w:rPr>
          <w:rFonts w:ascii="Palatino Linotype" w:hAnsi="Palatino Linotype"/>
          <w:b/>
          <w:i/>
          <w:sz w:val="24"/>
          <w:szCs w:val="24"/>
        </w:rPr>
        <w:t>INFORME JUSTIFICADO_RR_5504_2024.pdf</w:t>
      </w:r>
      <w:r>
        <w:rPr>
          <w:rFonts w:ascii="Palatino Linotype" w:hAnsi="Palatino Linotype"/>
          <w:b/>
          <w:i/>
          <w:sz w:val="24"/>
          <w:szCs w:val="24"/>
        </w:rPr>
        <w:t xml:space="preserve">: </w:t>
      </w:r>
      <w:r>
        <w:rPr>
          <w:rFonts w:ascii="Palatino Linotype" w:hAnsi="Palatino Linotype"/>
          <w:i/>
          <w:sz w:val="24"/>
          <w:szCs w:val="24"/>
        </w:rPr>
        <w:t xml:space="preserve">la Titular de la Unidad de Transparencia refiere que el </w:t>
      </w:r>
      <w:r>
        <w:rPr>
          <w:rFonts w:ascii="Palatino Linotype" w:hAnsi="Palatino Linotype"/>
          <w:b/>
          <w:i/>
          <w:sz w:val="24"/>
          <w:szCs w:val="24"/>
        </w:rPr>
        <w:t xml:space="preserve">Departamento de Recursos Humanos, </w:t>
      </w:r>
      <w:r>
        <w:rPr>
          <w:rFonts w:ascii="Palatino Linotype" w:hAnsi="Palatino Linotype"/>
          <w:i/>
          <w:sz w:val="24"/>
          <w:szCs w:val="24"/>
        </w:rPr>
        <w:t xml:space="preserve">ratifica su respuesta inicial. </w:t>
      </w:r>
    </w:p>
    <w:p w:rsidR="0090240C" w:rsidRPr="0085290E" w:rsidRDefault="0090240C" w:rsidP="0090240C">
      <w:pPr>
        <w:pStyle w:val="Prrafodelista"/>
        <w:spacing w:line="360" w:lineRule="auto"/>
        <w:ind w:left="1134" w:right="900"/>
        <w:jc w:val="both"/>
        <w:rPr>
          <w:rFonts w:ascii="Palatino Linotype" w:hAnsi="Palatino Linotype"/>
          <w:i/>
          <w:sz w:val="24"/>
          <w:szCs w:val="24"/>
        </w:rPr>
      </w:pPr>
      <w:r>
        <w:rPr>
          <w:rFonts w:ascii="Palatino Linotype" w:hAnsi="Palatino Linotype"/>
          <w:i/>
          <w:sz w:val="24"/>
          <w:szCs w:val="24"/>
        </w:rPr>
        <w:t xml:space="preserve">En cuanto a la </w:t>
      </w:r>
      <w:r>
        <w:rPr>
          <w:rFonts w:ascii="Palatino Linotype" w:hAnsi="Palatino Linotype"/>
          <w:b/>
          <w:i/>
          <w:sz w:val="24"/>
          <w:szCs w:val="24"/>
        </w:rPr>
        <w:t xml:space="preserve">Tesorería Municipal </w:t>
      </w:r>
      <w:r>
        <w:rPr>
          <w:rFonts w:ascii="Palatino Linotype" w:hAnsi="Palatino Linotype"/>
          <w:i/>
          <w:sz w:val="24"/>
          <w:szCs w:val="24"/>
        </w:rPr>
        <w:t xml:space="preserve">informa que se señaló el procedimiento por consulta de la nómina de la servidora pública, sin embargo en la etapa de manifestaciones la </w:t>
      </w:r>
      <w:r>
        <w:rPr>
          <w:rFonts w:ascii="Palatino Linotype" w:hAnsi="Palatino Linotype"/>
          <w:b/>
          <w:i/>
          <w:sz w:val="24"/>
          <w:szCs w:val="24"/>
        </w:rPr>
        <w:t xml:space="preserve">Tesorería Municipal </w:t>
      </w:r>
      <w:r>
        <w:rPr>
          <w:rFonts w:ascii="Palatino Linotype" w:hAnsi="Palatino Linotype"/>
          <w:i/>
          <w:sz w:val="24"/>
          <w:szCs w:val="24"/>
        </w:rPr>
        <w:t xml:space="preserve">remite dos recibos de nómina, correspondientes a las dos quincenas del mes de julio de dos mil veinticuatro. </w:t>
      </w:r>
    </w:p>
    <w:p w:rsidR="00712BB5" w:rsidRPr="00995B5B" w:rsidRDefault="00712BB5" w:rsidP="00244A1A">
      <w:pPr>
        <w:spacing w:line="360" w:lineRule="auto"/>
        <w:jc w:val="both"/>
        <w:rPr>
          <w:rFonts w:ascii="Palatino Linotype" w:eastAsia="Palatino Linotype" w:hAnsi="Palatino Linotype" w:cs="Palatino Linotype"/>
          <w:color w:val="000000"/>
        </w:rPr>
      </w:pPr>
    </w:p>
    <w:p w:rsidR="00712BB5" w:rsidRPr="00244A1A" w:rsidRDefault="00712BB5" w:rsidP="00712BB5">
      <w:pPr>
        <w:pStyle w:val="Prrafodelista"/>
        <w:rPr>
          <w:rFonts w:ascii="Palatino Linotype" w:eastAsia="Palatino Linotype" w:hAnsi="Palatino Linotype" w:cs="Palatino Linotype"/>
          <w:color w:val="000000"/>
          <w:sz w:val="24"/>
          <w:szCs w:val="24"/>
        </w:rPr>
      </w:pPr>
    </w:p>
    <w:p w:rsidR="00455904" w:rsidRDefault="00455904" w:rsidP="00712BB5">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dicho recurso de revisión, se debe de hacer mención que en cuanto a la nómina si bien es cierto en la etapa de respuesta inicial, se brindó un  link en formato cerrado, también lo es que se adjuntó la captura de pantalla del sueldo neto y bruto de la cronista municipal, situación por la cual se tenía por colmado el derecho de acceso a la información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hasta este punto. </w:t>
      </w:r>
    </w:p>
    <w:p w:rsidR="00455904" w:rsidRDefault="00455904" w:rsidP="00455904">
      <w:pPr>
        <w:spacing w:line="360" w:lineRule="auto"/>
        <w:jc w:val="both"/>
        <w:rPr>
          <w:rFonts w:ascii="Palatino Linotype" w:eastAsia="Palatino Linotype" w:hAnsi="Palatino Linotype" w:cs="Palatino Linotype"/>
          <w:color w:val="000000"/>
        </w:rPr>
      </w:pPr>
    </w:p>
    <w:p w:rsidR="001921AD" w:rsidRDefault="00455904" w:rsidP="00712BB5">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Sin embargo en la etapa de manifestaciones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remitió dos recibos de nómina correspondientes </w:t>
      </w:r>
      <w:r w:rsidR="001921AD">
        <w:rPr>
          <w:rFonts w:ascii="Palatino Linotype" w:eastAsia="Palatino Linotype" w:hAnsi="Palatino Linotype" w:cs="Palatino Linotype"/>
          <w:color w:val="000000"/>
        </w:rPr>
        <w:t xml:space="preserve">a los dos quincenas del mes de julio de dos mil veinticuatro, de las cuales se observa que no se hizo una correcta versión pública, toda vez que se testo el nombre de la institución bancaria, que como ya quedo precisado en párrafos anteriores es un dato que abona a la transparencia. </w:t>
      </w:r>
    </w:p>
    <w:p w:rsidR="001921AD" w:rsidRPr="001921AD" w:rsidRDefault="001921AD" w:rsidP="001921AD">
      <w:pPr>
        <w:rPr>
          <w:rFonts w:ascii="Palatino Linotype" w:eastAsia="Palatino Linotype" w:hAnsi="Palatino Linotype" w:cs="Palatino Linotype"/>
        </w:rPr>
      </w:pPr>
      <w:r>
        <w:rPr>
          <w:rFonts w:ascii="Palatino Linotype" w:eastAsia="Palatino Linotype" w:hAnsi="Palatino Linotype" w:cs="Palatino Linotype"/>
          <w:noProof/>
        </w:rPr>
        <mc:AlternateContent>
          <mc:Choice Requires="wps">
            <w:drawing>
              <wp:anchor distT="0" distB="0" distL="114300" distR="114300" simplePos="0" relativeHeight="251676672" behindDoc="0" locked="0" layoutInCell="1" allowOverlap="1">
                <wp:simplePos x="0" y="0"/>
                <wp:positionH relativeFrom="column">
                  <wp:posOffset>-62368</wp:posOffset>
                </wp:positionH>
                <wp:positionV relativeFrom="paragraph">
                  <wp:posOffset>57480</wp:posOffset>
                </wp:positionV>
                <wp:extent cx="5971430" cy="3490623"/>
                <wp:effectExtent l="0" t="0" r="29845" b="33655"/>
                <wp:wrapNone/>
                <wp:docPr id="27" name="Conector recto 27"/>
                <wp:cNvGraphicFramePr/>
                <a:graphic xmlns:a="http://schemas.openxmlformats.org/drawingml/2006/main">
                  <a:graphicData uri="http://schemas.microsoft.com/office/word/2010/wordprocessingShape">
                    <wps:wsp>
                      <wps:cNvCnPr/>
                      <wps:spPr>
                        <a:xfrm>
                          <a:off x="0" y="0"/>
                          <a:ext cx="5971430" cy="34906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60BC41" id="Conector recto 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9pt,4.55pt" to="465.3pt,2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" strokecolor="black [3200]" strokeweight="1pt">
                <v:stroke joinstyle="miter"/>
              </v:line>
            </w:pict>
          </mc:Fallback>
        </mc:AlternateContent>
      </w:r>
    </w:p>
    <w:p w:rsidR="001921AD" w:rsidRPr="001921AD" w:rsidRDefault="001921AD" w:rsidP="001921AD">
      <w:pPr>
        <w:rPr>
          <w:rFonts w:ascii="Palatino Linotype" w:eastAsia="Palatino Linotype" w:hAnsi="Palatino Linotype" w:cs="Palatino Linotype"/>
        </w:rPr>
      </w:pPr>
    </w:p>
    <w:p w:rsidR="001921AD" w:rsidRPr="001921AD" w:rsidRDefault="001921AD" w:rsidP="001921AD">
      <w:pPr>
        <w:rPr>
          <w:rFonts w:ascii="Palatino Linotype" w:eastAsia="Palatino Linotype" w:hAnsi="Palatino Linotype" w:cs="Palatino Linotype"/>
        </w:rPr>
      </w:pPr>
    </w:p>
    <w:p w:rsidR="001921AD" w:rsidRDefault="001921AD" w:rsidP="001921AD">
      <w:pPr>
        <w:rPr>
          <w:rFonts w:ascii="Palatino Linotype" w:eastAsia="Palatino Linotype" w:hAnsi="Palatino Linotype" w:cs="Palatino Linotype"/>
        </w:rPr>
      </w:pPr>
    </w:p>
    <w:p w:rsidR="001921AD" w:rsidRPr="001921AD" w:rsidRDefault="001921AD" w:rsidP="001921AD">
      <w:pPr>
        <w:tabs>
          <w:tab w:val="left" w:pos="3143"/>
        </w:tabs>
        <w:rPr>
          <w:rFonts w:ascii="Palatino Linotype" w:eastAsia="Palatino Linotype" w:hAnsi="Palatino Linotype" w:cs="Palatino Linotype"/>
        </w:rPr>
      </w:pPr>
      <w:r>
        <w:rPr>
          <w:rFonts w:ascii="Palatino Linotype" w:eastAsia="Palatino Linotype" w:hAnsi="Palatino Linotype" w:cs="Palatino Linotype"/>
        </w:rPr>
        <w:tab/>
      </w:r>
    </w:p>
    <w:p w:rsidR="001921AD" w:rsidRDefault="001921AD" w:rsidP="001921AD">
      <w:pPr>
        <w:pStyle w:val="Prrafodelista"/>
        <w:jc w:val="center"/>
        <w:rPr>
          <w:rFonts w:ascii="Palatino Linotype" w:eastAsia="Palatino Linotype" w:hAnsi="Palatino Linotype" w:cs="Palatino Linotype"/>
          <w:color w:val="000000"/>
        </w:rPr>
      </w:pPr>
      <w:r w:rsidRPr="001921AD">
        <w:rPr>
          <w:rFonts w:ascii="Palatino Linotype" w:eastAsia="Palatino Linotype" w:hAnsi="Palatino Linotype" w:cs="Palatino Linotype"/>
          <w:noProof/>
          <w:color w:val="000000"/>
          <w:lang w:val="es-MX" w:eastAsia="es-MX"/>
        </w:rPr>
        <w:lastRenderedPageBreak/>
        <w:drawing>
          <wp:inline distT="0" distB="0" distL="0" distR="0" wp14:anchorId="524F23C3" wp14:editId="041A10AF">
            <wp:extent cx="3734696" cy="3291840"/>
            <wp:effectExtent l="152400" t="152400" r="361315" b="36576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577" cy="3307601"/>
                    </a:xfrm>
                    <a:prstGeom prst="rect">
                      <a:avLst/>
                    </a:prstGeom>
                    <a:ln>
                      <a:noFill/>
                    </a:ln>
                    <a:effectLst>
                      <a:outerShdw blurRad="292100" dist="139700" dir="2700000" algn="tl" rotWithShape="0">
                        <a:srgbClr val="333333">
                          <a:alpha val="65000"/>
                        </a:srgbClr>
                      </a:outerShdw>
                    </a:effectLst>
                  </pic:spPr>
                </pic:pic>
              </a:graphicData>
            </a:graphic>
          </wp:inline>
        </w:drawing>
      </w:r>
    </w:p>
    <w:p w:rsidR="00455904" w:rsidRDefault="00455904" w:rsidP="001921A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rsidR="00C95830" w:rsidRDefault="001921AD" w:rsidP="00712BB5">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Seguidamente, se debe de mencionar que si bien es cierto el </w:t>
      </w:r>
      <w:r>
        <w:rPr>
          <w:rFonts w:ascii="Palatino Linotype" w:eastAsia="Palatino Linotype" w:hAnsi="Palatino Linotype" w:cs="Palatino Linotype"/>
          <w:b/>
          <w:color w:val="000000"/>
        </w:rPr>
        <w:t xml:space="preserve">SUJETO OBLIGADO </w:t>
      </w:r>
      <w:r w:rsidR="00C95830">
        <w:rPr>
          <w:rFonts w:ascii="Palatino Linotype" w:eastAsia="Palatino Linotype" w:hAnsi="Palatino Linotype" w:cs="Palatino Linotype"/>
          <w:color w:val="000000"/>
        </w:rPr>
        <w:t xml:space="preserve">pretendía modificar su respuesta adjuntando los recibos de nómina de la Cronista Municipal, también lo es que no adjunto el Acta del Comité de Transparencia mediante la cual se aprobó entregar en versión pública los recibos de nómina enviados en la etapa de manifestaciones. </w:t>
      </w:r>
    </w:p>
    <w:p w:rsidR="00C95830" w:rsidRDefault="00C95830" w:rsidP="00712BB5">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esa línea, se debe de referir que los Comités de Transparencia de los sujetos obligados es la autoridad máxima al interior de los sujetos obligados, quienes de acuerdo con el artículo 49 de la Ley de Transparencia y Acceso a la Información Pública del Estado de México y Municipios, tiene las siguientes funciones. </w:t>
      </w:r>
    </w:p>
    <w:p w:rsidR="00C95830" w:rsidRDefault="00C95830" w:rsidP="00C95830">
      <w:pPr>
        <w:ind w:left="1134" w:right="900"/>
        <w:jc w:val="both"/>
        <w:rPr>
          <w:rFonts w:ascii="Palatino Linotype" w:eastAsia="Palatino Linotype" w:hAnsi="Palatino Linotype" w:cs="Palatino Linotype"/>
          <w:i/>
          <w:color w:val="000000"/>
          <w:sz w:val="22"/>
        </w:rPr>
      </w:pPr>
      <w:r w:rsidRPr="00C95830">
        <w:rPr>
          <w:rFonts w:ascii="Palatino Linotype" w:eastAsia="Palatino Linotype" w:hAnsi="Palatino Linotype" w:cs="Palatino Linotype"/>
          <w:i/>
          <w:color w:val="000000"/>
          <w:sz w:val="22"/>
        </w:rPr>
        <w:lastRenderedPageBreak/>
        <w:t xml:space="preserve"> Artículo 49. Los Comités de Transparencia tendrán las siguientes atribuciones: </w:t>
      </w:r>
    </w:p>
    <w:p w:rsidR="00C95830" w:rsidRPr="00C95830" w:rsidRDefault="00C95830" w:rsidP="00C95830">
      <w:pPr>
        <w:pStyle w:val="Prrafodelista"/>
        <w:numPr>
          <w:ilvl w:val="0"/>
          <w:numId w:val="26"/>
        </w:numPr>
        <w:ind w:left="1134" w:right="900" w:firstLine="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Instituir, coordinar y supervisar en términos de las disposiciones aplicables, las acciones, medidas y procedimientos que coadyuven a asegurar una mayor eficacia en la gestión y atención de las solicitudes en materia de acceso a la información;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II. Confirmar, modificar o revocar las determinaciones que en materia de ampliación del plazo de respuesta, clasificación de la información y declaración de inexistencia o de incompetencia realicen los titulares de las áreas de los sujetos obligados;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IV. Establecer políticas para facilitar la obtención y entrega de información en las solicitudes que permita el adecuado ejercicio del derecho de acceso a la información;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V. Promover la capacitación y actualización de los servidores públicos o integrantes adscritos a las unidades de transparencia;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VI. Establecer programas de capacitación en materia de transparencia, acceso a la información, accesibilidad y protección de datos personales, para todos los servidores públicos o integrantes del sujeto obligado;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VII. Solicitar y autorizar la ampliación del plazo de reserva de la información a que se refiere esta Ley; </w:t>
      </w:r>
    </w:p>
    <w:p w:rsidR="00C95830" w:rsidRPr="00C95830" w:rsidRDefault="00C95830" w:rsidP="00C95830">
      <w:pPr>
        <w:pStyle w:val="Prrafodelista"/>
        <w:ind w:left="1134" w:right="900"/>
        <w:jc w:val="both"/>
        <w:rPr>
          <w:rFonts w:ascii="Palatino Linotype" w:eastAsia="Palatino Linotype" w:hAnsi="Palatino Linotype" w:cs="Palatino Linotype"/>
          <w:b/>
          <w:i/>
          <w:color w:val="000000"/>
        </w:rPr>
      </w:pPr>
      <w:r w:rsidRPr="00C95830">
        <w:rPr>
          <w:rFonts w:ascii="Palatino Linotype" w:eastAsia="Palatino Linotype" w:hAnsi="Palatino Linotype" w:cs="Palatino Linotype"/>
          <w:b/>
          <w:i/>
          <w:color w:val="000000"/>
        </w:rPr>
        <w:t>VIII. Aprobar, modificar o revocar la clasificación de la información;</w:t>
      </w:r>
      <w:r w:rsidRPr="00C95830">
        <w:rPr>
          <w:b/>
          <w:i/>
        </w:rPr>
        <w:t xml:space="preserve">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b/>
          <w:i/>
          <w:color w:val="000000"/>
        </w:rPr>
        <w:t>IX. Supervisar la aplicación de los lineamientos en materia de acceso a la información pública para el manejo, mantenimiento y seguridad de los datos personales, así como de los criterios de clasificación expedidos por el Inst</w:t>
      </w:r>
      <w:r w:rsidRPr="00C95830">
        <w:rPr>
          <w:rFonts w:ascii="Palatino Linotype" w:eastAsia="Palatino Linotype" w:hAnsi="Palatino Linotype" w:cs="Palatino Linotype"/>
          <w:i/>
          <w:color w:val="000000"/>
        </w:rPr>
        <w:t xml:space="preserve">ituto;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X. Elaborar un programa para facilitar la sistematización y actualización de la información, mismo que deberá remitirse al Instituto dentro de los primeros veinte días de cada año;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XI. Recabar y enviar al Instituto, de conformidad con los lineamientos que éste expida, los datos necesarios para la elaboración del informe anual;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XII. Emitir las resoluciones que correspondan para la atención de las solicitudes de información;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lastRenderedPageBreak/>
        <w:t xml:space="preserve">XIII. Dictaminar las declaratorias de inexistencia de la información que les remitan las unidades administrativas y resolver en consecuencia;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XIV. Supervisar el registro y actualización de las solicitudes de acceso a la información, así como sus trámites, costos y resultados;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XV. Fomentar la cultura de transparencia;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XVI. Supervisar el cumplimiento de criterios y lineamientos en materia de información clasificada; </w:t>
      </w:r>
    </w:p>
    <w:p w:rsid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 xml:space="preserve">XVII. Vigilar el cumplimiento de las resoluciones y recomendaciones que emita el Instituto; y </w:t>
      </w:r>
    </w:p>
    <w:p w:rsidR="001921AD" w:rsidRPr="00C95830" w:rsidRDefault="00C95830" w:rsidP="00C95830">
      <w:pPr>
        <w:pStyle w:val="Prrafodelista"/>
        <w:ind w:left="1134" w:right="900"/>
        <w:jc w:val="both"/>
        <w:rPr>
          <w:rFonts w:ascii="Palatino Linotype" w:eastAsia="Palatino Linotype" w:hAnsi="Palatino Linotype" w:cs="Palatino Linotype"/>
          <w:i/>
          <w:color w:val="000000"/>
        </w:rPr>
      </w:pPr>
      <w:r w:rsidRPr="00C95830">
        <w:rPr>
          <w:rFonts w:ascii="Palatino Linotype" w:eastAsia="Palatino Linotype" w:hAnsi="Palatino Linotype" w:cs="Palatino Linotype"/>
          <w:i/>
          <w:color w:val="000000"/>
        </w:rPr>
        <w:t>XVIII. Las demás que se desprendan de la presente Ley y las disposiciones jurídicas aplicables, que faciliten el acceso a la información</w:t>
      </w:r>
    </w:p>
    <w:p w:rsidR="00C95830" w:rsidRDefault="00C95830" w:rsidP="00C95830">
      <w:pPr>
        <w:spacing w:line="360" w:lineRule="auto"/>
        <w:jc w:val="both"/>
        <w:rPr>
          <w:rFonts w:ascii="Palatino Linotype" w:eastAsia="Palatino Linotype" w:hAnsi="Palatino Linotype" w:cs="Palatino Linotype"/>
          <w:color w:val="000000"/>
        </w:rPr>
      </w:pPr>
    </w:p>
    <w:p w:rsidR="00C95830" w:rsidRDefault="00C95830" w:rsidP="00712BB5">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observa que el Comité de Transparencia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sesiono para clasificar como confidenciales los datos personales de la cronista municipal, también se determina que el Acta de la Sesión no fue adjuntada en la etapa de manifestaciones, situación por la cual no se puede tener por colmado el derecho de acceso a la información. </w:t>
      </w:r>
    </w:p>
    <w:p w:rsidR="00C95830" w:rsidRDefault="00C95830" w:rsidP="00C95830">
      <w:pPr>
        <w:spacing w:line="360" w:lineRule="auto"/>
        <w:jc w:val="both"/>
        <w:rPr>
          <w:rFonts w:ascii="Palatino Linotype" w:eastAsia="Palatino Linotype" w:hAnsi="Palatino Linotype" w:cs="Palatino Linotype"/>
          <w:color w:val="000000"/>
        </w:rPr>
      </w:pPr>
    </w:p>
    <w:p w:rsidR="00C95830" w:rsidRDefault="00C95830" w:rsidP="00712BB5">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por lo que respecta al nombramiento de la Cronista Municipal del Ayuntamiento de Atlacomulco, se determina que fue anexado en los archivos de respuesta, situación por la cual este punto de la solicitud de información se tiene como colmado. </w:t>
      </w:r>
    </w:p>
    <w:p w:rsidR="00C95830" w:rsidRDefault="00C95830" w:rsidP="00C95830">
      <w:pPr>
        <w:pStyle w:val="Prrafodelista"/>
        <w:rPr>
          <w:rFonts w:ascii="Palatino Linotype" w:eastAsia="Palatino Linotype" w:hAnsi="Palatino Linotype" w:cs="Palatino Linotype"/>
          <w:color w:val="000000"/>
        </w:rPr>
      </w:pPr>
    </w:p>
    <w:p w:rsidR="00C95830" w:rsidRDefault="006978EB" w:rsidP="00712BB5">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Seguidamente, por cuanto hace al movimiento de alta de ISSEMYM se debe de mencionar que el Jefe del Departamento de Recursos Humanos informo que no cuenta con la prestación de seguridad social, toda vez que se encuentra bajo el régimen de salarios asimilados. </w:t>
      </w:r>
    </w:p>
    <w:p w:rsidR="006978EB" w:rsidRDefault="006978EB" w:rsidP="006978EB">
      <w:pPr>
        <w:pStyle w:val="Prrafodelista"/>
        <w:rPr>
          <w:rFonts w:ascii="Palatino Linotype" w:eastAsia="Palatino Linotype" w:hAnsi="Palatino Linotype" w:cs="Palatino Linotype"/>
          <w:color w:val="000000"/>
        </w:rPr>
      </w:pPr>
    </w:p>
    <w:p w:rsidR="006978EB" w:rsidRDefault="006978EB" w:rsidP="00712BB5">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Lo anterior se confirma con los recibos de nómina adjuntados a la etapa de manifestaciones, de los cuales se observa que el apartado de deducciones no se generan descuentos por el pago del derecho a la seguridad social por parte del Instituto de Seguridad Social del Estado de México y Municipios, tal y como se muestra en la siguiente captura de pantalla, situación por la cual este punto de la solicitud de información se tiene por colmado. </w:t>
      </w:r>
    </w:p>
    <w:p w:rsidR="006978EB" w:rsidRDefault="006978EB" w:rsidP="006978EB">
      <w:pPr>
        <w:pStyle w:val="Prrafodelista"/>
        <w:rPr>
          <w:rFonts w:ascii="Palatino Linotype" w:eastAsia="Palatino Linotype" w:hAnsi="Palatino Linotype" w:cs="Palatino Linotype"/>
          <w:color w:val="000000"/>
        </w:rPr>
      </w:pPr>
      <w:r w:rsidRPr="006978EB">
        <w:rPr>
          <w:rFonts w:ascii="Palatino Linotype" w:eastAsia="Palatino Linotype" w:hAnsi="Palatino Linotype" w:cs="Palatino Linotype"/>
          <w:noProof/>
          <w:color w:val="000000"/>
          <w:lang w:val="es-MX" w:eastAsia="es-MX"/>
        </w:rPr>
        <w:drawing>
          <wp:inline distT="0" distB="0" distL="0" distR="0" wp14:anchorId="416BE5F9" wp14:editId="5338E338">
            <wp:extent cx="4699221" cy="795433"/>
            <wp:effectExtent l="152400" t="152400" r="368300" b="36703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64553" cy="806492"/>
                    </a:xfrm>
                    <a:prstGeom prst="rect">
                      <a:avLst/>
                    </a:prstGeom>
                    <a:ln>
                      <a:noFill/>
                    </a:ln>
                    <a:effectLst>
                      <a:outerShdw blurRad="292100" dist="139700" dir="2700000" algn="tl" rotWithShape="0">
                        <a:srgbClr val="333333">
                          <a:alpha val="65000"/>
                        </a:srgbClr>
                      </a:outerShdw>
                    </a:effectLst>
                  </pic:spPr>
                </pic:pic>
              </a:graphicData>
            </a:graphic>
          </wp:inline>
        </w:drawing>
      </w:r>
    </w:p>
    <w:p w:rsidR="00C95830" w:rsidRPr="006978EB" w:rsidRDefault="00C95830" w:rsidP="006978EB">
      <w:pPr>
        <w:rPr>
          <w:rFonts w:ascii="Palatino Linotype" w:eastAsia="Palatino Linotype" w:hAnsi="Palatino Linotype" w:cs="Palatino Linotype"/>
          <w:color w:val="000000"/>
        </w:rPr>
      </w:pPr>
    </w:p>
    <w:p w:rsidR="006978EB" w:rsidRPr="000825AE" w:rsidRDefault="006978EB" w:rsidP="00712BB5">
      <w:pPr>
        <w:numPr>
          <w:ilvl w:val="0"/>
          <w:numId w:val="2"/>
        </w:numPr>
        <w:spacing w:line="360" w:lineRule="auto"/>
        <w:ind w:left="0" w:firstLine="0"/>
        <w:jc w:val="both"/>
        <w:rPr>
          <w:rFonts w:ascii="Palatino Linotype" w:eastAsia="Palatino Linotype" w:hAnsi="Palatino Linotype" w:cs="Palatino Linotype"/>
          <w:color w:val="000000"/>
        </w:rPr>
      </w:pPr>
      <w:r w:rsidRPr="000825AE">
        <w:rPr>
          <w:rFonts w:ascii="Palatino Linotype" w:eastAsia="Palatino Linotype" w:hAnsi="Palatino Linotype" w:cs="Palatino Linotype"/>
          <w:color w:val="000000"/>
        </w:rPr>
        <w:t xml:space="preserve">Ahora bien, como la información solicitada versa en querer saber la nómina de las personas referidas en la solicitudes de información y toda vez que el </w:t>
      </w:r>
      <w:r w:rsidRPr="000825AE">
        <w:rPr>
          <w:rFonts w:ascii="Palatino Linotype" w:eastAsia="Palatino Linotype" w:hAnsi="Palatino Linotype" w:cs="Palatino Linotype"/>
          <w:b/>
          <w:color w:val="000000"/>
        </w:rPr>
        <w:t xml:space="preserve">SUJETO OBLIGADO </w:t>
      </w:r>
      <w:r w:rsidRPr="000825AE">
        <w:rPr>
          <w:rFonts w:ascii="Palatino Linotype" w:eastAsia="Palatino Linotype" w:hAnsi="Palatino Linotype" w:cs="Palatino Linotype"/>
          <w:color w:val="000000"/>
        </w:rPr>
        <w:t xml:space="preserve">atendió la información mediante los recibos de nómina es que se debe de establecer el siguiente análisis. </w:t>
      </w:r>
    </w:p>
    <w:p w:rsidR="006978EB" w:rsidRPr="000825AE" w:rsidRDefault="006978EB" w:rsidP="006978EB">
      <w:pPr>
        <w:spacing w:line="360" w:lineRule="auto"/>
        <w:jc w:val="both"/>
        <w:rPr>
          <w:rFonts w:ascii="Palatino Linotype" w:eastAsia="Palatino Linotype" w:hAnsi="Palatino Linotype" w:cs="Palatino Linotype"/>
          <w:color w:val="000000"/>
        </w:rPr>
      </w:pPr>
    </w:p>
    <w:p w:rsidR="000825AE" w:rsidRPr="000825AE" w:rsidRDefault="001A7A52" w:rsidP="000825AE">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esa línea para</w:t>
      </w:r>
      <w:r w:rsidR="000825AE" w:rsidRPr="000825AE">
        <w:rPr>
          <w:rFonts w:ascii="Palatino Linotype" w:eastAsia="Palatino Linotype" w:hAnsi="Palatino Linotype" w:cs="Palatino Linotype"/>
        </w:rPr>
        <w:t xml:space="preserve"> el caso de recibos de nómina o comprobantes fiscales que entregue el </w:t>
      </w:r>
      <w:r w:rsidR="000825AE" w:rsidRPr="000825AE">
        <w:rPr>
          <w:rFonts w:ascii="Palatino Linotype" w:eastAsia="Palatino Linotype" w:hAnsi="Palatino Linotype" w:cs="Palatino Linotype"/>
          <w:b/>
        </w:rPr>
        <w:t>SUJETO OBLIGADO</w:t>
      </w:r>
      <w:r w:rsidR="000825AE" w:rsidRPr="000825AE">
        <w:rPr>
          <w:rFonts w:ascii="Palatino Linotype" w:eastAsia="Palatino Linotype" w:hAnsi="Palatino Linotype" w:cs="Palatino Linotype"/>
        </w:rPr>
        <w:t xml:space="preserve"> para satisfacer el derecho de acceso a la información del </w:t>
      </w:r>
      <w:r w:rsidR="000825AE" w:rsidRPr="000825AE">
        <w:rPr>
          <w:rFonts w:ascii="Palatino Linotype" w:eastAsia="Palatino Linotype" w:hAnsi="Palatino Linotype" w:cs="Palatino Linotype"/>
          <w:b/>
        </w:rPr>
        <w:t>RECURRENTE</w:t>
      </w:r>
      <w:r w:rsidR="000825AE" w:rsidRPr="000825AE">
        <w:rPr>
          <w:rFonts w:ascii="Palatino Linotype" w:eastAsia="Palatino Linotype" w:hAnsi="Palatino Linotype" w:cs="Palatino Linotype"/>
        </w:rPr>
        <w:t>, deberá analizar los datos personales susceptibles de ser clasificados como confidenciales.</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En el caso específico, los recibos de nómina contienen los datos personales de los servidores, que de hacerse públicos afectarían su intimidad y vida privada; es </w:t>
      </w:r>
      <w:r w:rsidRPr="000825AE">
        <w:rPr>
          <w:rFonts w:ascii="Palatino Linotype" w:eastAsia="Palatino Linotype" w:hAnsi="Palatino Linotype" w:cs="Palatino Linotype"/>
        </w:rPr>
        <w:lastRenderedPageBreak/>
        <w:t>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Por cuanto hace al </w:t>
      </w:r>
      <w:r w:rsidRPr="000825AE">
        <w:rPr>
          <w:rFonts w:ascii="Palatino Linotype" w:eastAsia="Palatino Linotype" w:hAnsi="Palatino Linotype" w:cs="Palatino Linotype"/>
          <w:b/>
        </w:rPr>
        <w:t>Registro Federal de Contribuyentes (RFC),</w:t>
      </w:r>
      <w:r w:rsidRPr="000825AE">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lastRenderedPageBreak/>
        <w:t>Lo anterior es compartido por el entonces Instituto Federal de Acceso a la Información Pública y Protección de Datos Personales (IFAI) a través del Criterio 19/17, el cual es del tenor literal siguiente:</w:t>
      </w:r>
    </w:p>
    <w:p w:rsidR="000825AE" w:rsidRPr="000825AE" w:rsidRDefault="000825AE" w:rsidP="000825AE">
      <w:pPr>
        <w:ind w:left="1134" w:right="1106"/>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b/>
          <w:i/>
          <w:sz w:val="22"/>
          <w:szCs w:val="22"/>
        </w:rPr>
        <w:t>“Registro Federal de Contribuyentes (RFC) de personas físicas</w:t>
      </w:r>
      <w:r w:rsidRPr="000825AE">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rsidR="000825AE" w:rsidRPr="000825AE" w:rsidRDefault="000825AE" w:rsidP="000825AE">
      <w:pPr>
        <w:ind w:left="567" w:right="900"/>
        <w:jc w:val="both"/>
        <w:rPr>
          <w:rFonts w:ascii="Palatino Linotype" w:eastAsia="Palatino Linotype" w:hAnsi="Palatino Linotype" w:cs="Palatino Linotype"/>
          <w:i/>
          <w:sz w:val="22"/>
          <w:szCs w:val="22"/>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Así, el </w:t>
      </w:r>
      <w:r w:rsidRPr="000825AE">
        <w:rPr>
          <w:rFonts w:ascii="Palatino Linotype" w:eastAsia="Palatino Linotype" w:hAnsi="Palatino Linotype" w:cs="Palatino Linotype"/>
          <w:b/>
        </w:rPr>
        <w:t>Registro Federal de Contribuyentes, RFC</w:t>
      </w:r>
      <w:r w:rsidRPr="000825AE">
        <w:rPr>
          <w:rFonts w:ascii="Palatino Linotype" w:eastAsia="Palatino Linotype" w:hAnsi="Palatino Linotype" w:cs="Palatino Linotype"/>
        </w:rPr>
        <w:t>,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De igual manera la </w:t>
      </w:r>
      <w:r w:rsidRPr="000825AE">
        <w:rPr>
          <w:rFonts w:ascii="Palatino Linotype" w:eastAsia="Palatino Linotype" w:hAnsi="Palatino Linotype" w:cs="Palatino Linotype"/>
          <w:b/>
        </w:rPr>
        <w:t>Clave Única de Registro de Población (CURP),</w:t>
      </w:r>
      <w:r w:rsidRPr="000825AE">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Argumento que es compartido por el Instituto Nacional de Transparencia, Acceso a la Información y Protección de Datos Personales, INAI, conforme al criterio 18/17, el cual refiere: </w:t>
      </w:r>
    </w:p>
    <w:p w:rsidR="000825AE" w:rsidRPr="000825AE" w:rsidRDefault="000825AE" w:rsidP="000825AE">
      <w:pPr>
        <w:ind w:left="1134" w:right="1106"/>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b/>
          <w:i/>
          <w:sz w:val="22"/>
          <w:szCs w:val="22"/>
        </w:rPr>
        <w:t xml:space="preserve">“Clave Única de Registro de Población (CURP). </w:t>
      </w:r>
      <w:r w:rsidRPr="000825AE">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0825AE" w:rsidRPr="000825AE" w:rsidRDefault="000825AE" w:rsidP="000825AE">
      <w:pPr>
        <w:ind w:left="851" w:right="333"/>
        <w:jc w:val="both"/>
        <w:rPr>
          <w:rFonts w:ascii="Palatino Linotype" w:eastAsia="Palatino Linotype" w:hAnsi="Palatino Linotype" w:cs="Palatino Linotype"/>
          <w:i/>
        </w:rPr>
      </w:pPr>
    </w:p>
    <w:p w:rsidR="000825AE" w:rsidRPr="000825AE" w:rsidRDefault="000825AE" w:rsidP="000825AE">
      <w:pPr>
        <w:ind w:left="851" w:right="333"/>
        <w:jc w:val="both"/>
        <w:rPr>
          <w:rFonts w:ascii="Palatino Linotype" w:eastAsia="Palatino Linotype" w:hAnsi="Palatino Linotype" w:cs="Palatino Linotype"/>
          <w:i/>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Por cuanto hace a la </w:t>
      </w:r>
      <w:r w:rsidRPr="000825AE">
        <w:rPr>
          <w:rFonts w:ascii="Palatino Linotype" w:eastAsia="Palatino Linotype" w:hAnsi="Palatino Linotype" w:cs="Palatino Linotype"/>
          <w:b/>
        </w:rPr>
        <w:t>Clave de cualquier tipo de seguridad social (ISSEMyM, u otros</w:t>
      </w:r>
      <w:r w:rsidRPr="000825AE">
        <w:rPr>
          <w:rFonts w:ascii="Palatino Linotype" w:eastAsia="Palatino Linotype" w:hAnsi="Palatino Linotype" w:cs="Palatino Linotype"/>
        </w:rPr>
        <w:t>),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El artículo 9° del mismo ordenamiento, dispone que el ISSEMYM expedirá documentos de identificación para facilitar el acceso a las prestaciones a que tengan derecho. En este orden de ideas, el artículo 158, fracción I del Reglamento de </w:t>
      </w:r>
      <w:r w:rsidRPr="000825AE">
        <w:rPr>
          <w:rFonts w:ascii="Palatino Linotype" w:eastAsia="Palatino Linotype" w:hAnsi="Palatino Linotype" w:cs="Palatino Linotype"/>
        </w:rPr>
        <w:lastRenderedPageBreak/>
        <w:t>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lastRenderedPageBreak/>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Por su parte, el artículo 84 de la Ley del Trabajo de los Servidores Públicos del Estado y Municipios, señala:</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i/>
          <w:sz w:val="22"/>
          <w:szCs w:val="22"/>
        </w:rPr>
        <w:t>“</w:t>
      </w:r>
      <w:r w:rsidRPr="000825AE">
        <w:rPr>
          <w:rFonts w:ascii="Palatino Linotype" w:eastAsia="Palatino Linotype" w:hAnsi="Palatino Linotype" w:cs="Palatino Linotype"/>
          <w:b/>
          <w:i/>
          <w:sz w:val="22"/>
          <w:szCs w:val="22"/>
        </w:rPr>
        <w:t>ARTICULO 84. Sólo podrán hacerse retenciones, descuentos o deducciones al sueldo de los servidores públicos por concepto de:</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i/>
          <w:sz w:val="22"/>
          <w:szCs w:val="22"/>
        </w:rPr>
        <w:t>I. Gravámenes fiscales relacionados con el sueldo;</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b/>
          <w:i/>
          <w:sz w:val="22"/>
          <w:szCs w:val="22"/>
        </w:rPr>
        <w:t>II. Deudas contraídas con las instituciones públicas o dependencias</w:t>
      </w:r>
      <w:r w:rsidRPr="000825AE">
        <w:rPr>
          <w:rFonts w:ascii="Palatino Linotype" w:eastAsia="Palatino Linotype" w:hAnsi="Palatino Linotype" w:cs="Palatino Linotype"/>
          <w:i/>
          <w:sz w:val="22"/>
          <w:szCs w:val="22"/>
        </w:rPr>
        <w:t xml:space="preserve"> por concepto de anticipos de sueldo, pagos hechos con exceso, errores o pérdidas debidamente comprobados;</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b/>
          <w:i/>
          <w:sz w:val="22"/>
          <w:szCs w:val="22"/>
        </w:rPr>
        <w:t>III. Cuotas sindicales</w:t>
      </w:r>
      <w:r w:rsidRPr="000825AE">
        <w:rPr>
          <w:rFonts w:ascii="Palatino Linotype" w:eastAsia="Palatino Linotype" w:hAnsi="Palatino Linotype" w:cs="Palatino Linotype"/>
          <w:i/>
          <w:sz w:val="22"/>
          <w:szCs w:val="22"/>
        </w:rPr>
        <w:t>;</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b/>
          <w:i/>
          <w:sz w:val="22"/>
          <w:szCs w:val="22"/>
        </w:rPr>
        <w:t>VI. Obligaciones a cargo del servidor público con las que haya consentido</w:t>
      </w:r>
      <w:r w:rsidRPr="000825AE">
        <w:rPr>
          <w:rFonts w:ascii="Palatino Linotype" w:eastAsia="Palatino Linotype" w:hAnsi="Palatino Linotype" w:cs="Palatino Linotype"/>
          <w:i/>
          <w:sz w:val="22"/>
          <w:szCs w:val="22"/>
        </w:rPr>
        <w:t>, derivadas de la adquisición o del uso de habitaciones consideradas como de interés social;</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i/>
          <w:sz w:val="22"/>
          <w:szCs w:val="22"/>
        </w:rPr>
        <w:t>VII. Faltas de puntualidad o de asistencia injustificadas;</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b/>
          <w:i/>
          <w:sz w:val="22"/>
          <w:szCs w:val="22"/>
        </w:rPr>
        <w:t>VIII. Pensiones alimenticias ordenadas por la autoridad judicial;</w:t>
      </w:r>
      <w:r w:rsidRPr="000825AE">
        <w:rPr>
          <w:rFonts w:ascii="Palatino Linotype" w:eastAsia="Palatino Linotype" w:hAnsi="Palatino Linotype" w:cs="Palatino Linotype"/>
          <w:i/>
          <w:sz w:val="22"/>
          <w:szCs w:val="22"/>
        </w:rPr>
        <w:t xml:space="preserve"> o</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b/>
          <w:i/>
          <w:sz w:val="22"/>
          <w:szCs w:val="22"/>
        </w:rPr>
        <w:t>IX. Cualquier otro convenido con instituciones de servicios y aceptado por el servidor público.</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w:t>
      </w:r>
      <w:r w:rsidRPr="000825AE">
        <w:rPr>
          <w:rFonts w:ascii="Palatino Linotype" w:eastAsia="Palatino Linotype" w:hAnsi="Palatino Linotype" w:cs="Palatino Linotype"/>
          <w:i/>
          <w:sz w:val="22"/>
          <w:szCs w:val="22"/>
        </w:rPr>
        <w:lastRenderedPageBreak/>
        <w:t>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rsidR="000825AE" w:rsidRPr="000825AE" w:rsidRDefault="000825AE" w:rsidP="000825AE">
      <w:pPr>
        <w:ind w:left="1134" w:right="1106"/>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sz w:val="22"/>
          <w:szCs w:val="22"/>
        </w:rPr>
        <w:t>(Énfasis añadido)</w:t>
      </w:r>
    </w:p>
    <w:p w:rsidR="000825AE" w:rsidRPr="000825AE" w:rsidRDefault="000825AE" w:rsidP="000825AE">
      <w:pPr>
        <w:spacing w:line="360" w:lineRule="auto"/>
        <w:ind w:left="851" w:right="-929"/>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Derivado de lo anterior, la ley establece claramente cuáles son esos descuentos o gravámenes que directamente se relacionan con las obligaciones adquiridas como servidores públicos y aquéllos que </w:t>
      </w:r>
      <w:r w:rsidRPr="000825AE">
        <w:rPr>
          <w:rFonts w:ascii="Palatino Linotype" w:eastAsia="Palatino Linotype" w:hAnsi="Palatino Linotype" w:cs="Palatino Linotype"/>
          <w:b/>
          <w:u w:val="single"/>
        </w:rPr>
        <w:t>únicamente inciden en su vida privada</w:t>
      </w:r>
      <w:r w:rsidRPr="000825AE">
        <w:rPr>
          <w:rFonts w:ascii="Palatino Linotype" w:eastAsia="Palatino Linotype" w:hAnsi="Palatino Linotype" w:cs="Palatino Linotype"/>
        </w:rPr>
        <w:t>. De este modo, descuentos por pensiones alimenticias o créditos adquiridos con instituciones privadas o públicas pero que fueron contraídas en forma individual, son información que debe clasificarse como confidencial.</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Sirven de sustento a lo anterior, las tesis jurisprudenciales P. LX/2000 y 2a. XLIII/2008 emitidas por el Peno y la Segunda Sala de la Suprema Corte de Justicia de la Nación, respectivamente, que son del tenor literal siguiente:</w:t>
      </w:r>
    </w:p>
    <w:p w:rsidR="000825AE" w:rsidRPr="000825AE" w:rsidRDefault="000825AE" w:rsidP="000825AE">
      <w:pPr>
        <w:ind w:left="1134" w:right="541"/>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0825AE">
        <w:rPr>
          <w:rFonts w:ascii="Palatino Linotype" w:eastAsia="Palatino Linotype" w:hAnsi="Palatino Linotype" w:cs="Palatino Linotype"/>
          <w:i/>
          <w:sz w:val="22"/>
          <w:szCs w:val="22"/>
        </w:rPr>
        <w:t xml:space="preserve">El derecho a la información consagrado en la última parte del artículo 6o. de la Constitución </w:t>
      </w:r>
      <w:r w:rsidRPr="000825AE">
        <w:rPr>
          <w:rFonts w:ascii="Palatino Linotype" w:eastAsia="Palatino Linotype" w:hAnsi="Palatino Linotype" w:cs="Palatino Linotype"/>
          <w:i/>
          <w:sz w:val="22"/>
          <w:szCs w:val="22"/>
        </w:rPr>
        <w:lastRenderedPageBreak/>
        <w:t xml:space="preserve">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0825AE">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0825AE">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0825AE">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0825AE">
        <w:rPr>
          <w:rFonts w:ascii="Palatino Linotype" w:eastAsia="Palatino Linotype" w:hAnsi="Palatino Linotype" w:cs="Palatino Linotype"/>
          <w:i/>
          <w:sz w:val="22"/>
          <w:szCs w:val="22"/>
        </w:rPr>
        <w:t>.”</w:t>
      </w:r>
    </w:p>
    <w:p w:rsidR="000825AE" w:rsidRPr="000825AE" w:rsidRDefault="000825AE" w:rsidP="000825AE">
      <w:pPr>
        <w:ind w:left="1134" w:right="541"/>
        <w:jc w:val="both"/>
        <w:rPr>
          <w:rFonts w:ascii="Palatino Linotype" w:eastAsia="Palatino Linotype" w:hAnsi="Palatino Linotype" w:cs="Palatino Linotype"/>
          <w:i/>
          <w:sz w:val="22"/>
          <w:szCs w:val="22"/>
        </w:rPr>
      </w:pPr>
    </w:p>
    <w:p w:rsidR="000825AE" w:rsidRPr="000825AE" w:rsidRDefault="000825AE" w:rsidP="000825AE">
      <w:pPr>
        <w:ind w:left="1134" w:right="541"/>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b/>
          <w:i/>
          <w:sz w:val="22"/>
          <w:szCs w:val="22"/>
        </w:rPr>
        <w:t xml:space="preserve">“TRANSPARENCIA Y ACCESO A LA INFORMACIÓN PÚBLICA GUBERNAMENTAL. EL ARTÍCULO 14, FRACCIÓN I, DE LA LEY FEDERAL RELATIVA, NO VIOLA LA GARANTÍA DE ACCESO A LA INFORMACIÓN. </w:t>
      </w:r>
      <w:r w:rsidRPr="000825AE">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0825AE">
        <w:rPr>
          <w:rFonts w:ascii="Palatino Linotype" w:eastAsia="Palatino Linotype" w:hAnsi="Palatino Linotype" w:cs="Palatino Linotype"/>
          <w:b/>
          <w:i/>
          <w:sz w:val="22"/>
          <w:szCs w:val="22"/>
        </w:rPr>
        <w:t xml:space="preserve">el legislador federal o local establezca las restricciones correspondientes y clasifique a determinados datos como confidenciales o reservados, con la condición de que tales </w:t>
      </w:r>
      <w:r w:rsidRPr="000825AE">
        <w:rPr>
          <w:rFonts w:ascii="Palatino Linotype" w:eastAsia="Palatino Linotype" w:hAnsi="Palatino Linotype" w:cs="Palatino Linotype"/>
          <w:b/>
          <w:i/>
          <w:sz w:val="22"/>
          <w:szCs w:val="22"/>
        </w:rPr>
        <w:lastRenderedPageBreak/>
        <w:t>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0825AE">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rsidR="000825AE" w:rsidRPr="000825AE" w:rsidRDefault="000825AE" w:rsidP="000825AE">
      <w:pPr>
        <w:ind w:left="1134" w:right="-929"/>
        <w:jc w:val="both"/>
        <w:rPr>
          <w:rFonts w:ascii="Palatino Linotype" w:eastAsia="Palatino Linotype" w:hAnsi="Palatino Linotype" w:cs="Palatino Linotype"/>
          <w:i/>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También, el número de cuenta bancario, en el Criterio 10/17 emitido por el Pleno del Instituto Nacional de Transparencia, Acceso a la Información y Protección de Datos Personales  se establece lo siguiente:</w:t>
      </w:r>
    </w:p>
    <w:p w:rsidR="000825AE" w:rsidRPr="000825AE" w:rsidRDefault="000825AE" w:rsidP="000825AE">
      <w:pPr>
        <w:shd w:val="clear" w:color="auto" w:fill="FFFFFF"/>
        <w:ind w:left="1134" w:right="1041"/>
        <w:jc w:val="both"/>
        <w:rPr>
          <w:rFonts w:ascii="Palatino Linotype" w:eastAsia="Palatino Linotype" w:hAnsi="Palatino Linotype" w:cs="Palatino Linotype"/>
          <w:sz w:val="22"/>
          <w:szCs w:val="22"/>
        </w:rPr>
      </w:pPr>
      <w:r w:rsidRPr="000825AE">
        <w:rPr>
          <w:rFonts w:ascii="Palatino Linotype" w:eastAsia="Palatino Linotype" w:hAnsi="Palatino Linotype" w:cs="Palatino Linotype"/>
          <w:sz w:val="22"/>
          <w:szCs w:val="22"/>
        </w:rPr>
        <w:t>“</w:t>
      </w:r>
      <w:r w:rsidRPr="000825AE">
        <w:rPr>
          <w:rFonts w:ascii="Palatino Linotype" w:eastAsia="Palatino Linotype" w:hAnsi="Palatino Linotype" w:cs="Palatino Linotype"/>
          <w:b/>
          <w:i/>
          <w:sz w:val="22"/>
          <w:szCs w:val="22"/>
        </w:rPr>
        <w:t>Cuentas bancarias y/o CLABE interbancaria de personas físicas y morales privadas.</w:t>
      </w:r>
      <w:r w:rsidRPr="000825AE">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0825AE">
        <w:rPr>
          <w:rFonts w:ascii="Palatino Linotype" w:eastAsia="Palatino Linotype" w:hAnsi="Palatino Linotype" w:cs="Palatino Linotype"/>
          <w:sz w:val="22"/>
          <w:szCs w:val="22"/>
        </w:rPr>
        <w:t>.”</w:t>
      </w:r>
    </w:p>
    <w:p w:rsidR="000825AE" w:rsidRPr="000825AE" w:rsidRDefault="000825AE" w:rsidP="000825AE">
      <w:pPr>
        <w:ind w:left="1134" w:right="-929"/>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color w:val="000000"/>
        </w:rPr>
        <w:t>Esta</w:t>
      </w:r>
      <w:r w:rsidRPr="000825AE">
        <w:rPr>
          <w:rFonts w:ascii="Palatino Linotype" w:eastAsia="Palatino Linotype" w:hAnsi="Palatino Linotype" w:cs="Palatino Linotype"/>
        </w:rPr>
        <w:t xml:space="preserve">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w:t>
      </w:r>
      <w:r w:rsidRPr="000825AE">
        <w:rPr>
          <w:rFonts w:ascii="Palatino Linotype" w:eastAsia="Palatino Linotype" w:hAnsi="Palatino Linotype" w:cs="Palatino Linotype"/>
        </w:rPr>
        <w:lastRenderedPageBreak/>
        <w:t>de la Ley de Transparencia y Acceso a la Información Pública del Estado de México y Municipios.</w:t>
      </w: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El </w:t>
      </w:r>
      <w:r w:rsidRPr="000825AE">
        <w:rPr>
          <w:rFonts w:ascii="Palatino Linotype" w:eastAsia="Palatino Linotype" w:hAnsi="Palatino Linotype" w:cs="Palatino Linotype"/>
          <w:b/>
        </w:rPr>
        <w:t>Código de barras bidimensional (QR</w:t>
      </w:r>
      <w:r w:rsidRPr="000825AE">
        <w:rPr>
          <w:rFonts w:ascii="Palatino Linotype" w:eastAsia="Palatino Linotype" w:hAnsi="Palatino Linotype" w:cs="Palatino Linotype"/>
        </w:rPr>
        <w:t xml:space="preserve">), resulta necesario señalar que los comprobantes fiscales digitales por Internet, deben de incluir un código bidimensional conforme al formato QR </w:t>
      </w:r>
      <w:proofErr w:type="spellStart"/>
      <w:r w:rsidRPr="000825AE">
        <w:rPr>
          <w:rFonts w:ascii="Palatino Linotype" w:eastAsia="Palatino Linotype" w:hAnsi="Palatino Linotype" w:cs="Palatino Linotype"/>
        </w:rPr>
        <w:t>Code</w:t>
      </w:r>
      <w:proofErr w:type="spellEnd"/>
      <w:r w:rsidRPr="000825AE">
        <w:rPr>
          <w:rFonts w:ascii="Palatino Linotype" w:eastAsia="Palatino Linotype" w:hAnsi="Palatino Linotype" w:cs="Palatino Linotype"/>
        </w:rPr>
        <w:t xml:space="preserve"> (Quick Response </w:t>
      </w:r>
      <w:proofErr w:type="spellStart"/>
      <w:r w:rsidRPr="000825AE">
        <w:rPr>
          <w:rFonts w:ascii="Palatino Linotype" w:eastAsia="Palatino Linotype" w:hAnsi="Palatino Linotype" w:cs="Palatino Linotype"/>
        </w:rPr>
        <w:t>Code</w:t>
      </w:r>
      <w:proofErr w:type="spellEnd"/>
      <w:r w:rsidRPr="000825AE">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6">
        <w:r w:rsidRPr="000825AE">
          <w:rPr>
            <w:rFonts w:ascii="Palatino Linotype" w:eastAsia="Palatino Linotype" w:hAnsi="Palatino Linotype" w:cs="Palatino Linotype"/>
          </w:rPr>
          <w:t>http://dof.gob.mx/nota_detalle.php?codigo=5492254&amp;fecha=28/07/2017</w:t>
        </w:r>
      </w:hyperlink>
      <w:r w:rsidRPr="000825AE">
        <w:rPr>
          <w:rFonts w:ascii="Palatino Linotype" w:eastAsia="Palatino Linotype" w:hAnsi="Palatino Linotype" w:cs="Palatino Linotype"/>
        </w:rPr>
        <w:t>. Incluso con la captura de dicho código, a través de la aplicación móvil del Servicio de Administración Tributaria, permite el acceso al Registro Federal de Contribuyentes, como del Sujeto Obligado, como de la persona física o moral correspondiente.</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color w:val="000000"/>
        </w:rPr>
        <w:t>Por</w:t>
      </w:r>
      <w:r w:rsidRPr="000825AE">
        <w:rPr>
          <w:rFonts w:ascii="Palatino Linotype" w:eastAsia="Palatino Linotype" w:hAnsi="Palatino Linotype" w:cs="Palatino Linotype"/>
        </w:rPr>
        <w:t xml:space="preserve">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w:t>
      </w:r>
      <w:r w:rsidRPr="000825AE">
        <w:rPr>
          <w:rFonts w:ascii="Palatino Linotype" w:eastAsia="Palatino Linotype" w:hAnsi="Palatino Linotype" w:cs="Palatino Linotype"/>
        </w:rPr>
        <w:lastRenderedPageBreak/>
        <w:t>el entonces Instituto Federal de Transparencia y Acceso a la Información (INAI, cuyo texto y sentido literal es el siguiente:</w:t>
      </w:r>
    </w:p>
    <w:p w:rsidR="000825AE" w:rsidRPr="000825AE" w:rsidRDefault="000825AE" w:rsidP="000825AE">
      <w:pPr>
        <w:shd w:val="clear" w:color="auto" w:fill="FFFFFF"/>
        <w:ind w:left="1134" w:right="541"/>
        <w:jc w:val="both"/>
        <w:rPr>
          <w:rFonts w:ascii="Palatino Linotype" w:eastAsia="Palatino Linotype" w:hAnsi="Palatino Linotype" w:cs="Palatino Linotype"/>
          <w:i/>
          <w:color w:val="222222"/>
          <w:sz w:val="22"/>
          <w:szCs w:val="22"/>
        </w:rPr>
      </w:pPr>
      <w:r w:rsidRPr="000825AE">
        <w:rPr>
          <w:rFonts w:ascii="Palatino Linotype" w:eastAsia="Palatino Linotype" w:hAnsi="Palatino Linotype" w:cs="Palatino Linotype"/>
          <w:b/>
          <w:i/>
          <w:color w:val="222222"/>
          <w:sz w:val="22"/>
          <w:szCs w:val="22"/>
        </w:rPr>
        <w:t>“El número de ficha de identificación única de los trabajadores es información de carácter confidencial.</w:t>
      </w:r>
      <w:r w:rsidRPr="000825AE">
        <w:rPr>
          <w:rFonts w:ascii="Palatino Linotype" w:eastAsia="Palatino Linotype" w:hAnsi="Palatino Linotype" w:cs="Palatino Linotype"/>
          <w:i/>
          <w:color w:val="222222"/>
          <w:sz w:val="22"/>
          <w:szCs w:val="22"/>
        </w:rPr>
        <w:t> </w:t>
      </w:r>
      <w:r w:rsidRPr="000825AE">
        <w:rPr>
          <w:rFonts w:ascii="Palatino Linotype" w:eastAsia="Palatino Linotype" w:hAnsi="Palatino Linotype" w:cs="Palatino Linotype"/>
          <w:i/>
          <w:color w:val="222222"/>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0825AE">
        <w:rPr>
          <w:rFonts w:ascii="Palatino Linotype" w:eastAsia="Palatino Linotype" w:hAnsi="Palatino Linotype" w:cs="Palatino Linotype"/>
          <w:i/>
          <w:color w:val="222222"/>
          <w:sz w:val="22"/>
          <w:szCs w:val="22"/>
        </w:rPr>
        <w:t>, </w:t>
      </w:r>
      <w:r w:rsidRPr="000825AE">
        <w:rPr>
          <w:rFonts w:ascii="Palatino Linotype" w:eastAsia="Palatino Linotype" w:hAnsi="Palatino Linotype" w:cs="Palatino Linotype"/>
          <w:i/>
          <w:color w:val="222222"/>
          <w:sz w:val="22"/>
          <w:szCs w:val="22"/>
          <w:u w:val="single"/>
        </w:rPr>
        <w:t>dicha información es susceptible de clasificarse con el carácter de confidencial</w:t>
      </w:r>
      <w:r w:rsidRPr="000825AE">
        <w:rPr>
          <w:rFonts w:ascii="Palatino Linotype" w:eastAsia="Palatino Linotype" w:hAnsi="Palatino Linotype" w:cs="Palatino Linotype"/>
          <w:i/>
          <w:color w:val="222222"/>
          <w:sz w:val="22"/>
          <w:szCs w:val="22"/>
        </w:rPr>
        <w:t>, en términos de lo establecido en el artículo 18, fracción II de la Ley Federal de Transparencia y Acceso a la Información Pública Gubernamental, en virtud de que a través de la misma es posible conocer información personal de su titular.”</w:t>
      </w:r>
    </w:p>
    <w:p w:rsidR="000825AE" w:rsidRPr="000825AE" w:rsidRDefault="000825AE" w:rsidP="000825AE">
      <w:pPr>
        <w:shd w:val="clear" w:color="auto" w:fill="FFFFFF"/>
        <w:ind w:left="1134" w:right="1106"/>
        <w:jc w:val="both"/>
        <w:rPr>
          <w:rFonts w:ascii="Palatino Linotype" w:eastAsia="Palatino Linotype" w:hAnsi="Palatino Linotype" w:cs="Palatino Linotype"/>
          <w:i/>
          <w:color w:val="222222"/>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Ahora bien, también es necesario indicar que hay información dentro de los </w:t>
      </w:r>
      <w:r w:rsidRPr="000825AE">
        <w:rPr>
          <w:rFonts w:ascii="Palatino Linotype" w:eastAsia="Palatino Linotype" w:hAnsi="Palatino Linotype" w:cs="Palatino Linotype"/>
          <w:color w:val="000000"/>
        </w:rPr>
        <w:t>recibos</w:t>
      </w:r>
      <w:r w:rsidRPr="000825AE">
        <w:rPr>
          <w:rFonts w:ascii="Palatino Linotype" w:eastAsia="Palatino Linotype" w:hAnsi="Palatino Linotype" w:cs="Palatino Linotype"/>
        </w:rPr>
        <w:t xml:space="preserve"> de nómina que no contienen datos personales por lo cual su entrega </w:t>
      </w:r>
      <w:r w:rsidR="001A7A52">
        <w:rPr>
          <w:rFonts w:ascii="Palatino Linotype" w:eastAsia="Palatino Linotype" w:hAnsi="Palatino Linotype" w:cs="Palatino Linotype"/>
        </w:rPr>
        <w:t xml:space="preserve">no </w:t>
      </w:r>
      <w:r w:rsidRPr="000825AE">
        <w:rPr>
          <w:rFonts w:ascii="Palatino Linotype" w:eastAsia="Palatino Linotype" w:hAnsi="Palatino Linotype" w:cs="Palatino Linotype"/>
        </w:rPr>
        <w:t xml:space="preserve">deberá de ser clasificada, siendo los siguientes. </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Por cuanto hace </w:t>
      </w:r>
      <w:r w:rsidRPr="000825AE">
        <w:rPr>
          <w:rFonts w:ascii="Palatino Linotype" w:eastAsia="Palatino Linotype" w:hAnsi="Palatino Linotype" w:cs="Palatino Linotype"/>
          <w:b/>
        </w:rPr>
        <w:t>al Folio Fiscal</w:t>
      </w:r>
      <w:r w:rsidRPr="000825AE">
        <w:rPr>
          <w:rFonts w:ascii="Palatino Linotype" w:eastAsia="Palatino Linotype" w:hAnsi="Palatino Linotype" w:cs="Palatino Linotype"/>
        </w:rPr>
        <w:t xml:space="preserve">, cabe precisar que conforme al ANEXO 20 de la Segunda Resolución de modificaciones a la Resolución Miscelánea Fiscal para dos mil  diecisiete, el folio fiscal se conforma de treinta seis caracteres alfanuméricos; </w:t>
      </w:r>
      <w:r w:rsidRPr="000825AE">
        <w:rPr>
          <w:rFonts w:ascii="Palatino Linotype" w:eastAsia="Palatino Linotype" w:hAnsi="Palatino Linotype" w:cs="Palatino Linotype"/>
          <w:color w:val="000000"/>
        </w:rPr>
        <w:t>además</w:t>
      </w:r>
      <w:r w:rsidRPr="000825AE">
        <w:rPr>
          <w:rFonts w:ascii="Palatino Linotype" w:eastAsia="Palatino Linotype" w:hAnsi="Palatino Linotype" w:cs="Palatino Linotype"/>
        </w:rPr>
        <w:t>,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spacing w:line="360" w:lineRule="auto"/>
        <w:ind w:right="-929"/>
        <w:jc w:val="center"/>
        <w:rPr>
          <w:rFonts w:ascii="Palatino Linotype" w:eastAsia="Palatino Linotype" w:hAnsi="Palatino Linotype" w:cs="Palatino Linotype"/>
        </w:rPr>
      </w:pPr>
      <w:r w:rsidRPr="000825AE">
        <w:rPr>
          <w:rFonts w:ascii="Palatino Linotype" w:eastAsia="Palatino Linotype" w:hAnsi="Palatino Linotype" w:cs="Palatino Linotype"/>
          <w:noProof/>
        </w:rPr>
        <w:lastRenderedPageBreak/>
        <w:drawing>
          <wp:inline distT="0" distB="0" distL="0" distR="0" wp14:anchorId="39218897" wp14:editId="5681CED6">
            <wp:extent cx="4667250" cy="1181100"/>
            <wp:effectExtent l="0" t="0" r="0" b="0"/>
            <wp:docPr id="6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b="32787"/>
                    <a:stretch>
                      <a:fillRect/>
                    </a:stretch>
                  </pic:blipFill>
                  <pic:spPr>
                    <a:xfrm>
                      <a:off x="0" y="0"/>
                      <a:ext cx="4667250" cy="1181100"/>
                    </a:xfrm>
                    <a:prstGeom prst="rect">
                      <a:avLst/>
                    </a:prstGeom>
                    <a:ln/>
                  </pic:spPr>
                </pic:pic>
              </a:graphicData>
            </a:graphic>
          </wp:inline>
        </w:drawing>
      </w:r>
    </w:p>
    <w:p w:rsidR="000825AE" w:rsidRPr="000825AE" w:rsidRDefault="000825AE" w:rsidP="000825AE">
      <w:pPr>
        <w:spacing w:line="360" w:lineRule="auto"/>
        <w:ind w:right="-929"/>
        <w:jc w:val="center"/>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En ese contexto, el folio fiscal, no contiene datos personales del emisor y tampoco se </w:t>
      </w:r>
      <w:r w:rsidRPr="000825AE">
        <w:rPr>
          <w:rFonts w:ascii="Palatino Linotype" w:eastAsia="Palatino Linotype" w:hAnsi="Palatino Linotype" w:cs="Palatino Linotype"/>
          <w:color w:val="000000"/>
        </w:rPr>
        <w:t>puede</w:t>
      </w:r>
      <w:r w:rsidRPr="000825AE">
        <w:rPr>
          <w:rFonts w:ascii="Palatino Linotype" w:eastAsia="Palatino Linotype" w:hAnsi="Palatino Linotype" w:cs="Palatino Linotype"/>
        </w:rPr>
        <w:t xml:space="preserve"> obtener información confidencial con el mismo, pues solamente es un identificador del emisor, del cual su transparencia ayuda a legitimar que el documento cumple con todos los requisitos establecidos en la normatividad aplicable, sin necesidad de algún dato personal, por lo que, no se actualiza la clasificación, en términos del artículo 143, fracción I de la Ley de la materia.</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En esa línea de estudio, 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0825AE" w:rsidRPr="000825AE" w:rsidRDefault="000825AE" w:rsidP="000825AE">
      <w:pPr>
        <w:ind w:left="1134" w:right="1106"/>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i/>
          <w:sz w:val="22"/>
          <w:szCs w:val="22"/>
        </w:rPr>
        <w:t>“Elementos utilizados en la generación de Sellos Digitales:</w:t>
      </w:r>
    </w:p>
    <w:p w:rsidR="000825AE" w:rsidRPr="000825AE" w:rsidRDefault="000825AE" w:rsidP="000825AE">
      <w:pPr>
        <w:ind w:left="1134" w:right="1106"/>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i/>
          <w:sz w:val="22"/>
          <w:szCs w:val="22"/>
        </w:rPr>
        <w:t>•</w:t>
      </w:r>
      <w:r w:rsidRPr="000825AE">
        <w:rPr>
          <w:rFonts w:ascii="Palatino Linotype" w:eastAsia="Palatino Linotype" w:hAnsi="Palatino Linotype" w:cs="Palatino Linotype"/>
          <w:i/>
          <w:sz w:val="22"/>
          <w:szCs w:val="22"/>
        </w:rPr>
        <w:tab/>
        <w:t>Cadena Original, el elemento a sellar, en este caso de un comprobante fiscal digital a través de Internet.</w:t>
      </w:r>
    </w:p>
    <w:p w:rsidR="000825AE" w:rsidRPr="000825AE" w:rsidRDefault="000825AE" w:rsidP="000825AE">
      <w:pPr>
        <w:ind w:left="1134" w:right="1106"/>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i/>
          <w:sz w:val="22"/>
          <w:szCs w:val="22"/>
        </w:rPr>
        <w:t>•</w:t>
      </w:r>
      <w:r w:rsidRPr="000825AE">
        <w:rPr>
          <w:rFonts w:ascii="Palatino Linotype" w:eastAsia="Palatino Linotype" w:hAnsi="Palatino Linotype" w:cs="Palatino Linotype"/>
          <w:i/>
          <w:sz w:val="22"/>
          <w:szCs w:val="22"/>
        </w:rPr>
        <w:tab/>
        <w:t>Certificado de Sello Digital y su correspondiente clave privada.</w:t>
      </w:r>
    </w:p>
    <w:p w:rsidR="000825AE" w:rsidRPr="000825AE" w:rsidRDefault="000825AE" w:rsidP="000825AE">
      <w:pPr>
        <w:ind w:left="1134" w:right="1106"/>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i/>
          <w:sz w:val="22"/>
          <w:szCs w:val="22"/>
        </w:rPr>
        <w:t>•</w:t>
      </w:r>
      <w:r w:rsidRPr="000825AE">
        <w:rPr>
          <w:rFonts w:ascii="Palatino Linotype" w:eastAsia="Palatino Linotype" w:hAnsi="Palatino Linotype" w:cs="Palatino Linotype"/>
          <w:i/>
          <w:sz w:val="22"/>
          <w:szCs w:val="22"/>
        </w:rPr>
        <w:tab/>
        <w:t>Algoritmos de criptografía de clave pública para firma electrónica avanzada.</w:t>
      </w:r>
    </w:p>
    <w:p w:rsidR="000825AE" w:rsidRPr="000825AE" w:rsidRDefault="000825AE" w:rsidP="000825AE">
      <w:pPr>
        <w:ind w:left="1134" w:right="1106"/>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i/>
          <w:sz w:val="22"/>
          <w:szCs w:val="22"/>
        </w:rPr>
        <w:t>•</w:t>
      </w:r>
      <w:r w:rsidRPr="000825AE">
        <w:rPr>
          <w:rFonts w:ascii="Palatino Linotype" w:eastAsia="Palatino Linotype" w:hAnsi="Palatino Linotype" w:cs="Palatino Linotype"/>
          <w:i/>
          <w:sz w:val="22"/>
          <w:szCs w:val="22"/>
        </w:rPr>
        <w:tab/>
        <w:t>Especificaciones de conversión de la firma electrónica avanzada a Base 64.</w:t>
      </w:r>
    </w:p>
    <w:p w:rsidR="000825AE" w:rsidRPr="000825AE" w:rsidRDefault="000825AE" w:rsidP="000825AE">
      <w:pPr>
        <w:ind w:left="1134" w:right="1106"/>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i/>
          <w:sz w:val="22"/>
          <w:szCs w:val="22"/>
        </w:rPr>
        <w:lastRenderedPageBreak/>
        <w:t>Para la generación de sellos digitales se utiliza criptografía de clave pública aplicada a una cadena original.</w:t>
      </w:r>
    </w:p>
    <w:p w:rsidR="000825AE" w:rsidRPr="000825AE" w:rsidRDefault="000825AE" w:rsidP="000825AE">
      <w:pPr>
        <w:ind w:left="1134" w:right="1106"/>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i/>
          <w:sz w:val="22"/>
          <w:szCs w:val="22"/>
        </w:rPr>
        <w:t>Criptografía de la Clave Pública</w:t>
      </w:r>
    </w:p>
    <w:p w:rsidR="000825AE" w:rsidRPr="000825AE" w:rsidRDefault="000825AE" w:rsidP="000825AE">
      <w:pPr>
        <w:ind w:left="1134" w:right="1106"/>
        <w:jc w:val="both"/>
        <w:rPr>
          <w:rFonts w:ascii="Palatino Linotype" w:eastAsia="Palatino Linotype" w:hAnsi="Palatino Linotype" w:cs="Palatino Linotype"/>
          <w:i/>
          <w:sz w:val="22"/>
          <w:szCs w:val="22"/>
        </w:rPr>
      </w:pPr>
      <w:r w:rsidRPr="000825AE">
        <w:rPr>
          <w:rFonts w:ascii="Palatino Linotype" w:eastAsia="Palatino Linotype" w:hAnsi="Palatino Linotype" w:cs="Palatino Linotype"/>
          <w:i/>
          <w:sz w:val="22"/>
          <w:szCs w:val="22"/>
        </w:rPr>
        <w:t xml:space="preserve">La criptografía de Clave Pública se basa en la generación de una pareja de números muy grandes relacionados íntimamente entre sí, de tal manera que una operación de </w:t>
      </w:r>
      <w:proofErr w:type="spellStart"/>
      <w:r w:rsidRPr="000825AE">
        <w:rPr>
          <w:rFonts w:ascii="Palatino Linotype" w:eastAsia="Palatino Linotype" w:hAnsi="Palatino Linotype" w:cs="Palatino Linotype"/>
          <w:i/>
          <w:sz w:val="22"/>
          <w:szCs w:val="22"/>
        </w:rPr>
        <w:t>encripción</w:t>
      </w:r>
      <w:proofErr w:type="spellEnd"/>
      <w:r w:rsidRPr="000825AE">
        <w:rPr>
          <w:rFonts w:ascii="Palatino Linotype" w:eastAsia="Palatino Linotype" w:hAnsi="Palatino Linotype" w:cs="Palatino Linotype"/>
          <w:i/>
          <w:sz w:val="22"/>
          <w:szCs w:val="22"/>
        </w:rPr>
        <w:t xml:space="preserve"> sobre un mensaje tomando como clave de </w:t>
      </w:r>
      <w:proofErr w:type="spellStart"/>
      <w:r w:rsidRPr="000825AE">
        <w:rPr>
          <w:rFonts w:ascii="Palatino Linotype" w:eastAsia="Palatino Linotype" w:hAnsi="Palatino Linotype" w:cs="Palatino Linotype"/>
          <w:i/>
          <w:sz w:val="22"/>
          <w:szCs w:val="22"/>
        </w:rPr>
        <w:t>encripción</w:t>
      </w:r>
      <w:proofErr w:type="spellEnd"/>
      <w:r w:rsidRPr="000825AE">
        <w:rPr>
          <w:rFonts w:ascii="Palatino Linotype" w:eastAsia="Palatino Linotype" w:hAnsi="Palatino Linotype" w:cs="Palatino Linotype"/>
          <w:i/>
          <w:sz w:val="22"/>
          <w:szCs w:val="22"/>
        </w:rPr>
        <w:t xml:space="preserve"> a uno de los dos números, produce un mensaje alterado en su significado que solo puede ser devuelto a su estado original mediante la operación de </w:t>
      </w:r>
      <w:proofErr w:type="spellStart"/>
      <w:r w:rsidRPr="000825AE">
        <w:rPr>
          <w:rFonts w:ascii="Palatino Linotype" w:eastAsia="Palatino Linotype" w:hAnsi="Palatino Linotype" w:cs="Palatino Linotype"/>
          <w:i/>
          <w:sz w:val="22"/>
          <w:szCs w:val="22"/>
        </w:rPr>
        <w:t>desencripción</w:t>
      </w:r>
      <w:proofErr w:type="spellEnd"/>
      <w:r w:rsidRPr="000825AE">
        <w:rPr>
          <w:rFonts w:ascii="Palatino Linotype" w:eastAsia="Palatino Linotype" w:hAnsi="Palatino Linotype" w:cs="Palatino Linotype"/>
          <w:i/>
          <w:sz w:val="22"/>
          <w:szCs w:val="22"/>
        </w:rPr>
        <w:t xml:space="preserve"> correspondiente tomando como clave de </w:t>
      </w:r>
      <w:proofErr w:type="spellStart"/>
      <w:r w:rsidRPr="000825AE">
        <w:rPr>
          <w:rFonts w:ascii="Palatino Linotype" w:eastAsia="Palatino Linotype" w:hAnsi="Palatino Linotype" w:cs="Palatino Linotype"/>
          <w:i/>
          <w:sz w:val="22"/>
          <w:szCs w:val="22"/>
        </w:rPr>
        <w:t>desencripción</w:t>
      </w:r>
      <w:proofErr w:type="spellEnd"/>
      <w:r w:rsidRPr="000825AE">
        <w:rPr>
          <w:rFonts w:ascii="Palatino Linotype" w:eastAsia="Palatino Linotype" w:hAnsi="Palatino Linotype" w:cs="Palatino Linotype"/>
          <w:i/>
          <w:sz w:val="22"/>
          <w:szCs w:val="22"/>
        </w:rPr>
        <w:t xml:space="preserve"> al otro número de la pareja.”</w:t>
      </w:r>
    </w:p>
    <w:p w:rsidR="000825AE" w:rsidRPr="000825AE" w:rsidRDefault="000825AE" w:rsidP="000825AE">
      <w:pPr>
        <w:ind w:right="-929"/>
        <w:jc w:val="both"/>
        <w:rPr>
          <w:rFonts w:ascii="Palatino Linotype" w:eastAsia="Palatino Linotype" w:hAnsi="Palatino Linotype" w:cs="Palatino Linotype"/>
          <w:i/>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Es decir, por sí solos las cadenas originales y los sellos originales no contienen </w:t>
      </w:r>
      <w:r w:rsidRPr="000825AE">
        <w:rPr>
          <w:rFonts w:ascii="Palatino Linotype" w:eastAsia="Palatino Linotype" w:hAnsi="Palatino Linotype" w:cs="Palatino Linotype"/>
          <w:color w:val="000000"/>
        </w:rPr>
        <w:t>datos</w:t>
      </w:r>
      <w:r w:rsidRPr="000825AE">
        <w:rPr>
          <w:rFonts w:ascii="Palatino Linotype" w:eastAsia="Palatino Linotype" w:hAnsi="Palatino Linotype" w:cs="Palatino Linotype"/>
        </w:rPr>
        <w:t xml:space="preserve"> personales confidenciales, por lo que se considera que </w:t>
      </w:r>
      <w:r w:rsidRPr="000825AE">
        <w:rPr>
          <w:rFonts w:ascii="Palatino Linotype" w:eastAsia="Palatino Linotype" w:hAnsi="Palatino Linotype" w:cs="Palatino Linotype"/>
          <w:b/>
        </w:rPr>
        <w:t>no actualizan el supuesto de confidencialidad previsto en el artículo 143, fracción I</w:t>
      </w:r>
      <w:r w:rsidRPr="000825AE">
        <w:rPr>
          <w:rFonts w:ascii="Palatino Linotype" w:eastAsia="Palatino Linotype" w:hAnsi="Palatino Linotype" w:cs="Palatino Linotype"/>
        </w:rPr>
        <w:t>, de la Ley de Transparencia y Acceso a la Información Pública del Estado de México y Municipios y, por el contrario, son información que permite corroborar la legitimidad de la factura, de ser el caso, por lo que guardan el carácter de público.</w:t>
      </w:r>
    </w:p>
    <w:p w:rsidR="000825AE" w:rsidRPr="000825AE" w:rsidRDefault="000825AE" w:rsidP="000825AE">
      <w:pPr>
        <w:spacing w:line="360" w:lineRule="auto"/>
        <w:ind w:right="-929"/>
        <w:jc w:val="both"/>
        <w:rPr>
          <w:rFonts w:ascii="Palatino Linotype" w:eastAsia="Palatino Linotype" w:hAnsi="Palatino Linotype" w:cs="Palatino Linotype"/>
          <w:b/>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Por otra parte, por lo que hace al </w:t>
      </w:r>
      <w:r w:rsidRPr="000825AE">
        <w:rPr>
          <w:rFonts w:ascii="Palatino Linotype" w:eastAsia="Palatino Linotype" w:hAnsi="Palatino Linotype" w:cs="Palatino Linotype"/>
          <w:b/>
        </w:rPr>
        <w:t xml:space="preserve">número de serie de los certificados de Sello </w:t>
      </w:r>
      <w:r w:rsidRPr="000825AE">
        <w:rPr>
          <w:rFonts w:ascii="Palatino Linotype" w:eastAsia="Palatino Linotype" w:hAnsi="Palatino Linotype" w:cs="Palatino Linotype"/>
          <w:color w:val="000000"/>
        </w:rPr>
        <w:t>Digitales</w:t>
      </w:r>
      <w:r w:rsidRPr="000825AE">
        <w:rPr>
          <w:rFonts w:ascii="Palatino Linotype" w:eastAsia="Palatino Linotype" w:hAnsi="Palatino Linotype" w:cs="Palatino Linotype"/>
          <w:b/>
        </w:rPr>
        <w:t xml:space="preserve"> del emisor y del Servicio de Administración Tributaria</w:t>
      </w:r>
      <w:r w:rsidRPr="000825AE">
        <w:rPr>
          <w:rFonts w:ascii="Palatino Linotype" w:eastAsia="Palatino Linotype" w:hAnsi="Palatino Linotype" w:cs="Palatino Linotype"/>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8">
        <w:r w:rsidRPr="000825AE">
          <w:rPr>
            <w:rFonts w:ascii="Palatino Linotype" w:eastAsia="Palatino Linotype" w:hAnsi="Palatino Linotype" w:cs="Palatino Linotype"/>
          </w:rPr>
          <w:t>https://portalanterior.ine.mx/archivos2/tutoriales/sistemas/ApoyoInstitucional/SIF/</w:t>
        </w:r>
        <w:r w:rsidRPr="000825AE">
          <w:rPr>
            <w:rFonts w:ascii="Palatino Linotype" w:eastAsia="Palatino Linotype" w:hAnsi="Palatino Linotype" w:cs="Palatino Linotype"/>
          </w:rPr>
          <w:lastRenderedPageBreak/>
          <w:t>docs/candidatos/folioFiscalFactura.pdf</w:t>
        </w:r>
      </w:hyperlink>
      <w:r w:rsidRPr="000825AE">
        <w:rPr>
          <w:rFonts w:ascii="Palatino Linotype" w:eastAsia="Palatino Linotype" w:hAnsi="Palatino Linotype" w:cs="Palatino Linotype"/>
        </w:rPr>
        <w:t>), en la cual se advierte que únicamente se encuentra conformado por números, se muestra a continuación:</w:t>
      </w:r>
    </w:p>
    <w:p w:rsidR="000825AE" w:rsidRPr="000825AE" w:rsidRDefault="000825AE" w:rsidP="000825AE">
      <w:pPr>
        <w:spacing w:line="360" w:lineRule="auto"/>
        <w:ind w:right="-929"/>
        <w:jc w:val="center"/>
        <w:rPr>
          <w:rFonts w:ascii="Palatino Linotype" w:eastAsia="Palatino Linotype" w:hAnsi="Palatino Linotype" w:cs="Palatino Linotype"/>
        </w:rPr>
      </w:pPr>
      <w:r w:rsidRPr="000825AE">
        <w:rPr>
          <w:rFonts w:ascii="Palatino Linotype" w:eastAsia="Palatino Linotype" w:hAnsi="Palatino Linotype" w:cs="Palatino Linotype"/>
          <w:noProof/>
        </w:rPr>
        <w:drawing>
          <wp:inline distT="0" distB="0" distL="0" distR="0" wp14:anchorId="4CE8DA9B" wp14:editId="1C17579C">
            <wp:extent cx="5189855" cy="1009650"/>
            <wp:effectExtent l="0" t="0" r="0" b="0"/>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189855" cy="1009650"/>
                    </a:xfrm>
                    <a:prstGeom prst="rect">
                      <a:avLst/>
                    </a:prstGeom>
                    <a:ln/>
                  </pic:spPr>
                </pic:pic>
              </a:graphicData>
            </a:graphic>
          </wp:inline>
        </w:drawing>
      </w:r>
      <w:r w:rsidRPr="000825AE">
        <w:rPr>
          <w:noProof/>
        </w:rPr>
        <mc:AlternateContent>
          <mc:Choice Requires="wps">
            <w:drawing>
              <wp:anchor distT="0" distB="0" distL="114300" distR="114300" simplePos="0" relativeHeight="251678720" behindDoc="0" locked="0" layoutInCell="1" hidden="0" allowOverlap="1" wp14:anchorId="4688B358" wp14:editId="05550F3D">
                <wp:simplePos x="0" y="0"/>
                <wp:positionH relativeFrom="column">
                  <wp:posOffset>622300</wp:posOffset>
                </wp:positionH>
                <wp:positionV relativeFrom="paragraph">
                  <wp:posOffset>647700</wp:posOffset>
                </wp:positionV>
                <wp:extent cx="3571875" cy="352425"/>
                <wp:effectExtent l="0" t="0" r="0" b="0"/>
                <wp:wrapNone/>
                <wp:docPr id="30" name="Rectángulo 30"/>
                <wp:cNvGraphicFramePr/>
                <a:graphic xmlns:a="http://schemas.openxmlformats.org/drawingml/2006/main">
                  <a:graphicData uri="http://schemas.microsoft.com/office/word/2010/wordprocessingShape">
                    <wps:wsp>
                      <wps:cNvSpPr/>
                      <wps:spPr>
                        <a:xfrm>
                          <a:off x="3574350" y="3618075"/>
                          <a:ext cx="3543300" cy="323850"/>
                        </a:xfrm>
                        <a:prstGeom prst="rect">
                          <a:avLst/>
                        </a:prstGeom>
                        <a:noFill/>
                        <a:ln w="28575" cap="flat" cmpd="sng">
                          <a:solidFill>
                            <a:srgbClr val="000000"/>
                          </a:solidFill>
                          <a:prstDash val="solid"/>
                          <a:miter lim="800000"/>
                          <a:headEnd type="none" w="sm" len="sm"/>
                          <a:tailEnd type="none" w="sm" len="sm"/>
                        </a:ln>
                      </wps:spPr>
                      <wps:txbx>
                        <w:txbxContent>
                          <w:p w:rsidR="000825AE" w:rsidRDefault="000825AE" w:rsidP="000825AE">
                            <w:pPr>
                              <w:textDirection w:val="btLr"/>
                            </w:pPr>
                          </w:p>
                        </w:txbxContent>
                      </wps:txbx>
                      <wps:bodyPr spcFirstLastPara="1" wrap="square" lIns="91425" tIns="91425" rIns="91425" bIns="91425" anchor="ctr" anchorCtr="0">
                        <a:noAutofit/>
                      </wps:bodyPr>
                    </wps:wsp>
                  </a:graphicData>
                </a:graphic>
              </wp:anchor>
            </w:drawing>
          </mc:Choice>
          <mc:Fallback>
            <w:pict>
              <v:rect w14:anchorId="4688B358" id="Rectángulo 30" o:spid="_x0000_s1026" style="position:absolute;left:0;text-align:left;margin-left:49pt;margin-top:51pt;width:281.25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" filled="f" strokeweight="2.25pt">
                <v:stroke startarrowwidth="narrow" startarrowlength="short" endarrowwidth="narrow" endarrowlength="short"/>
                <v:textbox inset="2.53958mm,2.53958mm,2.53958mm,2.53958mm">
                  <w:txbxContent>
                    <w:p w:rsidR="000825AE" w:rsidRDefault="000825AE" w:rsidP="000825AE">
                      <w:pPr>
                        <w:textDirection w:val="btLr"/>
                      </w:pPr>
                    </w:p>
                  </w:txbxContent>
                </v:textbox>
              </v:rect>
            </w:pict>
          </mc:Fallback>
        </mc:AlternateContent>
      </w:r>
    </w:p>
    <w:p w:rsidR="000825AE" w:rsidRPr="000825AE" w:rsidRDefault="000825AE" w:rsidP="000825AE">
      <w:pPr>
        <w:spacing w:line="360" w:lineRule="auto"/>
        <w:ind w:right="-929"/>
        <w:jc w:val="center"/>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Cómo se logra observar, los números de serie del certificado de sello digital no contiene datos personales y con dichos dígitos tampoco se puede obtener </w:t>
      </w:r>
      <w:r w:rsidRPr="000825AE">
        <w:rPr>
          <w:rFonts w:ascii="Palatino Linotype" w:eastAsia="Palatino Linotype" w:hAnsi="Palatino Linotype" w:cs="Palatino Linotype"/>
          <w:color w:val="000000"/>
        </w:rPr>
        <w:t>información</w:t>
      </w:r>
      <w:r w:rsidRPr="000825AE">
        <w:rPr>
          <w:rFonts w:ascii="Palatino Linotype" w:eastAsia="Palatino Linotype" w:hAnsi="Palatino Linotype" w:cs="Palatino Linotype"/>
        </w:rPr>
        <w:t xml:space="preserve">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rsidR="000825AE" w:rsidRPr="000825AE" w:rsidRDefault="000825AE" w:rsidP="000825AE">
      <w:pPr>
        <w:tabs>
          <w:tab w:val="left" w:pos="284"/>
        </w:tabs>
        <w:spacing w:line="360" w:lineRule="auto"/>
        <w:jc w:val="both"/>
        <w:rPr>
          <w:rFonts w:ascii="Palatino Linotype" w:eastAsia="Palatino Linotype" w:hAnsi="Palatino Linotype" w:cs="Palatino Linotype"/>
        </w:rPr>
      </w:pPr>
    </w:p>
    <w:p w:rsidR="000825AE" w:rsidRPr="000825AE" w:rsidRDefault="000825AE" w:rsidP="000825AE">
      <w:pPr>
        <w:numPr>
          <w:ilvl w:val="0"/>
          <w:numId w:val="2"/>
        </w:numPr>
        <w:spacing w:line="360" w:lineRule="auto"/>
        <w:ind w:left="0" w:firstLine="0"/>
        <w:jc w:val="both"/>
        <w:rPr>
          <w:rFonts w:ascii="Palatino Linotype" w:eastAsia="Palatino Linotype" w:hAnsi="Palatino Linotype" w:cs="Palatino Linotype"/>
        </w:rPr>
      </w:pPr>
      <w:r w:rsidRPr="000825AE">
        <w:rPr>
          <w:rFonts w:ascii="Palatino Linotype" w:eastAsia="Palatino Linotype" w:hAnsi="Palatino Linotype" w:cs="Palatino Linotype"/>
        </w:rPr>
        <w:t xml:space="preserve">En ese sentido, el </w:t>
      </w:r>
      <w:r w:rsidRPr="000825AE">
        <w:rPr>
          <w:rFonts w:ascii="Palatino Linotype" w:eastAsia="Palatino Linotype" w:hAnsi="Palatino Linotype" w:cs="Palatino Linotype"/>
          <w:b/>
        </w:rPr>
        <w:t xml:space="preserve">SUJETO </w:t>
      </w:r>
      <w:r w:rsidRPr="001A7A52">
        <w:rPr>
          <w:rFonts w:ascii="Palatino Linotype" w:eastAsia="Palatino Linotype" w:hAnsi="Palatino Linotype" w:cs="Palatino Linotype"/>
          <w:color w:val="000000"/>
        </w:rPr>
        <w:t>OBLIGADO</w:t>
      </w:r>
      <w:r w:rsidRPr="000825AE">
        <w:rPr>
          <w:rFonts w:ascii="Palatino Linotype" w:eastAsia="Palatino Linotype" w:hAnsi="Palatino Linotype" w:cs="Palatino Linotype"/>
        </w:rPr>
        <w:t xml:space="preserve"> deberá de emitir el Acuerdo del Comité de Transparencia, mediante el cual de manera fundada y motivada establezca las razones por las cuales se clasifican como confidenciales los datos expuestos con anterioridad. </w:t>
      </w:r>
    </w:p>
    <w:p w:rsidR="000825AE" w:rsidRPr="000825AE" w:rsidRDefault="000825AE" w:rsidP="000825AE">
      <w:pPr>
        <w:spacing w:line="360" w:lineRule="auto"/>
        <w:jc w:val="both"/>
        <w:rPr>
          <w:rFonts w:ascii="Palatino Linotype" w:eastAsia="Palatino Linotype" w:hAnsi="Palatino Linotype" w:cs="Palatino Linotype"/>
          <w:color w:val="000000"/>
        </w:rPr>
      </w:pPr>
    </w:p>
    <w:p w:rsidR="000825AE" w:rsidRPr="000825AE" w:rsidRDefault="000825AE" w:rsidP="000825AE">
      <w:pPr>
        <w:pStyle w:val="Prrafodelista"/>
        <w:rPr>
          <w:rFonts w:ascii="Palatino Linotype" w:eastAsia="Palatino Linotype" w:hAnsi="Palatino Linotype" w:cs="Palatino Linotype"/>
          <w:color w:val="000000"/>
        </w:rPr>
      </w:pPr>
    </w:p>
    <w:p w:rsidR="00712BB5" w:rsidRPr="00995B5B" w:rsidRDefault="00712BB5" w:rsidP="00712BB5">
      <w:pPr>
        <w:spacing w:line="360" w:lineRule="auto"/>
        <w:jc w:val="both"/>
        <w:rPr>
          <w:rFonts w:ascii="Palatino Linotype" w:eastAsia="Palatino Linotype" w:hAnsi="Palatino Linotype" w:cs="Palatino Linotype"/>
        </w:rPr>
      </w:pPr>
    </w:p>
    <w:p w:rsidR="00712BB5" w:rsidRPr="00995B5B" w:rsidRDefault="00712BB5" w:rsidP="00712BB5">
      <w:pPr>
        <w:keepNext/>
        <w:keepLines/>
        <w:spacing w:line="360" w:lineRule="auto"/>
        <w:rPr>
          <w:rFonts w:ascii="Palatino Linotype" w:eastAsia="Palatino Linotype" w:hAnsi="Palatino Linotype" w:cs="Palatino Linotype"/>
          <w:b/>
          <w:color w:val="000000"/>
        </w:rPr>
      </w:pPr>
      <w:bookmarkStart w:id="148" w:name="_heading=h.26in1rg" w:colFirst="0" w:colLast="0"/>
      <w:bookmarkEnd w:id="148"/>
      <w:r w:rsidRPr="00995B5B">
        <w:rPr>
          <w:rFonts w:ascii="Palatino Linotype" w:eastAsia="Palatino Linotype" w:hAnsi="Palatino Linotype" w:cs="Palatino Linotype"/>
          <w:b/>
          <w:color w:val="000000"/>
        </w:rPr>
        <w:lastRenderedPageBreak/>
        <w:t>QUINTO. De la versión pública.</w:t>
      </w:r>
    </w:p>
    <w:p w:rsidR="00712BB5" w:rsidRPr="00995B5B" w:rsidRDefault="00712BB5" w:rsidP="00712BB5">
      <w:pPr>
        <w:keepNext/>
        <w:keepLines/>
        <w:spacing w:line="360" w:lineRule="auto"/>
        <w:rPr>
          <w:rFonts w:ascii="Palatino Linotype" w:eastAsia="Palatino Linotype" w:hAnsi="Palatino Linotype" w:cs="Palatino Linotype"/>
          <w:b/>
          <w:color w:val="000000"/>
        </w:rPr>
      </w:pPr>
    </w:p>
    <w:p w:rsidR="00712BB5" w:rsidRPr="00995B5B" w:rsidRDefault="00712BB5" w:rsidP="00712BB5">
      <w:pPr>
        <w:keepNext/>
        <w:keepLines/>
        <w:numPr>
          <w:ilvl w:val="0"/>
          <w:numId w:val="12"/>
        </w:numPr>
        <w:tabs>
          <w:tab w:val="left" w:pos="284"/>
        </w:tabs>
        <w:spacing w:line="360" w:lineRule="auto"/>
        <w:ind w:left="0" w:firstLine="0"/>
        <w:rPr>
          <w:rFonts w:ascii="Palatino Linotype" w:eastAsia="Palatino Linotype" w:hAnsi="Palatino Linotype" w:cs="Palatino Linotype"/>
          <w:b/>
          <w:color w:val="000000"/>
        </w:rPr>
      </w:pPr>
      <w:bookmarkStart w:id="149" w:name="_heading=h.lnxbz9" w:colFirst="0" w:colLast="0"/>
      <w:bookmarkEnd w:id="149"/>
      <w:r w:rsidRPr="00995B5B">
        <w:rPr>
          <w:rFonts w:ascii="Palatino Linotype" w:eastAsia="Palatino Linotype" w:hAnsi="Palatino Linotype" w:cs="Palatino Linotype"/>
          <w:b/>
          <w:color w:val="000000"/>
        </w:rPr>
        <w:t xml:space="preserve">Nociones generales. </w:t>
      </w:r>
    </w:p>
    <w:p w:rsidR="00712BB5" w:rsidRPr="00995B5B" w:rsidRDefault="00712BB5" w:rsidP="00712BB5">
      <w:pPr>
        <w:numPr>
          <w:ilvl w:val="0"/>
          <w:numId w:val="2"/>
        </w:numPr>
        <w:tabs>
          <w:tab w:val="left" w:pos="284"/>
        </w:tabs>
        <w:spacing w:line="360" w:lineRule="auto"/>
        <w:ind w:left="0" w:right="49" w:firstLine="0"/>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Debe destacarse, que debido a la información obran datos personales susceptibles de protegerse, así como información susceptible de clasificarse como </w:t>
      </w:r>
      <w:r w:rsidRPr="00995B5B">
        <w:rPr>
          <w:rFonts w:ascii="Palatino Linotype" w:eastAsia="Palatino Linotype" w:hAnsi="Palatino Linotype" w:cs="Palatino Linotype"/>
          <w:b/>
          <w:color w:val="000000"/>
        </w:rPr>
        <w:t>confidencial</w:t>
      </w:r>
      <w:r w:rsidRPr="00995B5B">
        <w:rPr>
          <w:rFonts w:ascii="Palatino Linotype" w:eastAsia="Palatino Linotype" w:hAnsi="Palatino Linotype" w:cs="Palatino Linotype"/>
          <w:color w:val="000000"/>
        </w:rPr>
        <w:t xml:space="preserve">,  por lo que, el </w:t>
      </w:r>
      <w:r w:rsidRPr="00995B5B">
        <w:rPr>
          <w:rFonts w:ascii="Palatino Linotype" w:eastAsia="Palatino Linotype" w:hAnsi="Palatino Linotype" w:cs="Palatino Linotype"/>
          <w:b/>
          <w:color w:val="000000"/>
        </w:rPr>
        <w:t xml:space="preserve">SUJETO OBLIGADO </w:t>
      </w:r>
      <w:r w:rsidRPr="00995B5B">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712BB5" w:rsidRPr="00995B5B" w:rsidRDefault="00712BB5" w:rsidP="00712BB5">
      <w:pPr>
        <w:tabs>
          <w:tab w:val="left" w:pos="0"/>
          <w:tab w:val="left" w:pos="284"/>
        </w:tabs>
        <w:spacing w:line="360" w:lineRule="auto"/>
        <w:ind w:right="49"/>
        <w:jc w:val="both"/>
        <w:rPr>
          <w:rFonts w:ascii="Palatino Linotype" w:eastAsia="Palatino Linotype" w:hAnsi="Palatino Linotype" w:cs="Palatino Linotype"/>
          <w:highlight w:val="yellow"/>
        </w:rPr>
      </w:pPr>
    </w:p>
    <w:p w:rsidR="00712BB5" w:rsidRPr="00995B5B" w:rsidRDefault="00712BB5" w:rsidP="00712BB5">
      <w:pPr>
        <w:numPr>
          <w:ilvl w:val="0"/>
          <w:numId w:val="2"/>
        </w:numPr>
        <w:tabs>
          <w:tab w:val="left" w:pos="284"/>
        </w:tabs>
        <w:spacing w:line="360" w:lineRule="auto"/>
        <w:ind w:left="0" w:right="49" w:firstLine="0"/>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No pasa desapercibido para este Órgano Garante que los sujetos obligados</w:t>
      </w:r>
      <w:r w:rsidRPr="00995B5B">
        <w:rPr>
          <w:rFonts w:ascii="Palatino Linotype" w:eastAsia="Palatino Linotype" w:hAnsi="Palatino Linotype" w:cs="Palatino Linotype"/>
          <w:b/>
          <w:color w:val="000000"/>
        </w:rPr>
        <w:t xml:space="preserve"> </w:t>
      </w:r>
      <w:r w:rsidRPr="00995B5B">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712BB5" w:rsidRPr="00995B5B" w:rsidTr="00712BB5">
        <w:tc>
          <w:tcPr>
            <w:tcW w:w="2689" w:type="dxa"/>
          </w:tcPr>
          <w:p w:rsidR="00712BB5" w:rsidRPr="00995B5B" w:rsidRDefault="00712BB5" w:rsidP="00712BB5">
            <w:pPr>
              <w:tabs>
                <w:tab w:val="left" w:pos="284"/>
              </w:tabs>
              <w:spacing w:line="360" w:lineRule="auto"/>
              <w:rPr>
                <w:rFonts w:ascii="Palatino Linotype" w:eastAsia="Palatino Linotype" w:hAnsi="Palatino Linotype" w:cs="Palatino Linotype"/>
                <w:b/>
              </w:rPr>
            </w:pPr>
            <w:r w:rsidRPr="00995B5B">
              <w:rPr>
                <w:rFonts w:ascii="Palatino Linotype" w:eastAsia="Palatino Linotype" w:hAnsi="Palatino Linotype" w:cs="Palatino Linotype"/>
                <w:b/>
              </w:rPr>
              <w:t>a) Requisitos previos.</w:t>
            </w:r>
          </w:p>
        </w:tc>
        <w:tc>
          <w:tcPr>
            <w:tcW w:w="6520" w:type="dxa"/>
          </w:tcPr>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b/>
                <w:color w:val="000000"/>
              </w:rPr>
            </w:pPr>
            <w:r w:rsidRPr="00995B5B">
              <w:rPr>
                <w:rFonts w:ascii="Palatino Linotype" w:eastAsia="Palatino Linotype" w:hAnsi="Palatino Linotype" w:cs="Palatino Linotype"/>
                <w:b/>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b/>
                <w:color w:val="000000"/>
              </w:rPr>
            </w:pPr>
            <w:r w:rsidRPr="00995B5B">
              <w:rPr>
                <w:rFonts w:ascii="Palatino Linotype" w:eastAsia="Palatino Linotype" w:hAnsi="Palatino Linotype" w:cs="Palatino Linotype"/>
                <w:b/>
                <w:color w:val="000000"/>
              </w:rPr>
              <w:lastRenderedPageBreak/>
              <w:t>Al hacerlo tienen que precisar de qué información se trata, señalando el supuesto de clasificación (confidencialidad o reserva).</w:t>
            </w:r>
          </w:p>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b/>
                <w:color w:val="000000"/>
              </w:rPr>
            </w:pPr>
            <w:r w:rsidRPr="00995B5B">
              <w:rPr>
                <w:rFonts w:ascii="Palatino Linotype" w:eastAsia="Palatino Linotype" w:hAnsi="Palatino Linotype" w:cs="Palatino Linotype"/>
                <w:b/>
                <w:color w:val="000000"/>
              </w:rPr>
              <w:t>Además, se debe señalar el procedimiento, de los tres que establecen los artículos 132 y 106 de la Ley Estatal y General, respectivamente.</w:t>
            </w:r>
          </w:p>
          <w:p w:rsidR="00712BB5" w:rsidRPr="00995B5B" w:rsidRDefault="00712BB5" w:rsidP="00712BB5">
            <w:pPr>
              <w:tabs>
                <w:tab w:val="left" w:pos="284"/>
              </w:tabs>
              <w:spacing w:line="360" w:lineRule="auto"/>
              <w:jc w:val="both"/>
              <w:rPr>
                <w:rFonts w:ascii="Palatino Linotype" w:eastAsia="Palatino Linotype" w:hAnsi="Palatino Linotype" w:cs="Palatino Linotype"/>
                <w:b/>
              </w:rPr>
            </w:pPr>
            <w:r w:rsidRPr="00995B5B">
              <w:rPr>
                <w:rFonts w:ascii="Palatino Linotype" w:eastAsia="Palatino Linotype" w:hAnsi="Palatino Linotype" w:cs="Palatino Linotype"/>
                <w:b/>
                <w:color w:val="000000"/>
              </w:rPr>
              <w:t xml:space="preserve">El último de estos requisitos previos consiste en que no se pueden emitir acuerdos de carácter general ni particular, esto es, </w:t>
            </w:r>
            <w:r w:rsidRPr="00995B5B">
              <w:rPr>
                <w:rFonts w:ascii="Palatino Linotype" w:eastAsia="Palatino Linotype" w:hAnsi="Palatino Linotype" w:cs="Palatino Linotype"/>
                <w:b/>
                <w:color w:val="000000"/>
                <w:u w:val="single"/>
              </w:rPr>
              <w:t>no se puede hacer un acuerdo para clasificar de manera general todos los documentos de un expediente o área, sin</w:t>
            </w:r>
            <w:r w:rsidRPr="00995B5B">
              <w:rPr>
                <w:rFonts w:ascii="Palatino Linotype" w:eastAsia="Palatino Linotype" w:hAnsi="Palatino Linotype" w:cs="Palatino Linotype"/>
                <w:b/>
                <w:color w:val="000000"/>
              </w:rPr>
              <w:t xml:space="preserve"> individualizar su análisis y tampoco se puede hacer un acuerdo por cada dato que se vaya a clasificar dentro de un documento con diez datos, por ejemplo, susceptibles de ser clasificados.</w:t>
            </w:r>
          </w:p>
        </w:tc>
      </w:tr>
      <w:tr w:rsidR="00712BB5" w:rsidRPr="00995B5B" w:rsidTr="00712BB5">
        <w:tc>
          <w:tcPr>
            <w:tcW w:w="2689" w:type="dxa"/>
          </w:tcPr>
          <w:p w:rsidR="00712BB5" w:rsidRPr="00995B5B" w:rsidRDefault="00712BB5" w:rsidP="00712BB5">
            <w:pPr>
              <w:tabs>
                <w:tab w:val="left" w:pos="284"/>
              </w:tabs>
              <w:spacing w:line="360" w:lineRule="auto"/>
              <w:rPr>
                <w:rFonts w:ascii="Palatino Linotype" w:eastAsia="Palatino Linotype" w:hAnsi="Palatino Linotype" w:cs="Palatino Linotype"/>
                <w:b/>
              </w:rPr>
            </w:pPr>
            <w:r w:rsidRPr="00995B5B">
              <w:rPr>
                <w:rFonts w:ascii="Palatino Linotype" w:eastAsia="Palatino Linotype" w:hAnsi="Palatino Linotype" w:cs="Palatino Linotype"/>
                <w:b/>
              </w:rPr>
              <w:lastRenderedPageBreak/>
              <w:t>b) Supuestos de clasificación.</w:t>
            </w:r>
          </w:p>
        </w:tc>
        <w:tc>
          <w:tcPr>
            <w:tcW w:w="6520" w:type="dxa"/>
          </w:tcPr>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w:t>
            </w:r>
            <w:r w:rsidRPr="00995B5B">
              <w:rPr>
                <w:rFonts w:ascii="Palatino Linotype" w:eastAsia="Palatino Linotype" w:hAnsi="Palatino Linotype" w:cs="Palatino Linotype"/>
                <w:color w:val="000000"/>
              </w:rPr>
              <w:lastRenderedPageBreak/>
              <w:t>limitada, por lo que debe acreditarse que se cumple con esta condición y no se pueden ampliar las excepciones o supuestos de clasificación aduciendo analogía o mayoría de razón.</w:t>
            </w:r>
          </w:p>
          <w:p w:rsidR="00712BB5" w:rsidRPr="00995B5B" w:rsidRDefault="00712BB5" w:rsidP="00712BB5">
            <w:pPr>
              <w:tabs>
                <w:tab w:val="left" w:pos="284"/>
              </w:tabs>
              <w:spacing w:line="360" w:lineRule="auto"/>
              <w:jc w:val="both"/>
              <w:rPr>
                <w:rFonts w:ascii="Palatino Linotype" w:eastAsia="Palatino Linotype" w:hAnsi="Palatino Linotype" w:cs="Palatino Linotype"/>
              </w:rPr>
            </w:pPr>
            <w:r w:rsidRPr="00995B5B">
              <w:rPr>
                <w:rFonts w:ascii="Palatino Linotype" w:eastAsia="Palatino Linotype" w:hAnsi="Palatino Linotype" w:cs="Palatino Linotype"/>
                <w:color w:val="000000"/>
              </w:rPr>
              <w:t xml:space="preserve">El </w:t>
            </w:r>
            <w:r w:rsidRPr="00995B5B">
              <w:rPr>
                <w:rFonts w:ascii="Palatino Linotype" w:eastAsia="Palatino Linotype" w:hAnsi="Palatino Linotype" w:cs="Palatino Linotype"/>
                <w:b/>
                <w:color w:val="000000"/>
              </w:rPr>
              <w:t>Sujeto Obligado</w:t>
            </w:r>
            <w:r w:rsidRPr="00995B5B">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12BB5" w:rsidRPr="00995B5B" w:rsidTr="00712BB5">
        <w:tc>
          <w:tcPr>
            <w:tcW w:w="2689" w:type="dxa"/>
          </w:tcPr>
          <w:p w:rsidR="00712BB5" w:rsidRPr="00995B5B" w:rsidRDefault="00712BB5" w:rsidP="00712BB5">
            <w:pPr>
              <w:tabs>
                <w:tab w:val="left" w:pos="284"/>
              </w:tabs>
              <w:spacing w:line="360" w:lineRule="auto"/>
              <w:rPr>
                <w:rFonts w:ascii="Palatino Linotype" w:eastAsia="Palatino Linotype" w:hAnsi="Palatino Linotype" w:cs="Palatino Linotype"/>
                <w:b/>
              </w:rPr>
            </w:pPr>
            <w:r w:rsidRPr="00995B5B">
              <w:rPr>
                <w:rFonts w:ascii="Palatino Linotype" w:eastAsia="Palatino Linotype" w:hAnsi="Palatino Linotype" w:cs="Palatino Linotype"/>
                <w:b/>
              </w:rPr>
              <w:lastRenderedPageBreak/>
              <w:t>c) Formalidades para emitir el acuerdo de clasificación.</w:t>
            </w:r>
          </w:p>
        </w:tc>
        <w:tc>
          <w:tcPr>
            <w:tcW w:w="6520" w:type="dxa"/>
          </w:tcPr>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Es necesario que </w:t>
            </w:r>
            <w:r w:rsidRPr="00995B5B">
              <w:rPr>
                <w:rFonts w:ascii="Palatino Linotype" w:eastAsia="Palatino Linotype" w:hAnsi="Palatino Linotype" w:cs="Palatino Linotype"/>
                <w:b/>
                <w:color w:val="000000"/>
                <w:u w:val="single"/>
              </w:rPr>
              <w:t>el acto reúna con los requisitos elementales</w:t>
            </w:r>
            <w:r w:rsidRPr="00995B5B">
              <w:rPr>
                <w:rFonts w:ascii="Palatino Linotype" w:eastAsia="Palatino Linotype" w:hAnsi="Palatino Linotype" w:cs="Palatino Linotype"/>
                <w:color w:val="000000"/>
              </w:rPr>
              <w:t>, entre ellos, que la autoridad que va a emitir el acto de autoridad sea la legalmente facultada para ello.</w:t>
            </w:r>
          </w:p>
          <w:p w:rsidR="00712BB5" w:rsidRPr="00995B5B" w:rsidRDefault="00712BB5" w:rsidP="00712BB5">
            <w:pPr>
              <w:tabs>
                <w:tab w:val="left" w:pos="284"/>
              </w:tabs>
              <w:spacing w:line="360" w:lineRule="auto"/>
              <w:jc w:val="both"/>
              <w:rPr>
                <w:rFonts w:ascii="Palatino Linotype" w:eastAsia="Palatino Linotype" w:hAnsi="Palatino Linotype" w:cs="Palatino Linotype"/>
              </w:rPr>
            </w:pPr>
            <w:r w:rsidRPr="00995B5B">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w:t>
            </w:r>
            <w:r w:rsidRPr="00995B5B">
              <w:rPr>
                <w:rFonts w:ascii="Palatino Linotype" w:eastAsia="Palatino Linotype" w:hAnsi="Palatino Linotype" w:cs="Palatino Linotype"/>
                <w:color w:val="000000"/>
              </w:rPr>
              <w:lastRenderedPageBreak/>
              <w:t>a partir de las decisiones adoptadas previamente por los titulares de áreas y que son sujetas a control, en primera instancia, por el Comité de Transparencia.</w:t>
            </w:r>
          </w:p>
        </w:tc>
      </w:tr>
      <w:tr w:rsidR="00712BB5" w:rsidRPr="00995B5B" w:rsidTr="00712BB5">
        <w:tc>
          <w:tcPr>
            <w:tcW w:w="2689" w:type="dxa"/>
          </w:tcPr>
          <w:p w:rsidR="00712BB5" w:rsidRPr="00995B5B" w:rsidRDefault="00712BB5" w:rsidP="00712BB5">
            <w:pPr>
              <w:tabs>
                <w:tab w:val="left" w:pos="284"/>
              </w:tabs>
              <w:spacing w:line="360" w:lineRule="auto"/>
              <w:rPr>
                <w:rFonts w:ascii="Palatino Linotype" w:eastAsia="Palatino Linotype" w:hAnsi="Palatino Linotype" w:cs="Palatino Linotype"/>
                <w:b/>
              </w:rPr>
            </w:pPr>
          </w:p>
          <w:p w:rsidR="00712BB5" w:rsidRPr="00995B5B" w:rsidRDefault="00712BB5" w:rsidP="00712BB5">
            <w:pPr>
              <w:tabs>
                <w:tab w:val="left" w:pos="284"/>
              </w:tabs>
              <w:spacing w:line="360" w:lineRule="auto"/>
              <w:jc w:val="both"/>
              <w:rPr>
                <w:rFonts w:ascii="Palatino Linotype" w:eastAsia="Palatino Linotype" w:hAnsi="Palatino Linotype" w:cs="Palatino Linotype"/>
                <w:b/>
              </w:rPr>
            </w:pPr>
            <w:r w:rsidRPr="00995B5B">
              <w:rPr>
                <w:rFonts w:ascii="Palatino Linotype" w:eastAsia="Palatino Linotype" w:hAnsi="Palatino Linotype" w:cs="Palatino Linotype"/>
                <w:b/>
                <w:color w:val="000000"/>
              </w:rPr>
              <w:t xml:space="preserve">d) Requisitos de fondo del acuerdo de clasificación. </w:t>
            </w:r>
          </w:p>
        </w:tc>
        <w:tc>
          <w:tcPr>
            <w:tcW w:w="6520" w:type="dxa"/>
          </w:tcPr>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95B5B">
              <w:rPr>
                <w:rFonts w:ascii="Palatino Linotype" w:eastAsia="Palatino Linotype" w:hAnsi="Palatino Linotype" w:cs="Palatino Linotype"/>
                <w:b/>
                <w:color w:val="000000"/>
              </w:rPr>
              <w:t>Sujetos Obligados</w:t>
            </w:r>
            <w:r w:rsidRPr="00995B5B">
              <w:rPr>
                <w:rFonts w:ascii="Palatino Linotype" w:eastAsia="Palatino Linotype" w:hAnsi="Palatino Linotype" w:cs="Palatino Linotype"/>
                <w:color w:val="000000"/>
              </w:rPr>
              <w:t xml:space="preserve">, por lo que deberán fundar y motivar debidamente la clasificación. </w:t>
            </w:r>
          </w:p>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De lo anterior, se desprende que para una correcta </w:t>
            </w:r>
            <w:r w:rsidRPr="00995B5B">
              <w:rPr>
                <w:rFonts w:ascii="Palatino Linotype" w:eastAsia="Palatino Linotype" w:hAnsi="Palatino Linotype" w:cs="Palatino Linotype"/>
                <w:b/>
                <w:color w:val="000000"/>
              </w:rPr>
              <w:t>clasificación total o parcial</w:t>
            </w:r>
            <w:r w:rsidRPr="00995B5B">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razones, motivos o circunstancias que tomó en cuenta la </w:t>
            </w:r>
            <w:r w:rsidRPr="00995B5B">
              <w:rPr>
                <w:rFonts w:ascii="Palatino Linotype" w:eastAsia="Palatino Linotype" w:hAnsi="Palatino Linotype" w:cs="Palatino Linotype"/>
                <w:color w:val="000000"/>
              </w:rPr>
              <w:lastRenderedPageBreak/>
              <w:t>autoridad para adecuar el hecho a los fundamentos de derecho. De este modo, la persona que se sienta afectada pueda impugnar la decisión, permitiéndole una real y auténtica defensa.</w:t>
            </w:r>
          </w:p>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Ahora bien, </w:t>
            </w:r>
            <w:r w:rsidRPr="00995B5B">
              <w:rPr>
                <w:rFonts w:ascii="Palatino Linotype" w:eastAsia="Palatino Linotype" w:hAnsi="Palatino Linotype" w:cs="Palatino Linotype"/>
                <w:b/>
                <w:color w:val="000000"/>
                <w:u w:val="single"/>
              </w:rPr>
              <w:t>para cada caso además de fundar y motivar</w:t>
            </w:r>
            <w:r w:rsidRPr="00995B5B">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12BB5" w:rsidRPr="00995B5B" w:rsidTr="00712BB5">
        <w:tc>
          <w:tcPr>
            <w:tcW w:w="2689" w:type="dxa"/>
          </w:tcPr>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b/>
              </w:rPr>
            </w:pPr>
            <w:r w:rsidRPr="00995B5B">
              <w:rPr>
                <w:rFonts w:ascii="Palatino Linotype" w:eastAsia="Palatino Linotype" w:hAnsi="Palatino Linotype" w:cs="Palatino Linotype"/>
                <w:b/>
              </w:rPr>
              <w:lastRenderedPageBreak/>
              <w:t xml:space="preserve">e) Condiciones especiales de la clasificación de la información como confidencial. </w:t>
            </w:r>
          </w:p>
        </w:tc>
        <w:tc>
          <w:tcPr>
            <w:tcW w:w="6520" w:type="dxa"/>
          </w:tcPr>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712BB5" w:rsidRPr="00995B5B" w:rsidRDefault="00712BB5" w:rsidP="00712BB5">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En el caso de lo señalado en la fracción IV, será el Instituto quien deba aplicar la prueba de interés público, </w:t>
            </w:r>
            <w:r w:rsidRPr="00995B5B">
              <w:rPr>
                <w:rFonts w:ascii="Palatino Linotype" w:eastAsia="Palatino Linotype" w:hAnsi="Palatino Linotype" w:cs="Palatino Linotype"/>
                <w:color w:val="000000"/>
              </w:rPr>
              <w:lastRenderedPageBreak/>
              <w:t xml:space="preserve">considerando también que como recientemente ha discutido la Suprema Corte de Justicia de la Nación, los servidores públicos nos encontramos sujetos a un régimen menor de protección. </w:t>
            </w:r>
          </w:p>
          <w:p w:rsidR="00712BB5" w:rsidRPr="00995B5B" w:rsidRDefault="00712BB5" w:rsidP="00712BB5">
            <w:pPr>
              <w:tabs>
                <w:tab w:val="left" w:pos="284"/>
              </w:tabs>
              <w:spacing w:line="360" w:lineRule="auto"/>
              <w:rPr>
                <w:rFonts w:ascii="Palatino Linotype" w:eastAsia="Palatino Linotype" w:hAnsi="Palatino Linotype" w:cs="Palatino Linotype"/>
              </w:rPr>
            </w:pPr>
            <w:r w:rsidRPr="00995B5B">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712BB5" w:rsidRPr="00995B5B" w:rsidRDefault="00712BB5" w:rsidP="00712BB5">
      <w:pPr>
        <w:tabs>
          <w:tab w:val="left" w:pos="284"/>
        </w:tabs>
        <w:spacing w:line="360" w:lineRule="auto"/>
        <w:rPr>
          <w:rFonts w:ascii="Palatino Linotype" w:eastAsia="Palatino Linotype" w:hAnsi="Palatino Linotype" w:cs="Palatino Linotype"/>
          <w:color w:val="000000"/>
        </w:rPr>
      </w:pPr>
    </w:p>
    <w:p w:rsidR="00712BB5" w:rsidRPr="00F55463" w:rsidRDefault="00712BB5" w:rsidP="00712BB5">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w:t>
      </w:r>
      <w:r>
        <w:rPr>
          <w:rFonts w:ascii="Palatino Linotype" w:eastAsia="Palatino Linotype" w:hAnsi="Palatino Linotype" w:cs="Palatino Linotype"/>
        </w:rPr>
        <w:t>ido acuerdo de clasificación.</w:t>
      </w:r>
    </w:p>
    <w:p w:rsidR="00712BB5" w:rsidRPr="00F55463" w:rsidRDefault="00712BB5" w:rsidP="00712BB5">
      <w:pPr>
        <w:tabs>
          <w:tab w:val="left" w:pos="284"/>
        </w:tabs>
        <w:spacing w:line="360" w:lineRule="auto"/>
        <w:jc w:val="both"/>
        <w:rPr>
          <w:rFonts w:ascii="Palatino Linotype" w:eastAsia="Palatino Linotype" w:hAnsi="Palatino Linotype" w:cs="Palatino Linotype"/>
          <w:color w:val="000000"/>
        </w:rPr>
      </w:pPr>
    </w:p>
    <w:p w:rsidR="00712BB5" w:rsidRPr="00CB5C7F" w:rsidRDefault="00712BB5" w:rsidP="00712BB5">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color w:val="000000"/>
        </w:rPr>
      </w:pPr>
      <w:r w:rsidRPr="00CB5C7F">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el </w:t>
      </w:r>
      <w:r w:rsidRPr="00CB5C7F">
        <w:rPr>
          <w:rFonts w:ascii="Palatino Linotype" w:eastAsia="Palatino Linotype" w:hAnsi="Palatino Linotype" w:cs="Palatino Linotype"/>
          <w:b/>
          <w:color w:val="000000"/>
        </w:rPr>
        <w:t>RECURRENTE</w:t>
      </w:r>
      <w:r w:rsidRPr="00CB5C7F">
        <w:rPr>
          <w:rFonts w:ascii="Palatino Linotype" w:eastAsia="Palatino Linotype" w:hAnsi="Palatino Linotype" w:cs="Palatino Linotype"/>
          <w:color w:val="000000"/>
        </w:rPr>
        <w:t xml:space="preserve"> dentro del recurso de revisión </w:t>
      </w:r>
      <w:r w:rsidR="0085290E" w:rsidRPr="00CB5C7F">
        <w:rPr>
          <w:rFonts w:ascii="Palatino Linotype" w:eastAsia="Palatino Linotype" w:hAnsi="Palatino Linotype" w:cs="Palatino Linotype"/>
          <w:b/>
          <w:color w:val="000000"/>
        </w:rPr>
        <w:t>05233/INFOEM/IP/RR/2024</w:t>
      </w:r>
      <w:r w:rsidRPr="00CB5C7F">
        <w:rPr>
          <w:rFonts w:ascii="Palatino Linotype" w:eastAsia="Palatino Linotype" w:hAnsi="Palatino Linotype" w:cs="Palatino Linotype"/>
          <w:color w:val="000000"/>
        </w:rPr>
        <w:t xml:space="preserve">, </w:t>
      </w:r>
      <w:r w:rsidRPr="00CB5C7F">
        <w:rPr>
          <w:rFonts w:ascii="Palatino Linotype" w:eastAsia="Palatino Linotype" w:hAnsi="Palatino Linotype" w:cs="Palatino Linotype"/>
          <w:b/>
          <w:color w:val="000000"/>
        </w:rPr>
        <w:t>05</w:t>
      </w:r>
      <w:r w:rsidR="00CB5C7F" w:rsidRPr="00CB5C7F">
        <w:rPr>
          <w:rFonts w:ascii="Palatino Linotype" w:eastAsia="Palatino Linotype" w:hAnsi="Palatino Linotype" w:cs="Palatino Linotype"/>
          <w:b/>
          <w:color w:val="000000"/>
        </w:rPr>
        <w:t>504/INFOEM/IP/RR/2024</w:t>
      </w:r>
      <w:r w:rsidRPr="00CB5C7F">
        <w:rPr>
          <w:rFonts w:ascii="Palatino Linotype" w:eastAsia="Palatino Linotype" w:hAnsi="Palatino Linotype" w:cs="Palatino Linotype"/>
          <w:color w:val="000000"/>
        </w:rPr>
        <w:t>; por ello, y con fundamento en la fracción I</w:t>
      </w:r>
      <w:r w:rsidR="00CB5C7F" w:rsidRPr="00CB5C7F">
        <w:rPr>
          <w:rFonts w:ascii="Palatino Linotype" w:eastAsia="Palatino Linotype" w:hAnsi="Palatino Linotype" w:cs="Palatino Linotype"/>
          <w:color w:val="000000"/>
        </w:rPr>
        <w:t>II</w:t>
      </w:r>
      <w:r w:rsidRPr="00CB5C7F">
        <w:rPr>
          <w:rFonts w:ascii="Palatino Linotype" w:eastAsia="Palatino Linotype" w:hAnsi="Palatino Linotype" w:cs="Palatino Linotype"/>
          <w:color w:val="000000"/>
        </w:rPr>
        <w:t xml:space="preserve"> del numeral 186 de la Ley de Transparencia y Acceso a la Información Pública del Estado de México y Municipios, se modifica</w:t>
      </w:r>
      <w:r w:rsidR="00CB5C7F" w:rsidRPr="00CB5C7F">
        <w:rPr>
          <w:rFonts w:ascii="Palatino Linotype" w:eastAsia="Palatino Linotype" w:hAnsi="Palatino Linotype" w:cs="Palatino Linotype"/>
          <w:color w:val="000000"/>
        </w:rPr>
        <w:t>n</w:t>
      </w:r>
      <w:r w:rsidRPr="00CB5C7F">
        <w:rPr>
          <w:rFonts w:ascii="Palatino Linotype" w:eastAsia="Palatino Linotype" w:hAnsi="Palatino Linotype" w:cs="Palatino Linotype"/>
          <w:color w:val="000000"/>
        </w:rPr>
        <w:t xml:space="preserve"> la respuesta a la solicitud de información </w:t>
      </w:r>
      <w:r w:rsidR="00CB5C7F" w:rsidRPr="00CB5C7F">
        <w:rPr>
          <w:rFonts w:ascii="Palatino Linotype" w:eastAsia="Palatino Linotype" w:hAnsi="Palatino Linotype" w:cs="Palatino Linotype"/>
          <w:b/>
          <w:bCs/>
          <w:color w:val="000000"/>
        </w:rPr>
        <w:t> 00213/ATLACOM/IP/2024</w:t>
      </w:r>
      <w:r w:rsidR="00CB5C7F">
        <w:rPr>
          <w:rFonts w:ascii="Palatino Linotype" w:eastAsia="Palatino Linotype" w:hAnsi="Palatino Linotype" w:cs="Palatino Linotype"/>
          <w:b/>
          <w:bCs/>
          <w:color w:val="000000"/>
        </w:rPr>
        <w:t xml:space="preserve"> y </w:t>
      </w:r>
      <w:r w:rsidR="00CB5C7F" w:rsidRPr="00CB5C7F">
        <w:rPr>
          <w:rFonts w:ascii="Palatino Linotype" w:eastAsia="Palatino Linotype" w:hAnsi="Palatino Linotype" w:cs="Palatino Linotype"/>
          <w:b/>
          <w:bCs/>
          <w:color w:val="000000"/>
        </w:rPr>
        <w:t>00225/ATLACOM/IP/2024</w:t>
      </w:r>
      <w:r w:rsidR="00CB5C7F">
        <w:rPr>
          <w:rFonts w:ascii="Palatino Linotype" w:eastAsia="Palatino Linotype" w:hAnsi="Palatino Linotype" w:cs="Palatino Linotype"/>
          <w:b/>
          <w:bCs/>
          <w:color w:val="000000"/>
        </w:rPr>
        <w:t>.</w:t>
      </w:r>
    </w:p>
    <w:p w:rsidR="00712BB5" w:rsidRDefault="00712BB5" w:rsidP="00712BB5">
      <w:pPr>
        <w:spacing w:line="360" w:lineRule="auto"/>
        <w:jc w:val="both"/>
        <w:rPr>
          <w:rFonts w:ascii="Palatino Linotype" w:eastAsia="Palatino Linotype" w:hAnsi="Palatino Linotype" w:cs="Palatino Linotype"/>
          <w:color w:val="000000"/>
        </w:rPr>
      </w:pPr>
    </w:p>
    <w:p w:rsidR="00712BB5" w:rsidRPr="00995B5B" w:rsidRDefault="00712BB5" w:rsidP="00712BB5">
      <w:pPr>
        <w:pBdr>
          <w:top w:val="nil"/>
          <w:left w:val="nil"/>
          <w:bottom w:val="nil"/>
          <w:right w:val="nil"/>
          <w:between w:val="nil"/>
        </w:pBdr>
        <w:ind w:left="720"/>
        <w:rPr>
          <w:rFonts w:ascii="Palatino Linotype" w:eastAsia="Palatino Linotype" w:hAnsi="Palatino Linotype" w:cs="Palatino Linotype"/>
          <w:color w:val="000000"/>
        </w:rPr>
      </w:pPr>
    </w:p>
    <w:p w:rsidR="00712BB5" w:rsidRPr="006E5E43" w:rsidRDefault="00712BB5" w:rsidP="006E5E43">
      <w:pPr>
        <w:numPr>
          <w:ilvl w:val="0"/>
          <w:numId w:val="2"/>
        </w:numPr>
        <w:spacing w:line="360" w:lineRule="auto"/>
        <w:ind w:left="0" w:firstLine="0"/>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Por lo anteriormente expuesto y fundado, este </w:t>
      </w:r>
      <w:r w:rsidRPr="00995B5B">
        <w:rPr>
          <w:rFonts w:ascii="Palatino Linotype" w:eastAsia="Palatino Linotype" w:hAnsi="Palatino Linotype" w:cs="Palatino Linotype"/>
          <w:b/>
          <w:color w:val="000000"/>
        </w:rPr>
        <w:t>ÓRGANO GARANTE</w:t>
      </w:r>
      <w:r w:rsidRPr="00995B5B">
        <w:rPr>
          <w:rFonts w:ascii="Palatino Linotype" w:eastAsia="Palatino Linotype" w:hAnsi="Palatino Linotype" w:cs="Palatino Linotype"/>
          <w:color w:val="000000"/>
        </w:rPr>
        <w:t xml:space="preserve"> emite los siguientes:</w:t>
      </w:r>
    </w:p>
    <w:p w:rsidR="00712BB5" w:rsidRPr="00B31B85" w:rsidRDefault="00712BB5" w:rsidP="00712BB5">
      <w:pPr>
        <w:pBdr>
          <w:top w:val="nil"/>
          <w:left w:val="nil"/>
          <w:bottom w:val="nil"/>
          <w:right w:val="nil"/>
          <w:between w:val="nil"/>
        </w:pBdr>
        <w:spacing w:line="360" w:lineRule="auto"/>
        <w:jc w:val="both"/>
        <w:rPr>
          <w:rFonts w:ascii="Palatino Linotype" w:eastAsia="Palatino Linotype" w:hAnsi="Palatino Linotype" w:cs="Palatino Linotype"/>
          <w:color w:val="000000"/>
          <w:sz w:val="28"/>
        </w:rPr>
      </w:pPr>
    </w:p>
    <w:p w:rsidR="00712BB5" w:rsidRPr="00B31B85" w:rsidRDefault="00712BB5" w:rsidP="00712BB5">
      <w:pPr>
        <w:keepNext/>
        <w:keepLines/>
        <w:spacing w:line="360" w:lineRule="auto"/>
        <w:jc w:val="center"/>
        <w:outlineLvl w:val="0"/>
        <w:rPr>
          <w:rFonts w:ascii="Palatino Linotype" w:eastAsia="Palatino Linotype" w:hAnsi="Palatino Linotype" w:cs="Palatino Linotype"/>
          <w:b/>
          <w:color w:val="000000"/>
        </w:rPr>
      </w:pPr>
      <w:bookmarkStart w:id="150" w:name="_heading=h.35nkun2" w:colFirst="0" w:colLast="0"/>
      <w:bookmarkEnd w:id="150"/>
      <w:r w:rsidRPr="00B31B85">
        <w:rPr>
          <w:rFonts w:ascii="Palatino Linotype" w:eastAsia="Palatino Linotype" w:hAnsi="Palatino Linotype" w:cs="Palatino Linotype"/>
          <w:b/>
          <w:color w:val="000000"/>
        </w:rPr>
        <w:t xml:space="preserve">R E S O L U T I V O S </w:t>
      </w:r>
    </w:p>
    <w:p w:rsidR="00CB5C7F" w:rsidRPr="00B31B85" w:rsidRDefault="00CB5C7F" w:rsidP="00CB5C7F">
      <w:pPr>
        <w:spacing w:line="360" w:lineRule="auto"/>
        <w:jc w:val="center"/>
        <w:rPr>
          <w:rFonts w:ascii="Palatino Linotype" w:hAnsi="Palatino Linotype"/>
          <w:szCs w:val="22"/>
          <w:lang w:val="es-ES"/>
        </w:rPr>
      </w:pPr>
    </w:p>
    <w:p w:rsidR="00CB5C7F" w:rsidRPr="00B31B85" w:rsidRDefault="00CB5C7F" w:rsidP="00CB5C7F">
      <w:pPr>
        <w:spacing w:line="360" w:lineRule="auto"/>
        <w:jc w:val="both"/>
        <w:rPr>
          <w:rFonts w:ascii="Palatino Linotype" w:hAnsi="Palatino Linotype" w:cs="Arial"/>
          <w:szCs w:val="22"/>
          <w:lang w:val="es-ES"/>
        </w:rPr>
      </w:pPr>
      <w:r w:rsidRPr="00B31B85">
        <w:rPr>
          <w:rFonts w:ascii="Palatino Linotype" w:hAnsi="Palatino Linotype" w:cs="Arial"/>
          <w:b/>
          <w:szCs w:val="22"/>
        </w:rPr>
        <w:t>PRIMERO</w:t>
      </w:r>
      <w:r w:rsidRPr="00B31B85">
        <w:rPr>
          <w:rFonts w:ascii="Palatino Linotype" w:hAnsi="Palatino Linotype" w:cs="Arial"/>
          <w:szCs w:val="22"/>
          <w:lang w:val="es-ES"/>
        </w:rPr>
        <w:t xml:space="preserve">. Resultan fundadas las razones o motivos de inconformidad hechos valer en los Recursos de Revisión </w:t>
      </w:r>
      <w:r w:rsidR="006E5E43">
        <w:rPr>
          <w:rFonts w:ascii="Palatino Linotype" w:hAnsi="Palatino Linotype" w:cs="Arial"/>
          <w:b/>
          <w:bCs/>
          <w:szCs w:val="22"/>
        </w:rPr>
        <w:t>05233/INFOEM/IP/RR/2024 y</w:t>
      </w:r>
      <w:r w:rsidRPr="00B31B85">
        <w:rPr>
          <w:rFonts w:ascii="Palatino Linotype" w:hAnsi="Palatino Linotype" w:cs="Arial"/>
          <w:b/>
          <w:bCs/>
          <w:szCs w:val="22"/>
        </w:rPr>
        <w:t xml:space="preserve"> 05504/INFOEM/IP/RR/2024</w:t>
      </w:r>
      <w:r w:rsidRPr="00B31B85">
        <w:rPr>
          <w:rFonts w:ascii="Palatino Linotype" w:hAnsi="Palatino Linotype"/>
          <w:szCs w:val="22"/>
        </w:rPr>
        <w:t>,</w:t>
      </w:r>
      <w:r w:rsidRPr="00B31B85">
        <w:rPr>
          <w:rFonts w:ascii="Palatino Linotype" w:hAnsi="Palatino Linotype" w:cs="Arial"/>
          <w:b/>
          <w:szCs w:val="22"/>
          <w:lang w:val="es-ES"/>
        </w:rPr>
        <w:t xml:space="preserve"> </w:t>
      </w:r>
      <w:r w:rsidRPr="00B31B85">
        <w:rPr>
          <w:rFonts w:ascii="Palatino Linotype" w:hAnsi="Palatino Linotype" w:cs="Arial"/>
          <w:szCs w:val="22"/>
          <w:lang w:val="es-ES"/>
        </w:rPr>
        <w:t xml:space="preserve">en términos de los Considerandos </w:t>
      </w:r>
      <w:r w:rsidRPr="00B31B85">
        <w:rPr>
          <w:rFonts w:ascii="Palatino Linotype" w:hAnsi="Palatino Linotype" w:cs="Arial"/>
          <w:b/>
          <w:szCs w:val="22"/>
          <w:lang w:val="es-ES"/>
        </w:rPr>
        <w:t xml:space="preserve">CUARTO y QUINTO </w:t>
      </w:r>
      <w:r w:rsidRPr="00B31B85">
        <w:rPr>
          <w:rFonts w:ascii="Palatino Linotype" w:hAnsi="Palatino Linotype" w:cs="Arial"/>
          <w:szCs w:val="22"/>
          <w:lang w:val="es-ES"/>
        </w:rPr>
        <w:t xml:space="preserve">de la presente resolución. </w:t>
      </w:r>
    </w:p>
    <w:p w:rsidR="00CB5C7F" w:rsidRPr="00B31B85" w:rsidRDefault="00CB5C7F" w:rsidP="00CB5C7F">
      <w:pPr>
        <w:spacing w:line="360" w:lineRule="auto"/>
        <w:jc w:val="both"/>
        <w:rPr>
          <w:rFonts w:ascii="Palatino Linotype" w:hAnsi="Palatino Linotype" w:cs="Arial"/>
          <w:szCs w:val="22"/>
          <w:lang w:val="es-ES"/>
        </w:rPr>
      </w:pPr>
    </w:p>
    <w:p w:rsidR="00CB5C7F" w:rsidRPr="00B31B85" w:rsidRDefault="00CB5C7F" w:rsidP="00CB5C7F">
      <w:pPr>
        <w:spacing w:line="360" w:lineRule="auto"/>
        <w:jc w:val="both"/>
        <w:rPr>
          <w:rFonts w:ascii="Palatino Linotype" w:eastAsia="MS Mincho" w:hAnsi="Palatino Linotype"/>
          <w:color w:val="000000" w:themeColor="text1"/>
          <w:szCs w:val="22"/>
        </w:rPr>
      </w:pPr>
      <w:bookmarkStart w:id="151" w:name="_Toc503891607"/>
      <w:bookmarkStart w:id="152" w:name="_Toc511647757"/>
      <w:bookmarkStart w:id="153" w:name="_Toc511647818"/>
      <w:bookmarkStart w:id="154" w:name="_Toc477891768"/>
      <w:bookmarkStart w:id="155" w:name="_Toc477891858"/>
      <w:bookmarkStart w:id="156" w:name="_Toc481576259"/>
      <w:bookmarkStart w:id="157" w:name="_Toc492590391"/>
      <w:bookmarkStart w:id="158" w:name="_Toc462653937"/>
      <w:bookmarkStart w:id="159" w:name="_Toc453696502"/>
      <w:bookmarkStart w:id="160" w:name="_Toc454301155"/>
      <w:r w:rsidRPr="00B31B85">
        <w:rPr>
          <w:rFonts w:ascii="Palatino Linotype" w:hAnsi="Palatino Linotype"/>
          <w:b/>
          <w:szCs w:val="22"/>
        </w:rPr>
        <w:t>SEGUNDO.</w:t>
      </w:r>
      <w:bookmarkEnd w:id="151"/>
      <w:bookmarkEnd w:id="152"/>
      <w:bookmarkEnd w:id="153"/>
      <w:r w:rsidRPr="00B31B85">
        <w:rPr>
          <w:rFonts w:ascii="Palatino Linotype" w:hAnsi="Palatino Linotype"/>
          <w:b/>
          <w:szCs w:val="22"/>
        </w:rPr>
        <w:t xml:space="preserve"> </w:t>
      </w:r>
      <w:bookmarkEnd w:id="154"/>
      <w:bookmarkEnd w:id="155"/>
      <w:bookmarkEnd w:id="156"/>
      <w:bookmarkEnd w:id="157"/>
      <w:bookmarkEnd w:id="158"/>
      <w:bookmarkEnd w:id="159"/>
      <w:bookmarkEnd w:id="160"/>
      <w:r w:rsidRPr="00B31B85">
        <w:rPr>
          <w:rFonts w:ascii="Palatino Linotype" w:eastAsia="MS Mincho" w:hAnsi="Palatino Linotype"/>
          <w:color w:val="000000" w:themeColor="text1"/>
          <w:szCs w:val="22"/>
        </w:rPr>
        <w:t xml:space="preserve">Se </w:t>
      </w:r>
      <w:r w:rsidRPr="00B31B85">
        <w:rPr>
          <w:rFonts w:ascii="Palatino Linotype" w:eastAsia="MS Mincho" w:hAnsi="Palatino Linotype"/>
          <w:b/>
          <w:color w:val="000000" w:themeColor="text1"/>
          <w:szCs w:val="22"/>
        </w:rPr>
        <w:t xml:space="preserve">MODIFICAN </w:t>
      </w:r>
      <w:r w:rsidRPr="00B31B85">
        <w:rPr>
          <w:rFonts w:ascii="Palatino Linotype" w:eastAsia="MS Mincho" w:hAnsi="Palatino Linotype"/>
          <w:color w:val="000000" w:themeColor="text1"/>
          <w:szCs w:val="22"/>
        </w:rPr>
        <w:t>las respuesta</w:t>
      </w:r>
      <w:r w:rsidR="006E5E43">
        <w:rPr>
          <w:rFonts w:ascii="Palatino Linotype" w:eastAsia="MS Mincho" w:hAnsi="Palatino Linotype"/>
          <w:color w:val="000000" w:themeColor="text1"/>
          <w:szCs w:val="22"/>
        </w:rPr>
        <w:t>s</w:t>
      </w:r>
      <w:r w:rsidRPr="00B31B85">
        <w:rPr>
          <w:rFonts w:ascii="Palatino Linotype" w:eastAsia="MS Mincho" w:hAnsi="Palatino Linotype"/>
          <w:color w:val="000000" w:themeColor="text1"/>
          <w:szCs w:val="22"/>
        </w:rPr>
        <w:t xml:space="preserve"> emitidas por el </w:t>
      </w:r>
      <w:r w:rsidRPr="00B31B85">
        <w:rPr>
          <w:rFonts w:ascii="Palatino Linotype" w:eastAsia="MS Mincho" w:hAnsi="Palatino Linotype"/>
          <w:b/>
          <w:color w:val="000000" w:themeColor="text1"/>
          <w:szCs w:val="22"/>
        </w:rPr>
        <w:t xml:space="preserve">Ayuntamiento de Atlacomulco </w:t>
      </w:r>
      <w:r w:rsidRPr="00B31B85">
        <w:rPr>
          <w:rFonts w:ascii="Palatino Linotype" w:eastAsia="MS Mincho" w:hAnsi="Palatino Linotype"/>
          <w:color w:val="000000" w:themeColor="text1"/>
          <w:szCs w:val="22"/>
        </w:rPr>
        <w:t xml:space="preserve">y se </w:t>
      </w:r>
      <w:r w:rsidRPr="00B31B85">
        <w:rPr>
          <w:rFonts w:ascii="Palatino Linotype" w:eastAsia="MS Mincho" w:hAnsi="Palatino Linotype"/>
          <w:b/>
          <w:color w:val="000000" w:themeColor="text1"/>
          <w:szCs w:val="22"/>
        </w:rPr>
        <w:t>ORDENA</w:t>
      </w:r>
      <w:r w:rsidRPr="00B31B85">
        <w:rPr>
          <w:rFonts w:ascii="Palatino Linotype" w:eastAsia="MS Mincho" w:hAnsi="Palatino Linotype"/>
          <w:color w:val="000000" w:themeColor="text1"/>
          <w:szCs w:val="22"/>
        </w:rPr>
        <w:t xml:space="preserve"> entregar vía Sistema de Acceso a la Información Mexiquense </w:t>
      </w:r>
      <w:r w:rsidRPr="00B31B85">
        <w:rPr>
          <w:rFonts w:ascii="Palatino Linotype" w:eastAsia="MS Mincho" w:hAnsi="Palatino Linotype"/>
          <w:b/>
          <w:color w:val="000000" w:themeColor="text1"/>
          <w:szCs w:val="22"/>
        </w:rPr>
        <w:t>(SAIMEX)</w:t>
      </w:r>
      <w:r w:rsidRPr="00B31B85">
        <w:rPr>
          <w:rFonts w:ascii="Palatino Linotype" w:eastAsia="MS Mincho" w:hAnsi="Palatino Linotype"/>
          <w:color w:val="000000" w:themeColor="text1"/>
          <w:szCs w:val="22"/>
        </w:rPr>
        <w:t>, en versión pública, la siguiente información</w:t>
      </w:r>
      <w:bookmarkStart w:id="161" w:name="_Toc503891610"/>
      <w:bookmarkStart w:id="162" w:name="_Toc453696503"/>
      <w:bookmarkStart w:id="163" w:name="_Toc454301156"/>
      <w:bookmarkStart w:id="164" w:name="_Toc462653938"/>
      <w:bookmarkStart w:id="165" w:name="_Toc477891769"/>
      <w:bookmarkStart w:id="166" w:name="_Toc477891859"/>
      <w:bookmarkStart w:id="167" w:name="_Toc481576260"/>
      <w:bookmarkStart w:id="168" w:name="_Toc492590392"/>
      <w:r w:rsidRPr="00B31B85">
        <w:rPr>
          <w:rFonts w:ascii="Palatino Linotype" w:eastAsia="MS Mincho" w:hAnsi="Palatino Linotype"/>
          <w:color w:val="000000" w:themeColor="text1"/>
          <w:szCs w:val="22"/>
        </w:rPr>
        <w:t xml:space="preserve">. </w:t>
      </w:r>
    </w:p>
    <w:p w:rsidR="00CB5C7F" w:rsidRPr="00B31B85" w:rsidRDefault="00CB5C7F" w:rsidP="00CB5C7F">
      <w:pPr>
        <w:pStyle w:val="Prrafodelista"/>
        <w:rPr>
          <w:rFonts w:ascii="Palatino Linotype" w:hAnsi="Palatino Linotype" w:cs="Arial"/>
          <w:b/>
          <w:sz w:val="24"/>
        </w:rPr>
      </w:pPr>
    </w:p>
    <w:p w:rsidR="00CB5C7F" w:rsidRPr="00B31B85" w:rsidRDefault="00CB5C7F" w:rsidP="00CB5C7F">
      <w:pPr>
        <w:pStyle w:val="Prrafodelista"/>
        <w:rPr>
          <w:rFonts w:ascii="Palatino Linotype" w:eastAsia="Calibri" w:hAnsi="Palatino Linotype" w:cs="Arial"/>
          <w:b/>
          <w:sz w:val="24"/>
        </w:rPr>
      </w:pPr>
    </w:p>
    <w:p w:rsidR="00CB5C7F" w:rsidRPr="00F03126" w:rsidRDefault="00CB5C7F" w:rsidP="00CB5C7F">
      <w:pPr>
        <w:pStyle w:val="Prrafodelista"/>
        <w:numPr>
          <w:ilvl w:val="0"/>
          <w:numId w:val="28"/>
        </w:numPr>
        <w:spacing w:line="360" w:lineRule="auto"/>
        <w:ind w:left="1134"/>
        <w:contextualSpacing/>
        <w:jc w:val="both"/>
        <w:rPr>
          <w:rFonts w:ascii="Palatino Linotype" w:eastAsia="Calibri" w:hAnsi="Palatino Linotype" w:cs="Arial"/>
          <w:b/>
          <w:sz w:val="24"/>
        </w:rPr>
      </w:pPr>
      <w:r w:rsidRPr="00F03126">
        <w:rPr>
          <w:rFonts w:ascii="Palatino Linotype" w:eastAsia="Calibri" w:hAnsi="Palatino Linotype" w:cs="Arial"/>
          <w:b/>
          <w:sz w:val="24"/>
        </w:rPr>
        <w:t xml:space="preserve">Recibos de nómina de la </w:t>
      </w:r>
      <w:r w:rsidR="009E02B2" w:rsidRPr="00F03126">
        <w:rPr>
          <w:rFonts w:ascii="Palatino Linotype" w:eastAsia="Calibri" w:hAnsi="Palatino Linotype" w:cs="Arial"/>
          <w:b/>
          <w:sz w:val="24"/>
        </w:rPr>
        <w:t>primera</w:t>
      </w:r>
      <w:r w:rsidRPr="00F03126">
        <w:rPr>
          <w:rFonts w:ascii="Palatino Linotype" w:eastAsia="Calibri" w:hAnsi="Palatino Linotype" w:cs="Arial"/>
          <w:b/>
          <w:sz w:val="24"/>
        </w:rPr>
        <w:t xml:space="preserve"> quincena de </w:t>
      </w:r>
      <w:r w:rsidR="009E02B2" w:rsidRPr="00F03126">
        <w:rPr>
          <w:rFonts w:ascii="Palatino Linotype" w:eastAsia="Calibri" w:hAnsi="Palatino Linotype" w:cs="Arial"/>
          <w:b/>
          <w:sz w:val="24"/>
        </w:rPr>
        <w:t xml:space="preserve">junio </w:t>
      </w:r>
      <w:r w:rsidRPr="00F03126">
        <w:rPr>
          <w:rFonts w:ascii="Palatino Linotype" w:eastAsia="Calibri" w:hAnsi="Palatino Linotype" w:cs="Arial"/>
          <w:b/>
          <w:sz w:val="24"/>
        </w:rPr>
        <w:t>de dos mil veinticuatro, de la persona referida en la solicitud de información</w:t>
      </w:r>
      <w:r w:rsidRPr="00F03126">
        <w:rPr>
          <w:rFonts w:ascii="Arial" w:hAnsi="Arial" w:cs="Arial"/>
          <w:b/>
          <w:bCs/>
          <w:color w:val="333333"/>
          <w:sz w:val="16"/>
          <w:szCs w:val="15"/>
          <w:lang w:val="es-MX" w:eastAsia="es-MX"/>
        </w:rPr>
        <w:t xml:space="preserve"> </w:t>
      </w:r>
      <w:r w:rsidRPr="00F03126">
        <w:rPr>
          <w:rFonts w:ascii="Palatino Linotype" w:eastAsia="Calibri" w:hAnsi="Palatino Linotype" w:cs="Arial"/>
          <w:b/>
          <w:bCs/>
          <w:sz w:val="24"/>
          <w:lang w:val="es-MX"/>
        </w:rPr>
        <w:t>00213/ATLACOM/IP/2024;</w:t>
      </w:r>
    </w:p>
    <w:p w:rsidR="00B31B85" w:rsidRPr="00F03126" w:rsidRDefault="00CB5C7F" w:rsidP="00CB5C7F">
      <w:pPr>
        <w:pStyle w:val="Prrafodelista"/>
        <w:numPr>
          <w:ilvl w:val="0"/>
          <w:numId w:val="28"/>
        </w:numPr>
        <w:spacing w:line="360" w:lineRule="auto"/>
        <w:ind w:left="1134"/>
        <w:contextualSpacing/>
        <w:jc w:val="both"/>
        <w:rPr>
          <w:rFonts w:ascii="Palatino Linotype" w:eastAsia="Calibri" w:hAnsi="Palatino Linotype" w:cs="Arial"/>
          <w:b/>
          <w:sz w:val="24"/>
        </w:rPr>
      </w:pPr>
      <w:r w:rsidRPr="00F03126">
        <w:rPr>
          <w:rFonts w:ascii="Palatino Linotype" w:eastAsia="Calibri" w:hAnsi="Palatino Linotype" w:cs="Arial"/>
          <w:b/>
          <w:bCs/>
          <w:sz w:val="24"/>
          <w:lang w:val="es-MX"/>
        </w:rPr>
        <w:t xml:space="preserve">Recibo de nómina </w:t>
      </w:r>
      <w:r w:rsidR="00B31B85" w:rsidRPr="00F03126">
        <w:rPr>
          <w:rFonts w:ascii="Palatino Linotype" w:eastAsia="Calibri" w:hAnsi="Palatino Linotype" w:cs="Arial"/>
          <w:b/>
          <w:bCs/>
          <w:sz w:val="24"/>
          <w:lang w:val="es-MX"/>
        </w:rPr>
        <w:t>en una correcta versión pública, remitido en respuesta a la solicitud de información 00213/ATLACOM/IP/2024; y</w:t>
      </w:r>
    </w:p>
    <w:p w:rsidR="00CB5C7F" w:rsidRPr="00B31B85" w:rsidRDefault="00B31B85" w:rsidP="00CB5C7F">
      <w:pPr>
        <w:pStyle w:val="Prrafodelista"/>
        <w:numPr>
          <w:ilvl w:val="0"/>
          <w:numId w:val="28"/>
        </w:numPr>
        <w:spacing w:line="360" w:lineRule="auto"/>
        <w:ind w:left="1134"/>
        <w:contextualSpacing/>
        <w:jc w:val="both"/>
        <w:rPr>
          <w:rFonts w:ascii="Palatino Linotype" w:eastAsia="Calibri" w:hAnsi="Palatino Linotype" w:cs="Arial"/>
          <w:b/>
          <w:sz w:val="24"/>
        </w:rPr>
      </w:pPr>
      <w:r w:rsidRPr="00F03126">
        <w:rPr>
          <w:rFonts w:ascii="Palatino Linotype" w:eastAsia="Calibri" w:hAnsi="Palatino Linotype" w:cs="Arial"/>
          <w:b/>
          <w:bCs/>
          <w:sz w:val="24"/>
          <w:lang w:val="es-MX"/>
        </w:rPr>
        <w:lastRenderedPageBreak/>
        <w:t>Recibos de nómina en una correcta versión pública, remitidos en</w:t>
      </w:r>
      <w:r w:rsidR="009E02B2" w:rsidRPr="00F03126">
        <w:rPr>
          <w:rFonts w:ascii="Palatino Linotype" w:eastAsia="Calibri" w:hAnsi="Palatino Linotype" w:cs="Arial"/>
          <w:b/>
          <w:bCs/>
          <w:sz w:val="24"/>
          <w:lang w:val="es-MX"/>
        </w:rPr>
        <w:t xml:space="preserve"> la etapa de manifestaciones </w:t>
      </w:r>
      <w:r w:rsidRPr="00F03126">
        <w:rPr>
          <w:rFonts w:ascii="Palatino Linotype" w:eastAsia="Calibri" w:hAnsi="Palatino Linotype" w:cs="Arial"/>
          <w:b/>
          <w:bCs/>
          <w:sz w:val="24"/>
          <w:lang w:val="es-MX"/>
        </w:rPr>
        <w:t>la solicitud de infor</w:t>
      </w:r>
      <w:r w:rsidRPr="00B31B85">
        <w:rPr>
          <w:rFonts w:ascii="Palatino Linotype" w:eastAsia="Calibri" w:hAnsi="Palatino Linotype" w:cs="Arial"/>
          <w:b/>
          <w:bCs/>
          <w:sz w:val="24"/>
          <w:lang w:val="es-MX"/>
        </w:rPr>
        <w:t xml:space="preserve">mación </w:t>
      </w:r>
      <w:r w:rsidR="00CB5C7F" w:rsidRPr="00B31B85">
        <w:rPr>
          <w:rFonts w:ascii="Palatino Linotype" w:eastAsia="Calibri" w:hAnsi="Palatino Linotype" w:cs="Arial"/>
          <w:b/>
          <w:sz w:val="24"/>
        </w:rPr>
        <w:t xml:space="preserve"> </w:t>
      </w:r>
      <w:r w:rsidRPr="00B31B85">
        <w:rPr>
          <w:rFonts w:ascii="Palatino Linotype" w:eastAsia="Calibri" w:hAnsi="Palatino Linotype" w:cs="Arial"/>
          <w:b/>
          <w:bCs/>
          <w:sz w:val="24"/>
          <w:lang w:val="es-MX"/>
        </w:rPr>
        <w:t xml:space="preserve">00225/ATLACOM/IP/2024. </w:t>
      </w:r>
    </w:p>
    <w:p w:rsidR="00B31B85" w:rsidRPr="00B31B85" w:rsidRDefault="00B31B85" w:rsidP="00B31B85">
      <w:pPr>
        <w:pStyle w:val="Prrafodelista"/>
        <w:spacing w:line="360" w:lineRule="auto"/>
        <w:ind w:left="1134"/>
        <w:contextualSpacing/>
        <w:jc w:val="both"/>
        <w:rPr>
          <w:rFonts w:ascii="Palatino Linotype" w:eastAsia="Calibri" w:hAnsi="Palatino Linotype" w:cs="Arial"/>
          <w:b/>
          <w:sz w:val="24"/>
        </w:rPr>
      </w:pPr>
    </w:p>
    <w:p w:rsidR="00B31B85" w:rsidRPr="00B31B85" w:rsidRDefault="00B31B85" w:rsidP="00B31B85">
      <w:pPr>
        <w:tabs>
          <w:tab w:val="left" w:pos="8080"/>
        </w:tabs>
        <w:spacing w:line="360" w:lineRule="auto"/>
        <w:ind w:right="49"/>
        <w:jc w:val="both"/>
        <w:rPr>
          <w:rFonts w:ascii="Palatino Linotype" w:eastAsia="Palatino Linotype" w:hAnsi="Palatino Linotype" w:cs="Palatino Linotype"/>
          <w:b/>
        </w:rPr>
      </w:pPr>
      <w:r w:rsidRPr="00B31B85">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B31B85">
        <w:rPr>
          <w:rFonts w:ascii="Palatino Linotype" w:eastAsia="Palatino Linotype" w:hAnsi="Palatino Linotype" w:cs="Palatino Linotype"/>
          <w:b/>
        </w:rPr>
        <w:t>RECURRENTE.</w:t>
      </w:r>
    </w:p>
    <w:bookmarkEnd w:id="161"/>
    <w:bookmarkEnd w:id="162"/>
    <w:bookmarkEnd w:id="163"/>
    <w:bookmarkEnd w:id="164"/>
    <w:bookmarkEnd w:id="165"/>
    <w:bookmarkEnd w:id="166"/>
    <w:bookmarkEnd w:id="167"/>
    <w:bookmarkEnd w:id="168"/>
    <w:p w:rsidR="00B31B85" w:rsidRPr="00B31B85" w:rsidRDefault="00B31B85" w:rsidP="00B31B85">
      <w:pPr>
        <w:tabs>
          <w:tab w:val="left" w:pos="284"/>
        </w:tabs>
        <w:spacing w:line="360" w:lineRule="auto"/>
        <w:jc w:val="both"/>
        <w:rPr>
          <w:rFonts w:ascii="Palatino Linotype" w:eastAsia="Palatino Linotype" w:hAnsi="Palatino Linotype" w:cs="Palatino Linotype"/>
          <w:sz w:val="28"/>
          <w:lang w:val="es-ES_tradnl" w:eastAsia="es-ES"/>
        </w:rPr>
      </w:pPr>
    </w:p>
    <w:p w:rsidR="00B31B85" w:rsidRPr="00B31B85" w:rsidRDefault="00B31B85" w:rsidP="00B31B85">
      <w:pPr>
        <w:tabs>
          <w:tab w:val="left" w:pos="284"/>
          <w:tab w:val="left" w:pos="8080"/>
        </w:tabs>
        <w:spacing w:line="360" w:lineRule="auto"/>
        <w:ind w:right="49"/>
        <w:jc w:val="both"/>
        <w:rPr>
          <w:rFonts w:ascii="Palatino Linotype" w:eastAsia="Palatino Linotype" w:hAnsi="Palatino Linotype" w:cs="Palatino Linotype"/>
          <w:color w:val="222222"/>
          <w:lang w:val="es-ES_tradnl" w:eastAsia="es-ES"/>
        </w:rPr>
      </w:pPr>
      <w:r w:rsidRPr="00B31B85">
        <w:rPr>
          <w:rFonts w:ascii="Palatino Linotype" w:eastAsia="Palatino Linotype" w:hAnsi="Palatino Linotype" w:cs="Palatino Linotype"/>
          <w:b/>
          <w:lang w:val="es-ES_tradnl" w:eastAsia="es-ES"/>
        </w:rPr>
        <w:t xml:space="preserve">TERCERO. </w:t>
      </w:r>
      <w:r w:rsidRPr="00B31B85">
        <w:rPr>
          <w:rFonts w:ascii="Palatino Linotype" w:eastAsia="Palatino Linotype" w:hAnsi="Palatino Linotype" w:cs="Palatino Linotype"/>
          <w:b/>
          <w:color w:val="222222"/>
          <w:lang w:val="es-ES_tradnl" w:eastAsia="es-ES"/>
        </w:rPr>
        <w:t>NOTIFÍQUESE</w:t>
      </w:r>
      <w:r w:rsidRPr="00B31B85">
        <w:rPr>
          <w:rFonts w:ascii="Palatino Linotype" w:eastAsia="Palatino Linotype" w:hAnsi="Palatino Linotype" w:cs="Palatino Linotype"/>
          <w:color w:val="222222"/>
          <w:lang w:val="es-ES_tradnl" w:eastAsia="es-ES"/>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B31B85">
        <w:rPr>
          <w:rFonts w:ascii="Palatino Linotype" w:eastAsia="Palatino Linotype" w:hAnsi="Palatino Linotype" w:cs="Palatino Linotype"/>
          <w:b/>
          <w:color w:val="222222"/>
          <w:lang w:val="es-ES_tradnl" w:eastAsia="es-ES"/>
        </w:rPr>
        <w:t>dé cumplimiento a lo ordenado dentro del plazo de diez días hábiles</w:t>
      </w:r>
      <w:r w:rsidRPr="00B31B85">
        <w:rPr>
          <w:rFonts w:ascii="Palatino Linotype" w:eastAsia="Palatino Linotype" w:hAnsi="Palatino Linotype" w:cs="Palatino Linotype"/>
          <w:color w:val="222222"/>
          <w:lang w:val="es-ES_tradnl" w:eastAsia="es-ES"/>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B5C7F" w:rsidRPr="00B31B85" w:rsidRDefault="00CB5C7F" w:rsidP="00CB5C7F">
      <w:pPr>
        <w:spacing w:line="360" w:lineRule="auto"/>
        <w:jc w:val="both"/>
        <w:rPr>
          <w:rFonts w:ascii="Palatino Linotype" w:hAnsi="Palatino Linotype" w:cs="Arial"/>
          <w:b/>
          <w:sz w:val="22"/>
          <w:szCs w:val="22"/>
        </w:rPr>
      </w:pPr>
    </w:p>
    <w:p w:rsidR="00CB5C7F" w:rsidRDefault="00CB5C7F" w:rsidP="00CB5C7F">
      <w:pPr>
        <w:spacing w:line="360" w:lineRule="auto"/>
        <w:jc w:val="both"/>
        <w:rPr>
          <w:rFonts w:ascii="Palatino Linotype" w:eastAsia="Calibri" w:hAnsi="Palatino Linotype" w:cs="Arial"/>
          <w:bCs/>
          <w:szCs w:val="22"/>
        </w:rPr>
      </w:pPr>
      <w:r w:rsidRPr="00B31B85">
        <w:rPr>
          <w:rFonts w:ascii="Palatino Linotype" w:hAnsi="Palatino Linotype" w:cs="Arial"/>
          <w:b/>
          <w:szCs w:val="22"/>
        </w:rPr>
        <w:lastRenderedPageBreak/>
        <w:t xml:space="preserve">CUARTO. </w:t>
      </w:r>
      <w:r w:rsidRPr="00B31B85">
        <w:rPr>
          <w:rFonts w:ascii="Palatino Linotype" w:eastAsia="Calibri" w:hAnsi="Palatino Linotype" w:cs="Arial"/>
          <w:bCs/>
          <w:szCs w:val="22"/>
        </w:rPr>
        <w:t xml:space="preserve">De conformidad con el artículo 198 de la Ley de Transparencia y Acceso a la Información Pública del Estado de México y Municipios, de considerarlo procedente, el </w:t>
      </w:r>
      <w:r w:rsidRPr="00B31B85">
        <w:rPr>
          <w:rFonts w:ascii="Palatino Linotype" w:eastAsia="Calibri" w:hAnsi="Palatino Linotype" w:cs="Arial"/>
          <w:b/>
          <w:bCs/>
          <w:szCs w:val="22"/>
        </w:rPr>
        <w:t>SUJETO OBLIGADO</w:t>
      </w:r>
      <w:r w:rsidRPr="00B31B85">
        <w:rPr>
          <w:rFonts w:ascii="Palatino Linotype" w:eastAsia="Calibri" w:hAnsi="Palatino Linotype" w:cs="Arial"/>
          <w:bCs/>
          <w:szCs w:val="22"/>
        </w:rPr>
        <w:t xml:space="preserve"> de manera fundada y motivada, podrá solicitar una ampliación de plazo para el cumplimiento de la presente resolución.</w:t>
      </w:r>
    </w:p>
    <w:p w:rsidR="00830CA5" w:rsidRDefault="00830CA5" w:rsidP="00CB5C7F">
      <w:pPr>
        <w:spacing w:line="360" w:lineRule="auto"/>
        <w:jc w:val="both"/>
        <w:rPr>
          <w:rFonts w:ascii="Palatino Linotype" w:eastAsia="Calibri" w:hAnsi="Palatino Linotype" w:cs="Arial"/>
          <w:bCs/>
          <w:szCs w:val="22"/>
        </w:rPr>
      </w:pPr>
    </w:p>
    <w:p w:rsidR="00830CA5" w:rsidRPr="00830CA5" w:rsidRDefault="00830CA5" w:rsidP="00830CA5">
      <w:pPr>
        <w:shd w:val="clear" w:color="auto" w:fill="FFFFFF"/>
        <w:spacing w:line="360" w:lineRule="auto"/>
        <w:jc w:val="both"/>
        <w:rPr>
          <w:rFonts w:ascii="Palatino Linotype" w:eastAsia="Palatino Linotype" w:hAnsi="Palatino Linotype" w:cs="Palatino Linotype"/>
        </w:rPr>
      </w:pPr>
      <w:r w:rsidRPr="00F03126">
        <w:rPr>
          <w:rFonts w:ascii="Palatino Linotype" w:eastAsia="Palatino Linotype" w:hAnsi="Palatino Linotype" w:cs="Palatino Linotype"/>
          <w:b/>
        </w:rPr>
        <w:t xml:space="preserve">QUINTO. </w:t>
      </w:r>
      <w:r w:rsidRPr="00F03126">
        <w:rPr>
          <w:rFonts w:ascii="Palatino Linotype" w:eastAsia="Palatino Linotype" w:hAnsi="Palatino Linotype" w:cs="Palatino Linotype"/>
          <w:b/>
          <w:color w:val="222222"/>
        </w:rPr>
        <w:t>Notifíquese al</w:t>
      </w:r>
      <w:r w:rsidRPr="00F03126">
        <w:rPr>
          <w:rFonts w:ascii="Palatino Linotype" w:eastAsia="Palatino Linotype" w:hAnsi="Palatino Linotype" w:cs="Palatino Linotype"/>
          <w:b/>
        </w:rPr>
        <w:t xml:space="preserve"> RECURRENTE</w:t>
      </w:r>
      <w:r w:rsidRPr="00F03126">
        <w:rPr>
          <w:rFonts w:ascii="Palatino Linotype" w:eastAsia="Palatino Linotype" w:hAnsi="Palatino Linotype" w:cs="Palatino Linotype"/>
        </w:rPr>
        <w:t xml:space="preserve"> la presente resolución, vía Sistema de Acceso a la Información Mexiquense (SAIMEX).</w:t>
      </w:r>
    </w:p>
    <w:p w:rsidR="00CB5C7F" w:rsidRPr="00B31B85" w:rsidRDefault="00CB5C7F" w:rsidP="00CB5C7F">
      <w:pPr>
        <w:spacing w:line="360" w:lineRule="auto"/>
        <w:jc w:val="both"/>
        <w:rPr>
          <w:rFonts w:ascii="Palatino Linotype" w:eastAsia="Calibri" w:hAnsi="Palatino Linotype" w:cs="Arial"/>
          <w:bCs/>
          <w:szCs w:val="22"/>
        </w:rPr>
      </w:pPr>
    </w:p>
    <w:p w:rsidR="00B31B85" w:rsidRDefault="00830CA5" w:rsidP="00B31B85">
      <w:pPr>
        <w:spacing w:line="360" w:lineRule="auto"/>
        <w:jc w:val="both"/>
        <w:rPr>
          <w:rFonts w:ascii="Palatino Linotype" w:eastAsia="Calibri" w:hAnsi="Palatino Linotype" w:cs="Arial"/>
          <w:bCs/>
          <w:szCs w:val="22"/>
          <w:lang w:val="es-ES_tradnl"/>
        </w:rPr>
      </w:pPr>
      <w:r>
        <w:rPr>
          <w:rFonts w:ascii="Palatino Linotype" w:eastAsia="Calibri" w:hAnsi="Palatino Linotype" w:cs="Arial"/>
          <w:b/>
          <w:bCs/>
          <w:szCs w:val="22"/>
        </w:rPr>
        <w:t>SEXTO</w:t>
      </w:r>
      <w:r w:rsidR="00CB5C7F" w:rsidRPr="00B31B85">
        <w:rPr>
          <w:rFonts w:ascii="Palatino Linotype" w:eastAsia="Calibri" w:hAnsi="Palatino Linotype" w:cs="Arial"/>
          <w:bCs/>
          <w:szCs w:val="22"/>
        </w:rPr>
        <w:t xml:space="preserve">. </w:t>
      </w:r>
      <w:r w:rsidR="00B31B85" w:rsidRPr="00B31B85">
        <w:rPr>
          <w:rFonts w:ascii="Palatino Linotype" w:eastAsia="Calibri" w:hAnsi="Palatino Linotype" w:cs="Arial"/>
          <w:bCs/>
          <w:szCs w:val="22"/>
          <w:lang w:val="es-ES_tradnl"/>
        </w:rPr>
        <w:t xml:space="preserve">Se hace del conocimiento de </w:t>
      </w:r>
      <w:r w:rsidR="00B31B85" w:rsidRPr="00B31B85">
        <w:rPr>
          <w:rFonts w:ascii="Palatino Linotype" w:eastAsia="Calibri" w:hAnsi="Palatino Linotype" w:cs="Arial"/>
          <w:b/>
          <w:bCs/>
          <w:szCs w:val="22"/>
          <w:lang w:val="es-ES_tradnl"/>
        </w:rPr>
        <w:t>EL RECURRENTE</w:t>
      </w:r>
      <w:r w:rsidR="00B31B85" w:rsidRPr="00B31B85">
        <w:rPr>
          <w:rFonts w:ascii="Palatino Linotype" w:eastAsia="Calibri" w:hAnsi="Palatino Linotype" w:cs="Arial"/>
          <w:bCs/>
          <w:szCs w:val="22"/>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B31B85" w:rsidRPr="00B31B85" w:rsidRDefault="00B31B85" w:rsidP="00B31B85">
      <w:pPr>
        <w:spacing w:line="360" w:lineRule="auto"/>
        <w:jc w:val="both"/>
        <w:rPr>
          <w:rFonts w:ascii="Palatino Linotype" w:eastAsia="Calibri" w:hAnsi="Palatino Linotype" w:cs="Arial"/>
          <w:bCs/>
          <w:szCs w:val="22"/>
          <w:lang w:val="es-ES_tradnl"/>
        </w:rPr>
      </w:pPr>
    </w:p>
    <w:p w:rsidR="00F03126" w:rsidRDefault="006E5E43" w:rsidP="00F03126">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w:t>
      </w:r>
      <w:r w:rsidR="00F03126">
        <w:rPr>
          <w:rFonts w:ascii="Palatino Linotype" w:hAnsi="Palatino Linotype"/>
        </w:rPr>
        <w:t>DEL PLENO ALEXIS TAPIA RAMÍREZ.</w:t>
      </w:r>
    </w:p>
    <w:p w:rsidR="003058B2" w:rsidRPr="00F03126" w:rsidRDefault="00F03126" w:rsidP="00F03126">
      <w:pPr>
        <w:spacing w:after="160" w:line="259" w:lineRule="auto"/>
        <w:rPr>
          <w:rFonts w:ascii="Palatino Linotype" w:hAnsi="Palatino Linotype"/>
        </w:rPr>
      </w:pPr>
      <w:r>
        <w:rPr>
          <w:rFonts w:ascii="Palatino Linotype" w:hAnsi="Palatino Linotype"/>
        </w:rPr>
        <w:br w:type="page"/>
      </w:r>
      <w:bookmarkStart w:id="169" w:name="_GoBack"/>
      <w:bookmarkEnd w:id="169"/>
    </w:p>
    <w:sectPr w:rsidR="003058B2" w:rsidRPr="00F03126" w:rsidSect="00712BB5">
      <w:headerReference w:type="default" r:id="rId20"/>
      <w:footerReference w:type="default" r:id="rId21"/>
      <w:headerReference w:type="first" r:id="rId22"/>
      <w:footerReference w:type="first" r:id="rId23"/>
      <w:pgSz w:w="12240" w:h="15840"/>
      <w:pgMar w:top="2410"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EA" w:rsidRDefault="00D93CEA" w:rsidP="00712BB5">
      <w:r>
        <w:separator/>
      </w:r>
    </w:p>
  </w:endnote>
  <w:endnote w:type="continuationSeparator" w:id="0">
    <w:p w:rsidR="00D93CEA" w:rsidRDefault="00D93CEA" w:rsidP="0071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AE" w:rsidRDefault="000825AE" w:rsidP="00712BB5">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8012B7">
      <w:rPr>
        <w:rFonts w:ascii="Arial" w:hAnsi="Arial" w:cs="Arial"/>
        <w:b/>
        <w:bCs/>
        <w:noProof/>
        <w:sz w:val="20"/>
        <w:szCs w:val="20"/>
      </w:rPr>
      <w:t>53</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8012B7">
      <w:rPr>
        <w:rFonts w:ascii="Arial" w:hAnsi="Arial" w:cs="Arial"/>
        <w:b/>
        <w:bCs/>
        <w:noProof/>
        <w:sz w:val="20"/>
        <w:szCs w:val="20"/>
      </w:rPr>
      <w:t>55</w:t>
    </w:r>
    <w:r>
      <w:rPr>
        <w:rFonts w:ascii="Arial" w:hAnsi="Arial" w:cs="Arial"/>
        <w:b/>
        <w:bCs/>
        <w:sz w:val="20"/>
        <w:szCs w:val="20"/>
      </w:rPr>
      <w:fldChar w:fldCharType="end"/>
    </w:r>
  </w:p>
  <w:p w:rsidR="000825AE" w:rsidRDefault="000825AE" w:rsidP="00712BB5">
    <w:pPr>
      <w:pStyle w:val="Piedepgina"/>
      <w:rPr>
        <w:rFonts w:ascii="Times New Roman" w:hAnsi="Times New Roman" w:cs="Times New Roman"/>
      </w:rPr>
    </w:pPr>
  </w:p>
  <w:p w:rsidR="000825AE" w:rsidRDefault="000825AE" w:rsidP="00712BB5">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AE" w:rsidRDefault="000825AE" w:rsidP="00712BB5">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8012B7">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8012B7">
      <w:rPr>
        <w:rFonts w:ascii="Arial" w:hAnsi="Arial" w:cs="Arial"/>
        <w:b/>
        <w:bCs/>
        <w:noProof/>
        <w:sz w:val="20"/>
        <w:szCs w:val="20"/>
      </w:rPr>
      <w:t>55</w:t>
    </w:r>
    <w:r>
      <w:rPr>
        <w:rFonts w:ascii="Arial" w:hAnsi="Arial" w:cs="Arial"/>
        <w:b/>
        <w:bCs/>
        <w:sz w:val="20"/>
        <w:szCs w:val="20"/>
      </w:rPr>
      <w:fldChar w:fldCharType="end"/>
    </w:r>
  </w:p>
  <w:p w:rsidR="000825AE" w:rsidRDefault="000825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EA" w:rsidRDefault="00D93CEA" w:rsidP="00712BB5">
      <w:r>
        <w:separator/>
      </w:r>
    </w:p>
  </w:footnote>
  <w:footnote w:type="continuationSeparator" w:id="0">
    <w:p w:rsidR="00D93CEA" w:rsidRDefault="00D93CEA" w:rsidP="00712BB5">
      <w:r>
        <w:continuationSeparator/>
      </w:r>
    </w:p>
  </w:footnote>
  <w:footnote w:id="1">
    <w:p w:rsidR="000825AE" w:rsidRPr="00F75272" w:rsidRDefault="000825AE" w:rsidP="00712BB5">
      <w:pPr>
        <w:pStyle w:val="Textonotapie"/>
        <w:jc w:val="both"/>
        <w:rPr>
          <w:rFonts w:ascii="Palatino Linotype" w:hAnsi="Palatino Linotype"/>
          <w:sz w:val="16"/>
          <w:szCs w:val="16"/>
        </w:rPr>
      </w:pPr>
      <w:r w:rsidRPr="00F75272">
        <w:rPr>
          <w:rStyle w:val="Refdenotaalpie"/>
          <w:rFonts w:ascii="Palatino Linotype" w:hAnsi="Palatino Linotyp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rsidR="000825AE" w:rsidRDefault="000825AE" w:rsidP="00712BB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3">
    <w:p w:rsidR="000825AE" w:rsidRDefault="000825AE" w:rsidP="00712BB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4">
    <w:p w:rsidR="000825AE" w:rsidRDefault="000825AE" w:rsidP="00712BB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5">
    <w:p w:rsidR="000825AE" w:rsidRDefault="000825AE" w:rsidP="00712BB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95" w:type="dxa"/>
      <w:tblInd w:w="2977" w:type="dxa"/>
      <w:tblLayout w:type="fixed"/>
      <w:tblLook w:val="04A0" w:firstRow="1" w:lastRow="0" w:firstColumn="1" w:lastColumn="0" w:noHBand="0" w:noVBand="1"/>
    </w:tblPr>
    <w:tblGrid>
      <w:gridCol w:w="2552"/>
      <w:gridCol w:w="3543"/>
    </w:tblGrid>
    <w:tr w:rsidR="000825AE" w:rsidTr="00712BB5">
      <w:tc>
        <w:tcPr>
          <w:tcW w:w="2552" w:type="dxa"/>
          <w:vAlign w:val="center"/>
          <w:hideMark/>
        </w:tcPr>
        <w:p w:rsidR="000825AE" w:rsidRPr="008C5395" w:rsidRDefault="000825AE" w:rsidP="00712BB5">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3543" w:type="dxa"/>
          <w:vAlign w:val="center"/>
          <w:hideMark/>
        </w:tcPr>
        <w:p w:rsidR="000825AE" w:rsidRPr="008C5395" w:rsidRDefault="000825AE" w:rsidP="00712BB5">
          <w:pPr>
            <w:jc w:val="both"/>
            <w:rPr>
              <w:rFonts w:ascii="Palatino Linotype" w:hAnsi="Palatino Linotype"/>
              <w:b/>
              <w:sz w:val="21"/>
              <w:szCs w:val="21"/>
              <w:lang w:val="es-ES_tradnl"/>
            </w:rPr>
          </w:pPr>
          <w:r>
            <w:rPr>
              <w:rFonts w:ascii="Palatino Linotype" w:hAnsi="Palatino Linotype" w:cs="Arial"/>
              <w:b/>
              <w:bCs/>
              <w:sz w:val="21"/>
              <w:szCs w:val="21"/>
            </w:rPr>
            <w:t>05233/INFOEM/IP/RR/2024 y acumulados</w:t>
          </w:r>
        </w:p>
      </w:tc>
    </w:tr>
    <w:tr w:rsidR="000825AE" w:rsidTr="00712BB5">
      <w:trPr>
        <w:trHeight w:val="228"/>
      </w:trPr>
      <w:tc>
        <w:tcPr>
          <w:tcW w:w="2552" w:type="dxa"/>
          <w:vAlign w:val="center"/>
          <w:hideMark/>
        </w:tcPr>
        <w:p w:rsidR="000825AE" w:rsidRPr="008C5395" w:rsidRDefault="000825AE" w:rsidP="00712BB5">
          <w:pPr>
            <w:rPr>
              <w:rFonts w:ascii="Palatino Linotype" w:hAnsi="Palatino Linotype"/>
              <w:b/>
              <w:sz w:val="21"/>
              <w:szCs w:val="21"/>
              <w:lang w:val="es-ES_tradnl"/>
            </w:rPr>
          </w:pPr>
          <w:r w:rsidRPr="008C5395">
            <w:rPr>
              <w:rFonts w:ascii="Palatino Linotype" w:hAnsi="Palatino Linotype"/>
              <w:b/>
              <w:sz w:val="21"/>
              <w:szCs w:val="21"/>
              <w:lang w:val="es-ES_tradnl"/>
            </w:rPr>
            <w:t>Sujeto Obligado:</w:t>
          </w:r>
        </w:p>
      </w:tc>
      <w:tc>
        <w:tcPr>
          <w:tcW w:w="3543" w:type="dxa"/>
          <w:vAlign w:val="center"/>
          <w:hideMark/>
        </w:tcPr>
        <w:p w:rsidR="000825AE" w:rsidRPr="008C5395" w:rsidRDefault="000825AE" w:rsidP="00DC561B">
          <w:pPr>
            <w:rPr>
              <w:rFonts w:ascii="Palatino Linotype" w:hAnsi="Palatino Linotype"/>
              <w:b/>
              <w:sz w:val="21"/>
              <w:szCs w:val="21"/>
              <w:lang w:val="es-ES_tradnl"/>
            </w:rPr>
          </w:pPr>
          <w:r w:rsidRPr="003E0611">
            <w:rPr>
              <w:rFonts w:ascii="Palatino Linotype" w:hAnsi="Palatino Linotype"/>
              <w:b/>
              <w:bCs/>
              <w:color w:val="000000"/>
              <w:sz w:val="22"/>
              <w:szCs w:val="22"/>
            </w:rPr>
            <w:t xml:space="preserve">Ayuntamiento de </w:t>
          </w:r>
          <w:r>
            <w:rPr>
              <w:rFonts w:ascii="Palatino Linotype" w:hAnsi="Palatino Linotype"/>
              <w:b/>
              <w:bCs/>
              <w:color w:val="000000"/>
              <w:sz w:val="22"/>
              <w:szCs w:val="22"/>
            </w:rPr>
            <w:t>Atlacomulco</w:t>
          </w:r>
        </w:p>
      </w:tc>
    </w:tr>
    <w:tr w:rsidR="000825AE" w:rsidTr="00712BB5">
      <w:tc>
        <w:tcPr>
          <w:tcW w:w="2552" w:type="dxa"/>
          <w:vAlign w:val="center"/>
          <w:hideMark/>
        </w:tcPr>
        <w:p w:rsidR="000825AE" w:rsidRPr="008C5395" w:rsidRDefault="000825AE" w:rsidP="00712BB5">
          <w:pPr>
            <w:rPr>
              <w:rFonts w:ascii="Palatino Linotype" w:hAnsi="Palatino Linotype"/>
              <w:b/>
              <w:sz w:val="21"/>
              <w:szCs w:val="21"/>
              <w:lang w:val="es-ES_tradnl"/>
            </w:rPr>
          </w:pPr>
          <w:r w:rsidRPr="008C5395">
            <w:rPr>
              <w:rFonts w:ascii="Palatino Linotype" w:hAnsi="Palatino Linotype"/>
              <w:b/>
              <w:sz w:val="21"/>
              <w:szCs w:val="21"/>
              <w:lang w:val="es-ES_tradnl"/>
            </w:rPr>
            <w:t>Comisionada Ponente:</w:t>
          </w:r>
        </w:p>
      </w:tc>
      <w:tc>
        <w:tcPr>
          <w:tcW w:w="3543" w:type="dxa"/>
          <w:vAlign w:val="center"/>
          <w:hideMark/>
        </w:tcPr>
        <w:p w:rsidR="000825AE" w:rsidRPr="008C5395" w:rsidRDefault="000825AE" w:rsidP="00712BB5">
          <w:pPr>
            <w:ind w:right="-533"/>
            <w:jc w:val="both"/>
            <w:rPr>
              <w:rFonts w:ascii="Palatino Linotype" w:hAnsi="Palatino Linotype"/>
              <w:b/>
              <w:sz w:val="21"/>
              <w:szCs w:val="21"/>
              <w:lang w:val="es-ES_tradnl"/>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rsidR="000825AE" w:rsidRDefault="000825AE" w:rsidP="00712BB5">
    <w:pPr>
      <w:pStyle w:val="Encabezado"/>
      <w:tabs>
        <w:tab w:val="clear" w:pos="4252"/>
        <w:tab w:val="clear" w:pos="8504"/>
        <w:tab w:val="left" w:pos="232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AE" w:rsidRDefault="000825AE" w:rsidP="00712BB5">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55D8BAE1" wp14:editId="76861F74">
          <wp:simplePos x="0" y="0"/>
          <wp:positionH relativeFrom="page">
            <wp:posOffset>1270</wp:posOffset>
          </wp:positionH>
          <wp:positionV relativeFrom="paragraph">
            <wp:posOffset>-411480</wp:posOffset>
          </wp:positionV>
          <wp:extent cx="7813085" cy="10170000"/>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tbl>
    <w:tblPr>
      <w:tblW w:w="6095" w:type="dxa"/>
      <w:tblInd w:w="3119" w:type="dxa"/>
      <w:tblLayout w:type="fixed"/>
      <w:tblLook w:val="04A0" w:firstRow="1" w:lastRow="0" w:firstColumn="1" w:lastColumn="0" w:noHBand="0" w:noVBand="1"/>
    </w:tblPr>
    <w:tblGrid>
      <w:gridCol w:w="2551"/>
      <w:gridCol w:w="3544"/>
    </w:tblGrid>
    <w:tr w:rsidR="000825AE" w:rsidTr="00712BB5">
      <w:tc>
        <w:tcPr>
          <w:tcW w:w="2551" w:type="dxa"/>
          <w:vAlign w:val="center"/>
          <w:hideMark/>
        </w:tcPr>
        <w:p w:rsidR="000825AE" w:rsidRPr="008C5395" w:rsidRDefault="000825AE" w:rsidP="00712BB5">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3544" w:type="dxa"/>
          <w:vAlign w:val="center"/>
          <w:hideMark/>
        </w:tcPr>
        <w:p w:rsidR="000825AE" w:rsidRPr="001C1420" w:rsidRDefault="000825AE" w:rsidP="00712BB5">
          <w:pPr>
            <w:jc w:val="both"/>
            <w:rPr>
              <w:rFonts w:ascii="Palatino Linotype" w:hAnsi="Palatino Linotype"/>
              <w:b/>
              <w:sz w:val="21"/>
              <w:szCs w:val="21"/>
              <w:lang w:val="es-ES_tradnl"/>
            </w:rPr>
          </w:pPr>
          <w:r>
            <w:rPr>
              <w:rFonts w:ascii="Palatino Linotype" w:hAnsi="Palatino Linotype" w:cs="Arial"/>
              <w:b/>
              <w:bCs/>
              <w:sz w:val="21"/>
              <w:szCs w:val="21"/>
            </w:rPr>
            <w:t>05233</w:t>
          </w:r>
          <w:r w:rsidR="006E5E43">
            <w:rPr>
              <w:rFonts w:ascii="Palatino Linotype" w:hAnsi="Palatino Linotype" w:cs="Arial"/>
              <w:b/>
              <w:bCs/>
              <w:sz w:val="21"/>
              <w:szCs w:val="21"/>
            </w:rPr>
            <w:t>/INFOEM/IP/RR/2024</w:t>
          </w:r>
          <w:r>
            <w:rPr>
              <w:rFonts w:ascii="Palatino Linotype" w:hAnsi="Palatino Linotype" w:cs="Arial"/>
              <w:b/>
              <w:bCs/>
              <w:sz w:val="21"/>
              <w:szCs w:val="21"/>
            </w:rPr>
            <w:t xml:space="preserve"> y acumulados</w:t>
          </w:r>
        </w:p>
      </w:tc>
    </w:tr>
    <w:tr w:rsidR="000825AE" w:rsidTr="00712BB5">
      <w:tc>
        <w:tcPr>
          <w:tcW w:w="2551" w:type="dxa"/>
          <w:vAlign w:val="center"/>
          <w:hideMark/>
        </w:tcPr>
        <w:p w:rsidR="000825AE" w:rsidRPr="008C5395" w:rsidRDefault="000825AE" w:rsidP="00712BB5">
          <w:pPr>
            <w:ind w:left="35" w:hanging="35"/>
            <w:rPr>
              <w:rFonts w:ascii="Palatino Linotype" w:hAnsi="Palatino Linotype"/>
              <w:b/>
              <w:sz w:val="21"/>
              <w:szCs w:val="21"/>
              <w:lang w:val="es-ES_tradnl"/>
            </w:rPr>
          </w:pPr>
          <w:r w:rsidRPr="008C5395">
            <w:rPr>
              <w:rFonts w:ascii="Palatino Linotype" w:hAnsi="Palatino Linotype"/>
              <w:b/>
              <w:sz w:val="21"/>
              <w:szCs w:val="21"/>
              <w:lang w:val="es-ES_tradnl"/>
            </w:rPr>
            <w:t>Recurrente:</w:t>
          </w:r>
        </w:p>
      </w:tc>
      <w:tc>
        <w:tcPr>
          <w:tcW w:w="3544" w:type="dxa"/>
          <w:vAlign w:val="center"/>
          <w:hideMark/>
        </w:tcPr>
        <w:p w:rsidR="000825AE" w:rsidRPr="001C1420" w:rsidRDefault="000825AE" w:rsidP="00712BB5">
          <w:pPr>
            <w:rPr>
              <w:rFonts w:ascii="Palatino Linotype" w:hAnsi="Palatino Linotype"/>
              <w:b/>
              <w:sz w:val="21"/>
              <w:szCs w:val="21"/>
            </w:rPr>
          </w:pPr>
        </w:p>
      </w:tc>
    </w:tr>
    <w:tr w:rsidR="000825AE" w:rsidTr="00712BB5">
      <w:trPr>
        <w:trHeight w:val="228"/>
      </w:trPr>
      <w:tc>
        <w:tcPr>
          <w:tcW w:w="2551" w:type="dxa"/>
          <w:vAlign w:val="center"/>
          <w:hideMark/>
        </w:tcPr>
        <w:p w:rsidR="000825AE" w:rsidRPr="008C5395" w:rsidRDefault="000825AE" w:rsidP="00712BB5">
          <w:pPr>
            <w:rPr>
              <w:rFonts w:ascii="Palatino Linotype" w:hAnsi="Palatino Linotype"/>
              <w:b/>
              <w:sz w:val="21"/>
              <w:szCs w:val="21"/>
              <w:lang w:val="es-ES_tradnl"/>
            </w:rPr>
          </w:pPr>
          <w:r>
            <w:rPr>
              <w:rFonts w:ascii="Palatino Linotype" w:hAnsi="Palatino Linotype"/>
              <w:b/>
              <w:sz w:val="21"/>
              <w:szCs w:val="21"/>
              <w:lang w:val="es-ES_tradnl"/>
            </w:rPr>
            <w:t>Sujeto O</w:t>
          </w:r>
          <w:r w:rsidRPr="008C5395">
            <w:rPr>
              <w:rFonts w:ascii="Palatino Linotype" w:hAnsi="Palatino Linotype"/>
              <w:b/>
              <w:sz w:val="21"/>
              <w:szCs w:val="21"/>
              <w:lang w:val="es-ES_tradnl"/>
            </w:rPr>
            <w:t>bligado:</w:t>
          </w:r>
        </w:p>
      </w:tc>
      <w:tc>
        <w:tcPr>
          <w:tcW w:w="3544" w:type="dxa"/>
          <w:vAlign w:val="center"/>
          <w:hideMark/>
        </w:tcPr>
        <w:p w:rsidR="000825AE" w:rsidRPr="001C1420" w:rsidRDefault="000825AE" w:rsidP="006E5E43">
          <w:pPr>
            <w:ind w:left="35" w:hanging="35"/>
            <w:jc w:val="both"/>
            <w:rPr>
              <w:rFonts w:ascii="Palatino Linotype" w:hAnsi="Palatino Linotype"/>
              <w:sz w:val="21"/>
              <w:szCs w:val="21"/>
            </w:rPr>
          </w:pPr>
          <w:r w:rsidRPr="003E0611">
            <w:rPr>
              <w:rFonts w:ascii="Palatino Linotype" w:hAnsi="Palatino Linotype"/>
              <w:b/>
              <w:bCs/>
              <w:color w:val="000000"/>
              <w:sz w:val="22"/>
              <w:szCs w:val="22"/>
            </w:rPr>
            <w:t xml:space="preserve">Ayuntamiento de </w:t>
          </w:r>
          <w:r w:rsidR="006E5E43">
            <w:rPr>
              <w:rFonts w:ascii="Palatino Linotype" w:hAnsi="Palatino Linotype"/>
              <w:b/>
              <w:bCs/>
              <w:color w:val="000000"/>
              <w:sz w:val="22"/>
              <w:szCs w:val="22"/>
            </w:rPr>
            <w:t>Atlacomulco</w:t>
          </w:r>
        </w:p>
      </w:tc>
    </w:tr>
    <w:tr w:rsidR="000825AE" w:rsidTr="00712BB5">
      <w:tc>
        <w:tcPr>
          <w:tcW w:w="2551" w:type="dxa"/>
          <w:vAlign w:val="center"/>
          <w:hideMark/>
        </w:tcPr>
        <w:p w:rsidR="000825AE" w:rsidRPr="008C5395" w:rsidRDefault="000825AE" w:rsidP="00712BB5">
          <w:pPr>
            <w:rPr>
              <w:rFonts w:ascii="Palatino Linotype" w:hAnsi="Palatino Linotype"/>
              <w:b/>
              <w:sz w:val="21"/>
              <w:szCs w:val="21"/>
              <w:lang w:val="es-ES_tradnl"/>
            </w:rPr>
          </w:pPr>
          <w:r>
            <w:rPr>
              <w:rFonts w:ascii="Palatino Linotype" w:hAnsi="Palatino Linotype"/>
              <w:b/>
              <w:sz w:val="21"/>
              <w:szCs w:val="21"/>
              <w:lang w:val="es-ES_tradnl"/>
            </w:rPr>
            <w:t>Comisionada P</w:t>
          </w:r>
          <w:r w:rsidRPr="008C5395">
            <w:rPr>
              <w:rFonts w:ascii="Palatino Linotype" w:hAnsi="Palatino Linotype"/>
              <w:b/>
              <w:sz w:val="21"/>
              <w:szCs w:val="21"/>
              <w:lang w:val="es-ES_tradnl"/>
            </w:rPr>
            <w:t>onente:</w:t>
          </w:r>
        </w:p>
      </w:tc>
      <w:tc>
        <w:tcPr>
          <w:tcW w:w="3544" w:type="dxa"/>
          <w:vAlign w:val="center"/>
          <w:hideMark/>
        </w:tcPr>
        <w:p w:rsidR="000825AE" w:rsidRPr="001C1420" w:rsidRDefault="000825AE" w:rsidP="00712BB5">
          <w:pPr>
            <w:ind w:right="-533"/>
            <w:jc w:val="both"/>
            <w:rPr>
              <w:rFonts w:ascii="Palatino Linotype" w:hAnsi="Palatino Linotype"/>
              <w:b/>
              <w:sz w:val="21"/>
              <w:szCs w:val="21"/>
              <w:lang w:val="es-ES_tradnl"/>
            </w:rPr>
          </w:pPr>
          <w:r w:rsidRPr="001C1420">
            <w:rPr>
              <w:rFonts w:ascii="Palatino Linotype" w:hAnsi="Palatino Linotype"/>
              <w:b/>
              <w:sz w:val="21"/>
              <w:szCs w:val="21"/>
              <w:lang w:val="es-ES_tradnl"/>
            </w:rPr>
            <w:t>María del Rosario Mejía Ayala</w:t>
          </w:r>
        </w:p>
      </w:tc>
    </w:tr>
  </w:tbl>
  <w:p w:rsidR="000825AE" w:rsidRDefault="000825AE" w:rsidP="00712B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5F818F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C90DDA"/>
    <w:multiLevelType w:val="hybridMultilevel"/>
    <w:tmpl w:val="CE9E2D74"/>
    <w:lvl w:ilvl="0" w:tplc="64BC195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nsid w:val="0E7C54B1"/>
    <w:multiLevelType w:val="multilevel"/>
    <w:tmpl w:val="9AFEAA88"/>
    <w:lvl w:ilvl="0">
      <w:start w:val="49"/>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F20738"/>
    <w:multiLevelType w:val="hybridMultilevel"/>
    <w:tmpl w:val="9536C3A0"/>
    <w:lvl w:ilvl="0" w:tplc="A54AAF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D2B97"/>
    <w:multiLevelType w:val="hybridMultilevel"/>
    <w:tmpl w:val="E530F07A"/>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6">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EC640EC"/>
    <w:multiLevelType w:val="hybridMultilevel"/>
    <w:tmpl w:val="CF34B006"/>
    <w:lvl w:ilvl="0" w:tplc="973A2A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527B59"/>
    <w:multiLevelType w:val="multilevel"/>
    <w:tmpl w:val="C5A83602"/>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8173A5"/>
    <w:multiLevelType w:val="hybridMultilevel"/>
    <w:tmpl w:val="E1F61FEE"/>
    <w:lvl w:ilvl="0" w:tplc="87449EE2">
      <w:start w:val="1"/>
      <w:numFmt w:val="upperRoman"/>
      <w:lvlText w:val="%1."/>
      <w:lvlJc w:val="left"/>
      <w:pPr>
        <w:ind w:left="1080" w:hanging="720"/>
      </w:pPr>
      <w:rPr>
        <w:rFonts w:ascii="Palatino Linotype" w:eastAsia="Calibri"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1153A95"/>
    <w:multiLevelType w:val="multilevel"/>
    <w:tmpl w:val="541662C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375A4178"/>
    <w:multiLevelType w:val="multilevel"/>
    <w:tmpl w:val="C8EC8B5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936B6C"/>
    <w:multiLevelType w:val="hybridMultilevel"/>
    <w:tmpl w:val="E67EEC76"/>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4AF446BE"/>
    <w:multiLevelType w:val="multilevel"/>
    <w:tmpl w:val="3BDA72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62F1B34"/>
    <w:multiLevelType w:val="hybridMultilevel"/>
    <w:tmpl w:val="7BB8D50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0">
    <w:nsid w:val="67C3605E"/>
    <w:multiLevelType w:val="multilevel"/>
    <w:tmpl w:val="7B968BD4"/>
    <w:lvl w:ilvl="0">
      <w:start w:val="1"/>
      <w:numFmt w:val="lowerLetter"/>
      <w:lvlText w:val="%1)"/>
      <w:lvlJc w:val="left"/>
      <w:pPr>
        <w:ind w:left="1352" w:hanging="359"/>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1">
    <w:nsid w:val="69A650AA"/>
    <w:multiLevelType w:val="hybridMultilevel"/>
    <w:tmpl w:val="724E92F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22">
    <w:nsid w:val="6E616099"/>
    <w:multiLevelType w:val="hybridMultilevel"/>
    <w:tmpl w:val="E12AB2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3">
    <w:nsid w:val="6E92298C"/>
    <w:multiLevelType w:val="multilevel"/>
    <w:tmpl w:val="4BD0EB5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053637F"/>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nsid w:val="774E4FDD"/>
    <w:multiLevelType w:val="hybridMultilevel"/>
    <w:tmpl w:val="E1306B42"/>
    <w:lvl w:ilvl="0" w:tplc="3436829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6">
    <w:nsid w:val="7BAF3DB4"/>
    <w:multiLevelType w:val="hybridMultilevel"/>
    <w:tmpl w:val="309678CC"/>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7">
    <w:nsid w:val="7DAC0697"/>
    <w:multiLevelType w:val="hybridMultilevel"/>
    <w:tmpl w:val="7874547E"/>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8">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2"/>
  </w:num>
  <w:num w:numId="2">
    <w:abstractNumId w:val="18"/>
  </w:num>
  <w:num w:numId="3">
    <w:abstractNumId w:val="19"/>
  </w:num>
  <w:num w:numId="4">
    <w:abstractNumId w:val="26"/>
  </w:num>
  <w:num w:numId="5">
    <w:abstractNumId w:val="4"/>
  </w:num>
  <w:num w:numId="6">
    <w:abstractNumId w:val="10"/>
  </w:num>
  <w:num w:numId="7">
    <w:abstractNumId w:val="8"/>
  </w:num>
  <w:num w:numId="8">
    <w:abstractNumId w:val="14"/>
  </w:num>
  <w:num w:numId="9">
    <w:abstractNumId w:val="27"/>
  </w:num>
  <w:num w:numId="10">
    <w:abstractNumId w:val="12"/>
  </w:num>
  <w:num w:numId="11">
    <w:abstractNumId w:val="29"/>
  </w:num>
  <w:num w:numId="12">
    <w:abstractNumId w:val="17"/>
  </w:num>
  <w:num w:numId="13">
    <w:abstractNumId w:val="20"/>
  </w:num>
  <w:num w:numId="14">
    <w:abstractNumId w:val="11"/>
  </w:num>
  <w:num w:numId="15">
    <w:abstractNumId w:val="23"/>
  </w:num>
  <w:num w:numId="16">
    <w:abstractNumId w:val="2"/>
  </w:num>
  <w:num w:numId="17">
    <w:abstractNumId w:val="3"/>
  </w:num>
  <w:num w:numId="18">
    <w:abstractNumId w:val="15"/>
  </w:num>
  <w:num w:numId="19">
    <w:abstractNumId w:val="1"/>
  </w:num>
  <w:num w:numId="20">
    <w:abstractNumId w:val="6"/>
  </w:num>
  <w:num w:numId="21">
    <w:abstractNumId w:val="28"/>
  </w:num>
  <w:num w:numId="22">
    <w:abstractNumId w:val="7"/>
  </w:num>
  <w:num w:numId="23">
    <w:abstractNumId w:val="16"/>
  </w:num>
  <w:num w:numId="24">
    <w:abstractNumId w:val="13"/>
  </w:num>
  <w:num w:numId="25">
    <w:abstractNumId w:val="21"/>
  </w:num>
  <w:num w:numId="26">
    <w:abstractNumId w:val="25"/>
  </w:num>
  <w:num w:numId="27">
    <w:abstractNumId w:val="9"/>
  </w:num>
  <w:num w:numId="28">
    <w:abstractNumId w:val="5"/>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B5"/>
    <w:rsid w:val="000825AE"/>
    <w:rsid w:val="000D29A5"/>
    <w:rsid w:val="00153400"/>
    <w:rsid w:val="001921AD"/>
    <w:rsid w:val="001A7A52"/>
    <w:rsid w:val="002252C2"/>
    <w:rsid w:val="002253CF"/>
    <w:rsid w:val="00244A1A"/>
    <w:rsid w:val="0025708D"/>
    <w:rsid w:val="003058B2"/>
    <w:rsid w:val="00455904"/>
    <w:rsid w:val="004939EB"/>
    <w:rsid w:val="005575C3"/>
    <w:rsid w:val="00592820"/>
    <w:rsid w:val="005D59F6"/>
    <w:rsid w:val="006978EB"/>
    <w:rsid w:val="006E5E43"/>
    <w:rsid w:val="006E6B83"/>
    <w:rsid w:val="00712BB5"/>
    <w:rsid w:val="0074261A"/>
    <w:rsid w:val="007A0560"/>
    <w:rsid w:val="007B24E6"/>
    <w:rsid w:val="007B7615"/>
    <w:rsid w:val="007E3C91"/>
    <w:rsid w:val="008012B7"/>
    <w:rsid w:val="00830CA5"/>
    <w:rsid w:val="0085290E"/>
    <w:rsid w:val="008621DA"/>
    <w:rsid w:val="00886233"/>
    <w:rsid w:val="0090240C"/>
    <w:rsid w:val="009E02B2"/>
    <w:rsid w:val="00A01624"/>
    <w:rsid w:val="00B149F3"/>
    <w:rsid w:val="00B31B85"/>
    <w:rsid w:val="00BA4E43"/>
    <w:rsid w:val="00BC1A72"/>
    <w:rsid w:val="00BD0464"/>
    <w:rsid w:val="00C95830"/>
    <w:rsid w:val="00CB5C7F"/>
    <w:rsid w:val="00CE20CC"/>
    <w:rsid w:val="00CE315A"/>
    <w:rsid w:val="00D93CEA"/>
    <w:rsid w:val="00DC561B"/>
    <w:rsid w:val="00DD189A"/>
    <w:rsid w:val="00E65D1C"/>
    <w:rsid w:val="00EF1B95"/>
    <w:rsid w:val="00EF5275"/>
    <w:rsid w:val="00F03126"/>
    <w:rsid w:val="00F4619D"/>
    <w:rsid w:val="00F63CAB"/>
    <w:rsid w:val="00FD6E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4D55A-6225-4926-9AD5-46A8C7BD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B5"/>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712BB5"/>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712BB5"/>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2BB5"/>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712BB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712BB5"/>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712BB5"/>
    <w:rPr>
      <w:rFonts w:eastAsiaTheme="minorEastAsia"/>
      <w:sz w:val="24"/>
      <w:szCs w:val="24"/>
      <w:lang w:val="es-ES_tradnl" w:eastAsia="es-ES"/>
    </w:rPr>
  </w:style>
  <w:style w:type="paragraph" w:styleId="Piedepgina">
    <w:name w:val="footer"/>
    <w:basedOn w:val="Normal"/>
    <w:link w:val="PiedepginaCar"/>
    <w:uiPriority w:val="99"/>
    <w:unhideWhenUsed/>
    <w:rsid w:val="00712BB5"/>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712BB5"/>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12BB5"/>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12BB5"/>
    <w:pPr>
      <w:ind w:left="708"/>
    </w:pPr>
    <w:rPr>
      <w:sz w:val="22"/>
      <w:szCs w:val="22"/>
      <w:lang w:val="es-ES" w:eastAsia="en-US"/>
    </w:rPr>
  </w:style>
  <w:style w:type="table" w:styleId="Tablaconcuadrcula">
    <w:name w:val="Table Grid"/>
    <w:basedOn w:val="Tablanormal"/>
    <w:uiPriority w:val="59"/>
    <w:rsid w:val="00712BB5"/>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12BB5"/>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12BB5"/>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12BB5"/>
    <w:rPr>
      <w:vertAlign w:val="superscript"/>
    </w:rPr>
  </w:style>
  <w:style w:type="paragraph" w:styleId="Continuarlista">
    <w:name w:val="List Continue"/>
    <w:basedOn w:val="Normal"/>
    <w:uiPriority w:val="99"/>
    <w:unhideWhenUsed/>
    <w:rsid w:val="00712BB5"/>
    <w:pPr>
      <w:spacing w:after="120"/>
      <w:ind w:left="283"/>
      <w:contextualSpacing/>
    </w:pPr>
  </w:style>
  <w:style w:type="paragraph" w:styleId="Sangradetextonormal">
    <w:name w:val="Body Text Indent"/>
    <w:basedOn w:val="Normal"/>
    <w:link w:val="SangradetextonormalCar"/>
    <w:uiPriority w:val="99"/>
    <w:unhideWhenUsed/>
    <w:rsid w:val="00712BB5"/>
    <w:pPr>
      <w:spacing w:after="120"/>
      <w:ind w:left="283"/>
    </w:pPr>
  </w:style>
  <w:style w:type="character" w:customStyle="1" w:styleId="SangradetextonormalCar">
    <w:name w:val="Sangría de texto normal Car"/>
    <w:basedOn w:val="Fuentedeprrafopredeter"/>
    <w:link w:val="Sangradetextonormal"/>
    <w:uiPriority w:val="99"/>
    <w:rsid w:val="00712BB5"/>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712BB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12BB5"/>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12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05912.page" TargetMode="External"/><Relationship Id="rId13" Type="http://schemas.openxmlformats.org/officeDocument/2006/relationships/hyperlink" Target="https://saimex.org.mx/saimex/solicitud/downloadAttach/2205912.page" TargetMode="External"/><Relationship Id="rId18" Type="http://schemas.openxmlformats.org/officeDocument/2006/relationships/hyperlink" Target="https://portalanterior.ine.mx/archivos2/tutoriales/sistemas/ApoyoInstitucional/SIF/docs/candidatos/folioFiscalFactura.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cortar-link/4JRxL" TargetMode="External"/><Relationship Id="rId12" Type="http://schemas.openxmlformats.org/officeDocument/2006/relationships/hyperlink" Target="https://acortar-link/4JRxL"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f.gob.mx/nota_detalle.php?codigo=5492254&amp;fecha=28/07/201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saimex.org.mx/saimex/solicitud/downloadAttach/2205912.page"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acortar-link/4JRxL" TargetMode="External"/><Relationship Id="rId14" Type="http://schemas.openxmlformats.org/officeDocument/2006/relationships/image" Target="media/image2.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12209</Words>
  <Characters>67152</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3</cp:revision>
  <cp:lastPrinted>2024-10-21T20:19:00Z</cp:lastPrinted>
  <dcterms:created xsi:type="dcterms:W3CDTF">2024-10-21T20:19:00Z</dcterms:created>
  <dcterms:modified xsi:type="dcterms:W3CDTF">2024-10-21T20:19:00Z</dcterms:modified>
</cp:coreProperties>
</file>