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93F384" w14:textId="77777777" w:rsidR="00F87070" w:rsidRDefault="00DB3BF7">
      <w:pPr>
        <w:spacing w:line="360" w:lineRule="auto"/>
        <w:ind w:right="-734"/>
        <w:jc w:val="both"/>
        <w:rPr>
          <w:rFonts w:ascii="Palatino Linotype" w:eastAsia="Palatino Linotype" w:hAnsi="Palatino Linotype" w:cs="Palatino Linotype"/>
        </w:rPr>
      </w:pPr>
      <w:r>
        <w:rPr>
          <w:rFonts w:ascii="Palatino Linotype" w:eastAsia="Palatino Linotype" w:hAnsi="Palatino Linotype" w:cs="Palatino Linotype"/>
        </w:rPr>
        <w:t>Resolución del Pleno del Instituto de Transparencia, Acceso a la Información Pública y Protección de Datos Personales del Estado de México y Municipios, con domicilio en Metepec, Estado de México; de fecha tres (03) de octubre de dos mil veinticuatro.</w:t>
      </w:r>
    </w:p>
    <w:p w14:paraId="54F1FF7F" w14:textId="77777777" w:rsidR="00F87070" w:rsidRDefault="00F87070">
      <w:pPr>
        <w:spacing w:line="360" w:lineRule="auto"/>
        <w:ind w:right="-734"/>
        <w:jc w:val="both"/>
        <w:rPr>
          <w:rFonts w:ascii="Palatino Linotype" w:eastAsia="Palatino Linotype" w:hAnsi="Palatino Linotype" w:cs="Palatino Linotype"/>
        </w:rPr>
      </w:pPr>
    </w:p>
    <w:p w14:paraId="62E37E3B" w14:textId="4998B1B2" w:rsidR="00F87070" w:rsidRDefault="00DB3BF7">
      <w:pPr>
        <w:spacing w:line="360" w:lineRule="auto"/>
        <w:ind w:right="-734"/>
        <w:jc w:val="both"/>
        <w:rPr>
          <w:rFonts w:ascii="Palatino Linotype" w:eastAsia="Palatino Linotype" w:hAnsi="Palatino Linotype" w:cs="Palatino Linotype"/>
        </w:rPr>
      </w:pPr>
      <w:r>
        <w:rPr>
          <w:rFonts w:ascii="Palatino Linotype" w:eastAsia="Palatino Linotype" w:hAnsi="Palatino Linotype" w:cs="Palatino Linotype"/>
          <w:b/>
        </w:rPr>
        <w:t>VISTOS</w:t>
      </w:r>
      <w:r>
        <w:rPr>
          <w:rFonts w:ascii="Palatino Linotype" w:eastAsia="Palatino Linotype" w:hAnsi="Palatino Linotype" w:cs="Palatino Linotype"/>
        </w:rPr>
        <w:t xml:space="preserve"> los expedientes electrónicos formados con motivo de los recursos de revisión </w:t>
      </w:r>
      <w:r>
        <w:rPr>
          <w:rFonts w:ascii="Palatino Linotype" w:eastAsia="Palatino Linotype" w:hAnsi="Palatino Linotype" w:cs="Palatino Linotype"/>
          <w:b/>
        </w:rPr>
        <w:t xml:space="preserve">00148/INFOEM/IP/RR/2024 y 00149/INFOEM/IP/RR/2024, </w:t>
      </w:r>
      <w:r>
        <w:rPr>
          <w:rFonts w:ascii="Palatino Linotype" w:eastAsia="Palatino Linotype" w:hAnsi="Palatino Linotype" w:cs="Palatino Linotype"/>
        </w:rPr>
        <w:t xml:space="preserve">promovidos por </w:t>
      </w:r>
      <w:r w:rsidR="002F283B">
        <w:rPr>
          <w:rFonts w:ascii="Palatino Linotype" w:eastAsia="Palatino Linotype" w:hAnsi="Palatino Linotype" w:cs="Palatino Linotype"/>
          <w:b/>
        </w:rPr>
        <w:t>XXX XXX</w:t>
      </w:r>
      <w:r>
        <w:rPr>
          <w:rFonts w:ascii="Palatino Linotype" w:eastAsia="Palatino Linotype" w:hAnsi="Palatino Linotype" w:cs="Palatino Linotype"/>
        </w:rPr>
        <w:t>, a través del</w:t>
      </w:r>
      <w:r>
        <w:rPr>
          <w:rFonts w:ascii="Palatino Linotype" w:eastAsia="Palatino Linotype" w:hAnsi="Palatino Linotype" w:cs="Palatino Linotype"/>
          <w:b/>
        </w:rPr>
        <w:t xml:space="preserve"> Sistema de Acceso a la Información Mexiquense (SAIMEX),</w:t>
      </w:r>
      <w:r>
        <w:rPr>
          <w:rFonts w:ascii="Palatino Linotype" w:eastAsia="Palatino Linotype" w:hAnsi="Palatino Linotype" w:cs="Palatino Linotype"/>
        </w:rPr>
        <w:t xml:space="preserve"> a quien en lo sucesivo se identificará como </w:t>
      </w:r>
      <w:r>
        <w:rPr>
          <w:rFonts w:ascii="Palatino Linotype" w:eastAsia="Palatino Linotype" w:hAnsi="Palatino Linotype" w:cs="Palatino Linotype"/>
          <w:b/>
        </w:rPr>
        <w:t>EL RECURRENTE</w:t>
      </w:r>
      <w:r>
        <w:rPr>
          <w:rFonts w:ascii="Palatino Linotype" w:eastAsia="Palatino Linotype" w:hAnsi="Palatino Linotype" w:cs="Palatino Linotype"/>
        </w:rPr>
        <w:t xml:space="preserve">, en contra de la respuesta del </w:t>
      </w:r>
      <w:r>
        <w:rPr>
          <w:rFonts w:ascii="Palatino Linotype" w:eastAsia="Palatino Linotype" w:hAnsi="Palatino Linotype" w:cs="Palatino Linotype"/>
          <w:b/>
        </w:rPr>
        <w:t xml:space="preserve">Ayuntamiento de Tultitlán, </w:t>
      </w:r>
      <w:r>
        <w:rPr>
          <w:rFonts w:ascii="Palatino Linotype" w:eastAsia="Palatino Linotype" w:hAnsi="Palatino Linotype" w:cs="Palatino Linotype"/>
        </w:rPr>
        <w:t>en adelante el</w:t>
      </w:r>
      <w:r>
        <w:rPr>
          <w:rFonts w:ascii="Palatino Linotype" w:eastAsia="Palatino Linotype" w:hAnsi="Palatino Linotype" w:cs="Palatino Linotype"/>
          <w:b/>
        </w:rPr>
        <w:t xml:space="preserve"> SUJETO OBLIGADO</w:t>
      </w:r>
      <w:r>
        <w:rPr>
          <w:rFonts w:ascii="Palatino Linotype" w:eastAsia="Palatino Linotype" w:hAnsi="Palatino Linotype" w:cs="Palatino Linotype"/>
        </w:rPr>
        <w:t>, por lo que se procede a dictar la presente resolución, con base en los siguientes:</w:t>
      </w:r>
    </w:p>
    <w:p w14:paraId="4C6E8822" w14:textId="77777777" w:rsidR="00F87070" w:rsidRDefault="00F87070">
      <w:pPr>
        <w:spacing w:line="360" w:lineRule="auto"/>
        <w:ind w:right="-734"/>
        <w:jc w:val="both"/>
        <w:rPr>
          <w:rFonts w:ascii="Palatino Linotype" w:eastAsia="Palatino Linotype" w:hAnsi="Palatino Linotype" w:cs="Palatino Linotype"/>
        </w:rPr>
      </w:pPr>
    </w:p>
    <w:p w14:paraId="47694D01" w14:textId="77777777" w:rsidR="00F87070" w:rsidRDefault="00DB3BF7">
      <w:pPr>
        <w:keepNext/>
        <w:keepLines/>
        <w:spacing w:line="360" w:lineRule="auto"/>
        <w:ind w:right="-734"/>
        <w:jc w:val="center"/>
        <w:rPr>
          <w:rFonts w:ascii="Palatino Linotype" w:eastAsia="Palatino Linotype" w:hAnsi="Palatino Linotype" w:cs="Palatino Linotype"/>
          <w:b/>
        </w:rPr>
      </w:pPr>
      <w:bookmarkStart w:id="0" w:name="_heading=h.gjdgxs" w:colFirst="0" w:colLast="0"/>
      <w:bookmarkEnd w:id="0"/>
      <w:r>
        <w:rPr>
          <w:rFonts w:ascii="Palatino Linotype" w:eastAsia="Palatino Linotype" w:hAnsi="Palatino Linotype" w:cs="Palatino Linotype"/>
          <w:b/>
        </w:rPr>
        <w:t>A N T E C E D E N T E S</w:t>
      </w:r>
    </w:p>
    <w:p w14:paraId="2DBBF23C" w14:textId="77777777" w:rsidR="00F87070" w:rsidRDefault="00F87070">
      <w:pPr>
        <w:spacing w:line="360" w:lineRule="auto"/>
        <w:ind w:right="-734"/>
        <w:rPr>
          <w:rFonts w:ascii="Palatino Linotype" w:eastAsia="Palatino Linotype" w:hAnsi="Palatino Linotype" w:cs="Palatino Linotype"/>
        </w:rPr>
      </w:pPr>
    </w:p>
    <w:p w14:paraId="1E48BD98" w14:textId="77777777" w:rsidR="00F87070" w:rsidRDefault="00DB3BF7">
      <w:pPr>
        <w:numPr>
          <w:ilvl w:val="0"/>
          <w:numId w:val="6"/>
        </w:numPr>
        <w:spacing w:line="360" w:lineRule="auto"/>
        <w:ind w:left="0" w:right="-734" w:firstLine="0"/>
        <w:jc w:val="both"/>
      </w:pPr>
      <w:r>
        <w:rPr>
          <w:rFonts w:ascii="Palatino Linotype" w:eastAsia="Palatino Linotype" w:hAnsi="Palatino Linotype" w:cs="Palatino Linotype"/>
        </w:rPr>
        <w:t xml:space="preserve">El once (11) de enero de dos mil veinticuatro, </w:t>
      </w:r>
      <w:r>
        <w:rPr>
          <w:rFonts w:ascii="Palatino Linotype" w:eastAsia="Palatino Linotype" w:hAnsi="Palatino Linotype" w:cs="Palatino Linotype"/>
          <w:b/>
        </w:rPr>
        <w:t>EL RECURRENTE,</w:t>
      </w:r>
      <w:r>
        <w:rPr>
          <w:rFonts w:ascii="Palatino Linotype" w:eastAsia="Palatino Linotype" w:hAnsi="Palatino Linotype" w:cs="Palatino Linotype"/>
        </w:rPr>
        <w:t xml:space="preserve"> ante 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vía Sistema de Acceso a la Información Mexiquense (</w:t>
      </w:r>
      <w:r>
        <w:rPr>
          <w:rFonts w:ascii="Palatino Linotype" w:eastAsia="Palatino Linotype" w:hAnsi="Palatino Linotype" w:cs="Palatino Linotype"/>
          <w:b/>
        </w:rPr>
        <w:t>SAIMEX)</w:t>
      </w:r>
      <w:r>
        <w:rPr>
          <w:rFonts w:ascii="Palatino Linotype" w:eastAsia="Palatino Linotype" w:hAnsi="Palatino Linotype" w:cs="Palatino Linotype"/>
        </w:rPr>
        <w:t xml:space="preserve">, presentó las solicitudes de información registradas con los números </w:t>
      </w:r>
      <w:r>
        <w:rPr>
          <w:rFonts w:ascii="Palatino Linotype" w:eastAsia="Palatino Linotype" w:hAnsi="Palatino Linotype" w:cs="Palatino Linotype"/>
          <w:b/>
        </w:rPr>
        <w:t>00074/TULTITLA/IP/2024 y</w:t>
      </w:r>
      <w:r>
        <w:rPr>
          <w:rFonts w:ascii="Arial" w:eastAsia="Arial" w:hAnsi="Arial" w:cs="Arial"/>
          <w:b/>
        </w:rPr>
        <w:t xml:space="preserve"> </w:t>
      </w:r>
      <w:hyperlink r:id="rId8">
        <w:r>
          <w:rPr>
            <w:b/>
          </w:rPr>
          <w:t>000</w:t>
        </w:r>
      </w:hyperlink>
      <w:hyperlink r:id="rId9">
        <w:r>
          <w:rPr>
            <w:rFonts w:ascii="Palatino Linotype" w:eastAsia="Palatino Linotype" w:hAnsi="Palatino Linotype" w:cs="Palatino Linotype"/>
            <w:b/>
          </w:rPr>
          <w:t>73/TULTITLA/IP/202</w:t>
        </w:r>
      </w:hyperlink>
      <w:hyperlink r:id="rId10">
        <w:r>
          <w:rPr>
            <w:b/>
          </w:rPr>
          <w:t>4</w:t>
        </w:r>
      </w:hyperlink>
      <w:r>
        <w:rPr>
          <w:rFonts w:ascii="Palatino Linotype" w:eastAsia="Palatino Linotype" w:hAnsi="Palatino Linotype" w:cs="Palatino Linotype"/>
        </w:rPr>
        <w:t>,</w:t>
      </w:r>
      <w:r>
        <w:rPr>
          <w:rFonts w:ascii="Palatino Linotype" w:eastAsia="Palatino Linotype" w:hAnsi="Palatino Linotype" w:cs="Palatino Linotype"/>
          <w:b/>
        </w:rPr>
        <w:t xml:space="preserve"> </w:t>
      </w:r>
      <w:r>
        <w:rPr>
          <w:rFonts w:ascii="Palatino Linotype" w:eastAsia="Palatino Linotype" w:hAnsi="Palatino Linotype" w:cs="Palatino Linotype"/>
        </w:rPr>
        <w:t>en las que se solicitó lo siguiente:</w:t>
      </w:r>
    </w:p>
    <w:p w14:paraId="679E22DE" w14:textId="77777777" w:rsidR="00F87070" w:rsidRDefault="00F87070">
      <w:pPr>
        <w:spacing w:line="360" w:lineRule="auto"/>
        <w:ind w:right="-734"/>
        <w:jc w:val="both"/>
        <w:rPr>
          <w:rFonts w:ascii="Palatino Linotype" w:eastAsia="Palatino Linotype" w:hAnsi="Palatino Linotype" w:cs="Palatino Linotype"/>
        </w:rPr>
      </w:pPr>
    </w:p>
    <w:p w14:paraId="38AC96C2" w14:textId="77777777" w:rsidR="00F87070" w:rsidRDefault="00DB3BF7">
      <w:pPr>
        <w:spacing w:line="360" w:lineRule="auto"/>
        <w:ind w:right="-734"/>
        <w:jc w:val="both"/>
        <w:rPr>
          <w:rFonts w:ascii="Palatino Linotype" w:eastAsia="Palatino Linotype" w:hAnsi="Palatino Linotype" w:cs="Palatino Linotype"/>
        </w:rPr>
      </w:pPr>
      <w:r>
        <w:rPr>
          <w:rFonts w:ascii="Palatino Linotype" w:eastAsia="Palatino Linotype" w:hAnsi="Palatino Linotype" w:cs="Palatino Linotype"/>
          <w:b/>
        </w:rPr>
        <w:t>00074/TULTITLA/IP/2024:</w:t>
      </w:r>
    </w:p>
    <w:p w14:paraId="502070D5" w14:textId="77777777" w:rsidR="00F87070" w:rsidRDefault="00DB3BF7">
      <w:pPr>
        <w:spacing w:line="360" w:lineRule="auto"/>
        <w:ind w:left="1069" w:right="-734"/>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 xml:space="preserve"> “Solicito se me entregue vía saimex el informe anual del comité coordinador del sistema municipal anticorrupción 2020” </w:t>
      </w:r>
      <w:r>
        <w:rPr>
          <w:rFonts w:ascii="Palatino Linotype" w:eastAsia="Palatino Linotype" w:hAnsi="Palatino Linotype" w:cs="Palatino Linotype"/>
          <w:color w:val="000000"/>
        </w:rPr>
        <w:t>(Sic)</w:t>
      </w:r>
      <w:r>
        <w:rPr>
          <w:rFonts w:ascii="Palatino Linotype" w:eastAsia="Palatino Linotype" w:hAnsi="Palatino Linotype" w:cs="Palatino Linotype"/>
          <w:i/>
          <w:color w:val="000000"/>
        </w:rPr>
        <w:t xml:space="preserve"> </w:t>
      </w:r>
    </w:p>
    <w:p w14:paraId="07958BDA" w14:textId="77777777" w:rsidR="00F87070" w:rsidRDefault="00F87070">
      <w:pPr>
        <w:spacing w:line="360" w:lineRule="auto"/>
        <w:ind w:left="1069" w:right="-734"/>
        <w:jc w:val="both"/>
        <w:rPr>
          <w:rFonts w:ascii="Palatino Linotype" w:eastAsia="Palatino Linotype" w:hAnsi="Palatino Linotype" w:cs="Palatino Linotype"/>
          <w:i/>
          <w:color w:val="000000"/>
        </w:rPr>
      </w:pPr>
    </w:p>
    <w:p w14:paraId="0F22CFF6" w14:textId="77777777" w:rsidR="00F87070" w:rsidRDefault="00DB3BF7">
      <w:pPr>
        <w:spacing w:line="360" w:lineRule="auto"/>
        <w:ind w:right="-734"/>
        <w:jc w:val="both"/>
        <w:rPr>
          <w:rFonts w:ascii="Palatino Linotype" w:eastAsia="Palatino Linotype" w:hAnsi="Palatino Linotype" w:cs="Palatino Linotype"/>
        </w:rPr>
      </w:pPr>
      <w:r>
        <w:rPr>
          <w:rFonts w:ascii="Palatino Linotype" w:eastAsia="Palatino Linotype" w:hAnsi="Palatino Linotype" w:cs="Palatino Linotype"/>
          <w:b/>
        </w:rPr>
        <w:t>00073/TULTITLA/IP/2024:</w:t>
      </w:r>
    </w:p>
    <w:p w14:paraId="4590D8D3" w14:textId="77777777" w:rsidR="00F87070" w:rsidRDefault="00DB3BF7">
      <w:pPr>
        <w:tabs>
          <w:tab w:val="left" w:pos="3828"/>
        </w:tabs>
        <w:spacing w:line="360" w:lineRule="auto"/>
        <w:ind w:left="1069" w:right="-734"/>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lastRenderedPageBreak/>
        <w:t xml:space="preserve"> “Solicito se me entregue vía saimex el informe anual del comité coordinador del sistema municipal anticorrupción 2019” </w:t>
      </w:r>
      <w:r>
        <w:rPr>
          <w:rFonts w:ascii="Palatino Linotype" w:eastAsia="Palatino Linotype" w:hAnsi="Palatino Linotype" w:cs="Palatino Linotype"/>
          <w:color w:val="000000"/>
        </w:rPr>
        <w:t>(Sic)</w:t>
      </w:r>
      <w:r>
        <w:rPr>
          <w:rFonts w:ascii="Palatino Linotype" w:eastAsia="Palatino Linotype" w:hAnsi="Palatino Linotype" w:cs="Palatino Linotype"/>
          <w:i/>
          <w:color w:val="000000"/>
        </w:rPr>
        <w:t xml:space="preserve"> </w:t>
      </w:r>
    </w:p>
    <w:p w14:paraId="60DAE2ED" w14:textId="77777777" w:rsidR="00F87070" w:rsidRDefault="00F87070">
      <w:pPr>
        <w:spacing w:line="360" w:lineRule="auto"/>
        <w:ind w:right="-734"/>
        <w:jc w:val="both"/>
        <w:rPr>
          <w:rFonts w:ascii="Palatino Linotype" w:eastAsia="Palatino Linotype" w:hAnsi="Palatino Linotype" w:cs="Palatino Linotype"/>
          <w:i/>
          <w:color w:val="000000"/>
        </w:rPr>
      </w:pPr>
    </w:p>
    <w:p w14:paraId="48409ADA" w14:textId="77777777" w:rsidR="00F87070" w:rsidRDefault="00DB3BF7">
      <w:pPr>
        <w:numPr>
          <w:ilvl w:val="0"/>
          <w:numId w:val="6"/>
        </w:numPr>
        <w:spacing w:line="360" w:lineRule="auto"/>
        <w:ind w:left="0" w:right="-734" w:firstLine="0"/>
        <w:jc w:val="both"/>
      </w:pPr>
      <w:r>
        <w:rPr>
          <w:rFonts w:ascii="Palatino Linotype" w:eastAsia="Palatino Linotype" w:hAnsi="Palatino Linotype" w:cs="Palatino Linotype"/>
        </w:rPr>
        <w:t>Se eligió como modalidad de entrega a través de la plataforma digital Sistema de Acceso a la Información Mexiquense (SAIMEX).</w:t>
      </w:r>
    </w:p>
    <w:p w14:paraId="71818797" w14:textId="77777777" w:rsidR="00F87070" w:rsidRDefault="00F87070">
      <w:pPr>
        <w:ind w:right="-734"/>
        <w:rPr>
          <w:rFonts w:ascii="Palatino Linotype" w:eastAsia="Palatino Linotype" w:hAnsi="Palatino Linotype" w:cs="Palatino Linotype"/>
        </w:rPr>
      </w:pPr>
    </w:p>
    <w:p w14:paraId="113BA95D" w14:textId="77777777" w:rsidR="00F87070" w:rsidRDefault="00DB3BF7">
      <w:pPr>
        <w:numPr>
          <w:ilvl w:val="0"/>
          <w:numId w:val="6"/>
        </w:numPr>
        <w:spacing w:line="360" w:lineRule="auto"/>
        <w:ind w:left="0" w:right="-734" w:firstLine="0"/>
        <w:jc w:val="both"/>
      </w:pPr>
      <w:r>
        <w:rPr>
          <w:rFonts w:ascii="Palatino Linotype" w:eastAsia="Palatino Linotype" w:hAnsi="Palatino Linotype" w:cs="Palatino Linotype"/>
        </w:rPr>
        <w:t xml:space="preserve">El dieciséis (16) de enero de dos mil veinticuatro, el </w:t>
      </w:r>
      <w:r>
        <w:rPr>
          <w:rFonts w:ascii="Palatino Linotype" w:eastAsia="Palatino Linotype" w:hAnsi="Palatino Linotype" w:cs="Palatino Linotype"/>
          <w:b/>
        </w:rPr>
        <w:t>SUJETO OBLIGADO</w:t>
      </w:r>
      <w:r>
        <w:rPr>
          <w:rFonts w:ascii="Palatino Linotype" w:eastAsia="Palatino Linotype" w:hAnsi="Palatino Linotype" w:cs="Palatino Linotype"/>
          <w:b/>
          <w:i/>
        </w:rPr>
        <w:t xml:space="preserve"> </w:t>
      </w:r>
      <w:r>
        <w:rPr>
          <w:rFonts w:ascii="Palatino Linotype" w:eastAsia="Palatino Linotype" w:hAnsi="Palatino Linotype" w:cs="Palatino Linotype"/>
        </w:rPr>
        <w:t>dio respuesta a la solicitud de información en los siguientes términos:</w:t>
      </w:r>
    </w:p>
    <w:p w14:paraId="38DD11DA" w14:textId="77777777" w:rsidR="00F87070" w:rsidRPr="002F283B" w:rsidRDefault="00DB3BF7">
      <w:pPr>
        <w:spacing w:line="360" w:lineRule="auto"/>
        <w:ind w:right="-734"/>
        <w:jc w:val="both"/>
        <w:rPr>
          <w:rFonts w:ascii="Palatino Linotype" w:eastAsia="Palatino Linotype" w:hAnsi="Palatino Linotype" w:cs="Palatino Linotype"/>
          <w:b/>
          <w:sz w:val="22"/>
          <w:szCs w:val="22"/>
          <w:lang w:val="en-US"/>
        </w:rPr>
      </w:pPr>
      <w:r w:rsidRPr="002F283B">
        <w:rPr>
          <w:rFonts w:ascii="Palatino Linotype" w:eastAsia="Palatino Linotype" w:hAnsi="Palatino Linotype" w:cs="Palatino Linotype"/>
          <w:b/>
          <w:sz w:val="22"/>
          <w:szCs w:val="22"/>
          <w:lang w:val="en-US"/>
        </w:rPr>
        <w:t>00074/TULTITLA/IP/2024 - 00148/INFOEM/IP/RR/2024</w:t>
      </w:r>
    </w:p>
    <w:p w14:paraId="1402B376" w14:textId="77777777" w:rsidR="00F87070" w:rsidRPr="002F283B" w:rsidRDefault="00F87070">
      <w:pPr>
        <w:spacing w:line="360" w:lineRule="auto"/>
        <w:ind w:right="-734"/>
        <w:jc w:val="both"/>
        <w:rPr>
          <w:rFonts w:ascii="Palatino Linotype" w:eastAsia="Palatino Linotype" w:hAnsi="Palatino Linotype" w:cs="Palatino Linotype"/>
          <w:sz w:val="22"/>
          <w:szCs w:val="22"/>
          <w:lang w:val="en-US"/>
        </w:rPr>
      </w:pPr>
    </w:p>
    <w:tbl>
      <w:tblPr>
        <w:tblStyle w:val="a"/>
        <w:tblW w:w="8090" w:type="dxa"/>
        <w:tblInd w:w="973" w:type="dxa"/>
        <w:tblLayout w:type="fixed"/>
        <w:tblLook w:val="0400" w:firstRow="0" w:lastRow="0" w:firstColumn="0" w:lastColumn="0" w:noHBand="0" w:noVBand="1"/>
      </w:tblPr>
      <w:tblGrid>
        <w:gridCol w:w="8090"/>
      </w:tblGrid>
      <w:tr w:rsidR="00F87070" w14:paraId="3A53D6DD" w14:textId="77777777">
        <w:trPr>
          <w:trHeight w:val="300"/>
        </w:trPr>
        <w:tc>
          <w:tcPr>
            <w:tcW w:w="8090" w:type="dxa"/>
            <w:vAlign w:val="center"/>
          </w:tcPr>
          <w:p w14:paraId="46AB727C" w14:textId="77777777" w:rsidR="00F87070" w:rsidRDefault="00DB3BF7">
            <w:pPr>
              <w:ind w:right="-734"/>
              <w:jc w:val="right"/>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Tultitlán, México a 16 de Enero de 2024</w:t>
            </w:r>
          </w:p>
        </w:tc>
      </w:tr>
      <w:tr w:rsidR="00F87070" w14:paraId="27B9430F" w14:textId="77777777">
        <w:trPr>
          <w:trHeight w:val="300"/>
        </w:trPr>
        <w:tc>
          <w:tcPr>
            <w:tcW w:w="8090" w:type="dxa"/>
            <w:vAlign w:val="center"/>
          </w:tcPr>
          <w:p w14:paraId="3D66B1A1" w14:textId="77777777" w:rsidR="00F87070" w:rsidRDefault="00DB3BF7">
            <w:pPr>
              <w:ind w:right="-734"/>
              <w:jc w:val="right"/>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Nombre del solicitante: C. Solicitante</w:t>
            </w:r>
          </w:p>
        </w:tc>
      </w:tr>
      <w:tr w:rsidR="00F87070" w14:paraId="5AC364AF" w14:textId="77777777">
        <w:trPr>
          <w:trHeight w:val="300"/>
        </w:trPr>
        <w:tc>
          <w:tcPr>
            <w:tcW w:w="8090" w:type="dxa"/>
            <w:vAlign w:val="center"/>
          </w:tcPr>
          <w:p w14:paraId="094E5A90" w14:textId="77777777" w:rsidR="00F87070" w:rsidRDefault="00DB3BF7">
            <w:pPr>
              <w:ind w:right="-734"/>
              <w:jc w:val="right"/>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Folio de la solicitud: 00074/TULTITLA/IP/2024</w:t>
            </w:r>
          </w:p>
          <w:p w14:paraId="1DF4FE10" w14:textId="77777777" w:rsidR="00F87070" w:rsidRDefault="00F87070">
            <w:pPr>
              <w:ind w:right="-734"/>
              <w:jc w:val="right"/>
              <w:rPr>
                <w:rFonts w:ascii="Palatino Linotype" w:eastAsia="Palatino Linotype" w:hAnsi="Palatino Linotype" w:cs="Palatino Linotype"/>
                <w:i/>
                <w:sz w:val="22"/>
                <w:szCs w:val="22"/>
              </w:rPr>
            </w:pPr>
          </w:p>
        </w:tc>
      </w:tr>
      <w:tr w:rsidR="00F87070" w14:paraId="2DE476A5" w14:textId="77777777">
        <w:trPr>
          <w:trHeight w:val="150"/>
        </w:trPr>
        <w:tc>
          <w:tcPr>
            <w:tcW w:w="8090" w:type="dxa"/>
            <w:vAlign w:val="center"/>
          </w:tcPr>
          <w:p w14:paraId="14FA623F" w14:textId="77777777" w:rsidR="00F87070" w:rsidRDefault="00DB3BF7">
            <w:pPr>
              <w:ind w:right="-734"/>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Solicito se me entregue vía saimex el informe anual del comité coordinador del sistema municipal anticorrupción 2020</w:t>
            </w:r>
          </w:p>
          <w:p w14:paraId="6497C81A" w14:textId="77777777" w:rsidR="00F87070" w:rsidRDefault="00F87070">
            <w:pPr>
              <w:ind w:right="-734"/>
              <w:rPr>
                <w:rFonts w:ascii="Palatino Linotype" w:eastAsia="Palatino Linotype" w:hAnsi="Palatino Linotype" w:cs="Palatino Linotype"/>
                <w:i/>
                <w:sz w:val="22"/>
                <w:szCs w:val="22"/>
              </w:rPr>
            </w:pPr>
          </w:p>
        </w:tc>
      </w:tr>
      <w:tr w:rsidR="00F87070" w14:paraId="494455C7" w14:textId="77777777">
        <w:trPr>
          <w:trHeight w:val="150"/>
        </w:trPr>
        <w:tc>
          <w:tcPr>
            <w:tcW w:w="8090" w:type="dxa"/>
            <w:vAlign w:val="center"/>
          </w:tcPr>
          <w:p w14:paraId="30A872AE" w14:textId="77777777" w:rsidR="00F87070" w:rsidRDefault="00F87070">
            <w:pPr>
              <w:ind w:right="-734"/>
              <w:rPr>
                <w:rFonts w:ascii="Palatino Linotype" w:eastAsia="Palatino Linotype" w:hAnsi="Palatino Linotype" w:cs="Palatino Linotype"/>
                <w:i/>
                <w:sz w:val="22"/>
                <w:szCs w:val="22"/>
              </w:rPr>
            </w:pPr>
          </w:p>
        </w:tc>
      </w:tr>
      <w:tr w:rsidR="00F87070" w14:paraId="31C776F1" w14:textId="77777777">
        <w:trPr>
          <w:trHeight w:val="150"/>
        </w:trPr>
        <w:tc>
          <w:tcPr>
            <w:tcW w:w="8090" w:type="dxa"/>
            <w:vAlign w:val="center"/>
          </w:tcPr>
          <w:p w14:paraId="5D9B8197" w14:textId="77777777" w:rsidR="00F87070" w:rsidRDefault="00DB3BF7">
            <w:pPr>
              <w:ind w:right="-734"/>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ATENTAMENTE</w:t>
            </w:r>
          </w:p>
        </w:tc>
      </w:tr>
      <w:tr w:rsidR="00F87070" w14:paraId="1F974E0A" w14:textId="77777777">
        <w:trPr>
          <w:trHeight w:val="225"/>
        </w:trPr>
        <w:tc>
          <w:tcPr>
            <w:tcW w:w="8090" w:type="dxa"/>
            <w:vAlign w:val="center"/>
          </w:tcPr>
          <w:p w14:paraId="4C2AC368" w14:textId="77777777" w:rsidR="00F87070" w:rsidRDefault="00F87070">
            <w:pPr>
              <w:ind w:right="-734"/>
              <w:rPr>
                <w:rFonts w:ascii="Palatino Linotype" w:eastAsia="Palatino Linotype" w:hAnsi="Palatino Linotype" w:cs="Palatino Linotype"/>
                <w:i/>
                <w:sz w:val="22"/>
                <w:szCs w:val="22"/>
              </w:rPr>
            </w:pPr>
          </w:p>
        </w:tc>
      </w:tr>
      <w:tr w:rsidR="00F87070" w14:paraId="12DDD8C8" w14:textId="77777777">
        <w:trPr>
          <w:trHeight w:val="150"/>
        </w:trPr>
        <w:tc>
          <w:tcPr>
            <w:tcW w:w="8090" w:type="dxa"/>
            <w:vAlign w:val="center"/>
          </w:tcPr>
          <w:p w14:paraId="0A99A6A2" w14:textId="77777777" w:rsidR="00F87070" w:rsidRDefault="00DB3BF7">
            <w:pPr>
              <w:ind w:right="-734"/>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C. AARON MANUEL RUIZ ZUBIETA</w:t>
            </w:r>
          </w:p>
          <w:p w14:paraId="439A55E4" w14:textId="77777777" w:rsidR="00F87070" w:rsidRDefault="00F87070">
            <w:pPr>
              <w:ind w:right="-734"/>
              <w:rPr>
                <w:rFonts w:ascii="Palatino Linotype" w:eastAsia="Palatino Linotype" w:hAnsi="Palatino Linotype" w:cs="Palatino Linotype"/>
                <w:i/>
                <w:sz w:val="22"/>
                <w:szCs w:val="22"/>
              </w:rPr>
            </w:pPr>
          </w:p>
        </w:tc>
      </w:tr>
    </w:tbl>
    <w:p w14:paraId="63D23909" w14:textId="77777777" w:rsidR="00F87070" w:rsidRDefault="00F87070">
      <w:pPr>
        <w:spacing w:line="360" w:lineRule="auto"/>
        <w:ind w:right="-734"/>
        <w:jc w:val="both"/>
        <w:rPr>
          <w:rFonts w:ascii="Palatino Linotype" w:eastAsia="Palatino Linotype" w:hAnsi="Palatino Linotype" w:cs="Palatino Linotype"/>
          <w:i/>
          <w:sz w:val="22"/>
          <w:szCs w:val="22"/>
        </w:rPr>
      </w:pPr>
    </w:p>
    <w:p w14:paraId="12E2F9F2" w14:textId="77777777" w:rsidR="00F87070" w:rsidRDefault="00F87070">
      <w:pPr>
        <w:spacing w:line="360" w:lineRule="auto"/>
        <w:ind w:right="-734"/>
        <w:jc w:val="both"/>
        <w:rPr>
          <w:rFonts w:ascii="Palatino Linotype" w:eastAsia="Palatino Linotype" w:hAnsi="Palatino Linotype" w:cs="Palatino Linotype"/>
          <w:i/>
          <w:sz w:val="22"/>
          <w:szCs w:val="22"/>
        </w:rPr>
      </w:pPr>
    </w:p>
    <w:p w14:paraId="289B6D11" w14:textId="77777777" w:rsidR="00F87070" w:rsidRDefault="00F87070">
      <w:pPr>
        <w:spacing w:line="360" w:lineRule="auto"/>
        <w:ind w:right="-734"/>
        <w:jc w:val="both"/>
        <w:rPr>
          <w:rFonts w:ascii="Palatino Linotype" w:eastAsia="Palatino Linotype" w:hAnsi="Palatino Linotype" w:cs="Palatino Linotype"/>
          <w:i/>
          <w:sz w:val="22"/>
          <w:szCs w:val="22"/>
        </w:rPr>
      </w:pPr>
    </w:p>
    <w:p w14:paraId="6DB3E8D5" w14:textId="77777777" w:rsidR="00F87070" w:rsidRPr="002F283B" w:rsidRDefault="00DB3BF7">
      <w:pPr>
        <w:spacing w:line="360" w:lineRule="auto"/>
        <w:ind w:right="-734"/>
        <w:jc w:val="both"/>
        <w:rPr>
          <w:rFonts w:ascii="Palatino Linotype" w:eastAsia="Palatino Linotype" w:hAnsi="Palatino Linotype" w:cs="Palatino Linotype"/>
          <w:b/>
          <w:sz w:val="22"/>
          <w:szCs w:val="22"/>
          <w:lang w:val="en-US"/>
        </w:rPr>
      </w:pPr>
      <w:r w:rsidRPr="002F283B">
        <w:rPr>
          <w:rFonts w:ascii="Palatino Linotype" w:eastAsia="Palatino Linotype" w:hAnsi="Palatino Linotype" w:cs="Palatino Linotype"/>
          <w:b/>
          <w:sz w:val="22"/>
          <w:szCs w:val="22"/>
          <w:lang w:val="en-US"/>
        </w:rPr>
        <w:t>00073/TULTITLA/IP/2024 - 00149/INFOEM/IP/RR/2024</w:t>
      </w:r>
    </w:p>
    <w:p w14:paraId="29F83468" w14:textId="77777777" w:rsidR="00F87070" w:rsidRPr="002F283B" w:rsidRDefault="00F87070">
      <w:pPr>
        <w:spacing w:line="360" w:lineRule="auto"/>
        <w:ind w:right="-734"/>
        <w:jc w:val="both"/>
        <w:rPr>
          <w:rFonts w:ascii="Palatino Linotype" w:eastAsia="Palatino Linotype" w:hAnsi="Palatino Linotype" w:cs="Palatino Linotype"/>
          <w:sz w:val="22"/>
          <w:szCs w:val="22"/>
          <w:lang w:val="en-US"/>
        </w:rPr>
      </w:pPr>
    </w:p>
    <w:p w14:paraId="31FF4B87" w14:textId="77777777" w:rsidR="00F87070" w:rsidRDefault="00DB3BF7">
      <w:pPr>
        <w:ind w:right="-734"/>
        <w:jc w:val="right"/>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Tultitlán, México a 16 de Enero de 2024</w:t>
      </w:r>
    </w:p>
    <w:p w14:paraId="2A015A67" w14:textId="77777777" w:rsidR="00F87070" w:rsidRDefault="00DB3BF7">
      <w:pPr>
        <w:ind w:right="-734"/>
        <w:jc w:val="right"/>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Nombre del solicitante: C. Solicitante</w:t>
      </w:r>
    </w:p>
    <w:p w14:paraId="10F5EB86" w14:textId="77777777" w:rsidR="00F87070" w:rsidRDefault="00DB3BF7">
      <w:pPr>
        <w:ind w:right="-734"/>
        <w:jc w:val="right"/>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Folio de la solicitud: 00073/TULTITLA/IP/2024</w:t>
      </w:r>
    </w:p>
    <w:p w14:paraId="45593FCF" w14:textId="77777777" w:rsidR="00F87070" w:rsidRDefault="00F87070">
      <w:pPr>
        <w:ind w:right="-734"/>
        <w:jc w:val="right"/>
        <w:rPr>
          <w:rFonts w:ascii="Palatino Linotype" w:eastAsia="Palatino Linotype" w:hAnsi="Palatino Linotype" w:cs="Palatino Linotype"/>
          <w:i/>
          <w:sz w:val="22"/>
          <w:szCs w:val="22"/>
        </w:rPr>
      </w:pPr>
    </w:p>
    <w:p w14:paraId="0BF1B0A9" w14:textId="77777777" w:rsidR="00F87070" w:rsidRDefault="00DB3BF7">
      <w:pPr>
        <w:ind w:right="-734"/>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Solicito se me entregue vía saimex el informe anual del comité coordinador del sistema municipal anticorrupción 2019</w:t>
      </w:r>
    </w:p>
    <w:p w14:paraId="5212E94F" w14:textId="77777777" w:rsidR="00F87070" w:rsidRDefault="00F87070">
      <w:pPr>
        <w:ind w:right="-734"/>
        <w:rPr>
          <w:rFonts w:ascii="Palatino Linotype" w:eastAsia="Palatino Linotype" w:hAnsi="Palatino Linotype" w:cs="Palatino Linotype"/>
          <w:i/>
          <w:sz w:val="22"/>
          <w:szCs w:val="22"/>
        </w:rPr>
      </w:pPr>
    </w:p>
    <w:p w14:paraId="3A8D5218" w14:textId="77777777" w:rsidR="00F87070" w:rsidRDefault="00DB3BF7">
      <w:pPr>
        <w:ind w:right="-734"/>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ATENTAMENTE</w:t>
      </w:r>
    </w:p>
    <w:p w14:paraId="5A9326C1" w14:textId="77777777" w:rsidR="00F87070" w:rsidRDefault="00DB3BF7">
      <w:pPr>
        <w:spacing w:line="360" w:lineRule="auto"/>
        <w:ind w:right="-734"/>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C. AARON MANUEL RUIZ ZUBIETA</w:t>
      </w:r>
    </w:p>
    <w:p w14:paraId="5A429141" w14:textId="77777777" w:rsidR="00F87070" w:rsidRDefault="00DB3BF7">
      <w:pPr>
        <w:numPr>
          <w:ilvl w:val="0"/>
          <w:numId w:val="6"/>
        </w:numPr>
        <w:spacing w:line="360" w:lineRule="auto"/>
        <w:ind w:left="0" w:right="-734" w:firstLine="0"/>
        <w:jc w:val="both"/>
      </w:pPr>
      <w:bookmarkStart w:id="1" w:name="_heading=h.30j0zll" w:colFirst="0" w:colLast="0"/>
      <w:bookmarkEnd w:id="1"/>
      <w:r>
        <w:rPr>
          <w:rFonts w:ascii="Palatino Linotype" w:eastAsia="Palatino Linotype" w:hAnsi="Palatino Linotype" w:cs="Palatino Linotype"/>
        </w:rPr>
        <w:t xml:space="preserve">El diecisiete (17) de enero de dos mil veinticuatro, </w:t>
      </w:r>
      <w:r>
        <w:rPr>
          <w:rFonts w:ascii="Palatino Linotype" w:eastAsia="Palatino Linotype" w:hAnsi="Palatino Linotype" w:cs="Palatino Linotype"/>
          <w:b/>
        </w:rPr>
        <w:t>EL RECURRENTE</w:t>
      </w:r>
      <w:r>
        <w:rPr>
          <w:rFonts w:ascii="Palatino Linotype" w:eastAsia="Palatino Linotype" w:hAnsi="Palatino Linotype" w:cs="Palatino Linotype"/>
        </w:rPr>
        <w:t xml:space="preserve"> interpuso el recurso de revisión, en contra de la respuesta, señalando como:</w:t>
      </w:r>
    </w:p>
    <w:p w14:paraId="46CB4DF8" w14:textId="77777777" w:rsidR="00F87070" w:rsidRDefault="00DB3BF7">
      <w:pPr>
        <w:spacing w:line="360" w:lineRule="auto"/>
        <w:ind w:right="-734"/>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00148/INFOEM/IP/RR/2024:</w:t>
      </w:r>
    </w:p>
    <w:p w14:paraId="007AF764" w14:textId="10D7E78B" w:rsidR="00F87070" w:rsidRDefault="00DB3BF7">
      <w:pPr>
        <w:numPr>
          <w:ilvl w:val="0"/>
          <w:numId w:val="3"/>
        </w:numPr>
        <w:spacing w:line="360" w:lineRule="auto"/>
        <w:ind w:right="-167"/>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Acto impugnado</w:t>
      </w:r>
      <w:r>
        <w:rPr>
          <w:rFonts w:ascii="Palatino Linotype" w:eastAsia="Palatino Linotype" w:hAnsi="Palatino Linotype" w:cs="Palatino Linotype"/>
          <w:b/>
          <w:i/>
          <w:sz w:val="22"/>
          <w:szCs w:val="22"/>
        </w:rPr>
        <w:t>:</w:t>
      </w:r>
      <w:r>
        <w:rPr>
          <w:rFonts w:ascii="Palatino Linotype" w:eastAsia="Palatino Linotype" w:hAnsi="Palatino Linotype" w:cs="Palatino Linotype"/>
          <w:i/>
          <w:color w:val="000000"/>
          <w:sz w:val="22"/>
          <w:szCs w:val="22"/>
        </w:rPr>
        <w:t xml:space="preserve"> “En mi carácter ciudadano </w:t>
      </w:r>
      <w:r w:rsidR="002F283B">
        <w:rPr>
          <w:rFonts w:ascii="Palatino Linotype" w:eastAsia="Palatino Linotype" w:hAnsi="Palatino Linotype" w:cs="Palatino Linotype"/>
          <w:i/>
          <w:color w:val="000000"/>
          <w:sz w:val="22"/>
          <w:szCs w:val="22"/>
        </w:rPr>
        <w:t>XXX XXX</w:t>
      </w:r>
      <w:r>
        <w:rPr>
          <w:rFonts w:ascii="Palatino Linotype" w:eastAsia="Palatino Linotype" w:hAnsi="Palatino Linotype" w:cs="Palatino Linotype"/>
          <w:i/>
          <w:color w:val="000000"/>
          <w:sz w:val="22"/>
          <w:szCs w:val="22"/>
        </w:rPr>
        <w:t xml:space="preserve">, el pasado 29 de diciembre del 2023 solicité a través del folio 0074/TULTITLA/IP/2024 "Informe Anual de actividades del Comité Coordinador del Sistema Municipal Anticorrupción 2020.”, siendo el día 16 de ENERO del 2024 cuando el sujeto obligado como respuesta no adjunta, ninguna información relativa a lo solicitado, sino solo pone mi solicitud expresa, por ese motivo interpongo el presente recurso ante el comisionado ponente.” </w:t>
      </w:r>
      <w:r>
        <w:rPr>
          <w:rFonts w:ascii="Palatino Linotype" w:eastAsia="Palatino Linotype" w:hAnsi="Palatino Linotype" w:cs="Palatino Linotype"/>
          <w:color w:val="000000"/>
          <w:sz w:val="22"/>
          <w:szCs w:val="22"/>
        </w:rPr>
        <w:t>(Sic)</w:t>
      </w:r>
    </w:p>
    <w:p w14:paraId="08717812" w14:textId="77777777" w:rsidR="00F87070" w:rsidRDefault="00DB3BF7">
      <w:pPr>
        <w:numPr>
          <w:ilvl w:val="0"/>
          <w:numId w:val="4"/>
        </w:numPr>
        <w:spacing w:line="360" w:lineRule="auto"/>
        <w:ind w:right="-167"/>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Razones o Motivos de inconformidad:</w:t>
      </w:r>
      <w:r>
        <w:rPr>
          <w:rFonts w:ascii="Palatino Linotype" w:eastAsia="Palatino Linotype" w:hAnsi="Palatino Linotype" w:cs="Palatino Linotype"/>
          <w:b/>
          <w:color w:val="2E75B5"/>
          <w:sz w:val="22"/>
          <w:szCs w:val="22"/>
        </w:rPr>
        <w:t xml:space="preserve"> </w:t>
      </w:r>
      <w:r>
        <w:rPr>
          <w:rFonts w:ascii="Palatino Linotype" w:eastAsia="Palatino Linotype" w:hAnsi="Palatino Linotype" w:cs="Palatino Linotype"/>
          <w:i/>
          <w:sz w:val="22"/>
          <w:szCs w:val="22"/>
        </w:rPr>
        <w:t>“</w:t>
      </w:r>
      <w:r>
        <w:rPr>
          <w:rFonts w:ascii="Palatino Linotype" w:eastAsia="Palatino Linotype" w:hAnsi="Palatino Linotype" w:cs="Palatino Linotype"/>
          <w:i/>
          <w:color w:val="000000"/>
          <w:sz w:val="22"/>
          <w:szCs w:val="22"/>
        </w:rPr>
        <w:t xml:space="preserve">No entrega información al respecto.” </w:t>
      </w:r>
      <w:r>
        <w:rPr>
          <w:rFonts w:ascii="Palatino Linotype" w:eastAsia="Palatino Linotype" w:hAnsi="Palatino Linotype" w:cs="Palatino Linotype"/>
          <w:color w:val="000000"/>
          <w:sz w:val="22"/>
          <w:szCs w:val="22"/>
        </w:rPr>
        <w:t>(Sic)</w:t>
      </w:r>
    </w:p>
    <w:p w14:paraId="0417FB9F" w14:textId="77777777" w:rsidR="00F87070" w:rsidRDefault="00F87070">
      <w:pPr>
        <w:tabs>
          <w:tab w:val="left" w:pos="6197"/>
        </w:tabs>
        <w:spacing w:line="360" w:lineRule="auto"/>
        <w:ind w:right="-734"/>
        <w:jc w:val="both"/>
        <w:rPr>
          <w:rFonts w:ascii="Palatino Linotype" w:eastAsia="Palatino Linotype" w:hAnsi="Palatino Linotype" w:cs="Palatino Linotype"/>
        </w:rPr>
      </w:pPr>
    </w:p>
    <w:p w14:paraId="271CC0C4" w14:textId="77777777" w:rsidR="00F87070" w:rsidRDefault="00DB3BF7">
      <w:pPr>
        <w:spacing w:line="360" w:lineRule="auto"/>
        <w:ind w:right="-734"/>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00149/INFOEM/IP/RR/2024:</w:t>
      </w:r>
    </w:p>
    <w:p w14:paraId="151BF1AA" w14:textId="3653677A" w:rsidR="00F87070" w:rsidRDefault="00DB3BF7">
      <w:pPr>
        <w:numPr>
          <w:ilvl w:val="0"/>
          <w:numId w:val="7"/>
        </w:numPr>
        <w:spacing w:line="360" w:lineRule="auto"/>
        <w:ind w:right="-25"/>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Acto impugnado</w:t>
      </w:r>
      <w:r>
        <w:rPr>
          <w:rFonts w:ascii="Palatino Linotype" w:eastAsia="Palatino Linotype" w:hAnsi="Palatino Linotype" w:cs="Palatino Linotype"/>
          <w:b/>
          <w:i/>
          <w:sz w:val="22"/>
          <w:szCs w:val="22"/>
        </w:rPr>
        <w:t>:</w:t>
      </w:r>
      <w:r>
        <w:rPr>
          <w:rFonts w:ascii="Palatino Linotype" w:eastAsia="Palatino Linotype" w:hAnsi="Palatino Linotype" w:cs="Palatino Linotype"/>
          <w:i/>
          <w:color w:val="000000"/>
          <w:sz w:val="22"/>
          <w:szCs w:val="22"/>
        </w:rPr>
        <w:t xml:space="preserve"> “En mi carácter ciudadano </w:t>
      </w:r>
      <w:r w:rsidR="002F283B">
        <w:rPr>
          <w:rFonts w:ascii="Palatino Linotype" w:eastAsia="Palatino Linotype" w:hAnsi="Palatino Linotype" w:cs="Palatino Linotype"/>
          <w:i/>
          <w:color w:val="000000"/>
          <w:sz w:val="22"/>
          <w:szCs w:val="22"/>
        </w:rPr>
        <w:t>XXX XXX</w:t>
      </w:r>
      <w:r>
        <w:rPr>
          <w:rFonts w:ascii="Palatino Linotype" w:eastAsia="Palatino Linotype" w:hAnsi="Palatino Linotype" w:cs="Palatino Linotype"/>
          <w:i/>
          <w:color w:val="000000"/>
          <w:sz w:val="22"/>
          <w:szCs w:val="22"/>
        </w:rPr>
        <w:t xml:space="preserve">, el pasado 29 de diciembre del 2023 solicité a través del folio 0073/TULTITLA/IP/2024 "Informe Anual de actividades del Comité Coordinador del Sistema Municipal Anticorrupción 2019.”, siendo el día 16 de ENERO del 2024 cuando el sujeto obligado como respuesta no adjunta, ninguna información relativa a lo solicitado, sino solo pone mi solicitud expresa, por ese motivo interpongo el presente recurso ante el comisionado ponente.” </w:t>
      </w:r>
      <w:r>
        <w:rPr>
          <w:rFonts w:ascii="Palatino Linotype" w:eastAsia="Palatino Linotype" w:hAnsi="Palatino Linotype" w:cs="Palatino Linotype"/>
          <w:color w:val="000000"/>
          <w:sz w:val="22"/>
          <w:szCs w:val="22"/>
        </w:rPr>
        <w:t>(Sic)</w:t>
      </w:r>
    </w:p>
    <w:p w14:paraId="6C12C967" w14:textId="77777777" w:rsidR="00F87070" w:rsidRDefault="00DB3BF7">
      <w:pPr>
        <w:numPr>
          <w:ilvl w:val="0"/>
          <w:numId w:val="7"/>
        </w:numPr>
        <w:spacing w:line="360" w:lineRule="auto"/>
        <w:ind w:right="-25"/>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Razones o Motivos de inconformidad:</w:t>
      </w:r>
      <w:r>
        <w:rPr>
          <w:rFonts w:ascii="Palatino Linotype" w:eastAsia="Palatino Linotype" w:hAnsi="Palatino Linotype" w:cs="Palatino Linotype"/>
          <w:b/>
          <w:color w:val="2E75B5"/>
          <w:sz w:val="22"/>
          <w:szCs w:val="22"/>
        </w:rPr>
        <w:t xml:space="preserve"> </w:t>
      </w:r>
      <w:r>
        <w:rPr>
          <w:rFonts w:ascii="Palatino Linotype" w:eastAsia="Palatino Linotype" w:hAnsi="Palatino Linotype" w:cs="Palatino Linotype"/>
          <w:i/>
          <w:sz w:val="22"/>
          <w:szCs w:val="22"/>
        </w:rPr>
        <w:t>“</w:t>
      </w:r>
      <w:r>
        <w:rPr>
          <w:rFonts w:ascii="Palatino Linotype" w:eastAsia="Palatino Linotype" w:hAnsi="Palatino Linotype" w:cs="Palatino Linotype"/>
          <w:i/>
          <w:color w:val="000000"/>
          <w:sz w:val="22"/>
          <w:szCs w:val="22"/>
        </w:rPr>
        <w:t xml:space="preserve">No entrega información al respecto” </w:t>
      </w:r>
      <w:r>
        <w:rPr>
          <w:rFonts w:ascii="Palatino Linotype" w:eastAsia="Palatino Linotype" w:hAnsi="Palatino Linotype" w:cs="Palatino Linotype"/>
          <w:color w:val="000000"/>
          <w:sz w:val="22"/>
          <w:szCs w:val="22"/>
        </w:rPr>
        <w:t>(Sic)</w:t>
      </w:r>
    </w:p>
    <w:p w14:paraId="27C57748" w14:textId="77777777" w:rsidR="00F87070" w:rsidRDefault="00DB3BF7">
      <w:pPr>
        <w:tabs>
          <w:tab w:val="left" w:pos="6197"/>
        </w:tabs>
        <w:spacing w:line="360" w:lineRule="auto"/>
        <w:ind w:right="-734"/>
        <w:jc w:val="both"/>
        <w:rPr>
          <w:rFonts w:ascii="Palatino Linotype" w:eastAsia="Palatino Linotype" w:hAnsi="Palatino Linotype" w:cs="Palatino Linotype"/>
        </w:rPr>
      </w:pPr>
      <w:r>
        <w:rPr>
          <w:rFonts w:ascii="Palatino Linotype" w:eastAsia="Palatino Linotype" w:hAnsi="Palatino Linotype" w:cs="Palatino Linotype"/>
        </w:rPr>
        <w:tab/>
      </w:r>
    </w:p>
    <w:p w14:paraId="5D7DD4F4" w14:textId="77777777" w:rsidR="00F87070" w:rsidRDefault="00DB3BF7">
      <w:pPr>
        <w:numPr>
          <w:ilvl w:val="0"/>
          <w:numId w:val="6"/>
        </w:numPr>
        <w:spacing w:line="360" w:lineRule="auto"/>
        <w:ind w:left="0" w:right="-734" w:firstLine="0"/>
        <w:jc w:val="both"/>
      </w:pPr>
      <w:r>
        <w:rPr>
          <w:rFonts w:ascii="Palatino Linotype" w:eastAsia="Palatino Linotype" w:hAnsi="Palatino Linotype" w:cs="Palatino Linotype"/>
        </w:rPr>
        <w:t xml:space="preserve">Se registró el recurso de revisión bajo el número de expediente al rubro indicado, asimismo con fundamento en lo dispuesto por el artículo 185 fracción I de la </w:t>
      </w:r>
      <w:r>
        <w:rPr>
          <w:rFonts w:ascii="Palatino Linotype" w:eastAsia="Palatino Linotype" w:hAnsi="Palatino Linotype" w:cs="Palatino Linotype"/>
          <w:b/>
        </w:rPr>
        <w:t xml:space="preserve">Ley de Transparencia y Acceso a la Información Pública del Estado de México y Municipios </w:t>
      </w:r>
      <w:r>
        <w:rPr>
          <w:rFonts w:ascii="Palatino Linotype" w:eastAsia="Palatino Linotype" w:hAnsi="Palatino Linotype" w:cs="Palatino Linotype"/>
        </w:rPr>
        <w:t xml:space="preserve">se turna a la </w:t>
      </w:r>
      <w:r>
        <w:rPr>
          <w:rFonts w:ascii="Palatino Linotype" w:eastAsia="Palatino Linotype" w:hAnsi="Palatino Linotype" w:cs="Palatino Linotype"/>
          <w:b/>
        </w:rPr>
        <w:t xml:space="preserve">Comisionada María del Rosario Mejía Ayala, </w:t>
      </w:r>
      <w:r>
        <w:rPr>
          <w:rFonts w:ascii="Palatino Linotype" w:eastAsia="Palatino Linotype" w:hAnsi="Palatino Linotype" w:cs="Palatino Linotype"/>
        </w:rPr>
        <w:t xml:space="preserve">para su análisis. </w:t>
      </w:r>
    </w:p>
    <w:p w14:paraId="3F5F7FA3" w14:textId="77777777" w:rsidR="00F87070" w:rsidRDefault="00F87070">
      <w:pPr>
        <w:spacing w:line="360" w:lineRule="auto"/>
        <w:ind w:right="-734"/>
        <w:jc w:val="both"/>
        <w:rPr>
          <w:rFonts w:ascii="Palatino Linotype" w:eastAsia="Palatino Linotype" w:hAnsi="Palatino Linotype" w:cs="Palatino Linotype"/>
        </w:rPr>
      </w:pPr>
    </w:p>
    <w:p w14:paraId="4DB078BD" w14:textId="77777777" w:rsidR="00F87070" w:rsidRPr="008B09E6" w:rsidRDefault="00DB3BF7">
      <w:pPr>
        <w:numPr>
          <w:ilvl w:val="0"/>
          <w:numId w:val="6"/>
        </w:numPr>
        <w:spacing w:line="360" w:lineRule="auto"/>
        <w:ind w:left="0" w:right="-734" w:hanging="76"/>
        <w:jc w:val="both"/>
        <w:rPr>
          <w:color w:val="000000"/>
        </w:rPr>
      </w:pPr>
      <w:r>
        <w:rPr>
          <w:rFonts w:ascii="Palatino Linotype" w:eastAsia="Palatino Linotype" w:hAnsi="Palatino Linotype" w:cs="Palatino Linotype"/>
        </w:rPr>
        <w:t xml:space="preserve">La Comisionada Ponente con fundamento en lo dispuesto por el artículo 185 fracción II de la ley de la materia, a través del acuerdo de admisión del veintitrés (23) de enero de dos mil veinticuatro para el recurso de revisión con número de folio </w:t>
      </w:r>
      <w:r>
        <w:t>00148/INFOEM/IP/RR/2024</w:t>
      </w:r>
      <w:r>
        <w:rPr>
          <w:rFonts w:ascii="Palatino Linotype" w:eastAsia="Palatino Linotype" w:hAnsi="Palatino Linotype" w:cs="Palatino Linotype"/>
        </w:rPr>
        <w:t xml:space="preserve">, así como el acuerdo de admisión de fecha veintidós (22) enero de dos mil veinticuatro para el recurso de revisión con número de folio 00149/INFOEM/IP/RR/2024, puso a disposición de las partes el expediente electrónico vía </w:t>
      </w:r>
      <w:r>
        <w:rPr>
          <w:rFonts w:ascii="Palatino Linotype" w:eastAsia="Palatino Linotype" w:hAnsi="Palatino Linotype" w:cs="Palatino Linotype"/>
          <w:b/>
        </w:rPr>
        <w:t xml:space="preserve">SAIMEX </w:t>
      </w:r>
      <w:r>
        <w:rPr>
          <w:rFonts w:ascii="Palatino Linotype" w:eastAsia="Palatino Linotype" w:hAnsi="Palatino Linotype" w:cs="Palatino Linotype"/>
        </w:rPr>
        <w:t xml:space="preserve">a efecto de que en un plazo máximo de siete días manifestara lo que a derecho conviniera, ofreciera pruebas y alegatos según corresponda al caso concreto, de esta forma para que 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presentará el informe justificado procedente. </w:t>
      </w:r>
    </w:p>
    <w:p w14:paraId="0614D36A" w14:textId="77777777" w:rsidR="008B09E6" w:rsidRDefault="008B09E6" w:rsidP="008B09E6">
      <w:pPr>
        <w:spacing w:line="360" w:lineRule="auto"/>
        <w:ind w:right="-734"/>
        <w:jc w:val="both"/>
        <w:rPr>
          <w:color w:val="000000"/>
        </w:rPr>
      </w:pPr>
    </w:p>
    <w:p w14:paraId="67FF3A6F" w14:textId="77777777" w:rsidR="00F87070" w:rsidRDefault="00DB3BF7">
      <w:pPr>
        <w:numPr>
          <w:ilvl w:val="0"/>
          <w:numId w:val="6"/>
        </w:numPr>
        <w:spacing w:line="360" w:lineRule="auto"/>
        <w:ind w:left="0" w:right="-734" w:firstLine="0"/>
        <w:jc w:val="both"/>
        <w:rPr>
          <w:color w:val="000000"/>
        </w:rPr>
      </w:pPr>
      <w:r>
        <w:rPr>
          <w:rFonts w:ascii="Palatino Linotype" w:eastAsia="Palatino Linotype" w:hAnsi="Palatino Linotype" w:cs="Palatino Linotype"/>
        </w:rPr>
        <w:t xml:space="preserve">De las constancias en el expediente electrónico SAIMEX, se advierte que el particular no realizó manifestaciones; por su parte, el Sujeto Obligado en fecha doce (12) de febrero de dos mil veinticuatro </w:t>
      </w:r>
      <w:r>
        <w:rPr>
          <w:rFonts w:ascii="Palatino Linotype" w:eastAsia="Palatino Linotype" w:hAnsi="Palatino Linotype" w:cs="Palatino Linotype"/>
          <w:color w:val="000000"/>
        </w:rPr>
        <w:t xml:space="preserve">realizó manifestaciones mediante archivos adjuntos en formato PDF, los </w:t>
      </w:r>
      <w:r>
        <w:rPr>
          <w:rFonts w:ascii="Palatino Linotype" w:eastAsia="Palatino Linotype" w:hAnsi="Palatino Linotype" w:cs="Palatino Linotype"/>
        </w:rPr>
        <w:t xml:space="preserve">cuales fueron puestos a la vista del particular el veinticuatro (24) de septiembre de dos mil veinticuatro, y que se describen enseguida: </w:t>
      </w:r>
    </w:p>
    <w:p w14:paraId="4571A59E" w14:textId="77777777" w:rsidR="00F87070" w:rsidRDefault="00DB3BF7">
      <w:pPr>
        <w:spacing w:line="360" w:lineRule="auto"/>
        <w:ind w:right="-25"/>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00148/INFOEM/IP/RR/2024</w:t>
      </w:r>
      <w:r>
        <w:rPr>
          <w:rFonts w:ascii="Palatino Linotype" w:eastAsia="Palatino Linotype" w:hAnsi="Palatino Linotype" w:cs="Palatino Linotype"/>
          <w:sz w:val="22"/>
          <w:szCs w:val="22"/>
        </w:rPr>
        <w:t>:</w:t>
      </w:r>
    </w:p>
    <w:p w14:paraId="33EB6A74" w14:textId="77777777" w:rsidR="00F87070" w:rsidRDefault="00DB3BF7">
      <w:pPr>
        <w:numPr>
          <w:ilvl w:val="0"/>
          <w:numId w:val="1"/>
        </w:numPr>
        <w:pBdr>
          <w:top w:val="nil"/>
          <w:left w:val="nil"/>
          <w:bottom w:val="nil"/>
          <w:right w:val="nil"/>
          <w:between w:val="nil"/>
        </w:pBdr>
        <w:spacing w:line="360" w:lineRule="auto"/>
        <w:ind w:right="-25"/>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color w:val="0563C1"/>
          <w:sz w:val="22"/>
          <w:szCs w:val="22"/>
          <w:u w:val="single"/>
        </w:rPr>
        <w:t>DECLARATORIA DE INEXISTENCIA UT.pdf</w:t>
      </w:r>
      <w:r>
        <w:rPr>
          <w:rFonts w:ascii="Palatino Linotype" w:eastAsia="Palatino Linotype" w:hAnsi="Palatino Linotype" w:cs="Palatino Linotype"/>
          <w:color w:val="000000"/>
          <w:sz w:val="22"/>
          <w:szCs w:val="22"/>
        </w:rPr>
        <w:t xml:space="preserve">: oficio firmado por el Jefe de la Unidad de Acceso a la Información Pública y Protección de Datos Personales, en el que informa en relación a lo que interesa a la presente solicitud: </w:t>
      </w:r>
    </w:p>
    <w:p w14:paraId="695FA5A0" w14:textId="77777777" w:rsidR="00F87070" w:rsidRDefault="00DB3BF7">
      <w:pPr>
        <w:spacing w:line="360" w:lineRule="auto"/>
        <w:ind w:left="720" w:right="-25"/>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14:paraId="1561E1E4" w14:textId="77777777" w:rsidR="00F87070" w:rsidRDefault="00DB3BF7">
      <w:pPr>
        <w:spacing w:line="360" w:lineRule="auto"/>
        <w:ind w:left="720" w:right="-25"/>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III. No se encontró en los archivos de la Contraloría Municipal, la Secretaría del Ayuntamiento, la Unidad de Transparencia, las convocatorias ni los informes del Comité Coordinador del Sistema Municipal Anticorrupción, ante la inexistencia de esta información procedemos a orientar para que realice la búsqueda ante la secretaria ejecutiva del Sistema Estatal Anticorrupción.</w:t>
      </w:r>
    </w:p>
    <w:p w14:paraId="6723977B" w14:textId="77777777" w:rsidR="00F87070" w:rsidRDefault="00DB3BF7">
      <w:pPr>
        <w:spacing w:line="360" w:lineRule="auto"/>
        <w:ind w:left="720" w:right="-25"/>
        <w:jc w:val="both"/>
        <w:rPr>
          <w:rFonts w:ascii="Palatino Linotype" w:eastAsia="Palatino Linotype" w:hAnsi="Palatino Linotype" w:cs="Palatino Linotype"/>
          <w:sz w:val="22"/>
          <w:szCs w:val="22"/>
          <w:u w:val="single"/>
        </w:rPr>
      </w:pPr>
      <w:r>
        <w:rPr>
          <w:rFonts w:ascii="Palatino Linotype" w:eastAsia="Palatino Linotype" w:hAnsi="Palatino Linotype" w:cs="Palatino Linotype"/>
          <w:i/>
          <w:sz w:val="22"/>
          <w:szCs w:val="22"/>
        </w:rPr>
        <w:lastRenderedPageBreak/>
        <w:t xml:space="preserve">…” </w:t>
      </w:r>
      <w:r>
        <w:rPr>
          <w:rFonts w:ascii="Palatino Linotype" w:eastAsia="Palatino Linotype" w:hAnsi="Palatino Linotype" w:cs="Palatino Linotype"/>
          <w:sz w:val="22"/>
          <w:szCs w:val="22"/>
        </w:rPr>
        <w:t>(Sic)</w:t>
      </w:r>
    </w:p>
    <w:p w14:paraId="5B77379A" w14:textId="77777777" w:rsidR="00F87070" w:rsidRDefault="00DB3BF7">
      <w:pPr>
        <w:numPr>
          <w:ilvl w:val="0"/>
          <w:numId w:val="1"/>
        </w:numPr>
        <w:pBdr>
          <w:top w:val="nil"/>
          <w:left w:val="nil"/>
          <w:bottom w:val="nil"/>
          <w:right w:val="nil"/>
          <w:between w:val="nil"/>
        </w:pBdr>
        <w:spacing w:line="360" w:lineRule="auto"/>
        <w:ind w:right="-25"/>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color w:val="0563C1"/>
          <w:sz w:val="22"/>
          <w:szCs w:val="22"/>
          <w:u w:val="single"/>
        </w:rPr>
        <w:t>ACTA S EX02 COMITE TRANSPARENCIA.pdf</w:t>
      </w:r>
      <w:r>
        <w:rPr>
          <w:rFonts w:ascii="Palatino Linotype" w:eastAsia="Palatino Linotype" w:hAnsi="Palatino Linotype" w:cs="Palatino Linotype"/>
          <w:color w:val="000000"/>
          <w:sz w:val="22"/>
          <w:szCs w:val="22"/>
        </w:rPr>
        <w:t>: acta de la Segunda Sesión Extraordinaria 2024 del Comité de Transparencia del Sujeto Obligado denominado Ayuntamiento de Tultitlán 2022-2024, en la que se aprueba el acuerdo de inexistencia  de la información solicitada para diversas solicitudes de información, entre ellas la 00074/TULTITLA/IP/2024</w:t>
      </w:r>
      <w:r>
        <w:rPr>
          <w:rFonts w:ascii="Palatino Linotype" w:eastAsia="Palatino Linotype" w:hAnsi="Palatino Linotype" w:cs="Palatino Linotype"/>
          <w:b/>
          <w:color w:val="000000"/>
          <w:sz w:val="22"/>
          <w:szCs w:val="22"/>
        </w:rPr>
        <w:t>.</w:t>
      </w:r>
    </w:p>
    <w:p w14:paraId="079CFAB2" w14:textId="77777777" w:rsidR="00F87070" w:rsidRDefault="00DB3BF7">
      <w:pPr>
        <w:numPr>
          <w:ilvl w:val="0"/>
          <w:numId w:val="1"/>
        </w:numPr>
        <w:pBdr>
          <w:top w:val="nil"/>
          <w:left w:val="nil"/>
          <w:bottom w:val="nil"/>
          <w:right w:val="nil"/>
          <w:between w:val="nil"/>
        </w:pBdr>
        <w:spacing w:line="360" w:lineRule="auto"/>
        <w:ind w:right="-25"/>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color w:val="0563C1"/>
          <w:sz w:val="22"/>
          <w:szCs w:val="22"/>
          <w:u w:val="single"/>
        </w:rPr>
        <w:t>S64 SEC AYU.pdf</w:t>
      </w:r>
      <w:r>
        <w:rPr>
          <w:rFonts w:ascii="Palatino Linotype" w:eastAsia="Palatino Linotype" w:hAnsi="Palatino Linotype" w:cs="Palatino Linotype"/>
          <w:color w:val="000000"/>
          <w:sz w:val="22"/>
          <w:szCs w:val="22"/>
          <w:u w:val="single"/>
        </w:rPr>
        <w:t xml:space="preserve">: </w:t>
      </w:r>
      <w:r>
        <w:rPr>
          <w:rFonts w:ascii="Palatino Linotype" w:eastAsia="Palatino Linotype" w:hAnsi="Palatino Linotype" w:cs="Palatino Linotype"/>
          <w:color w:val="000000"/>
          <w:sz w:val="22"/>
          <w:szCs w:val="22"/>
        </w:rPr>
        <w:t>oficio S.A./117/23.01.2024 de fecha veintitrés de enero de dos mil veinticuatro firmado por el Secretario del Ayuntamiento, dirigido al Titular de la Unidad de Transparencia, precisando información respecto de dos solicitudes de información diversas a la que ocupa el presente recurso.</w:t>
      </w:r>
    </w:p>
    <w:p w14:paraId="2C4A39C9" w14:textId="77777777" w:rsidR="00F87070" w:rsidRDefault="00F87070">
      <w:pPr>
        <w:spacing w:line="360" w:lineRule="auto"/>
        <w:ind w:right="-25"/>
        <w:jc w:val="both"/>
        <w:rPr>
          <w:rFonts w:ascii="Palatino Linotype" w:eastAsia="Palatino Linotype" w:hAnsi="Palatino Linotype" w:cs="Palatino Linotype"/>
          <w:sz w:val="22"/>
          <w:szCs w:val="22"/>
        </w:rPr>
      </w:pPr>
    </w:p>
    <w:p w14:paraId="3697938F" w14:textId="77777777" w:rsidR="00F87070" w:rsidRDefault="00DB3BF7">
      <w:pPr>
        <w:spacing w:line="360" w:lineRule="auto"/>
        <w:ind w:right="-25"/>
        <w:jc w:val="both"/>
        <w:rPr>
          <w:rFonts w:ascii="Palatino Linotype" w:eastAsia="Palatino Linotype" w:hAnsi="Palatino Linotype" w:cs="Palatino Linotype"/>
          <w:b/>
          <w:sz w:val="22"/>
          <w:szCs w:val="22"/>
          <w:highlight w:val="yellow"/>
        </w:rPr>
      </w:pPr>
      <w:r>
        <w:rPr>
          <w:rFonts w:ascii="Palatino Linotype" w:eastAsia="Palatino Linotype" w:hAnsi="Palatino Linotype" w:cs="Palatino Linotype"/>
          <w:b/>
          <w:sz w:val="22"/>
          <w:szCs w:val="22"/>
        </w:rPr>
        <w:t>00149/INFOEM/IP/RR/2024:</w:t>
      </w:r>
    </w:p>
    <w:p w14:paraId="7004AFFC" w14:textId="77777777" w:rsidR="00F87070" w:rsidRDefault="00DB3BF7">
      <w:pPr>
        <w:numPr>
          <w:ilvl w:val="0"/>
          <w:numId w:val="2"/>
        </w:numPr>
        <w:pBdr>
          <w:top w:val="nil"/>
          <w:left w:val="nil"/>
          <w:bottom w:val="nil"/>
          <w:right w:val="nil"/>
          <w:between w:val="nil"/>
        </w:pBdr>
        <w:spacing w:line="360" w:lineRule="auto"/>
        <w:ind w:right="-25"/>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563C1"/>
          <w:sz w:val="22"/>
          <w:szCs w:val="22"/>
          <w:u w:val="single"/>
        </w:rPr>
        <w:t>ACTA S EX02 COMITE TRANSPARENCIA.pdf</w:t>
      </w:r>
      <w:r>
        <w:rPr>
          <w:rFonts w:ascii="Palatino Linotype" w:eastAsia="Palatino Linotype" w:hAnsi="Palatino Linotype" w:cs="Palatino Linotype"/>
          <w:b/>
          <w:color w:val="000000"/>
          <w:sz w:val="22"/>
          <w:szCs w:val="22"/>
        </w:rPr>
        <w:t>:</w:t>
      </w:r>
      <w:r>
        <w:rPr>
          <w:rFonts w:ascii="Palatino Linotype" w:eastAsia="Palatino Linotype" w:hAnsi="Palatino Linotype" w:cs="Palatino Linotype"/>
          <w:color w:val="000000"/>
          <w:sz w:val="22"/>
          <w:szCs w:val="22"/>
        </w:rPr>
        <w:t xml:space="preserve"> acta de la Segunda Sesión Extraordinaria 2024 del Comité de Transparencia del Sujeto Obligado denominado Ayuntamiento de Tultitlán 2022-2024, en la que se aprueba el acuerdo de inexistencia  de la información solicitada para diversas solicitudes de información, entre ellas la 00073/TULTITLA/IP/2024</w:t>
      </w:r>
      <w:r>
        <w:rPr>
          <w:rFonts w:ascii="Palatino Linotype" w:eastAsia="Palatino Linotype" w:hAnsi="Palatino Linotype" w:cs="Palatino Linotype"/>
          <w:b/>
          <w:color w:val="000000"/>
          <w:sz w:val="22"/>
          <w:szCs w:val="22"/>
        </w:rPr>
        <w:t>.</w:t>
      </w:r>
    </w:p>
    <w:p w14:paraId="7EE04AFB" w14:textId="77777777" w:rsidR="00F87070" w:rsidRDefault="00F87070">
      <w:pPr>
        <w:pBdr>
          <w:top w:val="nil"/>
          <w:left w:val="nil"/>
          <w:bottom w:val="nil"/>
          <w:right w:val="nil"/>
          <w:between w:val="nil"/>
        </w:pBdr>
        <w:spacing w:line="360" w:lineRule="auto"/>
        <w:ind w:left="720" w:right="-25"/>
        <w:jc w:val="both"/>
        <w:rPr>
          <w:rFonts w:ascii="Palatino Linotype" w:eastAsia="Palatino Linotype" w:hAnsi="Palatino Linotype" w:cs="Palatino Linotype"/>
          <w:b/>
          <w:color w:val="000000"/>
          <w:sz w:val="22"/>
          <w:szCs w:val="22"/>
        </w:rPr>
      </w:pPr>
    </w:p>
    <w:p w14:paraId="7DA989DF" w14:textId="77777777" w:rsidR="00F87070" w:rsidRDefault="00DB3BF7">
      <w:pPr>
        <w:numPr>
          <w:ilvl w:val="0"/>
          <w:numId w:val="2"/>
        </w:numPr>
        <w:pBdr>
          <w:top w:val="nil"/>
          <w:left w:val="nil"/>
          <w:bottom w:val="nil"/>
          <w:right w:val="nil"/>
          <w:between w:val="nil"/>
        </w:pBdr>
        <w:spacing w:line="360" w:lineRule="auto"/>
        <w:ind w:right="-25"/>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color w:val="0563C1"/>
          <w:sz w:val="22"/>
          <w:szCs w:val="22"/>
          <w:u w:val="single"/>
        </w:rPr>
        <w:t>S64 SEC AYU.pdf</w:t>
      </w:r>
      <w:r>
        <w:rPr>
          <w:rFonts w:ascii="Palatino Linotype" w:eastAsia="Palatino Linotype" w:hAnsi="Palatino Linotype" w:cs="Palatino Linotype"/>
          <w:color w:val="000000"/>
          <w:sz w:val="22"/>
          <w:szCs w:val="22"/>
          <w:u w:val="single"/>
        </w:rPr>
        <w:t xml:space="preserve">: </w:t>
      </w:r>
      <w:r>
        <w:rPr>
          <w:rFonts w:ascii="Palatino Linotype" w:eastAsia="Palatino Linotype" w:hAnsi="Palatino Linotype" w:cs="Palatino Linotype"/>
          <w:color w:val="000000"/>
          <w:sz w:val="22"/>
          <w:szCs w:val="22"/>
        </w:rPr>
        <w:t>oficio S.A./117/23.01.2024 de fecha veintitrés de enero de dos mil veinticuatro firmado por el Secretario del Ayuntamiento, dirigido al Titular de la Unidad de Transparencia, precisando información respecto de dos solicitudes de información diversas a la que ocupa el presente recurso.</w:t>
      </w:r>
    </w:p>
    <w:p w14:paraId="6C1B389B" w14:textId="77777777" w:rsidR="00F87070" w:rsidRDefault="00F87070">
      <w:pPr>
        <w:pBdr>
          <w:top w:val="nil"/>
          <w:left w:val="nil"/>
          <w:bottom w:val="nil"/>
          <w:right w:val="nil"/>
          <w:between w:val="nil"/>
        </w:pBdr>
        <w:spacing w:line="360" w:lineRule="auto"/>
        <w:ind w:left="720" w:right="-25"/>
        <w:jc w:val="both"/>
        <w:rPr>
          <w:rFonts w:ascii="Palatino Linotype" w:eastAsia="Palatino Linotype" w:hAnsi="Palatino Linotype" w:cs="Palatino Linotype"/>
          <w:color w:val="000000"/>
          <w:sz w:val="22"/>
          <w:szCs w:val="22"/>
          <w:u w:val="single"/>
        </w:rPr>
      </w:pPr>
    </w:p>
    <w:p w14:paraId="6B57713E" w14:textId="77777777" w:rsidR="00F87070" w:rsidRDefault="00DB3BF7">
      <w:pPr>
        <w:numPr>
          <w:ilvl w:val="0"/>
          <w:numId w:val="2"/>
        </w:numPr>
        <w:pBdr>
          <w:top w:val="nil"/>
          <w:left w:val="nil"/>
          <w:bottom w:val="nil"/>
          <w:right w:val="nil"/>
          <w:between w:val="nil"/>
        </w:pBdr>
        <w:spacing w:line="360" w:lineRule="auto"/>
        <w:ind w:right="-25"/>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color w:val="0563C1"/>
          <w:sz w:val="22"/>
          <w:szCs w:val="22"/>
          <w:u w:val="single"/>
        </w:rPr>
        <w:t>DECLARATORIA DE INEXISTENCIA UT.pdf</w:t>
      </w:r>
      <w:r>
        <w:rPr>
          <w:rFonts w:ascii="Palatino Linotype" w:eastAsia="Palatino Linotype" w:hAnsi="Palatino Linotype" w:cs="Palatino Linotype"/>
          <w:color w:val="000000"/>
          <w:sz w:val="22"/>
          <w:szCs w:val="22"/>
        </w:rPr>
        <w:t xml:space="preserve">: oficio firmado por el Jefe de la Unidad de Acceso a la Información Pública y Protección de Datos Personales, en el que informa en relación a lo que interesa a la presente solicitud: </w:t>
      </w:r>
    </w:p>
    <w:p w14:paraId="14A036C3" w14:textId="77777777" w:rsidR="00F87070" w:rsidRDefault="00DB3BF7">
      <w:pPr>
        <w:spacing w:line="360" w:lineRule="auto"/>
        <w:ind w:left="720" w:right="-25"/>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14:paraId="61618538" w14:textId="77777777" w:rsidR="00F87070" w:rsidRDefault="00DB3BF7">
      <w:pPr>
        <w:spacing w:line="360" w:lineRule="auto"/>
        <w:ind w:left="720" w:right="-25"/>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lastRenderedPageBreak/>
        <w:t>III. No se encontró en los archivos de la Contraloría Municipal, la Secretaría del Ayuntamiento, la Unidad de Transparencia, las convocatorias ni los informes del Comité Coordinador del Sistema Municipal Anticorrupción, ante la inexistencia de esta información procedemos a orientar para que realice la búsqueda ante la secretaria ejecutiva del Sistema Estatal Anticorrupción.</w:t>
      </w:r>
    </w:p>
    <w:p w14:paraId="75409FE4" w14:textId="77777777" w:rsidR="00F87070" w:rsidRDefault="00DB3BF7">
      <w:pPr>
        <w:spacing w:line="360" w:lineRule="auto"/>
        <w:ind w:left="720" w:right="-25"/>
        <w:jc w:val="both"/>
        <w:rPr>
          <w:rFonts w:ascii="Palatino Linotype" w:eastAsia="Palatino Linotype" w:hAnsi="Palatino Linotype" w:cs="Palatino Linotype"/>
          <w:sz w:val="22"/>
          <w:szCs w:val="22"/>
          <w:u w:val="single"/>
        </w:rPr>
      </w:pPr>
      <w:r>
        <w:rPr>
          <w:rFonts w:ascii="Palatino Linotype" w:eastAsia="Palatino Linotype" w:hAnsi="Palatino Linotype" w:cs="Palatino Linotype"/>
          <w:i/>
          <w:sz w:val="22"/>
          <w:szCs w:val="22"/>
        </w:rPr>
        <w:t xml:space="preserve">…” </w:t>
      </w:r>
      <w:r>
        <w:rPr>
          <w:rFonts w:ascii="Palatino Linotype" w:eastAsia="Palatino Linotype" w:hAnsi="Palatino Linotype" w:cs="Palatino Linotype"/>
          <w:sz w:val="22"/>
          <w:szCs w:val="22"/>
        </w:rPr>
        <w:t>(Sic)</w:t>
      </w:r>
    </w:p>
    <w:p w14:paraId="4B42D2E8" w14:textId="77777777" w:rsidR="00F87070" w:rsidRDefault="00F87070">
      <w:pPr>
        <w:spacing w:line="360" w:lineRule="auto"/>
        <w:ind w:right="-734"/>
        <w:jc w:val="both"/>
        <w:rPr>
          <w:rFonts w:ascii="Palatino Linotype" w:eastAsia="Palatino Linotype" w:hAnsi="Palatino Linotype" w:cs="Palatino Linotype"/>
          <w:i/>
          <w:color w:val="000000"/>
        </w:rPr>
      </w:pPr>
    </w:p>
    <w:p w14:paraId="5DA1E978" w14:textId="77777777" w:rsidR="00F87070" w:rsidRDefault="00DB3BF7">
      <w:pPr>
        <w:numPr>
          <w:ilvl w:val="0"/>
          <w:numId w:val="6"/>
        </w:numPr>
        <w:spacing w:line="360" w:lineRule="auto"/>
        <w:ind w:left="0" w:right="-734" w:firstLine="0"/>
        <w:jc w:val="both"/>
      </w:pPr>
      <w:r>
        <w:rPr>
          <w:rFonts w:ascii="Palatino Linotype" w:eastAsia="Palatino Linotype" w:hAnsi="Palatino Linotype" w:cs="Palatino Linotype"/>
        </w:rPr>
        <w:t xml:space="preserve">Asimismo, con fundamento en lo dispuesto por el artículo 185 fracción I de la </w:t>
      </w:r>
      <w:r>
        <w:rPr>
          <w:rFonts w:ascii="Palatino Linotype" w:eastAsia="Palatino Linotype" w:hAnsi="Palatino Linotype" w:cs="Palatino Linotype"/>
          <w:b/>
        </w:rPr>
        <w:t>Ley de Transparencia y Acceso a la Información Pública del Estado de México y Municipios,</w:t>
      </w:r>
      <w:r>
        <w:rPr>
          <w:rFonts w:ascii="Palatino Linotype" w:eastAsia="Palatino Linotype" w:hAnsi="Palatino Linotype" w:cs="Palatino Linotype"/>
        </w:rPr>
        <w:t xml:space="preserve"> el recurso de revisión con número </w:t>
      </w:r>
      <w:r>
        <w:rPr>
          <w:rFonts w:ascii="Palatino Linotype" w:eastAsia="Palatino Linotype" w:hAnsi="Palatino Linotype" w:cs="Palatino Linotype"/>
          <w:b/>
        </w:rPr>
        <w:t xml:space="preserve">00148/INFOEM/IP/RR/2024, </w:t>
      </w:r>
      <w:r>
        <w:rPr>
          <w:rFonts w:ascii="Palatino Linotype" w:eastAsia="Palatino Linotype" w:hAnsi="Palatino Linotype" w:cs="Palatino Linotype"/>
        </w:rPr>
        <w:t>fue turnado</w:t>
      </w:r>
      <w:r>
        <w:rPr>
          <w:rFonts w:ascii="Palatino Linotype" w:eastAsia="Palatino Linotype" w:hAnsi="Palatino Linotype" w:cs="Palatino Linotype"/>
          <w:b/>
        </w:rPr>
        <w:t xml:space="preserve"> </w:t>
      </w:r>
      <w:r>
        <w:rPr>
          <w:rFonts w:ascii="Palatino Linotype" w:eastAsia="Palatino Linotype" w:hAnsi="Palatino Linotype" w:cs="Palatino Linotype"/>
        </w:rPr>
        <w:t xml:space="preserve">a la </w:t>
      </w:r>
      <w:r>
        <w:rPr>
          <w:rFonts w:ascii="Palatino Linotype" w:eastAsia="Palatino Linotype" w:hAnsi="Palatino Linotype" w:cs="Palatino Linotype"/>
          <w:b/>
        </w:rPr>
        <w:t>Comisionada</w:t>
      </w:r>
      <w:r>
        <w:rPr>
          <w:rFonts w:ascii="Palatino Linotype" w:eastAsia="Palatino Linotype" w:hAnsi="Palatino Linotype" w:cs="Palatino Linotype"/>
        </w:rPr>
        <w:t xml:space="preserve"> </w:t>
      </w:r>
      <w:r>
        <w:rPr>
          <w:rFonts w:ascii="Palatino Linotype" w:eastAsia="Palatino Linotype" w:hAnsi="Palatino Linotype" w:cs="Palatino Linotype"/>
          <w:b/>
        </w:rPr>
        <w:t xml:space="preserve">María del Rosario Mejía Ayala </w:t>
      </w:r>
      <w:r>
        <w:rPr>
          <w:rFonts w:ascii="Palatino Linotype" w:eastAsia="Palatino Linotype" w:hAnsi="Palatino Linotype" w:cs="Palatino Linotype"/>
        </w:rPr>
        <w:t>con el objeto de su análisis, posteriormente el Pleno de este Órgano Autónomo, en la</w:t>
      </w:r>
      <w:r>
        <w:rPr>
          <w:rFonts w:ascii="Palatino Linotype" w:eastAsia="Palatino Linotype" w:hAnsi="Palatino Linotype" w:cs="Palatino Linotype"/>
          <w:b/>
        </w:rPr>
        <w:t xml:space="preserve"> Tercera Sesión Ordinaria</w:t>
      </w:r>
      <w:r>
        <w:rPr>
          <w:rFonts w:ascii="Palatino Linotype" w:eastAsia="Palatino Linotype" w:hAnsi="Palatino Linotype" w:cs="Palatino Linotype"/>
        </w:rPr>
        <w:t xml:space="preserve"> del treinta y uno (31) de enero de dos mil veinticuatro, ordenó la acumulación del recurso de revisión</w:t>
      </w:r>
      <w:r>
        <w:rPr>
          <w:rFonts w:ascii="Palatino Linotype" w:eastAsia="Palatino Linotype" w:hAnsi="Palatino Linotype" w:cs="Palatino Linotype"/>
          <w:b/>
        </w:rPr>
        <w:t xml:space="preserve"> 00149/INFOEM/IP/RR/2024.</w:t>
      </w:r>
    </w:p>
    <w:p w14:paraId="27867C9C" w14:textId="77777777" w:rsidR="00F87070" w:rsidRDefault="00F87070">
      <w:pPr>
        <w:spacing w:line="360" w:lineRule="auto"/>
        <w:ind w:right="-734"/>
        <w:jc w:val="both"/>
        <w:rPr>
          <w:rFonts w:ascii="Palatino Linotype" w:eastAsia="Palatino Linotype" w:hAnsi="Palatino Linotype" w:cs="Palatino Linotype"/>
        </w:rPr>
      </w:pPr>
    </w:p>
    <w:p w14:paraId="6D67223E" w14:textId="77777777" w:rsidR="00F87070" w:rsidRDefault="00DB3BF7">
      <w:pPr>
        <w:numPr>
          <w:ilvl w:val="0"/>
          <w:numId w:val="6"/>
        </w:numPr>
        <w:spacing w:line="360" w:lineRule="auto"/>
        <w:ind w:left="0" w:right="-734" w:firstLine="0"/>
        <w:jc w:val="both"/>
      </w:pPr>
      <w:r>
        <w:rPr>
          <w:rFonts w:ascii="Palatino Linotype" w:eastAsia="Palatino Linotype" w:hAnsi="Palatino Linotype" w:cs="Palatino Linotype"/>
        </w:rPr>
        <w:t>Así el veintitrés (23) de septiembre de dos mil veinticuatro, se notificó el acuerdo mediante el cual se decretó la acumulación de los recursos de revisión.</w:t>
      </w:r>
    </w:p>
    <w:p w14:paraId="28999FDB" w14:textId="77777777" w:rsidR="00F87070" w:rsidRDefault="00F87070">
      <w:pPr>
        <w:spacing w:line="360" w:lineRule="auto"/>
        <w:ind w:right="-734"/>
        <w:jc w:val="both"/>
        <w:rPr>
          <w:rFonts w:ascii="Palatino Linotype" w:eastAsia="Palatino Linotype" w:hAnsi="Palatino Linotype" w:cs="Palatino Linotype"/>
        </w:rPr>
      </w:pPr>
    </w:p>
    <w:p w14:paraId="28966DCD" w14:textId="77777777" w:rsidR="00F87070" w:rsidRDefault="00DB3BF7">
      <w:pPr>
        <w:numPr>
          <w:ilvl w:val="0"/>
          <w:numId w:val="6"/>
        </w:numPr>
        <w:spacing w:line="360" w:lineRule="auto"/>
        <w:ind w:left="0" w:right="-734" w:firstLine="0"/>
        <w:jc w:val="both"/>
      </w:pPr>
      <w:r>
        <w:rPr>
          <w:rFonts w:ascii="Palatino Linotype" w:eastAsia="Palatino Linotype" w:hAnsi="Palatino Linotype" w:cs="Palatino Linotype"/>
        </w:rPr>
        <w:t>En ese tenor resulta conveniente su trámite de forma unificada para mejor resolver y evitar la emisión de resoluciones contradictorias, fue procedente que este Órgano Garante realizará la acumulación respectiva, de conformidad con lo dispuesto en el artículo 18 del Código de Procedimientos Administrativos del Estado de México, de aplicación supletoria en términos del artículo 195 de la Ley de Transparencia y Acceso a la Información Pública del Estado de México y Municipios en vigor, que a la letra señalan:</w:t>
      </w:r>
    </w:p>
    <w:p w14:paraId="2DFF11C3" w14:textId="77777777" w:rsidR="00F87070" w:rsidRDefault="00F87070">
      <w:pPr>
        <w:spacing w:line="360" w:lineRule="auto"/>
        <w:ind w:right="-734"/>
        <w:jc w:val="both"/>
        <w:rPr>
          <w:rFonts w:ascii="Palatino Linotype" w:eastAsia="Palatino Linotype" w:hAnsi="Palatino Linotype" w:cs="Palatino Linotype"/>
        </w:rPr>
      </w:pPr>
    </w:p>
    <w:p w14:paraId="2D5939D6" w14:textId="77777777" w:rsidR="00F87070" w:rsidRDefault="00DB3BF7" w:rsidP="008B09E6">
      <w:pPr>
        <w:spacing w:line="360" w:lineRule="auto"/>
        <w:ind w:left="709" w:right="113"/>
        <w:jc w:val="center"/>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Código de Procedimientos Administrativos del Estado de México.</w:t>
      </w:r>
    </w:p>
    <w:p w14:paraId="530C91F8" w14:textId="77777777" w:rsidR="00F87070" w:rsidRDefault="00F87070" w:rsidP="008B09E6">
      <w:pPr>
        <w:spacing w:line="360" w:lineRule="auto"/>
        <w:ind w:left="709" w:right="113"/>
        <w:jc w:val="center"/>
        <w:rPr>
          <w:rFonts w:ascii="Palatino Linotype" w:eastAsia="Palatino Linotype" w:hAnsi="Palatino Linotype" w:cs="Palatino Linotype"/>
          <w:b/>
          <w:i/>
          <w:sz w:val="22"/>
          <w:szCs w:val="22"/>
        </w:rPr>
      </w:pPr>
    </w:p>
    <w:p w14:paraId="2448BF05" w14:textId="77777777" w:rsidR="00F87070" w:rsidRDefault="00DB3BF7" w:rsidP="008B09E6">
      <w:pPr>
        <w:spacing w:line="360" w:lineRule="auto"/>
        <w:ind w:left="709" w:right="113"/>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lastRenderedPageBreak/>
        <w:t>“Artículo 18.-</w:t>
      </w:r>
      <w:r>
        <w:rPr>
          <w:rFonts w:ascii="Palatino Linotype" w:eastAsia="Palatino Linotype" w:hAnsi="Palatino Linotype" w:cs="Palatino Linotype"/>
          <w:i/>
          <w:sz w:val="22"/>
          <w:szCs w:val="22"/>
        </w:rPr>
        <w:t xml:space="preserve"> La autoridad administrativa o el Tribunal acordarán la acumulación de los expedientes del procedimiento y proceso administrativo que ante ellos se sigan, de oficio o a petición de parte, cuando las partes o los actos administrativos sean iguales, se trate de actos conexos o resulte conveniente el trámite unificado de los asuntos, para evitar la emisión de resoluciones contradictorias. La misma regla se aplicará, en lo conducente, para la separación de los expedientes.”</w:t>
      </w:r>
    </w:p>
    <w:p w14:paraId="15D4FA30" w14:textId="77777777" w:rsidR="00F87070" w:rsidRDefault="00F87070" w:rsidP="008B09E6">
      <w:pPr>
        <w:spacing w:line="360" w:lineRule="auto"/>
        <w:ind w:right="113"/>
        <w:jc w:val="both"/>
        <w:rPr>
          <w:rFonts w:ascii="Palatino Linotype" w:eastAsia="Palatino Linotype" w:hAnsi="Palatino Linotype" w:cs="Palatino Linotype"/>
          <w:i/>
          <w:sz w:val="22"/>
          <w:szCs w:val="22"/>
        </w:rPr>
      </w:pPr>
    </w:p>
    <w:p w14:paraId="268EAEF9" w14:textId="77777777" w:rsidR="00F87070" w:rsidRDefault="00DB3BF7" w:rsidP="008B09E6">
      <w:pPr>
        <w:spacing w:line="360" w:lineRule="auto"/>
        <w:ind w:left="709" w:right="113"/>
        <w:jc w:val="center"/>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Ley de Transparencia y Acceso a la Información Pública del Estado de México y Municipios</w:t>
      </w:r>
    </w:p>
    <w:p w14:paraId="4ADB4E63" w14:textId="77777777" w:rsidR="00F87070" w:rsidRDefault="00F87070" w:rsidP="008B09E6">
      <w:pPr>
        <w:spacing w:line="360" w:lineRule="auto"/>
        <w:ind w:left="709" w:right="113"/>
        <w:jc w:val="center"/>
        <w:rPr>
          <w:rFonts w:ascii="Palatino Linotype" w:eastAsia="Palatino Linotype" w:hAnsi="Palatino Linotype" w:cs="Palatino Linotype"/>
          <w:b/>
          <w:i/>
          <w:sz w:val="22"/>
          <w:szCs w:val="22"/>
        </w:rPr>
      </w:pPr>
    </w:p>
    <w:p w14:paraId="5A5B1430" w14:textId="77777777" w:rsidR="00F87070" w:rsidRDefault="00DB3BF7" w:rsidP="008B09E6">
      <w:pPr>
        <w:spacing w:line="360" w:lineRule="auto"/>
        <w:ind w:left="709" w:right="113"/>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“Artículo 195.</w:t>
      </w:r>
      <w:r>
        <w:rPr>
          <w:rFonts w:ascii="Palatino Linotype" w:eastAsia="Palatino Linotype" w:hAnsi="Palatino Linotype" w:cs="Palatino Linotype"/>
          <w:i/>
          <w:sz w:val="22"/>
          <w:szCs w:val="22"/>
        </w:rPr>
        <w:t xml:space="preserve"> En la tramitación del recurso de revisión se aplicarán supletoriamente las disposiciones contenidas en el Código de Procedimientos Administrativos del Estado de México.”</w:t>
      </w:r>
    </w:p>
    <w:p w14:paraId="732268AD" w14:textId="77777777" w:rsidR="00F87070" w:rsidRDefault="00F87070">
      <w:pPr>
        <w:spacing w:line="360" w:lineRule="auto"/>
        <w:ind w:right="-734"/>
        <w:jc w:val="both"/>
        <w:rPr>
          <w:rFonts w:ascii="Palatino Linotype" w:eastAsia="Palatino Linotype" w:hAnsi="Palatino Linotype" w:cs="Palatino Linotype"/>
        </w:rPr>
      </w:pPr>
    </w:p>
    <w:p w14:paraId="0A169CA1" w14:textId="77777777" w:rsidR="00F87070" w:rsidRDefault="00DB3BF7">
      <w:pPr>
        <w:numPr>
          <w:ilvl w:val="0"/>
          <w:numId w:val="6"/>
        </w:numPr>
        <w:spacing w:line="360" w:lineRule="auto"/>
        <w:ind w:left="0" w:right="-734" w:firstLine="0"/>
        <w:jc w:val="both"/>
      </w:pPr>
      <w:r>
        <w:rPr>
          <w:rFonts w:ascii="Palatino Linotype" w:eastAsia="Palatino Linotype" w:hAnsi="Palatino Linotype" w:cs="Palatino Linotype"/>
        </w:rPr>
        <w:t xml:space="preserve">El veintitrés (23) de septiembre de dos mil veinticuatro, se notificó el acuerdo mediante el cual se aprobó la ampliación de plazo para emitir resolución. </w:t>
      </w:r>
    </w:p>
    <w:p w14:paraId="20836FA2" w14:textId="77777777" w:rsidR="00F87070" w:rsidRDefault="00F87070">
      <w:pPr>
        <w:spacing w:line="360" w:lineRule="auto"/>
        <w:ind w:right="-734"/>
        <w:jc w:val="both"/>
        <w:rPr>
          <w:rFonts w:ascii="Palatino Linotype" w:eastAsia="Palatino Linotype" w:hAnsi="Palatino Linotype" w:cs="Palatino Linotype"/>
        </w:rPr>
      </w:pPr>
    </w:p>
    <w:p w14:paraId="6D5E5498" w14:textId="77777777" w:rsidR="00F87070" w:rsidRDefault="00DB3BF7">
      <w:pPr>
        <w:numPr>
          <w:ilvl w:val="0"/>
          <w:numId w:val="6"/>
        </w:numPr>
        <w:pBdr>
          <w:top w:val="nil"/>
          <w:left w:val="nil"/>
          <w:bottom w:val="nil"/>
          <w:right w:val="nil"/>
          <w:between w:val="nil"/>
        </w:pBdr>
        <w:spacing w:line="360" w:lineRule="auto"/>
        <w:ind w:left="0" w:right="-734" w:firstLine="0"/>
        <w:jc w:val="both"/>
        <w:rPr>
          <w:rFonts w:ascii="Palatino Linotype" w:eastAsia="Palatino Linotype" w:hAnsi="Palatino Linotype" w:cs="Palatino Linotype"/>
          <w:b/>
          <w:color w:val="000000"/>
        </w:rPr>
      </w:pPr>
      <w:r>
        <w:rPr>
          <w:rFonts w:ascii="Palatino Linotype" w:eastAsia="Palatino Linotype" w:hAnsi="Palatino Linotype" w:cs="Palatino Linotype"/>
          <w:color w:val="000000"/>
        </w:rPr>
        <w:t>Este organismo garante no pasa por alto justificar, que la dilación en la resolución del presente asunto encuentra justificación en el alto número de recursos de revisión recibidos, circunstancia atípica que ha rebasado las capacidades técnicas y humanas del personal encargado de la proyección de las resoluciones a dichos medios de impugnación.</w:t>
      </w:r>
    </w:p>
    <w:p w14:paraId="56E034A4" w14:textId="77777777" w:rsidR="00F87070" w:rsidRDefault="00F87070">
      <w:pPr>
        <w:pBdr>
          <w:top w:val="nil"/>
          <w:left w:val="nil"/>
          <w:bottom w:val="nil"/>
          <w:right w:val="nil"/>
          <w:between w:val="nil"/>
        </w:pBdr>
        <w:spacing w:line="360" w:lineRule="auto"/>
        <w:ind w:right="-734"/>
        <w:jc w:val="both"/>
        <w:rPr>
          <w:rFonts w:ascii="Palatino Linotype" w:eastAsia="Palatino Linotype" w:hAnsi="Palatino Linotype" w:cs="Palatino Linotype"/>
          <w:color w:val="000000"/>
        </w:rPr>
      </w:pPr>
    </w:p>
    <w:p w14:paraId="7250674B" w14:textId="77777777" w:rsidR="00F87070" w:rsidRDefault="00DB3BF7">
      <w:pPr>
        <w:numPr>
          <w:ilvl w:val="0"/>
          <w:numId w:val="6"/>
        </w:numPr>
        <w:pBdr>
          <w:top w:val="nil"/>
          <w:left w:val="nil"/>
          <w:bottom w:val="nil"/>
          <w:right w:val="nil"/>
          <w:between w:val="nil"/>
        </w:pBdr>
        <w:spacing w:line="360" w:lineRule="auto"/>
        <w:ind w:left="0" w:right="-734" w:firstLine="0"/>
        <w:jc w:val="both"/>
        <w:rPr>
          <w:rFonts w:ascii="Palatino Linotype" w:eastAsia="Palatino Linotype" w:hAnsi="Palatino Linotype" w:cs="Palatino Linotype"/>
          <w:b/>
          <w:color w:val="000000"/>
        </w:rPr>
      </w:pPr>
      <w:r>
        <w:rPr>
          <w:rFonts w:ascii="Palatino Linotype" w:eastAsia="Palatino Linotype" w:hAnsi="Palatino Linotype" w:cs="Palatino Linotype"/>
          <w:color w:val="000000"/>
        </w:rPr>
        <w:t xml:space="preserve">Por ello, es menester precisar que si bien se ha excedido el plazo para resolver el presente medio de impugnación, de conformidad con la ley de la materia, dicha dilación es de carácter excepcional y se encuentra justificada en los elementos para medir la razonabilidad del plazo de resolución de asuntos conforme a los parámetros establecidos por </w:t>
      </w:r>
      <w:r>
        <w:rPr>
          <w:rFonts w:ascii="Palatino Linotype" w:eastAsia="Palatino Linotype" w:hAnsi="Palatino Linotype" w:cs="Palatino Linotype"/>
          <w:color w:val="000000"/>
        </w:rPr>
        <w:lastRenderedPageBreak/>
        <w:t>diversos órganos jurisdiccionales federales, aplicables también en procedimientos análogos, como el que nos ocupa.</w:t>
      </w:r>
    </w:p>
    <w:p w14:paraId="1197A1C8" w14:textId="77777777" w:rsidR="00F87070" w:rsidRDefault="00F87070">
      <w:pPr>
        <w:pBdr>
          <w:top w:val="nil"/>
          <w:left w:val="nil"/>
          <w:bottom w:val="nil"/>
          <w:right w:val="nil"/>
          <w:between w:val="nil"/>
        </w:pBdr>
        <w:spacing w:line="360" w:lineRule="auto"/>
        <w:ind w:left="644" w:right="-734"/>
        <w:jc w:val="both"/>
        <w:rPr>
          <w:rFonts w:ascii="Palatino Linotype" w:eastAsia="Palatino Linotype" w:hAnsi="Palatino Linotype" w:cs="Palatino Linotype"/>
        </w:rPr>
      </w:pPr>
    </w:p>
    <w:p w14:paraId="0126411D" w14:textId="77777777" w:rsidR="00F87070" w:rsidRDefault="00DB3BF7">
      <w:pPr>
        <w:numPr>
          <w:ilvl w:val="0"/>
          <w:numId w:val="6"/>
        </w:numPr>
        <w:pBdr>
          <w:top w:val="nil"/>
          <w:left w:val="nil"/>
          <w:bottom w:val="nil"/>
          <w:right w:val="nil"/>
          <w:between w:val="nil"/>
        </w:pBdr>
        <w:spacing w:line="360" w:lineRule="auto"/>
        <w:ind w:left="0" w:right="-734" w:firstLine="0"/>
        <w:jc w:val="both"/>
        <w:rPr>
          <w:rFonts w:ascii="Palatino Linotype" w:eastAsia="Palatino Linotype" w:hAnsi="Palatino Linotype" w:cs="Palatino Linotype"/>
          <w:b/>
          <w:color w:val="000000"/>
        </w:rPr>
      </w:pPr>
      <w:r>
        <w:rPr>
          <w:rFonts w:ascii="Palatino Linotype" w:eastAsia="Palatino Linotype" w:hAnsi="Palatino Linotype" w:cs="Palatino Linotype"/>
          <w:color w:val="000000"/>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339CA5A4" w14:textId="77777777" w:rsidR="00F87070" w:rsidRDefault="00F87070">
      <w:pPr>
        <w:pBdr>
          <w:top w:val="nil"/>
          <w:left w:val="nil"/>
          <w:bottom w:val="nil"/>
          <w:right w:val="nil"/>
          <w:between w:val="nil"/>
        </w:pBdr>
        <w:spacing w:line="360" w:lineRule="auto"/>
        <w:ind w:right="-734"/>
        <w:jc w:val="both"/>
        <w:rPr>
          <w:rFonts w:ascii="Palatino Linotype" w:eastAsia="Palatino Linotype" w:hAnsi="Palatino Linotype" w:cs="Palatino Linotype"/>
          <w:color w:val="000000"/>
        </w:rPr>
      </w:pPr>
    </w:p>
    <w:p w14:paraId="1B8B4F96" w14:textId="77777777" w:rsidR="00F87070" w:rsidRDefault="00DB3BF7">
      <w:pPr>
        <w:numPr>
          <w:ilvl w:val="0"/>
          <w:numId w:val="6"/>
        </w:numPr>
        <w:pBdr>
          <w:top w:val="nil"/>
          <w:left w:val="nil"/>
          <w:bottom w:val="nil"/>
          <w:right w:val="nil"/>
          <w:between w:val="nil"/>
        </w:pBdr>
        <w:spacing w:line="360" w:lineRule="auto"/>
        <w:ind w:left="0" w:right="-734" w:firstLine="0"/>
        <w:jc w:val="both"/>
        <w:rPr>
          <w:rFonts w:ascii="Palatino Linotype" w:eastAsia="Palatino Linotype" w:hAnsi="Palatino Linotype" w:cs="Palatino Linotype"/>
          <w:b/>
          <w:color w:val="000000"/>
        </w:rPr>
      </w:pPr>
      <w:r>
        <w:rPr>
          <w:rFonts w:ascii="Palatino Linotype" w:eastAsia="Palatino Linotype" w:hAnsi="Palatino Linotype" w:cs="Palatino Linotype"/>
          <w:color w:val="000000"/>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4A78E5A7" w14:textId="77777777" w:rsidR="00F87070" w:rsidRDefault="00F87070">
      <w:pPr>
        <w:pBdr>
          <w:top w:val="nil"/>
          <w:left w:val="nil"/>
          <w:bottom w:val="nil"/>
          <w:right w:val="nil"/>
          <w:between w:val="nil"/>
        </w:pBdr>
        <w:spacing w:line="360" w:lineRule="auto"/>
        <w:ind w:right="-734"/>
        <w:jc w:val="both"/>
        <w:rPr>
          <w:rFonts w:ascii="Palatino Linotype" w:eastAsia="Palatino Linotype" w:hAnsi="Palatino Linotype" w:cs="Palatino Linotype"/>
          <w:color w:val="000000"/>
        </w:rPr>
      </w:pPr>
    </w:p>
    <w:p w14:paraId="1B0F03AF" w14:textId="77777777" w:rsidR="00F87070" w:rsidRDefault="00DB3BF7">
      <w:pPr>
        <w:numPr>
          <w:ilvl w:val="0"/>
          <w:numId w:val="6"/>
        </w:numPr>
        <w:pBdr>
          <w:top w:val="nil"/>
          <w:left w:val="nil"/>
          <w:bottom w:val="nil"/>
          <w:right w:val="nil"/>
          <w:between w:val="nil"/>
        </w:pBdr>
        <w:spacing w:line="360" w:lineRule="auto"/>
        <w:ind w:left="0" w:right="-734" w:firstLine="0"/>
        <w:jc w:val="both"/>
        <w:rPr>
          <w:rFonts w:ascii="Palatino Linotype" w:eastAsia="Palatino Linotype" w:hAnsi="Palatino Linotype" w:cs="Palatino Linotype"/>
          <w:b/>
          <w:color w:val="000000"/>
        </w:rPr>
      </w:pPr>
      <w:r>
        <w:rPr>
          <w:rFonts w:ascii="Palatino Linotype" w:eastAsia="Palatino Linotype" w:hAnsi="Palatino Linotype" w:cs="Palatino Linotype"/>
          <w:color w:val="000000"/>
        </w:rPr>
        <w:t xml:space="preserve">Por ello, excepcionalmente, si un asunto es resuelto con posterioridad a los plazos señalados por la norma debe analizarse la razonabilidad de dicha dilación atendiendo a los siguientes criterios:   </w:t>
      </w:r>
    </w:p>
    <w:p w14:paraId="2A0D21CC" w14:textId="77777777" w:rsidR="00F87070" w:rsidRDefault="00DB3BF7">
      <w:pPr>
        <w:numPr>
          <w:ilvl w:val="0"/>
          <w:numId w:val="5"/>
        </w:numPr>
        <w:pBdr>
          <w:top w:val="nil"/>
          <w:left w:val="nil"/>
          <w:bottom w:val="nil"/>
          <w:right w:val="nil"/>
          <w:between w:val="nil"/>
        </w:pBdr>
        <w:spacing w:line="360" w:lineRule="auto"/>
        <w:ind w:left="992" w:right="-25"/>
        <w:jc w:val="both"/>
        <w:rPr>
          <w:rFonts w:ascii="Palatino Linotype" w:eastAsia="Palatino Linotype" w:hAnsi="Palatino Linotype" w:cs="Palatino Linotype"/>
          <w:sz w:val="22"/>
          <w:szCs w:val="22"/>
        </w:rPr>
      </w:pPr>
      <w:r>
        <w:rPr>
          <w:rFonts w:ascii="Palatino Linotype" w:eastAsia="Palatino Linotype" w:hAnsi="Palatino Linotype" w:cs="Palatino Linotype"/>
          <w:color w:val="000000"/>
          <w:sz w:val="22"/>
          <w:szCs w:val="22"/>
        </w:rPr>
        <w:t xml:space="preserve">Complejidad del </w:t>
      </w:r>
      <w:r>
        <w:rPr>
          <w:rFonts w:ascii="Palatino Linotype" w:eastAsia="Palatino Linotype" w:hAnsi="Palatino Linotype" w:cs="Palatino Linotype"/>
          <w:sz w:val="22"/>
          <w:szCs w:val="22"/>
        </w:rPr>
        <w:t>asunto</w:t>
      </w:r>
      <w:r>
        <w:rPr>
          <w:rFonts w:ascii="Palatino Linotype" w:eastAsia="Palatino Linotype" w:hAnsi="Palatino Linotype" w:cs="Palatino Linotype"/>
          <w:color w:val="000000"/>
          <w:sz w:val="22"/>
          <w:szCs w:val="22"/>
        </w:rPr>
        <w:t xml:space="preserve">: La complejidad de la prueba, la pluralidad de sujetos procesales, el tiempo transcurrido, las características y contexto del recurso. </w:t>
      </w:r>
    </w:p>
    <w:p w14:paraId="54D6650D" w14:textId="77777777" w:rsidR="00F87070" w:rsidRDefault="00DB3BF7">
      <w:pPr>
        <w:numPr>
          <w:ilvl w:val="0"/>
          <w:numId w:val="5"/>
        </w:numPr>
        <w:pBdr>
          <w:top w:val="nil"/>
          <w:left w:val="nil"/>
          <w:bottom w:val="nil"/>
          <w:right w:val="nil"/>
          <w:between w:val="nil"/>
        </w:pBdr>
        <w:spacing w:line="360" w:lineRule="auto"/>
        <w:ind w:left="992" w:right="-25"/>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Actividad Procesal del interesado. Acciones u omisiones del interesado.</w:t>
      </w:r>
    </w:p>
    <w:p w14:paraId="3FEF8AAD" w14:textId="77777777" w:rsidR="00F87070" w:rsidRDefault="00DB3BF7">
      <w:pPr>
        <w:numPr>
          <w:ilvl w:val="0"/>
          <w:numId w:val="5"/>
        </w:numPr>
        <w:pBdr>
          <w:top w:val="nil"/>
          <w:left w:val="nil"/>
          <w:bottom w:val="nil"/>
          <w:right w:val="nil"/>
          <w:between w:val="nil"/>
        </w:pBdr>
        <w:spacing w:line="360" w:lineRule="auto"/>
        <w:ind w:left="992" w:right="-25"/>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Conducta de la Autoridad: Las Acciones u omisiones realizadas en el procedimiento. Así como si la autoridad actuó con la debida diligencia.</w:t>
      </w:r>
    </w:p>
    <w:p w14:paraId="63A7D85A" w14:textId="77777777" w:rsidR="00F87070" w:rsidRDefault="00DB3BF7">
      <w:pPr>
        <w:numPr>
          <w:ilvl w:val="0"/>
          <w:numId w:val="5"/>
        </w:numPr>
        <w:pBdr>
          <w:top w:val="nil"/>
          <w:left w:val="nil"/>
          <w:bottom w:val="nil"/>
          <w:right w:val="nil"/>
          <w:between w:val="nil"/>
        </w:pBdr>
        <w:spacing w:line="360" w:lineRule="auto"/>
        <w:ind w:left="992" w:right="-25"/>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La afectación generada en la situación jurídica de la persona involucrada en el proceso: Violación a sus derechos humanos.</w:t>
      </w:r>
    </w:p>
    <w:p w14:paraId="3923D5CE" w14:textId="77777777" w:rsidR="00F87070" w:rsidRDefault="00F87070">
      <w:pPr>
        <w:pBdr>
          <w:top w:val="nil"/>
          <w:left w:val="nil"/>
          <w:bottom w:val="nil"/>
          <w:right w:val="nil"/>
          <w:between w:val="nil"/>
        </w:pBdr>
        <w:spacing w:line="360" w:lineRule="auto"/>
        <w:ind w:left="851" w:right="-734"/>
        <w:jc w:val="both"/>
        <w:rPr>
          <w:rFonts w:ascii="Palatino Linotype" w:eastAsia="Palatino Linotype" w:hAnsi="Palatino Linotype" w:cs="Palatino Linotype"/>
          <w:color w:val="000000"/>
        </w:rPr>
      </w:pPr>
    </w:p>
    <w:p w14:paraId="2ECE02E6" w14:textId="77777777" w:rsidR="00F87070" w:rsidRDefault="00DB3BF7">
      <w:pPr>
        <w:numPr>
          <w:ilvl w:val="0"/>
          <w:numId w:val="6"/>
        </w:numPr>
        <w:pBdr>
          <w:top w:val="nil"/>
          <w:left w:val="nil"/>
          <w:bottom w:val="nil"/>
          <w:right w:val="nil"/>
          <w:between w:val="nil"/>
        </w:pBdr>
        <w:spacing w:line="360" w:lineRule="auto"/>
        <w:ind w:left="0" w:right="-734" w:firstLine="0"/>
        <w:jc w:val="both"/>
        <w:rPr>
          <w:rFonts w:ascii="Palatino Linotype" w:eastAsia="Palatino Linotype" w:hAnsi="Palatino Linotype" w:cs="Palatino Linotype"/>
          <w:b/>
          <w:color w:val="000000"/>
        </w:rPr>
      </w:pPr>
      <w:r>
        <w:rPr>
          <w:rFonts w:ascii="Palatino Linotype" w:eastAsia="Palatino Linotype" w:hAnsi="Palatino Linotype" w:cs="Palatino Linotype"/>
          <w:color w:val="000000"/>
        </w:rPr>
        <w:t xml:space="preserve">De modo que, cuando se trate de un asunto excepcional, por alguna o todas las características mencionadas o bien, cuando el ingreso de asuntos al órgano jurisdiccional </w:t>
      </w:r>
      <w:r>
        <w:rPr>
          <w:rFonts w:ascii="Palatino Linotype" w:eastAsia="Palatino Linotype" w:hAnsi="Palatino Linotype" w:cs="Palatino Linotype"/>
          <w:color w:val="000000"/>
        </w:rPr>
        <w:lastRenderedPageBreak/>
        <w:t>o cuasi jurisdiccional respectivo supere notoriamente al que podría considerarse normal, debe concluirse que es una excluyente de responsabilidad en relación con la actuación del funcionario, como ha acontecido en el caso que nos ocupa.</w:t>
      </w:r>
    </w:p>
    <w:p w14:paraId="3051FAD6" w14:textId="77777777" w:rsidR="00F87070" w:rsidRDefault="00F87070">
      <w:pPr>
        <w:pBdr>
          <w:top w:val="nil"/>
          <w:left w:val="nil"/>
          <w:bottom w:val="nil"/>
          <w:right w:val="nil"/>
          <w:between w:val="nil"/>
        </w:pBdr>
        <w:spacing w:line="360" w:lineRule="auto"/>
        <w:ind w:right="-734"/>
        <w:jc w:val="both"/>
        <w:rPr>
          <w:rFonts w:ascii="Palatino Linotype" w:eastAsia="Palatino Linotype" w:hAnsi="Palatino Linotype" w:cs="Palatino Linotype"/>
          <w:b/>
          <w:color w:val="000000"/>
        </w:rPr>
      </w:pPr>
    </w:p>
    <w:p w14:paraId="5410AFF2" w14:textId="77777777" w:rsidR="00F87070" w:rsidRDefault="00DB3BF7">
      <w:pPr>
        <w:numPr>
          <w:ilvl w:val="0"/>
          <w:numId w:val="6"/>
        </w:numPr>
        <w:pBdr>
          <w:top w:val="nil"/>
          <w:left w:val="nil"/>
          <w:bottom w:val="nil"/>
          <w:right w:val="nil"/>
          <w:between w:val="nil"/>
        </w:pBdr>
        <w:spacing w:line="360" w:lineRule="auto"/>
        <w:ind w:left="0" w:right="-734" w:firstLine="0"/>
        <w:jc w:val="both"/>
        <w:rPr>
          <w:rFonts w:ascii="Palatino Linotype" w:eastAsia="Palatino Linotype" w:hAnsi="Palatino Linotype" w:cs="Palatino Linotype"/>
          <w:b/>
          <w:color w:val="000000"/>
        </w:rPr>
      </w:pPr>
      <w:r>
        <w:rPr>
          <w:rFonts w:ascii="Palatino Linotype" w:eastAsia="Palatino Linotype" w:hAnsi="Palatino Linotype" w:cs="Palatino Linotype"/>
          <w:color w:val="000000"/>
        </w:rPr>
        <w:t xml:space="preserve">Argumento que encuentra sustento en la jurisprudencia P./J. 32/92 emitida por el Pleno de la Suprema Corte de Justicia de la Nación </w:t>
      </w:r>
      <w:r>
        <w:rPr>
          <w:rFonts w:ascii="Palatino Linotype" w:eastAsia="Palatino Linotype" w:hAnsi="Palatino Linotype" w:cs="Palatino Linotype"/>
        </w:rPr>
        <w:t>del rubro</w:t>
      </w:r>
      <w:r>
        <w:rPr>
          <w:rFonts w:ascii="Palatino Linotype" w:eastAsia="Palatino Linotype" w:hAnsi="Palatino Linotype" w:cs="Palatino Linotype"/>
          <w:color w:val="000000"/>
        </w:rPr>
        <w:t xml:space="preserve"> </w:t>
      </w:r>
      <w:r>
        <w:rPr>
          <w:rFonts w:ascii="Palatino Linotype" w:eastAsia="Palatino Linotype" w:hAnsi="Palatino Linotype" w:cs="Palatino Linotype"/>
          <w:i/>
          <w:color w:val="000000"/>
        </w:rPr>
        <w:t>“TÉRMINOS PROCESALES. PARA DETERMINAR SI UN FUNCIONARIO JUDICIAL ACTUÓ INDEBIDAMENTE POR NO RESPETARLOS SE DEBE ATENDER AL PRESUPUESTO QUE CONSIDERÓ EL LEGISLADOR AL FIJARLOS Y LAS CARACTERÍSTICAS DEL CASO.”</w:t>
      </w:r>
      <w:r>
        <w:rPr>
          <w:rFonts w:ascii="Palatino Linotype" w:eastAsia="Palatino Linotype" w:hAnsi="Palatino Linotype" w:cs="Palatino Linotype"/>
          <w:color w:val="000000"/>
        </w:rPr>
        <w:t xml:space="preserve">, visible en la Gaceta del </w:t>
      </w:r>
      <w:r>
        <w:rPr>
          <w:rFonts w:ascii="Palatino Linotype" w:eastAsia="Palatino Linotype" w:hAnsi="Palatino Linotype" w:cs="Palatino Linotype"/>
        </w:rPr>
        <w:t>Semanario</w:t>
      </w:r>
      <w:r>
        <w:rPr>
          <w:rFonts w:ascii="Palatino Linotype" w:eastAsia="Palatino Linotype" w:hAnsi="Palatino Linotype" w:cs="Palatino Linotype"/>
          <w:color w:val="000000"/>
        </w:rPr>
        <w:t xml:space="preserve"> Judicial de la Federación con el registro digital 205635.</w:t>
      </w:r>
    </w:p>
    <w:p w14:paraId="1F3AA657" w14:textId="77777777" w:rsidR="00F87070" w:rsidRDefault="00F87070">
      <w:pPr>
        <w:pBdr>
          <w:top w:val="nil"/>
          <w:left w:val="nil"/>
          <w:bottom w:val="nil"/>
          <w:right w:val="nil"/>
          <w:between w:val="nil"/>
        </w:pBdr>
        <w:spacing w:line="360" w:lineRule="auto"/>
        <w:ind w:right="-734"/>
        <w:jc w:val="both"/>
        <w:rPr>
          <w:rFonts w:ascii="Palatino Linotype" w:eastAsia="Palatino Linotype" w:hAnsi="Palatino Linotype" w:cs="Palatino Linotype"/>
          <w:color w:val="000000"/>
        </w:rPr>
      </w:pPr>
    </w:p>
    <w:p w14:paraId="280C1FC3" w14:textId="77777777" w:rsidR="00F87070" w:rsidRDefault="00DB3BF7">
      <w:pPr>
        <w:numPr>
          <w:ilvl w:val="0"/>
          <w:numId w:val="6"/>
        </w:numPr>
        <w:pBdr>
          <w:top w:val="nil"/>
          <w:left w:val="nil"/>
          <w:bottom w:val="nil"/>
          <w:right w:val="nil"/>
          <w:between w:val="nil"/>
        </w:pBdr>
        <w:spacing w:line="360" w:lineRule="auto"/>
        <w:ind w:left="0" w:right="-734" w:firstLine="0"/>
        <w:jc w:val="both"/>
        <w:rPr>
          <w:rFonts w:ascii="Palatino Linotype" w:eastAsia="Palatino Linotype" w:hAnsi="Palatino Linotype" w:cs="Palatino Linotype"/>
          <w:b/>
          <w:color w:val="000000"/>
        </w:rPr>
      </w:pPr>
      <w:r>
        <w:rPr>
          <w:rFonts w:ascii="Palatino Linotype" w:eastAsia="Palatino Linotype" w:hAnsi="Palatino Linotype" w:cs="Palatino Linotype"/>
          <w:color w:val="000000"/>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742B529B" w14:textId="77777777" w:rsidR="00F87070" w:rsidRDefault="00F87070">
      <w:pPr>
        <w:pBdr>
          <w:top w:val="nil"/>
          <w:left w:val="nil"/>
          <w:bottom w:val="nil"/>
          <w:right w:val="nil"/>
          <w:between w:val="nil"/>
        </w:pBdr>
        <w:spacing w:line="360" w:lineRule="auto"/>
        <w:ind w:right="-734"/>
        <w:jc w:val="both"/>
        <w:rPr>
          <w:rFonts w:ascii="Palatino Linotype" w:eastAsia="Palatino Linotype" w:hAnsi="Palatino Linotype" w:cs="Palatino Linotype"/>
          <w:color w:val="000000"/>
        </w:rPr>
      </w:pPr>
    </w:p>
    <w:p w14:paraId="3D0CEB30" w14:textId="77777777" w:rsidR="00F87070" w:rsidRDefault="00DB3BF7">
      <w:pPr>
        <w:numPr>
          <w:ilvl w:val="0"/>
          <w:numId w:val="6"/>
        </w:numPr>
        <w:pBdr>
          <w:top w:val="nil"/>
          <w:left w:val="nil"/>
          <w:bottom w:val="nil"/>
          <w:right w:val="nil"/>
          <w:between w:val="nil"/>
        </w:pBdr>
        <w:spacing w:line="360" w:lineRule="auto"/>
        <w:ind w:left="0" w:right="-734" w:firstLine="0"/>
        <w:jc w:val="both"/>
        <w:rPr>
          <w:rFonts w:ascii="Palatino Linotype" w:eastAsia="Palatino Linotype" w:hAnsi="Palatino Linotype" w:cs="Palatino Linotype"/>
          <w:b/>
          <w:color w:val="000000"/>
        </w:rPr>
      </w:pPr>
      <w:r>
        <w:rPr>
          <w:rFonts w:ascii="Palatino Linotype" w:eastAsia="Palatino Linotype" w:hAnsi="Palatino Linotype" w:cs="Palatino Linotype"/>
          <w:color w:val="000000"/>
        </w:rPr>
        <w:t>Por ello, este organismo garante comprometido con la tutela de los derechos humanos confiados, señala que este exceso del plazo legal para resolver el presente asunto, resulta de carácter excepcional.</w:t>
      </w:r>
    </w:p>
    <w:p w14:paraId="33A7530D" w14:textId="77777777" w:rsidR="00F87070" w:rsidRDefault="00F87070">
      <w:pPr>
        <w:pBdr>
          <w:top w:val="nil"/>
          <w:left w:val="nil"/>
          <w:bottom w:val="nil"/>
          <w:right w:val="nil"/>
          <w:between w:val="nil"/>
        </w:pBdr>
        <w:spacing w:line="360" w:lineRule="auto"/>
        <w:ind w:right="-734"/>
        <w:jc w:val="both"/>
        <w:rPr>
          <w:rFonts w:ascii="Palatino Linotype" w:eastAsia="Palatino Linotype" w:hAnsi="Palatino Linotype" w:cs="Palatino Linotype"/>
          <w:color w:val="000000"/>
        </w:rPr>
      </w:pPr>
    </w:p>
    <w:p w14:paraId="3529DF8F" w14:textId="77777777" w:rsidR="00F87070" w:rsidRDefault="00DB3BF7">
      <w:pPr>
        <w:numPr>
          <w:ilvl w:val="0"/>
          <w:numId w:val="6"/>
        </w:numPr>
        <w:pBdr>
          <w:top w:val="nil"/>
          <w:left w:val="nil"/>
          <w:bottom w:val="nil"/>
          <w:right w:val="nil"/>
          <w:between w:val="nil"/>
        </w:pBdr>
        <w:spacing w:line="360" w:lineRule="auto"/>
        <w:ind w:left="0" w:right="-734" w:firstLine="0"/>
        <w:jc w:val="both"/>
        <w:rPr>
          <w:rFonts w:ascii="Palatino Linotype" w:eastAsia="Palatino Linotype" w:hAnsi="Palatino Linotype" w:cs="Palatino Linotype"/>
          <w:b/>
          <w:color w:val="000000"/>
        </w:rPr>
      </w:pPr>
      <w:r>
        <w:rPr>
          <w:rFonts w:ascii="Palatino Linotype" w:eastAsia="Palatino Linotype" w:hAnsi="Palatino Linotype" w:cs="Palatino Linotype"/>
          <w:color w:val="000000"/>
        </w:rPr>
        <w:lastRenderedPageBreak/>
        <w:t>Al respecto, también son de considerar los criterios sostenidos por el Cuarto Tribunal Colegiado en Materia Administrativa del Primer Circuito, cuyos rubros y datos de identificación son los siguientes:</w:t>
      </w:r>
    </w:p>
    <w:p w14:paraId="22722F84" w14:textId="77777777" w:rsidR="00F87070" w:rsidRDefault="00DB3BF7">
      <w:pPr>
        <w:pBdr>
          <w:top w:val="nil"/>
          <w:left w:val="nil"/>
          <w:bottom w:val="nil"/>
          <w:right w:val="nil"/>
          <w:between w:val="nil"/>
        </w:pBdr>
        <w:spacing w:line="360" w:lineRule="auto"/>
        <w:ind w:left="851" w:right="-25"/>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i/>
          <w:color w:val="000000"/>
          <w:sz w:val="22"/>
          <w:szCs w:val="22"/>
        </w:rPr>
        <w:t>“PLAZO RAZONABLE PARA RESOLVER. DIMENSIÓN Y EFECTOS DE ESTE CONCEPTO CUANDO SE ADUCE EXCESIVA CARGA DE TRABAJO.”</w:t>
      </w:r>
      <w:r>
        <w:rPr>
          <w:rFonts w:ascii="Palatino Linotype" w:eastAsia="Palatino Linotype" w:hAnsi="Palatino Linotype" w:cs="Palatino Linotype"/>
          <w:color w:val="000000"/>
          <w:sz w:val="22"/>
          <w:szCs w:val="22"/>
        </w:rPr>
        <w:t xml:space="preserve"> consultable en el Sem</w:t>
      </w:r>
      <w:r>
        <w:rPr>
          <w:rFonts w:ascii="Palatino Linotype" w:eastAsia="Palatino Linotype" w:hAnsi="Palatino Linotype" w:cs="Palatino Linotype"/>
          <w:sz w:val="22"/>
          <w:szCs w:val="22"/>
        </w:rPr>
        <w:t>a</w:t>
      </w:r>
      <w:r>
        <w:rPr>
          <w:rFonts w:ascii="Palatino Linotype" w:eastAsia="Palatino Linotype" w:hAnsi="Palatino Linotype" w:cs="Palatino Linotype"/>
          <w:color w:val="000000"/>
          <w:sz w:val="22"/>
          <w:szCs w:val="22"/>
        </w:rPr>
        <w:t>nario Judicial de la Federación y su gaceta, con el registro digital 2002351.</w:t>
      </w:r>
    </w:p>
    <w:p w14:paraId="1195A822" w14:textId="77777777" w:rsidR="00F87070" w:rsidRDefault="00F87070">
      <w:pPr>
        <w:pBdr>
          <w:top w:val="nil"/>
          <w:left w:val="nil"/>
          <w:bottom w:val="nil"/>
          <w:right w:val="nil"/>
          <w:between w:val="nil"/>
        </w:pBdr>
        <w:spacing w:line="360" w:lineRule="auto"/>
        <w:ind w:left="851" w:right="-25"/>
        <w:jc w:val="both"/>
        <w:rPr>
          <w:rFonts w:ascii="Palatino Linotype" w:eastAsia="Palatino Linotype" w:hAnsi="Palatino Linotype" w:cs="Palatino Linotype"/>
          <w:b/>
          <w:color w:val="000000"/>
          <w:sz w:val="22"/>
          <w:szCs w:val="22"/>
        </w:rPr>
      </w:pPr>
    </w:p>
    <w:p w14:paraId="355FD746" w14:textId="77777777" w:rsidR="00F87070" w:rsidRDefault="00DB3BF7">
      <w:pPr>
        <w:pBdr>
          <w:top w:val="nil"/>
          <w:left w:val="nil"/>
          <w:bottom w:val="nil"/>
          <w:right w:val="nil"/>
          <w:between w:val="nil"/>
        </w:pBdr>
        <w:spacing w:line="360" w:lineRule="auto"/>
        <w:ind w:left="851" w:right="-25"/>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i/>
          <w:color w:val="000000"/>
          <w:sz w:val="22"/>
          <w:szCs w:val="22"/>
        </w:rPr>
        <w:t>“PLAZO RAZONABLE PARA RESOLVER. CONCEPTO Y ELEMENTOS QUE LO INTEGRAN A LA LUZ DEL DERECHO INTERNACIONAL DE LOS DERECHOS HUMANOS.”</w:t>
      </w:r>
      <w:r>
        <w:rPr>
          <w:rFonts w:ascii="Palatino Linotype" w:eastAsia="Palatino Linotype" w:hAnsi="Palatino Linotype" w:cs="Palatino Linotype"/>
          <w:color w:val="000000"/>
          <w:sz w:val="22"/>
          <w:szCs w:val="22"/>
        </w:rPr>
        <w:t>, visible en el Sem</w:t>
      </w:r>
      <w:r>
        <w:rPr>
          <w:rFonts w:ascii="Palatino Linotype" w:eastAsia="Palatino Linotype" w:hAnsi="Palatino Linotype" w:cs="Palatino Linotype"/>
          <w:sz w:val="22"/>
          <w:szCs w:val="22"/>
        </w:rPr>
        <w:t>a</w:t>
      </w:r>
      <w:r>
        <w:rPr>
          <w:rFonts w:ascii="Palatino Linotype" w:eastAsia="Palatino Linotype" w:hAnsi="Palatino Linotype" w:cs="Palatino Linotype"/>
          <w:color w:val="000000"/>
          <w:sz w:val="22"/>
          <w:szCs w:val="22"/>
        </w:rPr>
        <w:t>nario Judicial de la Federación y su gaceta, con el registro digital 2002350.</w:t>
      </w:r>
    </w:p>
    <w:p w14:paraId="38D277BD" w14:textId="77777777" w:rsidR="00F87070" w:rsidRDefault="00F87070">
      <w:pPr>
        <w:pBdr>
          <w:top w:val="nil"/>
          <w:left w:val="nil"/>
          <w:bottom w:val="nil"/>
          <w:right w:val="nil"/>
          <w:between w:val="nil"/>
        </w:pBdr>
        <w:spacing w:line="360" w:lineRule="auto"/>
        <w:ind w:right="-734"/>
        <w:jc w:val="both"/>
        <w:rPr>
          <w:rFonts w:ascii="Palatino Linotype" w:eastAsia="Palatino Linotype" w:hAnsi="Palatino Linotype" w:cs="Palatino Linotype"/>
          <w:i/>
          <w:color w:val="000000"/>
        </w:rPr>
      </w:pPr>
    </w:p>
    <w:p w14:paraId="7D48694B" w14:textId="77777777" w:rsidR="00F87070" w:rsidRDefault="00DB3BF7">
      <w:pPr>
        <w:numPr>
          <w:ilvl w:val="0"/>
          <w:numId w:val="6"/>
        </w:numPr>
        <w:pBdr>
          <w:top w:val="nil"/>
          <w:left w:val="nil"/>
          <w:bottom w:val="nil"/>
          <w:right w:val="nil"/>
          <w:between w:val="nil"/>
        </w:pBdr>
        <w:spacing w:line="360" w:lineRule="auto"/>
        <w:ind w:left="0" w:right="-734" w:firstLine="0"/>
        <w:jc w:val="both"/>
        <w:rPr>
          <w:color w:val="000000"/>
        </w:rPr>
      </w:pPr>
      <w:r>
        <w:rPr>
          <w:rFonts w:ascii="Palatino Linotype" w:eastAsia="Palatino Linotype" w:hAnsi="Palatino Linotype" w:cs="Palatino Linotype"/>
          <w:color w:val="000000"/>
        </w:rPr>
        <w:t>Por ello, este Organismo Garante comprometido con la tutela de los derechos humanos confiados, señala que este exceso de plazo legal para resolver el presente asunto, resulta de carácter excepcional.</w:t>
      </w:r>
    </w:p>
    <w:p w14:paraId="5DFC6811" w14:textId="77777777" w:rsidR="00F87070" w:rsidRDefault="00F87070">
      <w:pPr>
        <w:spacing w:line="360" w:lineRule="auto"/>
        <w:ind w:right="-734"/>
        <w:jc w:val="both"/>
        <w:rPr>
          <w:rFonts w:ascii="Palatino Linotype" w:eastAsia="Palatino Linotype" w:hAnsi="Palatino Linotype" w:cs="Palatino Linotype"/>
        </w:rPr>
      </w:pPr>
    </w:p>
    <w:p w14:paraId="37313DE7" w14:textId="77777777" w:rsidR="00F87070" w:rsidRDefault="00DB3BF7">
      <w:pPr>
        <w:numPr>
          <w:ilvl w:val="0"/>
          <w:numId w:val="6"/>
        </w:numPr>
        <w:spacing w:line="360" w:lineRule="auto"/>
        <w:ind w:left="0" w:right="-734" w:firstLine="0"/>
        <w:jc w:val="both"/>
      </w:pPr>
      <w:r>
        <w:rPr>
          <w:rFonts w:ascii="Palatino Linotype" w:eastAsia="Palatino Linotype" w:hAnsi="Palatino Linotype" w:cs="Palatino Linotype"/>
        </w:rPr>
        <w:t xml:space="preserve">El treinta (30) de septiembre de dos mil veinticuatro, se notificaron los acuerdos a través de los cuales se decretó el cierre de instrucción. </w:t>
      </w:r>
    </w:p>
    <w:p w14:paraId="772085B4" w14:textId="77777777" w:rsidR="00F87070" w:rsidRDefault="00F87070">
      <w:pPr>
        <w:spacing w:line="360" w:lineRule="auto"/>
        <w:ind w:right="-734"/>
        <w:jc w:val="both"/>
        <w:rPr>
          <w:rFonts w:ascii="Palatino Linotype" w:eastAsia="Palatino Linotype" w:hAnsi="Palatino Linotype" w:cs="Palatino Linotype"/>
        </w:rPr>
      </w:pPr>
    </w:p>
    <w:p w14:paraId="35B652D6" w14:textId="77777777" w:rsidR="00F87070" w:rsidRDefault="00DB3BF7">
      <w:pPr>
        <w:keepNext/>
        <w:keepLines/>
        <w:spacing w:line="360" w:lineRule="auto"/>
        <w:ind w:right="-734"/>
        <w:jc w:val="center"/>
        <w:rPr>
          <w:rFonts w:ascii="Palatino Linotype" w:eastAsia="Palatino Linotype" w:hAnsi="Palatino Linotype" w:cs="Palatino Linotype"/>
        </w:rPr>
      </w:pPr>
      <w:bookmarkStart w:id="2" w:name="_heading=h.1fob9te" w:colFirst="0" w:colLast="0"/>
      <w:bookmarkEnd w:id="2"/>
      <w:r>
        <w:rPr>
          <w:rFonts w:ascii="Palatino Linotype" w:eastAsia="Palatino Linotype" w:hAnsi="Palatino Linotype" w:cs="Palatino Linotype"/>
          <w:b/>
        </w:rPr>
        <w:t xml:space="preserve">C O N S I D E R A N D O </w:t>
      </w:r>
    </w:p>
    <w:p w14:paraId="2E94ACBE" w14:textId="77777777" w:rsidR="00F87070" w:rsidRDefault="00F87070">
      <w:pPr>
        <w:spacing w:line="360" w:lineRule="auto"/>
        <w:ind w:right="-734"/>
        <w:rPr>
          <w:rFonts w:ascii="Palatino Linotype" w:eastAsia="Palatino Linotype" w:hAnsi="Palatino Linotype" w:cs="Palatino Linotype"/>
        </w:rPr>
      </w:pPr>
    </w:p>
    <w:p w14:paraId="18B3B610" w14:textId="77777777" w:rsidR="00F87070" w:rsidRDefault="00DB3BF7">
      <w:pPr>
        <w:keepNext/>
        <w:keepLines/>
        <w:spacing w:line="360" w:lineRule="auto"/>
        <w:ind w:right="-734"/>
        <w:rPr>
          <w:rFonts w:ascii="Palatino Linotype" w:eastAsia="Palatino Linotype" w:hAnsi="Palatino Linotype" w:cs="Palatino Linotype"/>
          <w:b/>
        </w:rPr>
      </w:pPr>
      <w:bookmarkStart w:id="3" w:name="_heading=h.3znysh7" w:colFirst="0" w:colLast="0"/>
      <w:bookmarkEnd w:id="3"/>
      <w:r>
        <w:rPr>
          <w:rFonts w:ascii="Palatino Linotype" w:eastAsia="Palatino Linotype" w:hAnsi="Palatino Linotype" w:cs="Palatino Linotype"/>
          <w:b/>
        </w:rPr>
        <w:t>PRIMERO. De la competencia</w:t>
      </w:r>
    </w:p>
    <w:p w14:paraId="415C50C4" w14:textId="77777777" w:rsidR="00F87070" w:rsidRDefault="00DB3BF7">
      <w:pPr>
        <w:numPr>
          <w:ilvl w:val="0"/>
          <w:numId w:val="6"/>
        </w:numPr>
        <w:spacing w:line="360" w:lineRule="auto"/>
        <w:ind w:left="0" w:right="-734" w:firstLine="0"/>
        <w:jc w:val="both"/>
      </w:pPr>
      <w:r>
        <w:rPr>
          <w:rFonts w:ascii="Palatino Linotype" w:eastAsia="Palatino Linotype" w:hAnsi="Palatino Linotype" w:cs="Palatino Linotype"/>
        </w:rPr>
        <w:t xml:space="preserve">Este Instituto de Transparencia, Acceso a la Información Pública y Protección de Datos Personales del Estado de México y Municipios, es competente para conocer y resolver del presente recurso de conformidad con el artículo: 6, apartado A, fracción IV de la Constitución Política de los Estados Unidos Mexicanos; 5, párrafos trigésimo segundo y trigésimo tercero, </w:t>
      </w:r>
      <w:r>
        <w:rPr>
          <w:rFonts w:ascii="Palatino Linotype" w:eastAsia="Palatino Linotype" w:hAnsi="Palatino Linotype" w:cs="Palatino Linotype"/>
        </w:rPr>
        <w:lastRenderedPageBreak/>
        <w:t>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XXIII, y 11 del Reglamento Interior del Instituto de Transparencia, Acceso a la Información Pública y Protección de Datos Personales del Estado de México y Municipios.</w:t>
      </w:r>
    </w:p>
    <w:p w14:paraId="0D933796" w14:textId="77777777" w:rsidR="00F87070" w:rsidRDefault="00F87070">
      <w:pPr>
        <w:spacing w:line="360" w:lineRule="auto"/>
        <w:ind w:right="-734"/>
        <w:jc w:val="both"/>
        <w:rPr>
          <w:rFonts w:ascii="Palatino Linotype" w:eastAsia="Palatino Linotype" w:hAnsi="Palatino Linotype" w:cs="Palatino Linotype"/>
        </w:rPr>
      </w:pPr>
    </w:p>
    <w:p w14:paraId="63C83ACD" w14:textId="77777777" w:rsidR="00F87070" w:rsidRDefault="00DB3BF7">
      <w:pPr>
        <w:keepNext/>
        <w:keepLines/>
        <w:spacing w:line="360" w:lineRule="auto"/>
        <w:ind w:right="-734"/>
        <w:rPr>
          <w:rFonts w:ascii="Palatino Linotype" w:eastAsia="Palatino Linotype" w:hAnsi="Palatino Linotype" w:cs="Palatino Linotype"/>
          <w:b/>
        </w:rPr>
      </w:pPr>
      <w:bookmarkStart w:id="4" w:name="_heading=h.2et92p0" w:colFirst="0" w:colLast="0"/>
      <w:bookmarkEnd w:id="4"/>
      <w:r>
        <w:rPr>
          <w:rFonts w:ascii="Palatino Linotype" w:eastAsia="Palatino Linotype" w:hAnsi="Palatino Linotype" w:cs="Palatino Linotype"/>
          <w:b/>
        </w:rPr>
        <w:t>SEGUNDO. De la oportunidad y procedencia.</w:t>
      </w:r>
    </w:p>
    <w:p w14:paraId="1384A4FD" w14:textId="77777777" w:rsidR="00F87070" w:rsidRDefault="00DB3BF7">
      <w:pPr>
        <w:numPr>
          <w:ilvl w:val="0"/>
          <w:numId w:val="6"/>
        </w:numPr>
        <w:spacing w:line="360" w:lineRule="auto"/>
        <w:ind w:left="0" w:right="-734" w:firstLine="0"/>
        <w:jc w:val="both"/>
      </w:pPr>
      <w:r>
        <w:rPr>
          <w:rFonts w:ascii="Palatino Linotype" w:eastAsia="Palatino Linotype" w:hAnsi="Palatino Linotype" w:cs="Palatino Linotype"/>
        </w:rPr>
        <w:t xml:space="preserve">El medio de impugnación fue presentado a través del </w:t>
      </w:r>
      <w:r>
        <w:rPr>
          <w:rFonts w:ascii="Palatino Linotype" w:eastAsia="Palatino Linotype" w:hAnsi="Palatino Linotype" w:cs="Palatino Linotype"/>
          <w:b/>
        </w:rPr>
        <w:t>SAIMEX,</w:t>
      </w:r>
      <w:r>
        <w:rPr>
          <w:rFonts w:ascii="Palatino Linotype" w:eastAsia="Palatino Linotype" w:hAnsi="Palatino Linotype" w:cs="Palatino Linotype"/>
        </w:rPr>
        <w:t xml:space="preserve"> en el formato previamente aprobado para tal efecto y dentro del plazo legal de quince días hábiles otorgados; siendo así que 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entregó respuestas a las solicitudes el día dieciséis (16) de enero de dos mil veinticuatro, de tal forma que el plazo para interponer el recurso de revisión transcurrió del diecisiete (17) de enero al seis (06) de febrero de dos mil veinticuatro, de acuerdo al calendario oficial del INFOEM; en consecuencia, presentó sus inconformidades el día diecisiete (17) de enero de dos mil veinticuatro, por lo que se encuentra dentro de los márgenes temporales previstos en el artículo 178 de la </w:t>
      </w:r>
      <w:r>
        <w:rPr>
          <w:rFonts w:ascii="Palatino Linotype" w:eastAsia="Palatino Linotype" w:hAnsi="Palatino Linotype" w:cs="Palatino Linotype"/>
          <w:b/>
        </w:rPr>
        <w:t xml:space="preserve">Ley de Transparencia y Acceso a la Información Pública del Estado de México y Municipios </w:t>
      </w:r>
      <w:r>
        <w:rPr>
          <w:rFonts w:ascii="Palatino Linotype" w:eastAsia="Palatino Linotype" w:hAnsi="Palatino Linotype" w:cs="Palatino Linotype"/>
        </w:rPr>
        <w:t>vigente.</w:t>
      </w:r>
    </w:p>
    <w:p w14:paraId="62BA4192" w14:textId="77777777" w:rsidR="00F87070" w:rsidRDefault="00F87070">
      <w:pPr>
        <w:spacing w:line="360" w:lineRule="auto"/>
        <w:ind w:right="-734"/>
        <w:jc w:val="both"/>
        <w:rPr>
          <w:rFonts w:ascii="Palatino Linotype" w:eastAsia="Palatino Linotype" w:hAnsi="Palatino Linotype" w:cs="Palatino Linotype"/>
        </w:rPr>
      </w:pPr>
    </w:p>
    <w:p w14:paraId="1E7258B4" w14:textId="77777777" w:rsidR="00F87070" w:rsidRDefault="00DB3BF7">
      <w:pPr>
        <w:numPr>
          <w:ilvl w:val="0"/>
          <w:numId w:val="6"/>
        </w:numPr>
        <w:spacing w:line="360" w:lineRule="auto"/>
        <w:ind w:left="0" w:right="-734" w:firstLine="0"/>
        <w:jc w:val="both"/>
      </w:pPr>
      <w:r>
        <w:rPr>
          <w:rFonts w:ascii="Palatino Linotype" w:eastAsia="Palatino Linotype" w:hAnsi="Palatino Linotype" w:cs="Palatino Linotype"/>
        </w:rPr>
        <w:t>Por otro lado, el escrito contiene las formalidades previstas por el artículo 180 último párrafo de la Ley de la materia actual, por lo que es procedente que este Instituto de Transparencia, Acceso a la Información Pública y Protección de Datos Personales del Estado de México y Municipios, conozca y resuelva el presente recurso.</w:t>
      </w:r>
    </w:p>
    <w:p w14:paraId="23C1C2FD" w14:textId="77777777" w:rsidR="00F87070" w:rsidRDefault="00F87070">
      <w:pPr>
        <w:pBdr>
          <w:top w:val="nil"/>
          <w:left w:val="nil"/>
          <w:bottom w:val="nil"/>
          <w:right w:val="nil"/>
          <w:between w:val="nil"/>
        </w:pBdr>
        <w:spacing w:line="360" w:lineRule="auto"/>
        <w:ind w:left="644" w:right="-734"/>
        <w:jc w:val="both"/>
        <w:rPr>
          <w:rFonts w:ascii="Palatino Linotype" w:eastAsia="Palatino Linotype" w:hAnsi="Palatino Linotype" w:cs="Palatino Linotype"/>
          <w:color w:val="000000"/>
        </w:rPr>
      </w:pPr>
    </w:p>
    <w:p w14:paraId="5B623654" w14:textId="77777777" w:rsidR="00F87070" w:rsidRDefault="00DB3BF7">
      <w:pPr>
        <w:pStyle w:val="Ttulo2"/>
        <w:tabs>
          <w:tab w:val="left" w:pos="0"/>
        </w:tabs>
        <w:spacing w:before="0" w:line="360" w:lineRule="auto"/>
        <w:ind w:right="-734"/>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lastRenderedPageBreak/>
        <w:t xml:space="preserve">TERCERO. De las causales de sobreseimiento </w:t>
      </w:r>
    </w:p>
    <w:p w14:paraId="61CB2D39" w14:textId="77777777" w:rsidR="00F87070" w:rsidRDefault="00DB3BF7">
      <w:pPr>
        <w:numPr>
          <w:ilvl w:val="0"/>
          <w:numId w:val="6"/>
        </w:numPr>
        <w:pBdr>
          <w:top w:val="nil"/>
          <w:left w:val="nil"/>
          <w:bottom w:val="nil"/>
          <w:right w:val="nil"/>
          <w:between w:val="nil"/>
        </w:pBdr>
        <w:tabs>
          <w:tab w:val="left" w:pos="567"/>
        </w:tabs>
        <w:spacing w:line="360" w:lineRule="auto"/>
        <w:ind w:left="0" w:right="-734" w:firstLine="0"/>
        <w:jc w:val="both"/>
        <w:rPr>
          <w:color w:val="000000"/>
        </w:rPr>
      </w:pPr>
      <w:r>
        <w:rPr>
          <w:rFonts w:ascii="Palatino Linotype" w:eastAsia="Palatino Linotype" w:hAnsi="Palatino Linotype" w:cs="Palatino Linotype"/>
          <w:color w:val="000000"/>
        </w:rPr>
        <w:t xml:space="preserve">El recurso de revisión tiene como finalidad reparar cualquier posible afectación al derecho de acceso a la información pública en términos del Título Octavo de la Ley de Transparencia, Acceso a la Información Pública del Estado de México y Municipios, y determinar la confirmación; revocación o modificación; desechamiento o </w:t>
      </w:r>
      <w:r>
        <w:rPr>
          <w:rFonts w:ascii="Palatino Linotype" w:eastAsia="Palatino Linotype" w:hAnsi="Palatino Linotype" w:cs="Palatino Linotype"/>
          <w:b/>
          <w:color w:val="000000"/>
          <w:u w:val="single"/>
        </w:rPr>
        <w:t>sobreseimiento</w:t>
      </w:r>
      <w:r>
        <w:rPr>
          <w:rFonts w:ascii="Palatino Linotype" w:eastAsia="Palatino Linotype" w:hAnsi="Palatino Linotype" w:cs="Palatino Linotype"/>
          <w:color w:val="000000"/>
        </w:rPr>
        <w:t xml:space="preserve">; y en su caso ordenar la entrega de la información con respecto a la respuesta emitida por el </w:t>
      </w:r>
      <w:r>
        <w:rPr>
          <w:rFonts w:ascii="Palatino Linotype" w:eastAsia="Palatino Linotype" w:hAnsi="Palatino Linotype" w:cs="Palatino Linotype"/>
          <w:b/>
          <w:color w:val="000000"/>
        </w:rPr>
        <w:t>SUJETO</w:t>
      </w:r>
      <w:r>
        <w:rPr>
          <w:rFonts w:ascii="Palatino Linotype" w:eastAsia="Palatino Linotype" w:hAnsi="Palatino Linotype" w:cs="Palatino Linotype"/>
          <w:color w:val="000000"/>
        </w:rPr>
        <w:t xml:space="preserve"> </w:t>
      </w:r>
      <w:r>
        <w:rPr>
          <w:rFonts w:ascii="Palatino Linotype" w:eastAsia="Palatino Linotype" w:hAnsi="Palatino Linotype" w:cs="Palatino Linotype"/>
          <w:b/>
          <w:color w:val="000000"/>
        </w:rPr>
        <w:t>OBLIGADO</w:t>
      </w:r>
      <w:r>
        <w:rPr>
          <w:rFonts w:ascii="Palatino Linotype" w:eastAsia="Palatino Linotype" w:hAnsi="Palatino Linotype" w:cs="Palatino Linotype"/>
          <w:color w:val="000000"/>
        </w:rPr>
        <w:t>.</w:t>
      </w:r>
    </w:p>
    <w:p w14:paraId="4A92D573" w14:textId="77777777" w:rsidR="00F87070" w:rsidRDefault="00F87070">
      <w:pPr>
        <w:pBdr>
          <w:top w:val="nil"/>
          <w:left w:val="nil"/>
          <w:bottom w:val="nil"/>
          <w:right w:val="nil"/>
          <w:between w:val="nil"/>
        </w:pBdr>
        <w:tabs>
          <w:tab w:val="left" w:pos="567"/>
        </w:tabs>
        <w:spacing w:line="360" w:lineRule="auto"/>
        <w:ind w:right="-734"/>
        <w:jc w:val="both"/>
        <w:rPr>
          <w:rFonts w:ascii="Palatino Linotype" w:eastAsia="Palatino Linotype" w:hAnsi="Palatino Linotype" w:cs="Palatino Linotype"/>
          <w:color w:val="000000"/>
        </w:rPr>
      </w:pPr>
    </w:p>
    <w:p w14:paraId="7E136C46" w14:textId="77777777" w:rsidR="00F87070" w:rsidRDefault="00DB3BF7">
      <w:pPr>
        <w:numPr>
          <w:ilvl w:val="0"/>
          <w:numId w:val="6"/>
        </w:numPr>
        <w:pBdr>
          <w:top w:val="nil"/>
          <w:left w:val="nil"/>
          <w:bottom w:val="nil"/>
          <w:right w:val="nil"/>
          <w:between w:val="nil"/>
        </w:pBdr>
        <w:tabs>
          <w:tab w:val="left" w:pos="284"/>
        </w:tabs>
        <w:spacing w:line="360" w:lineRule="auto"/>
        <w:ind w:left="0" w:right="-734" w:firstLine="0"/>
        <w:jc w:val="both"/>
        <w:rPr>
          <w:color w:val="000000"/>
        </w:rPr>
      </w:pPr>
      <w:r>
        <w:rPr>
          <w:rFonts w:ascii="Palatino Linotype" w:eastAsia="Palatino Linotype" w:hAnsi="Palatino Linotype" w:cs="Palatino Linotype"/>
          <w:color w:val="000000"/>
        </w:rPr>
        <w:t xml:space="preserve">En ese sentido, es necesario recordar que el particular solicitó el informe anual del Comité </w:t>
      </w:r>
      <w:r>
        <w:rPr>
          <w:rFonts w:ascii="Palatino Linotype" w:eastAsia="Palatino Linotype" w:hAnsi="Palatino Linotype" w:cs="Palatino Linotype"/>
        </w:rPr>
        <w:t>Coordinador</w:t>
      </w:r>
      <w:r>
        <w:rPr>
          <w:rFonts w:ascii="Palatino Linotype" w:eastAsia="Palatino Linotype" w:hAnsi="Palatino Linotype" w:cs="Palatino Linotype"/>
          <w:color w:val="000000"/>
        </w:rPr>
        <w:t xml:space="preserve"> del Sistema Municipal Anticorrupción, referente al ejercicio fiscal 2019 y 2020, en respuesta, el Sujeto Obligado </w:t>
      </w:r>
      <w:r>
        <w:rPr>
          <w:rFonts w:ascii="Palatino Linotype" w:eastAsia="Palatino Linotype" w:hAnsi="Palatino Linotype" w:cs="Palatino Linotype"/>
        </w:rPr>
        <w:t>sólo</w:t>
      </w:r>
      <w:r>
        <w:rPr>
          <w:rFonts w:ascii="Palatino Linotype" w:eastAsia="Palatino Linotype" w:hAnsi="Palatino Linotype" w:cs="Palatino Linotype"/>
          <w:color w:val="000000"/>
        </w:rPr>
        <w:t xml:space="preserve"> se limitó a adjuntar la solicitud </w:t>
      </w:r>
      <w:r>
        <w:rPr>
          <w:rFonts w:ascii="Palatino Linotype" w:eastAsia="Palatino Linotype" w:hAnsi="Palatino Linotype" w:cs="Palatino Linotype"/>
        </w:rPr>
        <w:t>del particular</w:t>
      </w:r>
      <w:r>
        <w:rPr>
          <w:rFonts w:ascii="Palatino Linotype" w:eastAsia="Palatino Linotype" w:hAnsi="Palatino Linotype" w:cs="Palatino Linotype"/>
          <w:color w:val="000000"/>
        </w:rPr>
        <w:t xml:space="preserve">. Posteriormente, el particular interpuso recurso de revisión en el </w:t>
      </w:r>
      <w:r>
        <w:rPr>
          <w:rFonts w:ascii="Palatino Linotype" w:eastAsia="Palatino Linotype" w:hAnsi="Palatino Linotype" w:cs="Palatino Linotype"/>
        </w:rPr>
        <w:t>que señaló</w:t>
      </w:r>
      <w:r>
        <w:rPr>
          <w:rFonts w:ascii="Palatino Linotype" w:eastAsia="Palatino Linotype" w:hAnsi="Palatino Linotype" w:cs="Palatino Linotype"/>
          <w:color w:val="000000"/>
        </w:rPr>
        <w:t xml:space="preserve"> su inconformidad por la negativa de la información. </w:t>
      </w:r>
    </w:p>
    <w:p w14:paraId="4A2DAEEB" w14:textId="77777777" w:rsidR="00F87070" w:rsidRDefault="00F87070">
      <w:pPr>
        <w:pBdr>
          <w:top w:val="nil"/>
          <w:left w:val="nil"/>
          <w:bottom w:val="nil"/>
          <w:right w:val="nil"/>
          <w:between w:val="nil"/>
        </w:pBdr>
        <w:ind w:left="720" w:right="-734"/>
        <w:rPr>
          <w:rFonts w:ascii="Palatino Linotype" w:eastAsia="Palatino Linotype" w:hAnsi="Palatino Linotype" w:cs="Palatino Linotype"/>
          <w:color w:val="000000"/>
        </w:rPr>
      </w:pPr>
    </w:p>
    <w:p w14:paraId="559C4004" w14:textId="77777777" w:rsidR="00F87070" w:rsidRDefault="00DB3BF7">
      <w:pPr>
        <w:numPr>
          <w:ilvl w:val="0"/>
          <w:numId w:val="6"/>
        </w:numPr>
        <w:pBdr>
          <w:top w:val="nil"/>
          <w:left w:val="nil"/>
          <w:bottom w:val="nil"/>
          <w:right w:val="nil"/>
          <w:between w:val="nil"/>
        </w:pBdr>
        <w:tabs>
          <w:tab w:val="left" w:pos="284"/>
        </w:tabs>
        <w:spacing w:line="360" w:lineRule="auto"/>
        <w:ind w:left="0" w:right="-734" w:firstLine="0"/>
        <w:jc w:val="both"/>
        <w:rPr>
          <w:color w:val="000000"/>
        </w:rPr>
      </w:pPr>
      <w:r>
        <w:rPr>
          <w:rFonts w:ascii="Palatino Linotype" w:eastAsia="Palatino Linotype" w:hAnsi="Palatino Linotype" w:cs="Palatino Linotype"/>
          <w:color w:val="000000"/>
        </w:rPr>
        <w:t>Consecuentemente, el Sujeto Obligado entregó un acuerdo de inexistencia y señaló, a través de la Jefa de la Unidad Municipal de Acceso a la Información, lo siguiente respecto al Comité Coordinador del Sistema Municipal:</w:t>
      </w:r>
    </w:p>
    <w:p w14:paraId="6650C0B4" w14:textId="77777777" w:rsidR="00F87070" w:rsidRDefault="00DB3BF7">
      <w:pPr>
        <w:pBdr>
          <w:top w:val="nil"/>
          <w:left w:val="nil"/>
          <w:bottom w:val="nil"/>
          <w:right w:val="nil"/>
          <w:between w:val="nil"/>
        </w:pBdr>
        <w:tabs>
          <w:tab w:val="left" w:pos="284"/>
          <w:tab w:val="left" w:pos="851"/>
        </w:tabs>
        <w:spacing w:line="360" w:lineRule="auto"/>
        <w:ind w:left="851" w:right="-25"/>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w:t>
      </w:r>
    </w:p>
    <w:p w14:paraId="42FD9EC5" w14:textId="77777777" w:rsidR="00F87070" w:rsidRDefault="00DB3BF7">
      <w:pPr>
        <w:pBdr>
          <w:top w:val="nil"/>
          <w:left w:val="nil"/>
          <w:bottom w:val="nil"/>
          <w:right w:val="nil"/>
          <w:between w:val="nil"/>
        </w:pBdr>
        <w:tabs>
          <w:tab w:val="left" w:pos="284"/>
          <w:tab w:val="left" w:pos="851"/>
        </w:tabs>
        <w:spacing w:line="360" w:lineRule="auto"/>
        <w:ind w:left="851" w:right="-25"/>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III. No se encontró en los archivos de la Contraloría Municipal, la Secretaría del Ayuntamiento, la Unidad de Transparencia, las convocatorias ni los informes del Comité Coordinador del Sistema Municipal Anticorrupción, ante la inexistencia de esta información procedemos a orientar para que realice la búsqueda ante la secretaria ejecutiva del Sistema Estatal Anticorrupción. </w:t>
      </w:r>
    </w:p>
    <w:p w14:paraId="16C0BC31" w14:textId="77777777" w:rsidR="00F87070" w:rsidRDefault="00DB3BF7">
      <w:pPr>
        <w:pBdr>
          <w:top w:val="nil"/>
          <w:left w:val="nil"/>
          <w:bottom w:val="nil"/>
          <w:right w:val="nil"/>
          <w:between w:val="nil"/>
        </w:pBdr>
        <w:tabs>
          <w:tab w:val="left" w:pos="284"/>
          <w:tab w:val="left" w:pos="851"/>
        </w:tabs>
        <w:spacing w:line="360" w:lineRule="auto"/>
        <w:ind w:left="851" w:right="-25"/>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IV. La búsqueda exhaustiva es un procedimiento administrativo que se hizo extensivo al archivo municipal, las áreas de archivo de las Sindicaturas y las Regidurías. “</w:t>
      </w:r>
    </w:p>
    <w:p w14:paraId="7B00685B" w14:textId="77777777" w:rsidR="00F87070" w:rsidRDefault="00F87070">
      <w:pPr>
        <w:pBdr>
          <w:top w:val="nil"/>
          <w:left w:val="nil"/>
          <w:bottom w:val="nil"/>
          <w:right w:val="nil"/>
          <w:between w:val="nil"/>
        </w:pBdr>
        <w:tabs>
          <w:tab w:val="left" w:pos="284"/>
          <w:tab w:val="left" w:pos="851"/>
        </w:tabs>
        <w:spacing w:line="360" w:lineRule="auto"/>
        <w:ind w:left="851" w:right="-734"/>
        <w:jc w:val="both"/>
        <w:rPr>
          <w:rFonts w:ascii="Palatino Linotype" w:eastAsia="Palatino Linotype" w:hAnsi="Palatino Linotype" w:cs="Palatino Linotype"/>
          <w:color w:val="000000"/>
        </w:rPr>
      </w:pPr>
    </w:p>
    <w:p w14:paraId="59B072FA" w14:textId="77777777" w:rsidR="00F87070" w:rsidRDefault="00DB3BF7">
      <w:pPr>
        <w:numPr>
          <w:ilvl w:val="0"/>
          <w:numId w:val="6"/>
        </w:numPr>
        <w:pBdr>
          <w:top w:val="nil"/>
          <w:left w:val="nil"/>
          <w:bottom w:val="nil"/>
          <w:right w:val="nil"/>
          <w:between w:val="nil"/>
        </w:pBdr>
        <w:tabs>
          <w:tab w:val="left" w:pos="284"/>
        </w:tabs>
        <w:spacing w:line="360" w:lineRule="auto"/>
        <w:ind w:left="0" w:right="-734" w:firstLine="0"/>
        <w:jc w:val="both"/>
        <w:rPr>
          <w:color w:val="000000"/>
        </w:rPr>
      </w:pPr>
      <w:r>
        <w:rPr>
          <w:rFonts w:ascii="Palatino Linotype" w:eastAsia="Palatino Linotype" w:hAnsi="Palatino Linotype" w:cs="Palatino Linotype"/>
          <w:color w:val="000000"/>
        </w:rPr>
        <w:lastRenderedPageBreak/>
        <w:t xml:space="preserve">Precisado lo anterior, se procede analizar la información solicitada por el Recurrente, por lo que, es de referir que, la Constitución Política del Estado Libre y Soberano de México, en su artículo 130 bis, determina la existencia del Sistema Estatal Anticorrupción, al que se define como la </w:t>
      </w:r>
      <w:r>
        <w:rPr>
          <w:rFonts w:ascii="Palatino Linotype" w:eastAsia="Palatino Linotype" w:hAnsi="Palatino Linotype" w:cs="Palatino Linotype"/>
          <w:i/>
          <w:color w:val="000000"/>
        </w:rPr>
        <w:t>“instancia de coordinación entre las autoridades de los órdenes de gobierno competentes en la prevención, detección y sanción de responsabilidades administrativas, actos y hechos de corrupción, así como en la fiscalización y control de recursos públicos”</w:t>
      </w:r>
      <w:r>
        <w:rPr>
          <w:rFonts w:ascii="Palatino Linotype" w:eastAsia="Palatino Linotype" w:hAnsi="Palatino Linotype" w:cs="Palatino Linotype"/>
          <w:color w:val="000000"/>
        </w:rPr>
        <w:t xml:space="preserve">, y se conformará como se señala a continuación: </w:t>
      </w:r>
    </w:p>
    <w:p w14:paraId="6137CDD7" w14:textId="77777777" w:rsidR="00F87070" w:rsidRDefault="00DB3BF7">
      <w:pPr>
        <w:spacing w:line="276" w:lineRule="auto"/>
        <w:ind w:left="567" w:right="-25"/>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Artículo 130 bis. </w:t>
      </w:r>
    </w:p>
    <w:p w14:paraId="34E095F6" w14:textId="77777777" w:rsidR="00F87070" w:rsidRDefault="00DB3BF7">
      <w:pPr>
        <w:spacing w:line="276" w:lineRule="auto"/>
        <w:ind w:left="567" w:right="-25"/>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14:paraId="26E5C494" w14:textId="77777777" w:rsidR="00F87070" w:rsidRDefault="00F87070">
      <w:pPr>
        <w:spacing w:line="276" w:lineRule="auto"/>
        <w:ind w:left="567" w:right="-25"/>
        <w:jc w:val="both"/>
        <w:rPr>
          <w:rFonts w:ascii="Palatino Linotype" w:eastAsia="Palatino Linotype" w:hAnsi="Palatino Linotype" w:cs="Palatino Linotype"/>
          <w:i/>
          <w:sz w:val="22"/>
          <w:szCs w:val="22"/>
        </w:rPr>
      </w:pPr>
    </w:p>
    <w:p w14:paraId="57B31CCF" w14:textId="77777777" w:rsidR="00F87070" w:rsidRDefault="00DB3BF7">
      <w:pPr>
        <w:spacing w:line="276" w:lineRule="auto"/>
        <w:ind w:left="567" w:right="-25"/>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I. El Sistema contará con un </w:t>
      </w:r>
      <w:r>
        <w:rPr>
          <w:rFonts w:ascii="Palatino Linotype" w:eastAsia="Palatino Linotype" w:hAnsi="Palatino Linotype" w:cs="Palatino Linotype"/>
          <w:b/>
          <w:i/>
          <w:sz w:val="22"/>
          <w:szCs w:val="22"/>
        </w:rPr>
        <w:t>Comité Coordinador</w:t>
      </w:r>
      <w:r>
        <w:rPr>
          <w:rFonts w:ascii="Palatino Linotype" w:eastAsia="Palatino Linotype" w:hAnsi="Palatino Linotype" w:cs="Palatino Linotype"/>
          <w:i/>
          <w:sz w:val="22"/>
          <w:szCs w:val="22"/>
        </w:rPr>
        <w:t xml:space="preserve"> que estará integrado por el titular de la Secretaría de la Contraloría del Poder Ejecutivo, el titular del Órgano Superior de Fiscalización del Estado de México, el titular de la Fiscalía Especializada en Combate a la Corrupción, el Presidente del Tribunal de Justicia Administrativa del Estado de México, el titular del Instituto de Transparencia, Acceso a la Información Pública y Protección de Datos Personales del Estado de México y Municipios, así como un representante del Consejo de la Judicatura Estatal y otro del Comité de Participación Ciudadana, quien lo presidirá. El Sistema tendrá la organización y funcionamiento que determine la Ley.</w:t>
      </w:r>
    </w:p>
    <w:p w14:paraId="0D651023" w14:textId="77777777" w:rsidR="00F87070" w:rsidRDefault="00F87070">
      <w:pPr>
        <w:spacing w:line="276" w:lineRule="auto"/>
        <w:ind w:left="567" w:right="-25"/>
        <w:jc w:val="both"/>
        <w:rPr>
          <w:rFonts w:ascii="Palatino Linotype" w:eastAsia="Palatino Linotype" w:hAnsi="Palatino Linotype" w:cs="Palatino Linotype"/>
          <w:i/>
          <w:sz w:val="22"/>
          <w:szCs w:val="22"/>
        </w:rPr>
      </w:pPr>
    </w:p>
    <w:p w14:paraId="7928C782" w14:textId="77777777" w:rsidR="00F87070" w:rsidRDefault="00DB3BF7">
      <w:pPr>
        <w:spacing w:line="276" w:lineRule="auto"/>
        <w:ind w:left="567" w:right="-25"/>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 II. </w:t>
      </w:r>
      <w:r>
        <w:rPr>
          <w:rFonts w:ascii="Palatino Linotype" w:eastAsia="Palatino Linotype" w:hAnsi="Palatino Linotype" w:cs="Palatino Linotype"/>
          <w:b/>
          <w:i/>
          <w:sz w:val="22"/>
          <w:szCs w:val="22"/>
        </w:rPr>
        <w:t>El Comité de Participación Ciudadana</w:t>
      </w:r>
      <w:r>
        <w:rPr>
          <w:rFonts w:ascii="Palatino Linotype" w:eastAsia="Palatino Linotype" w:hAnsi="Palatino Linotype" w:cs="Palatino Linotype"/>
          <w:i/>
          <w:sz w:val="22"/>
          <w:szCs w:val="22"/>
        </w:rPr>
        <w:t xml:space="preserve"> del Sistema deberá integrarse por cinco ciudadanos que se hayan destacado por su contribución a la transparencia, rendición de cuentas o combate a la corrupción y serán designados en los términos que establezca la ley. </w:t>
      </w:r>
    </w:p>
    <w:p w14:paraId="2C7ABA4B" w14:textId="77777777" w:rsidR="00F87070" w:rsidRDefault="00F87070">
      <w:pPr>
        <w:spacing w:line="276" w:lineRule="auto"/>
        <w:ind w:right="-734"/>
        <w:jc w:val="both"/>
        <w:rPr>
          <w:rFonts w:ascii="Palatino Linotype" w:eastAsia="Palatino Linotype" w:hAnsi="Palatino Linotype" w:cs="Palatino Linotype"/>
          <w:i/>
        </w:rPr>
      </w:pPr>
    </w:p>
    <w:p w14:paraId="7B4990A8" w14:textId="77777777" w:rsidR="00F87070" w:rsidRDefault="00DB3BF7">
      <w:pPr>
        <w:numPr>
          <w:ilvl w:val="0"/>
          <w:numId w:val="6"/>
        </w:numPr>
        <w:pBdr>
          <w:top w:val="nil"/>
          <w:left w:val="nil"/>
          <w:bottom w:val="nil"/>
          <w:right w:val="nil"/>
          <w:between w:val="nil"/>
        </w:pBdr>
        <w:spacing w:line="360" w:lineRule="auto"/>
        <w:ind w:left="0" w:right="-734" w:firstLine="0"/>
        <w:jc w:val="both"/>
        <w:rPr>
          <w:color w:val="000000"/>
        </w:rPr>
      </w:pPr>
      <w:r>
        <w:rPr>
          <w:rFonts w:ascii="Palatino Linotype" w:eastAsia="Palatino Linotype" w:hAnsi="Palatino Linotype" w:cs="Palatino Linotype"/>
          <w:color w:val="000000"/>
        </w:rPr>
        <w:t xml:space="preserve">En el mismo orden de ideas, el artículo referido precisa que, para el </w:t>
      </w:r>
      <w:r>
        <w:rPr>
          <w:rFonts w:ascii="Palatino Linotype" w:eastAsia="Palatino Linotype" w:hAnsi="Palatino Linotype" w:cs="Palatino Linotype"/>
          <w:b/>
          <w:color w:val="000000"/>
        </w:rPr>
        <w:t>ámbito municipal</w:t>
      </w:r>
      <w:r>
        <w:rPr>
          <w:rFonts w:ascii="Palatino Linotype" w:eastAsia="Palatino Linotype" w:hAnsi="Palatino Linotype" w:cs="Palatino Linotype"/>
          <w:color w:val="000000"/>
        </w:rPr>
        <w:t xml:space="preserve">, los municipios se sujetarán a lo siguiente: </w:t>
      </w:r>
    </w:p>
    <w:p w14:paraId="503F6CD3" w14:textId="77777777" w:rsidR="00F87070" w:rsidRDefault="00DB3BF7">
      <w:pPr>
        <w:spacing w:line="276" w:lineRule="auto"/>
        <w:ind w:left="567" w:right="-25"/>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Artículo 130 Bis</w:t>
      </w:r>
      <w:r>
        <w:rPr>
          <w:rFonts w:ascii="Palatino Linotype" w:eastAsia="Palatino Linotype" w:hAnsi="Palatino Linotype" w:cs="Palatino Linotype"/>
          <w:i/>
          <w:sz w:val="22"/>
          <w:szCs w:val="22"/>
        </w:rPr>
        <w:t>…</w:t>
      </w:r>
    </w:p>
    <w:p w14:paraId="2C3EB4CB" w14:textId="77777777" w:rsidR="00F87070" w:rsidRDefault="00F87070">
      <w:pPr>
        <w:spacing w:line="276" w:lineRule="auto"/>
        <w:ind w:left="567" w:right="-25"/>
        <w:jc w:val="both"/>
        <w:rPr>
          <w:rFonts w:ascii="Palatino Linotype" w:eastAsia="Palatino Linotype" w:hAnsi="Palatino Linotype" w:cs="Palatino Linotype"/>
          <w:i/>
          <w:sz w:val="22"/>
          <w:szCs w:val="22"/>
        </w:rPr>
      </w:pPr>
    </w:p>
    <w:p w14:paraId="7CAA96ED" w14:textId="77777777" w:rsidR="00F87070" w:rsidRDefault="00DB3BF7">
      <w:pPr>
        <w:spacing w:line="276" w:lineRule="auto"/>
        <w:ind w:left="567" w:right="-25"/>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“El Sistema Municipal Anticorrupción es la instancia de coordinación y coadyuvancia con el Sistema Estatal Anticorrupción que concurrentemente tendrá por objeto establecer principios, bases generales, políticas públicas, acciones y procedimientos en la prevención, detección y sanción de faltas administrativas, actos y hechos de corrupción, así como coadyuvar con las </w:t>
      </w:r>
      <w:r>
        <w:rPr>
          <w:rFonts w:ascii="Palatino Linotype" w:eastAsia="Palatino Linotype" w:hAnsi="Palatino Linotype" w:cs="Palatino Linotype"/>
          <w:i/>
          <w:sz w:val="22"/>
          <w:szCs w:val="22"/>
        </w:rPr>
        <w:lastRenderedPageBreak/>
        <w:t xml:space="preserve">autoridades competentes en la fiscalización y control de recursos públicos en el ámbito municipal, en congruencia con los Sistemas Federal y Estatal. </w:t>
      </w:r>
    </w:p>
    <w:p w14:paraId="376CF15E" w14:textId="77777777" w:rsidR="00F87070" w:rsidRDefault="00DB3BF7">
      <w:pPr>
        <w:spacing w:line="276" w:lineRule="auto"/>
        <w:ind w:left="567" w:right="-25"/>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Para su funcionamiento se sujetará</w:t>
      </w:r>
      <w:r>
        <w:rPr>
          <w:rFonts w:ascii="Palatino Linotype" w:eastAsia="Palatino Linotype" w:hAnsi="Palatino Linotype" w:cs="Palatino Linotype"/>
          <w:i/>
          <w:sz w:val="22"/>
          <w:szCs w:val="22"/>
        </w:rPr>
        <w:t xml:space="preserve"> a las siguientes bases mínimas y conforme a la ley respectiva:</w:t>
      </w:r>
    </w:p>
    <w:p w14:paraId="697472F2" w14:textId="77777777" w:rsidR="00F87070" w:rsidRDefault="00DB3BF7">
      <w:pPr>
        <w:spacing w:line="276" w:lineRule="auto"/>
        <w:ind w:left="567" w:right="-25"/>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 I. El Sistema contará con un Comité Coordinador</w:t>
      </w:r>
      <w:r>
        <w:rPr>
          <w:rFonts w:ascii="Palatino Linotype" w:eastAsia="Palatino Linotype" w:hAnsi="Palatino Linotype" w:cs="Palatino Linotype"/>
          <w:i/>
          <w:sz w:val="22"/>
          <w:szCs w:val="22"/>
        </w:rPr>
        <w:t xml:space="preserve"> que estará integrado por el titular de la </w:t>
      </w:r>
      <w:r>
        <w:rPr>
          <w:rFonts w:ascii="Palatino Linotype" w:eastAsia="Palatino Linotype" w:hAnsi="Palatino Linotype" w:cs="Palatino Linotype"/>
          <w:b/>
          <w:i/>
          <w:sz w:val="22"/>
          <w:szCs w:val="22"/>
        </w:rPr>
        <w:t xml:space="preserve">Contraloría Municipal, el de la Unidad de Transparencia y Acceso a la Información, así como un representante del Comité de Participación Ciudadana, quien lo presidirá. </w:t>
      </w:r>
    </w:p>
    <w:p w14:paraId="336A98EA" w14:textId="77777777" w:rsidR="00F87070" w:rsidRDefault="00DB3BF7">
      <w:pPr>
        <w:spacing w:line="276" w:lineRule="auto"/>
        <w:ind w:left="567" w:right="-25"/>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II. El Comité de Participación Ciudadana </w:t>
      </w:r>
      <w:r>
        <w:rPr>
          <w:rFonts w:ascii="Palatino Linotype" w:eastAsia="Palatino Linotype" w:hAnsi="Palatino Linotype" w:cs="Palatino Linotype"/>
          <w:i/>
          <w:sz w:val="22"/>
          <w:szCs w:val="22"/>
        </w:rPr>
        <w:t>del Sistema deberá integrarse por tres ciudadanos que se hayan destacado por su contribución al combate a la corrupción, de notoria buena conducta y honorabilidad manifiesta, los cuales serán designados en los términos que establezca la ley…”</w:t>
      </w:r>
    </w:p>
    <w:p w14:paraId="1B790B2C" w14:textId="77777777" w:rsidR="00F87070" w:rsidRDefault="00F87070">
      <w:pPr>
        <w:spacing w:line="360" w:lineRule="auto"/>
        <w:ind w:right="-734"/>
        <w:jc w:val="both"/>
        <w:rPr>
          <w:rFonts w:ascii="Palatino Linotype" w:eastAsia="Palatino Linotype" w:hAnsi="Palatino Linotype" w:cs="Palatino Linotype"/>
        </w:rPr>
      </w:pPr>
    </w:p>
    <w:p w14:paraId="0DAE5960" w14:textId="77777777" w:rsidR="00F87070" w:rsidRDefault="00DB3BF7">
      <w:pPr>
        <w:numPr>
          <w:ilvl w:val="0"/>
          <w:numId w:val="6"/>
        </w:numPr>
        <w:pBdr>
          <w:top w:val="nil"/>
          <w:left w:val="nil"/>
          <w:bottom w:val="nil"/>
          <w:right w:val="nil"/>
          <w:between w:val="nil"/>
        </w:pBdr>
        <w:spacing w:line="360" w:lineRule="auto"/>
        <w:ind w:left="0" w:right="-734" w:firstLine="0"/>
        <w:jc w:val="both"/>
        <w:rPr>
          <w:color w:val="000000"/>
        </w:rPr>
      </w:pPr>
      <w:r>
        <w:rPr>
          <w:rFonts w:ascii="Palatino Linotype" w:eastAsia="Palatino Linotype" w:hAnsi="Palatino Linotype" w:cs="Palatino Linotype"/>
          <w:color w:val="000000"/>
        </w:rPr>
        <w:t xml:space="preserve">Es así que se advierte que tanto el Sistema Estatal Anticorrupción, como el Sistema Municipal Anticorrupción, se integrarán por un </w:t>
      </w:r>
      <w:r>
        <w:rPr>
          <w:rFonts w:ascii="Palatino Linotype" w:eastAsia="Palatino Linotype" w:hAnsi="Palatino Linotype" w:cs="Palatino Linotype"/>
          <w:b/>
          <w:color w:val="000000"/>
        </w:rPr>
        <w:t xml:space="preserve">Comité Coordinador </w:t>
      </w:r>
      <w:r>
        <w:rPr>
          <w:rFonts w:ascii="Palatino Linotype" w:eastAsia="Palatino Linotype" w:hAnsi="Palatino Linotype" w:cs="Palatino Linotype"/>
          <w:color w:val="000000"/>
        </w:rPr>
        <w:t xml:space="preserve">y un Comité de Participación Ciudadana, siendo que para el caso que ahora nos ocupa, el Comité Coordinador se integra por </w:t>
      </w:r>
      <w:r>
        <w:rPr>
          <w:rFonts w:ascii="Palatino Linotype" w:eastAsia="Palatino Linotype" w:hAnsi="Palatino Linotype" w:cs="Palatino Linotype"/>
          <w:b/>
          <w:color w:val="000000"/>
        </w:rPr>
        <w:t>el Titular de la Contraloría Municipal, el Titular de la Unidad de Transparencia y Acceso a la Información y un representante del Comité de Participación Ciudadana quien será el presidente del Comité Coordinador.</w:t>
      </w:r>
    </w:p>
    <w:p w14:paraId="74A768CD" w14:textId="77777777" w:rsidR="00F87070" w:rsidRDefault="00F87070">
      <w:pPr>
        <w:pBdr>
          <w:top w:val="nil"/>
          <w:left w:val="nil"/>
          <w:bottom w:val="nil"/>
          <w:right w:val="nil"/>
          <w:between w:val="nil"/>
        </w:pBdr>
        <w:spacing w:line="360" w:lineRule="auto"/>
        <w:ind w:right="-734"/>
        <w:jc w:val="both"/>
        <w:rPr>
          <w:rFonts w:ascii="Palatino Linotype" w:eastAsia="Palatino Linotype" w:hAnsi="Palatino Linotype" w:cs="Palatino Linotype"/>
          <w:color w:val="000000"/>
        </w:rPr>
      </w:pPr>
    </w:p>
    <w:p w14:paraId="556C71C3" w14:textId="77777777" w:rsidR="00F87070" w:rsidRDefault="00DB3BF7">
      <w:pPr>
        <w:numPr>
          <w:ilvl w:val="0"/>
          <w:numId w:val="6"/>
        </w:numPr>
        <w:pBdr>
          <w:top w:val="nil"/>
          <w:left w:val="nil"/>
          <w:bottom w:val="nil"/>
          <w:right w:val="nil"/>
          <w:between w:val="nil"/>
        </w:pBdr>
        <w:spacing w:line="360" w:lineRule="auto"/>
        <w:ind w:left="0" w:right="-734" w:firstLine="0"/>
        <w:jc w:val="both"/>
        <w:rPr>
          <w:color w:val="000000"/>
        </w:rPr>
      </w:pPr>
      <w:r>
        <w:rPr>
          <w:rFonts w:ascii="Palatino Linotype" w:eastAsia="Palatino Linotype" w:hAnsi="Palatino Linotype" w:cs="Palatino Linotype"/>
          <w:color w:val="000000"/>
        </w:rPr>
        <w:t xml:space="preserve">Por otro lado, la Ley del Sistema Estatal Anticorrupción del Estado de México y Municipios refiere en sus artículos 64, 65 y 66, lo siguiente: </w:t>
      </w:r>
    </w:p>
    <w:p w14:paraId="3C553842" w14:textId="77777777" w:rsidR="00F87070" w:rsidRDefault="00DB3BF7">
      <w:pPr>
        <w:ind w:left="567" w:right="-25"/>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Artículo 64.</w:t>
      </w:r>
      <w:r>
        <w:rPr>
          <w:rFonts w:ascii="Palatino Linotype" w:eastAsia="Palatino Linotype" w:hAnsi="Palatino Linotype" w:cs="Palatino Linotype"/>
          <w:i/>
          <w:sz w:val="22"/>
          <w:szCs w:val="22"/>
        </w:rPr>
        <w:t xml:space="preserve"> Son facultades del Comité Coordinador Municipal, las siguientes: </w:t>
      </w:r>
    </w:p>
    <w:p w14:paraId="2C5BFD77" w14:textId="77777777" w:rsidR="00F87070" w:rsidRDefault="00F87070">
      <w:pPr>
        <w:ind w:left="567" w:right="-25"/>
        <w:jc w:val="both"/>
        <w:rPr>
          <w:rFonts w:ascii="Palatino Linotype" w:eastAsia="Palatino Linotype" w:hAnsi="Palatino Linotype" w:cs="Palatino Linotype"/>
          <w:i/>
          <w:sz w:val="22"/>
          <w:szCs w:val="22"/>
        </w:rPr>
      </w:pPr>
    </w:p>
    <w:p w14:paraId="60178EA0" w14:textId="77777777" w:rsidR="00F87070" w:rsidRDefault="00DB3BF7">
      <w:pPr>
        <w:ind w:left="567" w:right="-25"/>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I. El establecimiento de mecanismos de coordinación y armonización con el Sistema Estatal Anticorrupción. </w:t>
      </w:r>
    </w:p>
    <w:p w14:paraId="02C78C83" w14:textId="77777777" w:rsidR="00F87070" w:rsidRDefault="00DB3BF7">
      <w:pPr>
        <w:ind w:left="567" w:right="-25"/>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II. El diseño y promoción de políticas integrales en materia de prevención, control y disuasión de faltas administrativas y hechos de corrupción. </w:t>
      </w:r>
    </w:p>
    <w:p w14:paraId="3C661EC9" w14:textId="77777777" w:rsidR="00F87070" w:rsidRDefault="00DB3BF7">
      <w:pPr>
        <w:ind w:left="567" w:right="-25"/>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III. Actualización y difusión de la información que sobre estas materias generen las instituciones competentes de los órdenes de gobierno. </w:t>
      </w:r>
    </w:p>
    <w:p w14:paraId="34B7CA68" w14:textId="77777777" w:rsidR="00F87070" w:rsidRDefault="00DB3BF7">
      <w:pPr>
        <w:ind w:left="567" w:right="-25"/>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IV. La elaboración de informes trimestrales y un informe anual que contenga los avances y resultados del ejercicio de sus funciones y de la aplicación de políticas y programas en la materia. </w:t>
      </w:r>
    </w:p>
    <w:p w14:paraId="09DCC9E8" w14:textId="77777777" w:rsidR="00F87070" w:rsidRDefault="00DB3BF7">
      <w:pPr>
        <w:ind w:left="567" w:right="-25"/>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V. Elaboración y entrega de informes trimestrales y un informe anual al Comité́ Coordinador del Sistema Estatal Anticorrupción de las acciones realizadas, las políticas aplicadas y del avance de éstas con respecto del ejercicio de sus funciones, además informar al mismo Comité de la probable </w:t>
      </w:r>
      <w:r>
        <w:rPr>
          <w:rFonts w:ascii="Palatino Linotype" w:eastAsia="Palatino Linotype" w:hAnsi="Palatino Linotype" w:cs="Palatino Linotype"/>
          <w:i/>
          <w:sz w:val="22"/>
          <w:szCs w:val="22"/>
        </w:rPr>
        <w:lastRenderedPageBreak/>
        <w:t xml:space="preserve">comisión de hechos de corrupción y faltas administrativas para que en su caso, emita recomendaciones no vinculantes a las autoridades competentes, a fin de adoptar medidas dirigidas al fortalecimiento institucional para la prevención y erradicación de tales conductas. </w:t>
      </w:r>
    </w:p>
    <w:p w14:paraId="763A7FC0" w14:textId="77777777" w:rsidR="00F87070" w:rsidRDefault="00DB3BF7">
      <w:pPr>
        <w:ind w:left="567" w:right="-25"/>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VI. Las demás señaladas en otros ordenamientos jurídicos aplicables.</w:t>
      </w:r>
    </w:p>
    <w:p w14:paraId="3D43EAFA" w14:textId="77777777" w:rsidR="00F87070" w:rsidRDefault="00F87070">
      <w:pPr>
        <w:ind w:left="567" w:right="-25"/>
        <w:jc w:val="both"/>
        <w:rPr>
          <w:rFonts w:ascii="Palatino Linotype" w:eastAsia="Palatino Linotype" w:hAnsi="Palatino Linotype" w:cs="Palatino Linotype"/>
          <w:i/>
          <w:sz w:val="22"/>
          <w:szCs w:val="22"/>
        </w:rPr>
      </w:pPr>
    </w:p>
    <w:p w14:paraId="719A46F8" w14:textId="77777777" w:rsidR="00F87070" w:rsidRDefault="00DB3BF7">
      <w:pPr>
        <w:ind w:left="567" w:right="-25"/>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Artículo 65.</w:t>
      </w:r>
      <w:r>
        <w:rPr>
          <w:rFonts w:ascii="Palatino Linotype" w:eastAsia="Palatino Linotype" w:hAnsi="Palatino Linotype" w:cs="Palatino Linotype"/>
          <w:i/>
          <w:sz w:val="22"/>
          <w:szCs w:val="22"/>
        </w:rPr>
        <w:t xml:space="preserve"> Son atribuciones del Presidente del Comité Coordinador Municipal: </w:t>
      </w:r>
    </w:p>
    <w:p w14:paraId="46A1833E" w14:textId="77777777" w:rsidR="00F87070" w:rsidRDefault="00DB3BF7">
      <w:pPr>
        <w:ind w:left="567" w:right="-25"/>
        <w:jc w:val="both"/>
        <w:rPr>
          <w:rFonts w:ascii="Palatino Linotype" w:eastAsia="Palatino Linotype" w:hAnsi="Palatino Linotype" w:cs="Palatino Linotype"/>
          <w:b/>
          <w:i/>
          <w:sz w:val="22"/>
          <w:szCs w:val="22"/>
          <w:u w:val="single"/>
        </w:rPr>
      </w:pPr>
      <w:r>
        <w:rPr>
          <w:rFonts w:ascii="Palatino Linotype" w:eastAsia="Palatino Linotype" w:hAnsi="Palatino Linotype" w:cs="Palatino Linotype"/>
          <w:b/>
          <w:i/>
          <w:sz w:val="22"/>
          <w:szCs w:val="22"/>
          <w:u w:val="single"/>
        </w:rPr>
        <w:t>I. Presidir las sesiones del Sistema Municipal Anticorrupción y del Comité Coordinador Municipal.</w:t>
      </w:r>
    </w:p>
    <w:p w14:paraId="3D34B1C6" w14:textId="77777777" w:rsidR="00F87070" w:rsidRDefault="00DB3BF7">
      <w:pPr>
        <w:ind w:left="567" w:right="-25"/>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 II. Representar al Comité Coordinador Municipal.</w:t>
      </w:r>
    </w:p>
    <w:p w14:paraId="2994C103" w14:textId="77777777" w:rsidR="00F87070" w:rsidRDefault="00DB3BF7">
      <w:pPr>
        <w:ind w:left="567" w:right="-25"/>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 xml:space="preserve">III. Convocar a sesiones. </w:t>
      </w:r>
    </w:p>
    <w:p w14:paraId="4ABD5FE3" w14:textId="77777777" w:rsidR="00F87070" w:rsidRDefault="00DB3BF7">
      <w:pPr>
        <w:ind w:left="567" w:right="-25"/>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IV. Dar seguimiento a los acuerdos del Comité Coordinador Municipal. </w:t>
      </w:r>
    </w:p>
    <w:p w14:paraId="5E147276" w14:textId="77777777" w:rsidR="00F87070" w:rsidRDefault="00DB3BF7">
      <w:pPr>
        <w:ind w:left="567" w:right="-25"/>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14:paraId="51780164" w14:textId="77777777" w:rsidR="00F87070" w:rsidRDefault="00F87070">
      <w:pPr>
        <w:ind w:left="567" w:right="-25"/>
        <w:jc w:val="both"/>
        <w:rPr>
          <w:rFonts w:ascii="Palatino Linotype" w:eastAsia="Palatino Linotype" w:hAnsi="Palatino Linotype" w:cs="Palatino Linotype"/>
          <w:i/>
          <w:sz w:val="22"/>
          <w:szCs w:val="22"/>
        </w:rPr>
      </w:pPr>
    </w:p>
    <w:p w14:paraId="03DA4215" w14:textId="77777777" w:rsidR="00F87070" w:rsidRDefault="00DB3BF7">
      <w:pPr>
        <w:ind w:left="567" w:right="-25"/>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Artículo 66</w:t>
      </w:r>
      <w:r>
        <w:rPr>
          <w:rFonts w:ascii="Palatino Linotype" w:eastAsia="Palatino Linotype" w:hAnsi="Palatino Linotype" w:cs="Palatino Linotype"/>
          <w:i/>
          <w:sz w:val="22"/>
          <w:szCs w:val="22"/>
        </w:rPr>
        <w:t>. El Comité Coordinador Municipal, se reunirá en sesión ordinaria cada tres meses.</w:t>
      </w:r>
      <w:r>
        <w:rPr>
          <w:rFonts w:ascii="Palatino Linotype" w:eastAsia="Palatino Linotype" w:hAnsi="Palatino Linotype" w:cs="Palatino Linotype"/>
          <w:b/>
          <w:i/>
          <w:sz w:val="22"/>
          <w:szCs w:val="22"/>
          <w:u w:val="single"/>
        </w:rPr>
        <w:t xml:space="preserve"> </w:t>
      </w:r>
    </w:p>
    <w:p w14:paraId="6725D08E" w14:textId="77777777" w:rsidR="00F87070" w:rsidRDefault="00DB3BF7">
      <w:pPr>
        <w:ind w:left="567" w:right="-25"/>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El Presidente, podrá convocar a sesión extraordinaria previa solicitud formulada por la mayoría de los integrantes de dicho Comité. </w:t>
      </w:r>
    </w:p>
    <w:p w14:paraId="30BEC8E1" w14:textId="77777777" w:rsidR="00F87070" w:rsidRDefault="00DB3BF7">
      <w:pPr>
        <w:ind w:left="567" w:right="-25"/>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Para que el Comité Coordinador Municipal pueda sesionar es necesario que estén presentes todos sus Integrantes. </w:t>
      </w:r>
    </w:p>
    <w:p w14:paraId="222D2BCB" w14:textId="77777777" w:rsidR="00F87070" w:rsidRDefault="00DB3BF7">
      <w:pPr>
        <w:ind w:left="567" w:right="-25"/>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Para el desahogo de sus reuniones, el Comité Coordinador Municipal podrá invitar a los integrantes del Sistema Estatal Anticorrupción, así como a las organizaciones de la sociedad civil. </w:t>
      </w:r>
    </w:p>
    <w:p w14:paraId="39F5CC3C" w14:textId="77777777" w:rsidR="00F87070" w:rsidRDefault="00DB3BF7">
      <w:pPr>
        <w:ind w:left="567" w:right="-25"/>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u w:val="single"/>
        </w:rPr>
        <w:t>El Sistema Municipal Anticorrupción, sesionará previa convocatoria del Comité Coordinador Municipal, en los términos en que este último lo determine.</w:t>
      </w:r>
      <w:r>
        <w:rPr>
          <w:rFonts w:ascii="Palatino Linotype" w:eastAsia="Palatino Linotype" w:hAnsi="Palatino Linotype" w:cs="Palatino Linotype"/>
          <w:i/>
          <w:sz w:val="22"/>
          <w:szCs w:val="22"/>
        </w:rPr>
        <w:t xml:space="preserve"> </w:t>
      </w:r>
    </w:p>
    <w:p w14:paraId="25A8EA32" w14:textId="77777777" w:rsidR="00F87070" w:rsidRDefault="00F87070">
      <w:pPr>
        <w:spacing w:line="360" w:lineRule="auto"/>
        <w:ind w:right="-25"/>
        <w:jc w:val="both"/>
        <w:rPr>
          <w:rFonts w:ascii="Palatino Linotype" w:eastAsia="Palatino Linotype" w:hAnsi="Palatino Linotype" w:cs="Palatino Linotype"/>
          <w:i/>
          <w:sz w:val="22"/>
          <w:szCs w:val="22"/>
        </w:rPr>
      </w:pPr>
    </w:p>
    <w:p w14:paraId="5C2D562E" w14:textId="77777777" w:rsidR="00F87070" w:rsidRDefault="00DB3BF7">
      <w:pPr>
        <w:spacing w:line="360" w:lineRule="auto"/>
        <w:ind w:right="-25"/>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De lo anterior, se colige que el Sistema Municipal Anticorrupción está integrado tanto por el Comité Coordinador Municipal como el Comité de Participación Ciudadana Municipal, siendo que cada uno, de conformidad con la Ley del Sistema Estatal Anticorrupción del Estado de México tendrá distintas facultades y atribuciones, por ejemplo, el Comité Coordinador Municipal, promoverá el diseño y promoción de políticas integrales en materia de prevención, control y disuasión de faltas administrativas, elaborará informes de avances y resultados del ejercicio de sus funciones. Asimismo, se tiene que una de las atribuciones del Presidente del Comité Coordinador Municipal, será el de presidir las sesiones del Sistema Municipal Anticorrupción y del Comité Coordinador Municipal, siendo que el Sistema Municipal Anticorrupción sesionará previa convocatoria del Comité Coordinador Municipal, en los términos en que este último lo determine. </w:t>
      </w:r>
    </w:p>
    <w:p w14:paraId="525010A1" w14:textId="77777777" w:rsidR="00F87070" w:rsidRDefault="00F87070">
      <w:pPr>
        <w:spacing w:line="360" w:lineRule="auto"/>
        <w:ind w:right="-734"/>
        <w:jc w:val="both"/>
        <w:rPr>
          <w:rFonts w:ascii="Palatino Linotype" w:eastAsia="Palatino Linotype" w:hAnsi="Palatino Linotype" w:cs="Palatino Linotype"/>
        </w:rPr>
      </w:pPr>
    </w:p>
    <w:p w14:paraId="649ADC3C" w14:textId="77777777" w:rsidR="00F87070" w:rsidRDefault="00DB3BF7">
      <w:pPr>
        <w:numPr>
          <w:ilvl w:val="0"/>
          <w:numId w:val="6"/>
        </w:numPr>
        <w:pBdr>
          <w:top w:val="nil"/>
          <w:left w:val="nil"/>
          <w:bottom w:val="nil"/>
          <w:right w:val="nil"/>
          <w:between w:val="nil"/>
        </w:pBdr>
        <w:tabs>
          <w:tab w:val="left" w:pos="284"/>
        </w:tabs>
        <w:spacing w:line="360" w:lineRule="auto"/>
        <w:ind w:left="0" w:right="-734" w:firstLine="0"/>
        <w:jc w:val="both"/>
        <w:rPr>
          <w:color w:val="000000"/>
        </w:rPr>
      </w:pPr>
      <w:r>
        <w:rPr>
          <w:rFonts w:ascii="Palatino Linotype" w:eastAsia="Palatino Linotype" w:hAnsi="Palatino Linotype" w:cs="Palatino Linotype"/>
          <w:color w:val="000000"/>
        </w:rPr>
        <w:lastRenderedPageBreak/>
        <w:t xml:space="preserve">Expuesto lo anterior, podemos advertir que el Sujeto Obligado si posee facultades para conocer de la información solicitada, pues como ya quedó expuesto, el Comité Coordinador Municipal está integrado por servidores públicos del Ayuntamiento de Tultitlán. </w:t>
      </w:r>
    </w:p>
    <w:p w14:paraId="23FFCB48" w14:textId="77777777" w:rsidR="00F87070" w:rsidRDefault="00F87070">
      <w:pPr>
        <w:pBdr>
          <w:top w:val="nil"/>
          <w:left w:val="nil"/>
          <w:bottom w:val="nil"/>
          <w:right w:val="nil"/>
          <w:between w:val="nil"/>
        </w:pBdr>
        <w:tabs>
          <w:tab w:val="left" w:pos="284"/>
        </w:tabs>
        <w:spacing w:line="360" w:lineRule="auto"/>
        <w:ind w:right="-734"/>
        <w:jc w:val="both"/>
        <w:rPr>
          <w:rFonts w:ascii="Palatino Linotype" w:eastAsia="Palatino Linotype" w:hAnsi="Palatino Linotype" w:cs="Palatino Linotype"/>
          <w:color w:val="000000"/>
        </w:rPr>
      </w:pPr>
    </w:p>
    <w:p w14:paraId="272648B3" w14:textId="77777777" w:rsidR="00F87070" w:rsidRDefault="00DB3BF7">
      <w:pPr>
        <w:numPr>
          <w:ilvl w:val="0"/>
          <w:numId w:val="6"/>
        </w:numPr>
        <w:pBdr>
          <w:top w:val="nil"/>
          <w:left w:val="nil"/>
          <w:bottom w:val="nil"/>
          <w:right w:val="nil"/>
          <w:between w:val="nil"/>
        </w:pBdr>
        <w:tabs>
          <w:tab w:val="left" w:pos="284"/>
        </w:tabs>
        <w:spacing w:line="360" w:lineRule="auto"/>
        <w:ind w:left="0" w:right="-734" w:firstLine="0"/>
        <w:jc w:val="both"/>
        <w:rPr>
          <w:color w:val="000000"/>
        </w:rPr>
      </w:pPr>
      <w:r>
        <w:rPr>
          <w:rFonts w:ascii="Palatino Linotype" w:eastAsia="Palatino Linotype" w:hAnsi="Palatino Linotype" w:cs="Palatino Linotype"/>
          <w:color w:val="000000"/>
        </w:rPr>
        <w:t>Ahora bien, al respecto es conviene señalar que este Órgano Garante realizó una consulta a la página de la Secretaría Ejecutiva del Sistema Estatal Anticorrupción, en la que se advierte que para el caso del Municipios de Tultitlán, en el que se advierte que el Comité Coordinador se instaló el 11 de junio de dos mil veintiuno, como se puede apreciar a continuación:</w:t>
      </w:r>
    </w:p>
    <w:p w14:paraId="02BFAFB5" w14:textId="77777777" w:rsidR="00F87070" w:rsidRDefault="00F87070">
      <w:pPr>
        <w:pBdr>
          <w:top w:val="nil"/>
          <w:left w:val="nil"/>
          <w:bottom w:val="nil"/>
          <w:right w:val="nil"/>
          <w:between w:val="nil"/>
        </w:pBdr>
        <w:ind w:left="720" w:right="-734"/>
        <w:rPr>
          <w:rFonts w:ascii="Palatino Linotype" w:eastAsia="Palatino Linotype" w:hAnsi="Palatino Linotype" w:cs="Palatino Linotype"/>
          <w:color w:val="000000"/>
        </w:rPr>
      </w:pPr>
    </w:p>
    <w:p w14:paraId="0EC45A78" w14:textId="77777777" w:rsidR="00F87070" w:rsidRDefault="00DB3BF7">
      <w:pPr>
        <w:pBdr>
          <w:top w:val="nil"/>
          <w:left w:val="nil"/>
          <w:bottom w:val="nil"/>
          <w:right w:val="nil"/>
          <w:between w:val="nil"/>
        </w:pBdr>
        <w:tabs>
          <w:tab w:val="left" w:pos="284"/>
        </w:tabs>
        <w:spacing w:line="360" w:lineRule="auto"/>
        <w:ind w:right="-734"/>
        <w:jc w:val="center"/>
        <w:rPr>
          <w:rFonts w:ascii="Palatino Linotype" w:eastAsia="Palatino Linotype" w:hAnsi="Palatino Linotype" w:cs="Palatino Linotype"/>
          <w:color w:val="000000"/>
        </w:rPr>
      </w:pPr>
      <w:r>
        <w:rPr>
          <w:rFonts w:ascii="Palatino Linotype" w:eastAsia="Palatino Linotype" w:hAnsi="Palatino Linotype" w:cs="Palatino Linotype"/>
          <w:noProof/>
          <w:color w:val="000000"/>
        </w:rPr>
        <w:drawing>
          <wp:inline distT="0" distB="0" distL="0" distR="0" wp14:anchorId="260F5A0F" wp14:editId="35FEC43F">
            <wp:extent cx="3178498" cy="3728719"/>
            <wp:effectExtent l="0" t="0" r="0" b="0"/>
            <wp:docPr id="3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t="1741" r="15803"/>
                    <a:stretch>
                      <a:fillRect/>
                    </a:stretch>
                  </pic:blipFill>
                  <pic:spPr>
                    <a:xfrm>
                      <a:off x="0" y="0"/>
                      <a:ext cx="3178498" cy="3728719"/>
                    </a:xfrm>
                    <a:prstGeom prst="rect">
                      <a:avLst/>
                    </a:prstGeom>
                    <a:ln/>
                  </pic:spPr>
                </pic:pic>
              </a:graphicData>
            </a:graphic>
          </wp:inline>
        </w:drawing>
      </w:r>
    </w:p>
    <w:p w14:paraId="1DCF6B6A" w14:textId="77777777" w:rsidR="00F87070" w:rsidRDefault="00F87070">
      <w:pPr>
        <w:pBdr>
          <w:top w:val="nil"/>
          <w:left w:val="nil"/>
          <w:bottom w:val="nil"/>
          <w:right w:val="nil"/>
          <w:between w:val="nil"/>
        </w:pBdr>
        <w:ind w:left="720" w:right="-734"/>
        <w:rPr>
          <w:rFonts w:ascii="Palatino Linotype" w:eastAsia="Palatino Linotype" w:hAnsi="Palatino Linotype" w:cs="Palatino Linotype"/>
          <w:color w:val="000000"/>
        </w:rPr>
      </w:pPr>
    </w:p>
    <w:p w14:paraId="3958865E" w14:textId="77777777" w:rsidR="00F87070" w:rsidRDefault="00DB3BF7">
      <w:pPr>
        <w:pBdr>
          <w:top w:val="nil"/>
          <w:left w:val="nil"/>
          <w:bottom w:val="nil"/>
          <w:right w:val="nil"/>
          <w:between w:val="nil"/>
        </w:pBdr>
        <w:tabs>
          <w:tab w:val="left" w:pos="284"/>
        </w:tabs>
        <w:spacing w:line="360" w:lineRule="auto"/>
        <w:ind w:right="-734"/>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 </w:t>
      </w:r>
    </w:p>
    <w:p w14:paraId="14279B38" w14:textId="77777777" w:rsidR="00F87070" w:rsidRDefault="00DB3BF7">
      <w:pPr>
        <w:numPr>
          <w:ilvl w:val="0"/>
          <w:numId w:val="6"/>
        </w:numPr>
        <w:pBdr>
          <w:top w:val="nil"/>
          <w:left w:val="nil"/>
          <w:bottom w:val="nil"/>
          <w:right w:val="nil"/>
          <w:between w:val="nil"/>
        </w:pBdr>
        <w:tabs>
          <w:tab w:val="left" w:pos="284"/>
        </w:tabs>
        <w:spacing w:line="360" w:lineRule="auto"/>
        <w:ind w:left="0" w:right="-734" w:firstLine="0"/>
        <w:jc w:val="both"/>
        <w:rPr>
          <w:color w:val="000000"/>
        </w:rPr>
      </w:pPr>
      <w:r>
        <w:rPr>
          <w:rFonts w:ascii="Palatino Linotype" w:eastAsia="Palatino Linotype" w:hAnsi="Palatino Linotype" w:cs="Palatino Linotype"/>
          <w:color w:val="000000"/>
        </w:rPr>
        <w:lastRenderedPageBreak/>
        <w:t xml:space="preserve">En ese sentido, se puede observar que el Sujeto Obligado no puede poseer o administrar información de la temporalidad </w:t>
      </w:r>
      <w:r>
        <w:rPr>
          <w:rFonts w:ascii="Palatino Linotype" w:eastAsia="Palatino Linotype" w:hAnsi="Palatino Linotype" w:cs="Palatino Linotype"/>
        </w:rPr>
        <w:t>señala</w:t>
      </w:r>
      <w:r>
        <w:rPr>
          <w:rFonts w:ascii="Palatino Linotype" w:eastAsia="Palatino Linotype" w:hAnsi="Palatino Linotype" w:cs="Palatino Linotype"/>
          <w:color w:val="000000"/>
        </w:rPr>
        <w:t>, pues aún no se instalaba el Comité Coordinador, aunado a ello, en la normatividad señalada, se advierte únicamente que el Comité Coordinador debe instalarse  en un plazo no mayor a sesenta día naturales posteriores a que se haya integrado el Comité de Participación Ciudadana Municipal, sin embargo, no establece un periodo específico para la instalación del Comité de Participación Ciudadana:</w:t>
      </w:r>
    </w:p>
    <w:p w14:paraId="4E7A695E" w14:textId="77777777" w:rsidR="00F87070" w:rsidRDefault="00DB3BF7">
      <w:pPr>
        <w:pBdr>
          <w:top w:val="nil"/>
          <w:left w:val="nil"/>
          <w:bottom w:val="nil"/>
          <w:right w:val="nil"/>
          <w:between w:val="nil"/>
        </w:pBdr>
        <w:tabs>
          <w:tab w:val="left" w:pos="284"/>
        </w:tabs>
        <w:spacing w:line="360" w:lineRule="auto"/>
        <w:ind w:right="-734"/>
        <w:jc w:val="center"/>
        <w:rPr>
          <w:rFonts w:ascii="Palatino Linotype" w:eastAsia="Palatino Linotype" w:hAnsi="Palatino Linotype" w:cs="Palatino Linotype"/>
          <w:color w:val="000000"/>
        </w:rPr>
      </w:pPr>
      <w:r>
        <w:rPr>
          <w:rFonts w:ascii="Palatino Linotype" w:eastAsia="Palatino Linotype" w:hAnsi="Palatino Linotype" w:cs="Palatino Linotype"/>
          <w:noProof/>
          <w:color w:val="000000"/>
        </w:rPr>
        <w:drawing>
          <wp:inline distT="0" distB="0" distL="0" distR="0" wp14:anchorId="09BB73B7" wp14:editId="7752EA40">
            <wp:extent cx="4469129" cy="2074635"/>
            <wp:effectExtent l="0" t="0" r="0" b="0"/>
            <wp:docPr id="3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2"/>
                    <a:srcRect/>
                    <a:stretch>
                      <a:fillRect/>
                    </a:stretch>
                  </pic:blipFill>
                  <pic:spPr>
                    <a:xfrm>
                      <a:off x="0" y="0"/>
                      <a:ext cx="4469129" cy="2074635"/>
                    </a:xfrm>
                    <a:prstGeom prst="rect">
                      <a:avLst/>
                    </a:prstGeom>
                    <a:ln/>
                  </pic:spPr>
                </pic:pic>
              </a:graphicData>
            </a:graphic>
          </wp:inline>
        </w:drawing>
      </w:r>
    </w:p>
    <w:p w14:paraId="49291390" w14:textId="77777777" w:rsidR="00F87070" w:rsidRDefault="00F87070">
      <w:pPr>
        <w:pBdr>
          <w:top w:val="nil"/>
          <w:left w:val="nil"/>
          <w:bottom w:val="nil"/>
          <w:right w:val="nil"/>
          <w:between w:val="nil"/>
        </w:pBdr>
        <w:tabs>
          <w:tab w:val="left" w:pos="284"/>
        </w:tabs>
        <w:spacing w:line="360" w:lineRule="auto"/>
        <w:ind w:right="-734"/>
        <w:jc w:val="center"/>
        <w:rPr>
          <w:rFonts w:ascii="Palatino Linotype" w:eastAsia="Palatino Linotype" w:hAnsi="Palatino Linotype" w:cs="Palatino Linotype"/>
          <w:color w:val="000000"/>
        </w:rPr>
      </w:pPr>
    </w:p>
    <w:p w14:paraId="47E0620A" w14:textId="77777777" w:rsidR="00F87070" w:rsidRDefault="00DB3BF7">
      <w:pPr>
        <w:numPr>
          <w:ilvl w:val="0"/>
          <w:numId w:val="6"/>
        </w:numPr>
        <w:pBdr>
          <w:top w:val="nil"/>
          <w:left w:val="nil"/>
          <w:bottom w:val="nil"/>
          <w:right w:val="nil"/>
          <w:between w:val="nil"/>
        </w:pBdr>
        <w:tabs>
          <w:tab w:val="left" w:pos="284"/>
        </w:tabs>
        <w:spacing w:line="360" w:lineRule="auto"/>
        <w:ind w:left="0" w:right="-734" w:firstLine="0"/>
        <w:jc w:val="both"/>
        <w:rPr>
          <w:color w:val="000000"/>
        </w:rPr>
      </w:pPr>
      <w:r>
        <w:rPr>
          <w:rFonts w:ascii="Palatino Linotype" w:eastAsia="Palatino Linotype" w:hAnsi="Palatino Linotype" w:cs="Palatino Linotype"/>
          <w:color w:val="000000"/>
        </w:rPr>
        <w:t xml:space="preserve">Con lo anteriormente señalado, podemos advertir que el Sujeto Obligado no posee o administra la información de la temporalidad solicitada, por lo tanto, no es dable ordenar la entrega de la información, aunado  a que no era necesaria la entrega del acuerdo de inexistencia por parte del Sujeto Obligado. </w:t>
      </w:r>
    </w:p>
    <w:p w14:paraId="061DF49A" w14:textId="77777777" w:rsidR="00F87070" w:rsidRDefault="00F87070">
      <w:pPr>
        <w:pBdr>
          <w:top w:val="nil"/>
          <w:left w:val="nil"/>
          <w:bottom w:val="nil"/>
          <w:right w:val="nil"/>
          <w:between w:val="nil"/>
        </w:pBdr>
        <w:tabs>
          <w:tab w:val="left" w:pos="284"/>
        </w:tabs>
        <w:spacing w:line="360" w:lineRule="auto"/>
        <w:ind w:right="-734"/>
        <w:jc w:val="both"/>
        <w:rPr>
          <w:rFonts w:ascii="Palatino Linotype" w:eastAsia="Palatino Linotype" w:hAnsi="Palatino Linotype" w:cs="Palatino Linotype"/>
          <w:color w:val="000000"/>
        </w:rPr>
      </w:pPr>
    </w:p>
    <w:p w14:paraId="463D58B0" w14:textId="77777777" w:rsidR="00F87070" w:rsidRDefault="00DB3BF7">
      <w:pPr>
        <w:numPr>
          <w:ilvl w:val="0"/>
          <w:numId w:val="6"/>
        </w:numPr>
        <w:spacing w:line="360" w:lineRule="auto"/>
        <w:ind w:left="0" w:right="-734" w:firstLine="0"/>
        <w:jc w:val="both"/>
      </w:pPr>
      <w:r>
        <w:rPr>
          <w:rFonts w:ascii="Palatino Linotype" w:eastAsia="Palatino Linotype" w:hAnsi="Palatino Linotype" w:cs="Palatino Linotype"/>
          <w:color w:val="000000"/>
        </w:rPr>
        <w:t xml:space="preserve">Expuesto lo anterior, se advierte que, si bien </w:t>
      </w:r>
      <w:r>
        <w:rPr>
          <w:rFonts w:ascii="Palatino Linotype" w:eastAsia="Palatino Linotype" w:hAnsi="Palatino Linotype" w:cs="Palatino Linotype"/>
        </w:rPr>
        <w:t xml:space="preserve">el recurso revisión tiene como finalidad reparar cualquier posible afectación al derecho de acceso a la información pública en términos del Título Octavo de la Ley de Transparencia, Acceso a la Información Pública del Estado de México y Municipios, y determinar la confirmación; revocación o modificación; desechamiento o sobreseimiento; y, en su caso, ordenar la entrega de la información respecto a la respuesta emitida por 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lo cierto, es que este Órgano Garante </w:t>
      </w:r>
      <w:r>
        <w:rPr>
          <w:rFonts w:ascii="Palatino Linotype" w:eastAsia="Palatino Linotype" w:hAnsi="Palatino Linotype" w:cs="Palatino Linotype"/>
        </w:rPr>
        <w:lastRenderedPageBreak/>
        <w:t xml:space="preserve">advierte que se actualiza la causal de sobreseimiento prevista en la fracción V del artículo 192 de la Ley de Transparencia y Acceso a la Información Pública del Estado de México y Municipios, como se expone a continuación: </w:t>
      </w:r>
    </w:p>
    <w:p w14:paraId="3A80403D" w14:textId="77777777" w:rsidR="00F87070" w:rsidRDefault="00DB3BF7">
      <w:pPr>
        <w:spacing w:line="360" w:lineRule="auto"/>
        <w:ind w:left="567" w:right="-25"/>
        <w:jc w:val="both"/>
        <w:rPr>
          <w:rFonts w:ascii="Palatino Linotype" w:eastAsia="Palatino Linotype" w:hAnsi="Palatino Linotype" w:cs="Palatino Linotype"/>
          <w:i/>
          <w:sz w:val="22"/>
          <w:szCs w:val="22"/>
        </w:rPr>
      </w:pPr>
      <w:bookmarkStart w:id="5" w:name="_heading=h.3dy6vkm" w:colFirst="0" w:colLast="0"/>
      <w:bookmarkEnd w:id="5"/>
      <w:r>
        <w:rPr>
          <w:rFonts w:ascii="Palatino Linotype" w:eastAsia="Palatino Linotype" w:hAnsi="Palatino Linotype" w:cs="Palatino Linotype"/>
          <w:b/>
          <w:i/>
          <w:sz w:val="22"/>
          <w:szCs w:val="22"/>
        </w:rPr>
        <w:t>“Artículo 192.</w:t>
      </w:r>
      <w:r>
        <w:rPr>
          <w:rFonts w:ascii="Palatino Linotype" w:eastAsia="Palatino Linotype" w:hAnsi="Palatino Linotype" w:cs="Palatino Linotype"/>
          <w:i/>
          <w:sz w:val="22"/>
          <w:szCs w:val="22"/>
        </w:rPr>
        <w:t xml:space="preserve"> El recurso será sobreseído, en todo o en parte, cuando una vez admitido, se actualicen alguno de los siguientes supuestos: </w:t>
      </w:r>
    </w:p>
    <w:p w14:paraId="652D3801" w14:textId="77777777" w:rsidR="00F87070" w:rsidRDefault="00DB3BF7">
      <w:pPr>
        <w:spacing w:line="360" w:lineRule="auto"/>
        <w:ind w:left="567" w:right="-25"/>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 </w:t>
      </w:r>
    </w:p>
    <w:p w14:paraId="12CA6205" w14:textId="77777777" w:rsidR="00F87070" w:rsidRDefault="00DB3BF7">
      <w:pPr>
        <w:spacing w:line="360" w:lineRule="auto"/>
        <w:ind w:left="567" w:right="-25"/>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V. Cuando por cualquier motivo se quede sin materia.”</w:t>
      </w:r>
    </w:p>
    <w:p w14:paraId="791F239E" w14:textId="77777777" w:rsidR="00F87070" w:rsidRDefault="00F87070">
      <w:pPr>
        <w:pBdr>
          <w:top w:val="nil"/>
          <w:left w:val="nil"/>
          <w:bottom w:val="nil"/>
          <w:right w:val="nil"/>
          <w:between w:val="nil"/>
        </w:pBdr>
        <w:spacing w:line="360" w:lineRule="auto"/>
        <w:ind w:right="-734"/>
        <w:jc w:val="both"/>
        <w:rPr>
          <w:rFonts w:ascii="Palatino Linotype" w:eastAsia="Palatino Linotype" w:hAnsi="Palatino Linotype" w:cs="Palatino Linotype"/>
          <w:color w:val="000000"/>
        </w:rPr>
      </w:pPr>
    </w:p>
    <w:p w14:paraId="3AA66161" w14:textId="77777777" w:rsidR="00F87070" w:rsidRDefault="00DB3BF7">
      <w:pPr>
        <w:numPr>
          <w:ilvl w:val="0"/>
          <w:numId w:val="6"/>
        </w:numPr>
        <w:spacing w:line="360" w:lineRule="auto"/>
        <w:ind w:left="0" w:right="-734" w:firstLine="0"/>
        <w:jc w:val="both"/>
        <w:rPr>
          <w:color w:val="000000"/>
        </w:rPr>
      </w:pPr>
      <w:r>
        <w:rPr>
          <w:rFonts w:ascii="Palatino Linotype" w:eastAsia="Palatino Linotype" w:hAnsi="Palatino Linotype" w:cs="Palatino Linotype"/>
          <w:color w:val="000000"/>
        </w:rPr>
        <w:t>Por lo anterior</w:t>
      </w:r>
      <w:r>
        <w:rPr>
          <w:rFonts w:ascii="Palatino Linotype" w:eastAsia="Palatino Linotype" w:hAnsi="Palatino Linotype" w:cs="Palatino Linotype"/>
        </w:rPr>
        <w:t xml:space="preserve">, este Pleno advierte que el recurso de revisión quedó sin materia, actualizándose de este modo, la hipótesis jurídica contenida en la fracción V del citado artículo 192. </w:t>
      </w:r>
    </w:p>
    <w:p w14:paraId="1BF29F2E" w14:textId="77777777" w:rsidR="00F87070" w:rsidRDefault="00DB3BF7">
      <w:pPr>
        <w:numPr>
          <w:ilvl w:val="0"/>
          <w:numId w:val="6"/>
        </w:numPr>
        <w:pBdr>
          <w:top w:val="nil"/>
          <w:left w:val="nil"/>
          <w:bottom w:val="nil"/>
          <w:right w:val="nil"/>
          <w:between w:val="nil"/>
        </w:pBdr>
        <w:spacing w:before="240" w:after="240" w:line="360" w:lineRule="auto"/>
        <w:ind w:left="0" w:right="-734" w:firstLine="0"/>
        <w:jc w:val="both"/>
        <w:rPr>
          <w:color w:val="000000"/>
        </w:rPr>
      </w:pPr>
      <w:r>
        <w:rPr>
          <w:rFonts w:ascii="Palatino Linotype" w:eastAsia="Palatino Linotype" w:hAnsi="Palatino Linotype" w:cs="Palatino Linotype"/>
          <w:color w:val="000000"/>
        </w:rPr>
        <w:t>Lo anterior tiene sustento en la Tesis: I.7o.C.54 K, del Séptimo Tribunal Colegiado en Materia Civil Del Primer Circuito publicada en el Semanario Judicial de la Federación y su Gaceta, de la Novena Época, en el Tomo XXIX, Enero de 2009, a página 2837, que literalmente establece:</w:t>
      </w:r>
    </w:p>
    <w:p w14:paraId="45D1727D" w14:textId="77777777" w:rsidR="00F87070" w:rsidRDefault="00DB3BF7">
      <w:pPr>
        <w:spacing w:line="360" w:lineRule="auto"/>
        <w:ind w:left="567" w:right="-25"/>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SOBRESEIMIENTO EN EL JUICIO DE AMPARO DIRECTO. IMPIDE EL ESTUDIO DE LAS VIOLACIONES PROCESALES PLANTEADAS EN LOS CONCEPTOS DE VIOLACIÓN.</w:t>
      </w:r>
      <w:r>
        <w:rPr>
          <w:rFonts w:ascii="Palatino Linotype" w:eastAsia="Palatino Linotype" w:hAnsi="Palatino Linotype" w:cs="Palatino Linotype"/>
          <w:i/>
          <w:sz w:val="22"/>
          <w:szCs w:val="22"/>
        </w:rPr>
        <w:t xml:space="preserve"> El sobreseimiento en el juicio de amparo directo provoca la terminación de la controversia planteada por el quejoso en la demanda de amparo, sin hacer un pronunciamiento de fondo sobre la legalidad o ilegalidad de la sentencia reclamada. Por consiguiente, si al sobreseerse en el juicio de amparo no se pueden estudiar los planteamientos que se hacen valer en contra del fallo reclamado, tampoco se deben analizar las violaciones procesales propuestas en los conceptos de violación, dado que, la principal consecuencia del sobreseimiento es poner fin al juicio de amparo sin resolver la controversia en sus méritos.</w:t>
      </w:r>
    </w:p>
    <w:p w14:paraId="0F2209E4" w14:textId="77777777" w:rsidR="00F87070" w:rsidRDefault="00DB3BF7">
      <w:pPr>
        <w:spacing w:line="360" w:lineRule="auto"/>
        <w:ind w:left="567" w:right="-25"/>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SEPTIMO TRIBUNAL COLEGIADO EN MATERIA CIVIL DEL PRIMER CIRCUITO</w:t>
      </w:r>
    </w:p>
    <w:p w14:paraId="27E2398F" w14:textId="77777777" w:rsidR="00F87070" w:rsidRDefault="00DB3BF7">
      <w:pPr>
        <w:spacing w:line="360" w:lineRule="auto"/>
        <w:ind w:left="567" w:right="-25"/>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lastRenderedPageBreak/>
        <w:t>Amparo directo 699/2008. Mariana Leticia González Steele. 13 de noviembre de 2008. Unanimidad de votos. Ponente: Sara Judith Montalvo Trejo. Secretario: Arnulfo Mateos García.”</w:t>
      </w:r>
    </w:p>
    <w:p w14:paraId="2CC6F299" w14:textId="77777777" w:rsidR="00F87070" w:rsidRDefault="00F87070">
      <w:pPr>
        <w:spacing w:line="360" w:lineRule="auto"/>
        <w:ind w:right="-734"/>
        <w:jc w:val="both"/>
        <w:rPr>
          <w:rFonts w:ascii="Palatino Linotype" w:eastAsia="Palatino Linotype" w:hAnsi="Palatino Linotype" w:cs="Palatino Linotype"/>
        </w:rPr>
      </w:pPr>
    </w:p>
    <w:p w14:paraId="6755B4A4" w14:textId="77777777" w:rsidR="00F87070" w:rsidRDefault="00DB3BF7">
      <w:pPr>
        <w:numPr>
          <w:ilvl w:val="0"/>
          <w:numId w:val="6"/>
        </w:numPr>
        <w:pBdr>
          <w:top w:val="nil"/>
          <w:left w:val="nil"/>
          <w:bottom w:val="nil"/>
          <w:right w:val="nil"/>
          <w:between w:val="nil"/>
        </w:pBdr>
        <w:spacing w:line="360" w:lineRule="auto"/>
        <w:ind w:left="0" w:right="-734" w:firstLine="0"/>
        <w:jc w:val="both"/>
        <w:rPr>
          <w:color w:val="000000"/>
        </w:rPr>
      </w:pPr>
      <w:r>
        <w:rPr>
          <w:rFonts w:ascii="Palatino Linotype" w:eastAsia="Palatino Linotype" w:hAnsi="Palatino Linotype" w:cs="Palatino Linotype"/>
          <w:color w:val="000000"/>
        </w:rPr>
        <w:t>Bajo esas consideraciones, se afirma que en el recurso de revisión sujeto a estudio se actualiza la hipótesis jurídica citada, toda vez que quedó probado que el Recurso de Revisión ha quedado sin materia.</w:t>
      </w:r>
    </w:p>
    <w:p w14:paraId="5DFFE858" w14:textId="77777777" w:rsidR="00F87070" w:rsidRDefault="00F87070">
      <w:pPr>
        <w:pBdr>
          <w:top w:val="nil"/>
          <w:left w:val="nil"/>
          <w:bottom w:val="nil"/>
          <w:right w:val="nil"/>
          <w:between w:val="nil"/>
        </w:pBdr>
        <w:spacing w:line="360" w:lineRule="auto"/>
        <w:ind w:right="-734"/>
        <w:jc w:val="both"/>
        <w:rPr>
          <w:rFonts w:ascii="Palatino Linotype" w:eastAsia="Palatino Linotype" w:hAnsi="Palatino Linotype" w:cs="Palatino Linotype"/>
          <w:color w:val="000000"/>
        </w:rPr>
      </w:pPr>
    </w:p>
    <w:p w14:paraId="3D815FF8" w14:textId="77777777" w:rsidR="00F87070" w:rsidRDefault="00DB3BF7">
      <w:pPr>
        <w:numPr>
          <w:ilvl w:val="0"/>
          <w:numId w:val="6"/>
        </w:numPr>
        <w:pBdr>
          <w:top w:val="nil"/>
          <w:left w:val="nil"/>
          <w:bottom w:val="nil"/>
          <w:right w:val="nil"/>
          <w:between w:val="nil"/>
        </w:pBdr>
        <w:tabs>
          <w:tab w:val="left" w:pos="284"/>
        </w:tabs>
        <w:spacing w:line="360" w:lineRule="auto"/>
        <w:ind w:left="0" w:right="-734" w:firstLine="0"/>
        <w:jc w:val="both"/>
        <w:rPr>
          <w:color w:val="000000"/>
        </w:rPr>
      </w:pPr>
      <w:r>
        <w:rPr>
          <w:rFonts w:ascii="Palatino Linotype" w:eastAsia="Palatino Linotype" w:hAnsi="Palatino Linotype" w:cs="Palatino Linotype"/>
          <w:color w:val="000000"/>
        </w:rPr>
        <w:t xml:space="preserve">Por lo anteriormente expuesto y fundado, este </w:t>
      </w:r>
      <w:r>
        <w:rPr>
          <w:rFonts w:ascii="Palatino Linotype" w:eastAsia="Palatino Linotype" w:hAnsi="Palatino Linotype" w:cs="Palatino Linotype"/>
          <w:b/>
          <w:color w:val="000000"/>
        </w:rPr>
        <w:t>ÓRGANO GARANTE</w:t>
      </w:r>
      <w:r>
        <w:rPr>
          <w:rFonts w:ascii="Palatino Linotype" w:eastAsia="Palatino Linotype" w:hAnsi="Palatino Linotype" w:cs="Palatino Linotype"/>
          <w:color w:val="000000"/>
        </w:rPr>
        <w:t xml:space="preserve"> emite los siguientes:</w:t>
      </w:r>
    </w:p>
    <w:p w14:paraId="274B8B6E" w14:textId="77777777" w:rsidR="00F87070" w:rsidRDefault="00F87070">
      <w:pPr>
        <w:pBdr>
          <w:top w:val="nil"/>
          <w:left w:val="nil"/>
          <w:bottom w:val="nil"/>
          <w:right w:val="nil"/>
          <w:between w:val="nil"/>
        </w:pBdr>
        <w:tabs>
          <w:tab w:val="left" w:pos="284"/>
        </w:tabs>
        <w:spacing w:line="360" w:lineRule="auto"/>
        <w:ind w:right="-734"/>
        <w:jc w:val="both"/>
        <w:rPr>
          <w:rFonts w:ascii="Palatino Linotype" w:eastAsia="Palatino Linotype" w:hAnsi="Palatino Linotype" w:cs="Palatino Linotype"/>
          <w:color w:val="000000"/>
        </w:rPr>
      </w:pPr>
    </w:p>
    <w:p w14:paraId="1830C8BD" w14:textId="77777777" w:rsidR="00F87070" w:rsidRDefault="00DB3BF7">
      <w:pPr>
        <w:spacing w:line="360" w:lineRule="auto"/>
        <w:ind w:right="-734"/>
        <w:jc w:val="center"/>
        <w:rPr>
          <w:rFonts w:ascii="Palatino Linotype" w:eastAsia="Palatino Linotype" w:hAnsi="Palatino Linotype" w:cs="Palatino Linotype"/>
          <w:b/>
        </w:rPr>
      </w:pPr>
      <w:r>
        <w:rPr>
          <w:rFonts w:ascii="Palatino Linotype" w:eastAsia="Palatino Linotype" w:hAnsi="Palatino Linotype" w:cs="Palatino Linotype"/>
          <w:b/>
        </w:rPr>
        <w:t>R E S O L U T I V O S</w:t>
      </w:r>
    </w:p>
    <w:p w14:paraId="2291C2F8" w14:textId="77777777" w:rsidR="00F87070" w:rsidRDefault="00F87070">
      <w:pPr>
        <w:spacing w:line="360" w:lineRule="auto"/>
        <w:ind w:right="-734"/>
        <w:jc w:val="both"/>
        <w:rPr>
          <w:rFonts w:ascii="Palatino Linotype" w:eastAsia="Palatino Linotype" w:hAnsi="Palatino Linotype" w:cs="Palatino Linotype"/>
          <w:b/>
        </w:rPr>
      </w:pPr>
    </w:p>
    <w:p w14:paraId="4CF1626F" w14:textId="77777777" w:rsidR="00F87070" w:rsidRDefault="00DB3BF7">
      <w:pPr>
        <w:spacing w:line="360" w:lineRule="auto"/>
        <w:ind w:right="-734"/>
        <w:jc w:val="both"/>
        <w:rPr>
          <w:rFonts w:ascii="Palatino Linotype" w:eastAsia="Palatino Linotype" w:hAnsi="Palatino Linotype" w:cs="Palatino Linotype"/>
        </w:rPr>
      </w:pPr>
      <w:r>
        <w:rPr>
          <w:rFonts w:ascii="Palatino Linotype" w:eastAsia="Palatino Linotype" w:hAnsi="Palatino Linotype" w:cs="Palatino Linotype"/>
          <w:b/>
        </w:rPr>
        <w:t xml:space="preserve">PRIMERO. </w:t>
      </w:r>
      <w:r>
        <w:rPr>
          <w:rFonts w:ascii="Palatino Linotype" w:eastAsia="Palatino Linotype" w:hAnsi="Palatino Linotype" w:cs="Palatino Linotype"/>
        </w:rPr>
        <w:t xml:space="preserve">Se </w:t>
      </w:r>
      <w:r>
        <w:rPr>
          <w:rFonts w:ascii="Palatino Linotype" w:eastAsia="Palatino Linotype" w:hAnsi="Palatino Linotype" w:cs="Palatino Linotype"/>
          <w:b/>
        </w:rPr>
        <w:t xml:space="preserve">SOBRESEEN </w:t>
      </w:r>
      <w:r>
        <w:rPr>
          <w:rFonts w:ascii="Palatino Linotype" w:eastAsia="Palatino Linotype" w:hAnsi="Palatino Linotype" w:cs="Palatino Linotype"/>
        </w:rPr>
        <w:t xml:space="preserve">los recursos de revisión número </w:t>
      </w:r>
      <w:r>
        <w:rPr>
          <w:rFonts w:ascii="Palatino Linotype" w:eastAsia="Palatino Linotype" w:hAnsi="Palatino Linotype" w:cs="Palatino Linotype"/>
          <w:b/>
        </w:rPr>
        <w:t xml:space="preserve">00148/INFOEM/IP/RR/2024  y 00149/INFOEM/IP/RR/2024 por quedarse sin materia, </w:t>
      </w:r>
      <w:r>
        <w:rPr>
          <w:rFonts w:ascii="Palatino Linotype" w:eastAsia="Palatino Linotype" w:hAnsi="Palatino Linotype" w:cs="Palatino Linotype"/>
        </w:rPr>
        <w:t>de conformidad con la fracción V</w:t>
      </w:r>
      <w:r w:rsidR="004C4E50">
        <w:rPr>
          <w:rFonts w:ascii="Palatino Linotype" w:eastAsia="Palatino Linotype" w:hAnsi="Palatino Linotype" w:cs="Palatino Linotype"/>
        </w:rPr>
        <w:t>,</w:t>
      </w:r>
      <w:r>
        <w:rPr>
          <w:rFonts w:ascii="Palatino Linotype" w:eastAsia="Palatino Linotype" w:hAnsi="Palatino Linotype" w:cs="Palatino Linotype"/>
        </w:rPr>
        <w:t xml:space="preserve"> del artículo 192</w:t>
      </w:r>
      <w:r w:rsidR="004C4E50">
        <w:rPr>
          <w:rFonts w:ascii="Palatino Linotype" w:eastAsia="Palatino Linotype" w:hAnsi="Palatino Linotype" w:cs="Palatino Linotype"/>
        </w:rPr>
        <w:t>,</w:t>
      </w:r>
      <w:r>
        <w:rPr>
          <w:rFonts w:ascii="Palatino Linotype" w:eastAsia="Palatino Linotype" w:hAnsi="Palatino Linotype" w:cs="Palatino Linotype"/>
        </w:rPr>
        <w:t xml:space="preserve"> de la Ley de Transparencia y Acceso a la Información Pública del Estado de México y Municipios, en términos del </w:t>
      </w:r>
      <w:r>
        <w:rPr>
          <w:rFonts w:ascii="Palatino Linotype" w:eastAsia="Palatino Linotype" w:hAnsi="Palatino Linotype" w:cs="Palatino Linotype"/>
          <w:b/>
        </w:rPr>
        <w:t>Considerando TERCERO</w:t>
      </w:r>
      <w:r>
        <w:rPr>
          <w:rFonts w:ascii="Palatino Linotype" w:eastAsia="Palatino Linotype" w:hAnsi="Palatino Linotype" w:cs="Palatino Linotype"/>
        </w:rPr>
        <w:t xml:space="preserve"> de la presente resolución.</w:t>
      </w:r>
    </w:p>
    <w:p w14:paraId="635A1AF5" w14:textId="77777777" w:rsidR="00F87070" w:rsidRDefault="00F87070">
      <w:pPr>
        <w:spacing w:line="360" w:lineRule="auto"/>
        <w:ind w:right="-734"/>
        <w:jc w:val="both"/>
        <w:rPr>
          <w:rFonts w:ascii="Palatino Linotype" w:eastAsia="Palatino Linotype" w:hAnsi="Palatino Linotype" w:cs="Palatino Linotype"/>
        </w:rPr>
      </w:pPr>
    </w:p>
    <w:p w14:paraId="12C912A8" w14:textId="77777777" w:rsidR="00F87070" w:rsidRDefault="00DB3BF7">
      <w:pPr>
        <w:pBdr>
          <w:top w:val="nil"/>
          <w:left w:val="nil"/>
          <w:bottom w:val="nil"/>
          <w:right w:val="nil"/>
          <w:between w:val="nil"/>
        </w:pBdr>
        <w:spacing w:line="360" w:lineRule="auto"/>
        <w:ind w:right="-734"/>
        <w:jc w:val="both"/>
        <w:rPr>
          <w:rFonts w:ascii="Palatino Linotype" w:eastAsia="Palatino Linotype" w:hAnsi="Palatino Linotype" w:cs="Palatino Linotype"/>
          <w:color w:val="000000"/>
        </w:rPr>
      </w:pPr>
      <w:r>
        <w:rPr>
          <w:rFonts w:ascii="Palatino Linotype" w:eastAsia="Palatino Linotype" w:hAnsi="Palatino Linotype" w:cs="Palatino Linotype"/>
          <w:b/>
          <w:color w:val="000000"/>
        </w:rPr>
        <w:t xml:space="preserve">SEGUNDO. Notifíquese </w:t>
      </w:r>
      <w:r>
        <w:rPr>
          <w:rFonts w:ascii="Palatino Linotype" w:eastAsia="Palatino Linotype" w:hAnsi="Palatino Linotype" w:cs="Palatino Linotype"/>
          <w:color w:val="000000"/>
        </w:rPr>
        <w:t xml:space="preserve">a través del Sistema de Acceso a la Información Mexiquense </w:t>
      </w:r>
      <w:r>
        <w:rPr>
          <w:rFonts w:ascii="Palatino Linotype" w:eastAsia="Palatino Linotype" w:hAnsi="Palatino Linotype" w:cs="Palatino Linotype"/>
          <w:b/>
          <w:color w:val="000000"/>
        </w:rPr>
        <w:t xml:space="preserve">(SAIMEX) </w:t>
      </w:r>
      <w:r>
        <w:rPr>
          <w:rFonts w:ascii="Palatino Linotype" w:eastAsia="Palatino Linotype" w:hAnsi="Palatino Linotype" w:cs="Palatino Linotype"/>
          <w:color w:val="000000"/>
        </w:rPr>
        <w:t>la presente resolución al Titular de la Unidad de Transparencia del</w:t>
      </w:r>
      <w:r>
        <w:rPr>
          <w:rFonts w:ascii="Palatino Linotype" w:eastAsia="Palatino Linotype" w:hAnsi="Palatino Linotype" w:cs="Palatino Linotype"/>
          <w:b/>
          <w:color w:val="000000"/>
        </w:rPr>
        <w:t xml:space="preserve"> SUJETO OBLIGADO.</w:t>
      </w:r>
    </w:p>
    <w:p w14:paraId="46DD6EDA" w14:textId="77777777" w:rsidR="00F87070" w:rsidRDefault="00F87070">
      <w:pPr>
        <w:tabs>
          <w:tab w:val="left" w:pos="993"/>
        </w:tabs>
        <w:spacing w:line="360" w:lineRule="auto"/>
        <w:ind w:right="-734"/>
        <w:jc w:val="both"/>
        <w:rPr>
          <w:rFonts w:ascii="Palatino Linotype" w:eastAsia="Palatino Linotype" w:hAnsi="Palatino Linotype" w:cs="Palatino Linotype"/>
        </w:rPr>
      </w:pPr>
    </w:p>
    <w:p w14:paraId="37F28766" w14:textId="77777777" w:rsidR="00F87070" w:rsidRDefault="00DB3BF7">
      <w:pPr>
        <w:tabs>
          <w:tab w:val="left" w:pos="8080"/>
        </w:tabs>
        <w:spacing w:line="360" w:lineRule="auto"/>
        <w:ind w:right="-734"/>
        <w:jc w:val="both"/>
        <w:rPr>
          <w:rFonts w:ascii="Palatino Linotype" w:eastAsia="Palatino Linotype" w:hAnsi="Palatino Linotype" w:cs="Palatino Linotype"/>
          <w:b/>
        </w:rPr>
      </w:pPr>
      <w:r>
        <w:rPr>
          <w:rFonts w:ascii="Palatino Linotype" w:eastAsia="Palatino Linotype" w:hAnsi="Palatino Linotype" w:cs="Palatino Linotype"/>
          <w:b/>
        </w:rPr>
        <w:t xml:space="preserve">TERCERO. Notifíquese </w:t>
      </w:r>
      <w:r>
        <w:rPr>
          <w:rFonts w:ascii="Palatino Linotype" w:eastAsia="Palatino Linotype" w:hAnsi="Palatino Linotype" w:cs="Palatino Linotype"/>
        </w:rPr>
        <w:t xml:space="preserve">al </w:t>
      </w:r>
      <w:r>
        <w:rPr>
          <w:rFonts w:ascii="Palatino Linotype" w:eastAsia="Palatino Linotype" w:hAnsi="Palatino Linotype" w:cs="Palatino Linotype"/>
          <w:b/>
        </w:rPr>
        <w:t>RECURRENTE</w:t>
      </w:r>
      <w:r>
        <w:rPr>
          <w:rFonts w:ascii="Palatino Linotype" w:eastAsia="Palatino Linotype" w:hAnsi="Palatino Linotype" w:cs="Palatino Linotype"/>
        </w:rPr>
        <w:t xml:space="preserve"> a través del Sistema de Acceso a la Información Mexiquense </w:t>
      </w:r>
      <w:r>
        <w:rPr>
          <w:rFonts w:ascii="Palatino Linotype" w:eastAsia="Palatino Linotype" w:hAnsi="Palatino Linotype" w:cs="Palatino Linotype"/>
          <w:b/>
        </w:rPr>
        <w:t xml:space="preserve">(SAIMEX) </w:t>
      </w:r>
      <w:r>
        <w:rPr>
          <w:rFonts w:ascii="Palatino Linotype" w:eastAsia="Palatino Linotype" w:hAnsi="Palatino Linotype" w:cs="Palatino Linotype"/>
        </w:rPr>
        <w:t>la presente resolución.</w:t>
      </w:r>
    </w:p>
    <w:p w14:paraId="6E41249A" w14:textId="77777777" w:rsidR="00F87070" w:rsidRDefault="00F87070">
      <w:pPr>
        <w:tabs>
          <w:tab w:val="left" w:pos="8080"/>
        </w:tabs>
        <w:spacing w:line="360" w:lineRule="auto"/>
        <w:ind w:right="-734"/>
        <w:jc w:val="both"/>
        <w:rPr>
          <w:rFonts w:ascii="Palatino Linotype" w:eastAsia="Palatino Linotype" w:hAnsi="Palatino Linotype" w:cs="Palatino Linotype"/>
          <w:b/>
        </w:rPr>
      </w:pPr>
    </w:p>
    <w:p w14:paraId="54260BE6" w14:textId="77777777" w:rsidR="00F87070" w:rsidRDefault="00DB3BF7">
      <w:pPr>
        <w:pBdr>
          <w:top w:val="nil"/>
          <w:left w:val="nil"/>
          <w:bottom w:val="nil"/>
          <w:right w:val="nil"/>
          <w:between w:val="nil"/>
        </w:pBdr>
        <w:spacing w:line="360" w:lineRule="auto"/>
        <w:ind w:right="-734"/>
        <w:jc w:val="both"/>
        <w:rPr>
          <w:rFonts w:ascii="Palatino Linotype" w:eastAsia="Palatino Linotype" w:hAnsi="Palatino Linotype" w:cs="Palatino Linotype"/>
          <w:color w:val="000000"/>
        </w:rPr>
      </w:pPr>
      <w:r>
        <w:rPr>
          <w:rFonts w:ascii="Palatino Linotype" w:eastAsia="Palatino Linotype" w:hAnsi="Palatino Linotype" w:cs="Palatino Linotype"/>
          <w:b/>
          <w:color w:val="000000"/>
        </w:rPr>
        <w:lastRenderedPageBreak/>
        <w:t xml:space="preserve">CUARTO. </w:t>
      </w:r>
      <w:r>
        <w:rPr>
          <w:rFonts w:ascii="Palatino Linotype" w:eastAsia="Palatino Linotype" w:hAnsi="Palatino Linotype" w:cs="Palatino Linotype"/>
          <w:color w:val="000000"/>
        </w:rPr>
        <w:t xml:space="preserve">Se hace del conocimiento del </w:t>
      </w:r>
      <w:r>
        <w:rPr>
          <w:rFonts w:ascii="Palatino Linotype" w:eastAsia="Palatino Linotype" w:hAnsi="Palatino Linotype" w:cs="Palatino Linotype"/>
          <w:b/>
          <w:color w:val="000000"/>
        </w:rPr>
        <w:t>RECURRENTE</w:t>
      </w:r>
      <w:r>
        <w:rPr>
          <w:rFonts w:ascii="Palatino Linotype" w:eastAsia="Palatino Linotype" w:hAnsi="Palatino Linotype" w:cs="Palatino Linotype"/>
          <w:color w:val="000000"/>
        </w:rPr>
        <w:t xml:space="preserve"> que, de conformidad con lo establecido en el artículo 196 de la Ley de Transparencia y Acceso a la Información Pública del Estado de México y Municipios, en caso de que considere que la resolución le cause algún perjuicio podrá </w:t>
      </w:r>
      <w:r>
        <w:rPr>
          <w:rFonts w:ascii="Palatino Linotype" w:eastAsia="Palatino Linotype" w:hAnsi="Palatino Linotype" w:cs="Palatino Linotype"/>
        </w:rPr>
        <w:t>impugnar vía</w:t>
      </w:r>
      <w:r>
        <w:rPr>
          <w:rFonts w:ascii="Palatino Linotype" w:eastAsia="Palatino Linotype" w:hAnsi="Palatino Linotype" w:cs="Palatino Linotype"/>
          <w:color w:val="000000"/>
        </w:rPr>
        <w:t xml:space="preserve"> juicio de amparo en los términos de las leyes aplicables.</w:t>
      </w:r>
    </w:p>
    <w:p w14:paraId="52A35C62" w14:textId="77777777" w:rsidR="00F87070" w:rsidRDefault="00F87070">
      <w:pPr>
        <w:spacing w:line="360" w:lineRule="auto"/>
        <w:ind w:right="-734"/>
        <w:jc w:val="both"/>
        <w:rPr>
          <w:rFonts w:ascii="Palatino Linotype" w:eastAsia="Palatino Linotype" w:hAnsi="Palatino Linotype" w:cs="Palatino Linotype"/>
        </w:rPr>
      </w:pPr>
    </w:p>
    <w:p w14:paraId="601BEFAB" w14:textId="77777777" w:rsidR="004C4E50" w:rsidRPr="003C7186" w:rsidRDefault="004C4E50" w:rsidP="004C4E50">
      <w:pPr>
        <w:spacing w:line="360" w:lineRule="auto"/>
        <w:ind w:left="-142" w:right="-234" w:firstLine="1"/>
        <w:jc w:val="both"/>
        <w:rPr>
          <w:rFonts w:ascii="Palatino Linotype" w:hAnsi="Palatino Linotype"/>
        </w:rPr>
      </w:pPr>
      <w:r w:rsidRPr="003C7186">
        <w:rPr>
          <w:rFonts w:ascii="Palatino Linotype" w:hAnsi="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w:t>
      </w:r>
      <w:r>
        <w:rPr>
          <w:rFonts w:ascii="Palatino Linotype" w:hAnsi="Palatino Linotype"/>
        </w:rPr>
        <w:t xml:space="preserve"> Y GUADALUPE RAMÍREZ PEÑA; </w:t>
      </w:r>
      <w:r w:rsidRPr="003C7186">
        <w:rPr>
          <w:rFonts w:ascii="Palatino Linotype" w:hAnsi="Palatino Linotype"/>
        </w:rPr>
        <w:t xml:space="preserve">EN LA </w:t>
      </w:r>
      <w:r>
        <w:rPr>
          <w:rFonts w:ascii="Palatino Linotype" w:hAnsi="Palatino Linotype"/>
        </w:rPr>
        <w:t>TRIGÉSIMA</w:t>
      </w:r>
      <w:r w:rsidRPr="003C7186">
        <w:rPr>
          <w:rFonts w:ascii="Palatino Linotype" w:hAnsi="Palatino Linotype"/>
        </w:rPr>
        <w:t xml:space="preserve"> </w:t>
      </w:r>
      <w:r>
        <w:rPr>
          <w:rFonts w:ascii="Palatino Linotype" w:hAnsi="Palatino Linotype"/>
        </w:rPr>
        <w:t xml:space="preserve">QUINTA </w:t>
      </w:r>
      <w:r w:rsidRPr="003C7186">
        <w:rPr>
          <w:rFonts w:ascii="Palatino Linotype" w:hAnsi="Palatino Linotype"/>
        </w:rPr>
        <w:t xml:space="preserve">SESIÓN ORDINARIA CELEBRADA EL </w:t>
      </w:r>
      <w:r>
        <w:rPr>
          <w:rFonts w:ascii="Palatino Linotype" w:hAnsi="Palatino Linotype"/>
        </w:rPr>
        <w:t>TRES</w:t>
      </w:r>
      <w:r w:rsidRPr="003C7186">
        <w:rPr>
          <w:rFonts w:ascii="Palatino Linotype" w:hAnsi="Palatino Linotype"/>
        </w:rPr>
        <w:t xml:space="preserve"> </w:t>
      </w:r>
      <w:r>
        <w:rPr>
          <w:rFonts w:ascii="Palatino Linotype" w:hAnsi="Palatino Linotype"/>
        </w:rPr>
        <w:t>(03) DE OCTUBRE</w:t>
      </w:r>
      <w:r w:rsidRPr="003C7186">
        <w:rPr>
          <w:rFonts w:ascii="Palatino Linotype" w:hAnsi="Palatino Linotype"/>
        </w:rPr>
        <w:t xml:space="preserve"> DE DOS MIL VEINTICUATRO, ANTE EL SECRETARIO TÉCNICO DEL PLENO ALEXIS TAPIA RAMÍREZ. </w:t>
      </w:r>
    </w:p>
    <w:p w14:paraId="2AC66BAF" w14:textId="77777777" w:rsidR="004C4E50" w:rsidRPr="00902BA4" w:rsidRDefault="004C4E50" w:rsidP="004C4E50">
      <w:pPr>
        <w:widowControl w:val="0"/>
        <w:autoSpaceDE w:val="0"/>
        <w:autoSpaceDN w:val="0"/>
        <w:adjustRightInd w:val="0"/>
        <w:spacing w:after="200" w:line="276" w:lineRule="auto"/>
        <w:ind w:left="-142" w:right="-234"/>
        <w:rPr>
          <w:rFonts w:ascii="Calibri" w:hAnsi="Calibri" w:cs="Calibri"/>
        </w:rPr>
      </w:pPr>
    </w:p>
    <w:p w14:paraId="191DD605" w14:textId="77777777" w:rsidR="00F87070" w:rsidRDefault="00F87070">
      <w:pPr>
        <w:spacing w:line="360" w:lineRule="auto"/>
        <w:ind w:right="-734"/>
        <w:rPr>
          <w:rFonts w:ascii="Palatino Linotype" w:eastAsia="Palatino Linotype" w:hAnsi="Palatino Linotype" w:cs="Palatino Linotype"/>
        </w:rPr>
      </w:pPr>
    </w:p>
    <w:p w14:paraId="28A82F32" w14:textId="77777777" w:rsidR="00F87070" w:rsidRDefault="00F87070">
      <w:pPr>
        <w:spacing w:line="360" w:lineRule="auto"/>
        <w:ind w:right="-734"/>
        <w:rPr>
          <w:rFonts w:ascii="Palatino Linotype" w:eastAsia="Palatino Linotype" w:hAnsi="Palatino Linotype" w:cs="Palatino Linotype"/>
        </w:rPr>
      </w:pPr>
    </w:p>
    <w:p w14:paraId="57275F8A" w14:textId="77777777" w:rsidR="00F87070" w:rsidRDefault="00F87070">
      <w:pPr>
        <w:spacing w:line="360" w:lineRule="auto"/>
        <w:ind w:right="-734"/>
        <w:rPr>
          <w:rFonts w:ascii="Palatino Linotype" w:eastAsia="Palatino Linotype" w:hAnsi="Palatino Linotype" w:cs="Palatino Linotype"/>
        </w:rPr>
      </w:pPr>
    </w:p>
    <w:p w14:paraId="1C890AD3" w14:textId="77777777" w:rsidR="00F87070" w:rsidRDefault="00F87070">
      <w:pPr>
        <w:spacing w:line="360" w:lineRule="auto"/>
        <w:ind w:right="-734"/>
        <w:rPr>
          <w:rFonts w:ascii="Palatino Linotype" w:eastAsia="Palatino Linotype" w:hAnsi="Palatino Linotype" w:cs="Palatino Linotype"/>
        </w:rPr>
      </w:pPr>
    </w:p>
    <w:p w14:paraId="50710463" w14:textId="77777777" w:rsidR="00F87070" w:rsidRDefault="00F87070">
      <w:pPr>
        <w:spacing w:line="360" w:lineRule="auto"/>
        <w:ind w:right="-734"/>
        <w:rPr>
          <w:rFonts w:ascii="Palatino Linotype" w:eastAsia="Palatino Linotype" w:hAnsi="Palatino Linotype" w:cs="Palatino Linotype"/>
        </w:rPr>
      </w:pPr>
    </w:p>
    <w:p w14:paraId="1AC22B99" w14:textId="77777777" w:rsidR="00F87070" w:rsidRDefault="00F87070">
      <w:pPr>
        <w:ind w:right="-734"/>
      </w:pPr>
    </w:p>
    <w:sectPr w:rsidR="00F87070" w:rsidSect="00B76306">
      <w:headerReference w:type="even" r:id="rId13"/>
      <w:headerReference w:type="default" r:id="rId14"/>
      <w:footerReference w:type="default" r:id="rId15"/>
      <w:headerReference w:type="first" r:id="rId16"/>
      <w:footerReference w:type="first" r:id="rId17"/>
      <w:pgSz w:w="12240" w:h="15840"/>
      <w:pgMar w:top="80" w:right="1608" w:bottom="1418" w:left="1588" w:header="567" w:footer="919"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8B61FE" w14:textId="77777777" w:rsidR="000F736B" w:rsidRDefault="000F736B">
      <w:r>
        <w:separator/>
      </w:r>
    </w:p>
  </w:endnote>
  <w:endnote w:type="continuationSeparator" w:id="0">
    <w:p w14:paraId="12720889" w14:textId="77777777" w:rsidR="000F736B" w:rsidRDefault="000F73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A0BBE" w14:textId="77777777" w:rsidR="00F87070" w:rsidRDefault="00DB3BF7">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rPr>
      <w:fldChar w:fldCharType="begin"/>
    </w:r>
    <w:r>
      <w:rPr>
        <w:b/>
        <w:color w:val="000000"/>
      </w:rPr>
      <w:instrText>PAGE</w:instrText>
    </w:r>
    <w:r>
      <w:rPr>
        <w:b/>
        <w:color w:val="000000"/>
      </w:rPr>
      <w:fldChar w:fldCharType="separate"/>
    </w:r>
    <w:r w:rsidR="00EC0248">
      <w:rPr>
        <w:b/>
        <w:noProof/>
        <w:color w:val="000000"/>
      </w:rPr>
      <w:t>20</w:t>
    </w:r>
    <w:r>
      <w:rPr>
        <w:b/>
        <w:color w:val="000000"/>
      </w:rPr>
      <w:fldChar w:fldCharType="end"/>
    </w:r>
    <w:r>
      <w:rPr>
        <w:color w:val="000000"/>
      </w:rPr>
      <w:t xml:space="preserve"> de </w:t>
    </w:r>
    <w:r>
      <w:rPr>
        <w:b/>
        <w:color w:val="000000"/>
      </w:rPr>
      <w:fldChar w:fldCharType="begin"/>
    </w:r>
    <w:r>
      <w:rPr>
        <w:b/>
        <w:color w:val="000000"/>
      </w:rPr>
      <w:instrText>NUMPAGES</w:instrText>
    </w:r>
    <w:r>
      <w:rPr>
        <w:b/>
        <w:color w:val="000000"/>
      </w:rPr>
      <w:fldChar w:fldCharType="separate"/>
    </w:r>
    <w:r w:rsidR="00EC0248">
      <w:rPr>
        <w:b/>
        <w:noProof/>
        <w:color w:val="000000"/>
      </w:rPr>
      <w:t>20</w:t>
    </w:r>
    <w:r>
      <w:rPr>
        <w:b/>
        <w:color w:val="000000"/>
      </w:rPr>
      <w:fldChar w:fldCharType="end"/>
    </w:r>
  </w:p>
  <w:p w14:paraId="0C616280" w14:textId="77777777" w:rsidR="00F87070" w:rsidRDefault="00F87070">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7FFFC" w14:textId="77777777" w:rsidR="00F87070" w:rsidRDefault="00DB3BF7">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rPr>
      <w:fldChar w:fldCharType="begin"/>
    </w:r>
    <w:r>
      <w:rPr>
        <w:b/>
        <w:color w:val="000000"/>
      </w:rPr>
      <w:instrText>PAGE</w:instrText>
    </w:r>
    <w:r>
      <w:rPr>
        <w:b/>
        <w:color w:val="000000"/>
      </w:rPr>
      <w:fldChar w:fldCharType="separate"/>
    </w:r>
    <w:r w:rsidR="00EC0248">
      <w:rPr>
        <w:b/>
        <w:noProof/>
        <w:color w:val="000000"/>
      </w:rPr>
      <w:t>1</w:t>
    </w:r>
    <w:r>
      <w:rPr>
        <w:b/>
        <w:color w:val="000000"/>
      </w:rPr>
      <w:fldChar w:fldCharType="end"/>
    </w:r>
    <w:r>
      <w:rPr>
        <w:color w:val="000000"/>
      </w:rPr>
      <w:t xml:space="preserve"> de </w:t>
    </w:r>
    <w:r>
      <w:rPr>
        <w:b/>
        <w:color w:val="000000"/>
      </w:rPr>
      <w:fldChar w:fldCharType="begin"/>
    </w:r>
    <w:r>
      <w:rPr>
        <w:b/>
        <w:color w:val="000000"/>
      </w:rPr>
      <w:instrText>NUMPAGES</w:instrText>
    </w:r>
    <w:r>
      <w:rPr>
        <w:b/>
        <w:color w:val="000000"/>
      </w:rPr>
      <w:fldChar w:fldCharType="separate"/>
    </w:r>
    <w:r w:rsidR="00EC0248">
      <w:rPr>
        <w:b/>
        <w:noProof/>
        <w:color w:val="000000"/>
      </w:rPr>
      <w:t>20</w:t>
    </w:r>
    <w:r>
      <w:rPr>
        <w:b/>
        <w:color w:val="000000"/>
      </w:rPr>
      <w:fldChar w:fldCharType="end"/>
    </w:r>
  </w:p>
  <w:p w14:paraId="37346BFF" w14:textId="77777777" w:rsidR="00F87070" w:rsidRDefault="00F87070">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5C1BC" w14:textId="77777777" w:rsidR="000F736B" w:rsidRDefault="000F736B">
      <w:r>
        <w:separator/>
      </w:r>
    </w:p>
  </w:footnote>
  <w:footnote w:type="continuationSeparator" w:id="0">
    <w:p w14:paraId="31513108" w14:textId="77777777" w:rsidR="000F736B" w:rsidRDefault="000F73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81112" w14:textId="77777777" w:rsidR="00F87070" w:rsidRDefault="000F736B">
    <w:pPr>
      <w:pBdr>
        <w:top w:val="nil"/>
        <w:left w:val="nil"/>
        <w:bottom w:val="nil"/>
        <w:right w:val="nil"/>
        <w:between w:val="nil"/>
      </w:pBdr>
      <w:tabs>
        <w:tab w:val="center" w:pos="4419"/>
        <w:tab w:val="right" w:pos="8838"/>
      </w:tabs>
      <w:rPr>
        <w:color w:val="000000"/>
      </w:rPr>
    </w:pPr>
    <w:r>
      <w:rPr>
        <w:color w:val="000000"/>
      </w:rPr>
      <w:pict w14:anchorId="5FDD95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5" type="#_x0000_t75" alt="" style="position:absolute;margin-left:0;margin-top:0;width:589.8pt;height:768pt;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0"/>
      <w:tblW w:w="9608" w:type="dxa"/>
      <w:tblInd w:w="0" w:type="dxa"/>
      <w:tblLayout w:type="fixed"/>
      <w:tblLook w:val="0400" w:firstRow="0" w:lastRow="0" w:firstColumn="0" w:lastColumn="0" w:noHBand="0" w:noVBand="1"/>
    </w:tblPr>
    <w:tblGrid>
      <w:gridCol w:w="2365"/>
      <w:gridCol w:w="7243"/>
    </w:tblGrid>
    <w:tr w:rsidR="00F87070" w14:paraId="6AA2E76B" w14:textId="77777777" w:rsidTr="008B09E6">
      <w:trPr>
        <w:trHeight w:val="1436"/>
      </w:trPr>
      <w:tc>
        <w:tcPr>
          <w:tcW w:w="2365" w:type="dxa"/>
        </w:tcPr>
        <w:p w14:paraId="2951A6AC" w14:textId="77777777" w:rsidR="00F87070" w:rsidRDefault="00F87070">
          <w:pPr>
            <w:tabs>
              <w:tab w:val="right" w:pos="4273"/>
            </w:tabs>
            <w:rPr>
              <w:rFonts w:ascii="Garamond" w:eastAsia="Garamond" w:hAnsi="Garamond" w:cs="Garamond"/>
              <w:sz w:val="16"/>
              <w:szCs w:val="16"/>
            </w:rPr>
          </w:pPr>
        </w:p>
      </w:tc>
      <w:tc>
        <w:tcPr>
          <w:tcW w:w="7243" w:type="dxa"/>
        </w:tcPr>
        <w:tbl>
          <w:tblPr>
            <w:tblStyle w:val="a1"/>
            <w:tblW w:w="7391" w:type="dxa"/>
            <w:tblInd w:w="181" w:type="dxa"/>
            <w:tblLayout w:type="fixed"/>
            <w:tblLook w:val="0400" w:firstRow="0" w:lastRow="0" w:firstColumn="0" w:lastColumn="0" w:noHBand="0" w:noVBand="1"/>
          </w:tblPr>
          <w:tblGrid>
            <w:gridCol w:w="2659"/>
            <w:gridCol w:w="4732"/>
          </w:tblGrid>
          <w:tr w:rsidR="00F87070" w:rsidRPr="00B76306" w14:paraId="0FE09CF3" w14:textId="77777777" w:rsidTr="008B09E6">
            <w:trPr>
              <w:trHeight w:val="73"/>
            </w:trPr>
            <w:tc>
              <w:tcPr>
                <w:tcW w:w="2659" w:type="dxa"/>
                <w:tcBorders>
                  <w:top w:val="nil"/>
                  <w:left w:val="nil"/>
                  <w:bottom w:val="nil"/>
                  <w:right w:val="nil"/>
                </w:tcBorders>
              </w:tcPr>
              <w:p w14:paraId="3C73EA47" w14:textId="77777777" w:rsidR="00F87070" w:rsidRPr="00B76306" w:rsidRDefault="00DB3BF7">
                <w:pPr>
                  <w:tabs>
                    <w:tab w:val="right" w:pos="8838"/>
                  </w:tabs>
                  <w:ind w:left="-264" w:right="-105" w:firstLine="195"/>
                  <w:rPr>
                    <w:rFonts w:ascii="Palatino Linotype" w:eastAsia="Palatino Linotype" w:hAnsi="Palatino Linotype" w:cs="Palatino Linotype"/>
                    <w:b/>
                    <w:sz w:val="22"/>
                  </w:rPr>
                </w:pPr>
                <w:r w:rsidRPr="00B76306">
                  <w:rPr>
                    <w:rFonts w:ascii="Palatino Linotype" w:eastAsia="Palatino Linotype" w:hAnsi="Palatino Linotype" w:cs="Palatino Linotype"/>
                    <w:b/>
                    <w:sz w:val="22"/>
                  </w:rPr>
                  <w:t>Recurso de Revisión:</w:t>
                </w:r>
              </w:p>
            </w:tc>
            <w:tc>
              <w:tcPr>
                <w:tcW w:w="4732" w:type="dxa"/>
                <w:tcBorders>
                  <w:top w:val="nil"/>
                  <w:left w:val="nil"/>
                  <w:bottom w:val="nil"/>
                  <w:right w:val="nil"/>
                </w:tcBorders>
              </w:tcPr>
              <w:p w14:paraId="45EF7ECF" w14:textId="77777777" w:rsidR="00F87070" w:rsidRPr="00B76306" w:rsidRDefault="00DB3BF7">
                <w:pPr>
                  <w:tabs>
                    <w:tab w:val="right" w:pos="8838"/>
                  </w:tabs>
                  <w:ind w:left="-74" w:right="-1415"/>
                  <w:rPr>
                    <w:rFonts w:ascii="Palatino Linotype" w:eastAsia="Palatino Linotype" w:hAnsi="Palatino Linotype" w:cs="Palatino Linotype"/>
                    <w:sz w:val="22"/>
                  </w:rPr>
                </w:pPr>
                <w:r w:rsidRPr="00B76306">
                  <w:rPr>
                    <w:rFonts w:ascii="Palatino Linotype" w:eastAsia="Palatino Linotype" w:hAnsi="Palatino Linotype" w:cs="Palatino Linotype"/>
                    <w:sz w:val="22"/>
                  </w:rPr>
                  <w:t>00148/INFOEM/IP/RR/2024 y Acumulado</w:t>
                </w:r>
              </w:p>
            </w:tc>
          </w:tr>
          <w:tr w:rsidR="00F87070" w:rsidRPr="00B76306" w14:paraId="418C6EE6" w14:textId="77777777" w:rsidTr="008B09E6">
            <w:trPr>
              <w:trHeight w:val="73"/>
            </w:trPr>
            <w:tc>
              <w:tcPr>
                <w:tcW w:w="2659" w:type="dxa"/>
                <w:tcBorders>
                  <w:top w:val="nil"/>
                  <w:left w:val="nil"/>
                  <w:bottom w:val="nil"/>
                  <w:right w:val="nil"/>
                </w:tcBorders>
              </w:tcPr>
              <w:p w14:paraId="36F1D046" w14:textId="77777777" w:rsidR="00F87070" w:rsidRPr="00B76306" w:rsidRDefault="00DB3BF7">
                <w:pPr>
                  <w:tabs>
                    <w:tab w:val="right" w:pos="8838"/>
                  </w:tabs>
                  <w:ind w:left="-74" w:right="-105"/>
                  <w:rPr>
                    <w:rFonts w:ascii="Palatino Linotype" w:eastAsia="Palatino Linotype" w:hAnsi="Palatino Linotype" w:cs="Palatino Linotype"/>
                    <w:b/>
                    <w:sz w:val="22"/>
                  </w:rPr>
                </w:pPr>
                <w:r w:rsidRPr="00B76306">
                  <w:rPr>
                    <w:rFonts w:ascii="Palatino Linotype" w:eastAsia="Palatino Linotype" w:hAnsi="Palatino Linotype" w:cs="Palatino Linotype"/>
                    <w:b/>
                    <w:sz w:val="22"/>
                  </w:rPr>
                  <w:t>Recurrente:</w:t>
                </w:r>
              </w:p>
            </w:tc>
            <w:tc>
              <w:tcPr>
                <w:tcW w:w="4732" w:type="dxa"/>
                <w:tcBorders>
                  <w:top w:val="nil"/>
                  <w:left w:val="nil"/>
                  <w:bottom w:val="nil"/>
                  <w:right w:val="nil"/>
                </w:tcBorders>
              </w:tcPr>
              <w:p w14:paraId="75CFD788" w14:textId="77777777" w:rsidR="00F87070" w:rsidRPr="00B76306" w:rsidRDefault="00DB3BF7">
                <w:pPr>
                  <w:tabs>
                    <w:tab w:val="left" w:pos="3122"/>
                    <w:tab w:val="right" w:pos="8838"/>
                  </w:tabs>
                  <w:ind w:left="-74" w:right="-1415"/>
                  <w:rPr>
                    <w:rFonts w:ascii="Palatino Linotype" w:eastAsia="Palatino Linotype" w:hAnsi="Palatino Linotype" w:cs="Palatino Linotype"/>
                    <w:sz w:val="22"/>
                  </w:rPr>
                </w:pPr>
                <w:r w:rsidRPr="00B76306">
                  <w:rPr>
                    <w:rFonts w:ascii="Palatino Linotype" w:eastAsia="Palatino Linotype" w:hAnsi="Palatino Linotype" w:cs="Palatino Linotype"/>
                    <w:sz w:val="22"/>
                  </w:rPr>
                  <w:t>Rogelio Lemus Montero</w:t>
                </w:r>
              </w:p>
            </w:tc>
          </w:tr>
          <w:tr w:rsidR="00F87070" w:rsidRPr="00B76306" w14:paraId="084C358B" w14:textId="77777777" w:rsidTr="008B09E6">
            <w:trPr>
              <w:trHeight w:val="145"/>
            </w:trPr>
            <w:tc>
              <w:tcPr>
                <w:tcW w:w="2659" w:type="dxa"/>
                <w:tcBorders>
                  <w:top w:val="nil"/>
                  <w:left w:val="nil"/>
                  <w:bottom w:val="nil"/>
                  <w:right w:val="nil"/>
                </w:tcBorders>
              </w:tcPr>
              <w:p w14:paraId="43873603" w14:textId="77777777" w:rsidR="00F87070" w:rsidRPr="00B76306" w:rsidRDefault="00DB3BF7">
                <w:pPr>
                  <w:tabs>
                    <w:tab w:val="right" w:pos="8838"/>
                  </w:tabs>
                  <w:ind w:left="-74" w:right="-105"/>
                  <w:rPr>
                    <w:rFonts w:ascii="Palatino Linotype" w:eastAsia="Palatino Linotype" w:hAnsi="Palatino Linotype" w:cs="Palatino Linotype"/>
                    <w:b/>
                    <w:sz w:val="22"/>
                  </w:rPr>
                </w:pPr>
                <w:r w:rsidRPr="00B76306">
                  <w:rPr>
                    <w:rFonts w:ascii="Palatino Linotype" w:eastAsia="Palatino Linotype" w:hAnsi="Palatino Linotype" w:cs="Palatino Linotype"/>
                    <w:b/>
                    <w:sz w:val="22"/>
                  </w:rPr>
                  <w:t>Sujeto Obligado:</w:t>
                </w:r>
              </w:p>
            </w:tc>
            <w:tc>
              <w:tcPr>
                <w:tcW w:w="4732" w:type="dxa"/>
                <w:tcBorders>
                  <w:top w:val="nil"/>
                  <w:left w:val="nil"/>
                  <w:bottom w:val="nil"/>
                  <w:right w:val="nil"/>
                </w:tcBorders>
              </w:tcPr>
              <w:p w14:paraId="352FDD5E" w14:textId="77777777" w:rsidR="00F87070" w:rsidRPr="00B76306" w:rsidRDefault="00DB3BF7">
                <w:pPr>
                  <w:tabs>
                    <w:tab w:val="left" w:pos="2834"/>
                  </w:tabs>
                  <w:ind w:left="-74" w:right="-1415"/>
                  <w:rPr>
                    <w:rFonts w:ascii="Palatino Linotype" w:eastAsia="Palatino Linotype" w:hAnsi="Palatino Linotype" w:cs="Palatino Linotype"/>
                    <w:sz w:val="22"/>
                  </w:rPr>
                </w:pPr>
                <w:r w:rsidRPr="00B76306">
                  <w:rPr>
                    <w:rFonts w:ascii="Palatino Linotype" w:eastAsia="Palatino Linotype" w:hAnsi="Palatino Linotype" w:cs="Palatino Linotype"/>
                    <w:sz w:val="22"/>
                  </w:rPr>
                  <w:t>Ayuntamiento de Tultitlán</w:t>
                </w:r>
              </w:p>
            </w:tc>
          </w:tr>
          <w:tr w:rsidR="00F87070" w:rsidRPr="00B76306" w14:paraId="4900974A" w14:textId="77777777" w:rsidTr="008B09E6">
            <w:trPr>
              <w:trHeight w:val="145"/>
            </w:trPr>
            <w:tc>
              <w:tcPr>
                <w:tcW w:w="2659" w:type="dxa"/>
                <w:tcBorders>
                  <w:top w:val="nil"/>
                  <w:left w:val="nil"/>
                  <w:bottom w:val="nil"/>
                  <w:right w:val="nil"/>
                </w:tcBorders>
              </w:tcPr>
              <w:p w14:paraId="6EAED987" w14:textId="77777777" w:rsidR="00F87070" w:rsidRPr="00B76306" w:rsidRDefault="00DB3BF7">
                <w:pPr>
                  <w:tabs>
                    <w:tab w:val="right" w:pos="8838"/>
                  </w:tabs>
                  <w:ind w:left="-74" w:right="-105"/>
                  <w:rPr>
                    <w:rFonts w:ascii="Palatino Linotype" w:eastAsia="Palatino Linotype" w:hAnsi="Palatino Linotype" w:cs="Palatino Linotype"/>
                    <w:b/>
                    <w:sz w:val="22"/>
                  </w:rPr>
                </w:pPr>
                <w:r w:rsidRPr="00B76306">
                  <w:rPr>
                    <w:rFonts w:ascii="Palatino Linotype" w:eastAsia="Palatino Linotype" w:hAnsi="Palatino Linotype" w:cs="Palatino Linotype"/>
                    <w:b/>
                    <w:sz w:val="22"/>
                  </w:rPr>
                  <w:t>Comisionada ponente:</w:t>
                </w:r>
              </w:p>
            </w:tc>
            <w:tc>
              <w:tcPr>
                <w:tcW w:w="4732" w:type="dxa"/>
                <w:tcBorders>
                  <w:top w:val="nil"/>
                  <w:left w:val="nil"/>
                  <w:bottom w:val="nil"/>
                  <w:right w:val="nil"/>
                </w:tcBorders>
              </w:tcPr>
              <w:p w14:paraId="44DC0D8C" w14:textId="77777777" w:rsidR="00F87070" w:rsidRPr="00B76306" w:rsidRDefault="00DB3BF7" w:rsidP="00B76306">
                <w:pPr>
                  <w:tabs>
                    <w:tab w:val="right" w:pos="8838"/>
                  </w:tabs>
                  <w:ind w:left="-74" w:right="-1415"/>
                  <w:rPr>
                    <w:rFonts w:ascii="Palatino Linotype" w:eastAsia="Palatino Linotype" w:hAnsi="Palatino Linotype" w:cs="Palatino Linotype"/>
                    <w:sz w:val="22"/>
                  </w:rPr>
                </w:pPr>
                <w:r w:rsidRPr="00B76306">
                  <w:rPr>
                    <w:rFonts w:ascii="Palatino Linotype" w:eastAsia="Palatino Linotype" w:hAnsi="Palatino Linotype" w:cs="Palatino Linotype"/>
                    <w:sz w:val="22"/>
                  </w:rPr>
                  <w:t>María del Rosario Mejía Ayala</w:t>
                </w:r>
              </w:p>
            </w:tc>
          </w:tr>
        </w:tbl>
        <w:p w14:paraId="36B8CD25" w14:textId="77777777" w:rsidR="00F87070" w:rsidRDefault="00F87070">
          <w:pPr>
            <w:tabs>
              <w:tab w:val="right" w:pos="8838"/>
            </w:tabs>
            <w:ind w:left="-28"/>
            <w:jc w:val="both"/>
            <w:rPr>
              <w:rFonts w:ascii="Arial" w:eastAsia="Arial" w:hAnsi="Arial" w:cs="Arial"/>
              <w:b/>
            </w:rPr>
          </w:pPr>
        </w:p>
      </w:tc>
    </w:tr>
  </w:tbl>
  <w:p w14:paraId="0694F20E" w14:textId="77777777" w:rsidR="00F87070" w:rsidRDefault="000F736B">
    <w:pPr>
      <w:pBdr>
        <w:top w:val="nil"/>
        <w:left w:val="nil"/>
        <w:bottom w:val="nil"/>
        <w:right w:val="nil"/>
        <w:between w:val="nil"/>
      </w:pBdr>
      <w:tabs>
        <w:tab w:val="center" w:pos="4419"/>
        <w:tab w:val="right" w:pos="8838"/>
      </w:tabs>
      <w:rPr>
        <w:color w:val="000000"/>
        <w:sz w:val="14"/>
        <w:szCs w:val="14"/>
      </w:rPr>
    </w:pPr>
    <w:r>
      <w:rPr>
        <w:color w:val="000000"/>
      </w:rPr>
      <w:pict w14:anchorId="52BAA5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7" type="#_x0000_t75" alt="" style="position:absolute;margin-left:-74.25pt;margin-top:-104.9pt;width:574.65pt;height:748.35pt;z-index:-251659776;mso-position-horizontal-relative:margin;mso-position-vertical-relative:margin">
          <v:imagedata r:id="rId1" o:title="image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2"/>
      <w:tblW w:w="10267" w:type="dxa"/>
      <w:tblInd w:w="0" w:type="dxa"/>
      <w:tblLayout w:type="fixed"/>
      <w:tblLook w:val="0400" w:firstRow="0" w:lastRow="0" w:firstColumn="0" w:lastColumn="0" w:noHBand="0" w:noVBand="1"/>
    </w:tblPr>
    <w:tblGrid>
      <w:gridCol w:w="2345"/>
      <w:gridCol w:w="7922"/>
    </w:tblGrid>
    <w:tr w:rsidR="00F87070" w14:paraId="42EB3372" w14:textId="77777777" w:rsidTr="008B09E6">
      <w:trPr>
        <w:trHeight w:val="1708"/>
      </w:trPr>
      <w:tc>
        <w:tcPr>
          <w:tcW w:w="2345" w:type="dxa"/>
        </w:tcPr>
        <w:p w14:paraId="6DA0D01E" w14:textId="77777777" w:rsidR="00F87070" w:rsidRDefault="00F87070">
          <w:pPr>
            <w:tabs>
              <w:tab w:val="right" w:pos="4273"/>
            </w:tabs>
            <w:rPr>
              <w:rFonts w:ascii="Garamond" w:eastAsia="Garamond" w:hAnsi="Garamond" w:cs="Garamond"/>
            </w:rPr>
          </w:pPr>
        </w:p>
      </w:tc>
      <w:tc>
        <w:tcPr>
          <w:tcW w:w="7922" w:type="dxa"/>
        </w:tcPr>
        <w:tbl>
          <w:tblPr>
            <w:tblStyle w:val="a3"/>
            <w:tblW w:w="7379" w:type="dxa"/>
            <w:tblInd w:w="475" w:type="dxa"/>
            <w:tblLayout w:type="fixed"/>
            <w:tblLook w:val="0400" w:firstRow="0" w:lastRow="0" w:firstColumn="0" w:lastColumn="0" w:noHBand="0" w:noVBand="1"/>
          </w:tblPr>
          <w:tblGrid>
            <w:gridCol w:w="2907"/>
            <w:gridCol w:w="4472"/>
          </w:tblGrid>
          <w:tr w:rsidR="00F87070" w14:paraId="557CCF93" w14:textId="77777777" w:rsidTr="008B09E6">
            <w:trPr>
              <w:trHeight w:val="97"/>
            </w:trPr>
            <w:tc>
              <w:tcPr>
                <w:tcW w:w="2907" w:type="dxa"/>
                <w:tcBorders>
                  <w:top w:val="nil"/>
                  <w:left w:val="nil"/>
                  <w:bottom w:val="nil"/>
                  <w:right w:val="nil"/>
                </w:tcBorders>
              </w:tcPr>
              <w:p w14:paraId="4D5D09EE" w14:textId="77777777" w:rsidR="00F87070" w:rsidRPr="00B76306" w:rsidRDefault="00DB3BF7">
                <w:pPr>
                  <w:tabs>
                    <w:tab w:val="right" w:pos="8838"/>
                  </w:tabs>
                  <w:ind w:right="16"/>
                  <w:rPr>
                    <w:rFonts w:ascii="Palatino Linotype" w:eastAsia="Palatino Linotype" w:hAnsi="Palatino Linotype" w:cs="Palatino Linotype"/>
                    <w:b/>
                    <w:sz w:val="22"/>
                  </w:rPr>
                </w:pPr>
                <w:r w:rsidRPr="00B76306">
                  <w:rPr>
                    <w:rFonts w:ascii="Palatino Linotype" w:eastAsia="Palatino Linotype" w:hAnsi="Palatino Linotype" w:cs="Palatino Linotype"/>
                    <w:b/>
                    <w:sz w:val="22"/>
                  </w:rPr>
                  <w:t>Recurso de Revisión:</w:t>
                </w:r>
              </w:p>
            </w:tc>
            <w:tc>
              <w:tcPr>
                <w:tcW w:w="4472" w:type="dxa"/>
                <w:tcBorders>
                  <w:top w:val="nil"/>
                  <w:left w:val="nil"/>
                  <w:bottom w:val="nil"/>
                  <w:right w:val="nil"/>
                </w:tcBorders>
              </w:tcPr>
              <w:p w14:paraId="0552D332" w14:textId="77777777" w:rsidR="00F87070" w:rsidRPr="00B76306" w:rsidRDefault="00DB3BF7">
                <w:pPr>
                  <w:ind w:right="-494"/>
                  <w:rPr>
                    <w:rFonts w:ascii="Palatino Linotype" w:eastAsia="Palatino Linotype" w:hAnsi="Palatino Linotype" w:cs="Palatino Linotype"/>
                    <w:sz w:val="22"/>
                  </w:rPr>
                </w:pPr>
                <w:r w:rsidRPr="00B76306">
                  <w:rPr>
                    <w:rFonts w:ascii="Palatino Linotype" w:eastAsia="Palatino Linotype" w:hAnsi="Palatino Linotype" w:cs="Palatino Linotype"/>
                    <w:sz w:val="22"/>
                  </w:rPr>
                  <w:t>00148/INFOEM/IP/RR/2024 y Acumulado</w:t>
                </w:r>
              </w:p>
            </w:tc>
          </w:tr>
          <w:tr w:rsidR="00F87070" w14:paraId="3AF7AE45" w14:textId="77777777" w:rsidTr="008B09E6">
            <w:trPr>
              <w:trHeight w:val="97"/>
            </w:trPr>
            <w:tc>
              <w:tcPr>
                <w:tcW w:w="2907" w:type="dxa"/>
                <w:tcBorders>
                  <w:top w:val="nil"/>
                  <w:left w:val="nil"/>
                  <w:bottom w:val="nil"/>
                  <w:right w:val="nil"/>
                </w:tcBorders>
              </w:tcPr>
              <w:p w14:paraId="30340CE6" w14:textId="77777777" w:rsidR="00F87070" w:rsidRPr="00B76306" w:rsidRDefault="00DB3BF7">
                <w:pPr>
                  <w:tabs>
                    <w:tab w:val="right" w:pos="8838"/>
                  </w:tabs>
                  <w:ind w:right="16"/>
                  <w:rPr>
                    <w:rFonts w:ascii="Palatino Linotype" w:eastAsia="Palatino Linotype" w:hAnsi="Palatino Linotype" w:cs="Palatino Linotype"/>
                    <w:b/>
                    <w:sz w:val="22"/>
                  </w:rPr>
                </w:pPr>
                <w:r w:rsidRPr="00B76306">
                  <w:rPr>
                    <w:rFonts w:ascii="Palatino Linotype" w:eastAsia="Palatino Linotype" w:hAnsi="Palatino Linotype" w:cs="Palatino Linotype"/>
                    <w:b/>
                    <w:sz w:val="22"/>
                  </w:rPr>
                  <w:t>Recurrente:</w:t>
                </w:r>
              </w:p>
            </w:tc>
            <w:tc>
              <w:tcPr>
                <w:tcW w:w="4472" w:type="dxa"/>
                <w:tcBorders>
                  <w:top w:val="nil"/>
                  <w:left w:val="nil"/>
                  <w:bottom w:val="nil"/>
                  <w:right w:val="nil"/>
                </w:tcBorders>
              </w:tcPr>
              <w:p w14:paraId="57DFACDE" w14:textId="427DE61A" w:rsidR="00F87070" w:rsidRPr="00B76306" w:rsidRDefault="002F283B">
                <w:pPr>
                  <w:tabs>
                    <w:tab w:val="left" w:pos="3827"/>
                  </w:tabs>
                  <w:ind w:right="-494"/>
                  <w:rPr>
                    <w:rFonts w:ascii="Palatino Linotype" w:eastAsia="Palatino Linotype" w:hAnsi="Palatino Linotype" w:cs="Palatino Linotype"/>
                    <w:sz w:val="22"/>
                  </w:rPr>
                </w:pPr>
                <w:r>
                  <w:rPr>
                    <w:rFonts w:ascii="Palatino Linotype" w:eastAsia="Palatino Linotype" w:hAnsi="Palatino Linotype" w:cs="Palatino Linotype"/>
                    <w:sz w:val="22"/>
                  </w:rPr>
                  <w:t>XXX XXX</w:t>
                </w:r>
              </w:p>
            </w:tc>
          </w:tr>
          <w:tr w:rsidR="00F87070" w14:paraId="056E9D93" w14:textId="77777777" w:rsidTr="008B09E6">
            <w:trPr>
              <w:trHeight w:val="192"/>
            </w:trPr>
            <w:tc>
              <w:tcPr>
                <w:tcW w:w="2907" w:type="dxa"/>
                <w:tcBorders>
                  <w:top w:val="nil"/>
                  <w:left w:val="nil"/>
                  <w:bottom w:val="nil"/>
                  <w:right w:val="nil"/>
                </w:tcBorders>
              </w:tcPr>
              <w:p w14:paraId="4AE55CF1" w14:textId="77777777" w:rsidR="00F87070" w:rsidRPr="00B76306" w:rsidRDefault="00DB3BF7">
                <w:pPr>
                  <w:tabs>
                    <w:tab w:val="right" w:pos="8838"/>
                  </w:tabs>
                  <w:ind w:right="16"/>
                  <w:rPr>
                    <w:rFonts w:ascii="Palatino Linotype" w:eastAsia="Palatino Linotype" w:hAnsi="Palatino Linotype" w:cs="Palatino Linotype"/>
                    <w:b/>
                    <w:sz w:val="22"/>
                  </w:rPr>
                </w:pPr>
                <w:r w:rsidRPr="00B76306">
                  <w:rPr>
                    <w:rFonts w:ascii="Palatino Linotype" w:eastAsia="Palatino Linotype" w:hAnsi="Palatino Linotype" w:cs="Palatino Linotype"/>
                    <w:b/>
                    <w:sz w:val="22"/>
                  </w:rPr>
                  <w:t>Sujeto Obligado:</w:t>
                </w:r>
              </w:p>
            </w:tc>
            <w:tc>
              <w:tcPr>
                <w:tcW w:w="4472" w:type="dxa"/>
                <w:tcBorders>
                  <w:top w:val="nil"/>
                  <w:left w:val="nil"/>
                  <w:bottom w:val="nil"/>
                  <w:right w:val="nil"/>
                </w:tcBorders>
              </w:tcPr>
              <w:p w14:paraId="5C2B5527" w14:textId="77777777" w:rsidR="00F87070" w:rsidRPr="00B76306" w:rsidRDefault="00DB3BF7">
                <w:pPr>
                  <w:tabs>
                    <w:tab w:val="left" w:pos="2834"/>
                  </w:tabs>
                  <w:ind w:right="-494"/>
                  <w:rPr>
                    <w:rFonts w:ascii="Palatino Linotype" w:eastAsia="Palatino Linotype" w:hAnsi="Palatino Linotype" w:cs="Palatino Linotype"/>
                    <w:sz w:val="22"/>
                  </w:rPr>
                </w:pPr>
                <w:r w:rsidRPr="00B76306">
                  <w:rPr>
                    <w:rFonts w:ascii="Palatino Linotype" w:eastAsia="Palatino Linotype" w:hAnsi="Palatino Linotype" w:cs="Palatino Linotype"/>
                    <w:sz w:val="22"/>
                  </w:rPr>
                  <w:t>Ayuntamiento de Tultitlán</w:t>
                </w:r>
              </w:p>
            </w:tc>
          </w:tr>
          <w:tr w:rsidR="00F87070" w14:paraId="67DDD761" w14:textId="77777777" w:rsidTr="008B09E6">
            <w:trPr>
              <w:trHeight w:val="192"/>
            </w:trPr>
            <w:tc>
              <w:tcPr>
                <w:tcW w:w="2907" w:type="dxa"/>
                <w:tcBorders>
                  <w:top w:val="nil"/>
                  <w:left w:val="nil"/>
                  <w:bottom w:val="nil"/>
                  <w:right w:val="nil"/>
                </w:tcBorders>
              </w:tcPr>
              <w:p w14:paraId="7F9FD329" w14:textId="77777777" w:rsidR="00F87070" w:rsidRPr="00B76306" w:rsidRDefault="00DB3BF7">
                <w:pPr>
                  <w:tabs>
                    <w:tab w:val="right" w:pos="8838"/>
                  </w:tabs>
                  <w:ind w:right="16"/>
                  <w:rPr>
                    <w:rFonts w:ascii="Palatino Linotype" w:eastAsia="Palatino Linotype" w:hAnsi="Palatino Linotype" w:cs="Palatino Linotype"/>
                    <w:b/>
                    <w:sz w:val="22"/>
                  </w:rPr>
                </w:pPr>
                <w:r w:rsidRPr="00B76306">
                  <w:rPr>
                    <w:rFonts w:ascii="Palatino Linotype" w:eastAsia="Palatino Linotype" w:hAnsi="Palatino Linotype" w:cs="Palatino Linotype"/>
                    <w:b/>
                    <w:sz w:val="22"/>
                  </w:rPr>
                  <w:t>Comisionada ponente:</w:t>
                </w:r>
              </w:p>
            </w:tc>
            <w:tc>
              <w:tcPr>
                <w:tcW w:w="4472" w:type="dxa"/>
                <w:tcBorders>
                  <w:top w:val="nil"/>
                  <w:left w:val="nil"/>
                  <w:bottom w:val="nil"/>
                  <w:right w:val="nil"/>
                </w:tcBorders>
              </w:tcPr>
              <w:p w14:paraId="3174C607" w14:textId="77777777" w:rsidR="00F87070" w:rsidRPr="00B76306" w:rsidRDefault="00DB3BF7">
                <w:pPr>
                  <w:ind w:right="-494"/>
                  <w:rPr>
                    <w:rFonts w:ascii="Palatino Linotype" w:eastAsia="Palatino Linotype" w:hAnsi="Palatino Linotype" w:cs="Palatino Linotype"/>
                    <w:sz w:val="22"/>
                  </w:rPr>
                </w:pPr>
                <w:r w:rsidRPr="00B76306">
                  <w:rPr>
                    <w:rFonts w:ascii="Palatino Linotype" w:eastAsia="Palatino Linotype" w:hAnsi="Palatino Linotype" w:cs="Palatino Linotype"/>
                    <w:sz w:val="22"/>
                  </w:rPr>
                  <w:t>María del Rosario Mejía Ayala</w:t>
                </w:r>
              </w:p>
            </w:tc>
          </w:tr>
        </w:tbl>
        <w:p w14:paraId="449C801A" w14:textId="77777777" w:rsidR="00F87070" w:rsidRDefault="00F87070">
          <w:pPr>
            <w:tabs>
              <w:tab w:val="right" w:pos="8838"/>
            </w:tabs>
            <w:ind w:left="-28"/>
            <w:jc w:val="both"/>
            <w:rPr>
              <w:rFonts w:ascii="Arial" w:eastAsia="Arial" w:hAnsi="Arial" w:cs="Arial"/>
              <w:b/>
            </w:rPr>
          </w:pPr>
        </w:p>
      </w:tc>
    </w:tr>
  </w:tbl>
  <w:p w14:paraId="542179A0" w14:textId="77777777" w:rsidR="00F87070" w:rsidRDefault="000F736B">
    <w:pPr>
      <w:pBdr>
        <w:top w:val="nil"/>
        <w:left w:val="nil"/>
        <w:bottom w:val="nil"/>
        <w:right w:val="nil"/>
        <w:between w:val="nil"/>
      </w:pBdr>
      <w:tabs>
        <w:tab w:val="center" w:pos="4419"/>
        <w:tab w:val="right" w:pos="8838"/>
      </w:tabs>
      <w:rPr>
        <w:color w:val="000000"/>
        <w:sz w:val="2"/>
        <w:szCs w:val="2"/>
      </w:rPr>
    </w:pPr>
    <w:r>
      <w:rPr>
        <w:color w:val="000000"/>
      </w:rPr>
      <w:pict w14:anchorId="5D6E17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6" type="#_x0000_t75" alt="" style="position:absolute;margin-left:-61.9pt;margin-top:-129.7pt;width:589.8pt;height:768pt;z-index:-251658752;mso-position-horizontal-relative:margin;mso-position-vertical-relative:margin">
          <v:imagedata r:id="rId1" o:title="image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9966B9"/>
    <w:multiLevelType w:val="multilevel"/>
    <w:tmpl w:val="350EC5CC"/>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 w15:restartNumberingAfterBreak="0">
    <w:nsid w:val="35622DA0"/>
    <w:multiLevelType w:val="multilevel"/>
    <w:tmpl w:val="02443F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5DA3757C"/>
    <w:multiLevelType w:val="multilevel"/>
    <w:tmpl w:val="CC7061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F354B00"/>
    <w:multiLevelType w:val="multilevel"/>
    <w:tmpl w:val="017C71EA"/>
    <w:lvl w:ilvl="0">
      <w:start w:val="1"/>
      <w:numFmt w:val="decimal"/>
      <w:lvlText w:val="%1."/>
      <w:lvlJc w:val="left"/>
      <w:pPr>
        <w:ind w:left="644" w:hanging="359"/>
      </w:pPr>
      <w:rPr>
        <w:rFonts w:ascii="Palatino Linotype" w:eastAsia="Palatino Linotype" w:hAnsi="Palatino Linotype" w:cs="Palatino Linotype"/>
        <w:b/>
        <w:i w:val="0"/>
        <w:color w:val="000000"/>
        <w:sz w:val="24"/>
        <w:szCs w:val="24"/>
      </w:rPr>
    </w:lvl>
    <w:lvl w:ilvl="1">
      <w:start w:val="1"/>
      <w:numFmt w:val="upperRoman"/>
      <w:lvlText w:val="%2."/>
      <w:lvlJc w:val="right"/>
      <w:pPr>
        <w:ind w:left="7525" w:hanging="720"/>
      </w:pPr>
    </w:lvl>
    <w:lvl w:ilvl="2">
      <w:start w:val="4"/>
      <w:numFmt w:val="lowerLetter"/>
      <w:lvlText w:val="%3)"/>
      <w:lvlJc w:val="left"/>
      <w:pPr>
        <w:ind w:left="2340" w:hanging="360"/>
      </w:pPr>
    </w:lvl>
    <w:lvl w:ilvl="3">
      <w:start w:val="1"/>
      <w:numFmt w:val="decimal"/>
      <w:lvlText w:val="%4."/>
      <w:lvlJc w:val="left"/>
      <w:pPr>
        <w:ind w:left="2880" w:hanging="360"/>
      </w:pPr>
    </w:lvl>
    <w:lvl w:ilvl="4">
      <w:start w:val="104"/>
      <w:numFmt w:val="decimal"/>
      <w:lvlText w:val="%5"/>
      <w:lvlJc w:val="left"/>
      <w:pPr>
        <w:ind w:left="3600" w:hanging="360"/>
      </w:pPr>
      <w:rPr>
        <w:b/>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2463976"/>
    <w:multiLevelType w:val="multilevel"/>
    <w:tmpl w:val="4C0264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8AA6503"/>
    <w:multiLevelType w:val="multilevel"/>
    <w:tmpl w:val="C67875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7BE27102"/>
    <w:multiLevelType w:val="multilevel"/>
    <w:tmpl w:val="629089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818841275">
    <w:abstractNumId w:val="5"/>
  </w:num>
  <w:num w:numId="2" w16cid:durableId="1491561933">
    <w:abstractNumId w:val="1"/>
  </w:num>
  <w:num w:numId="3" w16cid:durableId="1367369000">
    <w:abstractNumId w:val="4"/>
  </w:num>
  <w:num w:numId="4" w16cid:durableId="1475298463">
    <w:abstractNumId w:val="6"/>
  </w:num>
  <w:num w:numId="5" w16cid:durableId="2029720171">
    <w:abstractNumId w:val="0"/>
  </w:num>
  <w:num w:numId="6" w16cid:durableId="1474906235">
    <w:abstractNumId w:val="3"/>
  </w:num>
  <w:num w:numId="7" w16cid:durableId="20121033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7070"/>
    <w:rsid w:val="000F736B"/>
    <w:rsid w:val="002F283B"/>
    <w:rsid w:val="004C4E50"/>
    <w:rsid w:val="00845CEC"/>
    <w:rsid w:val="008B09E6"/>
    <w:rsid w:val="00B76306"/>
    <w:rsid w:val="00DB3BF7"/>
    <w:rsid w:val="00EC0248"/>
    <w:rsid w:val="00F84935"/>
    <w:rsid w:val="00F8707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9C3422"/>
  <w15:docId w15:val="{14BA029C-BF7E-4638-8A82-BDAC583DC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0967"/>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link w:val="Ttulo2Car"/>
    <w:uiPriority w:val="9"/>
    <w:semiHidden/>
    <w:unhideWhenUsed/>
    <w:qFormat/>
    <w:rsid w:val="0017096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customStyle="1" w:styleId="Ttulo2Car">
    <w:name w:val="Título 2 Car"/>
    <w:basedOn w:val="Fuentedeprrafopredeter"/>
    <w:link w:val="Ttulo2"/>
    <w:uiPriority w:val="9"/>
    <w:semiHidden/>
    <w:rsid w:val="00170967"/>
    <w:rPr>
      <w:rFonts w:asciiTheme="majorHAnsi" w:eastAsiaTheme="majorEastAsia" w:hAnsiTheme="majorHAnsi" w:cstheme="majorBidi"/>
      <w:color w:val="2E74B5" w:themeColor="accent1" w:themeShade="BF"/>
      <w:sz w:val="26"/>
      <w:szCs w:val="26"/>
      <w:lang w:eastAsia="es-MX"/>
    </w:rPr>
  </w:style>
  <w:style w:type="paragraph" w:styleId="Encabezado">
    <w:name w:val="header"/>
    <w:basedOn w:val="Normal"/>
    <w:link w:val="EncabezadoCar"/>
    <w:uiPriority w:val="99"/>
    <w:unhideWhenUsed/>
    <w:rsid w:val="00170967"/>
    <w:pPr>
      <w:tabs>
        <w:tab w:val="center" w:pos="4419"/>
        <w:tab w:val="right" w:pos="8838"/>
      </w:tabs>
    </w:pPr>
  </w:style>
  <w:style w:type="character" w:customStyle="1" w:styleId="EncabezadoCar">
    <w:name w:val="Encabezado Car"/>
    <w:basedOn w:val="Fuentedeprrafopredeter"/>
    <w:link w:val="Encabezado"/>
    <w:uiPriority w:val="99"/>
    <w:rsid w:val="00170967"/>
    <w:rPr>
      <w:rFonts w:ascii="Times New Roman" w:eastAsia="Times New Roman" w:hAnsi="Times New Roman" w:cs="Times New Roman"/>
      <w:sz w:val="24"/>
      <w:szCs w:val="24"/>
      <w:lang w:eastAsia="es-MX"/>
    </w:rPr>
  </w:style>
  <w:style w:type="paragraph" w:styleId="Piedepgina">
    <w:name w:val="footer"/>
    <w:basedOn w:val="Normal"/>
    <w:link w:val="PiedepginaCar"/>
    <w:uiPriority w:val="99"/>
    <w:unhideWhenUsed/>
    <w:rsid w:val="00170967"/>
    <w:pPr>
      <w:tabs>
        <w:tab w:val="center" w:pos="4419"/>
        <w:tab w:val="right" w:pos="8838"/>
      </w:tabs>
    </w:pPr>
  </w:style>
  <w:style w:type="character" w:customStyle="1" w:styleId="PiedepginaCar">
    <w:name w:val="Pie de página Car"/>
    <w:basedOn w:val="Fuentedeprrafopredeter"/>
    <w:link w:val="Piedepgina"/>
    <w:uiPriority w:val="99"/>
    <w:rsid w:val="00170967"/>
    <w:rPr>
      <w:rFonts w:ascii="Times New Roman" w:eastAsia="Times New Roman" w:hAnsi="Times New Roman" w:cs="Times New Roman"/>
      <w:sz w:val="24"/>
      <w:szCs w:val="24"/>
      <w:lang w:eastAsia="es-MX"/>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170967"/>
    <w:pPr>
      <w:ind w:left="720"/>
      <w:contextualSpacing/>
    </w:pPr>
    <w:rPr>
      <w:rFonts w:ascii="Century Gothic" w:hAnsi="Century Gothic"/>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170967"/>
    <w:rPr>
      <w:rFonts w:ascii="Century Gothic" w:eastAsia="Times New Roman" w:hAnsi="Century Gothic" w:cs="Times New Roman"/>
      <w:sz w:val="24"/>
      <w:szCs w:val="24"/>
      <w:lang w:eastAsia="es-MX"/>
    </w:rPr>
  </w:style>
  <w:style w:type="character" w:styleId="Hipervnculo">
    <w:name w:val="Hyperlink"/>
    <w:aliases w:val="Hipervínculo1,Hipervínculo11,Hipervínculo12,Hipervínculo13,Hipervínculo14,Hipervínculo15"/>
    <w:basedOn w:val="Fuentedeprrafopredeter"/>
    <w:uiPriority w:val="99"/>
    <w:unhideWhenUsed/>
    <w:rsid w:val="00170967"/>
    <w:rPr>
      <w:color w:val="0563C1"/>
      <w:u w:val="single"/>
    </w:rPr>
  </w:style>
  <w:style w:type="paragraph" w:styleId="Sinespaciado">
    <w:name w:val="No Spacing"/>
    <w:aliases w:val="Francesa,INAI"/>
    <w:link w:val="SinespaciadoCar"/>
    <w:uiPriority w:val="1"/>
    <w:qFormat/>
    <w:rsid w:val="00170967"/>
    <w:rPr>
      <w:lang w:eastAsia="es-ES"/>
    </w:rPr>
  </w:style>
  <w:style w:type="character" w:customStyle="1" w:styleId="SinespaciadoCar">
    <w:name w:val="Sin espaciado Car"/>
    <w:aliases w:val="Francesa Car,INAI Car"/>
    <w:link w:val="Sinespaciado"/>
    <w:uiPriority w:val="1"/>
    <w:qFormat/>
    <w:locked/>
    <w:rsid w:val="00170967"/>
    <w:rPr>
      <w:rFonts w:ascii="Times New Roman" w:eastAsia="Times New Roman" w:hAnsi="Times New Roman" w:cs="Times New Roman"/>
      <w:sz w:val="24"/>
      <w:szCs w:val="24"/>
      <w:lang w:eastAsia="es-E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about:blan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XJtNTEM0FpJwWn1DxBvGQSzHEw==">CgMxLjAyCGguZ2pkZ3hzMgloLjMwajB6bGwyCWguMWZvYjl0ZTIJaC4zem55c2g3MgloLjJldDkycDAyCWguM2R5NnZrbTgAciExVzlVR2VNQUZaNWNEaXZ6SllPTWJJWkdRLU4tTVBDN0c=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20</Pages>
  <Words>4772</Words>
  <Characters>26251</Characters>
  <Application>Microsoft Office Word</Application>
  <DocSecurity>0</DocSecurity>
  <Lines>218</Lines>
  <Paragraphs>61</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30962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INFOEM549</dc:creator>
  <cp:lastModifiedBy>inf03m612@outlook.com</cp:lastModifiedBy>
  <cp:revision>5</cp:revision>
  <cp:lastPrinted>2024-10-07T17:42:00Z</cp:lastPrinted>
  <dcterms:created xsi:type="dcterms:W3CDTF">2024-09-24T22:34:00Z</dcterms:created>
  <dcterms:modified xsi:type="dcterms:W3CDTF">2024-10-23T20:44:00Z</dcterms:modified>
</cp:coreProperties>
</file>